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36"/>
          <w:szCs w:val="36"/>
          <w:u w:val="single"/>
        </w:rPr>
      </w:pPr>
      <w:r w:rsidDel="00000000" w:rsidR="00000000" w:rsidRPr="00000000">
        <w:rPr>
          <w:rFonts w:ascii="Calibri" w:cs="Calibri" w:eastAsia="Calibri" w:hAnsi="Calibri"/>
          <w:b w:val="1"/>
          <w:bCs w:val="1"/>
          <w:sz w:val="36"/>
          <w:szCs w:val="36"/>
          <w:u w:val="single"/>
          <w:rtl w:val="0"/>
        </w:rPr>
        <w:t xml:space="preserve">Technical Architecture Framework</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following sections establish the baseline architectural decisions for the project. These decisions provide guidance for each role as they expand their sections during Sprint 2.</w:t>
      </w:r>
    </w:p>
    <w:p w:rsidR="00000000" w:rsidDel="00000000" w:rsidP="00000000" w:rsidRDefault="00000000" w:rsidRPr="00000000" w14:paraId="00000003">
      <w:pPr>
        <w:pStyle w:val="Heading2"/>
        <w:rPr>
          <w:color w:val="000000"/>
          <w:sz w:val="32"/>
          <w:szCs w:val="32"/>
          <w:u w:val="single"/>
        </w:rPr>
      </w:pPr>
      <w:r w:rsidDel="00000000" w:rsidR="00000000" w:rsidRPr="00000000">
        <w:rPr>
          <w:color w:val="000000"/>
          <w:sz w:val="32"/>
          <w:szCs w:val="32"/>
          <w:u w:val="single"/>
          <w:rtl w:val="0"/>
        </w:rPr>
        <w:t xml:space="preserve">Office Structure</w:t>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Number of Offices:</w:t>
        <w:br w:type="textWrapping"/>
        <w:t xml:space="preserve">The network will support three office locations consisting of one main office (Headquarters) and two branch offices.</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Office Roles:</w:t>
      </w:r>
    </w:p>
    <w:p w:rsidR="00000000" w:rsidDel="00000000" w:rsidP="00000000" w:rsidRDefault="00000000" w:rsidRPr="00000000" w14:paraId="00000006">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Headquarters (HQ):</w:t>
        <w:br w:type="textWrapping"/>
        <w:t xml:space="preserve">The main office will serve as the primary infrastructure hub and will host the majority of core network services. This location will contain the primary network equipment, centralized management systems, and the main internet gateway.</w:t>
      </w:r>
    </w:p>
    <w:p w:rsidR="00000000" w:rsidDel="00000000" w:rsidP="00000000" w:rsidRDefault="00000000" w:rsidRPr="00000000" w14:paraId="00000007">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Branch Office 1:</w:t>
        <w:br w:type="textWrapping"/>
        <w:t xml:space="preserve">A smaller office connected to the headquarters through a secure site-to-site VPN connection. This office will rely on centralized services hosted at the main office while maintaining local network connectivity for staff devices.</w:t>
      </w:r>
    </w:p>
    <w:p w:rsidR="00000000" w:rsidDel="00000000" w:rsidP="00000000" w:rsidRDefault="00000000" w:rsidRPr="00000000" w14:paraId="00000008">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Branch Office 2:</w:t>
        <w:br w:type="textWrapping"/>
        <w:t xml:space="preserve">Another remote office connected through the same site-to-site VPN architecture, allowing secure access to shared resources such as file storage, authentication services, and internal applications.</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Estimated Users per Office:</w:t>
      </w:r>
    </w:p>
    <w:p w:rsidR="00000000" w:rsidDel="00000000" w:rsidP="00000000" w:rsidRDefault="00000000" w:rsidRPr="00000000" w14:paraId="0000000A">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Headquarters: 35–40 users</w:t>
      </w:r>
    </w:p>
    <w:p w:rsidR="00000000" w:rsidDel="00000000" w:rsidP="00000000" w:rsidRDefault="00000000" w:rsidRPr="00000000" w14:paraId="0000000B">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Branch Office 1: 15–20 users</w:t>
      </w:r>
    </w:p>
    <w:p w:rsidR="00000000" w:rsidDel="00000000" w:rsidP="00000000" w:rsidRDefault="00000000" w:rsidRPr="00000000" w14:paraId="0000000C">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Branch Office 2: 15–20 users</w:t>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The headquarters location will function as the central routing and security point for inter-office communication. Branch offices will securely access shared resources through encrypted VPN tunnels while maintaining their own local LAN infrastructure. This structure supports scalability, centralized security management, and simplified network administration.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This office structure should also serve as the baseline for client context throughout the project, including assumptions related to firm size, user distribution, and operational support needs. These assumptions should remain consistent across all sections unless a revision is approved and reflected in this framework.</w:t>
      </w:r>
      <w:r w:rsidDel="00000000" w:rsidR="00000000" w:rsidRPr="00000000">
        <w:rPr>
          <w:rtl w:val="0"/>
        </w:rPr>
      </w:r>
    </w:p>
    <w:p w:rsidR="00000000" w:rsidDel="00000000" w:rsidP="00000000" w:rsidRDefault="00000000" w:rsidRPr="00000000" w14:paraId="0000000F">
      <w:pPr>
        <w:pStyle w:val="Heading2"/>
        <w:rPr>
          <w:color w:val="000000"/>
          <w:sz w:val="32"/>
          <w:szCs w:val="32"/>
          <w:u w:val="single"/>
        </w:rPr>
      </w:pPr>
      <w:r w:rsidDel="00000000" w:rsidR="00000000" w:rsidRPr="00000000">
        <w:rPr>
          <w:color w:val="000000"/>
          <w:sz w:val="32"/>
          <w:szCs w:val="32"/>
          <w:u w:val="single"/>
          <w:rtl w:val="0"/>
        </w:rPr>
        <w:t xml:space="preserve">Network Device Baseline</w:t>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Confirm the core devices that will be used in the architecture (e.g., router, Layer 3 switch, access switches, wireless access points).</w:t>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The proposed architecture will utilize a layered enterprise network design to support reliability, scalability, and centralized management across all office locations.</w:t>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The core network infrastructure will include: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Enterprise edge routers at each office to manage WAN connectivity and establish secure VPN tunnels between locations.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Layer 3 switches at the main office to support inter-VLAN routing and internal traffic management.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Layer 2 access switches to connect end-user devices such as workstations, printers, and VoIP phones.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Wireless access points to provide secure Wi-Fi connectivity for staff and guest networks.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Next-generation firewall appliances at the primary office to enforce security policies and monitor network traffic.</w:t>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This device baseline ensures the network can support segmentation, centralized security controls, and scalable expansion as the firm grows.</w:t>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This device baseline should also support the firm’s operational requirements, including secure access to legal applications, reliable access to shared resources, and scalable support for day-to-day business operations across all office locations. Any major device changes that affect architecture assumptions should be communicated so the framework can be updated accordingly.</w:t>
      </w:r>
    </w:p>
    <w:p w:rsidR="00000000" w:rsidDel="00000000" w:rsidP="00000000" w:rsidRDefault="00000000" w:rsidRPr="00000000" w14:paraId="0000001A">
      <w:pPr>
        <w:pStyle w:val="Heading2"/>
        <w:rPr>
          <w:color w:val="000000"/>
          <w:sz w:val="32"/>
          <w:szCs w:val="32"/>
          <w:u w:val="single"/>
        </w:rPr>
      </w:pPr>
      <w:r w:rsidDel="00000000" w:rsidR="00000000" w:rsidRPr="00000000">
        <w:rPr>
          <w:color w:val="000000"/>
          <w:sz w:val="32"/>
          <w:szCs w:val="32"/>
          <w:u w:val="single"/>
          <w:rtl w:val="0"/>
        </w:rPr>
        <w:t xml:space="preserve">VLAN Structure</w:t>
      </w:r>
    </w:p>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To support network segmentation and improve security, the architecture will implement a standardized VLAN structure across all office locations.</w:t>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The following VLAN categories will be implemented: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VLAN – employee workstations and standard office devices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Server VLAN – internal servers and critical infrastructure services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Voice VLAN – VoIP phone systems and voice communications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Management VLAN – network administration and device management access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Guest WiFi VLAN – isolated wireless network for visitors and non-corporate devices</w:t>
      </w:r>
    </w:p>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Maintaining a consistent VLAN structure across offices allows for simplified network management, improved security enforcement, and easier scalability as the network expands.</w:t>
      </w:r>
    </w:p>
    <w:p w:rsidR="00000000" w:rsidDel="00000000" w:rsidP="00000000" w:rsidRDefault="00000000" w:rsidRPr="00000000" w14:paraId="00000023">
      <w:pPr>
        <w:rPr>
          <w:rFonts w:ascii="Calibri" w:cs="Calibri" w:eastAsia="Calibri" w:hAnsi="Calibri"/>
        </w:rPr>
      </w:pPr>
      <w:r w:rsidDel="00000000" w:rsidR="00000000" w:rsidRPr="00000000">
        <w:rPr>
          <w:rtl w:val="0"/>
        </w:rPr>
      </w:r>
    </w:p>
    <w:p w:rsidR="00000000" w:rsidDel="00000000" w:rsidP="00000000" w:rsidRDefault="00000000" w:rsidRPr="00000000" w14:paraId="00000024">
      <w:pPr>
        <w:rPr>
          <w:rFonts w:ascii="Calibri" w:cs="Calibri" w:eastAsia="Calibri" w:hAnsi="Calibri"/>
        </w:rPr>
      </w:pPr>
      <w:r w:rsidDel="00000000" w:rsidR="00000000" w:rsidRPr="00000000">
        <w:rPr>
          <w:rtl w:val="0"/>
        </w:rPr>
      </w:r>
    </w:p>
    <w:p w:rsidR="00000000" w:rsidDel="00000000" w:rsidP="00000000" w:rsidRDefault="00000000" w:rsidRPr="00000000" w14:paraId="00000025">
      <w:pPr>
        <w:pStyle w:val="Heading2"/>
        <w:rPr>
          <w:color w:val="000000"/>
          <w:sz w:val="32"/>
          <w:szCs w:val="32"/>
          <w:u w:val="single"/>
        </w:rPr>
      </w:pPr>
      <w:r w:rsidDel="00000000" w:rsidR="00000000" w:rsidRPr="00000000">
        <w:rPr>
          <w:color w:val="000000"/>
          <w:sz w:val="32"/>
          <w:szCs w:val="32"/>
          <w:u w:val="single"/>
          <w:rtl w:val="0"/>
        </w:rPr>
        <w:t xml:space="preserve">WAN Connectivity</w:t>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Inter-office communication will be established using a secure hub-and-spoke WAN architecture.</w:t>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Each branch office will connect to the main office through encrypted site-to-site VPN tunnels over commercial internet connections. The headquarters’ location will function as the central hub for inter-office traffic routing.</w:t>
      </w:r>
    </w:p>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The WAN design will include: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Site-to-site VPN connectivity between all offices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OSPF dynamic routing to manage route exchange and failover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Dual ISP redundancy at the main office to improve network availability</w:t>
      </w:r>
    </w:p>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This approach ensures secure communication between offices while maintaining flexibility and redundancy for business continuity.</w:t>
      </w:r>
    </w:p>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This WAN design should also serve as the baseline for inter-office performance expectations, including reliable communication between offices, secure access to centralized resources, and sufficient bandwidth and availability to support normal legal and administrative operations.</w:t>
      </w:r>
      <w:r w:rsidDel="00000000" w:rsidR="00000000" w:rsidRPr="00000000">
        <w:rPr>
          <w:rtl w:val="0"/>
        </w:rPr>
      </w:r>
    </w:p>
    <w:p w:rsidR="00000000" w:rsidDel="00000000" w:rsidP="00000000" w:rsidRDefault="00000000" w:rsidRPr="00000000" w14:paraId="0000002E">
      <w:pPr>
        <w:pStyle w:val="Heading2"/>
        <w:rPr>
          <w:color w:val="000000"/>
          <w:sz w:val="32"/>
          <w:szCs w:val="32"/>
          <w:u w:val="single"/>
        </w:rPr>
      </w:pPr>
      <w:r w:rsidDel="00000000" w:rsidR="00000000" w:rsidRPr="00000000">
        <w:rPr>
          <w:color w:val="000000"/>
          <w:sz w:val="32"/>
          <w:szCs w:val="32"/>
          <w:u w:val="single"/>
          <w:rtl w:val="0"/>
        </w:rPr>
        <w:t xml:space="preserve">Cloud Usage</w:t>
      </w:r>
    </w:p>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The proposed architecture will incorporate a hybrid cloud model in which core operational services remain on-premises while cloud services support backup, resilience, and monitoring functions.</w:t>
      </w:r>
    </w:p>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Cloud services will be used for:</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Backup storage for critical firm data</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Disaster recovery replication of essential systems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Centralized monitoring and logging services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Secure remote access support when required</w:t>
      </w:r>
    </w:p>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This approach allows the organization to leverage the scalability and resilience of cloud infrastructure while maintaining local control of sensitive legal data.</w:t>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Cloud services should support business continuity, operational resilience, and secure recovery capabilities while allowing the firm to maintain appropriate control over sensitive legal data and core internal systems.</w:t>
      </w:r>
    </w:p>
    <w:p w:rsidR="00000000" w:rsidDel="00000000" w:rsidP="00000000" w:rsidRDefault="00000000" w:rsidRPr="00000000" w14:paraId="00000037">
      <w:pPr>
        <w:pStyle w:val="Heading2"/>
        <w:rPr>
          <w:color w:val="000000"/>
          <w:sz w:val="32"/>
          <w:szCs w:val="32"/>
          <w:u w:val="single"/>
        </w:rPr>
      </w:pPr>
      <w:r w:rsidDel="00000000" w:rsidR="00000000" w:rsidRPr="00000000">
        <w:rPr>
          <w:color w:val="000000"/>
          <w:sz w:val="32"/>
          <w:szCs w:val="32"/>
          <w:u w:val="single"/>
          <w:rtl w:val="0"/>
        </w:rPr>
        <w:t xml:space="preserve">Security Baseline</w:t>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Security will be implemented as a layered defense strategy designed to protect sensitive client data and ensure compliance with professional legal standards.</w:t>
      </w:r>
    </w:p>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The core security controls will include: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Next-generation firewall appliances at the network perimeter</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Control Lists (ACLs) to enforce VLAN segmentation policies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Multi-Factor Authentication (MFA) for administrative access and remote services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Encryption standards including IPsec VPN and TLS-based secure communications</w:t>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These controls establish a strong security baseline that protects internal systems, secures inter-office communication, and reduces the risk of unauthorized access.</w:t>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Because this environment supports a law firm, the security baseline must also account for protection of confidential client information, controlled access to sensitive systems, administrative logging, and enforcement of least-privilege access principles across the network.</w:t>
      </w:r>
    </w:p>
    <w:p w:rsidR="00000000" w:rsidDel="00000000" w:rsidP="00000000" w:rsidRDefault="00000000" w:rsidRPr="00000000" w14:paraId="00000040">
      <w:pPr>
        <w:pStyle w:val="Heading2"/>
        <w:rPr>
          <w:color w:val="000000"/>
          <w:sz w:val="32"/>
          <w:szCs w:val="32"/>
          <w:u w:val="single"/>
        </w:rPr>
      </w:pPr>
      <w:r w:rsidDel="00000000" w:rsidR="00000000" w:rsidRPr="00000000">
        <w:rPr>
          <w:color w:val="000000"/>
          <w:sz w:val="32"/>
          <w:szCs w:val="32"/>
          <w:u w:val="single"/>
          <w:rtl w:val="0"/>
        </w:rPr>
        <w:t xml:space="preserve">Disaster Recovery Strategy</w:t>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To ensure operational continuity, the architecture will implement a structured disaster recovery strategy combining local backup systems with cloud-based replication.</w:t>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Key elements of the recovery strategy include: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Cloud-based backup storage for critical data</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Off-site replication of essential systems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Defined recovery objectives to guide restoration procedures</w:t>
      </w:r>
    </w:p>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Initial recovery objectives will assume: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Recovery Point Objective (RPO): approximately 4 hours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Recovery Time Objective (RTO): approximately 8 hours</w:t>
      </w:r>
    </w:p>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These values represent reasonable recovery targets for a mid-sized law firm and may be refined as the business analysis section develops.</w:t>
      </w:r>
    </w:p>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This recovery strategy should also be understood as part of the firm’s broader business continuity requirements and must support the restoration of critical legal systems, shared file access, and essential services within a timeframe appropriate for ongoing client and case operations.</w:t>
      </w:r>
    </w:p>
    <w:p w:rsidR="00000000" w:rsidDel="00000000" w:rsidP="00000000" w:rsidRDefault="00000000" w:rsidRPr="00000000" w14:paraId="0000004B">
      <w:pPr>
        <w:pStyle w:val="Heading2"/>
        <w:rPr>
          <w:color w:val="000000"/>
          <w:sz w:val="32"/>
          <w:szCs w:val="32"/>
          <w:u w:val="single"/>
        </w:rPr>
      </w:pPr>
      <w:r w:rsidDel="00000000" w:rsidR="00000000" w:rsidRPr="00000000">
        <w:rPr>
          <w:color w:val="000000"/>
          <w:sz w:val="32"/>
          <w:szCs w:val="32"/>
          <w:u w:val="single"/>
          <w:rtl w:val="0"/>
        </w:rPr>
        <w:t xml:space="preserve">Packet Tracer Implementation Scope</w:t>
      </w:r>
    </w:p>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The Packet Tracer environment will serve as a proof-of-concept implementation of the proposed network architecture.</w:t>
      </w:r>
    </w:p>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The simulation will include: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three-office topology layout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Core routers and switches representing each office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VLAN segmentation implementation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Basic inter-VLAN routing configuration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Site-to-site VPN connectivity simulation where applicable</w:t>
      </w:r>
    </w:p>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The Packet Tracer implementation will focus on demonstrating network structure and connectivity rather than fully replicating enterprise-level production configurations.</w:t>
      </w:r>
    </w:p>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The Packet Tracer implementation should reflect the baseline assumptions defined in this framework, including office structure, device roles, VLAN design, and inter-office connectivity, so the proof-of-concept remains aligned with the overall project architecture.</w:t>
      </w:r>
    </w:p>
    <w:p w:rsidR="00000000" w:rsidDel="00000000" w:rsidP="00000000" w:rsidRDefault="00000000" w:rsidRPr="00000000" w14:paraId="00000055">
      <w:pPr>
        <w:pStyle w:val="Heading2"/>
        <w:rPr>
          <w:color w:val="000000"/>
          <w:sz w:val="32"/>
          <w:szCs w:val="32"/>
          <w:u w:val="single"/>
        </w:rPr>
      </w:pPr>
      <w:r w:rsidDel="00000000" w:rsidR="00000000" w:rsidRPr="00000000">
        <w:rPr>
          <w:color w:val="000000"/>
          <w:sz w:val="32"/>
          <w:szCs w:val="32"/>
          <w:u w:val="single"/>
          <w:rtl w:val="0"/>
        </w:rPr>
        <w:t xml:space="preserve">Cost Matrix Inputs</w:t>
      </w:r>
    </w:p>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The Cost &amp; Infrastructure section will consolidate equipment and service estimates provided by several role leads.</w:t>
      </w:r>
    </w:p>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The following roles will contribute inputs for the cost matrix:</w:t>
      </w:r>
    </w:p>
    <w:p w:rsidR="00000000" w:rsidDel="00000000" w:rsidP="00000000" w:rsidRDefault="00000000" w:rsidRPr="00000000" w14:paraId="00000058">
      <w:pPr>
        <w:ind w:firstLine="360"/>
        <w:rPr>
          <w:rFonts w:ascii="Calibri" w:cs="Calibri" w:eastAsia="Calibri" w:hAnsi="Calibri"/>
          <w:b w:val="1"/>
          <w:bCs w:val="1"/>
        </w:rPr>
      </w:pPr>
      <w:r w:rsidDel="00000000" w:rsidR="00000000" w:rsidRPr="00000000">
        <w:rPr>
          <w:rFonts w:ascii="Calibri" w:cs="Calibri" w:eastAsia="Calibri" w:hAnsi="Calibri"/>
          <w:b w:val="1"/>
          <w:bCs w:val="1"/>
          <w:rtl w:val="0"/>
        </w:rPr>
        <w:t xml:space="preserve">Network Architecture Lead</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Routers</w:t>
      </w:r>
    </w:p>
    <w:p w:rsidR="00000000" w:rsidDel="00000000" w:rsidP="00000000" w:rsidRDefault="00000000" w:rsidRPr="00000000" w14:paraId="000000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Switches</w:t>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Wireless access points</w:t>
      </w:r>
    </w:p>
    <w:p w:rsidR="00000000" w:rsidDel="00000000" w:rsidP="00000000" w:rsidRDefault="00000000" w:rsidRPr="00000000" w14:paraId="0000005C">
      <w:pPr>
        <w:ind w:firstLine="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Security &amp; Compliance Lead</w:t>
      </w:r>
    </w:p>
    <w:p w:rsidR="00000000" w:rsidDel="00000000" w:rsidP="00000000" w:rsidRDefault="00000000" w:rsidRPr="00000000" w14:paraId="000000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Firewall appliances</w:t>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monitoring tools</w:t>
      </w:r>
    </w:p>
    <w:p w:rsidR="00000000" w:rsidDel="00000000" w:rsidP="00000000" w:rsidRDefault="00000000" w:rsidRPr="00000000" w14:paraId="0000005F">
      <w:pPr>
        <w:ind w:firstLine="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Cloud Integration Lead</w:t>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storage services</w:t>
      </w:r>
    </w:p>
    <w:p w:rsidR="00000000" w:rsidDel="00000000" w:rsidP="00000000" w:rsidRDefault="00000000" w:rsidRPr="00000000" w14:paraId="0000006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Backup and monitoring platforms</w:t>
      </w:r>
    </w:p>
    <w:p w:rsidR="00000000" w:rsidDel="00000000" w:rsidP="00000000" w:rsidRDefault="00000000" w:rsidRPr="00000000" w14:paraId="00000062">
      <w:pPr>
        <w:ind w:firstLine="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Disaster Recovery Lead</w:t>
      </w:r>
    </w:p>
    <w:p w:rsidR="00000000" w:rsidDel="00000000" w:rsidP="00000000" w:rsidRDefault="00000000" w:rsidRPr="00000000" w14:paraId="0000006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Backup infrastructure</w:t>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Replication services</w:t>
      </w:r>
    </w:p>
    <w:p w:rsidR="00000000" w:rsidDel="00000000" w:rsidP="00000000" w:rsidRDefault="00000000" w:rsidRPr="00000000" w14:paraId="00000065">
      <w:pPr>
        <w:ind w:firstLine="360"/>
        <w:rPr>
          <w:rFonts w:ascii="Calibri" w:cs="Calibri" w:eastAsia="Calibri" w:hAnsi="Calibri"/>
          <w:b w:val="1"/>
          <w:bCs w:val="1"/>
        </w:rPr>
      </w:pPr>
      <w:r w:rsidDel="00000000" w:rsidR="00000000" w:rsidRPr="00000000">
        <w:rPr>
          <w:rFonts w:ascii="Calibri" w:cs="Calibri" w:eastAsia="Calibri" w:hAnsi="Calibri"/>
          <w:b w:val="1"/>
          <w:bCs w:val="1"/>
          <w:rtl w:val="0"/>
        </w:rPr>
        <w:t xml:space="preserve">Network Implementation Lead</w:t>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Device quantity validation across office locations</w:t>
      </w:r>
    </w:p>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These inputs will allow the Cost &amp; Infrastructure Lead to construct a comprehensive cost matrix outlining projected infrastructure investment.</w:t>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All cost inputs should be based on the baseline architecture assumptions defined in this framework so that equipment, service estimates, and supporting design documentation remain aligned across the project.</w:t>
      </w:r>
    </w:p>
    <w:p w:rsidR="00000000" w:rsidDel="00000000" w:rsidP="00000000" w:rsidRDefault="00000000" w:rsidRPr="00000000" w14:paraId="00000069">
      <w:pPr>
        <w:rPr>
          <w:rFonts w:ascii="Calibri" w:cs="Calibri" w:eastAsia="Calibri" w:hAnsi="Calibri"/>
        </w:rPr>
      </w:pPr>
      <w:r w:rsidDel="00000000" w:rsidR="00000000" w:rsidRPr="00000000">
        <w:rPr>
          <w:rtl w:val="0"/>
        </w:rPr>
      </w:r>
    </w:p>
    <w:p w:rsidR="00000000" w:rsidDel="00000000" w:rsidP="00000000" w:rsidRDefault="00000000" w:rsidRPr="00000000" w14:paraId="0000006A">
      <w:pPr>
        <w:rPr>
          <w:rFonts w:ascii="Calibri" w:cs="Calibri" w:eastAsia="Calibri" w:hAnsi="Calibri"/>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inxh8vG3scb1hip6UVRfO/QO1A==">CgMxLjA4AHIhMUo3Ml8yUW14NzNCM1RiMUx5djNDMTg0Nk81eTJyTkMt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