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A7" w:rsidRPr="000C5C78" w:rsidRDefault="00197CA7"/>
    <w:p w:rsidR="004026E5" w:rsidRPr="000C5C78" w:rsidRDefault="00157DDA" w:rsidP="00E317E0">
      <w:pPr>
        <w:jc w:val="center"/>
      </w:pPr>
      <w:r w:rsidRPr="000C5C78">
        <w:rPr>
          <w:noProof/>
        </w:rPr>
        <w:drawing>
          <wp:inline distT="0" distB="0" distL="0" distR="0">
            <wp:extent cx="1262380" cy="1709420"/>
            <wp:effectExtent l="19050" t="0" r="0" b="0"/>
            <wp:docPr id="1" name="Resim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E5" w:rsidRPr="000C5C78" w:rsidRDefault="004026E5"/>
    <w:p w:rsidR="004026E5" w:rsidRPr="000C5C78" w:rsidRDefault="004026E5"/>
    <w:p w:rsidR="00197CA7" w:rsidRPr="000C5C78" w:rsidRDefault="00197CA7" w:rsidP="00197CA7">
      <w:pPr>
        <w:jc w:val="center"/>
        <w:rPr>
          <w:sz w:val="52"/>
          <w:szCs w:val="52"/>
        </w:rPr>
      </w:pPr>
      <w:r w:rsidRPr="000C5C78">
        <w:rPr>
          <w:sz w:val="52"/>
          <w:szCs w:val="52"/>
        </w:rPr>
        <w:t>DENEY RAPORU</w:t>
      </w:r>
    </w:p>
    <w:p w:rsidR="008465E9" w:rsidRPr="000C5C78" w:rsidRDefault="008465E9"/>
    <w:p w:rsidR="008465E9" w:rsidRPr="000C5C78" w:rsidRDefault="008465E9"/>
    <w:p w:rsidR="004026E5" w:rsidRPr="000C5C78" w:rsidRDefault="004026E5"/>
    <w:p w:rsidR="004026E5" w:rsidRPr="000C5C78" w:rsidRDefault="004026E5"/>
    <w:p w:rsidR="004026E5" w:rsidRPr="000C5C78" w:rsidRDefault="004026E5"/>
    <w:p w:rsidR="00634706" w:rsidRPr="000C5C78" w:rsidRDefault="00634706"/>
    <w:p w:rsidR="00634706" w:rsidRPr="000C5C78" w:rsidRDefault="00634706"/>
    <w:p w:rsidR="00682292" w:rsidRPr="000C5C78" w:rsidRDefault="006822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4"/>
        <w:gridCol w:w="6246"/>
      </w:tblGrid>
      <w:tr w:rsidR="009E3F6A" w:rsidRPr="000C5C78" w:rsidTr="00C42194">
        <w:tc>
          <w:tcPr>
            <w:tcW w:w="2964" w:type="dxa"/>
          </w:tcPr>
          <w:p w:rsidR="00E317E0" w:rsidRPr="000C5C78" w:rsidRDefault="00E317E0" w:rsidP="009E3F6A">
            <w:pPr>
              <w:rPr>
                <w:b/>
              </w:rPr>
            </w:pPr>
          </w:p>
          <w:p w:rsidR="009E3F6A" w:rsidRPr="000C5C78" w:rsidRDefault="009E3F6A" w:rsidP="009E3F6A">
            <w:pPr>
              <w:rPr>
                <w:b/>
              </w:rPr>
            </w:pPr>
            <w:r w:rsidRPr="000C5C78">
              <w:rPr>
                <w:b/>
              </w:rPr>
              <w:t>Deney Adı</w:t>
            </w:r>
          </w:p>
          <w:p w:rsidR="004026E5" w:rsidRPr="000C5C78" w:rsidRDefault="004026E5" w:rsidP="009E3F6A">
            <w:pPr>
              <w:rPr>
                <w:b/>
              </w:rPr>
            </w:pPr>
          </w:p>
        </w:tc>
        <w:tc>
          <w:tcPr>
            <w:tcW w:w="6246" w:type="dxa"/>
          </w:tcPr>
          <w:p w:rsidR="009E3F6A" w:rsidRPr="000C5C78" w:rsidRDefault="009E3F6A" w:rsidP="00682292"/>
          <w:p w:rsidR="00E03E6B" w:rsidRPr="000C5C78" w:rsidRDefault="003F6342" w:rsidP="00682292">
            <w:r w:rsidRPr="000C5C78">
              <w:t>Besleme Gerilimi Düzenleri</w:t>
            </w:r>
          </w:p>
        </w:tc>
      </w:tr>
      <w:tr w:rsidR="009E3F6A" w:rsidRPr="000C5C78" w:rsidTr="00C42194">
        <w:tc>
          <w:tcPr>
            <w:tcW w:w="2964" w:type="dxa"/>
          </w:tcPr>
          <w:p w:rsidR="00E317E0" w:rsidRPr="000C5C78" w:rsidRDefault="00E317E0" w:rsidP="00DF5A50">
            <w:pPr>
              <w:rPr>
                <w:b/>
              </w:rPr>
            </w:pPr>
          </w:p>
          <w:p w:rsidR="009E3F6A" w:rsidRPr="000C5C78" w:rsidRDefault="009E3F6A" w:rsidP="00DF5A50">
            <w:pPr>
              <w:rPr>
                <w:b/>
              </w:rPr>
            </w:pPr>
            <w:proofErr w:type="gramStart"/>
            <w:r w:rsidRPr="000C5C78">
              <w:rPr>
                <w:b/>
              </w:rPr>
              <w:t xml:space="preserve">Deneyi Yaptıran </w:t>
            </w:r>
            <w:r w:rsidR="00C94BF3" w:rsidRPr="000C5C78">
              <w:rPr>
                <w:b/>
              </w:rPr>
              <w:t>Ar.</w:t>
            </w:r>
            <w:r w:rsidR="00DF5A50" w:rsidRPr="000C5C78">
              <w:rPr>
                <w:b/>
              </w:rPr>
              <w:t xml:space="preserve"> </w:t>
            </w:r>
            <w:proofErr w:type="gramEnd"/>
            <w:r w:rsidR="00DF5A50" w:rsidRPr="000C5C78">
              <w:rPr>
                <w:b/>
              </w:rPr>
              <w:t>Gör</w:t>
            </w:r>
            <w:r w:rsidR="00C94BF3" w:rsidRPr="000C5C78">
              <w:rPr>
                <w:b/>
              </w:rPr>
              <w:t>.</w:t>
            </w:r>
          </w:p>
          <w:p w:rsidR="00E317E0" w:rsidRPr="000C5C78" w:rsidRDefault="00E317E0" w:rsidP="00DF5A50">
            <w:pPr>
              <w:rPr>
                <w:b/>
              </w:rPr>
            </w:pPr>
          </w:p>
        </w:tc>
        <w:tc>
          <w:tcPr>
            <w:tcW w:w="6246" w:type="dxa"/>
          </w:tcPr>
          <w:p w:rsidR="009E3F6A" w:rsidRPr="000C5C78" w:rsidRDefault="009E3F6A" w:rsidP="00682292"/>
          <w:p w:rsidR="009E3F6A" w:rsidRPr="000C5C78" w:rsidRDefault="003F6342" w:rsidP="00CC0DE7">
            <w:r w:rsidRPr="000C5C78">
              <w:t xml:space="preserve">Araş. Gr. Zafer </w:t>
            </w:r>
            <w:proofErr w:type="spellStart"/>
            <w:r w:rsidRPr="000C5C78">
              <w:t>İşcan</w:t>
            </w:r>
            <w:proofErr w:type="spellEnd"/>
          </w:p>
        </w:tc>
      </w:tr>
      <w:tr w:rsidR="009E3F6A" w:rsidRPr="000C5C78" w:rsidTr="00C42194">
        <w:tc>
          <w:tcPr>
            <w:tcW w:w="2964" w:type="dxa"/>
          </w:tcPr>
          <w:p w:rsidR="00E317E0" w:rsidRPr="000C5C78" w:rsidRDefault="00E317E0" w:rsidP="0009092A">
            <w:pPr>
              <w:rPr>
                <w:b/>
              </w:rPr>
            </w:pPr>
          </w:p>
          <w:p w:rsidR="009E3F6A" w:rsidRPr="000C5C78" w:rsidRDefault="00E317E0" w:rsidP="0009092A">
            <w:pPr>
              <w:rPr>
                <w:b/>
              </w:rPr>
            </w:pPr>
            <w:r w:rsidRPr="000C5C78">
              <w:rPr>
                <w:b/>
              </w:rPr>
              <w:t>Raporu Hazırlayan</w:t>
            </w:r>
          </w:p>
          <w:p w:rsidR="00C94BF3" w:rsidRPr="000C5C78" w:rsidRDefault="00C94BF3" w:rsidP="0009092A">
            <w:pPr>
              <w:rPr>
                <w:b/>
              </w:rPr>
            </w:pPr>
            <w:r w:rsidRPr="000C5C78">
              <w:rPr>
                <w:b/>
              </w:rPr>
              <w:t>(</w:t>
            </w:r>
            <w:r w:rsidR="00E317E0" w:rsidRPr="000C5C78">
              <w:rPr>
                <w:b/>
              </w:rPr>
              <w:t>İsim / Numara / Bölüm</w:t>
            </w:r>
            <w:r w:rsidRPr="000C5C78">
              <w:rPr>
                <w:b/>
              </w:rPr>
              <w:t>)</w:t>
            </w:r>
          </w:p>
          <w:p w:rsidR="009E3F6A" w:rsidRPr="000C5C78" w:rsidRDefault="009E3F6A" w:rsidP="0009092A">
            <w:pPr>
              <w:rPr>
                <w:b/>
              </w:rPr>
            </w:pPr>
          </w:p>
        </w:tc>
        <w:tc>
          <w:tcPr>
            <w:tcW w:w="6246" w:type="dxa"/>
          </w:tcPr>
          <w:p w:rsidR="009E3F6A" w:rsidRPr="000C5C78" w:rsidRDefault="009E3F6A" w:rsidP="00682292"/>
          <w:p w:rsidR="00E03E6B" w:rsidRPr="000C5C78" w:rsidRDefault="00E03E6B" w:rsidP="003F6342">
            <w:r w:rsidRPr="000C5C78">
              <w:t xml:space="preserve">Mehmet </w:t>
            </w:r>
            <w:r w:rsidR="003F6342" w:rsidRPr="000C5C78">
              <w:t xml:space="preserve">Bal / </w:t>
            </w:r>
            <w:proofErr w:type="gramStart"/>
            <w:r w:rsidR="003F6342" w:rsidRPr="000C5C78">
              <w:t>040080505</w:t>
            </w:r>
            <w:proofErr w:type="gramEnd"/>
            <w:r w:rsidR="00CC0DE7" w:rsidRPr="000C5C78">
              <w:t xml:space="preserve"> / Teleko</w:t>
            </w:r>
            <w:r w:rsidRPr="000C5C78">
              <w:t>münikasyon Müh.</w:t>
            </w:r>
          </w:p>
        </w:tc>
      </w:tr>
      <w:tr w:rsidR="003F6342" w:rsidRPr="000C5C78" w:rsidTr="00C42194">
        <w:tc>
          <w:tcPr>
            <w:tcW w:w="2964" w:type="dxa"/>
          </w:tcPr>
          <w:p w:rsidR="003F6342" w:rsidRPr="000C5C78" w:rsidRDefault="003F6342" w:rsidP="0009092A">
            <w:pPr>
              <w:rPr>
                <w:b/>
              </w:rPr>
            </w:pPr>
          </w:p>
          <w:p w:rsidR="003F6342" w:rsidRPr="000C5C78" w:rsidRDefault="003F6342" w:rsidP="00E317E0">
            <w:pPr>
              <w:rPr>
                <w:b/>
              </w:rPr>
            </w:pPr>
            <w:r w:rsidRPr="000C5C78">
              <w:rPr>
                <w:b/>
              </w:rPr>
              <w:t>Grup Numarası ve</w:t>
            </w:r>
          </w:p>
          <w:p w:rsidR="003F6342" w:rsidRPr="000C5C78" w:rsidRDefault="003F6342" w:rsidP="00E317E0">
            <w:pPr>
              <w:rPr>
                <w:b/>
              </w:rPr>
            </w:pPr>
            <w:r w:rsidRPr="000C5C78">
              <w:rPr>
                <w:b/>
              </w:rPr>
              <w:t>Deney Tarihi</w:t>
            </w:r>
          </w:p>
          <w:p w:rsidR="003F6342" w:rsidRPr="000C5C78" w:rsidRDefault="003F6342" w:rsidP="0009092A">
            <w:pPr>
              <w:rPr>
                <w:b/>
              </w:rPr>
            </w:pPr>
          </w:p>
        </w:tc>
        <w:tc>
          <w:tcPr>
            <w:tcW w:w="6246" w:type="dxa"/>
          </w:tcPr>
          <w:p w:rsidR="003F6342" w:rsidRPr="000C5C78" w:rsidRDefault="003F6342" w:rsidP="00D402EB"/>
          <w:p w:rsidR="003F6342" w:rsidRPr="000C5C78" w:rsidRDefault="003F6342" w:rsidP="00D402EB">
            <w:r w:rsidRPr="000C5C78">
              <w:t xml:space="preserve">C- </w:t>
            </w:r>
            <w:proofErr w:type="gramStart"/>
            <w:r w:rsidRPr="000C5C78">
              <w:t>31     23</w:t>
            </w:r>
            <w:proofErr w:type="gramEnd"/>
            <w:r w:rsidRPr="000C5C78">
              <w:t>.12.2011</w:t>
            </w:r>
          </w:p>
        </w:tc>
      </w:tr>
    </w:tbl>
    <w:p w:rsidR="009A5E65" w:rsidRPr="000C5C78" w:rsidRDefault="009A5E65"/>
    <w:p w:rsidR="00F03B6F" w:rsidRPr="000C5C78" w:rsidRDefault="00F03B6F"/>
    <w:p w:rsidR="00F34AB1" w:rsidRPr="000C5C78" w:rsidRDefault="00F34AB1"/>
    <w:p w:rsidR="008C6258" w:rsidRPr="000C5C78" w:rsidRDefault="008C6258"/>
    <w:p w:rsidR="00E86E71" w:rsidRPr="000C5C78" w:rsidRDefault="00E86E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7"/>
        <w:gridCol w:w="2516"/>
        <w:gridCol w:w="3745"/>
      </w:tblGrid>
      <w:tr w:rsidR="00E317E0" w:rsidRPr="000C5C78" w:rsidTr="00E317E0">
        <w:trPr>
          <w:trHeight w:val="357"/>
          <w:jc w:val="center"/>
        </w:trPr>
        <w:tc>
          <w:tcPr>
            <w:tcW w:w="1657" w:type="dxa"/>
          </w:tcPr>
          <w:p w:rsidR="00E317E0" w:rsidRPr="000C5C78" w:rsidRDefault="00E317E0" w:rsidP="00C42194">
            <w:pPr>
              <w:jc w:val="center"/>
              <w:rPr>
                <w:b/>
              </w:rPr>
            </w:pPr>
            <w:r w:rsidRPr="000C5C78">
              <w:rPr>
                <w:b/>
              </w:rPr>
              <w:t>Rapor Notu</w:t>
            </w:r>
          </w:p>
        </w:tc>
        <w:tc>
          <w:tcPr>
            <w:tcW w:w="2516" w:type="dxa"/>
          </w:tcPr>
          <w:p w:rsidR="00E317E0" w:rsidRPr="000C5C78" w:rsidRDefault="00E317E0" w:rsidP="00C42194">
            <w:pPr>
              <w:jc w:val="center"/>
              <w:rPr>
                <w:b/>
              </w:rPr>
            </w:pPr>
            <w:r w:rsidRPr="000C5C78">
              <w:rPr>
                <w:b/>
              </w:rPr>
              <w:t>Teslim Edildiği Tarih</w:t>
            </w:r>
          </w:p>
        </w:tc>
        <w:tc>
          <w:tcPr>
            <w:tcW w:w="3745" w:type="dxa"/>
          </w:tcPr>
          <w:p w:rsidR="00E317E0" w:rsidRPr="000C5C78" w:rsidRDefault="00E317E0" w:rsidP="00C42194">
            <w:pPr>
              <w:jc w:val="center"/>
              <w:rPr>
                <w:b/>
              </w:rPr>
            </w:pPr>
            <w:r w:rsidRPr="000C5C78">
              <w:rPr>
                <w:b/>
              </w:rPr>
              <w:t>Teslim Alındığı Tarih</w:t>
            </w:r>
          </w:p>
        </w:tc>
      </w:tr>
      <w:tr w:rsidR="00E317E0" w:rsidRPr="000C5C78" w:rsidTr="00E317E0">
        <w:trPr>
          <w:trHeight w:val="733"/>
          <w:jc w:val="center"/>
        </w:trPr>
        <w:tc>
          <w:tcPr>
            <w:tcW w:w="1657" w:type="dxa"/>
          </w:tcPr>
          <w:p w:rsidR="00E317E0" w:rsidRPr="000C5C78" w:rsidRDefault="00E317E0"/>
        </w:tc>
        <w:tc>
          <w:tcPr>
            <w:tcW w:w="2516" w:type="dxa"/>
          </w:tcPr>
          <w:p w:rsidR="005B1367" w:rsidRPr="000C5C78" w:rsidRDefault="005B1367" w:rsidP="005B1367">
            <w:pPr>
              <w:jc w:val="center"/>
            </w:pPr>
          </w:p>
          <w:p w:rsidR="00E317E0" w:rsidRPr="000C5C78" w:rsidRDefault="003F6342" w:rsidP="005B1367">
            <w:pPr>
              <w:jc w:val="center"/>
            </w:pPr>
            <w:proofErr w:type="gramStart"/>
            <w:r w:rsidRPr="000C5C78">
              <w:t>30/12/2011</w:t>
            </w:r>
            <w:proofErr w:type="gramEnd"/>
          </w:p>
        </w:tc>
        <w:tc>
          <w:tcPr>
            <w:tcW w:w="3745" w:type="dxa"/>
          </w:tcPr>
          <w:p w:rsidR="00E317E0" w:rsidRPr="000C5C78" w:rsidRDefault="00E317E0"/>
          <w:p w:rsidR="00E317E0" w:rsidRPr="000C5C78" w:rsidRDefault="00E317E0"/>
          <w:p w:rsidR="00E317E0" w:rsidRPr="000C5C78" w:rsidRDefault="00E317E0"/>
        </w:tc>
      </w:tr>
    </w:tbl>
    <w:p w:rsidR="00E03E6B" w:rsidRPr="000C5C78" w:rsidRDefault="00E03E6B"/>
    <w:p w:rsidR="00157DDA" w:rsidRPr="000C5C78" w:rsidRDefault="00157DDA"/>
    <w:p w:rsidR="000C5C78" w:rsidRDefault="003F6342" w:rsidP="000C5C78">
      <w:pPr>
        <w:spacing w:line="360" w:lineRule="auto"/>
        <w:jc w:val="center"/>
        <w:rPr>
          <w:b/>
          <w:sz w:val="28"/>
          <w:szCs w:val="28"/>
        </w:rPr>
      </w:pPr>
      <w:r w:rsidRPr="000C5C78">
        <w:rPr>
          <w:b/>
          <w:sz w:val="28"/>
          <w:szCs w:val="28"/>
        </w:rPr>
        <w:lastRenderedPageBreak/>
        <w:t>Deney 1</w:t>
      </w:r>
    </w:p>
    <w:p w:rsidR="003F6342" w:rsidRDefault="003F6342" w:rsidP="000C5C78">
      <w:pPr>
        <w:spacing w:line="360" w:lineRule="auto"/>
        <w:jc w:val="center"/>
        <w:rPr>
          <w:b/>
          <w:sz w:val="28"/>
          <w:szCs w:val="28"/>
        </w:rPr>
      </w:pPr>
      <w:r w:rsidRPr="000C5C78">
        <w:rPr>
          <w:b/>
          <w:sz w:val="28"/>
          <w:szCs w:val="28"/>
        </w:rPr>
        <w:t xml:space="preserve"> </w:t>
      </w:r>
      <w:r w:rsidR="000C5C78" w:rsidRPr="000C5C78">
        <w:rPr>
          <w:b/>
          <w:sz w:val="28"/>
          <w:szCs w:val="28"/>
        </w:rPr>
        <w:t>Besleme Gerilim Düzenleri</w:t>
      </w:r>
    </w:p>
    <w:p w:rsidR="000C5C78" w:rsidRPr="000C5C78" w:rsidRDefault="000C5C78" w:rsidP="000C5C78">
      <w:pPr>
        <w:spacing w:line="360" w:lineRule="auto"/>
        <w:rPr>
          <w:b/>
        </w:rPr>
      </w:pPr>
      <w:r w:rsidRPr="000C5C78">
        <w:rPr>
          <w:b/>
        </w:rPr>
        <w:t>1.Deney</w:t>
      </w:r>
    </w:p>
    <w:p w:rsidR="000C5C78" w:rsidRDefault="000C5C78" w:rsidP="000C5C78">
      <w:pPr>
        <w:spacing w:line="360" w:lineRule="auto"/>
      </w:pPr>
      <w:r>
        <w:t xml:space="preserve">Bu deneyde bize verilen kâğıttaki pozitif beslemeler devresi kurulup S1 </w:t>
      </w:r>
      <w:proofErr w:type="spellStart"/>
      <w:r>
        <w:t>off</w:t>
      </w:r>
      <w:proofErr w:type="spellEnd"/>
      <w:r>
        <w:t xml:space="preserve"> konumuna getirilmiştir.</w:t>
      </w:r>
      <w:r w:rsidRPr="000C5C78">
        <w:t xml:space="preserve"> I</w:t>
      </w:r>
      <w:r w:rsidRPr="000C5C78">
        <w:rPr>
          <w:vertAlign w:val="subscript"/>
        </w:rPr>
        <w:t>RY</w:t>
      </w:r>
      <w:r w:rsidRPr="000C5C78">
        <w:t>(DC)</w:t>
      </w:r>
      <w:r w:rsidRPr="000C5C78">
        <w:rPr>
          <w:vertAlign w:val="subscript"/>
        </w:rPr>
        <w:t xml:space="preserve"> </w:t>
      </w:r>
      <w:r w:rsidRPr="000C5C78">
        <w:t xml:space="preserve">= 50 </w:t>
      </w:r>
      <w:proofErr w:type="spellStart"/>
      <w:r w:rsidRPr="000C5C78">
        <w:t>mA</w:t>
      </w:r>
      <w:proofErr w:type="spellEnd"/>
      <w:r w:rsidRPr="000C5C78">
        <w:t xml:space="preserve"> değerine ayarlanıp bu değer için V</w:t>
      </w:r>
      <w:r w:rsidRPr="000C5C78">
        <w:rPr>
          <w:vertAlign w:val="subscript"/>
        </w:rPr>
        <w:t>RY</w:t>
      </w:r>
      <w:r w:rsidRPr="000C5C78">
        <w:t>(DC) = 6.856V olarak ölçülmüştür</w:t>
      </w:r>
      <w:r>
        <w:t>. (V</w:t>
      </w:r>
      <w:r>
        <w:rPr>
          <w:vertAlign w:val="subscript"/>
        </w:rPr>
        <w:t>RY</w:t>
      </w:r>
      <w:r>
        <w:t xml:space="preserve"> –t)</w:t>
      </w:r>
      <w:r>
        <w:rPr>
          <w:vertAlign w:val="subscript"/>
        </w:rPr>
        <w:t xml:space="preserve">  </w:t>
      </w:r>
      <w:r>
        <w:t>ve (I</w:t>
      </w:r>
      <w:r>
        <w:rPr>
          <w:vertAlign w:val="subscript"/>
        </w:rPr>
        <w:t xml:space="preserve">RY </w:t>
      </w:r>
      <w:r>
        <w:t xml:space="preserve">–t) grafikleri protokol kâğıdına ayrıntılı bir şekilde çizilmiştir.  Anahtar açık konumda olduğu için D2 </w:t>
      </w:r>
      <w:proofErr w:type="spellStart"/>
      <w:r>
        <w:t>diyodu</w:t>
      </w:r>
      <w:proofErr w:type="spellEnd"/>
      <w:r>
        <w:t xml:space="preserve"> tıkamada çalışmıştır ve bu yüzden işaretimiz tek yollu olarak doğrultulmuştur. Yani sadece pozitif olan kısımları çıkışta olmuş negatif olan kısımlar 0 da kalmıştır.</w:t>
      </w:r>
    </w:p>
    <w:p w:rsidR="000C5C78" w:rsidRDefault="000C5C78" w:rsidP="000C5C78">
      <w:pPr>
        <w:spacing w:line="360" w:lineRule="auto"/>
      </w:pPr>
    </w:p>
    <w:p w:rsidR="000C5C78" w:rsidRPr="000C5C78" w:rsidRDefault="000C5C78" w:rsidP="000C5C78">
      <w:pPr>
        <w:spacing w:line="360" w:lineRule="auto"/>
        <w:rPr>
          <w:b/>
        </w:rPr>
      </w:pPr>
      <w:r>
        <w:rPr>
          <w:b/>
        </w:rPr>
        <w:t>2</w:t>
      </w:r>
      <w:r w:rsidRPr="000C5C78">
        <w:rPr>
          <w:b/>
        </w:rPr>
        <w:t>.Deney</w:t>
      </w:r>
    </w:p>
    <w:p w:rsidR="000C5C78" w:rsidRDefault="000C5C78" w:rsidP="000C5C78">
      <w:pPr>
        <w:spacing w:line="360" w:lineRule="auto"/>
      </w:pPr>
      <w:r>
        <w:t xml:space="preserve">1. deneyden farklı olarak sadece </w:t>
      </w:r>
      <w:r w:rsidR="00D12244">
        <w:t xml:space="preserve">S1 on konumuna </w:t>
      </w:r>
      <w:r>
        <w:t xml:space="preserve">getirilip değerler </w:t>
      </w:r>
      <w:r w:rsidR="00D12244">
        <w:t>tekrardan</w:t>
      </w:r>
      <w:r>
        <w:t xml:space="preserve"> ölçülmüştür.</w:t>
      </w:r>
    </w:p>
    <w:p w:rsidR="000C5C78" w:rsidRDefault="000C5C78" w:rsidP="000C5C78">
      <w:pPr>
        <w:spacing w:line="360" w:lineRule="auto"/>
      </w:pPr>
      <w:r>
        <w:t xml:space="preserve">Elde edilen değerler </w:t>
      </w:r>
      <w:r w:rsidRPr="00910C24">
        <w:t>I</w:t>
      </w:r>
      <w:r w:rsidRPr="00910C24">
        <w:rPr>
          <w:vertAlign w:val="subscript"/>
        </w:rPr>
        <w:t>RY</w:t>
      </w:r>
      <w:r>
        <w:t>(DC)</w:t>
      </w:r>
      <w:r w:rsidRPr="00910C24">
        <w:rPr>
          <w:vertAlign w:val="subscript"/>
        </w:rPr>
        <w:t xml:space="preserve"> </w:t>
      </w:r>
      <w:r>
        <w:t xml:space="preserve">= 98,3 </w:t>
      </w:r>
      <w:proofErr w:type="spellStart"/>
      <w:r>
        <w:t>mA</w:t>
      </w:r>
      <w:proofErr w:type="spellEnd"/>
      <w:r>
        <w:t xml:space="preserve"> ve </w:t>
      </w:r>
      <w:r w:rsidRPr="00910C24">
        <w:t>V</w:t>
      </w:r>
      <w:r w:rsidRPr="00910C24">
        <w:rPr>
          <w:vertAlign w:val="subscript"/>
        </w:rPr>
        <w:t>RY</w:t>
      </w:r>
      <w:r>
        <w:t>(DC)</w:t>
      </w:r>
      <w:r w:rsidRPr="00910C24">
        <w:t xml:space="preserve"> = </w:t>
      </w:r>
      <w:r>
        <w:t>13.69</w:t>
      </w:r>
      <w:r w:rsidRPr="00910C24">
        <w:t>V</w:t>
      </w:r>
      <w:r>
        <w:t xml:space="preserve"> </w:t>
      </w:r>
      <w:proofErr w:type="spellStart"/>
      <w:r>
        <w:t>dir</w:t>
      </w:r>
      <w:proofErr w:type="spellEnd"/>
      <w:r>
        <w:t xml:space="preserve">. Bu </w:t>
      </w:r>
      <w:r w:rsidR="00D12244">
        <w:t xml:space="preserve">devrede anahtar kapalı olduğu için D2 </w:t>
      </w:r>
      <w:proofErr w:type="spellStart"/>
      <w:r w:rsidR="00D12244">
        <w:t>diyodu</w:t>
      </w:r>
      <w:proofErr w:type="spellEnd"/>
      <w:r w:rsidR="00D12244">
        <w:t xml:space="preserve"> da D1 </w:t>
      </w:r>
      <w:proofErr w:type="spellStart"/>
      <w:r w:rsidR="00D12244">
        <w:t>diyodu</w:t>
      </w:r>
      <w:proofErr w:type="spellEnd"/>
      <w:r w:rsidR="00D12244">
        <w:t xml:space="preserve"> da iletimdedir. Elde edilip protokol </w:t>
      </w:r>
      <w:proofErr w:type="gramStart"/>
      <w:r w:rsidR="00D12244">
        <w:t>kağıdına</w:t>
      </w:r>
      <w:proofErr w:type="gramEnd"/>
      <w:r w:rsidR="00D12244">
        <w:t xml:space="preserve"> çizilen grafiklerden de anlaşılacağı üzere giriş işaretimiz çift yollu doğrultulmuştur. Yani negatif olan kısımlar pozitif olarak çıkışta gözlenmiştir.</w:t>
      </w:r>
    </w:p>
    <w:p w:rsidR="00D12244" w:rsidRDefault="00D12244" w:rsidP="000C5C78">
      <w:pPr>
        <w:spacing w:line="360" w:lineRule="auto"/>
      </w:pPr>
    </w:p>
    <w:p w:rsidR="00D12244" w:rsidRDefault="00D12244" w:rsidP="00D12244">
      <w:pPr>
        <w:spacing w:line="360" w:lineRule="auto"/>
        <w:rPr>
          <w:b/>
        </w:rPr>
      </w:pPr>
      <w:r>
        <w:rPr>
          <w:b/>
        </w:rPr>
        <w:t>3</w:t>
      </w:r>
      <w:r w:rsidRPr="000C5C78">
        <w:rPr>
          <w:b/>
        </w:rPr>
        <w:t>.Deney</w:t>
      </w:r>
    </w:p>
    <w:p w:rsidR="00D12244" w:rsidRDefault="00D12244" w:rsidP="00D12244">
      <w:pPr>
        <w:spacing w:line="360" w:lineRule="auto"/>
      </w:pPr>
      <w:r>
        <w:t>Bu deneyde de bize verilen kâğıttaki negatif beslemeler devresi kurulmuştur. 1. Deneyden tek farkı diyotların ters çevrilmesidir.</w:t>
      </w:r>
      <w:r w:rsidRPr="00D12244">
        <w:t xml:space="preserve"> </w:t>
      </w:r>
      <w:r w:rsidRPr="000C5C78">
        <w:t>I</w:t>
      </w:r>
      <w:r w:rsidRPr="000C5C78">
        <w:rPr>
          <w:vertAlign w:val="subscript"/>
        </w:rPr>
        <w:t>RY</w:t>
      </w:r>
      <w:r w:rsidRPr="000C5C78">
        <w:t>(DC)</w:t>
      </w:r>
      <w:r w:rsidRPr="000C5C78">
        <w:rPr>
          <w:vertAlign w:val="subscript"/>
        </w:rPr>
        <w:t xml:space="preserve"> </w:t>
      </w:r>
      <w:r w:rsidRPr="000C5C78">
        <w:t xml:space="preserve">= </w:t>
      </w:r>
      <w:r>
        <w:t>-</w:t>
      </w:r>
      <w:r w:rsidRPr="000C5C78">
        <w:t xml:space="preserve">50 </w:t>
      </w:r>
      <w:proofErr w:type="spellStart"/>
      <w:r w:rsidRPr="000C5C78">
        <w:t>mA</w:t>
      </w:r>
      <w:proofErr w:type="spellEnd"/>
      <w:r w:rsidRPr="000C5C78">
        <w:t xml:space="preserve"> değerine ayarlanıp bu değer için V</w:t>
      </w:r>
      <w:r w:rsidRPr="000C5C78">
        <w:rPr>
          <w:vertAlign w:val="subscript"/>
        </w:rPr>
        <w:t>RY</w:t>
      </w:r>
      <w:r w:rsidRPr="000C5C78">
        <w:t xml:space="preserve">(DC) = </w:t>
      </w:r>
      <w:r>
        <w:t>-6.888</w:t>
      </w:r>
      <w:r w:rsidRPr="000C5C78">
        <w:t>V olarak ölçülmüştür</w:t>
      </w:r>
      <w:r>
        <w:t>. (V</w:t>
      </w:r>
      <w:r>
        <w:rPr>
          <w:vertAlign w:val="subscript"/>
        </w:rPr>
        <w:t>RY</w:t>
      </w:r>
      <w:r>
        <w:t xml:space="preserve"> –t)</w:t>
      </w:r>
      <w:r>
        <w:rPr>
          <w:vertAlign w:val="subscript"/>
        </w:rPr>
        <w:t xml:space="preserve">  </w:t>
      </w:r>
      <w:r>
        <w:t>ve (I</w:t>
      </w:r>
      <w:r>
        <w:rPr>
          <w:vertAlign w:val="subscript"/>
        </w:rPr>
        <w:t xml:space="preserve">RY </w:t>
      </w:r>
      <w:r>
        <w:t xml:space="preserve">–t) grafikleri protokol kâğıdına ayrıntılı bir şekilde çizilmiştir.  Anahtar açık konumda olduğu için D2 </w:t>
      </w:r>
      <w:proofErr w:type="spellStart"/>
      <w:r>
        <w:t>diyodu</w:t>
      </w:r>
      <w:proofErr w:type="spellEnd"/>
      <w:r>
        <w:t xml:space="preserve"> tıkamada çalışmıştır ve bu yüzden işaretimiz tek yollu olarak doğrultulmuştur. Yani sadece negatif olan kısımları çıkışta olmuş pozitif olan kısımlar 0 da kalmıştır.</w:t>
      </w:r>
    </w:p>
    <w:p w:rsidR="00D12244" w:rsidRDefault="00D12244" w:rsidP="00D12244">
      <w:pPr>
        <w:spacing w:line="360" w:lineRule="auto"/>
      </w:pPr>
    </w:p>
    <w:p w:rsidR="00D12244" w:rsidRPr="000C5C78" w:rsidRDefault="00D12244" w:rsidP="00D12244">
      <w:pPr>
        <w:spacing w:line="360" w:lineRule="auto"/>
        <w:rPr>
          <w:b/>
        </w:rPr>
      </w:pPr>
      <w:r>
        <w:rPr>
          <w:b/>
        </w:rPr>
        <w:t>4</w:t>
      </w:r>
      <w:r w:rsidRPr="000C5C78">
        <w:rPr>
          <w:b/>
        </w:rPr>
        <w:t>.Deney</w:t>
      </w:r>
    </w:p>
    <w:p w:rsidR="00D12244" w:rsidRDefault="00D12244" w:rsidP="00D12244">
      <w:pPr>
        <w:spacing w:line="360" w:lineRule="auto"/>
      </w:pPr>
      <w:r>
        <w:t>3. deneyden farklı olarak sadece S1 on konumuna getirilip değerler tekrardan ölçülmüştür.</w:t>
      </w:r>
    </w:p>
    <w:p w:rsidR="00D12244" w:rsidRDefault="00D12244" w:rsidP="00D12244">
      <w:pPr>
        <w:spacing w:line="360" w:lineRule="auto"/>
      </w:pPr>
      <w:r>
        <w:t xml:space="preserve">Elde edilen değerler </w:t>
      </w:r>
      <w:r w:rsidRPr="00910C24">
        <w:t>I</w:t>
      </w:r>
      <w:r w:rsidRPr="00910C24">
        <w:rPr>
          <w:vertAlign w:val="subscript"/>
        </w:rPr>
        <w:t>RY</w:t>
      </w:r>
      <w:r>
        <w:t>(DC)</w:t>
      </w:r>
      <w:r w:rsidRPr="00910C24">
        <w:rPr>
          <w:vertAlign w:val="subscript"/>
        </w:rPr>
        <w:t xml:space="preserve"> </w:t>
      </w:r>
      <w:r>
        <w:t xml:space="preserve">= -98,487 </w:t>
      </w:r>
      <w:proofErr w:type="spellStart"/>
      <w:r>
        <w:t>mA</w:t>
      </w:r>
      <w:proofErr w:type="spellEnd"/>
      <w:r>
        <w:t xml:space="preserve"> ve </w:t>
      </w:r>
      <w:r w:rsidRPr="00910C24">
        <w:t>V</w:t>
      </w:r>
      <w:r w:rsidRPr="00910C24">
        <w:rPr>
          <w:vertAlign w:val="subscript"/>
        </w:rPr>
        <w:t>RY</w:t>
      </w:r>
      <w:r>
        <w:t>(DC)</w:t>
      </w:r>
      <w:r w:rsidRPr="00910C24">
        <w:t xml:space="preserve"> = </w:t>
      </w:r>
      <w:r>
        <w:t>-13.668</w:t>
      </w:r>
      <w:r w:rsidRPr="00910C24">
        <w:t>V</w:t>
      </w:r>
      <w:r>
        <w:t xml:space="preserve"> </w:t>
      </w:r>
      <w:proofErr w:type="spellStart"/>
      <w:r>
        <w:t>dir</w:t>
      </w:r>
      <w:proofErr w:type="spellEnd"/>
      <w:r>
        <w:t xml:space="preserve">. Bu devrede anahtar kapalı olduğu için D2 </w:t>
      </w:r>
      <w:proofErr w:type="spellStart"/>
      <w:r>
        <w:t>diyodu</w:t>
      </w:r>
      <w:proofErr w:type="spellEnd"/>
      <w:r>
        <w:t xml:space="preserve"> da D1 </w:t>
      </w:r>
      <w:proofErr w:type="spellStart"/>
      <w:r>
        <w:t>diyodu</w:t>
      </w:r>
      <w:proofErr w:type="spellEnd"/>
      <w:r>
        <w:t xml:space="preserve"> da iletimdedir. Elde edilip protokol </w:t>
      </w:r>
      <w:proofErr w:type="gramStart"/>
      <w:r>
        <w:t>kağıdına</w:t>
      </w:r>
      <w:proofErr w:type="gramEnd"/>
      <w:r>
        <w:t xml:space="preserve"> çizilen grafiklerden de anlaşılacağı üzere giriş işaretimiz çift yollu doğrultulmuştur. Yani pozitif olan kısımlar negatif olarak çıkışta gözlenmiştir.</w:t>
      </w:r>
      <w:r w:rsidRPr="00D12244">
        <w:t xml:space="preserve"> </w:t>
      </w:r>
    </w:p>
    <w:p w:rsidR="00D12244" w:rsidRDefault="00D12244" w:rsidP="00D12244">
      <w:pPr>
        <w:spacing w:line="360" w:lineRule="auto"/>
      </w:pPr>
    </w:p>
    <w:p w:rsidR="00D12244" w:rsidRDefault="00D12244" w:rsidP="00D12244">
      <w:pPr>
        <w:spacing w:line="360" w:lineRule="auto"/>
        <w:rPr>
          <w:b/>
        </w:rPr>
      </w:pPr>
      <w:r w:rsidRPr="00D12244">
        <w:rPr>
          <w:b/>
        </w:rPr>
        <w:lastRenderedPageBreak/>
        <w:t xml:space="preserve">5. Deney </w:t>
      </w:r>
    </w:p>
    <w:p w:rsidR="00D12244" w:rsidRDefault="00D12244" w:rsidP="00D12244">
      <w:pPr>
        <w:spacing w:line="360" w:lineRule="auto"/>
      </w:pPr>
      <w:r>
        <w:t xml:space="preserve">Bu deneyde de verilmiş olan </w:t>
      </w:r>
      <w:proofErr w:type="gramStart"/>
      <w:r>
        <w:t>kağıttaki</w:t>
      </w:r>
      <w:proofErr w:type="gramEnd"/>
      <w:r>
        <w:t xml:space="preserve"> pozitif </w:t>
      </w:r>
      <w:proofErr w:type="spellStart"/>
      <w:r>
        <w:t>regüle</w:t>
      </w:r>
      <w:proofErr w:type="spellEnd"/>
      <w:r>
        <w:t xml:space="preserve"> besleme devresi kurulmuştur. İlk başta </w:t>
      </w:r>
      <w:proofErr w:type="gramStart"/>
      <w:r w:rsidRPr="00D12244">
        <w:t>C</w:t>
      </w:r>
      <w:r w:rsidRPr="00D12244">
        <w:rPr>
          <w:vertAlign w:val="subscript"/>
        </w:rPr>
        <w:t>F</w:t>
      </w:r>
      <w:r>
        <w:rPr>
          <w:vertAlign w:val="subscript"/>
        </w:rPr>
        <w:t xml:space="preserve">  </w:t>
      </w:r>
      <w:r>
        <w:t>devrede</w:t>
      </w:r>
      <w:proofErr w:type="gramEnd"/>
      <w:r>
        <w:t xml:space="preserve"> yokken </w:t>
      </w:r>
      <w:r w:rsidRPr="00910C24">
        <w:t>I</w:t>
      </w:r>
      <w:r>
        <w:rPr>
          <w:vertAlign w:val="subscript"/>
        </w:rPr>
        <w:t>RY</w:t>
      </w:r>
      <w:r>
        <w:t xml:space="preserve"> (DC)</w:t>
      </w:r>
      <w:r>
        <w:rPr>
          <w:vertAlign w:val="subscript"/>
        </w:rPr>
        <w:t xml:space="preserve">  </w:t>
      </w:r>
      <w:r>
        <w:t xml:space="preserve">= 100mA olarak ayarlanmıştır ve </w:t>
      </w:r>
      <w:r w:rsidRPr="00910C24">
        <w:t>V</w:t>
      </w:r>
      <w:r w:rsidRPr="00910C24">
        <w:rPr>
          <w:vertAlign w:val="subscript"/>
        </w:rPr>
        <w:t>RY</w:t>
      </w:r>
      <w:r>
        <w:t>(DC)</w:t>
      </w:r>
      <w:r w:rsidRPr="00910C24">
        <w:t xml:space="preserve"> = </w:t>
      </w:r>
      <w:r>
        <w:t>8.287</w:t>
      </w:r>
      <w:r w:rsidRPr="00910C24">
        <w:t>V</w:t>
      </w:r>
      <w:r>
        <w:t xml:space="preserve"> olarak ölçülmüştür. (V</w:t>
      </w:r>
      <w:r>
        <w:rPr>
          <w:vertAlign w:val="subscript"/>
        </w:rPr>
        <w:t>İ</w:t>
      </w:r>
      <w:r>
        <w:t xml:space="preserve"> –t)</w:t>
      </w:r>
      <w:r>
        <w:rPr>
          <w:vertAlign w:val="subscript"/>
        </w:rPr>
        <w:t xml:space="preserve">  </w:t>
      </w:r>
      <w:r>
        <w:t>ve (V</w:t>
      </w:r>
      <w:r>
        <w:rPr>
          <w:vertAlign w:val="subscript"/>
        </w:rPr>
        <w:t xml:space="preserve">RY </w:t>
      </w:r>
      <w:r>
        <w:t xml:space="preserve">–t) grafikleri protokol </w:t>
      </w:r>
      <w:proofErr w:type="gramStart"/>
      <w:r>
        <w:t>kağıdına</w:t>
      </w:r>
      <w:proofErr w:type="gramEnd"/>
      <w:r>
        <w:t xml:space="preserve"> ayrıntılı bir biçimde işlenmiştir.</w:t>
      </w:r>
      <w:r w:rsidR="004B4384">
        <w:t xml:space="preserve"> V</w:t>
      </w:r>
      <w:r w:rsidR="004B4384">
        <w:rPr>
          <w:vertAlign w:val="subscript"/>
        </w:rPr>
        <w:t>İ</w:t>
      </w:r>
      <w:r w:rsidR="004B4384">
        <w:t xml:space="preserve"> için,D1 ve D2 diyotları iletimde olduğu için pozitif çift yollu kutuplanmış işaret elde edilmiştir.</w:t>
      </w:r>
      <w:r w:rsidR="004B4384" w:rsidRPr="004B4384">
        <w:t xml:space="preserve"> </w:t>
      </w:r>
      <w:r w:rsidR="004B4384">
        <w:t>V</w:t>
      </w:r>
      <w:r w:rsidR="004B4384">
        <w:rPr>
          <w:vertAlign w:val="subscript"/>
        </w:rPr>
        <w:t>RY</w:t>
      </w:r>
      <w:r w:rsidR="004B4384">
        <w:t xml:space="preserve"> değeri ise 10,1V’da </w:t>
      </w:r>
      <w:proofErr w:type="spellStart"/>
      <w:r w:rsidR="004B4384">
        <w:t>zener</w:t>
      </w:r>
      <w:proofErr w:type="spellEnd"/>
      <w:r w:rsidR="004B4384">
        <w:t xml:space="preserve"> diyottan dolayı kırpılmaya uğramıştır.</w:t>
      </w:r>
    </w:p>
    <w:p w:rsidR="004B4384" w:rsidRDefault="004B4384" w:rsidP="00D12244">
      <w:pPr>
        <w:spacing w:line="360" w:lineRule="auto"/>
      </w:pPr>
    </w:p>
    <w:p w:rsidR="004B4384" w:rsidRDefault="004B4384" w:rsidP="00D12244">
      <w:pPr>
        <w:spacing w:line="360" w:lineRule="auto"/>
        <w:rPr>
          <w:b/>
        </w:rPr>
      </w:pPr>
      <w:r w:rsidRPr="004B4384">
        <w:rPr>
          <w:b/>
        </w:rPr>
        <w:t>6. Deney</w:t>
      </w:r>
      <w:r>
        <w:rPr>
          <w:b/>
        </w:rPr>
        <w:t xml:space="preserve"> </w:t>
      </w:r>
    </w:p>
    <w:p w:rsidR="004B4384" w:rsidRDefault="004B4384" w:rsidP="00D12244">
      <w:pPr>
        <w:spacing w:line="360" w:lineRule="auto"/>
      </w:pPr>
      <w:r>
        <w:t xml:space="preserve">5. deneyden farklı olarak devreye </w:t>
      </w:r>
      <w:r w:rsidRPr="004B4384">
        <w:t>CF = 470 µF</w:t>
      </w:r>
      <w:r>
        <w:t xml:space="preserve"> kapasitesi eklenmiştir. Grafiklerimizin 5. Deneyden farklı olmasının sebebi devreye kapasite bağlamış olmamızdır. Kapasite dolup boşaldığı için ve devredeki </w:t>
      </w:r>
      <w:proofErr w:type="spellStart"/>
      <w:r>
        <w:t>zener</w:t>
      </w:r>
      <w:proofErr w:type="spellEnd"/>
      <w:r>
        <w:t xml:space="preserve"> diyotla beraber olduğu için V</w:t>
      </w:r>
      <w:r>
        <w:rPr>
          <w:vertAlign w:val="subscript"/>
        </w:rPr>
        <w:t xml:space="preserve">İ </w:t>
      </w:r>
      <w:r>
        <w:t>değeri DC 11V olarak ölçülmüştür. V</w:t>
      </w:r>
      <w:r>
        <w:rPr>
          <w:vertAlign w:val="subscript"/>
        </w:rPr>
        <w:t xml:space="preserve">RY </w:t>
      </w:r>
      <w:r>
        <w:t>değeri ise sıfıra hiç düşmeden 20V ile 22V arasında salınım yapmaktadır.</w:t>
      </w:r>
    </w:p>
    <w:p w:rsidR="004B4384" w:rsidRDefault="004B4384" w:rsidP="00D12244">
      <w:pPr>
        <w:spacing w:line="360" w:lineRule="auto"/>
      </w:pPr>
    </w:p>
    <w:p w:rsidR="004B4384" w:rsidRDefault="004B4384" w:rsidP="00D12244">
      <w:pPr>
        <w:spacing w:line="360" w:lineRule="auto"/>
        <w:rPr>
          <w:b/>
        </w:rPr>
      </w:pPr>
      <w:r w:rsidRPr="004B4384">
        <w:rPr>
          <w:b/>
        </w:rPr>
        <w:t>7.Deney</w:t>
      </w:r>
    </w:p>
    <w:p w:rsidR="004B4384" w:rsidRDefault="004B4384" w:rsidP="00D12244">
      <w:pPr>
        <w:spacing w:line="360" w:lineRule="auto"/>
      </w:pPr>
      <w:r>
        <w:t xml:space="preserve">6. deneyden farklı olarak devreye </w:t>
      </w:r>
      <w:r w:rsidRPr="004B4384">
        <w:t>CF = 470</w:t>
      </w:r>
      <w:r>
        <w:t>0</w:t>
      </w:r>
      <w:r w:rsidRPr="004B4384">
        <w:t xml:space="preserve"> µF</w:t>
      </w:r>
      <w:r>
        <w:t xml:space="preserve"> kapasitesi eklenmiştir. Grafiklerimizin 6. Deneyden farklı olmasının sebebi ise devreye bağlamış olduğumuz kapasitenin kapasitesinin daha yüksek ol</w:t>
      </w:r>
      <w:r w:rsidR="0015584A">
        <w:t>m</w:t>
      </w:r>
      <w:r>
        <w:t>asıdır bu yüzden V</w:t>
      </w:r>
      <w:r>
        <w:rPr>
          <w:vertAlign w:val="subscript"/>
        </w:rPr>
        <w:t xml:space="preserve">RY </w:t>
      </w:r>
      <w:r>
        <w:t>değeri daha az salınım yapmıştır. V</w:t>
      </w:r>
      <w:r>
        <w:rPr>
          <w:vertAlign w:val="subscript"/>
        </w:rPr>
        <w:t xml:space="preserve">RY </w:t>
      </w:r>
      <w:r>
        <w:t>değerleri 20 V ile 20,25 V arasında salınım yapmaktadır</w:t>
      </w:r>
      <w:r w:rsidR="0015584A">
        <w:t>. Eğer daha büyük değerli bir kapasite bağlanırsa V</w:t>
      </w:r>
      <w:r w:rsidR="0015584A">
        <w:rPr>
          <w:vertAlign w:val="subscript"/>
        </w:rPr>
        <w:t xml:space="preserve">RY </w:t>
      </w:r>
      <w:r w:rsidR="0015584A">
        <w:t>işaretinin daha da DC olacağı gözlenebilir. V</w:t>
      </w:r>
      <w:r w:rsidR="0015584A">
        <w:rPr>
          <w:vertAlign w:val="subscript"/>
        </w:rPr>
        <w:t xml:space="preserve">İ </w:t>
      </w:r>
      <w:r w:rsidR="0015584A">
        <w:t>değerinde ise bir değişiklik olmadığı protokol kâğıdına geçirdiğimiz grafiklerden anlaşılmaktadır.</w:t>
      </w:r>
    </w:p>
    <w:p w:rsidR="0015584A" w:rsidRDefault="0015584A" w:rsidP="00D12244">
      <w:pPr>
        <w:spacing w:line="360" w:lineRule="auto"/>
      </w:pPr>
    </w:p>
    <w:p w:rsidR="0015584A" w:rsidRDefault="0015584A" w:rsidP="00D12244">
      <w:pPr>
        <w:spacing w:line="360" w:lineRule="auto"/>
        <w:rPr>
          <w:b/>
        </w:rPr>
      </w:pPr>
      <w:r w:rsidRPr="0015584A">
        <w:rPr>
          <w:b/>
        </w:rPr>
        <w:t>8.Deney</w:t>
      </w:r>
    </w:p>
    <w:p w:rsidR="0015584A" w:rsidRPr="0015584A" w:rsidRDefault="0015584A" w:rsidP="00D12244">
      <w:pPr>
        <w:spacing w:line="360" w:lineRule="auto"/>
      </w:pPr>
      <w:r>
        <w:t>C</w:t>
      </w:r>
      <w:r>
        <w:rPr>
          <w:vertAlign w:val="subscript"/>
        </w:rPr>
        <w:t>F</w:t>
      </w:r>
      <w:r>
        <w:t xml:space="preserve"> = 4700</w:t>
      </w:r>
      <w:r w:rsidRPr="0015584A">
        <w:t xml:space="preserve"> </w:t>
      </w:r>
      <w:r w:rsidRPr="004B4384">
        <w:t>µF</w:t>
      </w:r>
      <w:r>
        <w:t xml:space="preserve"> için devrenin iç direnci ölçülmüştür.</w:t>
      </w:r>
    </w:p>
    <w:p w:rsidR="0015584A" w:rsidRPr="0015584A" w:rsidRDefault="0015584A" w:rsidP="0015584A">
      <w:pPr>
        <w:spacing w:line="360" w:lineRule="auto"/>
      </w:pPr>
      <w:r w:rsidRPr="0015584A">
        <w:t>Aşağıdaki tabloya göre I</w:t>
      </w:r>
      <w:r w:rsidRPr="0015584A">
        <w:rPr>
          <w:vertAlign w:val="subscript"/>
        </w:rPr>
        <w:t xml:space="preserve">RY </w:t>
      </w:r>
      <w:r w:rsidRPr="0015584A">
        <w:t>(DC) değerleri ayarlanmış ve buna karşılık gelen V</w:t>
      </w:r>
      <w:r w:rsidRPr="0015584A">
        <w:rPr>
          <w:vertAlign w:val="subscript"/>
        </w:rPr>
        <w:t xml:space="preserve">RY </w:t>
      </w:r>
      <w:r w:rsidRPr="0015584A">
        <w:t>(DC) değerleri ölçülüp tabloya işlenmiştir.</w:t>
      </w:r>
    </w:p>
    <w:tbl>
      <w:tblPr>
        <w:tblStyle w:val="TabloKlavuzu"/>
        <w:tblW w:w="8962" w:type="dxa"/>
        <w:tblInd w:w="360" w:type="dxa"/>
        <w:tblLayout w:type="fixed"/>
        <w:tblLook w:val="04A0"/>
      </w:tblPr>
      <w:tblGrid>
        <w:gridCol w:w="1591"/>
        <w:gridCol w:w="964"/>
        <w:gridCol w:w="1304"/>
        <w:gridCol w:w="1276"/>
        <w:gridCol w:w="1276"/>
        <w:gridCol w:w="1275"/>
        <w:gridCol w:w="1276"/>
      </w:tblGrid>
      <w:tr w:rsidR="0015584A" w:rsidRPr="0015584A" w:rsidTr="00D402EB">
        <w:tc>
          <w:tcPr>
            <w:tcW w:w="1591" w:type="dxa"/>
          </w:tcPr>
          <w:p w:rsidR="0015584A" w:rsidRPr="0015584A" w:rsidRDefault="0015584A" w:rsidP="0015584A">
            <w:pPr>
              <w:spacing w:line="360" w:lineRule="auto"/>
              <w:rPr>
                <w:vertAlign w:val="subscript"/>
              </w:rPr>
            </w:pPr>
            <w:r w:rsidRPr="0015584A">
              <w:t>I</w:t>
            </w:r>
            <w:r w:rsidRPr="0015584A">
              <w:rPr>
                <w:vertAlign w:val="subscript"/>
              </w:rPr>
              <w:t xml:space="preserve">RY </w:t>
            </w:r>
            <w:r w:rsidRPr="0015584A">
              <w:t xml:space="preserve">(DC) </w:t>
            </w:r>
            <w:proofErr w:type="spellStart"/>
            <w:r w:rsidRPr="0015584A">
              <w:t>mA</w:t>
            </w:r>
            <w:proofErr w:type="spellEnd"/>
          </w:p>
        </w:tc>
        <w:tc>
          <w:tcPr>
            <w:tcW w:w="964" w:type="dxa"/>
          </w:tcPr>
          <w:p w:rsidR="0015584A" w:rsidRPr="0015584A" w:rsidRDefault="0015584A" w:rsidP="0015584A">
            <w:pPr>
              <w:spacing w:line="360" w:lineRule="auto"/>
            </w:pPr>
            <w:r w:rsidRPr="0015584A">
              <w:t>50</w:t>
            </w:r>
          </w:p>
        </w:tc>
        <w:tc>
          <w:tcPr>
            <w:tcW w:w="1304" w:type="dxa"/>
          </w:tcPr>
          <w:p w:rsidR="0015584A" w:rsidRPr="0015584A" w:rsidRDefault="0015584A" w:rsidP="0015584A">
            <w:pPr>
              <w:spacing w:line="360" w:lineRule="auto"/>
            </w:pPr>
            <w:r w:rsidRPr="0015584A">
              <w:t>60</w:t>
            </w:r>
          </w:p>
        </w:tc>
        <w:tc>
          <w:tcPr>
            <w:tcW w:w="1276" w:type="dxa"/>
          </w:tcPr>
          <w:p w:rsidR="0015584A" w:rsidRPr="0015584A" w:rsidRDefault="0015584A" w:rsidP="0015584A">
            <w:pPr>
              <w:spacing w:line="360" w:lineRule="auto"/>
            </w:pPr>
            <w:r w:rsidRPr="0015584A">
              <w:t>70</w:t>
            </w:r>
          </w:p>
        </w:tc>
        <w:tc>
          <w:tcPr>
            <w:tcW w:w="1276" w:type="dxa"/>
          </w:tcPr>
          <w:p w:rsidR="0015584A" w:rsidRPr="0015584A" w:rsidRDefault="0015584A" w:rsidP="0015584A">
            <w:pPr>
              <w:spacing w:line="360" w:lineRule="auto"/>
            </w:pPr>
            <w:r w:rsidRPr="0015584A">
              <w:t>80</w:t>
            </w:r>
          </w:p>
        </w:tc>
        <w:tc>
          <w:tcPr>
            <w:tcW w:w="1275" w:type="dxa"/>
          </w:tcPr>
          <w:p w:rsidR="0015584A" w:rsidRPr="0015584A" w:rsidRDefault="0015584A" w:rsidP="0015584A">
            <w:pPr>
              <w:spacing w:line="360" w:lineRule="auto"/>
            </w:pPr>
            <w:r w:rsidRPr="0015584A">
              <w:t>90</w:t>
            </w:r>
          </w:p>
        </w:tc>
        <w:tc>
          <w:tcPr>
            <w:tcW w:w="1276" w:type="dxa"/>
          </w:tcPr>
          <w:p w:rsidR="0015584A" w:rsidRPr="0015584A" w:rsidRDefault="0015584A" w:rsidP="0015584A">
            <w:pPr>
              <w:spacing w:line="360" w:lineRule="auto"/>
            </w:pPr>
            <w:r w:rsidRPr="0015584A">
              <w:t>100</w:t>
            </w:r>
          </w:p>
        </w:tc>
      </w:tr>
      <w:tr w:rsidR="0015584A" w:rsidRPr="0015584A" w:rsidTr="00D402EB">
        <w:tc>
          <w:tcPr>
            <w:tcW w:w="1591" w:type="dxa"/>
          </w:tcPr>
          <w:p w:rsidR="0015584A" w:rsidRPr="0015584A" w:rsidRDefault="0015584A" w:rsidP="0015584A">
            <w:pPr>
              <w:spacing w:line="360" w:lineRule="auto"/>
              <w:rPr>
                <w:vertAlign w:val="subscript"/>
              </w:rPr>
            </w:pPr>
            <w:r w:rsidRPr="0015584A">
              <w:t>V</w:t>
            </w:r>
            <w:r w:rsidRPr="0015584A">
              <w:rPr>
                <w:vertAlign w:val="subscript"/>
              </w:rPr>
              <w:t xml:space="preserve">RY </w:t>
            </w:r>
            <w:r w:rsidRPr="0015584A">
              <w:t xml:space="preserve">(DC) </w:t>
            </w:r>
            <w:proofErr w:type="spellStart"/>
            <w:r w:rsidRPr="0015584A">
              <w:t>mV</w:t>
            </w:r>
            <w:proofErr w:type="spellEnd"/>
          </w:p>
        </w:tc>
        <w:tc>
          <w:tcPr>
            <w:tcW w:w="964" w:type="dxa"/>
          </w:tcPr>
          <w:p w:rsidR="0015584A" w:rsidRPr="0015584A" w:rsidRDefault="0015584A" w:rsidP="0015584A">
            <w:pPr>
              <w:spacing w:line="360" w:lineRule="auto"/>
            </w:pPr>
            <w:r w:rsidRPr="0015584A">
              <w:t>13,148</w:t>
            </w:r>
          </w:p>
        </w:tc>
        <w:tc>
          <w:tcPr>
            <w:tcW w:w="1304" w:type="dxa"/>
          </w:tcPr>
          <w:p w:rsidR="0015584A" w:rsidRPr="0015584A" w:rsidRDefault="0015584A" w:rsidP="0015584A">
            <w:pPr>
              <w:spacing w:line="360" w:lineRule="auto"/>
            </w:pPr>
            <w:r w:rsidRPr="0015584A">
              <w:t>13,227</w:t>
            </w:r>
          </w:p>
        </w:tc>
        <w:tc>
          <w:tcPr>
            <w:tcW w:w="1276" w:type="dxa"/>
          </w:tcPr>
          <w:p w:rsidR="0015584A" w:rsidRPr="0015584A" w:rsidRDefault="0015584A" w:rsidP="0015584A">
            <w:pPr>
              <w:spacing w:line="360" w:lineRule="auto"/>
            </w:pPr>
            <w:r w:rsidRPr="0015584A">
              <w:t>12,983</w:t>
            </w:r>
          </w:p>
        </w:tc>
        <w:tc>
          <w:tcPr>
            <w:tcW w:w="1276" w:type="dxa"/>
          </w:tcPr>
          <w:p w:rsidR="0015584A" w:rsidRPr="0015584A" w:rsidRDefault="0015584A" w:rsidP="0015584A">
            <w:pPr>
              <w:spacing w:line="360" w:lineRule="auto"/>
            </w:pPr>
            <w:r w:rsidRPr="0015584A">
              <w:t>12,732</w:t>
            </w:r>
          </w:p>
        </w:tc>
        <w:tc>
          <w:tcPr>
            <w:tcW w:w="1275" w:type="dxa"/>
          </w:tcPr>
          <w:p w:rsidR="0015584A" w:rsidRPr="0015584A" w:rsidRDefault="0015584A" w:rsidP="0015584A">
            <w:pPr>
              <w:spacing w:line="360" w:lineRule="auto"/>
            </w:pPr>
            <w:r w:rsidRPr="0015584A">
              <w:t>12,511</w:t>
            </w:r>
          </w:p>
        </w:tc>
        <w:tc>
          <w:tcPr>
            <w:tcW w:w="1276" w:type="dxa"/>
          </w:tcPr>
          <w:p w:rsidR="0015584A" w:rsidRPr="0015584A" w:rsidRDefault="0015584A" w:rsidP="0015584A">
            <w:pPr>
              <w:spacing w:line="360" w:lineRule="auto"/>
            </w:pPr>
            <w:r w:rsidRPr="0015584A">
              <w:t>12,270</w:t>
            </w:r>
          </w:p>
        </w:tc>
      </w:tr>
    </w:tbl>
    <w:p w:rsidR="0015584A" w:rsidRPr="0015584A" w:rsidRDefault="0015584A" w:rsidP="0015584A">
      <w:pPr>
        <w:spacing w:line="360" w:lineRule="auto"/>
        <w:rPr>
          <w:vertAlign w:val="subscript"/>
        </w:rPr>
      </w:pPr>
    </w:p>
    <w:p w:rsidR="0015584A" w:rsidRPr="0015584A" w:rsidRDefault="0015584A" w:rsidP="0015584A">
      <w:pPr>
        <w:spacing w:line="360" w:lineRule="auto"/>
      </w:pPr>
      <w:r w:rsidRPr="0015584A">
        <w:rPr>
          <w:vertAlign w:val="subscript"/>
        </w:rPr>
        <w:t xml:space="preserve"> </w:t>
      </w:r>
      <w:proofErr w:type="spellStart"/>
      <w:r w:rsidRPr="0015584A">
        <w:t>R</w:t>
      </w:r>
      <w:r w:rsidRPr="0015584A">
        <w:rPr>
          <w:vertAlign w:val="subscript"/>
        </w:rPr>
        <w:t>g</w:t>
      </w:r>
      <w:proofErr w:type="spellEnd"/>
      <w:r w:rsidRPr="0015584A">
        <w:t xml:space="preserve"> = |∆V/∆I| = 23,69Ω olarak hesaplanmıştır</w:t>
      </w:r>
    </w:p>
    <w:p w:rsidR="00D12244" w:rsidRPr="00D12244" w:rsidRDefault="00D12244" w:rsidP="00D12244">
      <w:pPr>
        <w:spacing w:line="360" w:lineRule="auto"/>
      </w:pPr>
    </w:p>
    <w:p w:rsidR="00D12244" w:rsidRDefault="00D12244" w:rsidP="000C5C78">
      <w:pPr>
        <w:spacing w:line="360" w:lineRule="auto"/>
      </w:pPr>
    </w:p>
    <w:p w:rsidR="000C5C78" w:rsidRPr="000C5C78" w:rsidRDefault="000C5C78" w:rsidP="000C5C78">
      <w:pPr>
        <w:spacing w:line="288" w:lineRule="auto"/>
      </w:pPr>
    </w:p>
    <w:sectPr w:rsidR="000C5C78" w:rsidRPr="000C5C78" w:rsidSect="00D76917"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709" w:footer="90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660" w:rsidRDefault="006B6660">
      <w:r>
        <w:separator/>
      </w:r>
    </w:p>
  </w:endnote>
  <w:endnote w:type="continuationSeparator" w:id="0">
    <w:p w:rsidR="006B6660" w:rsidRDefault="006B66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45E" w:rsidRDefault="00055C00" w:rsidP="00785D13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9F545E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9F545E" w:rsidRDefault="009F545E" w:rsidP="00785D13">
    <w:pPr>
      <w:pStyle w:val="Altbilgi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45E" w:rsidRPr="00790F10" w:rsidRDefault="00C94BF3" w:rsidP="00785D13">
    <w:pPr>
      <w:pStyle w:val="Altbilgi"/>
      <w:ind w:right="360"/>
      <w:rPr>
        <w:sz w:val="16"/>
        <w:szCs w:val="16"/>
        <w:lang w:val="en-GB"/>
      </w:rPr>
    </w:pPr>
    <w:proofErr w:type="spellStart"/>
    <w:r>
      <w:rPr>
        <w:sz w:val="16"/>
        <w:szCs w:val="16"/>
        <w:lang w:val="en-GB"/>
      </w:rPr>
      <w:t>Elektronik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ve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Haberleşme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Mühendisliği</w:t>
    </w:r>
    <w:proofErr w:type="spellEnd"/>
  </w:p>
  <w:p w:rsidR="009F545E" w:rsidRPr="00790F10" w:rsidRDefault="009F545E" w:rsidP="00790F10">
    <w:pPr>
      <w:pStyle w:val="Altbilgi"/>
      <w:jc w:val="center"/>
      <w:rPr>
        <w:spacing w:val="100"/>
        <w:sz w:val="16"/>
        <w:szCs w:val="16"/>
        <w:lang w:val="en-GB"/>
      </w:rPr>
    </w:pPr>
    <w:smartTag w:uri="urn:schemas-microsoft-com:office:smarttags" w:element="City">
      <w:smartTag w:uri="urn:schemas-microsoft-com:office:smarttags" w:element="place">
        <w:r w:rsidRPr="00790F10">
          <w:rPr>
            <w:spacing w:val="100"/>
            <w:sz w:val="16"/>
            <w:szCs w:val="16"/>
            <w:lang w:val="en-GB"/>
          </w:rPr>
          <w:t>Istanbul</w:t>
        </w:r>
      </w:smartTag>
    </w:smartTag>
    <w:r w:rsidRPr="00790F10">
      <w:rPr>
        <w:spacing w:val="100"/>
        <w:sz w:val="16"/>
        <w:szCs w:val="16"/>
        <w:lang w:val="en-GB"/>
      </w:rPr>
      <w:t xml:space="preserve"> </w:t>
    </w:r>
    <w:proofErr w:type="spellStart"/>
    <w:r w:rsidRPr="00790F10">
      <w:rPr>
        <w:spacing w:val="100"/>
        <w:sz w:val="16"/>
        <w:szCs w:val="16"/>
        <w:lang w:val="en-GB"/>
      </w:rPr>
      <w:t>Te</w:t>
    </w:r>
    <w:r>
      <w:rPr>
        <w:spacing w:val="100"/>
        <w:sz w:val="16"/>
        <w:szCs w:val="16"/>
        <w:lang w:val="en-GB"/>
      </w:rPr>
      <w:t>knik</w:t>
    </w:r>
    <w:proofErr w:type="spellEnd"/>
    <w:r w:rsidRPr="00790F10">
      <w:rPr>
        <w:spacing w:val="100"/>
        <w:sz w:val="16"/>
        <w:szCs w:val="16"/>
        <w:lang w:val="en-GB"/>
      </w:rPr>
      <w:t xml:space="preserve"> </w:t>
    </w:r>
    <w:proofErr w:type="spellStart"/>
    <w:r w:rsidRPr="00790F10">
      <w:rPr>
        <w:spacing w:val="100"/>
        <w:sz w:val="16"/>
        <w:szCs w:val="16"/>
        <w:lang w:val="en-GB"/>
      </w:rPr>
      <w:t>Universit</w:t>
    </w:r>
    <w:r>
      <w:rPr>
        <w:spacing w:val="100"/>
        <w:sz w:val="16"/>
        <w:szCs w:val="16"/>
        <w:lang w:val="en-GB"/>
      </w:rPr>
      <w:t>esi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660" w:rsidRDefault="006B6660">
      <w:r>
        <w:separator/>
      </w:r>
    </w:p>
  </w:footnote>
  <w:footnote w:type="continuationSeparator" w:id="0">
    <w:p w:rsidR="006B6660" w:rsidRDefault="006B66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992" w:rsidRPr="009B42C0" w:rsidRDefault="003156B4" w:rsidP="009D0992">
    <w:pPr>
      <w:jc w:val="center"/>
      <w:rPr>
        <w:sz w:val="32"/>
        <w:szCs w:val="32"/>
        <w:lang w:val="en-GB"/>
      </w:rPr>
    </w:pPr>
    <w:r>
      <w:rPr>
        <w:sz w:val="32"/>
        <w:szCs w:val="32"/>
        <w:lang w:val="en-GB"/>
      </w:rPr>
      <w:t xml:space="preserve">ELEKTRONİĞE GİRİŞ </w:t>
    </w:r>
    <w:proofErr w:type="spellStart"/>
    <w:r>
      <w:rPr>
        <w:sz w:val="32"/>
        <w:szCs w:val="32"/>
        <w:lang w:val="en-GB"/>
      </w:rPr>
      <w:t>ve</w:t>
    </w:r>
    <w:proofErr w:type="spellEnd"/>
    <w:r>
      <w:rPr>
        <w:sz w:val="32"/>
        <w:szCs w:val="32"/>
        <w:lang w:val="en-GB"/>
      </w:rPr>
      <w:t xml:space="preserve"> ANALOG ELEKTRONİK</w:t>
    </w:r>
    <w:r w:rsidR="009D0992" w:rsidRPr="009B42C0">
      <w:rPr>
        <w:sz w:val="32"/>
        <w:szCs w:val="32"/>
        <w:lang w:val="en-GB"/>
      </w:rPr>
      <w:t xml:space="preserve"> </w:t>
    </w:r>
    <w:r w:rsidR="00AB4691">
      <w:rPr>
        <w:sz w:val="32"/>
        <w:szCs w:val="32"/>
        <w:lang w:val="en-GB"/>
      </w:rPr>
      <w:t>LABORATU</w:t>
    </w:r>
    <w:r w:rsidR="00C94BF3">
      <w:rPr>
        <w:sz w:val="32"/>
        <w:szCs w:val="32"/>
        <w:lang w:val="en-GB"/>
      </w:rPr>
      <w:t>V</w:t>
    </w:r>
    <w:r w:rsidR="00AB4691">
      <w:rPr>
        <w:sz w:val="32"/>
        <w:szCs w:val="32"/>
        <w:lang w:val="en-GB"/>
      </w:rPr>
      <w:t>ARLARI</w:t>
    </w:r>
  </w:p>
  <w:p w:rsidR="009D0992" w:rsidRDefault="009D0992">
    <w:pPr>
      <w:pStyle w:val="stbilgi"/>
    </w:pPr>
  </w:p>
  <w:p w:rsidR="009D0992" w:rsidRDefault="009D0992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77C3A"/>
    <w:multiLevelType w:val="hybridMultilevel"/>
    <w:tmpl w:val="FEA8FFC8"/>
    <w:lvl w:ilvl="0" w:tplc="CB7AA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323DA"/>
    <w:multiLevelType w:val="hybridMultilevel"/>
    <w:tmpl w:val="0D3060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stylePaneFormatFilter w:val="3F01"/>
  <w:defaultTabStop w:val="708"/>
  <w:hyphenationZone w:val="425"/>
  <w:drawingGridHorizontalSpacing w:val="68"/>
  <w:drawingGridVerticalSpacing w:val="6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2E8"/>
    <w:rsid w:val="00011CA1"/>
    <w:rsid w:val="00015795"/>
    <w:rsid w:val="00021F0E"/>
    <w:rsid w:val="000257F6"/>
    <w:rsid w:val="00055C00"/>
    <w:rsid w:val="0008295E"/>
    <w:rsid w:val="0009092A"/>
    <w:rsid w:val="000C5C78"/>
    <w:rsid w:val="000F3BE5"/>
    <w:rsid w:val="001456D5"/>
    <w:rsid w:val="0015584A"/>
    <w:rsid w:val="00157DDA"/>
    <w:rsid w:val="00195DE9"/>
    <w:rsid w:val="00197CA7"/>
    <w:rsid w:val="001D4C74"/>
    <w:rsid w:val="00211F71"/>
    <w:rsid w:val="00216BED"/>
    <w:rsid w:val="00225FF5"/>
    <w:rsid w:val="002350C8"/>
    <w:rsid w:val="00245D3F"/>
    <w:rsid w:val="00295248"/>
    <w:rsid w:val="002B7A4F"/>
    <w:rsid w:val="002C202E"/>
    <w:rsid w:val="00306E24"/>
    <w:rsid w:val="00310B09"/>
    <w:rsid w:val="003154D0"/>
    <w:rsid w:val="003156B4"/>
    <w:rsid w:val="00337DA6"/>
    <w:rsid w:val="0034631C"/>
    <w:rsid w:val="00356548"/>
    <w:rsid w:val="0039222A"/>
    <w:rsid w:val="003D1035"/>
    <w:rsid w:val="003F6342"/>
    <w:rsid w:val="004026E5"/>
    <w:rsid w:val="0040503B"/>
    <w:rsid w:val="00431240"/>
    <w:rsid w:val="004405DE"/>
    <w:rsid w:val="00467671"/>
    <w:rsid w:val="0049167A"/>
    <w:rsid w:val="004B4384"/>
    <w:rsid w:val="004C623F"/>
    <w:rsid w:val="004D3601"/>
    <w:rsid w:val="00572252"/>
    <w:rsid w:val="005A745F"/>
    <w:rsid w:val="005B036B"/>
    <w:rsid w:val="005B1367"/>
    <w:rsid w:val="005D1306"/>
    <w:rsid w:val="00604AA4"/>
    <w:rsid w:val="006331BD"/>
    <w:rsid w:val="00634706"/>
    <w:rsid w:val="0063611F"/>
    <w:rsid w:val="0063731D"/>
    <w:rsid w:val="006445E2"/>
    <w:rsid w:val="0066048B"/>
    <w:rsid w:val="00663FA9"/>
    <w:rsid w:val="00671AA1"/>
    <w:rsid w:val="00677183"/>
    <w:rsid w:val="006805D6"/>
    <w:rsid w:val="00682292"/>
    <w:rsid w:val="006B6660"/>
    <w:rsid w:val="006F61E0"/>
    <w:rsid w:val="0075068B"/>
    <w:rsid w:val="0077044D"/>
    <w:rsid w:val="00773BAE"/>
    <w:rsid w:val="00785D13"/>
    <w:rsid w:val="00790F10"/>
    <w:rsid w:val="007C38FD"/>
    <w:rsid w:val="007C410C"/>
    <w:rsid w:val="00817401"/>
    <w:rsid w:val="008372E8"/>
    <w:rsid w:val="008465E9"/>
    <w:rsid w:val="0086264B"/>
    <w:rsid w:val="00876325"/>
    <w:rsid w:val="008B69C5"/>
    <w:rsid w:val="008C4F15"/>
    <w:rsid w:val="008C6258"/>
    <w:rsid w:val="008E23F4"/>
    <w:rsid w:val="008E673D"/>
    <w:rsid w:val="008E7A1D"/>
    <w:rsid w:val="00935F8A"/>
    <w:rsid w:val="00951A5B"/>
    <w:rsid w:val="0096262E"/>
    <w:rsid w:val="00993119"/>
    <w:rsid w:val="009A5E65"/>
    <w:rsid w:val="009B185F"/>
    <w:rsid w:val="009B42C0"/>
    <w:rsid w:val="009D0992"/>
    <w:rsid w:val="009E3F6A"/>
    <w:rsid w:val="009F2A3B"/>
    <w:rsid w:val="009F545E"/>
    <w:rsid w:val="00A262A5"/>
    <w:rsid w:val="00A56AE9"/>
    <w:rsid w:val="00A8280F"/>
    <w:rsid w:val="00A9156B"/>
    <w:rsid w:val="00AB3546"/>
    <w:rsid w:val="00AB4691"/>
    <w:rsid w:val="00AC2A33"/>
    <w:rsid w:val="00AF0B72"/>
    <w:rsid w:val="00B25A04"/>
    <w:rsid w:val="00B442B0"/>
    <w:rsid w:val="00B91689"/>
    <w:rsid w:val="00BE1677"/>
    <w:rsid w:val="00BE6F73"/>
    <w:rsid w:val="00BF1EE8"/>
    <w:rsid w:val="00C42194"/>
    <w:rsid w:val="00C77BE7"/>
    <w:rsid w:val="00C94BF3"/>
    <w:rsid w:val="00CC0DE7"/>
    <w:rsid w:val="00CC6808"/>
    <w:rsid w:val="00D12244"/>
    <w:rsid w:val="00D4065F"/>
    <w:rsid w:val="00D465D8"/>
    <w:rsid w:val="00D531DA"/>
    <w:rsid w:val="00D76917"/>
    <w:rsid w:val="00DA6CF3"/>
    <w:rsid w:val="00DC5F0B"/>
    <w:rsid w:val="00DF384D"/>
    <w:rsid w:val="00DF4956"/>
    <w:rsid w:val="00DF5A50"/>
    <w:rsid w:val="00E03E6B"/>
    <w:rsid w:val="00E317E0"/>
    <w:rsid w:val="00E32612"/>
    <w:rsid w:val="00E538AA"/>
    <w:rsid w:val="00E86E71"/>
    <w:rsid w:val="00E8781F"/>
    <w:rsid w:val="00EB1DFB"/>
    <w:rsid w:val="00EE4ACA"/>
    <w:rsid w:val="00EE566A"/>
    <w:rsid w:val="00F03B6F"/>
    <w:rsid w:val="00F34AB1"/>
    <w:rsid w:val="00F55BE5"/>
    <w:rsid w:val="00F613DF"/>
    <w:rsid w:val="00F618E1"/>
    <w:rsid w:val="00F63863"/>
    <w:rsid w:val="00F74B29"/>
    <w:rsid w:val="00F81515"/>
    <w:rsid w:val="00F84C89"/>
    <w:rsid w:val="00F9300B"/>
    <w:rsid w:val="00FA2B1C"/>
    <w:rsid w:val="00FB38ED"/>
    <w:rsid w:val="00FC4A4F"/>
    <w:rsid w:val="00FC649E"/>
    <w:rsid w:val="00FD2F49"/>
    <w:rsid w:val="00FE2E2D"/>
    <w:rsid w:val="00FF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Balk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rsid w:val="00790F10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790F1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85D13"/>
  </w:style>
  <w:style w:type="character" w:customStyle="1" w:styleId="stbilgiChar">
    <w:name w:val="Üstbilgi Char"/>
    <w:basedOn w:val="VarsaylanParagrafYazTipi"/>
    <w:link w:val="stbilgi"/>
    <w:uiPriority w:val="99"/>
    <w:rsid w:val="009D0992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paragraph" w:styleId="AltKonuBal">
    <w:name w:val="Subtitle"/>
    <w:basedOn w:val="Normal"/>
    <w:link w:val="AltKonuBalChar"/>
    <w:qFormat/>
    <w:rsid w:val="0063611F"/>
    <w:rPr>
      <w:i/>
      <w:iCs/>
    </w:rPr>
  </w:style>
  <w:style w:type="character" w:customStyle="1" w:styleId="AltKonuBalChar">
    <w:name w:val="Alt Konu Başlığı Char"/>
    <w:basedOn w:val="VarsaylanParagrafYazTipi"/>
    <w:link w:val="AltKonuBal"/>
    <w:rsid w:val="0063611F"/>
    <w:rPr>
      <w:i/>
      <w:iCs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A56AE9"/>
    <w:rPr>
      <w:b/>
      <w:bCs/>
      <w:sz w:val="20"/>
      <w:szCs w:val="20"/>
    </w:rPr>
  </w:style>
  <w:style w:type="paragraph" w:styleId="ListeParagraf">
    <w:name w:val="List Paragraph"/>
    <w:basedOn w:val="Normal"/>
    <w:uiPriority w:val="34"/>
    <w:qFormat/>
    <w:rsid w:val="005B13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E80AA-A971-418B-AD72-EB078517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creator>Aayan</dc:creator>
  <cp:lastModifiedBy>bakacak</cp:lastModifiedBy>
  <cp:revision>3</cp:revision>
  <cp:lastPrinted>2008-09-28T12:17:00Z</cp:lastPrinted>
  <dcterms:created xsi:type="dcterms:W3CDTF">2011-12-29T23:17:00Z</dcterms:created>
  <dcterms:modified xsi:type="dcterms:W3CDTF">2011-12-30T00:02:00Z</dcterms:modified>
</cp:coreProperties>
</file>