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Machine Learning and Deep Learning-Based Nutrition Grade Prediction</w:t>
      </w:r>
    </w:p>
    <w:p>
      <w:pPr>
        <w:jc w:val="center"/>
      </w:pPr>
      <w:r>
        <w:rPr>
          <w:color w:val="505050"/>
          <w:sz w:val="28"/>
        </w:rPr>
        <w:t>Detailed Final Project Report</w:t>
      </w:r>
    </w:p>
    <w:p>
      <w:pPr>
        <w:jc w:val="center"/>
      </w:pPr>
      <w:r>
        <w:t>Dataset: Open Food Facts | Target: nutrition_grade_fr | Task: Multi-Class Classification</w:t>
      </w:r>
    </w:p>
    <w:p/>
    <w:p>
      <w:pPr>
        <w:pStyle w:val="Heading1"/>
      </w:pPr>
      <w:r>
        <w:rPr>
          <w:color w:val="2E74B5"/>
        </w:rPr>
        <w:t>Abstract</w:t>
      </w:r>
    </w:p>
    <w:p>
      <w:pPr>
        <w:spacing w:after="160" w:line="288" w:lineRule="auto"/>
      </w:pPr>
      <w:r>
        <w:t>This project focuses on predicting food nutrition grades using the Open Food Facts dataset. The original dataset was cleaned, reduced to 20 meaningful nutritional and ingredient-based features, and prepared for multi-class classification. The final dataset contains 14,070 records, no missing values, no duplicate records, and five target classes. Five machine learning models and three deep learning models were implemented and compared using accuracy, precision, recall, macro F1-score, and confusion matrix analysis. XGBoost achieved the best full-feature performance, while the top-10 feature XGBoost model achieved the highest overall accuracy. The project also included data standardization, class balancing with SMOTE, feature selection, training-time analysis, and model serialization for future deployment.</w:t>
      </w:r>
    </w:p>
    <w:p>
      <w:pPr>
        <w:spacing w:after="160" w:line="288" w:lineRule="auto"/>
      </w:pPr>
      <w:r>
        <w:t>Keywords: Open Food Facts, nutrition grade prediction, machine learning, deep learning, XGBoost, SMOTE, feature selection, food classification.</w:t>
      </w:r>
    </w:p>
    <w:p>
      <w:pPr>
        <w:pStyle w:val="Heading1"/>
      </w:pPr>
      <w:r>
        <w:rPr>
          <w:color w:val="2E74B5"/>
        </w:rPr>
        <w:t>1. Introduction</w:t>
      </w:r>
    </w:p>
    <w:p>
      <w:pPr>
        <w:spacing w:after="160" w:line="288" w:lineRule="auto"/>
      </w:pPr>
      <w:r>
        <w:t>Food products contain several nutritional indicators such as energy, fat, sugar, salt, fiber, protein, vitamins, minerals, additives, and ingredient information. Although these values are available on nutrition labels, manually interpreting them can be difficult for consumers. Automated nutrition grade prediction can support healthier food decisions and provide a data-driven way to evaluate product quality.</w:t>
      </w:r>
    </w:p>
    <w:p>
      <w:pPr>
        <w:spacing w:after="160" w:line="288" w:lineRule="auto"/>
      </w:pPr>
      <w:r>
        <w:t>The purpose of this project is to predict the nutrition grade of food products from selected Open Food Facts attributes. The target variable is nutrition_grade_fr, which contains five classes: a, b, c, d, and e. In the implemented notebook, the classes were ordinally encoded as a=4, b=3, c=2, d=1, and e=0. Since the model predicts one of five possible classes, the task is a multi-class classification problem.</w:t>
      </w:r>
    </w:p>
    <w:p>
      <w:pPr>
        <w:pStyle w:val="Heading1"/>
      </w:pPr>
      <w:r>
        <w:rPr>
          <w:color w:val="2E74B5"/>
        </w:rPr>
        <w:t>2. Related Work</w:t>
      </w:r>
    </w:p>
    <w:p>
      <w:pPr>
        <w:spacing w:after="160" w:line="288" w:lineRule="auto"/>
      </w:pPr>
      <w:r>
        <w:t>Machine learning has been widely used for structured health and nutrition-related classification tasks. Linear models such as Logistic Regression are useful baselines, but they may fail to capture nonlinear relationships among nutritional features. Tree-based models and ensemble methods often perform better on tabular data because they can model interactions between features without requiring feature scaling.</w:t>
      </w:r>
    </w:p>
    <w:p>
      <w:pPr>
        <w:spacing w:after="160" w:line="288" w:lineRule="auto"/>
      </w:pPr>
      <w:r>
        <w:t>Gradient boosting methods such as XGBoost are especially strong for structured tabular datasets. Deep learning models such as MLP, DNN, and 1D CNN can also learn nonlinear patterns, but for relatively small tabular datasets, tree-based ensemble methods frequently outperform neural networks. This project therefore compares both traditional machine learning and deep learning approaches.</w:t>
      </w:r>
    </w:p>
    <w:p>
      <w:pPr>
        <w:pStyle w:val="Heading1"/>
      </w:pPr>
      <w:r>
        <w:rPr>
          <w:color w:val="2E74B5"/>
        </w:rPr>
        <w:t>3. Methodology</w:t>
      </w:r>
    </w:p>
    <w:p>
      <w:pPr>
        <w:pStyle w:val="Heading2"/>
      </w:pPr>
      <w:r>
        <w:rPr>
          <w:color w:val="2E74B5"/>
        </w:rPr>
        <w:t>3.1 Data Collection</w:t>
      </w:r>
    </w:p>
    <w:p>
      <w:pPr>
        <w:spacing w:after="160" w:line="288" w:lineRule="auto"/>
      </w:pPr>
      <w:r>
        <w:t>The dataset was derived from Open Food Facts, a large public food product database. The raw dataset contained many columns and many incomplete records. A subset of 20 nutritionally relevant features was selected to satisfy the project requirement while keeping the dataset meaningful for nutrition grade prediction.</w:t>
      </w:r>
    </w:p>
    <w:p>
      <w:pPr>
        <w:pStyle w:val="Heading2"/>
      </w:pPr>
      <w:r>
        <w:rPr>
          <w:color w:val="2E74B5"/>
        </w:rPr>
        <w:t>3.2 Dataset Overview</w:t>
      </w:r>
    </w:p>
    <w:tbl>
      <w:tblPr>
        <w:tblStyle w:val="TableGrid"/>
        <w:tblW w:type="auto" w:w="0"/>
        <w:jc w:val="center"/>
        <w:tblLook w:firstColumn="1" w:firstRow="1" w:lastColumn="0" w:lastRow="0" w:noHBand="0" w:noVBand="1" w:val="04A0"/>
      </w:tblPr>
      <w:tblGrid>
        <w:gridCol w:w="4680"/>
        <w:gridCol w:w="4680"/>
      </w:tblGrid>
      <w:tr>
        <w:tc>
          <w:tcPr>
            <w:tcW w:type="dxa" w:w="4320"/>
            <w:vAlign w:val="center"/>
            <w:shd w:fill="E8EEF5"/>
          </w:tcPr>
          <w:p>
            <w:pPr>
              <w:jc w:val="center"/>
            </w:pPr>
            <w:r/>
            <w:r>
              <w:rPr>
                <w:b/>
                <w:sz w:val="18"/>
              </w:rPr>
              <w:t>Property</w:t>
            </w:r>
          </w:p>
        </w:tc>
        <w:tc>
          <w:tcPr>
            <w:tcW w:type="dxa" w:w="4320"/>
            <w:vAlign w:val="center"/>
            <w:shd w:fill="E8EEF5"/>
          </w:tcPr>
          <w:p>
            <w:pPr>
              <w:jc w:val="center"/>
            </w:pPr>
            <w:r/>
            <w:r>
              <w:rPr>
                <w:b/>
                <w:sz w:val="18"/>
              </w:rPr>
              <w:t>Value</w:t>
            </w:r>
          </w:p>
        </w:tc>
      </w:tr>
      <w:tr>
        <w:tc>
          <w:tcPr>
            <w:tcW w:type="dxa" w:w="4320"/>
            <w:vAlign w:val="center"/>
          </w:tcPr>
          <w:p>
            <w:pPr>
              <w:jc w:val="center"/>
            </w:pPr>
            <w:r/>
            <w:r>
              <w:rPr>
                <w:b w:val="0"/>
                <w:sz w:val="18"/>
              </w:rPr>
              <w:t>Number of records</w:t>
            </w:r>
          </w:p>
        </w:tc>
        <w:tc>
          <w:tcPr>
            <w:tcW w:type="dxa" w:w="4320"/>
            <w:vAlign w:val="center"/>
          </w:tcPr>
          <w:p>
            <w:pPr>
              <w:jc w:val="center"/>
            </w:pPr>
            <w:r/>
            <w:r>
              <w:rPr>
                <w:b w:val="0"/>
                <w:sz w:val="18"/>
              </w:rPr>
              <w:t>14,070</w:t>
            </w:r>
          </w:p>
        </w:tc>
      </w:tr>
      <w:tr>
        <w:tc>
          <w:tcPr>
            <w:tcW w:type="dxa" w:w="4320"/>
            <w:vAlign w:val="center"/>
          </w:tcPr>
          <w:p>
            <w:pPr>
              <w:jc w:val="center"/>
            </w:pPr>
            <w:r/>
            <w:r>
              <w:rPr>
                <w:b w:val="0"/>
                <w:sz w:val="18"/>
              </w:rPr>
              <w:t>Number of features</w:t>
            </w:r>
          </w:p>
        </w:tc>
        <w:tc>
          <w:tcPr>
            <w:tcW w:type="dxa" w:w="4320"/>
            <w:vAlign w:val="center"/>
          </w:tcPr>
          <w:p>
            <w:pPr>
              <w:jc w:val="center"/>
            </w:pPr>
            <w:r/>
            <w:r>
              <w:rPr>
                <w:b w:val="0"/>
                <w:sz w:val="18"/>
              </w:rPr>
              <w:t>20</w:t>
            </w:r>
          </w:p>
        </w:tc>
      </w:tr>
      <w:tr>
        <w:tc>
          <w:tcPr>
            <w:tcW w:type="dxa" w:w="4320"/>
            <w:vAlign w:val="center"/>
          </w:tcPr>
          <w:p>
            <w:pPr>
              <w:jc w:val="center"/>
            </w:pPr>
            <w:r/>
            <w:r>
              <w:rPr>
                <w:b w:val="0"/>
                <w:sz w:val="18"/>
              </w:rPr>
              <w:t>Target variable</w:t>
            </w:r>
          </w:p>
        </w:tc>
        <w:tc>
          <w:tcPr>
            <w:tcW w:type="dxa" w:w="4320"/>
            <w:vAlign w:val="center"/>
          </w:tcPr>
          <w:p>
            <w:pPr>
              <w:jc w:val="center"/>
            </w:pPr>
            <w:r/>
            <w:r>
              <w:rPr>
                <w:b w:val="0"/>
                <w:sz w:val="18"/>
              </w:rPr>
              <w:t>nutrition_grade_fr</w:t>
            </w:r>
          </w:p>
        </w:tc>
      </w:tr>
      <w:tr>
        <w:tc>
          <w:tcPr>
            <w:tcW w:type="dxa" w:w="4320"/>
            <w:vAlign w:val="center"/>
          </w:tcPr>
          <w:p>
            <w:pPr>
              <w:jc w:val="center"/>
            </w:pPr>
            <w:r/>
            <w:r>
              <w:rPr>
                <w:b w:val="0"/>
                <w:sz w:val="18"/>
              </w:rPr>
              <w:t>Target classes</w:t>
            </w:r>
          </w:p>
        </w:tc>
        <w:tc>
          <w:tcPr>
            <w:tcW w:type="dxa" w:w="4320"/>
            <w:vAlign w:val="center"/>
          </w:tcPr>
          <w:p>
            <w:pPr>
              <w:jc w:val="center"/>
            </w:pPr>
            <w:r/>
            <w:r>
              <w:rPr>
                <w:b w:val="0"/>
                <w:sz w:val="18"/>
              </w:rPr>
              <w:t>5</w:t>
            </w:r>
          </w:p>
        </w:tc>
      </w:tr>
      <w:tr>
        <w:tc>
          <w:tcPr>
            <w:tcW w:type="dxa" w:w="4320"/>
            <w:vAlign w:val="center"/>
          </w:tcPr>
          <w:p>
            <w:pPr>
              <w:jc w:val="center"/>
            </w:pPr>
            <w:r/>
            <w:r>
              <w:rPr>
                <w:b w:val="0"/>
                <w:sz w:val="18"/>
              </w:rPr>
              <w:t>Missing values</w:t>
            </w:r>
          </w:p>
        </w:tc>
        <w:tc>
          <w:tcPr>
            <w:tcW w:type="dxa" w:w="4320"/>
            <w:vAlign w:val="center"/>
          </w:tcPr>
          <w:p>
            <w:pPr>
              <w:jc w:val="center"/>
            </w:pPr>
            <w:r/>
            <w:r>
              <w:rPr>
                <w:b w:val="0"/>
                <w:sz w:val="18"/>
              </w:rPr>
              <w:t>0</w:t>
            </w:r>
          </w:p>
        </w:tc>
      </w:tr>
      <w:tr>
        <w:tc>
          <w:tcPr>
            <w:tcW w:type="dxa" w:w="4320"/>
            <w:vAlign w:val="center"/>
          </w:tcPr>
          <w:p>
            <w:pPr>
              <w:jc w:val="center"/>
            </w:pPr>
            <w:r/>
            <w:r>
              <w:rPr>
                <w:b w:val="0"/>
                <w:sz w:val="18"/>
              </w:rPr>
              <w:t>Duplicate records</w:t>
            </w:r>
          </w:p>
        </w:tc>
        <w:tc>
          <w:tcPr>
            <w:tcW w:type="dxa" w:w="4320"/>
            <w:vAlign w:val="center"/>
          </w:tcPr>
          <w:p>
            <w:pPr>
              <w:jc w:val="center"/>
            </w:pPr>
            <w:r/>
            <w:r>
              <w:rPr>
                <w:b w:val="0"/>
                <w:sz w:val="18"/>
              </w:rPr>
              <w:t>0</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E8EEF5"/>
          </w:tcPr>
          <w:p>
            <w:pPr>
              <w:jc w:val="center"/>
            </w:pPr>
            <w:r/>
            <w:r>
              <w:rPr>
                <w:b/>
                <w:sz w:val="18"/>
              </w:rPr>
              <w:t>Class</w:t>
            </w:r>
          </w:p>
        </w:tc>
        <w:tc>
          <w:tcPr>
            <w:tcW w:type="dxa" w:w="2880"/>
            <w:vAlign w:val="center"/>
            <w:shd w:fill="E8EEF5"/>
          </w:tcPr>
          <w:p>
            <w:pPr>
              <w:jc w:val="center"/>
            </w:pPr>
            <w:r/>
            <w:r>
              <w:rPr>
                <w:b/>
                <w:sz w:val="18"/>
              </w:rPr>
              <w:t>Count</w:t>
            </w:r>
          </w:p>
        </w:tc>
        <w:tc>
          <w:tcPr>
            <w:tcW w:type="dxa" w:w="2880"/>
            <w:vAlign w:val="center"/>
            <w:shd w:fill="E8EEF5"/>
          </w:tcPr>
          <w:p>
            <w:pPr>
              <w:jc w:val="center"/>
            </w:pPr>
            <w:r/>
            <w:r>
              <w:rPr>
                <w:b/>
                <w:sz w:val="18"/>
              </w:rPr>
              <w:t>Percentage</w:t>
            </w:r>
          </w:p>
        </w:tc>
      </w:tr>
      <w:tr>
        <w:tc>
          <w:tcPr>
            <w:tcW w:type="dxa" w:w="2160"/>
            <w:vAlign w:val="center"/>
          </w:tcPr>
          <w:p>
            <w:pPr>
              <w:jc w:val="center"/>
            </w:pPr>
            <w:r/>
            <w:r>
              <w:rPr>
                <w:b w:val="0"/>
                <w:sz w:val="18"/>
              </w:rPr>
              <w:t>a</w:t>
            </w:r>
          </w:p>
        </w:tc>
        <w:tc>
          <w:tcPr>
            <w:tcW w:type="dxa" w:w="2880"/>
            <w:vAlign w:val="center"/>
          </w:tcPr>
          <w:p>
            <w:pPr>
              <w:jc w:val="center"/>
            </w:pPr>
            <w:r/>
            <w:r>
              <w:rPr>
                <w:b w:val="0"/>
                <w:sz w:val="18"/>
              </w:rPr>
              <w:t>3,188</w:t>
            </w:r>
          </w:p>
        </w:tc>
        <w:tc>
          <w:tcPr>
            <w:tcW w:type="dxa" w:w="2880"/>
            <w:vAlign w:val="center"/>
          </w:tcPr>
          <w:p>
            <w:pPr>
              <w:jc w:val="center"/>
            </w:pPr>
            <w:r/>
            <w:r>
              <w:rPr>
                <w:b w:val="0"/>
                <w:sz w:val="18"/>
              </w:rPr>
              <w:t>22.66%</w:t>
            </w:r>
          </w:p>
        </w:tc>
      </w:tr>
      <w:tr>
        <w:tc>
          <w:tcPr>
            <w:tcW w:type="dxa" w:w="2160"/>
            <w:vAlign w:val="center"/>
          </w:tcPr>
          <w:p>
            <w:pPr>
              <w:jc w:val="center"/>
            </w:pPr>
            <w:r/>
            <w:r>
              <w:rPr>
                <w:b w:val="0"/>
                <w:sz w:val="18"/>
              </w:rPr>
              <w:t>b</w:t>
            </w:r>
          </w:p>
        </w:tc>
        <w:tc>
          <w:tcPr>
            <w:tcW w:type="dxa" w:w="2880"/>
            <w:vAlign w:val="center"/>
          </w:tcPr>
          <w:p>
            <w:pPr>
              <w:jc w:val="center"/>
            </w:pPr>
            <w:r/>
            <w:r>
              <w:rPr>
                <w:b w:val="0"/>
                <w:sz w:val="18"/>
              </w:rPr>
              <w:t>3,337</w:t>
            </w:r>
          </w:p>
        </w:tc>
        <w:tc>
          <w:tcPr>
            <w:tcW w:type="dxa" w:w="2880"/>
            <w:vAlign w:val="center"/>
          </w:tcPr>
          <w:p>
            <w:pPr>
              <w:jc w:val="center"/>
            </w:pPr>
            <w:r/>
            <w:r>
              <w:rPr>
                <w:b w:val="0"/>
                <w:sz w:val="18"/>
              </w:rPr>
              <w:t>23.72%</w:t>
            </w:r>
          </w:p>
        </w:tc>
      </w:tr>
      <w:tr>
        <w:tc>
          <w:tcPr>
            <w:tcW w:type="dxa" w:w="2160"/>
            <w:vAlign w:val="center"/>
          </w:tcPr>
          <w:p>
            <w:pPr>
              <w:jc w:val="center"/>
            </w:pPr>
            <w:r/>
            <w:r>
              <w:rPr>
                <w:b w:val="0"/>
                <w:sz w:val="18"/>
              </w:rPr>
              <w:t>c</w:t>
            </w:r>
          </w:p>
        </w:tc>
        <w:tc>
          <w:tcPr>
            <w:tcW w:type="dxa" w:w="2880"/>
            <w:vAlign w:val="center"/>
          </w:tcPr>
          <w:p>
            <w:pPr>
              <w:jc w:val="center"/>
            </w:pPr>
            <w:r/>
            <w:r>
              <w:rPr>
                <w:b w:val="0"/>
                <w:sz w:val="18"/>
              </w:rPr>
              <w:t>3,142</w:t>
            </w:r>
          </w:p>
        </w:tc>
        <w:tc>
          <w:tcPr>
            <w:tcW w:type="dxa" w:w="2880"/>
            <w:vAlign w:val="center"/>
          </w:tcPr>
          <w:p>
            <w:pPr>
              <w:jc w:val="center"/>
            </w:pPr>
            <w:r/>
            <w:r>
              <w:rPr>
                <w:b w:val="0"/>
                <w:sz w:val="18"/>
              </w:rPr>
              <w:t>22.33%</w:t>
            </w:r>
          </w:p>
        </w:tc>
      </w:tr>
      <w:tr>
        <w:tc>
          <w:tcPr>
            <w:tcW w:type="dxa" w:w="2160"/>
            <w:vAlign w:val="center"/>
          </w:tcPr>
          <w:p>
            <w:pPr>
              <w:jc w:val="center"/>
            </w:pPr>
            <w:r/>
            <w:r>
              <w:rPr>
                <w:b w:val="0"/>
                <w:sz w:val="18"/>
              </w:rPr>
              <w:t>d</w:t>
            </w:r>
          </w:p>
        </w:tc>
        <w:tc>
          <w:tcPr>
            <w:tcW w:type="dxa" w:w="2880"/>
            <w:vAlign w:val="center"/>
          </w:tcPr>
          <w:p>
            <w:pPr>
              <w:jc w:val="center"/>
            </w:pPr>
            <w:r/>
            <w:r>
              <w:rPr>
                <w:b w:val="0"/>
                <w:sz w:val="18"/>
              </w:rPr>
              <w:t>3,297</w:t>
            </w:r>
          </w:p>
        </w:tc>
        <w:tc>
          <w:tcPr>
            <w:tcW w:type="dxa" w:w="2880"/>
            <w:vAlign w:val="center"/>
          </w:tcPr>
          <w:p>
            <w:pPr>
              <w:jc w:val="center"/>
            </w:pPr>
            <w:r/>
            <w:r>
              <w:rPr>
                <w:b w:val="0"/>
                <w:sz w:val="18"/>
              </w:rPr>
              <w:t>23.43%</w:t>
            </w:r>
          </w:p>
        </w:tc>
      </w:tr>
      <w:tr>
        <w:tc>
          <w:tcPr>
            <w:tcW w:type="dxa" w:w="2160"/>
            <w:vAlign w:val="center"/>
          </w:tcPr>
          <w:p>
            <w:pPr>
              <w:jc w:val="center"/>
            </w:pPr>
            <w:r/>
            <w:r>
              <w:rPr>
                <w:b w:val="0"/>
                <w:sz w:val="18"/>
              </w:rPr>
              <w:t>e</w:t>
            </w:r>
          </w:p>
        </w:tc>
        <w:tc>
          <w:tcPr>
            <w:tcW w:type="dxa" w:w="2880"/>
            <w:vAlign w:val="center"/>
          </w:tcPr>
          <w:p>
            <w:pPr>
              <w:jc w:val="center"/>
            </w:pPr>
            <w:r/>
            <w:r>
              <w:rPr>
                <w:b w:val="0"/>
                <w:sz w:val="18"/>
              </w:rPr>
              <w:t>1,106</w:t>
            </w:r>
          </w:p>
        </w:tc>
        <w:tc>
          <w:tcPr>
            <w:tcW w:type="dxa" w:w="2880"/>
            <w:vAlign w:val="center"/>
          </w:tcPr>
          <w:p>
            <w:pPr>
              <w:jc w:val="center"/>
            </w:pPr>
            <w:r/>
            <w:r>
              <w:rPr>
                <w:b w:val="0"/>
                <w:sz w:val="18"/>
              </w:rPr>
              <w:t>7.86%</w:t>
            </w:r>
          </w:p>
        </w:tc>
      </w:tr>
    </w:tbl>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5A5A5A"/>
          <w:sz w:val="18"/>
        </w:rPr>
        <w:t>Figure 1. Target class distribution.</w:t>
      </w:r>
    </w:p>
    <w:p>
      <w:pPr>
        <w:pStyle w:val="Heading2"/>
      </w:pPr>
      <w:r>
        <w:rPr>
          <w:color w:val="2E74B5"/>
        </w:rPr>
        <w:t>3.3 Data Preprocessing</w:t>
      </w:r>
    </w:p>
    <w:p>
      <w:pPr>
        <w:spacing w:after="160" w:line="288" w:lineRule="auto"/>
      </w:pPr>
      <w:r>
        <w:t>The preprocessing stage included missing value handling, duplicate removal, zero-value inspection, target encoding, and standardization for scale-sensitive models.</w:t>
      </w:r>
    </w:p>
    <w:p>
      <w:pPr>
        <w:pStyle w:val="Heading3"/>
      </w:pPr>
      <w:r>
        <w:rPr>
          <w:color w:val="1F4D78"/>
        </w:rPr>
        <w:t>3.3.1 Handling Missing Values</w:t>
      </w:r>
    </w:p>
    <w:p>
      <w:pPr>
        <w:spacing w:after="160" w:line="288" w:lineRule="auto"/>
      </w:pPr>
      <w:r>
        <w:t>Records with missing values in the selected 20 features or target variable were removed. The final dataset contains zero missing values, so no imputation method was required.</w:t>
      </w:r>
    </w:p>
    <w:p>
      <w:pPr>
        <w:pStyle w:val="Heading3"/>
      </w:pPr>
      <w:r>
        <w:rPr>
          <w:color w:val="1F4D78"/>
        </w:rPr>
        <w:t>3.3.2 Duplicate Removal</w:t>
      </w:r>
    </w:p>
    <w:p>
      <w:pPr>
        <w:spacing w:after="160" w:line="288" w:lineRule="auto"/>
      </w:pPr>
      <w:r>
        <w:t>Duplicate records were removed to avoid inflated model performance and reduce the risk of data leakage. The final dataset contains 14,070 unique records.</w:t>
      </w:r>
    </w:p>
    <w:p>
      <w:pPr>
        <w:pStyle w:val="Heading3"/>
      </w:pPr>
      <w:r>
        <w:rPr>
          <w:color w:val="1F4D78"/>
        </w:rPr>
        <w:t>3.3.3 Zero Value Analysis</w:t>
      </w:r>
    </w:p>
    <w:p>
      <w:pPr>
        <w:spacing w:after="160" w:line="288" w:lineRule="auto"/>
      </w:pPr>
      <w:r>
        <w:t>Some features naturally contain many zero values. For example, most products do not contain trans fat or palm oil, so zero values in these columns can be meaningful rather than missing. However, records with effectively empty nutrition tables were removed.</w:t>
      </w:r>
    </w:p>
    <w:p>
      <w:pPr>
        <w:jc w:val="center"/>
      </w:pPr>
      <w:r>
        <w:drawing>
          <wp:inline xmlns:a="http://schemas.openxmlformats.org/drawingml/2006/main" xmlns:pic="http://schemas.openxmlformats.org/drawingml/2006/picture">
            <wp:extent cx="5303520" cy="3712464"/>
            <wp:docPr id="2" name="Picture 2"/>
            <wp:cNvGraphicFramePr>
              <a:graphicFrameLocks noChangeAspect="1"/>
            </wp:cNvGraphicFramePr>
            <a:graphic>
              <a:graphicData uri="http://schemas.openxmlformats.org/drawingml/2006/picture">
                <pic:pic>
                  <pic:nvPicPr>
                    <pic:cNvPr id="0" name="zero_value_distribution.png"/>
                    <pic:cNvPicPr/>
                  </pic:nvPicPr>
                  <pic:blipFill>
                    <a:blip r:embed="rId10"/>
                    <a:stretch>
                      <a:fillRect/>
                    </a:stretch>
                  </pic:blipFill>
                  <pic:spPr>
                    <a:xfrm>
                      <a:off x="0" y="0"/>
                      <a:ext cx="5303520" cy="3712464"/>
                    </a:xfrm>
                    <a:prstGeom prst="rect"/>
                  </pic:spPr>
                </pic:pic>
              </a:graphicData>
            </a:graphic>
          </wp:inline>
        </w:drawing>
      </w:r>
    </w:p>
    <w:p>
      <w:pPr>
        <w:jc w:val="center"/>
      </w:pPr>
      <w:r>
        <w:rPr>
          <w:i/>
          <w:color w:val="5A5A5A"/>
          <w:sz w:val="18"/>
        </w:rPr>
        <w:t>Figure 2. Zero value percentage by feature.</w:t>
      </w:r>
    </w:p>
    <w:p>
      <w:pPr>
        <w:pStyle w:val="Heading3"/>
      </w:pPr>
      <w:r>
        <w:rPr>
          <w:color w:val="1F4D78"/>
        </w:rPr>
        <w:t>3.3.4 Standardization</w:t>
      </w:r>
    </w:p>
    <w:p>
      <w:pPr>
        <w:spacing w:after="160" w:line="288" w:lineRule="auto"/>
      </w:pPr>
      <w:r>
        <w:t>StandardScaler was applied to Logistic Regression, KNN, and deep learning models because these models are sensitive to feature scale. The scaler was fitted only on the training data and then applied to the test data to prevent data leakage.</w:t>
      </w:r>
    </w:p>
    <w:p>
      <w:pPr>
        <w:pStyle w:val="Heading2"/>
      </w:pPr>
      <w:r>
        <w:rPr>
          <w:color w:val="2E74B5"/>
        </w:rPr>
        <w:t>3.4 Feature Analysis and Correlation</w:t>
      </w:r>
    </w:p>
    <w:p>
      <w:pPr>
        <w:spacing w:after="160" w:line="288" w:lineRule="auto"/>
      </w:pPr>
      <w:r>
        <w:t>The selected features cover energy, macronutrients, salt-related features, micronutrients, additives, palm oil indicators, and ingredient count. Correlation analysis showed that salt_100g and sodium_100g are perfectly correlated because salt and sodium are mathematically related. Both were kept because the project required exactly 20 features and both are nutritionally meaningful.</w:t>
      </w:r>
    </w:p>
    <w:tbl>
      <w:tblPr>
        <w:tblStyle w:val="TableGrid"/>
        <w:tblW w:type="auto" w:w="0"/>
        <w:jc w:val="center"/>
        <w:tblLook w:firstColumn="1" w:firstRow="1" w:lastColumn="0" w:lastRow="0" w:noHBand="0" w:noVBand="1" w:val="04A0"/>
      </w:tblPr>
      <w:tblGrid>
        <w:gridCol w:w="3120"/>
        <w:gridCol w:w="3120"/>
        <w:gridCol w:w="3120"/>
      </w:tblGrid>
      <w:tr>
        <w:tc>
          <w:tcPr>
            <w:tcW w:type="dxa" w:w="3312"/>
            <w:vAlign w:val="center"/>
            <w:shd w:fill="E8EEF5"/>
          </w:tcPr>
          <w:p>
            <w:pPr>
              <w:jc w:val="center"/>
            </w:pPr>
            <w:r/>
            <w:r>
              <w:rPr>
                <w:b/>
                <w:sz w:val="18"/>
              </w:rPr>
              <w:t>Feature 1</w:t>
            </w:r>
          </w:p>
        </w:tc>
        <w:tc>
          <w:tcPr>
            <w:tcW w:type="dxa" w:w="3312"/>
            <w:vAlign w:val="center"/>
            <w:shd w:fill="E8EEF5"/>
          </w:tcPr>
          <w:p>
            <w:pPr>
              <w:jc w:val="center"/>
            </w:pPr>
            <w:r/>
            <w:r>
              <w:rPr>
                <w:b/>
                <w:sz w:val="18"/>
              </w:rPr>
              <w:t>Feature 2</w:t>
            </w:r>
          </w:p>
        </w:tc>
        <w:tc>
          <w:tcPr>
            <w:tcW w:type="dxa" w:w="1728"/>
            <w:vAlign w:val="center"/>
            <w:shd w:fill="E8EEF5"/>
          </w:tcPr>
          <w:p>
            <w:pPr>
              <w:jc w:val="center"/>
            </w:pPr>
            <w:r/>
            <w:r>
              <w:rPr>
                <w:b/>
                <w:sz w:val="18"/>
              </w:rPr>
              <w:t>Correlation</w:t>
            </w:r>
          </w:p>
        </w:tc>
      </w:tr>
      <w:tr>
        <w:tc>
          <w:tcPr>
            <w:tcW w:type="dxa" w:w="3312"/>
            <w:vAlign w:val="center"/>
          </w:tcPr>
          <w:p>
            <w:pPr>
              <w:jc w:val="center"/>
            </w:pPr>
            <w:r/>
            <w:r>
              <w:rPr>
                <w:b w:val="0"/>
                <w:sz w:val="18"/>
              </w:rPr>
              <w:t>salt_100g</w:t>
            </w:r>
          </w:p>
        </w:tc>
        <w:tc>
          <w:tcPr>
            <w:tcW w:type="dxa" w:w="3312"/>
            <w:vAlign w:val="center"/>
          </w:tcPr>
          <w:p>
            <w:pPr>
              <w:jc w:val="center"/>
            </w:pPr>
            <w:r/>
            <w:r>
              <w:rPr>
                <w:b w:val="0"/>
                <w:sz w:val="18"/>
              </w:rPr>
              <w:t>sodium_100g</w:t>
            </w:r>
          </w:p>
        </w:tc>
        <w:tc>
          <w:tcPr>
            <w:tcW w:type="dxa" w:w="1728"/>
            <w:vAlign w:val="center"/>
          </w:tcPr>
          <w:p>
            <w:pPr>
              <w:jc w:val="center"/>
            </w:pPr>
            <w:r/>
            <w:r>
              <w:rPr>
                <w:b w:val="0"/>
                <w:sz w:val="18"/>
              </w:rPr>
              <w:t>1.0000</w:t>
            </w:r>
          </w:p>
        </w:tc>
      </w:tr>
      <w:tr>
        <w:tc>
          <w:tcPr>
            <w:tcW w:type="dxa" w:w="3312"/>
            <w:vAlign w:val="center"/>
          </w:tcPr>
          <w:p>
            <w:pPr>
              <w:jc w:val="center"/>
            </w:pPr>
            <w:r/>
            <w:r>
              <w:rPr>
                <w:b w:val="0"/>
                <w:sz w:val="18"/>
              </w:rPr>
              <w:t>energy_100g</w:t>
            </w:r>
          </w:p>
        </w:tc>
        <w:tc>
          <w:tcPr>
            <w:tcW w:type="dxa" w:w="3312"/>
            <w:vAlign w:val="center"/>
          </w:tcPr>
          <w:p>
            <w:pPr>
              <w:jc w:val="center"/>
            </w:pPr>
            <w:r/>
            <w:r>
              <w:rPr>
                <w:b w:val="0"/>
                <w:sz w:val="18"/>
              </w:rPr>
              <w:t>fat_100g</w:t>
            </w:r>
          </w:p>
        </w:tc>
        <w:tc>
          <w:tcPr>
            <w:tcW w:type="dxa" w:w="1728"/>
            <w:vAlign w:val="center"/>
          </w:tcPr>
          <w:p>
            <w:pPr>
              <w:jc w:val="center"/>
            </w:pPr>
            <w:r/>
            <w:r>
              <w:rPr>
                <w:b w:val="0"/>
                <w:sz w:val="18"/>
              </w:rPr>
              <w:t>0.7888</w:t>
            </w:r>
          </w:p>
        </w:tc>
      </w:tr>
      <w:tr>
        <w:tc>
          <w:tcPr>
            <w:tcW w:type="dxa" w:w="3312"/>
            <w:vAlign w:val="center"/>
          </w:tcPr>
          <w:p>
            <w:pPr>
              <w:jc w:val="center"/>
            </w:pPr>
            <w:r/>
            <w:r>
              <w:rPr>
                <w:b w:val="0"/>
                <w:sz w:val="18"/>
              </w:rPr>
              <w:t>additives_n</w:t>
            </w:r>
          </w:p>
        </w:tc>
        <w:tc>
          <w:tcPr>
            <w:tcW w:type="dxa" w:w="3312"/>
            <w:vAlign w:val="center"/>
          </w:tcPr>
          <w:p>
            <w:pPr>
              <w:jc w:val="center"/>
            </w:pPr>
            <w:r/>
            <w:r>
              <w:rPr>
                <w:b w:val="0"/>
                <w:sz w:val="18"/>
              </w:rPr>
              <w:t>ingredients_count</w:t>
            </w:r>
          </w:p>
        </w:tc>
        <w:tc>
          <w:tcPr>
            <w:tcW w:type="dxa" w:w="1728"/>
            <w:vAlign w:val="center"/>
          </w:tcPr>
          <w:p>
            <w:pPr>
              <w:jc w:val="center"/>
            </w:pPr>
            <w:r/>
            <w:r>
              <w:rPr>
                <w:b w:val="0"/>
                <w:sz w:val="18"/>
              </w:rPr>
              <w:t>0.7467</w:t>
            </w:r>
          </w:p>
        </w:tc>
      </w:tr>
      <w:tr>
        <w:tc>
          <w:tcPr>
            <w:tcW w:type="dxa" w:w="3312"/>
            <w:vAlign w:val="center"/>
          </w:tcPr>
          <w:p>
            <w:pPr>
              <w:jc w:val="center"/>
            </w:pPr>
            <w:r/>
            <w:r>
              <w:rPr>
                <w:b w:val="0"/>
                <w:sz w:val="18"/>
              </w:rPr>
              <w:t>energy_100g</w:t>
            </w:r>
          </w:p>
        </w:tc>
        <w:tc>
          <w:tcPr>
            <w:tcW w:type="dxa" w:w="3312"/>
            <w:vAlign w:val="center"/>
          </w:tcPr>
          <w:p>
            <w:pPr>
              <w:jc w:val="center"/>
            </w:pPr>
            <w:r/>
            <w:r>
              <w:rPr>
                <w:b w:val="0"/>
                <w:sz w:val="18"/>
              </w:rPr>
              <w:t>carbohydrates_100g</w:t>
            </w:r>
          </w:p>
        </w:tc>
        <w:tc>
          <w:tcPr>
            <w:tcW w:type="dxa" w:w="1728"/>
            <w:vAlign w:val="center"/>
          </w:tcPr>
          <w:p>
            <w:pPr>
              <w:jc w:val="center"/>
            </w:pPr>
            <w:r/>
            <w:r>
              <w:rPr>
                <w:b w:val="0"/>
                <w:sz w:val="18"/>
              </w:rPr>
              <w:t>0.7103</w:t>
            </w:r>
          </w:p>
        </w:tc>
      </w:tr>
      <w:tr>
        <w:tc>
          <w:tcPr>
            <w:tcW w:type="dxa" w:w="3312"/>
            <w:vAlign w:val="center"/>
          </w:tcPr>
          <w:p>
            <w:pPr>
              <w:jc w:val="center"/>
            </w:pPr>
            <w:r/>
            <w:r>
              <w:rPr>
                <w:b w:val="0"/>
                <w:sz w:val="18"/>
              </w:rPr>
              <w:t>fat_100g</w:t>
            </w:r>
          </w:p>
        </w:tc>
        <w:tc>
          <w:tcPr>
            <w:tcW w:type="dxa" w:w="3312"/>
            <w:vAlign w:val="center"/>
          </w:tcPr>
          <w:p>
            <w:pPr>
              <w:jc w:val="center"/>
            </w:pPr>
            <w:r/>
            <w:r>
              <w:rPr>
                <w:b w:val="0"/>
                <w:sz w:val="18"/>
              </w:rPr>
              <w:t>saturated-fat_100g</w:t>
            </w:r>
          </w:p>
        </w:tc>
        <w:tc>
          <w:tcPr>
            <w:tcW w:type="dxa" w:w="1728"/>
            <w:vAlign w:val="center"/>
          </w:tcPr>
          <w:p>
            <w:pPr>
              <w:jc w:val="center"/>
            </w:pPr>
            <w:r/>
            <w:r>
              <w:rPr>
                <w:b w:val="0"/>
                <w:sz w:val="18"/>
              </w:rPr>
              <w:t>0.6692</w:t>
            </w:r>
          </w:p>
        </w:tc>
      </w:tr>
      <w:tr>
        <w:tc>
          <w:tcPr>
            <w:tcW w:type="dxa" w:w="3312"/>
            <w:vAlign w:val="center"/>
          </w:tcPr>
          <w:p>
            <w:pPr>
              <w:jc w:val="center"/>
            </w:pPr>
            <w:r/>
            <w:r>
              <w:rPr>
                <w:b w:val="0"/>
                <w:sz w:val="18"/>
              </w:rPr>
              <w:t>carbohydrates_100g</w:t>
            </w:r>
          </w:p>
        </w:tc>
        <w:tc>
          <w:tcPr>
            <w:tcW w:type="dxa" w:w="3312"/>
            <w:vAlign w:val="center"/>
          </w:tcPr>
          <w:p>
            <w:pPr>
              <w:jc w:val="center"/>
            </w:pPr>
            <w:r/>
            <w:r>
              <w:rPr>
                <w:b w:val="0"/>
                <w:sz w:val="18"/>
              </w:rPr>
              <w:t>sugars_100g</w:t>
            </w:r>
          </w:p>
        </w:tc>
        <w:tc>
          <w:tcPr>
            <w:tcW w:type="dxa" w:w="1728"/>
            <w:vAlign w:val="center"/>
          </w:tcPr>
          <w:p>
            <w:pPr>
              <w:jc w:val="center"/>
            </w:pPr>
            <w:r/>
            <w:r>
              <w:rPr>
                <w:b w:val="0"/>
                <w:sz w:val="18"/>
              </w:rPr>
              <w:t>0.5739</w:t>
            </w:r>
          </w:p>
        </w:tc>
      </w:tr>
    </w:tbl>
    <w:p/>
    <w:p>
      <w:pPr>
        <w:jc w:val="center"/>
      </w:pPr>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feature_correlation_heatmap.png"/>
                    <pic:cNvPicPr/>
                  </pic:nvPicPr>
                  <pic:blipFill>
                    <a:blip r:embed="rId11"/>
                    <a:stretch>
                      <a:fillRect/>
                    </a:stretch>
                  </pic:blipFill>
                  <pic:spPr>
                    <a:xfrm>
                      <a:off x="0" y="0"/>
                      <a:ext cx="5394960" cy="3853543"/>
                    </a:xfrm>
                    <a:prstGeom prst="rect"/>
                  </pic:spPr>
                </pic:pic>
              </a:graphicData>
            </a:graphic>
          </wp:inline>
        </w:drawing>
      </w:r>
    </w:p>
    <w:p>
      <w:pPr>
        <w:jc w:val="center"/>
      </w:pPr>
      <w:r>
        <w:rPr>
          <w:i/>
          <w:color w:val="5A5A5A"/>
          <w:sz w:val="18"/>
        </w:rPr>
        <w:t>Figure 3. Feature correlation heatmap.</w:t>
      </w:r>
    </w:p>
    <w:p>
      <w:pPr>
        <w:pStyle w:val="Heading1"/>
      </w:pPr>
      <w:r>
        <w:rPr>
          <w:color w:val="2E74B5"/>
        </w:rPr>
        <w:t>4. Model Development</w:t>
      </w:r>
    </w:p>
    <w:p>
      <w:pPr>
        <w:spacing w:after="160" w:line="288" w:lineRule="auto"/>
      </w:pPr>
      <w:r>
        <w:t>The project trained five machine learning models and three deep learning models. The machine learning models were Logistic Regression, KNN, Decision Tree, Random Forest, and XGBoost. The deep learning models were MLP, DNN, and 1D CNN.</w:t>
      </w:r>
    </w:p>
    <w:tbl>
      <w:tblPr>
        <w:tblStyle w:val="TableGrid"/>
        <w:tblW w:type="auto" w:w="0"/>
        <w:jc w:val="center"/>
        <w:tblLook w:firstColumn="1" w:firstRow="1" w:lastColumn="0" w:lastRow="0" w:noHBand="0" w:noVBand="1" w:val="04A0"/>
      </w:tblPr>
      <w:tblGrid>
        <w:gridCol w:w="3120"/>
        <w:gridCol w:w="3120"/>
        <w:gridCol w:w="3120"/>
      </w:tblGrid>
      <w:tr>
        <w:tc>
          <w:tcPr>
            <w:tcW w:type="dxa" w:w="936"/>
            <w:vAlign w:val="center"/>
            <w:shd w:fill="E8EEF5"/>
          </w:tcPr>
          <w:p>
            <w:pPr>
              <w:jc w:val="center"/>
            </w:pPr>
            <w:r/>
            <w:r>
              <w:rPr>
                <w:b/>
                <w:sz w:val="18"/>
              </w:rPr>
              <w:t>Sr No</w:t>
            </w:r>
          </w:p>
        </w:tc>
        <w:tc>
          <w:tcPr>
            <w:tcW w:type="dxa" w:w="2376"/>
            <w:vAlign w:val="center"/>
            <w:shd w:fill="E8EEF5"/>
          </w:tcPr>
          <w:p>
            <w:pPr>
              <w:jc w:val="center"/>
            </w:pPr>
            <w:r/>
            <w:r>
              <w:rPr>
                <w:b/>
                <w:sz w:val="18"/>
              </w:rPr>
              <w:t>Model</w:t>
            </w:r>
          </w:p>
        </w:tc>
        <w:tc>
          <w:tcPr>
            <w:tcW w:type="dxa" w:w="6048"/>
            <w:vAlign w:val="center"/>
            <w:shd w:fill="E8EEF5"/>
          </w:tcPr>
          <w:p>
            <w:pPr>
              <w:jc w:val="center"/>
            </w:pPr>
            <w:r/>
            <w:r>
              <w:rPr>
                <w:b/>
                <w:sz w:val="18"/>
              </w:rPr>
              <w:t>Tuning Parameters</w:t>
            </w:r>
          </w:p>
        </w:tc>
      </w:tr>
      <w:tr>
        <w:tc>
          <w:tcPr>
            <w:tcW w:type="dxa" w:w="936"/>
            <w:vAlign w:val="center"/>
          </w:tcPr>
          <w:p>
            <w:pPr>
              <w:jc w:val="center"/>
            </w:pPr>
            <w:r/>
            <w:r>
              <w:rPr>
                <w:b w:val="0"/>
                <w:sz w:val="18"/>
              </w:rPr>
              <w:t>1</w:t>
            </w:r>
          </w:p>
        </w:tc>
        <w:tc>
          <w:tcPr>
            <w:tcW w:type="dxa" w:w="2376"/>
            <w:vAlign w:val="center"/>
          </w:tcPr>
          <w:p>
            <w:pPr>
              <w:jc w:val="center"/>
            </w:pPr>
            <w:r/>
            <w:r>
              <w:rPr>
                <w:b w:val="0"/>
                <w:sz w:val="18"/>
              </w:rPr>
              <w:t>Logistic Regression</w:t>
            </w:r>
          </w:p>
        </w:tc>
        <w:tc>
          <w:tcPr>
            <w:tcW w:type="dxa" w:w="6048"/>
            <w:vAlign w:val="center"/>
          </w:tcPr>
          <w:p>
            <w:pPr>
              <w:jc w:val="left"/>
            </w:pPr>
            <w:r/>
            <w:r>
              <w:rPr>
                <w:b w:val="0"/>
                <w:sz w:val="18"/>
              </w:rPr>
              <w:t>max_iter=5000, class_weight='balanced', random_state=42; StandardScaler applied</w:t>
            </w:r>
          </w:p>
        </w:tc>
      </w:tr>
      <w:tr>
        <w:tc>
          <w:tcPr>
            <w:tcW w:type="dxa" w:w="936"/>
            <w:vAlign w:val="center"/>
          </w:tcPr>
          <w:p>
            <w:pPr>
              <w:jc w:val="center"/>
            </w:pPr>
            <w:r/>
            <w:r>
              <w:rPr>
                <w:b w:val="0"/>
                <w:sz w:val="18"/>
              </w:rPr>
              <w:t>2</w:t>
            </w:r>
          </w:p>
        </w:tc>
        <w:tc>
          <w:tcPr>
            <w:tcW w:type="dxa" w:w="2376"/>
            <w:vAlign w:val="center"/>
          </w:tcPr>
          <w:p>
            <w:pPr>
              <w:jc w:val="center"/>
            </w:pPr>
            <w:r/>
            <w:r>
              <w:rPr>
                <w:b w:val="0"/>
                <w:sz w:val="18"/>
              </w:rPr>
              <w:t>K-Nearest Neighbors</w:t>
            </w:r>
          </w:p>
        </w:tc>
        <w:tc>
          <w:tcPr>
            <w:tcW w:type="dxa" w:w="6048"/>
            <w:vAlign w:val="center"/>
          </w:tcPr>
          <w:p>
            <w:pPr>
              <w:jc w:val="left"/>
            </w:pPr>
            <w:r/>
            <w:r>
              <w:rPr>
                <w:b w:val="0"/>
                <w:sz w:val="16"/>
              </w:rPr>
              <w:t>GridSearchCV(cv=5, scoring='f1_macro'); best: n_neighbors=5, weights='distance', metric='manhattan'</w:t>
            </w:r>
          </w:p>
        </w:tc>
      </w:tr>
      <w:tr>
        <w:tc>
          <w:tcPr>
            <w:tcW w:type="dxa" w:w="936"/>
            <w:vAlign w:val="center"/>
          </w:tcPr>
          <w:p>
            <w:pPr>
              <w:jc w:val="center"/>
            </w:pPr>
            <w:r/>
            <w:r>
              <w:rPr>
                <w:b w:val="0"/>
                <w:sz w:val="18"/>
              </w:rPr>
              <w:t>3</w:t>
            </w:r>
          </w:p>
        </w:tc>
        <w:tc>
          <w:tcPr>
            <w:tcW w:type="dxa" w:w="2376"/>
            <w:vAlign w:val="center"/>
          </w:tcPr>
          <w:p>
            <w:pPr>
              <w:jc w:val="center"/>
            </w:pPr>
            <w:r/>
            <w:r>
              <w:rPr>
                <w:b w:val="0"/>
                <w:sz w:val="18"/>
              </w:rPr>
              <w:t>Decision Tree</w:t>
            </w:r>
          </w:p>
        </w:tc>
        <w:tc>
          <w:tcPr>
            <w:tcW w:type="dxa" w:w="6048"/>
            <w:vAlign w:val="center"/>
          </w:tcPr>
          <w:p>
            <w:pPr>
              <w:jc w:val="left"/>
            </w:pPr>
            <w:r/>
            <w:r>
              <w:rPr>
                <w:b w:val="0"/>
                <w:sz w:val="16"/>
              </w:rPr>
              <w:t>criterion='entropy', max_depth=12, min_samples_leaf=5, min_samples_split=2, class_weight='balanced', random_state=42</w:t>
            </w:r>
          </w:p>
        </w:tc>
      </w:tr>
      <w:tr>
        <w:tc>
          <w:tcPr>
            <w:tcW w:type="dxa" w:w="936"/>
            <w:vAlign w:val="center"/>
          </w:tcPr>
          <w:p>
            <w:pPr>
              <w:jc w:val="center"/>
            </w:pPr>
            <w:r/>
            <w:r>
              <w:rPr>
                <w:b w:val="0"/>
                <w:sz w:val="18"/>
              </w:rPr>
              <w:t>4</w:t>
            </w:r>
          </w:p>
        </w:tc>
        <w:tc>
          <w:tcPr>
            <w:tcW w:type="dxa" w:w="2376"/>
            <w:vAlign w:val="center"/>
          </w:tcPr>
          <w:p>
            <w:pPr>
              <w:jc w:val="center"/>
            </w:pPr>
            <w:r/>
            <w:r>
              <w:rPr>
                <w:b w:val="0"/>
                <w:sz w:val="18"/>
              </w:rPr>
              <w:t>Random Forest</w:t>
            </w:r>
          </w:p>
        </w:tc>
        <w:tc>
          <w:tcPr>
            <w:tcW w:type="dxa" w:w="6048"/>
            <w:vAlign w:val="center"/>
          </w:tcPr>
          <w:p>
            <w:pPr>
              <w:jc w:val="left"/>
            </w:pPr>
            <w:r/>
            <w:r>
              <w:rPr>
                <w:b w:val="0"/>
                <w:sz w:val="16"/>
              </w:rPr>
              <w:t>n_estimators=200, criterion='entropy', max_depth=12, min_samples_split=5, min_samples_leaf=10, class_weight='balanced', random_state=42, n_jobs=-1</w:t>
            </w:r>
          </w:p>
        </w:tc>
      </w:tr>
      <w:tr>
        <w:tc>
          <w:tcPr>
            <w:tcW w:type="dxa" w:w="936"/>
            <w:vAlign w:val="center"/>
          </w:tcPr>
          <w:p>
            <w:pPr>
              <w:jc w:val="center"/>
            </w:pPr>
            <w:r/>
            <w:r>
              <w:rPr>
                <w:b w:val="0"/>
                <w:sz w:val="18"/>
              </w:rPr>
              <w:t>5</w:t>
            </w:r>
          </w:p>
        </w:tc>
        <w:tc>
          <w:tcPr>
            <w:tcW w:type="dxa" w:w="2376"/>
            <w:vAlign w:val="center"/>
          </w:tcPr>
          <w:p>
            <w:pPr>
              <w:jc w:val="center"/>
            </w:pPr>
            <w:r/>
            <w:r>
              <w:rPr>
                <w:b w:val="0"/>
                <w:sz w:val="18"/>
              </w:rPr>
              <w:t>XGBoost</w:t>
            </w:r>
          </w:p>
        </w:tc>
        <w:tc>
          <w:tcPr>
            <w:tcW w:type="dxa" w:w="6048"/>
            <w:vAlign w:val="center"/>
          </w:tcPr>
          <w:p>
            <w:pPr>
              <w:jc w:val="left"/>
            </w:pPr>
            <w:r/>
            <w:r>
              <w:rPr>
                <w:b w:val="0"/>
                <w:sz w:val="16"/>
              </w:rPr>
              <w:t>n_estimators=300, max_depth=5, learning_rate=0.05, subsample=0.8, colsample_bytree=0.8, objective='multi:softprob', eval_metric='mlogloss', random_state=42, n_jobs=-1</w:t>
            </w:r>
          </w:p>
        </w:tc>
      </w:tr>
      <w:tr>
        <w:tc>
          <w:tcPr>
            <w:tcW w:type="dxa" w:w="936"/>
            <w:vAlign w:val="center"/>
          </w:tcPr>
          <w:p>
            <w:pPr>
              <w:jc w:val="center"/>
            </w:pPr>
            <w:r/>
            <w:r>
              <w:rPr>
                <w:b w:val="0"/>
                <w:sz w:val="18"/>
              </w:rPr>
              <w:t>6</w:t>
            </w:r>
          </w:p>
        </w:tc>
        <w:tc>
          <w:tcPr>
            <w:tcW w:type="dxa" w:w="2376"/>
            <w:vAlign w:val="center"/>
          </w:tcPr>
          <w:p>
            <w:pPr>
              <w:jc w:val="center"/>
            </w:pPr>
            <w:r/>
            <w:r>
              <w:rPr>
                <w:b w:val="0"/>
                <w:sz w:val="18"/>
              </w:rPr>
              <w:t>MLP</w:t>
            </w:r>
          </w:p>
        </w:tc>
        <w:tc>
          <w:tcPr>
            <w:tcW w:type="dxa" w:w="6048"/>
            <w:vAlign w:val="center"/>
          </w:tcPr>
          <w:p>
            <w:pPr>
              <w:jc w:val="left"/>
            </w:pPr>
            <w:r/>
            <w:r>
              <w:rPr>
                <w:b w:val="0"/>
                <w:sz w:val="16"/>
              </w:rPr>
              <w:t>Dense(128)-Dropout(0.30)-Dense(64)-Dropout(0.20)-Dense(32)-Softmax(5), optimizer='adam', loss='categorical_crossentropy', batch_size=32, epochs=100, early_stopping patience=10</w:t>
            </w:r>
          </w:p>
        </w:tc>
      </w:tr>
      <w:tr>
        <w:tc>
          <w:tcPr>
            <w:tcW w:type="dxa" w:w="936"/>
            <w:vAlign w:val="center"/>
          </w:tcPr>
          <w:p>
            <w:pPr>
              <w:jc w:val="center"/>
            </w:pPr>
            <w:r/>
            <w:r>
              <w:rPr>
                <w:b w:val="0"/>
                <w:sz w:val="18"/>
              </w:rPr>
              <w:t>7</w:t>
            </w:r>
          </w:p>
        </w:tc>
        <w:tc>
          <w:tcPr>
            <w:tcW w:type="dxa" w:w="2376"/>
            <w:vAlign w:val="center"/>
          </w:tcPr>
          <w:p>
            <w:pPr>
              <w:jc w:val="center"/>
            </w:pPr>
            <w:r/>
            <w:r>
              <w:rPr>
                <w:b w:val="0"/>
                <w:sz w:val="18"/>
              </w:rPr>
              <w:t>DNN</w:t>
            </w:r>
          </w:p>
        </w:tc>
        <w:tc>
          <w:tcPr>
            <w:tcW w:type="dxa" w:w="6048"/>
            <w:vAlign w:val="center"/>
          </w:tcPr>
          <w:p>
            <w:pPr>
              <w:jc w:val="left"/>
            </w:pPr>
            <w:r/>
            <w:r>
              <w:rPr>
                <w:b w:val="0"/>
                <w:sz w:val="16"/>
              </w:rPr>
              <w:t>Dense(256)-BatchNorm-Dropout(0.35)-Dense(128)-BatchNorm-Dropout(0.30)-Dense(64)-BatchNorm-Dropout(0.20)-Dense(32)-Softmax(5), optimizer='adam', epochs=120</w:t>
            </w:r>
          </w:p>
        </w:tc>
      </w:tr>
      <w:tr>
        <w:tc>
          <w:tcPr>
            <w:tcW w:type="dxa" w:w="936"/>
            <w:vAlign w:val="center"/>
          </w:tcPr>
          <w:p>
            <w:pPr>
              <w:jc w:val="center"/>
            </w:pPr>
            <w:r/>
            <w:r>
              <w:rPr>
                <w:b w:val="0"/>
                <w:sz w:val="18"/>
              </w:rPr>
              <w:t>8</w:t>
            </w:r>
          </w:p>
        </w:tc>
        <w:tc>
          <w:tcPr>
            <w:tcW w:type="dxa" w:w="2376"/>
            <w:vAlign w:val="center"/>
          </w:tcPr>
          <w:p>
            <w:pPr>
              <w:jc w:val="center"/>
            </w:pPr>
            <w:r/>
            <w:r>
              <w:rPr>
                <w:b w:val="0"/>
                <w:sz w:val="18"/>
              </w:rPr>
              <w:t>1D CNN</w:t>
            </w:r>
          </w:p>
        </w:tc>
        <w:tc>
          <w:tcPr>
            <w:tcW w:type="dxa" w:w="6048"/>
            <w:vAlign w:val="center"/>
          </w:tcPr>
          <w:p>
            <w:pPr>
              <w:jc w:val="left"/>
            </w:pPr>
            <w:r/>
            <w:r>
              <w:rPr>
                <w:b w:val="0"/>
                <w:sz w:val="16"/>
              </w:rPr>
              <w:t>Input shape=(20,1), Conv1D(64,kernel=3)-BatchNorm-MaxPool-Dropout(0.25), Conv1D(128,kernel=3)-BatchNorm-MaxPool-Dropout(0.30), Dense(64), Softmax(5), epochs=120</w:t>
            </w:r>
          </w:p>
        </w:tc>
      </w:tr>
    </w:tbl>
    <w:p/>
    <w:p>
      <w:pPr>
        <w:pStyle w:val="Heading2"/>
      </w:pPr>
      <w:r>
        <w:rPr>
          <w:color w:val="2E74B5"/>
        </w:rPr>
        <w:t>4.1 Machine Learning Models</w:t>
      </w:r>
    </w:p>
    <w:p>
      <w:pPr>
        <w:pStyle w:val="ListBullet"/>
        <w:spacing w:after="80"/>
      </w:pPr>
      <w:r>
        <w:t>Logistic Regression: used as a linear baseline with StandardScaler, max_iter=5000, and class_weight=balanced.</w:t>
      </w:r>
    </w:p>
    <w:p>
      <w:pPr>
        <w:pStyle w:val="ListBullet"/>
        <w:spacing w:after="80"/>
      </w:pPr>
      <w:r>
        <w:t>KNN: optimized using 5-fold GridSearchCV with f1_macro scoring; best parameters were metric=manhattan, n_neighbors=5, weights=distance.</w:t>
      </w:r>
    </w:p>
    <w:p>
      <w:pPr>
        <w:pStyle w:val="ListBullet"/>
        <w:spacing w:after="80"/>
      </w:pPr>
      <w:r>
        <w:t>Decision Tree: trained with entropy, max_depth=12, min_samples_leaf=5, min_samples_split=2, and class_weight=balanced.</w:t>
      </w:r>
    </w:p>
    <w:p>
      <w:pPr>
        <w:pStyle w:val="ListBullet"/>
        <w:spacing w:after="80"/>
      </w:pPr>
      <w:r>
        <w:t>Random Forest: trained with 200 estimators, entropy criterion, max_depth=12, min_samples_split=5, min_samples_leaf=10, and class_weight=balanced.</w:t>
      </w:r>
    </w:p>
    <w:p>
      <w:pPr>
        <w:pStyle w:val="ListBullet"/>
        <w:spacing w:after="80"/>
      </w:pPr>
      <w:r>
        <w:t>XGBoost: trained with 300 estimators, max_depth=5, learning_rate=0.05, subsample=0.8, colsample_bytree=0.8, and balanced sample weights.</w:t>
      </w:r>
    </w:p>
    <w:p>
      <w:pPr>
        <w:pStyle w:val="Heading2"/>
      </w:pPr>
      <w:r>
        <w:rPr>
          <w:color w:val="2E74B5"/>
        </w:rPr>
        <w:t>4.2 Deep Learning Models</w:t>
      </w:r>
    </w:p>
    <w:p>
      <w:pPr>
        <w:pStyle w:val="ListBullet"/>
        <w:spacing w:after="80"/>
      </w:pPr>
      <w:r>
        <w:t>MLP: dense neural network with ReLU activations, dropout, softmax output, early stopping, and class weights.</w:t>
      </w:r>
    </w:p>
    <w:p>
      <w:pPr>
        <w:pStyle w:val="ListBullet"/>
        <w:spacing w:after="80"/>
      </w:pPr>
      <w:r>
        <w:t>DNN: deeper dense network with Batch Normalization and Dropout layers.</w:t>
      </w:r>
    </w:p>
    <w:p>
      <w:pPr>
        <w:pStyle w:val="ListBullet"/>
        <w:spacing w:after="80"/>
      </w:pPr>
      <w:r>
        <w:t>1D CNN: convolutional model using reshaped feature vectors with input shape (20, 1).</w:t>
      </w:r>
    </w:p>
    <w:p>
      <w:pPr>
        <w:pStyle w:val="Heading1"/>
      </w:pPr>
      <w:r>
        <w:rPr>
          <w:color w:val="2E74B5"/>
        </w:rPr>
        <w:t>5. Model Evaluation</w:t>
      </w:r>
    </w:p>
    <w:p>
      <w:pPr>
        <w:spacing w:after="160" w:line="288" w:lineRule="auto"/>
      </w:pPr>
      <w:r>
        <w:t>All models were evaluated using accuracy, macro precision, macro recall, and macro F1-score. Macro F1-score was important because the target classes are not perfectly balanced, especially class 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024"/>
            <w:vAlign w:val="center"/>
            <w:shd w:fill="E8EEF5"/>
          </w:tcPr>
          <w:p>
            <w:pPr>
              <w:jc w:val="center"/>
            </w:pPr>
            <w:r/>
            <w:r>
              <w:rPr>
                <w:b/>
                <w:sz w:val="18"/>
              </w:rPr>
              <w:t>Model</w:t>
            </w:r>
          </w:p>
        </w:tc>
        <w:tc>
          <w:tcPr>
            <w:tcW w:type="dxa" w:w="1584"/>
            <w:vAlign w:val="center"/>
            <w:shd w:fill="E8EEF5"/>
          </w:tcPr>
          <w:p>
            <w:pPr>
              <w:jc w:val="center"/>
            </w:pPr>
            <w:r/>
            <w:r>
              <w:rPr>
                <w:b/>
                <w:sz w:val="18"/>
              </w:rPr>
              <w:t>Accuracy</w:t>
            </w:r>
          </w:p>
        </w:tc>
        <w:tc>
          <w:tcPr>
            <w:tcW w:type="dxa" w:w="1584"/>
            <w:vAlign w:val="center"/>
            <w:shd w:fill="E8EEF5"/>
          </w:tcPr>
          <w:p>
            <w:pPr>
              <w:jc w:val="center"/>
            </w:pPr>
            <w:r/>
            <w:r>
              <w:rPr>
                <w:b/>
                <w:sz w:val="18"/>
              </w:rPr>
              <w:t>Precision</w:t>
            </w:r>
          </w:p>
        </w:tc>
        <w:tc>
          <w:tcPr>
            <w:tcW w:type="dxa" w:w="1584"/>
            <w:vAlign w:val="center"/>
            <w:shd w:fill="E8EEF5"/>
          </w:tcPr>
          <w:p>
            <w:pPr>
              <w:jc w:val="center"/>
            </w:pPr>
            <w:r/>
            <w:r>
              <w:rPr>
                <w:b/>
                <w:sz w:val="18"/>
              </w:rPr>
              <w:t>Recall</w:t>
            </w:r>
          </w:p>
        </w:tc>
        <w:tc>
          <w:tcPr>
            <w:tcW w:type="dxa" w:w="1584"/>
            <w:vAlign w:val="center"/>
            <w:shd w:fill="E8EEF5"/>
          </w:tcPr>
          <w:p>
            <w:pPr>
              <w:jc w:val="center"/>
            </w:pPr>
            <w:r/>
            <w:r>
              <w:rPr>
                <w:b/>
                <w:sz w:val="18"/>
              </w:rPr>
              <w:t>Macro F1</w:t>
            </w:r>
          </w:p>
        </w:tc>
      </w:tr>
      <w:tr>
        <w:tc>
          <w:tcPr>
            <w:tcW w:type="dxa" w:w="3024"/>
            <w:vAlign w:val="center"/>
          </w:tcPr>
          <w:p>
            <w:pPr>
              <w:jc w:val="center"/>
            </w:pPr>
            <w:r/>
            <w:r>
              <w:rPr>
                <w:b w:val="0"/>
                <w:sz w:val="18"/>
              </w:rPr>
              <w:t>Logistic Regression</w:t>
            </w:r>
          </w:p>
        </w:tc>
        <w:tc>
          <w:tcPr>
            <w:tcW w:type="dxa" w:w="1584"/>
            <w:vAlign w:val="center"/>
          </w:tcPr>
          <w:p>
            <w:pPr>
              <w:jc w:val="center"/>
            </w:pPr>
            <w:r/>
            <w:r>
              <w:rPr>
                <w:b w:val="0"/>
                <w:sz w:val="18"/>
              </w:rPr>
              <w:t>0.7591</w:t>
            </w:r>
          </w:p>
        </w:tc>
        <w:tc>
          <w:tcPr>
            <w:tcW w:type="dxa" w:w="1584"/>
            <w:vAlign w:val="center"/>
          </w:tcPr>
          <w:p>
            <w:pPr>
              <w:jc w:val="center"/>
            </w:pPr>
            <w:r/>
            <w:r>
              <w:rPr>
                <w:b w:val="0"/>
                <w:sz w:val="18"/>
              </w:rPr>
              <w:t>0.7574</w:t>
            </w:r>
          </w:p>
        </w:tc>
        <w:tc>
          <w:tcPr>
            <w:tcW w:type="dxa" w:w="1584"/>
            <w:vAlign w:val="center"/>
          </w:tcPr>
          <w:p>
            <w:pPr>
              <w:jc w:val="center"/>
            </w:pPr>
            <w:r/>
            <w:r>
              <w:rPr>
                <w:b w:val="0"/>
                <w:sz w:val="18"/>
              </w:rPr>
              <w:t>0.7763</w:t>
            </w:r>
          </w:p>
        </w:tc>
        <w:tc>
          <w:tcPr>
            <w:tcW w:type="dxa" w:w="1584"/>
            <w:vAlign w:val="center"/>
          </w:tcPr>
          <w:p>
            <w:pPr>
              <w:jc w:val="center"/>
            </w:pPr>
            <w:r/>
            <w:r>
              <w:rPr>
                <w:b w:val="0"/>
                <w:sz w:val="18"/>
              </w:rPr>
              <w:t>0.7642</w:t>
            </w:r>
          </w:p>
        </w:tc>
      </w:tr>
      <w:tr>
        <w:tc>
          <w:tcPr>
            <w:tcW w:type="dxa" w:w="3024"/>
            <w:vAlign w:val="center"/>
          </w:tcPr>
          <w:p>
            <w:pPr>
              <w:jc w:val="center"/>
            </w:pPr>
            <w:r/>
            <w:r>
              <w:rPr>
                <w:b w:val="0"/>
                <w:sz w:val="18"/>
              </w:rPr>
              <w:t>KNN with CV</w:t>
            </w:r>
          </w:p>
        </w:tc>
        <w:tc>
          <w:tcPr>
            <w:tcW w:type="dxa" w:w="1584"/>
            <w:vAlign w:val="center"/>
          </w:tcPr>
          <w:p>
            <w:pPr>
              <w:jc w:val="center"/>
            </w:pPr>
            <w:r/>
            <w:r>
              <w:rPr>
                <w:b w:val="0"/>
                <w:sz w:val="18"/>
              </w:rPr>
              <w:t>0.8547</w:t>
            </w:r>
          </w:p>
        </w:tc>
        <w:tc>
          <w:tcPr>
            <w:tcW w:type="dxa" w:w="1584"/>
            <w:vAlign w:val="center"/>
          </w:tcPr>
          <w:p>
            <w:pPr>
              <w:jc w:val="center"/>
            </w:pPr>
            <w:r/>
            <w:r>
              <w:rPr>
                <w:b w:val="0"/>
                <w:sz w:val="18"/>
              </w:rPr>
              <w:t>0.8608</w:t>
            </w:r>
          </w:p>
        </w:tc>
        <w:tc>
          <w:tcPr>
            <w:tcW w:type="dxa" w:w="1584"/>
            <w:vAlign w:val="center"/>
          </w:tcPr>
          <w:p>
            <w:pPr>
              <w:jc w:val="center"/>
            </w:pPr>
            <w:r/>
            <w:r>
              <w:rPr>
                <w:b w:val="0"/>
                <w:sz w:val="18"/>
              </w:rPr>
              <w:t>0.8514</w:t>
            </w:r>
          </w:p>
        </w:tc>
        <w:tc>
          <w:tcPr>
            <w:tcW w:type="dxa" w:w="1584"/>
            <w:vAlign w:val="center"/>
          </w:tcPr>
          <w:p>
            <w:pPr>
              <w:jc w:val="center"/>
            </w:pPr>
            <w:r/>
            <w:r>
              <w:rPr>
                <w:b w:val="0"/>
                <w:sz w:val="18"/>
              </w:rPr>
              <w:t>0.8556</w:t>
            </w:r>
          </w:p>
        </w:tc>
      </w:tr>
      <w:tr>
        <w:tc>
          <w:tcPr>
            <w:tcW w:type="dxa" w:w="3024"/>
            <w:vAlign w:val="center"/>
          </w:tcPr>
          <w:p>
            <w:pPr>
              <w:jc w:val="center"/>
            </w:pPr>
            <w:r/>
            <w:r>
              <w:rPr>
                <w:b w:val="0"/>
                <w:sz w:val="18"/>
              </w:rPr>
              <w:t>Decision Tree</w:t>
            </w:r>
          </w:p>
        </w:tc>
        <w:tc>
          <w:tcPr>
            <w:tcW w:type="dxa" w:w="1584"/>
            <w:vAlign w:val="center"/>
          </w:tcPr>
          <w:p>
            <w:pPr>
              <w:jc w:val="center"/>
            </w:pPr>
            <w:r/>
            <w:r>
              <w:rPr>
                <w:b w:val="0"/>
                <w:sz w:val="18"/>
              </w:rPr>
              <w:t>0.8834</w:t>
            </w:r>
          </w:p>
        </w:tc>
        <w:tc>
          <w:tcPr>
            <w:tcW w:type="dxa" w:w="1584"/>
            <w:vAlign w:val="center"/>
          </w:tcPr>
          <w:p>
            <w:pPr>
              <w:jc w:val="center"/>
            </w:pPr>
            <w:r/>
            <w:r>
              <w:rPr>
                <w:b w:val="0"/>
                <w:sz w:val="18"/>
              </w:rPr>
              <w:t>0.8770</w:t>
            </w:r>
          </w:p>
        </w:tc>
        <w:tc>
          <w:tcPr>
            <w:tcW w:type="dxa" w:w="1584"/>
            <w:vAlign w:val="center"/>
          </w:tcPr>
          <w:p>
            <w:pPr>
              <w:jc w:val="center"/>
            </w:pPr>
            <w:r/>
            <w:r>
              <w:rPr>
                <w:b w:val="0"/>
                <w:sz w:val="18"/>
              </w:rPr>
              <w:t>0.8863</w:t>
            </w:r>
          </w:p>
        </w:tc>
        <w:tc>
          <w:tcPr>
            <w:tcW w:type="dxa" w:w="1584"/>
            <w:vAlign w:val="center"/>
          </w:tcPr>
          <w:p>
            <w:pPr>
              <w:jc w:val="center"/>
            </w:pPr>
            <w:r/>
            <w:r>
              <w:rPr>
                <w:b w:val="0"/>
                <w:sz w:val="18"/>
              </w:rPr>
              <w:t>0.8812</w:t>
            </w:r>
          </w:p>
        </w:tc>
      </w:tr>
      <w:tr>
        <w:tc>
          <w:tcPr>
            <w:tcW w:type="dxa" w:w="3024"/>
            <w:vAlign w:val="center"/>
          </w:tcPr>
          <w:p>
            <w:pPr>
              <w:jc w:val="center"/>
            </w:pPr>
            <w:r/>
            <w:r>
              <w:rPr>
                <w:b w:val="0"/>
                <w:sz w:val="18"/>
              </w:rPr>
              <w:t>Random Forest</w:t>
            </w:r>
          </w:p>
        </w:tc>
        <w:tc>
          <w:tcPr>
            <w:tcW w:type="dxa" w:w="1584"/>
            <w:vAlign w:val="center"/>
          </w:tcPr>
          <w:p>
            <w:pPr>
              <w:jc w:val="center"/>
            </w:pPr>
            <w:r/>
            <w:r>
              <w:rPr>
                <w:b w:val="0"/>
                <w:sz w:val="18"/>
              </w:rPr>
              <w:t>0.8842</w:t>
            </w:r>
          </w:p>
        </w:tc>
        <w:tc>
          <w:tcPr>
            <w:tcW w:type="dxa" w:w="1584"/>
            <w:vAlign w:val="center"/>
          </w:tcPr>
          <w:p>
            <w:pPr>
              <w:jc w:val="center"/>
            </w:pPr>
            <w:r/>
            <w:r>
              <w:rPr>
                <w:b w:val="0"/>
                <w:sz w:val="18"/>
              </w:rPr>
              <w:t>0.8843</w:t>
            </w:r>
          </w:p>
        </w:tc>
        <w:tc>
          <w:tcPr>
            <w:tcW w:type="dxa" w:w="1584"/>
            <w:vAlign w:val="center"/>
          </w:tcPr>
          <w:p>
            <w:pPr>
              <w:jc w:val="center"/>
            </w:pPr>
            <w:r/>
            <w:r>
              <w:rPr>
                <w:b w:val="0"/>
                <w:sz w:val="18"/>
              </w:rPr>
              <w:t>0.8860</w:t>
            </w:r>
          </w:p>
        </w:tc>
        <w:tc>
          <w:tcPr>
            <w:tcW w:type="dxa" w:w="1584"/>
            <w:vAlign w:val="center"/>
          </w:tcPr>
          <w:p>
            <w:pPr>
              <w:jc w:val="center"/>
            </w:pPr>
            <w:r/>
            <w:r>
              <w:rPr>
                <w:b w:val="0"/>
                <w:sz w:val="18"/>
              </w:rPr>
              <w:t>0.8849</w:t>
            </w:r>
          </w:p>
        </w:tc>
      </w:tr>
      <w:tr>
        <w:tc>
          <w:tcPr>
            <w:tcW w:type="dxa" w:w="3024"/>
            <w:vAlign w:val="center"/>
          </w:tcPr>
          <w:p>
            <w:pPr>
              <w:jc w:val="center"/>
            </w:pPr>
            <w:r/>
            <w:r>
              <w:rPr>
                <w:b w:val="0"/>
                <w:sz w:val="18"/>
              </w:rPr>
              <w:t>XGBoost</w:t>
            </w:r>
          </w:p>
        </w:tc>
        <w:tc>
          <w:tcPr>
            <w:tcW w:type="dxa" w:w="1584"/>
            <w:vAlign w:val="center"/>
          </w:tcPr>
          <w:p>
            <w:pPr>
              <w:jc w:val="center"/>
            </w:pPr>
            <w:r/>
            <w:r>
              <w:rPr>
                <w:b w:val="0"/>
                <w:sz w:val="18"/>
              </w:rPr>
              <w:t>0.9325</w:t>
            </w:r>
          </w:p>
        </w:tc>
        <w:tc>
          <w:tcPr>
            <w:tcW w:type="dxa" w:w="1584"/>
            <w:vAlign w:val="center"/>
          </w:tcPr>
          <w:p>
            <w:pPr>
              <w:jc w:val="center"/>
            </w:pPr>
            <w:r/>
            <w:r>
              <w:rPr>
                <w:b w:val="0"/>
                <w:sz w:val="18"/>
              </w:rPr>
              <w:t>0.9330</w:t>
            </w:r>
          </w:p>
        </w:tc>
        <w:tc>
          <w:tcPr>
            <w:tcW w:type="dxa" w:w="1584"/>
            <w:vAlign w:val="center"/>
          </w:tcPr>
          <w:p>
            <w:pPr>
              <w:jc w:val="center"/>
            </w:pPr>
            <w:r/>
            <w:r>
              <w:rPr>
                <w:b w:val="0"/>
                <w:sz w:val="18"/>
              </w:rPr>
              <w:t>0.9308</w:t>
            </w:r>
          </w:p>
        </w:tc>
        <w:tc>
          <w:tcPr>
            <w:tcW w:type="dxa" w:w="1584"/>
            <w:vAlign w:val="center"/>
          </w:tcPr>
          <w:p>
            <w:pPr>
              <w:jc w:val="center"/>
            </w:pPr>
            <w:r/>
            <w:r>
              <w:rPr>
                <w:b w:val="0"/>
                <w:sz w:val="18"/>
              </w:rPr>
              <w:t>0.9318</w:t>
            </w:r>
          </w:p>
        </w:tc>
      </w:tr>
      <w:tr>
        <w:tc>
          <w:tcPr>
            <w:tcW w:type="dxa" w:w="3024"/>
            <w:vAlign w:val="center"/>
          </w:tcPr>
          <w:p>
            <w:pPr>
              <w:jc w:val="center"/>
            </w:pPr>
            <w:r/>
            <w:r>
              <w:rPr>
                <w:b w:val="0"/>
                <w:sz w:val="18"/>
              </w:rPr>
              <w:t>MLP</w:t>
            </w:r>
          </w:p>
        </w:tc>
        <w:tc>
          <w:tcPr>
            <w:tcW w:type="dxa" w:w="1584"/>
            <w:vAlign w:val="center"/>
          </w:tcPr>
          <w:p>
            <w:pPr>
              <w:jc w:val="center"/>
            </w:pPr>
            <w:r/>
            <w:r>
              <w:rPr>
                <w:b w:val="0"/>
                <w:sz w:val="18"/>
              </w:rPr>
              <w:t>0.9112</w:t>
            </w:r>
          </w:p>
        </w:tc>
        <w:tc>
          <w:tcPr>
            <w:tcW w:type="dxa" w:w="1584"/>
            <w:vAlign w:val="center"/>
          </w:tcPr>
          <w:p>
            <w:pPr>
              <w:jc w:val="center"/>
            </w:pPr>
            <w:r/>
            <w:r>
              <w:rPr>
                <w:b w:val="0"/>
                <w:sz w:val="18"/>
              </w:rPr>
              <w:t>0.9083</w:t>
            </w:r>
          </w:p>
        </w:tc>
        <w:tc>
          <w:tcPr>
            <w:tcW w:type="dxa" w:w="1584"/>
            <w:vAlign w:val="center"/>
          </w:tcPr>
          <w:p>
            <w:pPr>
              <w:jc w:val="center"/>
            </w:pPr>
            <w:r/>
            <w:r>
              <w:rPr>
                <w:b w:val="0"/>
                <w:sz w:val="18"/>
              </w:rPr>
              <w:t>0.9166</w:t>
            </w:r>
          </w:p>
        </w:tc>
        <w:tc>
          <w:tcPr>
            <w:tcW w:type="dxa" w:w="1584"/>
            <w:vAlign w:val="center"/>
          </w:tcPr>
          <w:p>
            <w:pPr>
              <w:jc w:val="center"/>
            </w:pPr>
            <w:r/>
            <w:r>
              <w:rPr>
                <w:b w:val="0"/>
                <w:sz w:val="18"/>
              </w:rPr>
              <w:t>0.9115</w:t>
            </w:r>
          </w:p>
        </w:tc>
      </w:tr>
      <w:tr>
        <w:tc>
          <w:tcPr>
            <w:tcW w:type="dxa" w:w="3024"/>
            <w:vAlign w:val="center"/>
          </w:tcPr>
          <w:p>
            <w:pPr>
              <w:jc w:val="center"/>
            </w:pPr>
            <w:r/>
            <w:r>
              <w:rPr>
                <w:b w:val="0"/>
                <w:sz w:val="18"/>
              </w:rPr>
              <w:t>DNN</w:t>
            </w:r>
          </w:p>
        </w:tc>
        <w:tc>
          <w:tcPr>
            <w:tcW w:type="dxa" w:w="1584"/>
            <w:vAlign w:val="center"/>
          </w:tcPr>
          <w:p>
            <w:pPr>
              <w:jc w:val="center"/>
            </w:pPr>
            <w:r/>
            <w:r>
              <w:rPr>
                <w:b w:val="0"/>
                <w:sz w:val="18"/>
              </w:rPr>
              <w:t>0.8952</w:t>
            </w:r>
          </w:p>
        </w:tc>
        <w:tc>
          <w:tcPr>
            <w:tcW w:type="dxa" w:w="1584"/>
            <w:vAlign w:val="center"/>
          </w:tcPr>
          <w:p>
            <w:pPr>
              <w:jc w:val="center"/>
            </w:pPr>
            <w:r/>
            <w:r>
              <w:rPr>
                <w:b w:val="0"/>
                <w:sz w:val="18"/>
              </w:rPr>
              <w:t>0.8919</w:t>
            </w:r>
          </w:p>
        </w:tc>
        <w:tc>
          <w:tcPr>
            <w:tcW w:type="dxa" w:w="1584"/>
            <w:vAlign w:val="center"/>
          </w:tcPr>
          <w:p>
            <w:pPr>
              <w:jc w:val="center"/>
            </w:pPr>
            <w:r/>
            <w:r>
              <w:rPr>
                <w:b w:val="0"/>
                <w:sz w:val="18"/>
              </w:rPr>
              <w:t>0.9022</w:t>
            </w:r>
          </w:p>
        </w:tc>
        <w:tc>
          <w:tcPr>
            <w:tcW w:type="dxa" w:w="1584"/>
            <w:vAlign w:val="center"/>
          </w:tcPr>
          <w:p>
            <w:pPr>
              <w:jc w:val="center"/>
            </w:pPr>
            <w:r/>
            <w:r>
              <w:rPr>
                <w:b w:val="0"/>
                <w:sz w:val="18"/>
              </w:rPr>
              <w:t>0.8962</w:t>
            </w:r>
          </w:p>
        </w:tc>
      </w:tr>
      <w:tr>
        <w:tc>
          <w:tcPr>
            <w:tcW w:type="dxa" w:w="3024"/>
            <w:vAlign w:val="center"/>
          </w:tcPr>
          <w:p>
            <w:pPr>
              <w:jc w:val="center"/>
            </w:pPr>
            <w:r/>
            <w:r>
              <w:rPr>
                <w:b w:val="0"/>
                <w:sz w:val="18"/>
              </w:rPr>
              <w:t>1D CNN</w:t>
            </w:r>
          </w:p>
        </w:tc>
        <w:tc>
          <w:tcPr>
            <w:tcW w:type="dxa" w:w="1584"/>
            <w:vAlign w:val="center"/>
          </w:tcPr>
          <w:p>
            <w:pPr>
              <w:jc w:val="center"/>
            </w:pPr>
            <w:r/>
            <w:r>
              <w:rPr>
                <w:b w:val="0"/>
                <w:sz w:val="18"/>
              </w:rPr>
              <w:t>0.8923</w:t>
            </w:r>
          </w:p>
        </w:tc>
        <w:tc>
          <w:tcPr>
            <w:tcW w:type="dxa" w:w="1584"/>
            <w:vAlign w:val="center"/>
          </w:tcPr>
          <w:p>
            <w:pPr>
              <w:jc w:val="center"/>
            </w:pPr>
            <w:r/>
            <w:r>
              <w:rPr>
                <w:b w:val="0"/>
                <w:sz w:val="18"/>
              </w:rPr>
              <w:t>0.8928</w:t>
            </w:r>
          </w:p>
        </w:tc>
        <w:tc>
          <w:tcPr>
            <w:tcW w:type="dxa" w:w="1584"/>
            <w:vAlign w:val="center"/>
          </w:tcPr>
          <w:p>
            <w:pPr>
              <w:jc w:val="center"/>
            </w:pPr>
            <w:r/>
            <w:r>
              <w:rPr>
                <w:b w:val="0"/>
                <w:sz w:val="18"/>
              </w:rPr>
              <w:t>0.8914</w:t>
            </w:r>
          </w:p>
        </w:tc>
        <w:tc>
          <w:tcPr>
            <w:tcW w:type="dxa" w:w="1584"/>
            <w:vAlign w:val="center"/>
          </w:tcPr>
          <w:p>
            <w:pPr>
              <w:jc w:val="center"/>
            </w:pPr>
            <w:r/>
            <w:r>
              <w:rPr>
                <w:b w:val="0"/>
                <w:sz w:val="18"/>
              </w:rPr>
              <w:t>0.8919</w:t>
            </w:r>
          </w:p>
        </w:tc>
      </w:tr>
    </w:tbl>
    <w:p/>
    <w:p>
      <w:pPr>
        <w:spacing w:after="160" w:line="288" w:lineRule="auto"/>
      </w:pPr>
      <w:r>
        <w:t>XGBoost achieved the best full-feature model performance with 0.9325 accuracy and 0.9318 macro F1-score. Among the deep learning models, MLP achieved the best performance with 0.9112 accuracy and 0.9115 macro F1-score.</w:t>
      </w:r>
    </w:p>
    <w:p>
      <w:pPr>
        <w:pStyle w:val="Heading2"/>
      </w:pPr>
      <w:r>
        <w:rPr>
          <w:color w:val="2E74B5"/>
        </w:rPr>
        <w:t>5.1 Confusion Matrix Analysis</w:t>
      </w:r>
    </w:p>
    <w:p>
      <w:pPr>
        <w:spacing w:after="160" w:line="288" w:lineRule="auto"/>
      </w:pPr>
      <w:r>
        <w:t>Confusion matrices were used to inspect class-level model behavior. They show how many samples from each actual nutrition grade were assigned to each predicted grade. Since the target variable has five classes, the confusion matrices are useful for identifying whether models mostly confuse neighboring grades or make larger classification errors.</w:t>
      </w:r>
    </w:p>
    <w:p>
      <w:pPr>
        <w:jc w:val="center"/>
      </w:pPr>
      <w:r>
        <w:drawing>
          <wp:inline xmlns:a="http://schemas.openxmlformats.org/drawingml/2006/main" xmlns:pic="http://schemas.openxmlformats.org/drawingml/2006/picture">
            <wp:extent cx="4754880" cy="3780835"/>
            <wp:docPr id="4" name="Picture 4"/>
            <wp:cNvGraphicFramePr>
              <a:graphicFrameLocks noChangeAspect="1"/>
            </wp:cNvGraphicFramePr>
            <a:graphic>
              <a:graphicData uri="http://schemas.openxmlformats.org/drawingml/2006/picture">
                <pic:pic>
                  <pic:nvPicPr>
                    <pic:cNvPr id="0" name="logistic_regression_confusion_matrix.png"/>
                    <pic:cNvPicPr/>
                  </pic:nvPicPr>
                  <pic:blipFill>
                    <a:blip r:embed="rId12"/>
                    <a:stretch>
                      <a:fillRect/>
                    </a:stretch>
                  </pic:blipFill>
                  <pic:spPr>
                    <a:xfrm>
                      <a:off x="0" y="0"/>
                      <a:ext cx="4754880" cy="3780835"/>
                    </a:xfrm>
                    <a:prstGeom prst="rect"/>
                  </pic:spPr>
                </pic:pic>
              </a:graphicData>
            </a:graphic>
          </wp:inline>
        </w:drawing>
      </w:r>
    </w:p>
    <w:p>
      <w:pPr>
        <w:jc w:val="center"/>
      </w:pPr>
      <w:r>
        <w:rPr>
          <w:i/>
          <w:color w:val="5A5A5A"/>
          <w:sz w:val="18"/>
        </w:rPr>
        <w:t>Figure 5. Logistic Regression confusion matrix.</w:t>
      </w:r>
    </w:p>
    <w:p>
      <w:pPr>
        <w:jc w:val="center"/>
      </w:pPr>
      <w:r>
        <w:drawing>
          <wp:inline xmlns:a="http://schemas.openxmlformats.org/drawingml/2006/main" xmlns:pic="http://schemas.openxmlformats.org/drawingml/2006/picture">
            <wp:extent cx="4754880" cy="3780835"/>
            <wp:docPr id="5" name="Picture 5"/>
            <wp:cNvGraphicFramePr>
              <a:graphicFrameLocks noChangeAspect="1"/>
            </wp:cNvGraphicFramePr>
            <a:graphic>
              <a:graphicData uri="http://schemas.openxmlformats.org/drawingml/2006/picture">
                <pic:pic>
                  <pic:nvPicPr>
                    <pic:cNvPr id="0" name="knn_confusion_matrix.png"/>
                    <pic:cNvPicPr/>
                  </pic:nvPicPr>
                  <pic:blipFill>
                    <a:blip r:embed="rId13"/>
                    <a:stretch>
                      <a:fillRect/>
                    </a:stretch>
                  </pic:blipFill>
                  <pic:spPr>
                    <a:xfrm>
                      <a:off x="0" y="0"/>
                      <a:ext cx="4754880" cy="3780835"/>
                    </a:xfrm>
                    <a:prstGeom prst="rect"/>
                  </pic:spPr>
                </pic:pic>
              </a:graphicData>
            </a:graphic>
          </wp:inline>
        </w:drawing>
      </w:r>
    </w:p>
    <w:p>
      <w:pPr>
        <w:jc w:val="center"/>
      </w:pPr>
      <w:r>
        <w:rPr>
          <w:i/>
          <w:color w:val="5A5A5A"/>
          <w:sz w:val="18"/>
        </w:rPr>
        <w:t>Figure 6. KNN confusion matrix.</w:t>
      </w:r>
    </w:p>
    <w:p>
      <w:pPr>
        <w:jc w:val="center"/>
      </w:pPr>
      <w:r>
        <w:drawing>
          <wp:inline xmlns:a="http://schemas.openxmlformats.org/drawingml/2006/main" xmlns:pic="http://schemas.openxmlformats.org/drawingml/2006/picture">
            <wp:extent cx="4754880" cy="3780835"/>
            <wp:docPr id="6" name="Picture 6"/>
            <wp:cNvGraphicFramePr>
              <a:graphicFrameLocks noChangeAspect="1"/>
            </wp:cNvGraphicFramePr>
            <a:graphic>
              <a:graphicData uri="http://schemas.openxmlformats.org/drawingml/2006/picture">
                <pic:pic>
                  <pic:nvPicPr>
                    <pic:cNvPr id="0" name="decision_tree_confusion_matrix.png"/>
                    <pic:cNvPicPr/>
                  </pic:nvPicPr>
                  <pic:blipFill>
                    <a:blip r:embed="rId14"/>
                    <a:stretch>
                      <a:fillRect/>
                    </a:stretch>
                  </pic:blipFill>
                  <pic:spPr>
                    <a:xfrm>
                      <a:off x="0" y="0"/>
                      <a:ext cx="4754880" cy="3780835"/>
                    </a:xfrm>
                    <a:prstGeom prst="rect"/>
                  </pic:spPr>
                </pic:pic>
              </a:graphicData>
            </a:graphic>
          </wp:inline>
        </w:drawing>
      </w:r>
    </w:p>
    <w:p>
      <w:pPr>
        <w:jc w:val="center"/>
      </w:pPr>
      <w:r>
        <w:rPr>
          <w:i/>
          <w:color w:val="5A5A5A"/>
          <w:sz w:val="18"/>
        </w:rPr>
        <w:t>Figure 7. Decision Tree confusion matrix.</w:t>
      </w:r>
    </w:p>
    <w:p>
      <w:pPr>
        <w:jc w:val="center"/>
      </w:pPr>
      <w:r>
        <w:drawing>
          <wp:inline xmlns:a="http://schemas.openxmlformats.org/drawingml/2006/main" xmlns:pic="http://schemas.openxmlformats.org/drawingml/2006/picture">
            <wp:extent cx="4754880" cy="3780835"/>
            <wp:docPr id="7" name="Picture 7"/>
            <wp:cNvGraphicFramePr>
              <a:graphicFrameLocks noChangeAspect="1"/>
            </wp:cNvGraphicFramePr>
            <a:graphic>
              <a:graphicData uri="http://schemas.openxmlformats.org/drawingml/2006/picture">
                <pic:pic>
                  <pic:nvPicPr>
                    <pic:cNvPr id="0" name="random_forest_confusion_matrix.png"/>
                    <pic:cNvPicPr/>
                  </pic:nvPicPr>
                  <pic:blipFill>
                    <a:blip r:embed="rId15"/>
                    <a:stretch>
                      <a:fillRect/>
                    </a:stretch>
                  </pic:blipFill>
                  <pic:spPr>
                    <a:xfrm>
                      <a:off x="0" y="0"/>
                      <a:ext cx="4754880" cy="3780835"/>
                    </a:xfrm>
                    <a:prstGeom prst="rect"/>
                  </pic:spPr>
                </pic:pic>
              </a:graphicData>
            </a:graphic>
          </wp:inline>
        </w:drawing>
      </w:r>
    </w:p>
    <w:p>
      <w:pPr>
        <w:jc w:val="center"/>
      </w:pPr>
      <w:r>
        <w:rPr>
          <w:i/>
          <w:color w:val="5A5A5A"/>
          <w:sz w:val="18"/>
        </w:rPr>
        <w:t>Figure 8. Random Forest confusion matrix.</w:t>
      </w:r>
    </w:p>
    <w:p>
      <w:pPr>
        <w:jc w:val="center"/>
      </w:pPr>
      <w:r>
        <w:drawing>
          <wp:inline xmlns:a="http://schemas.openxmlformats.org/drawingml/2006/main" xmlns:pic="http://schemas.openxmlformats.org/drawingml/2006/picture">
            <wp:extent cx="4754880" cy="3780835"/>
            <wp:docPr id="8" name="Picture 8"/>
            <wp:cNvGraphicFramePr>
              <a:graphicFrameLocks noChangeAspect="1"/>
            </wp:cNvGraphicFramePr>
            <a:graphic>
              <a:graphicData uri="http://schemas.openxmlformats.org/drawingml/2006/picture">
                <pic:pic>
                  <pic:nvPicPr>
                    <pic:cNvPr id="0" name="xgboost_confusion_matrix.png"/>
                    <pic:cNvPicPr/>
                  </pic:nvPicPr>
                  <pic:blipFill>
                    <a:blip r:embed="rId16"/>
                    <a:stretch>
                      <a:fillRect/>
                    </a:stretch>
                  </pic:blipFill>
                  <pic:spPr>
                    <a:xfrm>
                      <a:off x="0" y="0"/>
                      <a:ext cx="4754880" cy="3780835"/>
                    </a:xfrm>
                    <a:prstGeom prst="rect"/>
                  </pic:spPr>
                </pic:pic>
              </a:graphicData>
            </a:graphic>
          </wp:inline>
        </w:drawing>
      </w:r>
    </w:p>
    <w:p>
      <w:pPr>
        <w:jc w:val="center"/>
      </w:pPr>
      <w:r>
        <w:rPr>
          <w:i/>
          <w:color w:val="5A5A5A"/>
          <w:sz w:val="18"/>
        </w:rPr>
        <w:t>Figure 9. XGBoost confusion matrix.</w:t>
      </w:r>
    </w:p>
    <w:p>
      <w:pPr>
        <w:jc w:val="center"/>
      </w:pPr>
      <w:r>
        <w:drawing>
          <wp:inline xmlns:a="http://schemas.openxmlformats.org/drawingml/2006/main" xmlns:pic="http://schemas.openxmlformats.org/drawingml/2006/picture">
            <wp:extent cx="4754880" cy="3780835"/>
            <wp:docPr id="9" name="Picture 9"/>
            <wp:cNvGraphicFramePr>
              <a:graphicFrameLocks noChangeAspect="1"/>
            </wp:cNvGraphicFramePr>
            <a:graphic>
              <a:graphicData uri="http://schemas.openxmlformats.org/drawingml/2006/picture">
                <pic:pic>
                  <pic:nvPicPr>
                    <pic:cNvPr id="0" name="mlp_confusion_matrix.png"/>
                    <pic:cNvPicPr/>
                  </pic:nvPicPr>
                  <pic:blipFill>
                    <a:blip r:embed="rId17"/>
                    <a:stretch>
                      <a:fillRect/>
                    </a:stretch>
                  </pic:blipFill>
                  <pic:spPr>
                    <a:xfrm>
                      <a:off x="0" y="0"/>
                      <a:ext cx="4754880" cy="3780835"/>
                    </a:xfrm>
                    <a:prstGeom prst="rect"/>
                  </pic:spPr>
                </pic:pic>
              </a:graphicData>
            </a:graphic>
          </wp:inline>
        </w:drawing>
      </w:r>
    </w:p>
    <w:p>
      <w:pPr>
        <w:jc w:val="center"/>
      </w:pPr>
      <w:r>
        <w:rPr>
          <w:i/>
          <w:color w:val="5A5A5A"/>
          <w:sz w:val="18"/>
        </w:rPr>
        <w:t>Figure 10. MLP confusion matrix.</w:t>
      </w:r>
    </w:p>
    <w:p>
      <w:pPr>
        <w:jc w:val="center"/>
      </w:pPr>
      <w:r>
        <w:drawing>
          <wp:inline xmlns:a="http://schemas.openxmlformats.org/drawingml/2006/main" xmlns:pic="http://schemas.openxmlformats.org/drawingml/2006/picture">
            <wp:extent cx="4754880" cy="2355805"/>
            <wp:docPr id="10" name="Picture 10"/>
            <wp:cNvGraphicFramePr>
              <a:graphicFrameLocks noChangeAspect="1"/>
            </wp:cNvGraphicFramePr>
            <a:graphic>
              <a:graphicData uri="http://schemas.openxmlformats.org/drawingml/2006/picture">
                <pic:pic>
                  <pic:nvPicPr>
                    <pic:cNvPr id="0" name="dnn_confusion_matrix.png"/>
                    <pic:cNvPicPr/>
                  </pic:nvPicPr>
                  <pic:blipFill>
                    <a:blip r:embed="rId18"/>
                    <a:stretch>
                      <a:fillRect/>
                    </a:stretch>
                  </pic:blipFill>
                  <pic:spPr>
                    <a:xfrm>
                      <a:off x="0" y="0"/>
                      <a:ext cx="4754880" cy="2355805"/>
                    </a:xfrm>
                    <a:prstGeom prst="rect"/>
                  </pic:spPr>
                </pic:pic>
              </a:graphicData>
            </a:graphic>
          </wp:inline>
        </w:drawing>
      </w:r>
    </w:p>
    <w:p>
      <w:pPr>
        <w:jc w:val="center"/>
      </w:pPr>
      <w:r>
        <w:rPr>
          <w:i/>
          <w:color w:val="5A5A5A"/>
          <w:sz w:val="18"/>
        </w:rPr>
        <w:t>Figure 11. DNN confusion matrix.</w:t>
      </w:r>
    </w:p>
    <w:p>
      <w:pPr>
        <w:jc w:val="center"/>
      </w:pPr>
      <w:r>
        <w:drawing>
          <wp:inline xmlns:a="http://schemas.openxmlformats.org/drawingml/2006/main" xmlns:pic="http://schemas.openxmlformats.org/drawingml/2006/picture">
            <wp:extent cx="4754880" cy="2355805"/>
            <wp:docPr id="11" name="Picture 11"/>
            <wp:cNvGraphicFramePr>
              <a:graphicFrameLocks noChangeAspect="1"/>
            </wp:cNvGraphicFramePr>
            <a:graphic>
              <a:graphicData uri="http://schemas.openxmlformats.org/drawingml/2006/picture">
                <pic:pic>
                  <pic:nvPicPr>
                    <pic:cNvPr id="0" name="cnn_1d_confusion_matrix.png"/>
                    <pic:cNvPicPr/>
                  </pic:nvPicPr>
                  <pic:blipFill>
                    <a:blip r:embed="rId19"/>
                    <a:stretch>
                      <a:fillRect/>
                    </a:stretch>
                  </pic:blipFill>
                  <pic:spPr>
                    <a:xfrm>
                      <a:off x="0" y="0"/>
                      <a:ext cx="4754880" cy="2355805"/>
                    </a:xfrm>
                    <a:prstGeom prst="rect"/>
                  </pic:spPr>
                </pic:pic>
              </a:graphicData>
            </a:graphic>
          </wp:inline>
        </w:drawing>
      </w:r>
    </w:p>
    <w:p>
      <w:pPr>
        <w:jc w:val="center"/>
      </w:pPr>
      <w:r>
        <w:rPr>
          <w:i/>
          <w:color w:val="5A5A5A"/>
          <w:sz w:val="18"/>
        </w:rPr>
        <w:t>Figure 12. 1D CNN confusion matrix.</w:t>
      </w:r>
    </w:p>
    <w:p>
      <w:pPr>
        <w:pStyle w:val="Heading1"/>
      </w:pPr>
      <w:r>
        <w:rPr>
          <w:color w:val="2E74B5"/>
        </w:rPr>
        <w:t>6. SMOTE-Based Data Balancing</w:t>
      </w:r>
    </w:p>
    <w:p>
      <w:pPr>
        <w:spacing w:after="160" w:line="288" w:lineRule="auto"/>
      </w:pPr>
      <w:r>
        <w:t>SMOTE was applied to the best full-feature model, XGBoost, to balance the minority class. SMOTE was applied only to the training data. The test data was not modified and remained real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vAlign w:val="center"/>
            <w:shd w:fill="E8EEF5"/>
          </w:tcPr>
          <w:p>
            <w:pPr>
              <w:jc w:val="center"/>
            </w:pPr>
            <w:r/>
            <w:r>
              <w:rPr>
                <w:b/>
                <w:sz w:val="18"/>
              </w:rPr>
              <w:t>Setting</w:t>
            </w:r>
          </w:p>
        </w:tc>
        <w:tc>
          <w:tcPr>
            <w:tcW w:type="dxa" w:w="1584"/>
            <w:vAlign w:val="center"/>
            <w:shd w:fill="E8EEF5"/>
          </w:tcPr>
          <w:p>
            <w:pPr>
              <w:jc w:val="center"/>
            </w:pPr>
            <w:r/>
            <w:r>
              <w:rPr>
                <w:b/>
                <w:sz w:val="18"/>
              </w:rPr>
              <w:t>Accuracy</w:t>
            </w:r>
          </w:p>
        </w:tc>
        <w:tc>
          <w:tcPr>
            <w:tcW w:type="dxa" w:w="1584"/>
            <w:vAlign w:val="center"/>
            <w:shd w:fill="E8EEF5"/>
          </w:tcPr>
          <w:p>
            <w:pPr>
              <w:jc w:val="center"/>
            </w:pPr>
            <w:r/>
            <w:r>
              <w:rPr>
                <w:b/>
                <w:sz w:val="18"/>
              </w:rPr>
              <w:t>Precision</w:t>
            </w:r>
          </w:p>
        </w:tc>
        <w:tc>
          <w:tcPr>
            <w:tcW w:type="dxa" w:w="1584"/>
            <w:vAlign w:val="center"/>
            <w:shd w:fill="E8EEF5"/>
          </w:tcPr>
          <w:p>
            <w:pPr>
              <w:jc w:val="center"/>
            </w:pPr>
            <w:r/>
            <w:r>
              <w:rPr>
                <w:b/>
                <w:sz w:val="18"/>
              </w:rPr>
              <w:t>Recall</w:t>
            </w:r>
          </w:p>
        </w:tc>
        <w:tc>
          <w:tcPr>
            <w:tcW w:type="dxa" w:w="1584"/>
            <w:vAlign w:val="center"/>
            <w:shd w:fill="E8EEF5"/>
          </w:tcPr>
          <w:p>
            <w:pPr>
              <w:jc w:val="center"/>
            </w:pPr>
            <w:r/>
            <w:r>
              <w:rPr>
                <w:b/>
                <w:sz w:val="18"/>
              </w:rPr>
              <w:t>Macro F1</w:t>
            </w:r>
          </w:p>
        </w:tc>
      </w:tr>
      <w:tr>
        <w:tc>
          <w:tcPr>
            <w:tcW w:type="dxa" w:w="2880"/>
            <w:vAlign w:val="center"/>
          </w:tcPr>
          <w:p>
            <w:pPr>
              <w:jc w:val="center"/>
            </w:pPr>
            <w:r/>
            <w:r>
              <w:rPr>
                <w:b w:val="0"/>
                <w:sz w:val="18"/>
              </w:rPr>
              <w:t>Before SMOTE</w:t>
            </w:r>
          </w:p>
        </w:tc>
        <w:tc>
          <w:tcPr>
            <w:tcW w:type="dxa" w:w="1584"/>
            <w:vAlign w:val="center"/>
          </w:tcPr>
          <w:p>
            <w:pPr>
              <w:jc w:val="center"/>
            </w:pPr>
            <w:r/>
            <w:r>
              <w:rPr>
                <w:b w:val="0"/>
                <w:sz w:val="18"/>
              </w:rPr>
              <w:t>0.9325</w:t>
            </w:r>
          </w:p>
        </w:tc>
        <w:tc>
          <w:tcPr>
            <w:tcW w:type="dxa" w:w="1584"/>
            <w:vAlign w:val="center"/>
          </w:tcPr>
          <w:p>
            <w:pPr>
              <w:jc w:val="center"/>
            </w:pPr>
            <w:r/>
            <w:r>
              <w:rPr>
                <w:b w:val="0"/>
                <w:sz w:val="18"/>
              </w:rPr>
              <w:t>0.9330</w:t>
            </w:r>
          </w:p>
        </w:tc>
        <w:tc>
          <w:tcPr>
            <w:tcW w:type="dxa" w:w="1584"/>
            <w:vAlign w:val="center"/>
          </w:tcPr>
          <w:p>
            <w:pPr>
              <w:jc w:val="center"/>
            </w:pPr>
            <w:r/>
            <w:r>
              <w:rPr>
                <w:b w:val="0"/>
                <w:sz w:val="18"/>
              </w:rPr>
              <w:t>0.9308</w:t>
            </w:r>
          </w:p>
        </w:tc>
        <w:tc>
          <w:tcPr>
            <w:tcW w:type="dxa" w:w="1584"/>
            <w:vAlign w:val="center"/>
          </w:tcPr>
          <w:p>
            <w:pPr>
              <w:jc w:val="center"/>
            </w:pPr>
            <w:r/>
            <w:r>
              <w:rPr>
                <w:b w:val="0"/>
                <w:sz w:val="18"/>
              </w:rPr>
              <w:t>0.9318</w:t>
            </w:r>
          </w:p>
        </w:tc>
      </w:tr>
      <w:tr>
        <w:tc>
          <w:tcPr>
            <w:tcW w:type="dxa" w:w="2880"/>
            <w:vAlign w:val="center"/>
          </w:tcPr>
          <w:p>
            <w:pPr>
              <w:jc w:val="center"/>
            </w:pPr>
            <w:r/>
            <w:r>
              <w:rPr>
                <w:b w:val="0"/>
                <w:sz w:val="18"/>
              </w:rPr>
              <w:t>After SMOTE</w:t>
            </w:r>
          </w:p>
        </w:tc>
        <w:tc>
          <w:tcPr>
            <w:tcW w:type="dxa" w:w="1584"/>
            <w:vAlign w:val="center"/>
          </w:tcPr>
          <w:p>
            <w:pPr>
              <w:jc w:val="center"/>
            </w:pPr>
            <w:r/>
            <w:r>
              <w:rPr>
                <w:b w:val="0"/>
                <w:sz w:val="18"/>
              </w:rPr>
              <w:t>0.9314</w:t>
            </w:r>
          </w:p>
        </w:tc>
        <w:tc>
          <w:tcPr>
            <w:tcW w:type="dxa" w:w="1584"/>
            <w:vAlign w:val="center"/>
          </w:tcPr>
          <w:p>
            <w:pPr>
              <w:jc w:val="center"/>
            </w:pPr>
            <w:r/>
            <w:r>
              <w:rPr>
                <w:b w:val="0"/>
                <w:sz w:val="18"/>
              </w:rPr>
              <w:t>0.9316</w:t>
            </w:r>
          </w:p>
        </w:tc>
        <w:tc>
          <w:tcPr>
            <w:tcW w:type="dxa" w:w="1584"/>
            <w:vAlign w:val="center"/>
          </w:tcPr>
          <w:p>
            <w:pPr>
              <w:jc w:val="center"/>
            </w:pPr>
            <w:r/>
            <w:r>
              <w:rPr>
                <w:b w:val="0"/>
                <w:sz w:val="18"/>
              </w:rPr>
              <w:t>0.9299</w:t>
            </w:r>
          </w:p>
        </w:tc>
        <w:tc>
          <w:tcPr>
            <w:tcW w:type="dxa" w:w="1584"/>
            <w:vAlign w:val="center"/>
          </w:tcPr>
          <w:p>
            <w:pPr>
              <w:jc w:val="center"/>
            </w:pPr>
            <w:r/>
            <w:r>
              <w:rPr>
                <w:b w:val="0"/>
                <w:sz w:val="18"/>
              </w:rPr>
              <w:t>0.9306</w:t>
            </w:r>
          </w:p>
        </w:tc>
      </w:tr>
    </w:tbl>
    <w:p/>
    <w:p>
      <w:pPr>
        <w:spacing w:after="160" w:line="288" w:lineRule="auto"/>
      </w:pPr>
      <w:r>
        <w:t>The SMOTE model produced a very similar result to the original XGBoost model. This indicates that XGBoost with balanced sample weights already handled the class imbalance effectively.</w:t>
      </w:r>
    </w:p>
    <w:p>
      <w:pPr>
        <w:jc w:val="center"/>
      </w:pPr>
      <w:r>
        <w:drawing>
          <wp:inline xmlns:a="http://schemas.openxmlformats.org/drawingml/2006/main" xmlns:pic="http://schemas.openxmlformats.org/drawingml/2006/picture">
            <wp:extent cx="5669280" cy="2173408"/>
            <wp:docPr id="12" name="Picture 12"/>
            <wp:cNvGraphicFramePr>
              <a:graphicFrameLocks noChangeAspect="1"/>
            </wp:cNvGraphicFramePr>
            <a:graphic>
              <a:graphicData uri="http://schemas.openxmlformats.org/drawingml/2006/picture">
                <pic:pic>
                  <pic:nvPicPr>
                    <pic:cNvPr id="0" name="xgboost_smote_confusion_comparison.png"/>
                    <pic:cNvPicPr/>
                  </pic:nvPicPr>
                  <pic:blipFill>
                    <a:blip r:embed="rId20"/>
                    <a:stretch>
                      <a:fillRect/>
                    </a:stretch>
                  </pic:blipFill>
                  <pic:spPr>
                    <a:xfrm>
                      <a:off x="0" y="0"/>
                      <a:ext cx="5669280" cy="2173408"/>
                    </a:xfrm>
                    <a:prstGeom prst="rect"/>
                  </pic:spPr>
                </pic:pic>
              </a:graphicData>
            </a:graphic>
          </wp:inline>
        </w:drawing>
      </w:r>
    </w:p>
    <w:p>
      <w:pPr>
        <w:jc w:val="center"/>
      </w:pPr>
      <w:r>
        <w:rPr>
          <w:i/>
          <w:color w:val="5A5A5A"/>
          <w:sz w:val="18"/>
        </w:rPr>
        <w:t>Figure 13. XGBoost confusion matrices before and after SMOTE.</w:t>
      </w:r>
    </w:p>
    <w:p>
      <w:pPr>
        <w:pStyle w:val="Heading1"/>
      </w:pPr>
      <w:r>
        <w:rPr>
          <w:color w:val="2E74B5"/>
        </w:rPr>
        <w:t>7. Feature Selection and Reduction</w:t>
      </w:r>
    </w:p>
    <w:p>
      <w:pPr>
        <w:spacing w:after="160" w:line="288" w:lineRule="auto"/>
      </w:pPr>
      <w:r>
        <w:t>Feature selection was performed using XGBoost feature importance scores. The top 10 features were selected and the XGBoost model was retrained using only these features.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vAlign w:val="center"/>
            <w:shd w:fill="E8EEF5"/>
          </w:tcPr>
          <w:p>
            <w:pPr>
              <w:jc w:val="center"/>
            </w:pPr>
            <w:r/>
            <w:r>
              <w:rPr>
                <w:b/>
                <w:sz w:val="18"/>
              </w:rPr>
              <w:t>Feature Set</w:t>
            </w:r>
          </w:p>
        </w:tc>
        <w:tc>
          <w:tcPr>
            <w:tcW w:type="dxa" w:w="1872"/>
            <w:vAlign w:val="center"/>
            <w:shd w:fill="E8EEF5"/>
          </w:tcPr>
          <w:p>
            <w:pPr>
              <w:jc w:val="center"/>
            </w:pPr>
            <w:r/>
            <w:r>
              <w:rPr>
                <w:b/>
                <w:sz w:val="18"/>
              </w:rPr>
              <w:t>No. Features</w:t>
            </w:r>
          </w:p>
        </w:tc>
        <w:tc>
          <w:tcPr>
            <w:tcW w:type="dxa" w:w="1440"/>
            <w:vAlign w:val="center"/>
            <w:shd w:fill="E8EEF5"/>
          </w:tcPr>
          <w:p>
            <w:pPr>
              <w:jc w:val="center"/>
            </w:pPr>
            <w:r/>
            <w:r>
              <w:rPr>
                <w:b/>
                <w:sz w:val="18"/>
              </w:rPr>
              <w:t>Accuracy</w:t>
            </w:r>
          </w:p>
        </w:tc>
        <w:tc>
          <w:tcPr>
            <w:tcW w:type="dxa" w:w="1440"/>
            <w:vAlign w:val="center"/>
            <w:shd w:fill="E8EEF5"/>
          </w:tcPr>
          <w:p>
            <w:pPr>
              <w:jc w:val="center"/>
            </w:pPr>
            <w:r/>
            <w:r>
              <w:rPr>
                <w:b/>
                <w:sz w:val="18"/>
              </w:rPr>
              <w:t>Recall</w:t>
            </w:r>
          </w:p>
        </w:tc>
        <w:tc>
          <w:tcPr>
            <w:tcW w:type="dxa" w:w="1440"/>
            <w:vAlign w:val="center"/>
            <w:shd w:fill="E8EEF5"/>
          </w:tcPr>
          <w:p>
            <w:pPr>
              <w:jc w:val="center"/>
            </w:pPr>
            <w:r/>
            <w:r>
              <w:rPr>
                <w:b/>
                <w:sz w:val="18"/>
              </w:rPr>
              <w:t>Macro F1</w:t>
            </w:r>
          </w:p>
        </w:tc>
      </w:tr>
      <w:tr>
        <w:tc>
          <w:tcPr>
            <w:tcW w:type="dxa" w:w="2880"/>
            <w:vAlign w:val="center"/>
          </w:tcPr>
          <w:p>
            <w:pPr>
              <w:jc w:val="center"/>
            </w:pPr>
            <w:r/>
            <w:r>
              <w:rPr>
                <w:b w:val="0"/>
                <w:sz w:val="18"/>
              </w:rPr>
              <w:t>All features</w:t>
            </w:r>
          </w:p>
        </w:tc>
        <w:tc>
          <w:tcPr>
            <w:tcW w:type="dxa" w:w="1872"/>
            <w:vAlign w:val="center"/>
          </w:tcPr>
          <w:p>
            <w:pPr>
              <w:jc w:val="center"/>
            </w:pPr>
            <w:r/>
            <w:r>
              <w:rPr>
                <w:b w:val="0"/>
                <w:sz w:val="18"/>
              </w:rPr>
              <w:t>20</w:t>
            </w:r>
          </w:p>
        </w:tc>
        <w:tc>
          <w:tcPr>
            <w:tcW w:type="dxa" w:w="1440"/>
            <w:vAlign w:val="center"/>
          </w:tcPr>
          <w:p>
            <w:pPr>
              <w:jc w:val="center"/>
            </w:pPr>
            <w:r/>
            <w:r>
              <w:rPr>
                <w:b w:val="0"/>
                <w:sz w:val="18"/>
              </w:rPr>
              <w:t>0.9325</w:t>
            </w:r>
          </w:p>
        </w:tc>
        <w:tc>
          <w:tcPr>
            <w:tcW w:type="dxa" w:w="1440"/>
            <w:vAlign w:val="center"/>
          </w:tcPr>
          <w:p>
            <w:pPr>
              <w:jc w:val="center"/>
            </w:pPr>
            <w:r/>
            <w:r>
              <w:rPr>
                <w:b w:val="0"/>
                <w:sz w:val="18"/>
              </w:rPr>
              <w:t>0.9308</w:t>
            </w:r>
          </w:p>
        </w:tc>
        <w:tc>
          <w:tcPr>
            <w:tcW w:type="dxa" w:w="1440"/>
            <w:vAlign w:val="center"/>
          </w:tcPr>
          <w:p>
            <w:pPr>
              <w:jc w:val="center"/>
            </w:pPr>
            <w:r/>
            <w:r>
              <w:rPr>
                <w:b w:val="0"/>
                <w:sz w:val="18"/>
              </w:rPr>
              <w:t>0.9318</w:t>
            </w:r>
          </w:p>
        </w:tc>
      </w:tr>
      <w:tr>
        <w:tc>
          <w:tcPr>
            <w:tcW w:type="dxa" w:w="2880"/>
            <w:vAlign w:val="center"/>
          </w:tcPr>
          <w:p>
            <w:pPr>
              <w:jc w:val="center"/>
            </w:pPr>
            <w:r/>
            <w:r>
              <w:rPr>
                <w:b w:val="0"/>
                <w:sz w:val="18"/>
              </w:rPr>
              <w:t>Top 10 features</w:t>
            </w:r>
          </w:p>
        </w:tc>
        <w:tc>
          <w:tcPr>
            <w:tcW w:type="dxa" w:w="1872"/>
            <w:vAlign w:val="center"/>
          </w:tcPr>
          <w:p>
            <w:pPr>
              <w:jc w:val="center"/>
            </w:pPr>
            <w:r/>
            <w:r>
              <w:rPr>
                <w:b w:val="0"/>
                <w:sz w:val="18"/>
              </w:rPr>
              <w:t>10</w:t>
            </w:r>
          </w:p>
        </w:tc>
        <w:tc>
          <w:tcPr>
            <w:tcW w:type="dxa" w:w="1440"/>
            <w:vAlign w:val="center"/>
          </w:tcPr>
          <w:p>
            <w:pPr>
              <w:jc w:val="center"/>
            </w:pPr>
            <w:r/>
            <w:r>
              <w:rPr>
                <w:b w:val="0"/>
                <w:sz w:val="18"/>
              </w:rPr>
              <w:t>0.9350</w:t>
            </w:r>
          </w:p>
        </w:tc>
        <w:tc>
          <w:tcPr>
            <w:tcW w:type="dxa" w:w="1440"/>
            <w:vAlign w:val="center"/>
          </w:tcPr>
          <w:p>
            <w:pPr>
              <w:jc w:val="center"/>
            </w:pPr>
            <w:r/>
            <w:r>
              <w:rPr>
                <w:b w:val="0"/>
                <w:sz w:val="18"/>
              </w:rPr>
              <w:t>0.9340</w:t>
            </w:r>
          </w:p>
        </w:tc>
        <w:tc>
          <w:tcPr>
            <w:tcW w:type="dxa" w:w="1440"/>
            <w:vAlign w:val="center"/>
          </w:tcPr>
          <w:p>
            <w:pPr>
              <w:jc w:val="center"/>
            </w:pPr>
            <w:r/>
            <w:r>
              <w:rPr>
                <w:b w:val="0"/>
                <w:sz w:val="18"/>
              </w:rPr>
              <w:t>0.9340</w:t>
            </w:r>
          </w:p>
        </w:tc>
      </w:tr>
    </w:tbl>
    <w:p/>
    <w:p>
      <w:pPr>
        <w:spacing w:after="160" w:line="288" w:lineRule="auto"/>
      </w:pPr>
      <w:r>
        <w:t>The top-10 feature model slightly outperformed the full-feature XGBoost model. This suggests that some features may be redundant or low-signal for this task.</w:t>
      </w:r>
    </w:p>
    <w:p>
      <w:pPr>
        <w:jc w:val="center"/>
      </w:pPr>
      <w:r>
        <w:drawing>
          <wp:inline xmlns:a="http://schemas.openxmlformats.org/drawingml/2006/main" xmlns:pic="http://schemas.openxmlformats.org/drawingml/2006/picture">
            <wp:extent cx="4754880" cy="4007580"/>
            <wp:docPr id="13" name="Picture 13"/>
            <wp:cNvGraphicFramePr>
              <a:graphicFrameLocks noChangeAspect="1"/>
            </wp:cNvGraphicFramePr>
            <a:graphic>
              <a:graphicData uri="http://schemas.openxmlformats.org/drawingml/2006/picture">
                <pic:pic>
                  <pic:nvPicPr>
                    <pic:cNvPr id="0" name="xgboost_top10_confusion_matrix.png"/>
                    <pic:cNvPicPr/>
                  </pic:nvPicPr>
                  <pic:blipFill>
                    <a:blip r:embed="rId21"/>
                    <a:stretch>
                      <a:fillRect/>
                    </a:stretch>
                  </pic:blipFill>
                  <pic:spPr>
                    <a:xfrm>
                      <a:off x="0" y="0"/>
                      <a:ext cx="4754880" cy="4007580"/>
                    </a:xfrm>
                    <a:prstGeom prst="rect"/>
                  </pic:spPr>
                </pic:pic>
              </a:graphicData>
            </a:graphic>
          </wp:inline>
        </w:drawing>
      </w:r>
    </w:p>
    <w:p>
      <w:pPr>
        <w:jc w:val="center"/>
      </w:pPr>
      <w:r>
        <w:rPr>
          <w:i/>
          <w:color w:val="5A5A5A"/>
          <w:sz w:val="18"/>
        </w:rPr>
        <w:t>Figure 14. XGBoost Top-10 feature confusion matrix.</w:t>
      </w:r>
    </w:p>
    <w:p>
      <w:pPr>
        <w:jc w:val="center"/>
      </w:pPr>
      <w:r>
        <w:drawing>
          <wp:inline xmlns:a="http://schemas.openxmlformats.org/drawingml/2006/main" xmlns:pic="http://schemas.openxmlformats.org/drawingml/2006/picture">
            <wp:extent cx="5120640" cy="2740695"/>
            <wp:docPr id="14" name="Picture 14"/>
            <wp:cNvGraphicFramePr>
              <a:graphicFrameLocks noChangeAspect="1"/>
            </wp:cNvGraphicFramePr>
            <a:graphic>
              <a:graphicData uri="http://schemas.openxmlformats.org/drawingml/2006/picture">
                <pic:pic>
                  <pic:nvPicPr>
                    <pic:cNvPr id="0" name="xgboost_top10_feature_importance.png"/>
                    <pic:cNvPicPr/>
                  </pic:nvPicPr>
                  <pic:blipFill>
                    <a:blip r:embed="rId22"/>
                    <a:stretch>
                      <a:fillRect/>
                    </a:stretch>
                  </pic:blipFill>
                  <pic:spPr>
                    <a:xfrm>
                      <a:off x="0" y="0"/>
                      <a:ext cx="5120640" cy="2740695"/>
                    </a:xfrm>
                    <a:prstGeom prst="rect"/>
                  </pic:spPr>
                </pic:pic>
              </a:graphicData>
            </a:graphic>
          </wp:inline>
        </w:drawing>
      </w:r>
    </w:p>
    <w:p>
      <w:pPr>
        <w:jc w:val="center"/>
      </w:pPr>
      <w:r>
        <w:rPr>
          <w:i/>
          <w:color w:val="5A5A5A"/>
          <w:sz w:val="18"/>
        </w:rPr>
        <w:t>Figure 4. Top 10 XGBoost feature importances.</w:t>
      </w:r>
    </w:p>
    <w:p>
      <w:pPr>
        <w:pStyle w:val="Heading1"/>
      </w:pPr>
      <w:r>
        <w:rPr>
          <w:color w:val="2E74B5"/>
        </w:rPr>
        <w:t>8. Training Time and Runtime Analysis</w:t>
      </w:r>
    </w:p>
    <w:p>
      <w:pPr>
        <w:spacing w:after="160" w:line="288" w:lineRule="auto"/>
      </w:pPr>
      <w:r>
        <w:t>Training time and one-record prediction runtime were measured using the same 80%-20% train-test split. The top-10 XGBoost model trained faster than the full-feature XGBoost model while also achieving higher accuracy.</w:t>
      </w:r>
    </w:p>
    <w:tbl>
      <w:tblPr>
        <w:tblStyle w:val="TableGrid"/>
        <w:tblW w:type="auto" w:w="0"/>
        <w:jc w:val="center"/>
        <w:tblLook w:firstColumn="1" w:firstRow="1" w:lastColumn="0" w:lastRow="0" w:noHBand="0" w:noVBand="1" w:val="04A0"/>
      </w:tblPr>
      <w:tblGrid>
        <w:gridCol w:w="3120"/>
        <w:gridCol w:w="3120"/>
        <w:gridCol w:w="3120"/>
      </w:tblGrid>
      <w:tr>
        <w:tc>
          <w:tcPr>
            <w:tcW w:type="dxa" w:w="3312"/>
            <w:vAlign w:val="center"/>
            <w:shd w:fill="E8EEF5"/>
          </w:tcPr>
          <w:p>
            <w:pPr>
              <w:jc w:val="center"/>
            </w:pPr>
            <w:r/>
            <w:r>
              <w:rPr>
                <w:b/>
                <w:sz w:val="18"/>
              </w:rPr>
              <w:t>Model</w:t>
            </w:r>
          </w:p>
        </w:tc>
        <w:tc>
          <w:tcPr>
            <w:tcW w:type="dxa" w:w="2880"/>
            <w:vAlign w:val="center"/>
            <w:shd w:fill="E8EEF5"/>
          </w:tcPr>
          <w:p>
            <w:pPr>
              <w:jc w:val="center"/>
            </w:pPr>
            <w:r/>
            <w:r>
              <w:rPr>
                <w:b/>
                <w:sz w:val="18"/>
              </w:rPr>
              <w:t>Training Time (s)</w:t>
            </w:r>
          </w:p>
        </w:tc>
        <w:tc>
          <w:tcPr>
            <w:tcW w:type="dxa" w:w="2880"/>
            <w:vAlign w:val="center"/>
            <w:shd w:fill="E8EEF5"/>
          </w:tcPr>
          <w:p>
            <w:pPr>
              <w:jc w:val="center"/>
            </w:pPr>
            <w:r/>
            <w:r>
              <w:rPr>
                <w:b/>
                <w:sz w:val="18"/>
              </w:rPr>
              <w:t>One Record Runtime (s)</w:t>
            </w:r>
          </w:p>
        </w:tc>
      </w:tr>
      <w:tr>
        <w:tc>
          <w:tcPr>
            <w:tcW w:type="dxa" w:w="3312"/>
            <w:vAlign w:val="center"/>
          </w:tcPr>
          <w:p>
            <w:pPr>
              <w:jc w:val="center"/>
            </w:pPr>
            <w:r/>
            <w:r>
              <w:rPr>
                <w:b w:val="0"/>
                <w:sz w:val="18"/>
              </w:rPr>
              <w:t>Logistic Regression</w:t>
            </w:r>
          </w:p>
        </w:tc>
        <w:tc>
          <w:tcPr>
            <w:tcW w:type="dxa" w:w="2880"/>
            <w:vAlign w:val="center"/>
          </w:tcPr>
          <w:p>
            <w:pPr>
              <w:jc w:val="center"/>
            </w:pPr>
            <w:r/>
            <w:r>
              <w:rPr>
                <w:b w:val="0"/>
                <w:sz w:val="18"/>
              </w:rPr>
              <w:t>0.7404</w:t>
            </w:r>
          </w:p>
        </w:tc>
        <w:tc>
          <w:tcPr>
            <w:tcW w:type="dxa" w:w="2880"/>
            <w:vAlign w:val="center"/>
          </w:tcPr>
          <w:p>
            <w:pPr>
              <w:jc w:val="center"/>
            </w:pPr>
            <w:r/>
            <w:r>
              <w:rPr>
                <w:b w:val="0"/>
                <w:sz w:val="18"/>
              </w:rPr>
              <w:t>0.000156</w:t>
            </w:r>
          </w:p>
        </w:tc>
      </w:tr>
      <w:tr>
        <w:tc>
          <w:tcPr>
            <w:tcW w:type="dxa" w:w="3312"/>
            <w:vAlign w:val="center"/>
          </w:tcPr>
          <w:p>
            <w:pPr>
              <w:jc w:val="center"/>
            </w:pPr>
            <w:r/>
            <w:r>
              <w:rPr>
                <w:b w:val="0"/>
                <w:sz w:val="18"/>
              </w:rPr>
              <w:t>KNN Optimized</w:t>
            </w:r>
          </w:p>
        </w:tc>
        <w:tc>
          <w:tcPr>
            <w:tcW w:type="dxa" w:w="2880"/>
            <w:vAlign w:val="center"/>
          </w:tcPr>
          <w:p>
            <w:pPr>
              <w:jc w:val="center"/>
            </w:pPr>
            <w:r/>
            <w:r>
              <w:rPr>
                <w:b w:val="0"/>
                <w:sz w:val="18"/>
              </w:rPr>
              <w:t>0.0027</w:t>
            </w:r>
          </w:p>
        </w:tc>
        <w:tc>
          <w:tcPr>
            <w:tcW w:type="dxa" w:w="2880"/>
            <w:vAlign w:val="center"/>
          </w:tcPr>
          <w:p>
            <w:pPr>
              <w:jc w:val="center"/>
            </w:pPr>
            <w:r/>
            <w:r>
              <w:rPr>
                <w:b w:val="0"/>
                <w:sz w:val="18"/>
              </w:rPr>
              <w:t>0.001129</w:t>
            </w:r>
          </w:p>
        </w:tc>
      </w:tr>
      <w:tr>
        <w:tc>
          <w:tcPr>
            <w:tcW w:type="dxa" w:w="3312"/>
            <w:vAlign w:val="center"/>
          </w:tcPr>
          <w:p>
            <w:pPr>
              <w:jc w:val="center"/>
            </w:pPr>
            <w:r/>
            <w:r>
              <w:rPr>
                <w:b w:val="0"/>
                <w:sz w:val="18"/>
              </w:rPr>
              <w:t>Decision Tree</w:t>
            </w:r>
          </w:p>
        </w:tc>
        <w:tc>
          <w:tcPr>
            <w:tcW w:type="dxa" w:w="2880"/>
            <w:vAlign w:val="center"/>
          </w:tcPr>
          <w:p>
            <w:pPr>
              <w:jc w:val="center"/>
            </w:pPr>
            <w:r/>
            <w:r>
              <w:rPr>
                <w:b w:val="0"/>
                <w:sz w:val="18"/>
              </w:rPr>
              <w:t>0.1654</w:t>
            </w:r>
          </w:p>
        </w:tc>
        <w:tc>
          <w:tcPr>
            <w:tcW w:type="dxa" w:w="2880"/>
            <w:vAlign w:val="center"/>
          </w:tcPr>
          <w:p>
            <w:pPr>
              <w:jc w:val="center"/>
            </w:pPr>
            <w:r/>
            <w:r>
              <w:rPr>
                <w:b w:val="0"/>
                <w:sz w:val="18"/>
              </w:rPr>
              <w:t>0.001031</w:t>
            </w:r>
          </w:p>
        </w:tc>
      </w:tr>
      <w:tr>
        <w:tc>
          <w:tcPr>
            <w:tcW w:type="dxa" w:w="3312"/>
            <w:vAlign w:val="center"/>
          </w:tcPr>
          <w:p>
            <w:pPr>
              <w:jc w:val="center"/>
            </w:pPr>
            <w:r/>
            <w:r>
              <w:rPr>
                <w:b w:val="0"/>
                <w:sz w:val="18"/>
              </w:rPr>
              <w:t>Random Forest</w:t>
            </w:r>
          </w:p>
        </w:tc>
        <w:tc>
          <w:tcPr>
            <w:tcW w:type="dxa" w:w="2880"/>
            <w:vAlign w:val="center"/>
          </w:tcPr>
          <w:p>
            <w:pPr>
              <w:jc w:val="center"/>
            </w:pPr>
            <w:r/>
            <w:r>
              <w:rPr>
                <w:b w:val="0"/>
                <w:sz w:val="18"/>
              </w:rPr>
              <w:t>4.9080</w:t>
            </w:r>
          </w:p>
        </w:tc>
        <w:tc>
          <w:tcPr>
            <w:tcW w:type="dxa" w:w="2880"/>
            <w:vAlign w:val="center"/>
          </w:tcPr>
          <w:p>
            <w:pPr>
              <w:jc w:val="center"/>
            </w:pPr>
            <w:r/>
            <w:r>
              <w:rPr>
                <w:b w:val="0"/>
                <w:sz w:val="18"/>
              </w:rPr>
              <w:t>0.055375</w:t>
            </w:r>
          </w:p>
        </w:tc>
      </w:tr>
      <w:tr>
        <w:tc>
          <w:tcPr>
            <w:tcW w:type="dxa" w:w="3312"/>
            <w:vAlign w:val="center"/>
          </w:tcPr>
          <w:p>
            <w:pPr>
              <w:jc w:val="center"/>
            </w:pPr>
            <w:r/>
            <w:r>
              <w:rPr>
                <w:b w:val="0"/>
                <w:sz w:val="18"/>
              </w:rPr>
              <w:t>XGBoost Full</w:t>
            </w:r>
          </w:p>
        </w:tc>
        <w:tc>
          <w:tcPr>
            <w:tcW w:type="dxa" w:w="2880"/>
            <w:vAlign w:val="center"/>
          </w:tcPr>
          <w:p>
            <w:pPr>
              <w:jc w:val="center"/>
            </w:pPr>
            <w:r/>
            <w:r>
              <w:rPr>
                <w:b w:val="0"/>
                <w:sz w:val="18"/>
              </w:rPr>
              <w:t>4.8410</w:t>
            </w:r>
          </w:p>
        </w:tc>
        <w:tc>
          <w:tcPr>
            <w:tcW w:type="dxa" w:w="2880"/>
            <w:vAlign w:val="center"/>
          </w:tcPr>
          <w:p>
            <w:pPr>
              <w:jc w:val="center"/>
            </w:pPr>
            <w:r/>
            <w:r>
              <w:rPr>
                <w:b w:val="0"/>
                <w:sz w:val="18"/>
              </w:rPr>
              <w:t>0.004218</w:t>
            </w:r>
          </w:p>
        </w:tc>
      </w:tr>
      <w:tr>
        <w:tc>
          <w:tcPr>
            <w:tcW w:type="dxa" w:w="3312"/>
            <w:vAlign w:val="center"/>
          </w:tcPr>
          <w:p>
            <w:pPr>
              <w:jc w:val="center"/>
            </w:pPr>
            <w:r/>
            <w:r>
              <w:rPr>
                <w:b w:val="0"/>
                <w:sz w:val="18"/>
              </w:rPr>
              <w:t>XGBoost Top 10</w:t>
            </w:r>
          </w:p>
        </w:tc>
        <w:tc>
          <w:tcPr>
            <w:tcW w:type="dxa" w:w="2880"/>
            <w:vAlign w:val="center"/>
          </w:tcPr>
          <w:p>
            <w:pPr>
              <w:jc w:val="center"/>
            </w:pPr>
            <w:r/>
            <w:r>
              <w:rPr>
                <w:b w:val="0"/>
                <w:sz w:val="18"/>
              </w:rPr>
              <w:t>2.5713</w:t>
            </w:r>
          </w:p>
        </w:tc>
        <w:tc>
          <w:tcPr>
            <w:tcW w:type="dxa" w:w="2880"/>
            <w:vAlign w:val="center"/>
          </w:tcPr>
          <w:p>
            <w:pPr>
              <w:jc w:val="center"/>
            </w:pPr>
            <w:r/>
            <w:r>
              <w:rPr>
                <w:b w:val="0"/>
                <w:sz w:val="18"/>
              </w:rPr>
              <w:t>0.001816</w:t>
            </w:r>
          </w:p>
        </w:tc>
      </w:tr>
      <w:tr>
        <w:tc>
          <w:tcPr>
            <w:tcW w:type="dxa" w:w="3312"/>
            <w:vAlign w:val="center"/>
          </w:tcPr>
          <w:p>
            <w:pPr>
              <w:jc w:val="center"/>
            </w:pPr>
            <w:r/>
            <w:r>
              <w:rPr>
                <w:b w:val="0"/>
                <w:sz w:val="18"/>
              </w:rPr>
              <w:t>MLP</w:t>
            </w:r>
          </w:p>
        </w:tc>
        <w:tc>
          <w:tcPr>
            <w:tcW w:type="dxa" w:w="2880"/>
            <w:vAlign w:val="center"/>
          </w:tcPr>
          <w:p>
            <w:pPr>
              <w:jc w:val="center"/>
            </w:pPr>
            <w:r/>
            <w:r>
              <w:rPr>
                <w:b w:val="0"/>
                <w:sz w:val="18"/>
              </w:rPr>
              <w:t>60.7906</w:t>
            </w:r>
          </w:p>
        </w:tc>
        <w:tc>
          <w:tcPr>
            <w:tcW w:type="dxa" w:w="2880"/>
            <w:vAlign w:val="center"/>
          </w:tcPr>
          <w:p>
            <w:pPr>
              <w:jc w:val="center"/>
            </w:pPr>
            <w:r/>
            <w:r>
              <w:rPr>
                <w:b w:val="0"/>
                <w:sz w:val="18"/>
              </w:rPr>
              <w:t>0.296751</w:t>
            </w:r>
          </w:p>
        </w:tc>
      </w:tr>
      <w:tr>
        <w:tc>
          <w:tcPr>
            <w:tcW w:type="dxa" w:w="3312"/>
            <w:vAlign w:val="center"/>
          </w:tcPr>
          <w:p>
            <w:pPr>
              <w:jc w:val="center"/>
            </w:pPr>
            <w:r/>
            <w:r>
              <w:rPr>
                <w:b w:val="0"/>
                <w:sz w:val="18"/>
              </w:rPr>
              <w:t>DNN</w:t>
            </w:r>
          </w:p>
        </w:tc>
        <w:tc>
          <w:tcPr>
            <w:tcW w:type="dxa" w:w="2880"/>
            <w:vAlign w:val="center"/>
          </w:tcPr>
          <w:p>
            <w:pPr>
              <w:jc w:val="center"/>
            </w:pPr>
            <w:r/>
            <w:r>
              <w:rPr>
                <w:b w:val="0"/>
                <w:sz w:val="18"/>
              </w:rPr>
              <w:t>40.8359</w:t>
            </w:r>
          </w:p>
        </w:tc>
        <w:tc>
          <w:tcPr>
            <w:tcW w:type="dxa" w:w="2880"/>
            <w:vAlign w:val="center"/>
          </w:tcPr>
          <w:p>
            <w:pPr>
              <w:jc w:val="center"/>
            </w:pPr>
            <w:r/>
            <w:r>
              <w:rPr>
                <w:b w:val="0"/>
                <w:sz w:val="18"/>
              </w:rPr>
              <w:t>0.392009</w:t>
            </w:r>
          </w:p>
        </w:tc>
      </w:tr>
      <w:tr>
        <w:tc>
          <w:tcPr>
            <w:tcW w:type="dxa" w:w="3312"/>
            <w:vAlign w:val="center"/>
          </w:tcPr>
          <w:p>
            <w:pPr>
              <w:jc w:val="center"/>
            </w:pPr>
            <w:r/>
            <w:r>
              <w:rPr>
                <w:b w:val="0"/>
                <w:sz w:val="18"/>
              </w:rPr>
              <w:t>1D CNN</w:t>
            </w:r>
          </w:p>
        </w:tc>
        <w:tc>
          <w:tcPr>
            <w:tcW w:type="dxa" w:w="2880"/>
            <w:vAlign w:val="center"/>
          </w:tcPr>
          <w:p>
            <w:pPr>
              <w:jc w:val="center"/>
            </w:pPr>
            <w:r/>
            <w:r>
              <w:rPr>
                <w:b w:val="0"/>
                <w:sz w:val="18"/>
              </w:rPr>
              <w:t>43.9195</w:t>
            </w:r>
          </w:p>
        </w:tc>
        <w:tc>
          <w:tcPr>
            <w:tcW w:type="dxa" w:w="2880"/>
            <w:vAlign w:val="center"/>
          </w:tcPr>
          <w:p>
            <w:pPr>
              <w:jc w:val="center"/>
            </w:pPr>
            <w:r/>
            <w:r>
              <w:rPr>
                <w:b w:val="0"/>
                <w:sz w:val="18"/>
              </w:rPr>
              <w:t>0.442575</w:t>
            </w:r>
          </w:p>
        </w:tc>
      </w:tr>
    </w:tbl>
    <w:p/>
    <w:p>
      <w:pPr>
        <w:pStyle w:val="Heading1"/>
      </w:pPr>
      <w:r>
        <w:rPr>
          <w:color w:val="2E74B5"/>
        </w:rPr>
        <w:t>9. Discussion</w:t>
      </w:r>
    </w:p>
    <w:p>
      <w:pPr>
        <w:spacing w:after="160" w:line="288" w:lineRule="auto"/>
      </w:pPr>
      <w:r>
        <w:t>The results show that XGBoost is the most successful full-feature model for this dataset. This is expected because Open Food Facts data is structured tabular data, and gradient boosting algorithms are highly effective for this type of problem. The top-10 feature XGBoost model achieved the highest accuracy, showing that feature selection improved the model slightly.</w:t>
      </w:r>
    </w:p>
    <w:p>
      <w:pPr>
        <w:spacing w:after="160" w:line="288" w:lineRule="auto"/>
      </w:pPr>
      <w:r>
        <w:t>Deep learning models performed well but did not outperform XGBoost. The MLP model was the best deep learning model, while DNN and 1D CNN produced slightly lower results. This is reasonable because deep learning models often need larger and more complex datasets to outperform tree-based methods on tabular data.</w:t>
      </w:r>
    </w:p>
    <w:p>
      <w:pPr>
        <w:spacing w:after="160" w:line="288" w:lineRule="auto"/>
      </w:pPr>
      <w:r>
        <w:t>The SMOTE experiment showed that class balancing did not improve XGBoost performance. This may be because sample weighting already reduced the effect of class imbalance, and the minority class was not extremely small after preprocessing.</w:t>
      </w:r>
    </w:p>
    <w:p>
      <w:pPr>
        <w:pStyle w:val="Heading1"/>
      </w:pPr>
      <w:r>
        <w:rPr>
          <w:color w:val="2E74B5"/>
        </w:rPr>
        <w:t>10. Conclusion</w:t>
      </w:r>
    </w:p>
    <w:p>
      <w:pPr>
        <w:spacing w:after="160" w:line="288" w:lineRule="auto"/>
      </w:pPr>
      <w:r>
        <w:t>This project built a complete machine learning and deep learning pipeline for predicting nutrition grades from Open Food Facts data. The final dataset contained 14,070 records, 20 features, no missing values, and no duplicates. Eight models were trained and evaluated. XGBoost achieved the best full-feature performance, while the top-10 feature XGBoost model achieved the best overall accuracy of 0.9350.</w:t>
      </w:r>
    </w:p>
    <w:p>
      <w:pPr>
        <w:spacing w:after="160" w:line="288" w:lineRule="auto"/>
      </w:pPr>
      <w:r>
        <w:t>Future work may include building a Streamlit interface where users enter nutritional values and receive an instant predicted nutrition grade. The saved XGBoost model and scaler can be used for this deployment step.</w:t>
      </w:r>
    </w:p>
    <w:p>
      <w:pPr>
        <w:pStyle w:val="Heading1"/>
      </w:pPr>
      <w:r>
        <w:rPr>
          <w:color w:val="2E74B5"/>
        </w:rPr>
        <w:t>References</w:t>
      </w:r>
    </w:p>
    <w:p>
      <w:pPr>
        <w:pStyle w:val="ListNumber"/>
      </w:pPr>
      <w:r>
        <w:t>Open Food Facts. Open Food Facts database. Available: https://world.openfoodfacts.org/data</w:t>
      </w:r>
    </w:p>
    <w:p>
      <w:pPr>
        <w:pStyle w:val="ListNumber"/>
      </w:pPr>
      <w:r>
        <w:t>T. Chen and C. Guestrin, XGBoost: A Scalable Tree Boosting System, KDD, 2016.</w:t>
      </w:r>
    </w:p>
    <w:p>
      <w:pPr>
        <w:pStyle w:val="ListNumber"/>
      </w:pPr>
      <w:r>
        <w:t>N. V. Chawla et al., SMOTE: Synthetic Minority Over-sampling Technique, Journal of Artificial Intelligence Research, 2002.</w:t>
      </w:r>
    </w:p>
    <w:p>
      <w:pPr>
        <w:pStyle w:val="ListNumber"/>
      </w:pPr>
      <w:r>
        <w:t>F. Pedregosa et al., Scikit-learn: Machine Learning in Python, Journal of Machine Learning Research, 2011.</w:t>
      </w:r>
    </w:p>
    <w:p>
      <w:pPr>
        <w:pStyle w:val="ListNumber"/>
      </w:pPr>
      <w:r>
        <w:t>M. Abadi et al., TensorFlow: Large-scale Machine Learning on Heterogeneous Systems, 2015.</w:t>
      </w:r>
    </w:p>
    <w:sectPr w:rsidR="00FC693F" w:rsidRPr="0006063C" w:rsidSect="00034616">
      <w:footerReference w:type="default" r:id="rI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Nutrition Grade Prediction Detailed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