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Planejamento de Entrega do Projeto RodaGest</w:t>
      </w:r>
    </w:p>
    <w:p>
      <w:pPr>
        <w:jc w:val="center"/>
      </w:pPr>
      <w:r>
        <w:rPr>
          <w:rFonts w:ascii="Arial" w:hAnsi="Arial"/>
          <w:sz w:val="24"/>
        </w:rPr>
        <w:t>Versão do documento: 1.0.0</w:t>
      </w:r>
    </w:p>
    <w:p>
      <w:pPr>
        <w:jc w:val="center"/>
      </w:pPr>
      <w:r>
        <w:rPr>
          <w:rFonts w:ascii="Arial" w:hAnsi="Arial"/>
          <w:sz w:val="24"/>
        </w:rPr>
        <w:t>Período planejado: fevereiro de 2026 até o início de junho de 2026</w:t>
      </w:r>
    </w:p>
    <w:p>
      <w:pPr>
        <w:jc w:val="center"/>
      </w:pPr>
      <w:r>
        <w:rPr>
          <w:rFonts w:ascii="Arial" w:hAnsi="Arial"/>
          <w:sz w:val="24"/>
        </w:rPr>
        <w:t>Autor: Kadmiel Tavares</w:t>
      </w:r>
    </w:p>
    <w:p/>
    <w:p>
      <w:r>
        <w:rPr>
          <w:rFonts w:ascii="Arial" w:hAnsi="Arial"/>
          <w:b/>
          <w:sz w:val="24"/>
        </w:rPr>
        <w:t>1. Introdução</w:t>
      </w:r>
    </w:p>
    <w:p>
      <w:pPr>
        <w:ind w:firstLine="709"/>
        <w:jc w:val="both"/>
      </w:pPr>
      <w:r>
        <w:t>Este documento apresenta o planejamento de entrega do projeto RodaGest, organizado em sprints semanais, considerando o início das atividades no começo de fevereiro de 2026 e a continuidade do desenvolvimento até o início do mês de junho de 2026. O objetivo deste planejamento é distribuir as atividades de forma progressiva, contemplando desenvolvimento, documentação, revisão e preparação para entrega.</w:t>
      </w:r>
    </w:p>
    <w:p>
      <w:r>
        <w:rPr>
          <w:rFonts w:ascii="Arial" w:hAnsi="Arial"/>
          <w:b/>
          <w:sz w:val="24"/>
        </w:rPr>
        <w:t>2. Planejamento em Sprints Semanais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247"/>
            <w:vAlign w:val="center"/>
            <w:shd w:fill="D9EAD3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Sprint</w:t>
            </w:r>
          </w:p>
        </w:tc>
        <w:tc>
          <w:tcPr>
            <w:tcW w:type="dxa" w:w="2154"/>
            <w:vAlign w:val="center"/>
            <w:shd w:fill="D9EAD3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Período</w:t>
            </w:r>
          </w:p>
        </w:tc>
        <w:tc>
          <w:tcPr>
            <w:tcW w:type="dxa" w:w="3402"/>
            <w:vAlign w:val="center"/>
            <w:shd w:fill="D9EAD3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Objetivo principal</w:t>
            </w:r>
          </w:p>
        </w:tc>
        <w:tc>
          <w:tcPr>
            <w:tcW w:type="dxa" w:w="3118"/>
            <w:vAlign w:val="center"/>
            <w:shd w:fill="D9EAD3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Entregas previstas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Sprint 1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02/02/2026 a 08/02/2026</w:t>
            </w:r>
          </w:p>
        </w:tc>
        <w:tc>
          <w:tcPr>
            <w:tcW w:type="dxa" w:w="3402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Planejamento inicial do projeto, organização do ambiente de desenvolvimento e definição da estrutura base.</w:t>
            </w:r>
          </w:p>
        </w:tc>
        <w:tc>
          <w:tcPr>
            <w:tcW w:type="dxa" w:w="3118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Plano inicial do projeto e organização da estrutura base.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Sprint 2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09/02/2026 a 15/02/2026</w:t>
            </w:r>
          </w:p>
        </w:tc>
        <w:tc>
          <w:tcPr>
            <w:tcW w:type="dxa" w:w="3402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Levantamento e consolidação dos requisitos do sistema, com revisão do escopo funcional do projeto.</w:t>
            </w:r>
          </w:p>
        </w:tc>
        <w:tc>
          <w:tcPr>
            <w:tcW w:type="dxa" w:w="3118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Documento preliminar de requisitos atualizado.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Sprint 3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16/02/2026 a 22/02/2026</w:t>
            </w:r>
          </w:p>
        </w:tc>
        <w:tc>
          <w:tcPr>
            <w:tcW w:type="dxa" w:w="3402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Modelagem inicial da aplicação e organização dos artefatos de documentação do TCC.</w:t>
            </w:r>
          </w:p>
        </w:tc>
        <w:tc>
          <w:tcPr>
            <w:tcW w:type="dxa" w:w="3118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Estrutura documental organizada e modelagem inicial definida.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Sprint 4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23/02/2026 a 01/03/2026</w:t>
            </w:r>
          </w:p>
        </w:tc>
        <w:tc>
          <w:tcPr>
            <w:tcW w:type="dxa" w:w="3402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Implementação da base de autenticação e estrutura inicial de navegação do sistema.</w:t>
            </w:r>
          </w:p>
        </w:tc>
        <w:tc>
          <w:tcPr>
            <w:tcW w:type="dxa" w:w="3118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Autenticação básica e navegação principal estruturadas.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Sprint 5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02/03/2026 a 08/03/2026</w:t>
            </w:r>
          </w:p>
        </w:tc>
        <w:tc>
          <w:tcPr>
            <w:tcW w:type="dxa" w:w="3402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Desenvolvimento do módulo de clientes: cadastro, listagem e visualização.</w:t>
            </w:r>
          </w:p>
        </w:tc>
        <w:tc>
          <w:tcPr>
            <w:tcW w:type="dxa" w:w="3118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Módulo de clientes com cadastro, listagem e visualização.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Sprint 6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09/03/2026 a 15/03/2026</w:t>
            </w:r>
          </w:p>
        </w:tc>
        <w:tc>
          <w:tcPr>
            <w:tcW w:type="dxa" w:w="3402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Continuação do módulo de clientes: edição, exclusão, paginação e busca.</w:t>
            </w:r>
          </w:p>
        </w:tc>
        <w:tc>
          <w:tcPr>
            <w:tcW w:type="dxa" w:w="3118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Módulo de clientes finalizado com edição, exclusão, busca e paginação.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Sprint 7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16/03/2026 a 22/03/2026</w:t>
            </w:r>
          </w:p>
        </w:tc>
        <w:tc>
          <w:tcPr>
            <w:tcW w:type="dxa" w:w="3402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Desenvolvimento do módulo de estoque de rodas: cadastro e listagem.</w:t>
            </w:r>
          </w:p>
        </w:tc>
        <w:tc>
          <w:tcPr>
            <w:tcW w:type="dxa" w:w="3118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Módulo de rodas com cadastro e listagem implementados.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Sprint 8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23/03/2026 a 29/03/2026</w:t>
            </w:r>
          </w:p>
        </w:tc>
        <w:tc>
          <w:tcPr>
            <w:tcW w:type="dxa" w:w="3402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Continuação do módulo de estoque de rodas: edição, visualização e exclusão.</w:t>
            </w:r>
          </w:p>
        </w:tc>
        <w:tc>
          <w:tcPr>
            <w:tcW w:type="dxa" w:w="3118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Módulo de rodas com edição, visualização e exclusão implementados.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Sprint 9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30/03/2026 a 05/04/2026</w:t>
            </w:r>
          </w:p>
        </w:tc>
        <w:tc>
          <w:tcPr>
            <w:tcW w:type="dxa" w:w="3402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Implementação da movimentação de estoque de rodas e histórico de movimentações.</w:t>
            </w:r>
          </w:p>
        </w:tc>
        <w:tc>
          <w:tcPr>
            <w:tcW w:type="dxa" w:w="3118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Movimentação de rodas com histórico e validações implementadas.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Sprint 10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06/04/2026 a 12/04/2026</w:t>
            </w:r>
          </w:p>
        </w:tc>
        <w:tc>
          <w:tcPr>
            <w:tcW w:type="dxa" w:w="3402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Padronização visual das telas e melhorias de experiência do usuário.</w:t>
            </w:r>
          </w:p>
        </w:tc>
        <w:tc>
          <w:tcPr>
            <w:tcW w:type="dxa" w:w="3118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Padronização visual das telas principais.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Sprint 11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13/04/2026 a 19/04/2026</w:t>
            </w:r>
          </w:p>
        </w:tc>
        <w:tc>
          <w:tcPr>
            <w:tcW w:type="dxa" w:w="3402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Implementação das notificações do sistema e ajustes gerais de interface.</w:t>
            </w:r>
          </w:p>
        </w:tc>
        <w:tc>
          <w:tcPr>
            <w:tcW w:type="dxa" w:w="3118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Sistema com notificações visuais e ajustes de feedback.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Sprint 12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20/04/2026 a 26/04/2026</w:t>
            </w:r>
          </w:p>
        </w:tc>
        <w:tc>
          <w:tcPr>
            <w:tcW w:type="dxa" w:w="3402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Desenvolvimento inicial do módulo de estoque de insumos.</w:t>
            </w:r>
          </w:p>
        </w:tc>
        <w:tc>
          <w:tcPr>
            <w:tcW w:type="dxa" w:w="3118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Módulo inicial de insumos implementado.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Sprint 13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27/04/2026 a 03/05/2026</w:t>
            </w:r>
          </w:p>
        </w:tc>
        <w:tc>
          <w:tcPr>
            <w:tcW w:type="dxa" w:w="3402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Continuação do módulo de estoque de insumos e adaptação da lógica de movimentação.</w:t>
            </w:r>
          </w:p>
        </w:tc>
        <w:tc>
          <w:tcPr>
            <w:tcW w:type="dxa" w:w="3118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Movimentação de insumos e ajustes do módulo implementados.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Sprint 14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04/05/2026 a 10/05/2026</w:t>
            </w:r>
          </w:p>
        </w:tc>
        <w:tc>
          <w:tcPr>
            <w:tcW w:type="dxa" w:w="3402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Desenvolvimento inicial do módulo de serviços.</w:t>
            </w:r>
          </w:p>
        </w:tc>
        <w:tc>
          <w:tcPr>
            <w:tcW w:type="dxa" w:w="3118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Cadastro inicial de serviços implementado.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Sprint 15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11/05/2026 a 17/05/2026</w:t>
            </w:r>
          </w:p>
        </w:tc>
        <w:tc>
          <w:tcPr>
            <w:tcW w:type="dxa" w:w="3402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Continuação do módulo de serviços, incluindo edição e atualização de status.</w:t>
            </w:r>
          </w:p>
        </w:tc>
        <w:tc>
          <w:tcPr>
            <w:tcW w:type="dxa" w:w="3118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Edição e atualização de status de serviços estruturadas.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Sprint 16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18/05/2026 a 24/05/2026</w:t>
            </w:r>
          </w:p>
        </w:tc>
        <w:tc>
          <w:tcPr>
            <w:tcW w:type="dxa" w:w="3402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Desenvolvimento inicial do módulo de notas e pagamentos.</w:t>
            </w:r>
          </w:p>
        </w:tc>
        <w:tc>
          <w:tcPr>
            <w:tcW w:type="dxa" w:w="3118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Módulo inicial de notas e pagamentos implementado.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Sprint 17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25/05/2026 a 31/05/2026</w:t>
            </w:r>
          </w:p>
        </w:tc>
        <w:tc>
          <w:tcPr>
            <w:tcW w:type="dxa" w:w="3402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Continuação do módulo de notas e pagamentos com revisão dos fluxos principais.</w:t>
            </w:r>
          </w:p>
        </w:tc>
        <w:tc>
          <w:tcPr>
            <w:tcW w:type="dxa" w:w="3118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Fluxos principais de notas e pagamentos revisados.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Sprint 18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1"/>
              </w:rPr>
              <w:t>01/06/2026 a 07/06/2026</w:t>
            </w:r>
          </w:p>
        </w:tc>
        <w:tc>
          <w:tcPr>
            <w:tcW w:type="dxa" w:w="3402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Elaboração e revisão dos documentos de requisitos e casos de uso.</w:t>
            </w:r>
          </w:p>
        </w:tc>
        <w:tc>
          <w:tcPr>
            <w:tcW w:type="dxa" w:w="3118"/>
            <w:vAlign w:val="center"/>
          </w:tcPr>
          <w:p>
            <w:pPr>
              <w:jc w:val="both"/>
            </w:pPr>
            <w:r>
              <w:rPr>
                <w:rFonts w:ascii="Arial" w:hAnsi="Arial"/>
                <w:sz w:val="21"/>
              </w:rPr>
              <w:t>Documentação principal revisada e alinhada ao sistema.</w:t>
            </w:r>
          </w:p>
        </w:tc>
      </w:tr>
    </w:tbl>
    <w:p>
      <w:r>
        <w:rPr>
          <w:b/>
        </w:rPr>
        <w:t xml:space="preserve">Observação: </w:t>
      </w:r>
      <w:r>
        <w:t>O planejamento poderá ser ajustado conforme a evolução do desenvolvimento, a complexidade das funcionalidades e as necessidades de revisão da documentação do TCC.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