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i w:val="0"/>
          <w:sz w:val="32"/>
        </w:rPr>
        <w:t>A Temporal Velocity Framework and Explainable Artificial Intelligence Paradigm for Ultra-Early Sepsis Prediction in High-Acuity Intensive Care Units: A Multi-Center Cross-Domain Evaluation of Synthetic-to-Real Clinical Generalization</w:t>
      </w:r>
    </w:p>
    <w:p>
      <w:pPr>
        <w:spacing w:before="360" w:after="160"/>
      </w:pPr>
      <w:r>
        <w:rPr>
          <w:rFonts w:ascii="Times New Roman" w:hAnsi="Times New Roman"/>
          <w:b/>
          <w:i w:val="0"/>
          <w:sz w:val="28"/>
        </w:rPr>
        <w:t>Abstract</w:t>
      </w:r>
    </w:p>
    <w:p>
      <w:pPr>
        <w:spacing w:after="240" w:line="360" w:lineRule="auto"/>
        <w:ind w:firstLine="720"/>
        <w:jc w:val="both"/>
      </w:pPr>
      <w:r>
        <w:rPr>
          <w:rFonts w:ascii="Times New Roman" w:hAnsi="Times New Roman"/>
          <w:b w:val="0"/>
          <w:i w:val="0"/>
          <w:sz w:val="24"/>
        </w:rPr>
        <w:t>Background: Sepsis remains a primary driver of mortality in intensive care units (ICUs) globally, requiring rapid therapeutic intervention. While traditional clinical scoring systems like the Sequential Organ Failure Assessment (SOFA) offer valuable diagnostic frameworks, they are structurally constrained by static, point-in-time physiological thresholds. These scoring rubrics inherently fail to map the non-linear trajectories and multi-hour velocity shifts that precede overt septic shock. This paper addresses whether an advanced algorithmic core trained on high-density simulated environments can successfully translate its diagnostic features to multiple completely independent, multi-center real-world clinical databases without localized performance collapse.</w:t>
      </w:r>
    </w:p>
    <w:p>
      <w:pPr>
        <w:spacing w:after="240" w:line="360" w:lineRule="auto"/>
        <w:ind w:firstLine="720"/>
        <w:jc w:val="both"/>
      </w:pPr>
      <w:r>
        <w:rPr>
          <w:rFonts w:ascii="Times New Roman" w:hAnsi="Times New Roman"/>
          <w:b w:val="0"/>
          <w:i w:val="0"/>
          <w:sz w:val="24"/>
        </w:rPr>
        <w:t>Methods: We developed a temporal-windowed machine learning framework implemented across a three-tier gradient boosting architecture comprising eXtreme Gradient Boosting (XGBoost), Light Gradient Boosting Machine (LightGBM), and CatBoost. The models were trained on a massive simulated clinical domain representing 20,000 patient continuums and directly subjected to external cross-domain validation against 5 independent, highly noisy real-world testing cohorts representing distinctive clinical systems: PhysioNet Sepsis Challenge, MIMIC-IV (Harvard Medical School), eICU Collaborative Database (Philips Healthcare), AmsterdamUMCdb (European ICU Hub), and HiRID (Bern University Hospital / ETH Zurich) comprising intensive tracking time series. Advanced feature processing layers engineered 6-hour differential velocity vectors and rolling baseline averages to counter data corruption. Transparency was enforced via dual-layered global TreeSHAP attribution maps and localized tabular LIME portals.</w:t>
      </w:r>
    </w:p>
    <w:p>
      <w:pPr>
        <w:spacing w:after="240" w:line="360" w:lineRule="auto"/>
        <w:ind w:firstLine="720"/>
        <w:jc w:val="both"/>
      </w:pPr>
      <w:r>
        <w:rPr>
          <w:rFonts w:ascii="Times New Roman" w:hAnsi="Times New Roman"/>
          <w:b w:val="0"/>
          <w:i w:val="0"/>
          <w:sz w:val="24"/>
        </w:rPr>
        <w:t>Results: Under rigorous multi-center validation, the framework manifested exceptional adaptive resilience. Across all 5 external test systems, the tree ensembles sustained robust performance profiles. CatBoost and XGBoost models secured peak external accuracy bands up to 0.9788, with all configurations maintaining area under the ROC curve (AUC-ROC) benchmarks above 0.9880. Crucially, the external recall parameters systematically peaked above 0.95, confirming a resilient capability to mitigate false-negative clinical omissions under extreme domain shifts. Global TreeSHAP horizons established that Oxygen Saturation (</w:t>
      </w:r>
      <w:r>
        <w:rPr>
          <w:rFonts w:ascii="Times New Roman" w:hAnsi="Times New Roman"/>
          <w:b w:val="0"/>
          <w:i w:val="0"/>
          <w:sz w:val="24"/>
        </w:rPr>
        <w:t>O</w:t>
      </w:r>
      <w:r>
        <w:rPr>
          <w:rFonts w:ascii="Times New Roman" w:hAnsi="Times New Roman"/>
          <w:b w:val="0"/>
          <w:i w:val="0"/>
          <w:sz w:val="24"/>
          <w:vertAlign w:val="subscript"/>
        </w:rPr>
        <w:t>2</w:t>
      </w:r>
      <w:r>
        <w:rPr>
          <w:rFonts w:ascii="Times New Roman" w:hAnsi="Times New Roman"/>
          <w:b w:val="0"/>
          <w:i w:val="0"/>
          <w:sz w:val="24"/>
        </w:rPr>
        <w:t>Sat</w:t>
      </w:r>
      <w:r>
        <w:rPr>
          <w:rFonts w:ascii="Times New Roman" w:hAnsi="Times New Roman"/>
          <w:b w:val="0"/>
          <w:i w:val="0"/>
          <w:sz w:val="24"/>
        </w:rPr>
        <w:t>) and 6-hour Mean Arterial Pressure velocity (MAP Trend) dominated model intent. Non-parametric Spearman rank correlation verified a highly significant alignment between internal algorithmic decision weights and bedside SOFA boundaries (p &lt; 0.001).</w:t>
      </w:r>
    </w:p>
    <w:p>
      <w:pPr>
        <w:spacing w:after="240" w:line="360" w:lineRule="auto"/>
        <w:ind w:firstLine="720"/>
        <w:jc w:val="both"/>
      </w:pPr>
      <w:r>
        <w:rPr>
          <w:rFonts w:ascii="Times New Roman" w:hAnsi="Times New Roman"/>
          <w:b w:val="0"/>
          <w:i w:val="0"/>
          <w:sz w:val="24"/>
        </w:rPr>
        <w:t>Conclusion: The experimental outputs mathematically validate the feasibility of large-scale synthetic-to-real clinical translation. The results prove that shifting the predictive paradigm from absolute static cuts to temporal velocity vectors establishes a universal defensive envelope against external sensor noise and demographic drift. The fully open-source framework has been hosted online to facilitate active peer evaluation and immediate bedside interaction at: https://tezsepsiscdss-vesl98xehvcycxhnveqyt5.streamlit.app/</w:t>
      </w:r>
    </w:p>
    <w:p>
      <w:pPr>
        <w:spacing w:before="360" w:after="160"/>
      </w:pPr>
      <w:r>
        <w:rPr>
          <w:rFonts w:ascii="Times New Roman" w:hAnsi="Times New Roman"/>
          <w:b/>
          <w:i w:val="0"/>
          <w:sz w:val="28"/>
        </w:rPr>
        <w:t>Introduction</w:t>
      </w:r>
    </w:p>
    <w:p>
      <w:pPr>
        <w:spacing w:after="240" w:line="360" w:lineRule="auto"/>
        <w:ind w:firstLine="720"/>
        <w:jc w:val="both"/>
      </w:pPr>
      <w:r>
        <w:rPr>
          <w:rFonts w:ascii="Times New Roman" w:hAnsi="Times New Roman"/>
          <w:b w:val="0"/>
          <w:i w:val="0"/>
          <w:sz w:val="24"/>
        </w:rPr>
        <w:t>The clinical manifestation of sepsis within high-acuity environments represents a complex, hyper-dynamic physiological cascade characterized by systemic endothelial dysfunction, microvascular thrombosis, and dysregulated cellular metabolism. Sepsis is recognized as a life-threatening organ dysfunction caused by a maladaptive host response to pathogenic infection, and its management is deeply time-sensitive. Every single hour of delay in broad-spectrum antibiotic administration or aggressive crystalloid fluid resuscitations correlates with a documented, near-linear increase in patient mortality [1, 2, 3]. Consequently, the primary gold standard in intensive care environments is ultra-early recognition, allowing clinical coordinators to disrupt the cascade before irreversible tissue hypoperfusion and multiorgan dysfunction syndrome (MODS) become established [4, 5].</w:t>
      </w:r>
    </w:p>
    <w:p>
      <w:pPr>
        <w:spacing w:after="240" w:line="360" w:lineRule="auto"/>
        <w:ind w:firstLine="720"/>
        <w:jc w:val="both"/>
      </w:pPr>
      <w:r>
        <w:rPr>
          <w:rFonts w:ascii="Times New Roman" w:hAnsi="Times New Roman"/>
          <w:b w:val="0"/>
          <w:i w:val="0"/>
          <w:sz w:val="24"/>
        </w:rPr>
        <w:t>Despite decades of extensive biochemical and algorithmic refinements, contemporary critical care tracking still relies heavily on point-based risk-stratification charts and early warning grids. Scoring standards such as the Sequential Organ Failure Assessment (SOFA), Acute Physiology and Chronic Health Evaluation (APACHE II), and the Simplified Acute Physiology Score (SAPS II) are universally embedded into modern electronic medical record (EMR) systems [6, 7]. However, these traditional frameworks suffer from severe, structural limitations: they process physiological measurements as completely decoupled, static slices of time. For example, a patient is only assigned a worse sub-score when their mean arterial pressure falls below an arbitrary, predefined threshold or when serum creatinine values clear an integer boundary [8, 9]. This static approach creates a dangerous diagnostic lag, as it completely ignores the non-linear trajectories, physiological momentum, and subtle derivative velocities that indicate an impending cardiovascular or renal collapse [10, 11, 12].</w:t>
      </w:r>
    </w:p>
    <w:p>
      <w:pPr>
        <w:spacing w:after="240" w:line="360" w:lineRule="auto"/>
        <w:ind w:firstLine="720"/>
        <w:jc w:val="both"/>
      </w:pPr>
      <w:r>
        <w:rPr>
          <w:rFonts w:ascii="Times New Roman" w:hAnsi="Times New Roman"/>
          <w:b w:val="0"/>
          <w:i w:val="0"/>
          <w:sz w:val="24"/>
        </w:rPr>
        <w:t>In parallel, the biomedical engineering and computer science literature has become saturated with baseline machine learning and deep learning applications engineered for binary sepsis classification [13]. While these models demonstrate high nominal accuracy within controlled academic settings, they suffer from two major barriers that prevent actual bedside clinical translation: the 'Black Box' bottleneck and the 'Data Bureaucracy' constraint [14, 15]. Most high-performing algorithms provide a raw probability percentage without any accompanying biological reasoning, which prevents intensive care fellows from trusting automated alerts during critical bedside situations [16, 17]. Furthermore, independent researchers face massive institutional, legal, and administrative challenges when attempting to gain authorized access to localized institutional electronic medical record databases due to stringent patient privacy regulations such as HIPAA and GDPR [18]. This lack of fluid data availability severely delays the iteration speed of innovative predictive frameworks.</w:t>
      </w:r>
    </w:p>
    <w:p>
      <w:pPr>
        <w:spacing w:after="240" w:line="360" w:lineRule="auto"/>
        <w:ind w:firstLine="720"/>
        <w:jc w:val="both"/>
      </w:pPr>
      <w:r>
        <w:rPr>
          <w:rFonts w:ascii="Times New Roman" w:hAnsi="Times New Roman"/>
          <w:b w:val="0"/>
          <w:i w:val="0"/>
          <w:sz w:val="24"/>
        </w:rPr>
        <w:t>This study systematically addresses these translational boundaries by establishing a robust, multi-center cross-domain machine learning framework driven by temporal velocity feature engineering and dual-layer explanatory integration [19, 20]. Rather than training models on restricted localized hospital files or validating on a single cohort, we evaluate how well an advanced algorithmic core trained on a massive high-density simulated clinical environment of 20,000 patients can generalize when deployed against 5 independent, globally prominent real-world ICU testing repositories [21]. The structural contributions of this work are organized as follows: (1) We introduce derivative temporal feature matrices that transition model input fields from absolute values to multi-hour velocity vectors; (2) We construct a multi-center explainable AI (XAI) lens that pairs global TreeSHAP macro-logic with localized, patient-specific LIME tracking portals [22, 23]; and (3) We formalize the multi-center AI-Clinical Bridge through rigorous non-parametric correlation tests, verifying that the algorithm's predictive pathways remain aligned with international critical care consensus even under extreme cross-institutional domain shifts [24, 25, 26].</w:t>
      </w:r>
    </w:p>
    <w:p>
      <w:pPr>
        <w:spacing w:before="360" w:after="160"/>
      </w:pPr>
      <w:r>
        <w:rPr>
          <w:rFonts w:ascii="Times New Roman" w:hAnsi="Times New Roman"/>
          <w:b/>
          <w:i w:val="0"/>
          <w:sz w:val="28"/>
        </w:rPr>
        <w:t>Literature Review</w:t>
      </w:r>
    </w:p>
    <w:p>
      <w:pPr>
        <w:spacing w:after="240" w:line="360" w:lineRule="auto"/>
        <w:ind w:firstLine="720"/>
        <w:jc w:val="both"/>
      </w:pPr>
      <w:r>
        <w:rPr>
          <w:rFonts w:ascii="Times New Roman" w:hAnsi="Times New Roman"/>
          <w:b w:val="0"/>
          <w:i w:val="0"/>
          <w:sz w:val="24"/>
        </w:rPr>
        <w:t>The identification of acute patient deterioration in critical care medicine has transitioned across three major historical and scientific eras: manual heuristic scoring models, deep sequential neural architectures, and modern explainable gradient boosting algorithms. Early attempts to formalize risk stratification relied on single-point threshold criteria. The introduction of APACHE II by Knaus et al. [27] revolutionized ICU administrative tracking by compiling physiological worst-case data over the first 24 hours of admission. Similarly, Le Gall et al. [28] established SAPS II to standardize cross-institutional mortality estimations. While these frameworks remain pillars of retrospective clinical auditing and quality control, their low spatial and temporal resolution renders them fundamentally incapable of real-time bedside alert triggering. To facilitate active warning, clinical teams adopted the National Early Warning Score (NEWS2) [29]. However, as rigorously established by multi-centric clinical trials [30, 31], NEWS2 functions via rigid linear scoring bounds, processing parameters independently. For example, a severe, localized plunge in blood pressure is flagged under the same weight regardless of whether it represents a rapid cardiovascular failure or a gradual homeostatic stabilization path [32].</w:t>
      </w:r>
    </w:p>
    <w:p>
      <w:pPr>
        <w:spacing w:after="240" w:line="360" w:lineRule="auto"/>
        <w:ind w:firstLine="720"/>
        <w:jc w:val="both"/>
      </w:pPr>
      <w:r>
        <w:rPr>
          <w:rFonts w:ascii="Times New Roman" w:hAnsi="Times New Roman"/>
          <w:b w:val="0"/>
          <w:i w:val="0"/>
          <w:sz w:val="24"/>
        </w:rPr>
        <w:t>With the proliferation of high-frequency Electronic Health Records (EHR), deep learning research gained prominence as a potential tool to bypass linear constraints. Major emphasis shifted toward Recurrent Neural Networks (RNNs) and Long Short-Term Memory (LSTM) nodes to process time-series signal arrays. Dynamic architectures implemented on massive databases like MIMIC-III and the eICU Collaborative Research Database achieved high nominal metrics in forecasting septic shock prior to explicit clinical manifestation [33, 34, 35]. Foremost among these, the deep sequence modeling introduced during the PhysioNet Computing in Cardiology Challenge demonstrated that multi-layered networks could capture deep temporal sequences [36, 37]. Despite these quantitative successes, deep learning deployment within actual hospital clusters remains severely restricted. Neural networks require extensive computational pipelines, are highly vulnerable to catastrophic forgetting, and function as absolute black boxes [38]. An automated model that triggers an alert of high septic risk without displaying the underlying physiological drivers is routinely ignored or deactivated by clinical coordinators due to alert fatigue, noise, and safety concerns [39].</w:t>
      </w:r>
    </w:p>
    <w:p>
      <w:pPr>
        <w:spacing w:after="240" w:line="360" w:lineRule="auto"/>
        <w:ind w:firstLine="720"/>
        <w:jc w:val="both"/>
      </w:pPr>
      <w:r>
        <w:rPr>
          <w:rFonts w:ascii="Times New Roman" w:hAnsi="Times New Roman"/>
          <w:b w:val="0"/>
          <w:i w:val="0"/>
          <w:sz w:val="24"/>
        </w:rPr>
        <w:t>To achieve a viable balance between high discriminative performance and operational transparency, contemporary research has focused on tree-based gradient boosting decision tree (GBDT) architectures combined with additively explainable layers. Tabular boosting pipelines, specifically eXtreme Gradient Boosting (XGBoost) [20] and Light Gradient Boosting Machine (LightGBM) [21], have consistently demonstrated superior classification matrices compared to deep networks when processing tabular clinical databases characterized by high rates of missing values and irregular, sparse sampling intervals. The mathematical integration of TreeSHAP by Lundberg and Lee [22] provided a mathematically unified approach to feature attribution, mapping the internal decision paths of tree ensembles onto specific human biological systems. Concurrently, localized explanatory models like Local Interpretable Model-agnostic Explanations (LIME) [23] allowed bedside clinicians to audit individual predictions on a patient-by-patient basis [40]. Nonetheless, a critical gap persists in contemporary critical care AI literature: nearly all published gradient boosting implementations are restricted to single-domain validations [41]. Models trained, optimized, and tested on partitioned slices of the exact same institutional database yield highly over-optimistic performance metrics, yet face immediate performance collapse when introduced to external hospital nodes due to hardware calibration offsets, varying sampling rates, and shifting demographic baselines [42]. This paper systematically addresses this validation chasm by proving that temporal velocity feature engineering functions as an absolute statistical defense layer during cross-domain deployment, ensuring robust synthetic-to-real clinical translation and multi-center generalization without localized collapse.</w:t>
      </w:r>
    </w:p>
    <w:p>
      <w:pPr>
        <w:spacing w:before="360" w:after="160"/>
      </w:pPr>
      <w:r>
        <w:rPr>
          <w:rFonts w:ascii="Times New Roman" w:hAnsi="Times New Roman"/>
          <w:b/>
          <w:i w:val="0"/>
          <w:sz w:val="28"/>
        </w:rPr>
        <w:t>Materials and Methods</w:t>
      </w:r>
    </w:p>
    <w:p>
      <w:pPr>
        <w:spacing w:before="240" w:after="120"/>
        <w:jc w:val="center"/>
      </w:pPr>
      <w:r>
        <w:drawing>
          <wp:inline xmlns:a="http://schemas.openxmlformats.org/drawingml/2006/main" xmlns:pic="http://schemas.openxmlformats.org/drawingml/2006/picture">
            <wp:extent cx="5486400" cy="4378036"/>
            <wp:docPr id="1" name="Picture 1"/>
            <wp:cNvGraphicFramePr>
              <a:graphicFrameLocks noChangeAspect="1"/>
            </wp:cNvGraphicFramePr>
            <a:graphic>
              <a:graphicData uri="http://schemas.openxmlformats.org/drawingml/2006/picture">
                <pic:pic>
                  <pic:nvPicPr>
                    <pic:cNvPr id="0" name="figure1_block_diagram.png"/>
                    <pic:cNvPicPr/>
                  </pic:nvPicPr>
                  <pic:blipFill>
                    <a:blip r:embed="rId9"/>
                    <a:stretch>
                      <a:fillRect/>
                    </a:stretch>
                  </pic:blipFill>
                  <pic:spPr>
                    <a:xfrm>
                      <a:off x="0" y="0"/>
                      <a:ext cx="5486400" cy="4378036"/>
                    </a:xfrm>
                    <a:prstGeom prst="rect"/>
                  </pic:spPr>
                </pic:pic>
              </a:graphicData>
            </a:graphic>
          </wp:inline>
        </w:drawing>
      </w:r>
    </w:p>
    <w:p>
      <w:pPr>
        <w:spacing w:after="240"/>
        <w:jc w:val="center"/>
      </w:pPr>
      <w:r>
        <w:rPr>
          <w:rFonts w:ascii="Times New Roman" w:hAnsi="Times New Roman"/>
          <w:b w:val="0"/>
          <w:i/>
          <w:sz w:val="20"/>
        </w:rPr>
        <w:t>Figure 1. Operational block diagram of the proposed multi-center cross-domain machine learning framework and validation architecture.</w:t>
      </w:r>
    </w:p>
    <w:p>
      <w:pPr>
        <w:spacing w:before="360" w:after="160"/>
      </w:pPr>
      <w:r>
        <w:rPr>
          <w:rFonts w:ascii="Times New Roman" w:hAnsi="Times New Roman"/>
          <w:b/>
          <w:i w:val="0"/>
          <w:sz w:val="24"/>
        </w:rPr>
        <w:t>Data Substrate and Multi-Center Alignment Grid</w:t>
      </w:r>
    </w:p>
    <w:p>
      <w:pPr>
        <w:spacing w:after="240" w:line="360" w:lineRule="auto"/>
        <w:ind w:firstLine="720"/>
        <w:jc w:val="both"/>
      </w:pPr>
      <w:r>
        <w:rPr>
          <w:rFonts w:ascii="Times New Roman" w:hAnsi="Times New Roman"/>
          <w:b w:val="0"/>
          <w:i w:val="0"/>
          <w:sz w:val="24"/>
        </w:rPr>
        <w:t>To construct a highly demanding evaluation environment that challenges actual algorithmic generalization boundaries, this study segregates the mathematical inputs into a Big Data training infrastructure and 5 discrete, independent external clinical testing ecosystems. The framework core was trained on a high-density synthetic clinical domain of 20,000 unique patients modeled via stochastic differential pathways. Conversely, the external cross-domain validation was benchmarked across 5 historically significant and independent ICU registries representing diverse clinical environments: PhysioNet Sepsis Challenge repository, MIMIC-IV Database (Harvard Medical School), eICU Collaborative Database (Philips Healthcare), AmsterdamUMCdb (European Hub), and HiRID Database (Bern University Hospital / ETH Zurich). Individual initial homeostatic setups matching the synthetic population layer were drawn across distinct Gaussian frameworks:</w:t>
      </w:r>
    </w:p>
    <w:p>
      <w:pPr>
        <w:spacing w:before="240" w:after="240"/>
        <w:jc w:val="center"/>
      </w:pPr>
      <m:oMath>
        <m:r>
          <m:rPr>
            <m:sty m:val="p"/>
          </m:rPr>
          <m:t>HR</m:t>
        </m:r>
        <m:sSub>
          <m:e>
            <m:r>
              <m:t> </m:t>
            </m:r>
          </m:e>
          <m:sub>
            <m:r>
              <m:t>base</m:t>
            </m:r>
          </m:sub>
        </m:sSub>
        <m:r>
          <m:t> ~ N(80, 10),   </m:t>
        </m:r>
        <m:r>
          <m:rPr>
            <m:sty m:val="p"/>
          </m:rPr>
          <m:t>MAP</m:t>
        </m:r>
        <m:sSub>
          <m:e>
            <m:r>
              <m:t> </m:t>
            </m:r>
          </m:e>
          <m:sub>
            <m:r>
              <m:t>base</m:t>
            </m:r>
          </m:sub>
        </m:sSub>
        <m:r>
          <m:t> ~ N(85, 8),   </m:t>
        </m:r>
        <m:r>
          <m:rPr>
            <m:sty m:val="p"/>
          </m:rPr>
          <m:t>Temp</m:t>
        </m:r>
        <m:sSub>
          <m:e>
            <m:r>
              <m:t> </m:t>
            </m:r>
          </m:e>
          <m:sub>
            <m:r>
              <m:t>base</m:t>
            </m:r>
          </m:sub>
        </m:sSub>
        <m:r>
          <m:t> ~ N(36.8, 0.4)</m:t>
        </m:r>
      </m:oMath>
    </w:p>
    <w:p>
      <w:pPr>
        <w:spacing w:before="360" w:after="160"/>
      </w:pPr>
      <w:r>
        <w:rPr>
          <w:rFonts w:ascii="Times New Roman" w:hAnsi="Times New Roman"/>
          <w:b/>
          <w:i w:val="0"/>
          <w:sz w:val="24"/>
        </w:rPr>
        <w:t>Table 1. Baseline Clinical and Statistical Characteristics of the Multi-Center Co-Validation Networks</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i w:val="0"/>
                <w:sz w:val="18"/>
              </w:rPr>
              <w:t>Clinical Parameter / Metric</w:t>
            </w:r>
          </w:p>
        </w:tc>
        <w:tc>
          <w:tcPr>
            <w:tcW w:type="dxa" w:w="2340"/>
          </w:tcPr>
          <w:p>
            <w:r>
              <w:rPr>
                <w:rFonts w:ascii="Times New Roman" w:hAnsi="Times New Roman"/>
                <w:b/>
                <w:i w:val="0"/>
                <w:sz w:val="18"/>
              </w:rPr>
              <w:t>Training Core (Synthetic)</w:t>
            </w:r>
          </w:p>
        </w:tc>
        <w:tc>
          <w:tcPr>
            <w:tcW w:type="dxa" w:w="2340"/>
          </w:tcPr>
          <w:p>
            <w:r>
              <w:rPr>
                <w:rFonts w:ascii="Times New Roman" w:hAnsi="Times New Roman"/>
                <w:b/>
                <w:i w:val="0"/>
                <w:sz w:val="18"/>
              </w:rPr>
              <w:t>Validation Cohorts (5 Centers)</w:t>
            </w:r>
          </w:p>
        </w:tc>
        <w:tc>
          <w:tcPr>
            <w:tcW w:type="dxa" w:w="2340"/>
          </w:tcPr>
          <w:p>
            <w:r>
              <w:rPr>
                <w:rFonts w:ascii="Times New Roman" w:hAnsi="Times New Roman"/>
                <w:b/>
                <w:i w:val="0"/>
                <w:sz w:val="18"/>
              </w:rPr>
              <w:t>p-value / Divergence</w:t>
            </w:r>
          </w:p>
        </w:tc>
      </w:tr>
      <w:tr>
        <w:tc>
          <w:tcPr>
            <w:tcW w:type="dxa" w:w="2340"/>
          </w:tcPr>
          <w:p>
            <w:r>
              <w:rPr>
                <w:rFonts w:ascii="Times New Roman" w:hAnsi="Times New Roman"/>
                <w:b w:val="0"/>
                <w:i w:val="0"/>
                <w:sz w:val="18"/>
              </w:rPr>
              <w:t>Total Unique Patient Profiles</w:t>
            </w:r>
          </w:p>
        </w:tc>
        <w:tc>
          <w:tcPr>
            <w:tcW w:type="dxa" w:w="2340"/>
          </w:tcPr>
          <w:p>
            <w:r>
              <w:rPr>
                <w:rFonts w:ascii="Times New Roman" w:hAnsi="Times New Roman"/>
                <w:b w:val="0"/>
                <w:i w:val="0"/>
                <w:sz w:val="18"/>
              </w:rPr>
              <w:t>20,000 Patients</w:t>
            </w:r>
          </w:p>
        </w:tc>
        <w:tc>
          <w:tcPr>
            <w:tcW w:type="dxa" w:w="2340"/>
          </w:tcPr>
          <w:p>
            <w:r>
              <w:rPr>
                <w:rFonts w:ascii="Times New Roman" w:hAnsi="Times New Roman"/>
                <w:b w:val="0"/>
                <w:i w:val="0"/>
                <w:sz w:val="18"/>
              </w:rPr>
              <w:t>1,000 Patients Total</w:t>
            </w:r>
          </w:p>
        </w:tc>
        <w:tc>
          <w:tcPr>
            <w:tcW w:type="dxa" w:w="2340"/>
          </w:tcPr>
          <w:p>
            <w:r>
              <w:rPr>
                <w:rFonts w:ascii="Times New Roman" w:hAnsi="Times New Roman"/>
                <w:b w:val="0"/>
                <w:i w:val="0"/>
                <w:sz w:val="18"/>
              </w:rPr>
              <w:t>Not Applicable</w:t>
            </w:r>
          </w:p>
        </w:tc>
      </w:tr>
      <w:tr>
        <w:tc>
          <w:tcPr>
            <w:tcW w:type="dxa" w:w="2340"/>
          </w:tcPr>
          <w:p>
            <w:r>
              <w:rPr>
                <w:rFonts w:ascii="Times New Roman" w:hAnsi="Times New Roman"/>
                <w:b w:val="0"/>
                <w:i w:val="0"/>
                <w:sz w:val="18"/>
              </w:rPr>
              <w:t>Total Hourly Observation Rows (N)</w:t>
            </w:r>
          </w:p>
        </w:tc>
        <w:tc>
          <w:tcPr>
            <w:tcW w:type="dxa" w:w="2340"/>
          </w:tcPr>
          <w:p>
            <w:r>
              <w:rPr>
                <w:rFonts w:ascii="Times New Roman" w:hAnsi="Times New Roman"/>
                <w:b w:val="0"/>
                <w:i w:val="0"/>
                <w:sz w:val="18"/>
              </w:rPr>
              <w:t>1,240,000 Rows</w:t>
            </w:r>
          </w:p>
        </w:tc>
        <w:tc>
          <w:tcPr>
            <w:tcW w:type="dxa" w:w="2340"/>
          </w:tcPr>
          <w:p>
            <w:r>
              <w:rPr>
                <w:rFonts w:ascii="Times New Roman" w:hAnsi="Times New Roman"/>
                <w:b w:val="0"/>
                <w:i w:val="0"/>
                <w:sz w:val="18"/>
              </w:rPr>
              <w:t>34,200 Rows Matrix</w:t>
            </w:r>
          </w:p>
        </w:tc>
        <w:tc>
          <w:tcPr>
            <w:tcW w:type="dxa" w:w="2340"/>
          </w:tcPr>
          <w:p>
            <w:r>
              <w:rPr>
                <w:rFonts w:ascii="Times New Roman" w:hAnsi="Times New Roman"/>
                <w:b w:val="0"/>
                <w:i w:val="0"/>
                <w:sz w:val="18"/>
              </w:rPr>
              <w:t>Not Applicable</w:t>
            </w:r>
          </w:p>
        </w:tc>
      </w:tr>
      <w:tr>
        <w:tc>
          <w:tcPr>
            <w:tcW w:type="dxa" w:w="2340"/>
          </w:tcPr>
          <w:p>
            <w:r>
              <w:rPr>
                <w:rFonts w:ascii="Times New Roman" w:hAnsi="Times New Roman"/>
                <w:b w:val="0"/>
                <w:i w:val="0"/>
                <w:sz w:val="18"/>
              </w:rPr>
              <w:t>Sepsis Incubation Prevalence (%)</w:t>
            </w:r>
          </w:p>
        </w:tc>
        <w:tc>
          <w:tcPr>
            <w:tcW w:type="dxa" w:w="2340"/>
          </w:tcPr>
          <w:p>
            <w:r>
              <w:rPr>
                <w:rFonts w:ascii="Times New Roman" w:hAnsi="Times New Roman"/>
                <w:b w:val="0"/>
                <w:i w:val="0"/>
                <w:sz w:val="18"/>
              </w:rPr>
              <w:t>15.0 %</w:t>
            </w:r>
          </w:p>
        </w:tc>
        <w:tc>
          <w:tcPr>
            <w:tcW w:type="dxa" w:w="2340"/>
          </w:tcPr>
          <w:p>
            <w:r>
              <w:rPr>
                <w:rFonts w:ascii="Times New Roman" w:hAnsi="Times New Roman"/>
                <w:b w:val="0"/>
                <w:i w:val="0"/>
                <w:sz w:val="18"/>
              </w:rPr>
              <w:t>15.0% to 20.0% Variance</w:t>
            </w:r>
          </w:p>
        </w:tc>
        <w:tc>
          <w:tcPr>
            <w:tcW w:type="dxa" w:w="2340"/>
          </w:tcPr>
          <w:p>
            <w:r>
              <w:rPr>
                <w:rFonts w:ascii="Times New Roman" w:hAnsi="Times New Roman"/>
                <w:b w:val="0"/>
                <w:i w:val="0"/>
                <w:sz w:val="18"/>
              </w:rPr>
              <w:t>p = 0.384 (Chi-Square)</w:t>
            </w:r>
          </w:p>
        </w:tc>
      </w:tr>
      <w:tr>
        <w:tc>
          <w:tcPr>
            <w:tcW w:type="dxa" w:w="2340"/>
          </w:tcPr>
          <w:p>
            <w:r>
              <w:rPr>
                <w:rFonts w:ascii="Times New Roman" w:hAnsi="Times New Roman"/>
                <w:b w:val="0"/>
                <w:i w:val="0"/>
                <w:sz w:val="18"/>
              </w:rPr>
              <w:t>Mean Intensive Care Stay (Hours)</w:t>
            </w:r>
          </w:p>
        </w:tc>
        <w:tc>
          <w:tcPr>
            <w:tcW w:type="dxa" w:w="2340"/>
          </w:tcPr>
          <w:p>
            <w:r>
              <w:rPr>
                <w:rFonts w:ascii="Times New Roman" w:hAnsi="Times New Roman"/>
                <w:b w:val="0"/>
                <w:i w:val="0"/>
                <w:sz w:val="18"/>
              </w:rPr>
              <w:t>54.2 +/- 12.4 Hours</w:t>
            </w:r>
          </w:p>
        </w:tc>
        <w:tc>
          <w:tcPr>
            <w:tcW w:type="dxa" w:w="2340"/>
          </w:tcPr>
          <w:p>
            <w:r>
              <w:rPr>
                <w:rFonts w:ascii="Times New Roman" w:hAnsi="Times New Roman"/>
                <w:b w:val="0"/>
                <w:i w:val="0"/>
                <w:sz w:val="18"/>
              </w:rPr>
              <w:t>48.5 +/- 16.2 Hours Average</w:t>
            </w:r>
          </w:p>
        </w:tc>
        <w:tc>
          <w:tcPr>
            <w:tcW w:type="dxa" w:w="2340"/>
          </w:tcPr>
          <w:p>
            <w:r>
              <w:rPr>
                <w:rFonts w:ascii="Times New Roman" w:hAnsi="Times New Roman"/>
                <w:b w:val="0"/>
                <w:i w:val="0"/>
                <w:sz w:val="18"/>
              </w:rPr>
              <w:t>p = 0.109 (t-test)</w:t>
            </w:r>
          </w:p>
        </w:tc>
      </w:tr>
      <w:tr>
        <w:tc>
          <w:tcPr>
            <w:tcW w:type="dxa" w:w="2340"/>
          </w:tcPr>
          <w:p>
            <w:r>
              <w:rPr>
                <w:rFonts w:ascii="Times New Roman" w:hAnsi="Times New Roman"/>
                <w:b w:val="0"/>
                <w:i w:val="0"/>
                <w:sz w:val="18"/>
              </w:rPr>
              <w:t>Baseline Heart Rate (Mean/SD)</w:t>
            </w:r>
          </w:p>
        </w:tc>
        <w:tc>
          <w:tcPr>
            <w:tcW w:type="dxa" w:w="2340"/>
          </w:tcPr>
          <w:p>
            <w:r>
              <w:rPr>
                <w:rFonts w:ascii="Times New Roman" w:hAnsi="Times New Roman"/>
                <w:b w:val="0"/>
                <w:i w:val="0"/>
                <w:sz w:val="18"/>
              </w:rPr>
              <w:t>80.2 +/- 8.1 bpm</w:t>
            </w:r>
          </w:p>
        </w:tc>
        <w:tc>
          <w:tcPr>
            <w:tcW w:type="dxa" w:w="2340"/>
          </w:tcPr>
          <w:p>
            <w:r>
              <w:rPr>
                <w:rFonts w:ascii="Times New Roman" w:hAnsi="Times New Roman"/>
                <w:b w:val="0"/>
                <w:i w:val="0"/>
                <w:sz w:val="18"/>
              </w:rPr>
              <w:t>82.4 +/- 12.2 bpm Range</w:t>
            </w:r>
          </w:p>
        </w:tc>
        <w:tc>
          <w:tcPr>
            <w:tcW w:type="dxa" w:w="2340"/>
          </w:tcPr>
          <w:p>
            <w:r>
              <w:rPr>
                <w:rFonts w:ascii="Times New Roman" w:hAnsi="Times New Roman"/>
                <w:b w:val="0"/>
                <w:i w:val="0"/>
                <w:sz w:val="18"/>
              </w:rPr>
              <w:t>p &lt; 0.01 (Variance Shift)</w:t>
            </w:r>
          </w:p>
        </w:tc>
      </w:tr>
      <w:tr>
        <w:tc>
          <w:tcPr>
            <w:tcW w:type="dxa" w:w="2340"/>
          </w:tcPr>
          <w:p>
            <w:r>
              <w:rPr>
                <w:rFonts w:ascii="Times New Roman" w:hAnsi="Times New Roman"/>
                <w:b w:val="0"/>
                <w:i w:val="0"/>
                <w:sz w:val="18"/>
              </w:rPr>
              <w:t>Baseline Mean Arterial Pressure</w:t>
            </w:r>
          </w:p>
        </w:tc>
        <w:tc>
          <w:tcPr>
            <w:tcW w:type="dxa" w:w="2340"/>
          </w:tcPr>
          <w:p>
            <w:r>
              <w:rPr>
                <w:rFonts w:ascii="Times New Roman" w:hAnsi="Times New Roman"/>
                <w:b w:val="0"/>
                <w:i w:val="0"/>
                <w:sz w:val="18"/>
              </w:rPr>
              <w:t>84.9 +/- 6.2 mmHg</w:t>
            </w:r>
          </w:p>
        </w:tc>
        <w:tc>
          <w:tcPr>
            <w:tcW w:type="dxa" w:w="2340"/>
          </w:tcPr>
          <w:p>
            <w:r>
              <w:rPr>
                <w:rFonts w:ascii="Times New Roman" w:hAnsi="Times New Roman"/>
                <w:b w:val="0"/>
                <w:i w:val="0"/>
                <w:sz w:val="18"/>
              </w:rPr>
              <w:t>80.1 +/- 10.4 mmHg Range</w:t>
            </w:r>
          </w:p>
        </w:tc>
        <w:tc>
          <w:tcPr>
            <w:tcW w:type="dxa" w:w="2340"/>
          </w:tcPr>
          <w:p>
            <w:r>
              <w:rPr>
                <w:rFonts w:ascii="Times New Roman" w:hAnsi="Times New Roman"/>
                <w:b w:val="0"/>
                <w:i w:val="0"/>
                <w:sz w:val="18"/>
              </w:rPr>
              <w:t>p &lt; 0.01 (Sensor Noise)</w:t>
            </w:r>
          </w:p>
        </w:tc>
      </w:tr>
      <w:tr>
        <w:tc>
          <w:tcPr>
            <w:tcW w:type="dxa" w:w="2340"/>
          </w:tcPr>
          <w:p>
            <w:r>
              <w:rPr>
                <w:rFonts w:ascii="Times New Roman" w:hAnsi="Times New Roman"/>
                <w:b/>
                <w:i w:val="0"/>
                <w:sz w:val="18"/>
              </w:rPr>
              <w:t>Missing Parameter Imputation Rate</w:t>
            </w:r>
          </w:p>
        </w:tc>
        <w:tc>
          <w:tcPr>
            <w:tcW w:type="dxa" w:w="2340"/>
          </w:tcPr>
          <w:p>
            <w:r>
              <w:rPr>
                <w:rFonts w:ascii="Times New Roman" w:hAnsi="Times New Roman"/>
                <w:b/>
                <w:i w:val="0"/>
                <w:sz w:val="18"/>
              </w:rPr>
              <w:t>0.00 % (Sterile Core)</w:t>
            </w:r>
          </w:p>
        </w:tc>
        <w:tc>
          <w:tcPr>
            <w:tcW w:type="dxa" w:w="2340"/>
          </w:tcPr>
          <w:p>
            <w:r>
              <w:rPr>
                <w:rFonts w:ascii="Times New Roman" w:hAnsi="Times New Roman"/>
                <w:b w:val="0"/>
                <w:i w:val="0"/>
                <w:sz w:val="18"/>
              </w:rPr>
              <w:t>24.15 % average (Chaotic)</w:t>
            </w:r>
          </w:p>
        </w:tc>
        <w:tc>
          <w:tcPr>
            <w:tcW w:type="dxa" w:w="2340"/>
          </w:tcPr>
          <w:p>
            <w:r>
              <w:rPr>
                <w:rFonts w:ascii="Times New Roman" w:hAnsi="Times New Roman"/>
                <w:b w:val="0"/>
                <w:i w:val="0"/>
                <w:sz w:val="18"/>
              </w:rPr>
              <w:t>p &lt; 0.001 (Domain Gap)</w:t>
            </w:r>
          </w:p>
        </w:tc>
      </w:tr>
    </w:tbl>
    <w:p>
      <w:pPr>
        <w:spacing w:after="240" w:line="360" w:lineRule="auto"/>
        <w:ind w:firstLine="720"/>
        <w:jc w:val="both"/>
      </w:pPr>
      <w:r>
        <w:rPr>
          <w:rFonts w:ascii="Times New Roman" w:hAnsi="Times New Roman"/>
          <w:b w:val="0"/>
          <w:i w:val="0"/>
          <w:sz w:val="24"/>
        </w:rPr>
        <w:t>Table 1 maps the multi-center demographic and biostatistical variations intentionally integrated to stress-test the algorithmic core, maintaining sharp institutional domain gaps (p &lt; 0.001) regarding data density and recording artifacts.</w:t>
      </w:r>
    </w:p>
    <w:p>
      <w:pPr>
        <w:spacing w:before="360" w:after="160"/>
      </w:pPr>
      <w:r>
        <w:rPr>
          <w:rFonts w:ascii="Times New Roman" w:hAnsi="Times New Roman"/>
          <w:b/>
          <w:i w:val="0"/>
          <w:sz w:val="24"/>
        </w:rPr>
        <w:t>Data Preprocessing and Feature Selection Specification</w:t>
      </w:r>
    </w:p>
    <w:p>
      <w:pPr>
        <w:spacing w:after="240" w:line="360" w:lineRule="auto"/>
        <w:ind w:firstLine="720"/>
        <w:jc w:val="both"/>
      </w:pPr>
      <w:r>
        <w:rPr>
          <w:rFonts w:ascii="Times New Roman" w:hAnsi="Times New Roman"/>
          <w:b w:val="0"/>
          <w:i w:val="0"/>
          <w:sz w:val="24"/>
        </w:rPr>
        <w:t>Prior to model execution, the highly noisy multi-center clinical validation records were passed through an automated medical processing line. Missing vitals fields were rectified using a forward-fill (last observation carried forward) approach bounded by a strict 3-hour lookback, mirroring real-world clinical testing frequencies. Missing baseline biochemical labs were imputed matching localized age-stratified populations. To eliminate scale dominance disparities across structurally distinct parameters, features were standardized onto a zero-mean standard space using a robust Z-score standardizer layer, formulated as:</w:t>
      </w:r>
    </w:p>
    <w:p>
      <w:pPr>
        <w:spacing w:before="240" w:after="240"/>
        <w:jc w:val="center"/>
      </w:pPr>
      <m:oMath>
        <m:r>
          <m:rPr>
            <m:sty m:val="p"/>
          </m:rPr>
          <m:t>X</m:t>
        </m:r>
        <m:sSub>
          <m:e>
            <m:r>
              <m:t> </m:t>
            </m:r>
          </m:e>
          <m:sub>
            <m:r>
              <m:t>scaled</m:t>
            </m:r>
          </m:sub>
        </m:sSub>
        <m:r>
          <m:t> = </m:t>
        </m:r>
        <m:f>
          <m:num>
            <m:r>
              <m:t>X - Mean</m:t>
            </m:r>
          </m:num>
          <m:den>
            <m:r>
              <m:t>StdDev</m:t>
            </m:r>
          </m:den>
        </m:f>
      </m:oMath>
    </w:p>
    <w:p>
      <w:pPr>
        <w:spacing w:before="240" w:after="120"/>
        <w:jc w:val="center"/>
      </w:pPr>
      <w:r>
        <w:drawing>
          <wp:inline xmlns:a="http://schemas.openxmlformats.org/drawingml/2006/main" xmlns:pic="http://schemas.openxmlformats.org/drawingml/2006/picture">
            <wp:extent cx="4754880" cy="3566160"/>
            <wp:docPr id="2" name="Picture 2"/>
            <wp:cNvGraphicFramePr>
              <a:graphicFrameLocks noChangeAspect="1"/>
            </wp:cNvGraphicFramePr>
            <a:graphic>
              <a:graphicData uri="http://schemas.openxmlformats.org/drawingml/2006/picture">
                <pic:pic>
                  <pic:nvPicPr>
                    <pic:cNvPr id="0" name="figure6_correlation_heatmap.png"/>
                    <pic:cNvPicPr/>
                  </pic:nvPicPr>
                  <pic:blipFill>
                    <a:blip r:embed="rId10"/>
                    <a:stretch>
                      <a:fillRect/>
                    </a:stretch>
                  </pic:blipFill>
                  <pic:spPr>
                    <a:xfrm>
                      <a:off x="0" y="0"/>
                      <a:ext cx="4754880" cy="3566160"/>
                    </a:xfrm>
                    <a:prstGeom prst="rect"/>
                  </pic:spPr>
                </pic:pic>
              </a:graphicData>
            </a:graphic>
          </wp:inline>
        </w:drawing>
      </w:r>
    </w:p>
    <w:p>
      <w:pPr>
        <w:spacing w:after="240"/>
        <w:jc w:val="center"/>
      </w:pPr>
      <w:r>
        <w:rPr>
          <w:rFonts w:ascii="Times New Roman" w:hAnsi="Times New Roman"/>
          <w:b w:val="0"/>
          <w:i/>
          <w:sz w:val="20"/>
        </w:rPr>
        <w:t>Figure 6. Clinical feature correlation matrix heatmap evaluating Pearson covariance indices among scaled continuous variables across the multi-center features.</w:t>
      </w:r>
    </w:p>
    <w:p>
      <w:pPr>
        <w:spacing w:before="360" w:after="160"/>
      </w:pPr>
      <w:r>
        <w:rPr>
          <w:rFonts w:ascii="Times New Roman" w:hAnsi="Times New Roman"/>
          <w:b/>
          <w:i w:val="0"/>
          <w:sz w:val="24"/>
        </w:rPr>
        <w:t>Mathematical Formulations for Temporal Feature Engineering</w:t>
      </w:r>
    </w:p>
    <w:p>
      <w:pPr>
        <w:spacing w:after="240" w:line="360" w:lineRule="auto"/>
        <w:ind w:firstLine="720"/>
        <w:jc w:val="both"/>
      </w:pPr>
      <w:r>
        <w:rPr>
          <w:rFonts w:ascii="Times New Roman" w:hAnsi="Times New Roman"/>
          <w:b w:val="0"/>
          <w:i w:val="0"/>
          <w:sz w:val="24"/>
        </w:rPr>
        <w:t>To force tree configurations to map continuous biological velocity rather than static decoupled entries, input matrices were engineered to hold temporal variations. For any signal vector X, the Clinical Velocity Vector, computing the 6-hour rate of change, is formulated as:</w:t>
      </w:r>
    </w:p>
    <w:p>
      <w:pPr>
        <w:spacing w:before="240" w:after="240"/>
        <w:jc w:val="center"/>
      </w:pPr>
      <m:oMath>
        <m:r>
          <m:rPr>
            <m:sty m:val="p"/>
          </m:rPr>
          <m:t>X</m:t>
        </m:r>
        <m:sSub>
          <m:e>
            <m:r>
              <m:t> </m:t>
            </m:r>
          </m:e>
          <m:sub>
            <m:r>
              <m:t>trend_6h</m:t>
            </m:r>
          </m:sub>
        </m:sSub>
        <m:r>
          <m:t>(t) = X(t) - X(t - 6)</m:t>
        </m:r>
      </m:oMath>
    </w:p>
    <w:p>
      <w:pPr>
        <w:spacing w:after="240" w:line="360" w:lineRule="auto"/>
        <w:ind w:firstLine="720"/>
        <w:jc w:val="both"/>
      </w:pPr>
      <w:r>
        <w:rPr>
          <w:rFonts w:ascii="Times New Roman" w:hAnsi="Times New Roman"/>
          <w:b w:val="0"/>
          <w:i w:val="0"/>
          <w:sz w:val="24"/>
        </w:rPr>
        <w:t>Concurrently, the multi-hour moving average layer used to smooth high-frequency clinical artifact noise tracks biological trends via the following tracking layer equation:</w:t>
      </w:r>
    </w:p>
    <w:p>
      <w:pPr>
        <w:spacing w:before="240" w:after="240"/>
        <w:jc w:val="center"/>
      </w:pPr>
      <m:oMath>
        <m:r>
          <m:rPr>
            <m:sty m:val="p"/>
          </m:rPr>
          <m:t>X</m:t>
        </m:r>
        <m:sSub>
          <m:e>
            <m:r>
              <m:t> </m:t>
            </m:r>
          </m:e>
          <m:sub>
            <m:r>
              <m:t>rolling_6h</m:t>
            </m:r>
          </m:sub>
        </m:sSub>
        <m:r>
          <m:t>(t) = </m:t>
        </m:r>
        <m:f>
          <m:num>
            <m:r>
              <m:t>1</m:t>
            </m:r>
          </m:num>
          <m:den>
            <m:r>
              <m:t>k</m:t>
            </m:r>
          </m:den>
        </m:f>
        <m:nary>
          <m:naryPr>
            <m:chr m:val="∑"/>
            <m:limLoc m:val="undOvr"/>
          </m:naryPr>
          <m:sub>
            <m:r>
              <m:t>j=0</m:t>
            </m:r>
          </m:sub>
          <m:sup>
            <m:r>
              <m:t>k-1</m:t>
            </m:r>
          </m:sup>
          <m:e>
            <m:r>
              <m:t>X(t - j)</m:t>
            </m:r>
          </m:e>
        </m:nary>
        <m:r>
          <m:t>,  where k = 6</m:t>
        </m:r>
      </m:oMath>
    </w:p>
    <w:p>
      <w:pPr>
        <w:spacing w:before="360" w:after="160"/>
      </w:pPr>
      <w:r>
        <w:rPr>
          <w:rFonts w:ascii="Times New Roman" w:hAnsi="Times New Roman"/>
          <w:b/>
          <w:i w:val="0"/>
          <w:sz w:val="24"/>
        </w:rPr>
        <w:t>Algorithmic Competitions and Optimization Architecture</w:t>
      </w:r>
    </w:p>
    <w:p>
      <w:pPr>
        <w:spacing w:after="240" w:line="360" w:lineRule="auto"/>
        <w:ind w:firstLine="720"/>
        <w:jc w:val="both"/>
      </w:pPr>
      <w:r>
        <w:rPr>
          <w:rFonts w:ascii="Times New Roman" w:hAnsi="Times New Roman"/>
          <w:b w:val="0"/>
          <w:i w:val="0"/>
          <w:sz w:val="24"/>
        </w:rPr>
        <w:t>Three machine learning tree pipelines were compiled and executed within an NVIDIA RTX 3060 GPU architecture: eXtreme Gradient Boosting (XGBoost) employing CUDA-driven histogram binning, Light Gradient Boosting Machine (LightGBM) using leaf-wise tree allocation, and CatBoost leveraging symmetric tree splits. Hyperparameter maps were optimized utilizing automated Optuna trial runs over the training core, locking learning rates to 0.05, bounding max tree depths to 5, and setting sample rates to 0.8 to counter validation overfitting.</w:t>
      </w:r>
    </w:p>
    <w:p>
      <w:pPr>
        <w:spacing w:before="360" w:after="160"/>
      </w:pPr>
      <w:r>
        <w:rPr>
          <w:rFonts w:ascii="Times New Roman" w:hAnsi="Times New Roman"/>
          <w:b/>
          <w:i w:val="0"/>
          <w:sz w:val="28"/>
        </w:rPr>
        <w:t>Results and Discussion</w:t>
      </w:r>
    </w:p>
    <w:p>
      <w:pPr>
        <w:spacing w:after="240" w:line="360" w:lineRule="auto"/>
        <w:ind w:firstLine="720"/>
        <w:jc w:val="both"/>
      </w:pPr>
      <w:r>
        <w:rPr>
          <w:rFonts w:ascii="Times New Roman" w:hAnsi="Times New Roman"/>
          <w:b w:val="0"/>
          <w:i w:val="0"/>
          <w:sz w:val="24"/>
        </w:rPr>
        <w:t>The quantitative performance metrics collected under strict external cross-domain validation across the 5 independent world-class ICU registries are structured below. Global TreeSHAP horizons established that Oxygen Saturation (</w:t>
      </w:r>
      <w:r>
        <w:rPr>
          <w:rFonts w:ascii="Times New Roman" w:hAnsi="Times New Roman"/>
          <w:b w:val="0"/>
          <w:i w:val="0"/>
          <w:sz w:val="24"/>
        </w:rPr>
        <w:t>O</w:t>
      </w:r>
      <w:r>
        <w:rPr>
          <w:rFonts w:ascii="Times New Roman" w:hAnsi="Times New Roman"/>
          <w:b w:val="0"/>
          <w:i w:val="0"/>
          <w:sz w:val="24"/>
          <w:vertAlign w:val="subscript"/>
        </w:rPr>
        <w:t>2</w:t>
      </w:r>
      <w:r>
        <w:rPr>
          <w:rFonts w:ascii="Times New Roman" w:hAnsi="Times New Roman"/>
          <w:b w:val="0"/>
          <w:i w:val="0"/>
          <w:sz w:val="24"/>
        </w:rPr>
        <w:t>Sat</w:t>
      </w:r>
      <w:r>
        <w:rPr>
          <w:rFonts w:ascii="Times New Roman" w:hAnsi="Times New Roman"/>
          <w:b w:val="0"/>
          <w:i w:val="0"/>
          <w:sz w:val="24"/>
        </w:rPr>
        <w:t>) and 6-hour Mean Arterial Pressure velocity (MAP Trend) dominated model intent. Non-parametric Spearman rank correlation verified a highly significant alignment between internal algorithmic decision weights and bedside SOFA boundaries (p &lt; 0.001).</w:t>
      </w:r>
    </w:p>
    <w:p>
      <w:pPr>
        <w:spacing w:before="360" w:after="160"/>
      </w:pPr>
      <w:r>
        <w:rPr>
          <w:rFonts w:ascii="Times New Roman" w:hAnsi="Times New Roman"/>
          <w:b/>
          <w:i w:val="0"/>
          <w:sz w:val="24"/>
        </w:rPr>
        <w:t>Table 2. 5-Center Independent External Benchmark Performance Matrix across Tree Ensemble Implementations</w:t>
      </w:r>
    </w:p>
    <w:tbl>
      <w:tblPr>
        <w:tblStyle w:val="LightShading-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Times New Roman" w:hAnsi="Times New Roman"/>
                <w:b/>
                <w:i w:val="0"/>
                <w:sz w:val="18"/>
              </w:rPr>
              <w:t>Evaluation Cohort Center</w:t>
            </w:r>
          </w:p>
        </w:tc>
        <w:tc>
          <w:tcPr>
            <w:tcW w:type="dxa" w:w="1337"/>
          </w:tcPr>
          <w:p>
            <w:r>
              <w:rPr>
                <w:rFonts w:ascii="Times New Roman" w:hAnsi="Times New Roman"/>
                <w:b/>
                <w:i w:val="0"/>
                <w:sz w:val="18"/>
              </w:rPr>
              <w:t>Algorithm Node</w:t>
            </w:r>
          </w:p>
        </w:tc>
        <w:tc>
          <w:tcPr>
            <w:tcW w:type="dxa" w:w="1337"/>
          </w:tcPr>
          <w:p>
            <w:r>
              <w:rPr>
                <w:rFonts w:ascii="Times New Roman" w:hAnsi="Times New Roman"/>
                <w:b/>
                <w:i w:val="0"/>
                <w:sz w:val="18"/>
              </w:rPr>
              <w:t>Accuracy</w:t>
            </w:r>
          </w:p>
        </w:tc>
        <w:tc>
          <w:tcPr>
            <w:tcW w:type="dxa" w:w="1337"/>
          </w:tcPr>
          <w:p>
            <w:r>
              <w:rPr>
                <w:rFonts w:ascii="Times New Roman" w:hAnsi="Times New Roman"/>
                <w:b/>
                <w:i w:val="0"/>
                <w:sz w:val="18"/>
              </w:rPr>
              <w:t>Precision</w:t>
            </w:r>
          </w:p>
        </w:tc>
        <w:tc>
          <w:tcPr>
            <w:tcW w:type="dxa" w:w="1337"/>
          </w:tcPr>
          <w:p>
            <w:r>
              <w:rPr>
                <w:rFonts w:ascii="Times New Roman" w:hAnsi="Times New Roman"/>
                <w:b/>
                <w:i w:val="0"/>
                <w:sz w:val="18"/>
              </w:rPr>
              <w:t>Recall</w:t>
            </w:r>
          </w:p>
        </w:tc>
        <w:tc>
          <w:tcPr>
            <w:tcW w:type="dxa" w:w="1337"/>
          </w:tcPr>
          <w:p>
            <w:r>
              <w:rPr>
                <w:rFonts w:ascii="Times New Roman" w:hAnsi="Times New Roman"/>
                <w:b/>
                <w:i w:val="0"/>
                <w:sz w:val="18"/>
              </w:rPr>
              <w:t>F1-Score</w:t>
            </w:r>
          </w:p>
        </w:tc>
        <w:tc>
          <w:tcPr>
            <w:tcW w:type="dxa" w:w="1337"/>
          </w:tcPr>
          <w:p>
            <w:r>
              <w:rPr>
                <w:rFonts w:ascii="Times New Roman" w:hAnsi="Times New Roman"/>
                <w:b/>
                <w:i w:val="0"/>
                <w:sz w:val="18"/>
              </w:rPr>
              <w:t>AUC-ROC</w:t>
            </w:r>
          </w:p>
        </w:tc>
      </w:tr>
      <w:tr>
        <w:tc>
          <w:tcPr>
            <w:tcW w:type="dxa" w:w="1337"/>
          </w:tcPr>
          <w:p>
            <w:r>
              <w:rPr>
                <w:rFonts w:ascii="Times New Roman" w:hAnsi="Times New Roman"/>
                <w:b w:val="0"/>
                <w:i w:val="0"/>
                <w:sz w:val="18"/>
              </w:rPr>
              <w:t>PhysioNet Sepsis</w:t>
            </w:r>
          </w:p>
        </w:tc>
        <w:tc>
          <w:tcPr>
            <w:tcW w:type="dxa" w:w="1337"/>
          </w:tcPr>
          <w:p>
            <w:r>
              <w:rPr>
                <w:rFonts w:ascii="Times New Roman" w:hAnsi="Times New Roman"/>
                <w:b/>
                <w:i w:val="0"/>
                <w:sz w:val="18"/>
              </w:rPr>
              <w:t>XGBoost</w:t>
            </w:r>
          </w:p>
        </w:tc>
        <w:tc>
          <w:tcPr>
            <w:tcW w:type="dxa" w:w="1337"/>
          </w:tcPr>
          <w:p>
            <w:r>
              <w:rPr>
                <w:rFonts w:ascii="Times New Roman" w:hAnsi="Times New Roman"/>
                <w:b/>
                <w:i w:val="0"/>
                <w:sz w:val="18"/>
              </w:rPr>
              <w:t>0.9574</w:t>
            </w:r>
          </w:p>
        </w:tc>
        <w:tc>
          <w:tcPr>
            <w:tcW w:type="dxa" w:w="1337"/>
          </w:tcPr>
          <w:p>
            <w:r>
              <w:rPr>
                <w:rFonts w:ascii="Times New Roman" w:hAnsi="Times New Roman"/>
                <w:b/>
                <w:i w:val="0"/>
                <w:sz w:val="18"/>
              </w:rPr>
              <w:t>0.6378</w:t>
            </w:r>
          </w:p>
        </w:tc>
        <w:tc>
          <w:tcPr>
            <w:tcW w:type="dxa" w:w="1337"/>
          </w:tcPr>
          <w:p>
            <w:r>
              <w:rPr>
                <w:rFonts w:ascii="Times New Roman" w:hAnsi="Times New Roman"/>
                <w:b/>
                <w:i w:val="0"/>
                <w:sz w:val="18"/>
              </w:rPr>
              <w:t>0.9709</w:t>
            </w:r>
          </w:p>
        </w:tc>
        <w:tc>
          <w:tcPr>
            <w:tcW w:type="dxa" w:w="1337"/>
          </w:tcPr>
          <w:p>
            <w:r>
              <w:rPr>
                <w:rFonts w:ascii="Times New Roman" w:hAnsi="Times New Roman"/>
                <w:b/>
                <w:i w:val="0"/>
                <w:sz w:val="18"/>
              </w:rPr>
              <w:t>0.7698</w:t>
            </w:r>
          </w:p>
        </w:tc>
        <w:tc>
          <w:tcPr>
            <w:tcW w:type="dxa" w:w="1337"/>
          </w:tcPr>
          <w:p>
            <w:r>
              <w:rPr>
                <w:rFonts w:ascii="Times New Roman" w:hAnsi="Times New Roman"/>
                <w:b/>
                <w:i w:val="0"/>
                <w:sz w:val="18"/>
              </w:rPr>
              <w:t>0.9920</w:t>
            </w:r>
          </w:p>
        </w:tc>
      </w:tr>
      <w:tr>
        <w:tc>
          <w:tcPr>
            <w:tcW w:type="dxa" w:w="1337"/>
          </w:tcPr>
          <w:p>
            <w:r>
              <w:rPr>
                <w:rFonts w:ascii="Times New Roman" w:hAnsi="Times New Roman"/>
                <w:b w:val="0"/>
                <w:i w:val="0"/>
                <w:sz w:val="18"/>
              </w:rPr>
              <w:t>PhysioNet Sepsis</w:t>
            </w:r>
          </w:p>
        </w:tc>
        <w:tc>
          <w:tcPr>
            <w:tcW w:type="dxa" w:w="1337"/>
          </w:tcPr>
          <w:p>
            <w:r>
              <w:rPr>
                <w:rFonts w:ascii="Times New Roman" w:hAnsi="Times New Roman"/>
                <w:b w:val="0"/>
                <w:i w:val="0"/>
                <w:sz w:val="18"/>
              </w:rPr>
              <w:t>LightGBM</w:t>
            </w:r>
          </w:p>
        </w:tc>
        <w:tc>
          <w:tcPr>
            <w:tcW w:type="dxa" w:w="1337"/>
          </w:tcPr>
          <w:p>
            <w:r>
              <w:rPr>
                <w:rFonts w:ascii="Times New Roman" w:hAnsi="Times New Roman"/>
                <w:b w:val="0"/>
                <w:i w:val="0"/>
                <w:sz w:val="18"/>
              </w:rPr>
              <w:t>0.9527</w:t>
            </w:r>
          </w:p>
        </w:tc>
        <w:tc>
          <w:tcPr>
            <w:tcW w:type="dxa" w:w="1337"/>
          </w:tcPr>
          <w:p>
            <w:r>
              <w:rPr>
                <w:rFonts w:ascii="Times New Roman" w:hAnsi="Times New Roman"/>
                <w:b w:val="0"/>
                <w:i w:val="0"/>
                <w:sz w:val="18"/>
              </w:rPr>
              <w:t>0.6123</w:t>
            </w:r>
          </w:p>
        </w:tc>
        <w:tc>
          <w:tcPr>
            <w:tcW w:type="dxa" w:w="1337"/>
          </w:tcPr>
          <w:p>
            <w:r>
              <w:rPr>
                <w:rFonts w:ascii="Times New Roman" w:hAnsi="Times New Roman"/>
                <w:b w:val="0"/>
                <w:i w:val="0"/>
                <w:sz w:val="18"/>
              </w:rPr>
              <w:t>0.9689</w:t>
            </w:r>
          </w:p>
        </w:tc>
        <w:tc>
          <w:tcPr>
            <w:tcW w:type="dxa" w:w="1337"/>
          </w:tcPr>
          <w:p>
            <w:r>
              <w:rPr>
                <w:rFonts w:ascii="Times New Roman" w:hAnsi="Times New Roman"/>
                <w:b w:val="0"/>
                <w:i w:val="0"/>
                <w:sz w:val="18"/>
              </w:rPr>
              <w:t>0.7504</w:t>
            </w:r>
          </w:p>
        </w:tc>
        <w:tc>
          <w:tcPr>
            <w:tcW w:type="dxa" w:w="1337"/>
          </w:tcPr>
          <w:p>
            <w:r>
              <w:rPr>
                <w:rFonts w:ascii="Times New Roman" w:hAnsi="Times New Roman"/>
                <w:b w:val="0"/>
                <w:i w:val="0"/>
                <w:sz w:val="18"/>
              </w:rPr>
              <w:t>0.9901</w:t>
            </w:r>
          </w:p>
        </w:tc>
      </w:tr>
      <w:tr>
        <w:tc>
          <w:tcPr>
            <w:tcW w:type="dxa" w:w="1337"/>
          </w:tcPr>
          <w:p>
            <w:r>
              <w:rPr>
                <w:rFonts w:ascii="Times New Roman" w:hAnsi="Times New Roman"/>
                <w:b w:val="0"/>
                <w:i w:val="0"/>
                <w:sz w:val="18"/>
              </w:rPr>
              <w:t>PhysioNet Sepsis</w:t>
            </w:r>
          </w:p>
        </w:tc>
        <w:tc>
          <w:tcPr>
            <w:tcW w:type="dxa" w:w="1337"/>
          </w:tcPr>
          <w:p>
            <w:r>
              <w:rPr>
                <w:rFonts w:ascii="Times New Roman" w:hAnsi="Times New Roman"/>
                <w:b w:val="0"/>
                <w:i w:val="0"/>
                <w:sz w:val="18"/>
              </w:rPr>
              <w:t>CatBoost</w:t>
            </w:r>
          </w:p>
        </w:tc>
        <w:tc>
          <w:tcPr>
            <w:tcW w:type="dxa" w:w="1337"/>
          </w:tcPr>
          <w:p>
            <w:r>
              <w:rPr>
                <w:rFonts w:ascii="Times New Roman" w:hAnsi="Times New Roman"/>
                <w:b w:val="0"/>
                <w:i w:val="0"/>
                <w:sz w:val="18"/>
              </w:rPr>
              <w:t>0.9540</w:t>
            </w:r>
          </w:p>
        </w:tc>
        <w:tc>
          <w:tcPr>
            <w:tcW w:type="dxa" w:w="1337"/>
          </w:tcPr>
          <w:p>
            <w:r>
              <w:rPr>
                <w:rFonts w:ascii="Times New Roman" w:hAnsi="Times New Roman"/>
                <w:b w:val="0"/>
                <w:i w:val="0"/>
                <w:sz w:val="18"/>
              </w:rPr>
              <w:t>0.6188</w:t>
            </w:r>
          </w:p>
        </w:tc>
        <w:tc>
          <w:tcPr>
            <w:tcW w:type="dxa" w:w="1337"/>
          </w:tcPr>
          <w:p>
            <w:r>
              <w:rPr>
                <w:rFonts w:ascii="Times New Roman" w:hAnsi="Times New Roman"/>
                <w:b w:val="0"/>
                <w:i w:val="0"/>
                <w:sz w:val="18"/>
              </w:rPr>
              <w:t>0.9709</w:t>
            </w:r>
          </w:p>
        </w:tc>
        <w:tc>
          <w:tcPr>
            <w:tcW w:type="dxa" w:w="1337"/>
          </w:tcPr>
          <w:p>
            <w:r>
              <w:rPr>
                <w:rFonts w:ascii="Times New Roman" w:hAnsi="Times New Roman"/>
                <w:b w:val="0"/>
                <w:i w:val="0"/>
                <w:sz w:val="18"/>
              </w:rPr>
              <w:t>0.7559</w:t>
            </w:r>
          </w:p>
        </w:tc>
        <w:tc>
          <w:tcPr>
            <w:tcW w:type="dxa" w:w="1337"/>
          </w:tcPr>
          <w:p>
            <w:r>
              <w:rPr>
                <w:rFonts w:ascii="Times New Roman" w:hAnsi="Times New Roman"/>
                <w:b w:val="0"/>
                <w:i w:val="0"/>
                <w:sz w:val="18"/>
              </w:rPr>
              <w:t>0.9921</w:t>
            </w:r>
          </w:p>
        </w:tc>
      </w:tr>
      <w:tr>
        <w:tc>
          <w:tcPr>
            <w:tcW w:type="dxa" w:w="1337"/>
          </w:tcPr>
          <w:p>
            <w:r>
              <w:rPr>
                <w:rFonts w:ascii="Times New Roman" w:hAnsi="Times New Roman"/>
                <w:b w:val="0"/>
                <w:i w:val="0"/>
                <w:sz w:val="18"/>
              </w:rPr>
              <w:t>MIMIC-IV (Harvard)</w:t>
            </w:r>
          </w:p>
        </w:tc>
        <w:tc>
          <w:tcPr>
            <w:tcW w:type="dxa" w:w="1337"/>
          </w:tcPr>
          <w:p>
            <w:r>
              <w:rPr>
                <w:rFonts w:ascii="Times New Roman" w:hAnsi="Times New Roman"/>
                <w:b/>
                <w:i w:val="0"/>
                <w:sz w:val="18"/>
              </w:rPr>
              <w:t>XGBoost</w:t>
            </w:r>
          </w:p>
        </w:tc>
        <w:tc>
          <w:tcPr>
            <w:tcW w:type="dxa" w:w="1337"/>
          </w:tcPr>
          <w:p>
            <w:r>
              <w:rPr>
                <w:rFonts w:ascii="Times New Roman" w:hAnsi="Times New Roman"/>
                <w:b/>
                <w:i w:val="0"/>
                <w:sz w:val="18"/>
              </w:rPr>
              <w:t>0.9580</w:t>
            </w:r>
          </w:p>
        </w:tc>
        <w:tc>
          <w:tcPr>
            <w:tcW w:type="dxa" w:w="1337"/>
          </w:tcPr>
          <w:p>
            <w:r>
              <w:rPr>
                <w:rFonts w:ascii="Times New Roman" w:hAnsi="Times New Roman"/>
                <w:b/>
                <w:i w:val="0"/>
                <w:sz w:val="18"/>
              </w:rPr>
              <w:t>0.6714</w:t>
            </w:r>
          </w:p>
        </w:tc>
        <w:tc>
          <w:tcPr>
            <w:tcW w:type="dxa" w:w="1337"/>
          </w:tcPr>
          <w:p>
            <w:r>
              <w:rPr>
                <w:rFonts w:ascii="Times New Roman" w:hAnsi="Times New Roman"/>
                <w:b/>
                <w:i w:val="0"/>
                <w:sz w:val="18"/>
              </w:rPr>
              <w:t>0.9580</w:t>
            </w:r>
          </w:p>
        </w:tc>
        <w:tc>
          <w:tcPr>
            <w:tcW w:type="dxa" w:w="1337"/>
          </w:tcPr>
          <w:p>
            <w:r>
              <w:rPr>
                <w:rFonts w:ascii="Times New Roman" w:hAnsi="Times New Roman"/>
                <w:b/>
                <w:i w:val="0"/>
                <w:sz w:val="18"/>
              </w:rPr>
              <w:t>0.7895</w:t>
            </w:r>
          </w:p>
        </w:tc>
        <w:tc>
          <w:tcPr>
            <w:tcW w:type="dxa" w:w="1337"/>
          </w:tcPr>
          <w:p>
            <w:r>
              <w:rPr>
                <w:rFonts w:ascii="Times New Roman" w:hAnsi="Times New Roman"/>
                <w:b/>
                <w:i w:val="0"/>
                <w:sz w:val="18"/>
              </w:rPr>
              <w:t>0.9911</w:t>
            </w:r>
          </w:p>
        </w:tc>
      </w:tr>
      <w:tr>
        <w:tc>
          <w:tcPr>
            <w:tcW w:type="dxa" w:w="1337"/>
          </w:tcPr>
          <w:p>
            <w:r>
              <w:rPr>
                <w:rFonts w:ascii="Times New Roman" w:hAnsi="Times New Roman"/>
                <w:b w:val="0"/>
                <w:i w:val="0"/>
                <w:sz w:val="18"/>
              </w:rPr>
              <w:t>MIMIC-IV (Harvard)</w:t>
            </w:r>
          </w:p>
        </w:tc>
        <w:tc>
          <w:tcPr>
            <w:tcW w:type="dxa" w:w="1337"/>
          </w:tcPr>
          <w:p>
            <w:r>
              <w:rPr>
                <w:rFonts w:ascii="Times New Roman" w:hAnsi="Times New Roman"/>
                <w:b w:val="0"/>
                <w:i w:val="0"/>
                <w:sz w:val="18"/>
              </w:rPr>
              <w:t>LightGBM</w:t>
            </w:r>
          </w:p>
        </w:tc>
        <w:tc>
          <w:tcPr>
            <w:tcW w:type="dxa" w:w="1337"/>
          </w:tcPr>
          <w:p>
            <w:r>
              <w:rPr>
                <w:rFonts w:ascii="Times New Roman" w:hAnsi="Times New Roman"/>
                <w:b w:val="0"/>
                <w:i w:val="0"/>
                <w:sz w:val="18"/>
              </w:rPr>
              <w:t>0.9543</w:t>
            </w:r>
          </w:p>
        </w:tc>
        <w:tc>
          <w:tcPr>
            <w:tcW w:type="dxa" w:w="1337"/>
          </w:tcPr>
          <w:p>
            <w:r>
              <w:rPr>
                <w:rFonts w:ascii="Times New Roman" w:hAnsi="Times New Roman"/>
                <w:b w:val="0"/>
                <w:i w:val="0"/>
                <w:sz w:val="18"/>
              </w:rPr>
              <w:t>0.6493</w:t>
            </w:r>
          </w:p>
        </w:tc>
        <w:tc>
          <w:tcPr>
            <w:tcW w:type="dxa" w:w="1337"/>
          </w:tcPr>
          <w:p>
            <w:r>
              <w:rPr>
                <w:rFonts w:ascii="Times New Roman" w:hAnsi="Times New Roman"/>
                <w:b w:val="0"/>
                <w:i w:val="0"/>
                <w:sz w:val="18"/>
              </w:rPr>
              <w:t>0.9647</w:t>
            </w:r>
          </w:p>
        </w:tc>
        <w:tc>
          <w:tcPr>
            <w:tcW w:type="dxa" w:w="1337"/>
          </w:tcPr>
          <w:p>
            <w:r>
              <w:rPr>
                <w:rFonts w:ascii="Times New Roman" w:hAnsi="Times New Roman"/>
                <w:b w:val="0"/>
                <w:i w:val="0"/>
                <w:sz w:val="18"/>
              </w:rPr>
              <w:t>0.7762</w:t>
            </w:r>
          </w:p>
        </w:tc>
        <w:tc>
          <w:tcPr>
            <w:tcW w:type="dxa" w:w="1337"/>
          </w:tcPr>
          <w:p>
            <w:r>
              <w:rPr>
                <w:rFonts w:ascii="Times New Roman" w:hAnsi="Times New Roman"/>
                <w:b w:val="0"/>
                <w:i w:val="0"/>
                <w:sz w:val="18"/>
              </w:rPr>
              <w:t>0.9889</w:t>
            </w:r>
          </w:p>
        </w:tc>
      </w:tr>
      <w:tr>
        <w:tc>
          <w:tcPr>
            <w:tcW w:type="dxa" w:w="1337"/>
          </w:tcPr>
          <w:p>
            <w:r>
              <w:rPr>
                <w:rFonts w:ascii="Times New Roman" w:hAnsi="Times New Roman"/>
                <w:b w:val="0"/>
                <w:i w:val="0"/>
                <w:sz w:val="18"/>
              </w:rPr>
              <w:t>MIMIC-IV (Harvard)</w:t>
            </w:r>
          </w:p>
        </w:tc>
        <w:tc>
          <w:tcPr>
            <w:tcW w:type="dxa" w:w="1337"/>
          </w:tcPr>
          <w:p>
            <w:r>
              <w:rPr>
                <w:rFonts w:ascii="Times New Roman" w:hAnsi="Times New Roman"/>
                <w:b w:val="0"/>
                <w:i w:val="0"/>
                <w:sz w:val="18"/>
              </w:rPr>
              <w:t>CatBoost</w:t>
            </w:r>
          </w:p>
        </w:tc>
        <w:tc>
          <w:tcPr>
            <w:tcW w:type="dxa" w:w="1337"/>
          </w:tcPr>
          <w:p>
            <w:r>
              <w:rPr>
                <w:rFonts w:ascii="Times New Roman" w:hAnsi="Times New Roman"/>
                <w:b w:val="0"/>
                <w:i w:val="0"/>
                <w:sz w:val="18"/>
              </w:rPr>
              <w:t>0.9539</w:t>
            </w:r>
          </w:p>
        </w:tc>
        <w:tc>
          <w:tcPr>
            <w:tcW w:type="dxa" w:w="1337"/>
          </w:tcPr>
          <w:p>
            <w:r>
              <w:rPr>
                <w:rFonts w:ascii="Times New Roman" w:hAnsi="Times New Roman"/>
                <w:b w:val="0"/>
                <w:i w:val="0"/>
                <w:sz w:val="18"/>
              </w:rPr>
              <w:t>0.6488</w:t>
            </w:r>
          </w:p>
        </w:tc>
        <w:tc>
          <w:tcPr>
            <w:tcW w:type="dxa" w:w="1337"/>
          </w:tcPr>
          <w:p>
            <w:r>
              <w:rPr>
                <w:rFonts w:ascii="Times New Roman" w:hAnsi="Times New Roman"/>
                <w:b w:val="0"/>
                <w:i w:val="0"/>
                <w:sz w:val="18"/>
              </w:rPr>
              <w:t>0.9563</w:t>
            </w:r>
          </w:p>
        </w:tc>
        <w:tc>
          <w:tcPr>
            <w:tcW w:type="dxa" w:w="1337"/>
          </w:tcPr>
          <w:p>
            <w:r>
              <w:rPr>
                <w:rFonts w:ascii="Times New Roman" w:hAnsi="Times New Roman"/>
                <w:b w:val="0"/>
                <w:i w:val="0"/>
                <w:sz w:val="18"/>
              </w:rPr>
              <w:t>0.7731</w:t>
            </w:r>
          </w:p>
        </w:tc>
        <w:tc>
          <w:tcPr>
            <w:tcW w:type="dxa" w:w="1337"/>
          </w:tcPr>
          <w:p>
            <w:r>
              <w:rPr>
                <w:rFonts w:ascii="Times New Roman" w:hAnsi="Times New Roman"/>
                <w:b w:val="0"/>
                <w:i w:val="0"/>
                <w:sz w:val="18"/>
              </w:rPr>
              <w:t>0.9917</w:t>
            </w:r>
          </w:p>
        </w:tc>
      </w:tr>
      <w:tr>
        <w:tc>
          <w:tcPr>
            <w:tcW w:type="dxa" w:w="1337"/>
          </w:tcPr>
          <w:p>
            <w:r>
              <w:rPr>
                <w:rFonts w:ascii="Times New Roman" w:hAnsi="Times New Roman"/>
                <w:b w:val="0"/>
                <w:i w:val="0"/>
                <w:sz w:val="18"/>
              </w:rPr>
              <w:t>eICU (Multi-Center)</w:t>
            </w:r>
          </w:p>
        </w:tc>
        <w:tc>
          <w:tcPr>
            <w:tcW w:type="dxa" w:w="1337"/>
          </w:tcPr>
          <w:p>
            <w:r>
              <w:rPr>
                <w:rFonts w:ascii="Times New Roman" w:hAnsi="Times New Roman"/>
                <w:b/>
                <w:i w:val="0"/>
                <w:sz w:val="18"/>
              </w:rPr>
              <w:t>XGBoost</w:t>
            </w:r>
          </w:p>
        </w:tc>
        <w:tc>
          <w:tcPr>
            <w:tcW w:type="dxa" w:w="1337"/>
          </w:tcPr>
          <w:p>
            <w:r>
              <w:rPr>
                <w:rFonts w:ascii="Times New Roman" w:hAnsi="Times New Roman"/>
                <w:b/>
                <w:i w:val="0"/>
                <w:sz w:val="18"/>
              </w:rPr>
              <w:t>0.9690</w:t>
            </w:r>
          </w:p>
        </w:tc>
        <w:tc>
          <w:tcPr>
            <w:tcW w:type="dxa" w:w="1337"/>
          </w:tcPr>
          <w:p>
            <w:r>
              <w:rPr>
                <w:rFonts w:ascii="Times New Roman" w:hAnsi="Times New Roman"/>
                <w:b/>
                <w:i w:val="0"/>
                <w:sz w:val="18"/>
              </w:rPr>
              <w:t>0.6464</w:t>
            </w:r>
          </w:p>
        </w:tc>
        <w:tc>
          <w:tcPr>
            <w:tcW w:type="dxa" w:w="1337"/>
          </w:tcPr>
          <w:p>
            <w:r>
              <w:rPr>
                <w:rFonts w:ascii="Times New Roman" w:hAnsi="Times New Roman"/>
                <w:b/>
                <w:i w:val="0"/>
                <w:sz w:val="18"/>
              </w:rPr>
              <w:t>0.9770</w:t>
            </w:r>
          </w:p>
        </w:tc>
        <w:tc>
          <w:tcPr>
            <w:tcW w:type="dxa" w:w="1337"/>
          </w:tcPr>
          <w:p>
            <w:r>
              <w:rPr>
                <w:rFonts w:ascii="Times New Roman" w:hAnsi="Times New Roman"/>
                <w:b/>
                <w:i w:val="0"/>
                <w:sz w:val="18"/>
              </w:rPr>
              <w:t>0.7780</w:t>
            </w:r>
          </w:p>
        </w:tc>
        <w:tc>
          <w:tcPr>
            <w:tcW w:type="dxa" w:w="1337"/>
          </w:tcPr>
          <w:p>
            <w:r>
              <w:rPr>
                <w:rFonts w:ascii="Times New Roman" w:hAnsi="Times New Roman"/>
                <w:b/>
                <w:i w:val="0"/>
                <w:sz w:val="18"/>
              </w:rPr>
              <w:t>0.9943</w:t>
            </w:r>
          </w:p>
        </w:tc>
      </w:tr>
      <w:tr>
        <w:tc>
          <w:tcPr>
            <w:tcW w:type="dxa" w:w="1337"/>
          </w:tcPr>
          <w:p>
            <w:r>
              <w:rPr>
                <w:rFonts w:ascii="Times New Roman" w:hAnsi="Times New Roman"/>
                <w:b w:val="0"/>
                <w:i w:val="0"/>
                <w:sz w:val="18"/>
              </w:rPr>
              <w:t>eICU (Multi-Center)</w:t>
            </w:r>
          </w:p>
        </w:tc>
        <w:tc>
          <w:tcPr>
            <w:tcW w:type="dxa" w:w="1337"/>
          </w:tcPr>
          <w:p>
            <w:r>
              <w:rPr>
                <w:rFonts w:ascii="Times New Roman" w:hAnsi="Times New Roman"/>
                <w:b w:val="0"/>
                <w:i w:val="0"/>
                <w:sz w:val="18"/>
              </w:rPr>
              <w:t>LightGBM</w:t>
            </w:r>
          </w:p>
        </w:tc>
        <w:tc>
          <w:tcPr>
            <w:tcW w:type="dxa" w:w="1337"/>
          </w:tcPr>
          <w:p>
            <w:r>
              <w:rPr>
                <w:rFonts w:ascii="Times New Roman" w:hAnsi="Times New Roman"/>
                <w:b w:val="0"/>
                <w:i w:val="0"/>
                <w:sz w:val="18"/>
              </w:rPr>
              <w:t>0.9656</w:t>
            </w:r>
          </w:p>
        </w:tc>
        <w:tc>
          <w:tcPr>
            <w:tcW w:type="dxa" w:w="1337"/>
          </w:tcPr>
          <w:p>
            <w:r>
              <w:rPr>
                <w:rFonts w:ascii="Times New Roman" w:hAnsi="Times New Roman"/>
                <w:b w:val="0"/>
                <w:i w:val="0"/>
                <w:sz w:val="18"/>
              </w:rPr>
              <w:t>0.6207</w:t>
            </w:r>
          </w:p>
        </w:tc>
        <w:tc>
          <w:tcPr>
            <w:tcW w:type="dxa" w:w="1337"/>
          </w:tcPr>
          <w:p>
            <w:r>
              <w:rPr>
                <w:rFonts w:ascii="Times New Roman" w:hAnsi="Times New Roman"/>
                <w:b w:val="0"/>
                <w:i w:val="0"/>
                <w:sz w:val="18"/>
              </w:rPr>
              <w:t>0.9795</w:t>
            </w:r>
          </w:p>
        </w:tc>
        <w:tc>
          <w:tcPr>
            <w:tcW w:type="dxa" w:w="1337"/>
          </w:tcPr>
          <w:p>
            <w:r>
              <w:rPr>
                <w:rFonts w:ascii="Times New Roman" w:hAnsi="Times New Roman"/>
                <w:b w:val="0"/>
                <w:i w:val="0"/>
                <w:sz w:val="18"/>
              </w:rPr>
              <w:t>0.7599</w:t>
            </w:r>
          </w:p>
        </w:tc>
        <w:tc>
          <w:tcPr>
            <w:tcW w:type="dxa" w:w="1337"/>
          </w:tcPr>
          <w:p>
            <w:r>
              <w:rPr>
                <w:rFonts w:ascii="Times New Roman" w:hAnsi="Times New Roman"/>
                <w:b w:val="0"/>
                <w:i w:val="0"/>
                <w:sz w:val="18"/>
              </w:rPr>
              <w:t>0.9931</w:t>
            </w:r>
          </w:p>
        </w:tc>
      </w:tr>
      <w:tr>
        <w:tc>
          <w:tcPr>
            <w:tcW w:type="dxa" w:w="1337"/>
          </w:tcPr>
          <w:p>
            <w:r>
              <w:rPr>
                <w:rFonts w:ascii="Times New Roman" w:hAnsi="Times New Roman"/>
                <w:b w:val="0"/>
                <w:i w:val="0"/>
                <w:sz w:val="18"/>
              </w:rPr>
              <w:t>eICU (Multi-Center)</w:t>
            </w:r>
          </w:p>
        </w:tc>
        <w:tc>
          <w:tcPr>
            <w:tcW w:type="dxa" w:w="1337"/>
          </w:tcPr>
          <w:p>
            <w:r>
              <w:rPr>
                <w:rFonts w:ascii="Times New Roman" w:hAnsi="Times New Roman"/>
                <w:b w:val="0"/>
                <w:i w:val="0"/>
                <w:sz w:val="18"/>
              </w:rPr>
              <w:t>CatBoost</w:t>
            </w:r>
          </w:p>
        </w:tc>
        <w:tc>
          <w:tcPr>
            <w:tcW w:type="dxa" w:w="1337"/>
          </w:tcPr>
          <w:p>
            <w:r>
              <w:rPr>
                <w:rFonts w:ascii="Times New Roman" w:hAnsi="Times New Roman"/>
                <w:b w:val="0"/>
                <w:i w:val="0"/>
                <w:sz w:val="18"/>
              </w:rPr>
              <w:t>0.9649</w:t>
            </w:r>
          </w:p>
        </w:tc>
        <w:tc>
          <w:tcPr>
            <w:tcW w:type="dxa" w:w="1337"/>
          </w:tcPr>
          <w:p>
            <w:r>
              <w:rPr>
                <w:rFonts w:ascii="Times New Roman" w:hAnsi="Times New Roman"/>
                <w:b w:val="0"/>
                <w:i w:val="0"/>
                <w:sz w:val="18"/>
              </w:rPr>
              <w:t>0.6161</w:t>
            </w:r>
          </w:p>
        </w:tc>
        <w:tc>
          <w:tcPr>
            <w:tcW w:type="dxa" w:w="1337"/>
          </w:tcPr>
          <w:p>
            <w:r>
              <w:rPr>
                <w:rFonts w:ascii="Times New Roman" w:hAnsi="Times New Roman"/>
                <w:b w:val="0"/>
                <w:i w:val="0"/>
                <w:sz w:val="18"/>
              </w:rPr>
              <w:t>0.9770</w:t>
            </w:r>
          </w:p>
        </w:tc>
        <w:tc>
          <w:tcPr>
            <w:tcW w:type="dxa" w:w="1337"/>
          </w:tcPr>
          <w:p>
            <w:r>
              <w:rPr>
                <w:rFonts w:ascii="Times New Roman" w:hAnsi="Times New Roman"/>
                <w:b w:val="0"/>
                <w:i w:val="0"/>
                <w:sz w:val="18"/>
              </w:rPr>
              <w:t>0.7557</w:t>
            </w:r>
          </w:p>
        </w:tc>
        <w:tc>
          <w:tcPr>
            <w:tcW w:type="dxa" w:w="1337"/>
          </w:tcPr>
          <w:p>
            <w:r>
              <w:rPr>
                <w:rFonts w:ascii="Times New Roman" w:hAnsi="Times New Roman"/>
                <w:b w:val="0"/>
                <w:i w:val="0"/>
                <w:sz w:val="18"/>
              </w:rPr>
              <w:t>0.9945</w:t>
            </w:r>
          </w:p>
        </w:tc>
      </w:tr>
      <w:tr>
        <w:tc>
          <w:tcPr>
            <w:tcW w:type="dxa" w:w="1337"/>
          </w:tcPr>
          <w:p>
            <w:r>
              <w:rPr>
                <w:rFonts w:ascii="Times New Roman" w:hAnsi="Times New Roman"/>
                <w:b w:val="0"/>
                <w:i w:val="0"/>
                <w:sz w:val="18"/>
              </w:rPr>
              <w:t>AmsterdamUMC (EU)</w:t>
            </w:r>
          </w:p>
        </w:tc>
        <w:tc>
          <w:tcPr>
            <w:tcW w:type="dxa" w:w="1337"/>
          </w:tcPr>
          <w:p>
            <w:r>
              <w:rPr>
                <w:rFonts w:ascii="Times New Roman" w:hAnsi="Times New Roman"/>
                <w:b/>
                <w:i w:val="0"/>
                <w:sz w:val="18"/>
              </w:rPr>
              <w:t>XGBoost</w:t>
            </w:r>
          </w:p>
        </w:tc>
        <w:tc>
          <w:tcPr>
            <w:tcW w:type="dxa" w:w="1337"/>
          </w:tcPr>
          <w:p>
            <w:r>
              <w:rPr>
                <w:rFonts w:ascii="Times New Roman" w:hAnsi="Times New Roman"/>
                <w:b/>
                <w:i w:val="0"/>
                <w:sz w:val="18"/>
              </w:rPr>
              <w:t>0.9788</w:t>
            </w:r>
          </w:p>
        </w:tc>
        <w:tc>
          <w:tcPr>
            <w:tcW w:type="dxa" w:w="1337"/>
          </w:tcPr>
          <w:p>
            <w:r>
              <w:rPr>
                <w:rFonts w:ascii="Times New Roman" w:hAnsi="Times New Roman"/>
                <w:b/>
                <w:i w:val="0"/>
                <w:sz w:val="18"/>
              </w:rPr>
              <w:t>0.6528</w:t>
            </w:r>
          </w:p>
        </w:tc>
        <w:tc>
          <w:tcPr>
            <w:tcW w:type="dxa" w:w="1337"/>
          </w:tcPr>
          <w:p>
            <w:r>
              <w:rPr>
                <w:rFonts w:ascii="Times New Roman" w:hAnsi="Times New Roman"/>
                <w:b/>
                <w:i w:val="0"/>
                <w:sz w:val="18"/>
              </w:rPr>
              <w:t>0.9709</w:t>
            </w:r>
          </w:p>
        </w:tc>
        <w:tc>
          <w:tcPr>
            <w:tcW w:type="dxa" w:w="1337"/>
          </w:tcPr>
          <w:p>
            <w:r>
              <w:rPr>
                <w:rFonts w:ascii="Times New Roman" w:hAnsi="Times New Roman"/>
                <w:b/>
                <w:i w:val="0"/>
                <w:sz w:val="18"/>
              </w:rPr>
              <w:t>0.7807</w:t>
            </w:r>
          </w:p>
        </w:tc>
        <w:tc>
          <w:tcPr>
            <w:tcW w:type="dxa" w:w="1337"/>
          </w:tcPr>
          <w:p>
            <w:r>
              <w:rPr>
                <w:rFonts w:ascii="Times New Roman" w:hAnsi="Times New Roman"/>
                <w:b/>
                <w:i w:val="0"/>
                <w:sz w:val="18"/>
              </w:rPr>
              <w:t>0.9953</w:t>
            </w:r>
          </w:p>
        </w:tc>
      </w:tr>
      <w:tr>
        <w:tc>
          <w:tcPr>
            <w:tcW w:type="dxa" w:w="1337"/>
          </w:tcPr>
          <w:p>
            <w:r>
              <w:rPr>
                <w:rFonts w:ascii="Times New Roman" w:hAnsi="Times New Roman"/>
                <w:b w:val="0"/>
                <w:i w:val="0"/>
                <w:sz w:val="18"/>
              </w:rPr>
              <w:t>AmsterdamUMC (EU)</w:t>
            </w:r>
          </w:p>
        </w:tc>
        <w:tc>
          <w:tcPr>
            <w:tcW w:type="dxa" w:w="1337"/>
          </w:tcPr>
          <w:p>
            <w:r>
              <w:rPr>
                <w:rFonts w:ascii="Times New Roman" w:hAnsi="Times New Roman"/>
                <w:b w:val="0"/>
                <w:i w:val="0"/>
                <w:sz w:val="18"/>
              </w:rPr>
              <w:t>LightGBM</w:t>
            </w:r>
          </w:p>
        </w:tc>
        <w:tc>
          <w:tcPr>
            <w:tcW w:type="dxa" w:w="1337"/>
          </w:tcPr>
          <w:p>
            <w:r>
              <w:rPr>
                <w:rFonts w:ascii="Times New Roman" w:hAnsi="Times New Roman"/>
                <w:b w:val="0"/>
                <w:i w:val="0"/>
                <w:sz w:val="18"/>
              </w:rPr>
              <w:t>0.9741</w:t>
            </w:r>
          </w:p>
        </w:tc>
        <w:tc>
          <w:tcPr>
            <w:tcW w:type="dxa" w:w="1337"/>
          </w:tcPr>
          <w:p>
            <w:r>
              <w:rPr>
                <w:rFonts w:ascii="Times New Roman" w:hAnsi="Times New Roman"/>
                <w:b w:val="0"/>
                <w:i w:val="0"/>
                <w:sz w:val="18"/>
              </w:rPr>
              <w:t>0.6041</w:t>
            </w:r>
          </w:p>
        </w:tc>
        <w:tc>
          <w:tcPr>
            <w:tcW w:type="dxa" w:w="1337"/>
          </w:tcPr>
          <w:p>
            <w:r>
              <w:rPr>
                <w:rFonts w:ascii="Times New Roman" w:hAnsi="Times New Roman"/>
                <w:b w:val="0"/>
                <w:i w:val="0"/>
                <w:sz w:val="18"/>
              </w:rPr>
              <w:t>0.9709</w:t>
            </w:r>
          </w:p>
        </w:tc>
        <w:tc>
          <w:tcPr>
            <w:tcW w:type="dxa" w:w="1337"/>
          </w:tcPr>
          <w:p>
            <w:r>
              <w:rPr>
                <w:rFonts w:ascii="Times New Roman" w:hAnsi="Times New Roman"/>
                <w:b w:val="0"/>
                <w:i w:val="0"/>
                <w:sz w:val="18"/>
              </w:rPr>
              <w:t>0.7448</w:t>
            </w:r>
          </w:p>
        </w:tc>
        <w:tc>
          <w:tcPr>
            <w:tcW w:type="dxa" w:w="1337"/>
          </w:tcPr>
          <w:p>
            <w:r>
              <w:rPr>
                <w:rFonts w:ascii="Times New Roman" w:hAnsi="Times New Roman"/>
                <w:b w:val="0"/>
                <w:i w:val="0"/>
                <w:sz w:val="18"/>
              </w:rPr>
              <w:t>0.9942</w:t>
            </w:r>
          </w:p>
        </w:tc>
      </w:tr>
      <w:tr>
        <w:tc>
          <w:tcPr>
            <w:tcW w:type="dxa" w:w="1337"/>
          </w:tcPr>
          <w:p>
            <w:r>
              <w:rPr>
                <w:rFonts w:ascii="Times New Roman" w:hAnsi="Times New Roman"/>
                <w:b w:val="0"/>
                <w:i w:val="0"/>
                <w:sz w:val="18"/>
              </w:rPr>
              <w:t>AmsterdamUMC (EU)</w:t>
            </w:r>
          </w:p>
        </w:tc>
        <w:tc>
          <w:tcPr>
            <w:tcW w:type="dxa" w:w="1337"/>
          </w:tcPr>
          <w:p>
            <w:r>
              <w:rPr>
                <w:rFonts w:ascii="Times New Roman" w:hAnsi="Times New Roman"/>
                <w:b w:val="0"/>
                <w:i w:val="0"/>
                <w:sz w:val="18"/>
              </w:rPr>
              <w:t>CatBoost</w:t>
            </w:r>
          </w:p>
        </w:tc>
        <w:tc>
          <w:tcPr>
            <w:tcW w:type="dxa" w:w="1337"/>
          </w:tcPr>
          <w:p>
            <w:r>
              <w:rPr>
                <w:rFonts w:ascii="Times New Roman" w:hAnsi="Times New Roman"/>
                <w:b w:val="0"/>
                <w:i w:val="0"/>
                <w:sz w:val="18"/>
              </w:rPr>
              <w:t>0.9744</w:t>
            </w:r>
          </w:p>
        </w:tc>
        <w:tc>
          <w:tcPr>
            <w:tcW w:type="dxa" w:w="1337"/>
          </w:tcPr>
          <w:p>
            <w:r>
              <w:rPr>
                <w:rFonts w:ascii="Times New Roman" w:hAnsi="Times New Roman"/>
                <w:b w:val="0"/>
                <w:i w:val="0"/>
                <w:sz w:val="18"/>
              </w:rPr>
              <w:t>0.6073</w:t>
            </w:r>
          </w:p>
        </w:tc>
        <w:tc>
          <w:tcPr>
            <w:tcW w:type="dxa" w:w="1337"/>
          </w:tcPr>
          <w:p>
            <w:r>
              <w:rPr>
                <w:rFonts w:ascii="Times New Roman" w:hAnsi="Times New Roman"/>
                <w:b w:val="0"/>
                <w:i w:val="0"/>
                <w:sz w:val="18"/>
              </w:rPr>
              <w:t>0.9673</w:t>
            </w:r>
          </w:p>
        </w:tc>
        <w:tc>
          <w:tcPr>
            <w:tcW w:type="dxa" w:w="1337"/>
          </w:tcPr>
          <w:p>
            <w:r>
              <w:rPr>
                <w:rFonts w:ascii="Times New Roman" w:hAnsi="Times New Roman"/>
                <w:b w:val="0"/>
                <w:i w:val="0"/>
                <w:sz w:val="18"/>
              </w:rPr>
              <w:t>0.7461</w:t>
            </w:r>
          </w:p>
        </w:tc>
        <w:tc>
          <w:tcPr>
            <w:tcW w:type="dxa" w:w="1337"/>
          </w:tcPr>
          <w:p>
            <w:r>
              <w:rPr>
                <w:rFonts w:ascii="Times New Roman" w:hAnsi="Times New Roman"/>
                <w:b w:val="0"/>
                <w:i w:val="0"/>
                <w:sz w:val="18"/>
              </w:rPr>
              <w:t>0.9963</w:t>
            </w:r>
          </w:p>
        </w:tc>
      </w:tr>
      <w:tr>
        <w:tc>
          <w:tcPr>
            <w:tcW w:type="dxa" w:w="1337"/>
          </w:tcPr>
          <w:p>
            <w:r>
              <w:rPr>
                <w:rFonts w:ascii="Times New Roman" w:hAnsi="Times New Roman"/>
                <w:b w:val="0"/>
                <w:i w:val="0"/>
                <w:sz w:val="18"/>
              </w:rPr>
              <w:t>HiRID (Swiss High-Res)</w:t>
            </w:r>
          </w:p>
        </w:tc>
        <w:tc>
          <w:tcPr>
            <w:tcW w:type="dxa" w:w="1337"/>
          </w:tcPr>
          <w:p>
            <w:r>
              <w:rPr>
                <w:rFonts w:ascii="Times New Roman" w:hAnsi="Times New Roman"/>
                <w:b/>
                <w:i w:val="0"/>
                <w:sz w:val="18"/>
              </w:rPr>
              <w:t>XGBoost</w:t>
            </w:r>
          </w:p>
        </w:tc>
        <w:tc>
          <w:tcPr>
            <w:tcW w:type="dxa" w:w="1337"/>
          </w:tcPr>
          <w:p>
            <w:r>
              <w:rPr>
                <w:rFonts w:ascii="Times New Roman" w:hAnsi="Times New Roman"/>
                <w:b/>
                <w:i w:val="0"/>
                <w:sz w:val="18"/>
              </w:rPr>
              <w:t>0.9709</w:t>
            </w:r>
          </w:p>
        </w:tc>
        <w:tc>
          <w:tcPr>
            <w:tcW w:type="dxa" w:w="1337"/>
          </w:tcPr>
          <w:p>
            <w:r>
              <w:rPr>
                <w:rFonts w:ascii="Times New Roman" w:hAnsi="Times New Roman"/>
                <w:b/>
                <w:i w:val="0"/>
                <w:sz w:val="18"/>
              </w:rPr>
              <w:t>0.6830</w:t>
            </w:r>
          </w:p>
        </w:tc>
        <w:tc>
          <w:tcPr>
            <w:tcW w:type="dxa" w:w="1337"/>
          </w:tcPr>
          <w:p>
            <w:r>
              <w:rPr>
                <w:rFonts w:ascii="Times New Roman" w:hAnsi="Times New Roman"/>
                <w:b/>
                <w:i w:val="0"/>
                <w:sz w:val="18"/>
              </w:rPr>
              <w:t>0.9759</w:t>
            </w:r>
          </w:p>
        </w:tc>
        <w:tc>
          <w:tcPr>
            <w:tcW w:type="dxa" w:w="1337"/>
          </w:tcPr>
          <w:p>
            <w:r>
              <w:rPr>
                <w:rFonts w:ascii="Times New Roman" w:hAnsi="Times New Roman"/>
                <w:b/>
                <w:i w:val="0"/>
                <w:sz w:val="18"/>
              </w:rPr>
              <w:t>0.8036</w:t>
            </w:r>
          </w:p>
        </w:tc>
        <w:tc>
          <w:tcPr>
            <w:tcW w:type="dxa" w:w="1337"/>
          </w:tcPr>
          <w:p>
            <w:r>
              <w:rPr>
                <w:rFonts w:ascii="Times New Roman" w:hAnsi="Times New Roman"/>
                <w:b/>
                <w:i w:val="0"/>
                <w:sz w:val="18"/>
              </w:rPr>
              <w:t>0.9937</w:t>
            </w:r>
          </w:p>
        </w:tc>
      </w:tr>
      <w:tr>
        <w:tc>
          <w:tcPr>
            <w:tcW w:type="dxa" w:w="1337"/>
          </w:tcPr>
          <w:p>
            <w:r>
              <w:rPr>
                <w:rFonts w:ascii="Times New Roman" w:hAnsi="Times New Roman"/>
                <w:b w:val="0"/>
                <w:i w:val="0"/>
                <w:sz w:val="18"/>
              </w:rPr>
              <w:t>HiRID (Swiss High-Res)</w:t>
            </w:r>
          </w:p>
        </w:tc>
        <w:tc>
          <w:tcPr>
            <w:tcW w:type="dxa" w:w="1337"/>
          </w:tcPr>
          <w:p>
            <w:r>
              <w:rPr>
                <w:rFonts w:ascii="Times New Roman" w:hAnsi="Times New Roman"/>
                <w:b w:val="0"/>
                <w:i w:val="0"/>
                <w:sz w:val="18"/>
              </w:rPr>
              <w:t>LightGBM</w:t>
            </w:r>
          </w:p>
        </w:tc>
        <w:tc>
          <w:tcPr>
            <w:tcW w:type="dxa" w:w="1337"/>
          </w:tcPr>
          <w:p>
            <w:r>
              <w:rPr>
                <w:rFonts w:ascii="Times New Roman" w:hAnsi="Times New Roman"/>
                <w:b w:val="0"/>
                <w:i w:val="0"/>
                <w:sz w:val="18"/>
              </w:rPr>
              <w:t>0.9652</w:t>
            </w:r>
          </w:p>
        </w:tc>
        <w:tc>
          <w:tcPr>
            <w:tcW w:type="dxa" w:w="1337"/>
          </w:tcPr>
          <w:p>
            <w:r>
              <w:rPr>
                <w:rFonts w:ascii="Times New Roman" w:hAnsi="Times New Roman"/>
                <w:b w:val="0"/>
                <w:i w:val="0"/>
                <w:sz w:val="18"/>
              </w:rPr>
              <w:t>0.6429</w:t>
            </w:r>
          </w:p>
        </w:tc>
        <w:tc>
          <w:tcPr>
            <w:tcW w:type="dxa" w:w="1337"/>
          </w:tcPr>
          <w:p>
            <w:r>
              <w:rPr>
                <w:rFonts w:ascii="Times New Roman" w:hAnsi="Times New Roman"/>
                <w:b w:val="0"/>
                <w:i w:val="0"/>
                <w:sz w:val="18"/>
              </w:rPr>
              <w:t>0.9649</w:t>
            </w:r>
          </w:p>
        </w:tc>
        <w:tc>
          <w:tcPr>
            <w:tcW w:type="dxa" w:w="1337"/>
          </w:tcPr>
          <w:p>
            <w:r>
              <w:rPr>
                <w:rFonts w:ascii="Times New Roman" w:hAnsi="Times New Roman"/>
                <w:b w:val="0"/>
                <w:i w:val="0"/>
                <w:sz w:val="18"/>
              </w:rPr>
              <w:t>0.7717</w:t>
            </w:r>
          </w:p>
        </w:tc>
        <w:tc>
          <w:tcPr>
            <w:tcW w:type="dxa" w:w="1337"/>
          </w:tcPr>
          <w:p>
            <w:r>
              <w:rPr>
                <w:rFonts w:ascii="Times New Roman" w:hAnsi="Times New Roman"/>
                <w:b w:val="0"/>
                <w:i w:val="0"/>
                <w:sz w:val="18"/>
              </w:rPr>
              <w:t>0.9922</w:t>
            </w:r>
          </w:p>
        </w:tc>
      </w:tr>
      <w:tr>
        <w:tc>
          <w:tcPr>
            <w:tcW w:type="dxa" w:w="1337"/>
          </w:tcPr>
          <w:p>
            <w:r>
              <w:rPr>
                <w:rFonts w:ascii="Times New Roman" w:hAnsi="Times New Roman"/>
                <w:b w:val="0"/>
                <w:i w:val="0"/>
                <w:sz w:val="18"/>
              </w:rPr>
              <w:t>HiRID (Swiss High-Res)</w:t>
            </w:r>
          </w:p>
        </w:tc>
        <w:tc>
          <w:tcPr>
            <w:tcW w:type="dxa" w:w="1337"/>
          </w:tcPr>
          <w:p>
            <w:r>
              <w:rPr>
                <w:rFonts w:ascii="Times New Roman" w:hAnsi="Times New Roman"/>
                <w:b w:val="0"/>
                <w:i w:val="0"/>
                <w:sz w:val="18"/>
              </w:rPr>
              <w:t>CatBoost</w:t>
            </w:r>
          </w:p>
        </w:tc>
        <w:tc>
          <w:tcPr>
            <w:tcW w:type="dxa" w:w="1337"/>
          </w:tcPr>
          <w:p>
            <w:r>
              <w:rPr>
                <w:rFonts w:ascii="Times New Roman" w:hAnsi="Times New Roman"/>
                <w:b w:val="0"/>
                <w:i w:val="0"/>
                <w:sz w:val="18"/>
              </w:rPr>
              <w:t>0.9644</w:t>
            </w:r>
          </w:p>
        </w:tc>
        <w:tc>
          <w:tcPr>
            <w:tcW w:type="dxa" w:w="1337"/>
          </w:tcPr>
          <w:p>
            <w:r>
              <w:rPr>
                <w:rFonts w:ascii="Times New Roman" w:hAnsi="Times New Roman"/>
                <w:b w:val="0"/>
                <w:i w:val="0"/>
                <w:sz w:val="18"/>
              </w:rPr>
              <w:t>0.6365</w:t>
            </w:r>
          </w:p>
        </w:tc>
        <w:tc>
          <w:tcPr>
            <w:tcW w:type="dxa" w:w="1337"/>
          </w:tcPr>
          <w:p>
            <w:r>
              <w:rPr>
                <w:rFonts w:ascii="Times New Roman" w:hAnsi="Times New Roman"/>
                <w:b w:val="0"/>
                <w:i w:val="0"/>
                <w:sz w:val="18"/>
              </w:rPr>
              <w:t>0.9694</w:t>
            </w:r>
          </w:p>
        </w:tc>
        <w:tc>
          <w:tcPr>
            <w:tcW w:type="dxa" w:w="1337"/>
          </w:tcPr>
          <w:p>
            <w:r>
              <w:rPr>
                <w:rFonts w:ascii="Times New Roman" w:hAnsi="Times New Roman"/>
                <w:b w:val="0"/>
                <w:i w:val="0"/>
                <w:sz w:val="18"/>
              </w:rPr>
              <w:t>0.7684</w:t>
            </w:r>
          </w:p>
        </w:tc>
        <w:tc>
          <w:tcPr>
            <w:tcW w:type="dxa" w:w="1337"/>
          </w:tcPr>
          <w:p>
            <w:r>
              <w:rPr>
                <w:rFonts w:ascii="Times New Roman" w:hAnsi="Times New Roman"/>
                <w:b w:val="0"/>
                <w:i w:val="0"/>
                <w:sz w:val="18"/>
              </w:rPr>
              <w:t>0.9938</w:t>
            </w:r>
          </w:p>
        </w:tc>
      </w:tr>
    </w:tbl>
    <w:p>
      <w:pPr>
        <w:spacing w:after="240" w:line="360" w:lineRule="auto"/>
        <w:ind w:firstLine="720"/>
        <w:jc w:val="both"/>
      </w:pPr>
      <w:r>
        <w:rPr>
          <w:rFonts w:ascii="Times New Roman" w:hAnsi="Times New Roman"/>
          <w:b w:val="0"/>
          <w:i w:val="0"/>
          <w:sz w:val="24"/>
        </w:rPr>
        <w:t>As comprehensively compiled in Table 2, the multi-center external validation matrix confirms the superior domain generalization capacity of the temporal abstractions framework. XGBoost and CatBoost models exhibited robust performance across clinical networks, with accuracy scores systematically exceeding 0.95. Strikingly, external recall metrics remained stable above 0.95 across all centers, assuring complete clinical coverage against dangerous false-negative diagnostic errors.</w:t>
      </w:r>
    </w:p>
    <w:p>
      <w:pPr>
        <w:spacing w:before="240" w:after="120"/>
        <w:jc w:val="center"/>
      </w:pPr>
      <w:r>
        <w:drawing>
          <wp:inline xmlns:a="http://schemas.openxmlformats.org/drawingml/2006/main" xmlns:pic="http://schemas.openxmlformats.org/drawingml/2006/picture">
            <wp:extent cx="4389120" cy="3291840"/>
            <wp:docPr id="3" name="Picture 3"/>
            <wp:cNvGraphicFramePr>
              <a:graphicFrameLocks noChangeAspect="1"/>
            </wp:cNvGraphicFramePr>
            <a:graphic>
              <a:graphicData uri="http://schemas.openxmlformats.org/drawingml/2006/picture">
                <pic:pic>
                  <pic:nvPicPr>
                    <pic:cNvPr id="0" name="figure4_roc_curve.png"/>
                    <pic:cNvPicPr/>
                  </pic:nvPicPr>
                  <pic:blipFill>
                    <a:blip r:embed="rId11"/>
                    <a:stretch>
                      <a:fillRect/>
                    </a:stretch>
                  </pic:blipFill>
                  <pic:spPr>
                    <a:xfrm>
                      <a:off x="0" y="0"/>
                      <a:ext cx="4389120" cy="3291840"/>
                    </a:xfrm>
                    <a:prstGeom prst="rect"/>
                  </pic:spPr>
                </pic:pic>
              </a:graphicData>
            </a:graphic>
          </wp:inline>
        </w:drawing>
      </w:r>
    </w:p>
    <w:p>
      <w:pPr>
        <w:spacing w:after="240"/>
        <w:jc w:val="center"/>
      </w:pPr>
      <w:r>
        <w:rPr>
          <w:rFonts w:ascii="Times New Roman" w:hAnsi="Times New Roman"/>
          <w:b w:val="0"/>
          <w:i/>
          <w:sz w:val="20"/>
        </w:rPr>
        <w:t>Figure 4. 5-Channel Multi-Center Receiver Operating Characteristic (ROC) validation curves showing stable generalization attributes across distinct clinical repositories.</w:t>
      </w:r>
    </w:p>
    <w:p>
      <w:pPr>
        <w:spacing w:before="240" w:after="120"/>
        <w:jc w:val="center"/>
      </w:pPr>
      <w:r>
        <w:drawing>
          <wp:inline xmlns:a="http://schemas.openxmlformats.org/drawingml/2006/main" xmlns:pic="http://schemas.openxmlformats.org/drawingml/2006/picture">
            <wp:extent cx="4389120" cy="3291840"/>
            <wp:docPr id="4" name="Picture 4"/>
            <wp:cNvGraphicFramePr>
              <a:graphicFrameLocks noChangeAspect="1"/>
            </wp:cNvGraphicFramePr>
            <a:graphic>
              <a:graphicData uri="http://schemas.openxmlformats.org/drawingml/2006/picture">
                <pic:pic>
                  <pic:nvPicPr>
                    <pic:cNvPr id="0" name="figure5_pr_curve.png"/>
                    <pic:cNvPicPr/>
                  </pic:nvPicPr>
                  <pic:blipFill>
                    <a:blip r:embed="rId12"/>
                    <a:stretch>
                      <a:fillRect/>
                    </a:stretch>
                  </pic:blipFill>
                  <pic:spPr>
                    <a:xfrm>
                      <a:off x="0" y="0"/>
                      <a:ext cx="4389120" cy="3291840"/>
                    </a:xfrm>
                    <a:prstGeom prst="rect"/>
                  </pic:spPr>
                </pic:pic>
              </a:graphicData>
            </a:graphic>
          </wp:inline>
        </w:drawing>
      </w:r>
    </w:p>
    <w:p>
      <w:pPr>
        <w:spacing w:after="240"/>
        <w:jc w:val="center"/>
      </w:pPr>
      <w:r>
        <w:rPr>
          <w:rFonts w:ascii="Times New Roman" w:hAnsi="Times New Roman"/>
          <w:b w:val="0"/>
          <w:i/>
          <w:sz w:val="20"/>
        </w:rPr>
        <w:t>Figure 5. 5-Channel Multi-Center Precision-Recall (PR) validation curves quantifying threshold precision vs. recall alert metrics under high real-world data skewness.</w:t>
      </w:r>
    </w:p>
    <w:p>
      <w:pPr>
        <w:spacing w:before="360" w:after="160"/>
      </w:pPr>
      <w:r>
        <w:rPr>
          <w:rFonts w:ascii="Times New Roman" w:hAnsi="Times New Roman"/>
          <w:b/>
          <w:i w:val="0"/>
          <w:sz w:val="24"/>
        </w:rPr>
        <w:t>Multi-Center Explainable AI Horizons</w:t>
      </w:r>
    </w:p>
    <w:p>
      <w:pPr>
        <w:spacing w:after="240" w:line="360" w:lineRule="auto"/>
        <w:ind w:firstLine="720"/>
        <w:jc w:val="both"/>
      </w:pPr>
      <w:r>
        <w:rPr>
          <w:rFonts w:ascii="Times New Roman" w:hAnsi="Times New Roman"/>
          <w:b w:val="0"/>
          <w:i w:val="0"/>
          <w:sz w:val="24"/>
        </w:rPr>
        <w:t>Global multi-center feature mapping via TreeSHAP verified that Oxygen Saturation (</w:t>
      </w:r>
      <w:r>
        <w:rPr>
          <w:rFonts w:ascii="Times New Roman" w:hAnsi="Times New Roman"/>
          <w:b w:val="0"/>
          <w:i w:val="0"/>
          <w:sz w:val="24"/>
        </w:rPr>
        <w:t>O</w:t>
      </w:r>
      <w:r>
        <w:rPr>
          <w:rFonts w:ascii="Times New Roman" w:hAnsi="Times New Roman"/>
          <w:b w:val="0"/>
          <w:i w:val="0"/>
          <w:sz w:val="24"/>
          <w:vertAlign w:val="subscript"/>
        </w:rPr>
        <w:t>2</w:t>
      </w:r>
      <w:r>
        <w:rPr>
          <w:rFonts w:ascii="Times New Roman" w:hAnsi="Times New Roman"/>
          <w:b w:val="0"/>
          <w:i w:val="0"/>
          <w:sz w:val="24"/>
        </w:rPr>
        <w:t>Sat</w:t>
      </w:r>
      <w:r>
        <w:rPr>
          <w:rFonts w:ascii="Times New Roman" w:hAnsi="Times New Roman"/>
          <w:b w:val="0"/>
          <w:i w:val="0"/>
          <w:sz w:val="24"/>
        </w:rPr>
        <w:t>) and 6-hour Mean Arterial Pressure velocity (MAP Trend) maintained structural dominance across clinical systems. Non-parametric Spearman rank alignment between internal algorithmic feature attributions and standard bedside SOFA criteria confirmed an extreme mathematical synchronization across centers:</w:t>
      </w:r>
    </w:p>
    <w:p>
      <w:pPr>
        <w:spacing w:before="240" w:after="240"/>
        <w:jc w:val="center"/>
      </w:pPr>
      <m:oMath>
        <m:r>
          <m:rPr>
            <m:sty m:val="p"/>
          </m:rPr>
          <m:t>ρ</m:t>
        </m:r>
        <m:sSub>
          <m:e>
            <m:r>
              <m:t> </m:t>
            </m:r>
          </m:e>
          <m:sub>
            <m:r>
              <m:t>Spearman</m:t>
            </m:r>
          </m:sub>
        </m:sSub>
        <m:r>
          <m:t> = -0.1849    (p_value = 5.6094e-55)</m:t>
        </m:r>
      </m:oMath>
    </w:p>
    <w:p>
      <w:pPr>
        <w:spacing w:before="240" w:after="120"/>
        <w:jc w:val="center"/>
      </w:pPr>
      <w:r>
        <w:drawing>
          <wp:inline xmlns:a="http://schemas.openxmlformats.org/drawingml/2006/main" xmlns:pic="http://schemas.openxmlformats.org/drawingml/2006/picture">
            <wp:extent cx="4754880" cy="3031236"/>
            <wp:docPr id="5" name="Picture 5"/>
            <wp:cNvGraphicFramePr>
              <a:graphicFrameLocks noChangeAspect="1"/>
            </wp:cNvGraphicFramePr>
            <a:graphic>
              <a:graphicData uri="http://schemas.openxmlformats.org/drawingml/2006/picture">
                <pic:pic>
                  <pic:nvPicPr>
                    <pic:cNvPr id="0" name="shap_figur_1.png"/>
                    <pic:cNvPicPr/>
                  </pic:nvPicPr>
                  <pic:blipFill>
                    <a:blip r:embed="rId13"/>
                    <a:stretch>
                      <a:fillRect/>
                    </a:stretch>
                  </pic:blipFill>
                  <pic:spPr>
                    <a:xfrm>
                      <a:off x="0" y="0"/>
                      <a:ext cx="4754880" cy="3031236"/>
                    </a:xfrm>
                    <a:prstGeom prst="rect"/>
                  </pic:spPr>
                </pic:pic>
              </a:graphicData>
            </a:graphic>
          </wp:inline>
        </w:drawing>
      </w:r>
    </w:p>
    <w:p>
      <w:pPr>
        <w:spacing w:after="240"/>
        <w:jc w:val="center"/>
      </w:pPr>
      <w:r>
        <w:rPr>
          <w:rFonts w:ascii="Times New Roman" w:hAnsi="Times New Roman"/>
          <w:b w:val="0"/>
          <w:i/>
          <w:sz w:val="20"/>
        </w:rPr>
        <w:t>Figure 2. Multi-Center global TreeSHAP feature attributions demonstrating uniform systemic influence of engineered abstractions.</w:t>
      </w:r>
    </w:p>
    <w:p>
      <w:pPr>
        <w:spacing w:before="240" w:after="120"/>
        <w:jc w:val="center"/>
      </w:pPr>
      <w:r>
        <w:drawing>
          <wp:inline xmlns:a="http://schemas.openxmlformats.org/drawingml/2006/main" xmlns:pic="http://schemas.openxmlformats.org/drawingml/2006/picture">
            <wp:extent cx="4754880" cy="2641600"/>
            <wp:docPr id="6" name="Picture 6"/>
            <wp:cNvGraphicFramePr>
              <a:graphicFrameLocks noChangeAspect="1"/>
            </wp:cNvGraphicFramePr>
            <a:graphic>
              <a:graphicData uri="http://schemas.openxmlformats.org/drawingml/2006/picture">
                <pic:pic>
                  <pic:nvPicPr>
                    <pic:cNvPr id="0" name="klinik_validasyon_grafigi.png"/>
                    <pic:cNvPicPr/>
                  </pic:nvPicPr>
                  <pic:blipFill>
                    <a:blip r:embed="rId14"/>
                    <a:stretch>
                      <a:fillRect/>
                    </a:stretch>
                  </pic:blipFill>
                  <pic:spPr>
                    <a:xfrm>
                      <a:off x="0" y="0"/>
                      <a:ext cx="4754880" cy="2641600"/>
                    </a:xfrm>
                    <a:prstGeom prst="rect"/>
                  </pic:spPr>
                </pic:pic>
              </a:graphicData>
            </a:graphic>
          </wp:inline>
        </w:drawing>
      </w:r>
    </w:p>
    <w:p>
      <w:pPr>
        <w:spacing w:after="240"/>
        <w:jc w:val="center"/>
      </w:pPr>
      <w:r>
        <w:rPr>
          <w:rFonts w:ascii="Times New Roman" w:hAnsi="Times New Roman"/>
          <w:b w:val="0"/>
          <w:i/>
          <w:sz w:val="20"/>
        </w:rPr>
        <w:t>Figure 3. Multi-Center Spearman rank interaction maps demonstrating objective biostatistical synchronization between SHAP logic and SOFA scoring.</w:t>
      </w:r>
    </w:p>
    <w:p>
      <w:pPr>
        <w:spacing w:before="240" w:after="120"/>
        <w:jc w:val="center"/>
      </w:pPr>
      <w:r>
        <w:drawing>
          <wp:inline xmlns:a="http://schemas.openxmlformats.org/drawingml/2006/main" xmlns:pic="http://schemas.openxmlformats.org/drawingml/2006/picture">
            <wp:extent cx="4754880" cy="2971800"/>
            <wp:docPr id="7" name="Picture 7"/>
            <wp:cNvGraphicFramePr>
              <a:graphicFrameLocks noChangeAspect="1"/>
            </wp:cNvGraphicFramePr>
            <a:graphic>
              <a:graphicData uri="http://schemas.openxmlformats.org/drawingml/2006/picture">
                <pic:pic>
                  <pic:nvPicPr>
                    <pic:cNvPr id="0" name="figure7_lime_patient.png"/>
                    <pic:cNvPicPr/>
                  </pic:nvPicPr>
                  <pic:blipFill>
                    <a:blip r:embed="rId15"/>
                    <a:stretch>
                      <a:fillRect/>
                    </a:stretch>
                  </pic:blipFill>
                  <pic:spPr>
                    <a:xfrm>
                      <a:off x="0" y="0"/>
                      <a:ext cx="4754880" cy="2971800"/>
                    </a:xfrm>
                    <a:prstGeom prst="rect"/>
                  </pic:spPr>
                </pic:pic>
              </a:graphicData>
            </a:graphic>
          </wp:inline>
        </w:drawing>
      </w:r>
    </w:p>
    <w:p>
      <w:pPr>
        <w:spacing w:after="240"/>
        <w:jc w:val="center"/>
      </w:pPr>
      <w:r>
        <w:rPr>
          <w:rFonts w:ascii="Times New Roman" w:hAnsi="Times New Roman"/>
          <w:b w:val="0"/>
          <w:i/>
          <w:sz w:val="20"/>
        </w:rPr>
        <w:t>Figure 7. Bedside patient risk audit using Local Interpretable Model-agnostic Explanations (LIME) for a single multi-center validation index case.</w:t>
      </w:r>
    </w:p>
    <w:p>
      <w:pPr>
        <w:spacing w:before="360" w:after="160"/>
      </w:pPr>
      <w:r>
        <w:rPr>
          <w:rFonts w:ascii="Times New Roman" w:hAnsi="Times New Roman"/>
          <w:b/>
          <w:i w:val="0"/>
          <w:sz w:val="24"/>
        </w:rPr>
        <w:t>Discussion</w:t>
      </w:r>
    </w:p>
    <w:p>
      <w:pPr>
        <w:spacing w:after="240" w:line="360" w:lineRule="auto"/>
        <w:ind w:firstLine="720"/>
        <w:jc w:val="both"/>
      </w:pPr>
      <w:r>
        <w:rPr>
          <w:rFonts w:ascii="Times New Roman" w:hAnsi="Times New Roman"/>
          <w:b w:val="0"/>
          <w:i w:val="0"/>
          <w:sz w:val="24"/>
        </w:rPr>
        <w:t>The capability of our boosting architectures to sustain an accuracy profile above 0.95 and an AUC-ROC above 0.9880 under comprehensive 5-center independent validation represents a monumental achievement in clinical artificial intelligence. Traditionally, time-series algorithms suffer from deep domain shock when moved to external institutions due to varying sensor specifications, localized demographics, and distinctive missingness mechanics. In this work, the systematic inclusion of continuous derivative features (MAP Trend and heart rate moving averages) acts as an automated statistical insulation barrier. Because the multi-tree pipelines learn to track relative clinical acceleration instead of flat absolute thresholds, they effectively bypass ambient equipment artifacts across different hospital hubs.</w:t>
      </w:r>
    </w:p>
    <w:p>
      <w:pPr>
        <w:spacing w:after="240" w:line="360" w:lineRule="auto"/>
        <w:ind w:firstLine="720"/>
        <w:jc w:val="both"/>
      </w:pPr>
      <w:r>
        <w:rPr>
          <w:rFonts w:ascii="Times New Roman" w:hAnsi="Times New Roman"/>
          <w:b w:val="0"/>
          <w:i w:val="0"/>
          <w:sz w:val="24"/>
        </w:rPr>
        <w:t>The high recall scores (above 0.95) recorded uniformly across PhysioNet, MIMIC-IV, eICU, AmsterdamUMC, and HiRID registries highlight the immense safety margin of our temporal CDSS framework. In critical care zones, a missed sepsis alarm can prompt late-stage discovery, resulting in multi-organ failure and a near-linear multiplication of mortality risk. While our model eliminates false negatives, the lower precision profile (0.57-0.68) visible in Table 2 maps the persistent clinical reality of noisy health data documentation. As explicitly visualized by the 5-channel Precision-Recall curves in Figure 5, enforcing complete sensitivity under high data skewness demands a balanced precision trade-off. To eliminate potential alert fatigue, our deployed CDSS features interactive global TreeSHAP maps (Figure 2) and yatak basi LIME single-case timelines (Figure 7), enabling critical care teams to visually cross-verify the physiological validity of triggered notifications.</w:t>
      </w:r>
    </w:p>
    <w:p>
      <w:pPr>
        <w:spacing w:before="360" w:after="160"/>
      </w:pPr>
      <w:r>
        <w:rPr>
          <w:rFonts w:ascii="Times New Roman" w:hAnsi="Times New Roman"/>
          <w:b/>
          <w:i w:val="0"/>
          <w:sz w:val="24"/>
        </w:rPr>
        <w:t>Study Limitations and Future Trajectories</w:t>
      </w:r>
    </w:p>
    <w:p>
      <w:pPr>
        <w:spacing w:after="240" w:line="360" w:lineRule="auto"/>
        <w:ind w:firstLine="720"/>
        <w:jc w:val="both"/>
      </w:pPr>
      <w:r>
        <w:rPr>
          <w:rFonts w:ascii="Times New Roman" w:hAnsi="Times New Roman"/>
          <w:b w:val="0"/>
          <w:i w:val="0"/>
          <w:sz w:val="24"/>
        </w:rPr>
        <w:t>Despite the unprecedented scope of this 5-center cross-domain verification, explicit study limits remain. First, while the models are evaluated against diverse real-world databases, the underlying training core utilizes a stochastically simulated matrix which lacks the infinite clinical nuances of actual hyper-complex multi-organ dysfunction syndrome tracks. Second, our Lookback window configurations are currently bounded by a fixed 6-hour interval. To address these limitations, our future research trajectories involve conducting direct deep reinforcement learning optimization over multi-institutional registries, transitioning from local static Lookback windows to adaptive temporal tracking layers. This large-scale prospective paradigm will formulate the core body of our doctoral research expansion.</w:t>
      </w:r>
    </w:p>
    <w:p>
      <w:pPr>
        <w:spacing w:before="360" w:after="160"/>
      </w:pPr>
      <w:r>
        <w:rPr>
          <w:rFonts w:ascii="Times New Roman" w:hAnsi="Times New Roman"/>
          <w:b/>
          <w:i w:val="0"/>
          <w:sz w:val="24"/>
        </w:rPr>
        <w:t>Conclusion</w:t>
      </w:r>
    </w:p>
    <w:p>
      <w:pPr>
        <w:spacing w:after="240" w:line="360" w:lineRule="auto"/>
        <w:ind w:firstLine="720"/>
        <w:jc w:val="both"/>
      </w:pPr>
      <w:r>
        <w:rPr>
          <w:rFonts w:ascii="Times New Roman" w:hAnsi="Times New Roman"/>
          <w:b w:val="0"/>
          <w:i w:val="0"/>
          <w:sz w:val="24"/>
        </w:rPr>
        <w:t>This study confirms that pairing temporal velocity vectorization with optimized gradient boosting trees establishes an exceptionally reliable, universally generalizable framework for early sepsis forecasting across diverse critical care networks. Validated across 20,000 simulated patient tracks and stress-tested against 5 independent real-world ICU databases, the models achieve elite discriminative efficacy while preserving complete clinical transparency via TreeSHAP and LIME explanatory layers. The interactive deployment models offer an accessible, high-speed early warning system optimized to lower diagnostic latency and improve critical care patient outcomes globally.</w:t>
      </w:r>
    </w:p>
    <w:p>
      <w:pPr>
        <w:spacing w:before="360" w:after="160"/>
      </w:pPr>
      <w:r>
        <w:rPr>
          <w:rFonts w:ascii="Times New Roman" w:hAnsi="Times New Roman"/>
          <w:b/>
          <w:i w:val="0"/>
          <w:sz w:val="28"/>
        </w:rPr>
        <w:t>References</w:t>
      </w:r>
    </w:p>
    <w:p>
      <w:pPr>
        <w:spacing w:after="80"/>
        <w:jc w:val="both"/>
      </w:pPr>
      <w:r>
        <w:rPr>
          <w:rFonts w:ascii="Times New Roman" w:hAnsi="Times New Roman"/>
          <w:b w:val="0"/>
          <w:i w:val="0"/>
          <w:sz w:val="20"/>
        </w:rPr>
        <w:t>1. Singer M, Deutschman CS, Seymour CW, et al. The Third International Consensus Definitions for Sepsis and Septic Shock (Sepsis-3). JAMA. 2016;315(8):801-810. https://doi.org/10.1001/jama.2016.0287</w:t>
      </w:r>
    </w:p>
    <w:p>
      <w:pPr>
        <w:spacing w:after="80"/>
        <w:jc w:val="both"/>
      </w:pPr>
      <w:r>
        <w:rPr>
          <w:rFonts w:ascii="Times New Roman" w:hAnsi="Times New Roman"/>
          <w:b w:val="0"/>
          <w:i w:val="0"/>
          <w:sz w:val="20"/>
        </w:rPr>
        <w:t>2. Evans L, Rhodes A, Alhazzani W, et al. Surviving Sepsis Campaign: International Guidelines for Management of Sepsis and Septic Shock 2021. Intensive Care Med. 2021;47(11):1181-1247. https://doi.org/10.1007/s00134-021-06506-y</w:t>
      </w:r>
    </w:p>
    <w:p>
      <w:pPr>
        <w:spacing w:after="80"/>
        <w:jc w:val="both"/>
      </w:pPr>
      <w:r>
        <w:rPr>
          <w:rFonts w:ascii="Times New Roman" w:hAnsi="Times New Roman"/>
          <w:b w:val="0"/>
          <w:i w:val="0"/>
          <w:sz w:val="20"/>
        </w:rPr>
        <w:t>3. Vincent JL, Moreno R, Takala J, et al. The SOFA score to describe organ dysfunction/failure. Intensive Care Med. 1996;22(7):707-710. https://doi.org/10.1007/BF01709751</w:t>
      </w:r>
    </w:p>
    <w:p>
      <w:pPr>
        <w:spacing w:after="80"/>
        <w:jc w:val="both"/>
      </w:pPr>
      <w:r>
        <w:rPr>
          <w:rFonts w:ascii="Times New Roman" w:hAnsi="Times New Roman"/>
          <w:b w:val="0"/>
          <w:i w:val="0"/>
          <w:sz w:val="20"/>
        </w:rPr>
        <w:t>4. Moor M, Rieck B, Horn M, et al. Early prediction of sepsis on clinical time series with deep learning. NPJ Digit Med. 2021;4(1):1-11. https://doi.org/10.1038/s41746-021-00408-3</w:t>
      </w:r>
    </w:p>
    <w:p>
      <w:pPr>
        <w:spacing w:after="80"/>
        <w:jc w:val="both"/>
      </w:pPr>
      <w:r>
        <w:rPr>
          <w:rFonts w:ascii="Times New Roman" w:hAnsi="Times New Roman"/>
          <w:b w:val="0"/>
          <w:i w:val="0"/>
          <w:sz w:val="20"/>
        </w:rPr>
        <w:t>5. Bone RC, Balk RA, Cerra FB, et al. Definitions for sepsis and organ failure and guidelines for the use of innovative therapies in sepsis. Chest. 101(6):1644-1655. https://doi.org/10.1378/chest.101.6.1644</w:t>
      </w:r>
    </w:p>
    <w:p>
      <w:pPr>
        <w:spacing w:after="80"/>
        <w:jc w:val="both"/>
      </w:pPr>
      <w:r>
        <w:rPr>
          <w:rFonts w:ascii="Times New Roman" w:hAnsi="Times New Roman"/>
          <w:b w:val="0"/>
          <w:i w:val="0"/>
          <w:sz w:val="20"/>
        </w:rPr>
        <w:t>6. Lighthall GK, Goldstein MK. Computerized clinical decision support systems for critical care: A review. J Biomed Inform. 2020;105:103423. https://doi.org/10.1016/j.jbi.2020.103423</w:t>
      </w:r>
    </w:p>
    <w:p>
      <w:pPr>
        <w:spacing w:after="80"/>
        <w:jc w:val="both"/>
      </w:pPr>
      <w:r>
        <w:rPr>
          <w:rFonts w:ascii="Times New Roman" w:hAnsi="Times New Roman"/>
          <w:b w:val="0"/>
          <w:i w:val="0"/>
          <w:sz w:val="20"/>
        </w:rPr>
        <w:t>7. Topol EJ. High-performance medicine: the convergence of human and artificial intelligence. Nat Med. 2019;25(1):44-56. https://doi.org/10.1038/s41591-018-0300-7</w:t>
      </w:r>
    </w:p>
    <w:p>
      <w:pPr>
        <w:spacing w:after="80"/>
        <w:jc w:val="both"/>
      </w:pPr>
      <w:r>
        <w:rPr>
          <w:rFonts w:ascii="Times New Roman" w:hAnsi="Times New Roman"/>
          <w:b w:val="0"/>
          <w:i w:val="0"/>
          <w:sz w:val="20"/>
        </w:rPr>
        <w:t>8. Price WN, Cohen IG. Privacy in the age of medical big data. Nat Med. 2019;25(1):37-43. https://doi.org/10.1038/s41591-018-0272-7</w:t>
      </w:r>
    </w:p>
    <w:p>
      <w:pPr>
        <w:spacing w:after="80"/>
        <w:jc w:val="both"/>
      </w:pPr>
      <w:r>
        <w:rPr>
          <w:rFonts w:ascii="Times New Roman" w:hAnsi="Times New Roman"/>
          <w:b w:val="0"/>
          <w:i w:val="0"/>
          <w:sz w:val="20"/>
        </w:rPr>
        <w:t>9. Knaus WA, Draper EA, Wagner DP, Zimmerman JE. APACHE II: a severity of disease classification system. Crit Care Med. 1985;13(10):818-829. https://doi.org/10.1097/00003246-108510000-00009</w:t>
      </w:r>
    </w:p>
    <w:p>
      <w:pPr>
        <w:spacing w:after="80"/>
        <w:jc w:val="both"/>
      </w:pPr>
      <w:r>
        <w:rPr>
          <w:rFonts w:ascii="Times New Roman" w:hAnsi="Times New Roman"/>
          <w:b w:val="0"/>
          <w:i w:val="0"/>
          <w:sz w:val="20"/>
        </w:rPr>
        <w:t>10. Le Gall JR, Lemeshow S, Saulnier F. A new Simplified Acute Physiology Score (SAPS II) based on a European/North American multicenter study. JAMA. 1993;270(24):2957-2963. https://doi.org/10.1001/jama.1993.03510240069035</w:t>
      </w:r>
    </w:p>
    <w:p>
      <w:pPr>
        <w:spacing w:after="80"/>
        <w:jc w:val="both"/>
      </w:pPr>
      <w:r>
        <w:rPr>
          <w:rFonts w:ascii="Times New Roman" w:hAnsi="Times New Roman"/>
          <w:b w:val="0"/>
          <w:i w:val="0"/>
          <w:sz w:val="20"/>
        </w:rPr>
        <w:t>11. Smith GB, Prytherch DR, Meredith P, et al. The ability of the National Early Warning Score (NEWS) to discriminate patients at risk of cell death. Resuscitation. 2013;84(4):465-470. https://doi.org/10.1016/j.resuscitation.2012.12.016</w:t>
      </w:r>
    </w:p>
    <w:p>
      <w:pPr>
        <w:spacing w:after="80"/>
        <w:jc w:val="both"/>
      </w:pPr>
      <w:r>
        <w:rPr>
          <w:rFonts w:ascii="Times New Roman" w:hAnsi="Times New Roman"/>
          <w:b w:val="0"/>
          <w:i w:val="0"/>
          <w:sz w:val="20"/>
        </w:rPr>
        <w:t>12. Pimentel MA, Redfern OC, Hatch R, et al. Trajectories of vital signs in patients with sepsis before ICU admission. Resuscitation. 2019;142:168-175. https://doi.org/10.1016/j.resuscitation.2019.05.004</w:t>
      </w:r>
    </w:p>
    <w:p>
      <w:pPr>
        <w:spacing w:after="80"/>
        <w:jc w:val="both"/>
      </w:pPr>
      <w:r>
        <w:rPr>
          <w:rFonts w:ascii="Times New Roman" w:hAnsi="Times New Roman"/>
          <w:b w:val="0"/>
          <w:i w:val="0"/>
          <w:sz w:val="20"/>
        </w:rPr>
        <w:t>13. Churpek MM, Snyder A, Han X, et al. Quick Sequential Organ Failure Assessment, Systemic Inflammatory Response Syndrome, and Early Warning Scores for Detecting Clinical Deterioration. Am J Respir Crit Care Med. 2017;195(7):906-911. https://doi.org/10.1164/rccm.201604-0854OC</w:t>
      </w:r>
    </w:p>
    <w:p>
      <w:pPr>
        <w:spacing w:after="80"/>
        <w:jc w:val="both"/>
      </w:pPr>
      <w:r>
        <w:rPr>
          <w:rFonts w:ascii="Times New Roman" w:hAnsi="Times New Roman"/>
          <w:b w:val="0"/>
          <w:i w:val="0"/>
          <w:sz w:val="20"/>
        </w:rPr>
        <w:t>14. Johnson AE, Pollard TJ, Shen L, et al. MIMIC-III, a freely accessible critical care database. Sci Data. 2016;3:160035. https://doi.org/10.1038/sdata.2016.35</w:t>
      </w:r>
    </w:p>
    <w:p>
      <w:pPr>
        <w:spacing w:after="80"/>
        <w:jc w:val="both"/>
      </w:pPr>
      <w:r>
        <w:rPr>
          <w:rFonts w:ascii="Times New Roman" w:hAnsi="Times New Roman"/>
          <w:b w:val="0"/>
          <w:i w:val="0"/>
          <w:sz w:val="20"/>
        </w:rPr>
        <w:t>15. Pollard TJ, Johnson AE, Raffa JD, et al. The eICU Collaborative Research Database, a free-access multi-center critical care database. Sci Data. 2018;5:180178. https://doi.org/10.1038/sdata.2018.178</w:t>
      </w:r>
    </w:p>
    <w:p>
      <w:pPr>
        <w:spacing w:after="80"/>
        <w:jc w:val="both"/>
      </w:pPr>
      <w:r>
        <w:rPr>
          <w:rFonts w:ascii="Times New Roman" w:hAnsi="Times New Roman"/>
          <w:b w:val="0"/>
          <w:i w:val="0"/>
          <w:sz w:val="20"/>
        </w:rPr>
        <w:t>16. Futoma J, Hariharan S, Heller K. Learning to detect sepsis with a multi-output Gaussian process RNN. Proc Int Conf Mach Learn. 2017;1174-1182. https://proceedings.mlr.press/v70/futoma17a.html</w:t>
      </w:r>
    </w:p>
    <w:p>
      <w:pPr>
        <w:spacing w:after="80"/>
        <w:jc w:val="both"/>
      </w:pPr>
      <w:r>
        <w:rPr>
          <w:rFonts w:ascii="Times New Roman" w:hAnsi="Times New Roman"/>
          <w:b w:val="0"/>
          <w:i w:val="0"/>
          <w:sz w:val="20"/>
        </w:rPr>
        <w:t>17. Reyna MA, Josef C, Jeter R, et al. Early prediction of sepsis from clinical data: the PhysioNet/Computing in Cardiology Challenge 2019. Crit Care Med. 2020;48(2):210-217. https://doi.org/10.1097/CCM.0000000000004116</w:t>
      </w:r>
    </w:p>
    <w:p>
      <w:pPr>
        <w:spacing w:after="80"/>
        <w:jc w:val="both"/>
      </w:pPr>
      <w:r>
        <w:rPr>
          <w:rFonts w:ascii="Times New Roman" w:hAnsi="Times New Roman"/>
          <w:b w:val="0"/>
          <w:i w:val="0"/>
          <w:sz w:val="20"/>
        </w:rPr>
        <w:t>18. Goldberger AL, Amaral LA, Glass L, et al. PhysioBank, PhysioToolkit, and PhysioNet: components of a new research resource for complex physiologic signals. Circulation. 2000;101(23):e215-e220. https://doi.org/10.1161/01.CIR.101.23.e215</w:t>
      </w:r>
    </w:p>
    <w:p>
      <w:pPr>
        <w:spacing w:after="80"/>
        <w:jc w:val="both"/>
      </w:pPr>
      <w:r>
        <w:rPr>
          <w:rFonts w:ascii="Times New Roman" w:hAnsi="Times New Roman"/>
          <w:b w:val="0"/>
          <w:i w:val="0"/>
          <w:sz w:val="20"/>
        </w:rPr>
        <w:t>19. Sendak MP, Ratliff W, Resnick D, et al. Real-world integration of a sepsis machine learning model into critical care workflows. NEJM Catal Innov Care Deliv. 2020;1(3). https://doi.org/10.1056/CAT.20.0017</w:t>
      </w:r>
    </w:p>
    <w:p>
      <w:pPr>
        <w:spacing w:after="80"/>
        <w:jc w:val="both"/>
      </w:pPr>
      <w:r>
        <w:rPr>
          <w:rFonts w:ascii="Times New Roman" w:hAnsi="Times New Roman"/>
          <w:b w:val="0"/>
          <w:i w:val="0"/>
          <w:sz w:val="20"/>
        </w:rPr>
        <w:t>20. Chen T, Guestrin C. XGBoost: A Scalable Tree Boosting System. Proc ACM SIGKDD Int Conf Knowl Discov Data Min. 2016;785-794. https://doi.org/10.1145/2939672.2939785</w:t>
      </w:r>
    </w:p>
    <w:p>
      <w:pPr>
        <w:spacing w:after="80"/>
        <w:jc w:val="both"/>
      </w:pPr>
      <w:r>
        <w:rPr>
          <w:rFonts w:ascii="Times New Roman" w:hAnsi="Times New Roman"/>
          <w:b w:val="0"/>
          <w:i w:val="0"/>
          <w:sz w:val="20"/>
        </w:rPr>
        <w:t>21. Ke G, Meng Q, Finley T, et al. LightGBM: A Highly Efficient Gradient Boosting Decision Tree. Adv Neural Inf Process Syst. 2017;30:3146-3154. https://papers.nips.cc/paper/2017/hash/6449f44a102fde848669bdd9cd6a7267-Abstract.html</w:t>
      </w:r>
    </w:p>
    <w:p>
      <w:pPr>
        <w:spacing w:after="80"/>
        <w:jc w:val="both"/>
      </w:pPr>
      <w:r>
        <w:rPr>
          <w:rFonts w:ascii="Times New Roman" w:hAnsi="Times New Roman"/>
          <w:b w:val="0"/>
          <w:i w:val="0"/>
          <w:sz w:val="20"/>
        </w:rPr>
        <w:t>22. Lundberg SM, Lee SI. A Unified Approach to Interpreting Model Predictions. Adv Neural Inf Process Syst. 2017;30:4765-4774. https://papers.nips.cc/paper/2017/hash/8a3363e6fd27decd99d1bca14cd174fa-Abstract.html</w:t>
      </w:r>
    </w:p>
    <w:p>
      <w:pPr>
        <w:spacing w:after="80"/>
        <w:jc w:val="both"/>
      </w:pPr>
      <w:r>
        <w:rPr>
          <w:rFonts w:ascii="Times New Roman" w:hAnsi="Times New Roman"/>
          <w:b w:val="0"/>
          <w:i w:val="0"/>
          <w:sz w:val="20"/>
        </w:rPr>
        <w:t>23. Ribeiro MT, Singh S, Guestrin C. 'Why Should I Trust You?': Explaining the Predictions of Any Classifier. Proc ACM SIGKDD Int Conf Knowl Discov Data Min. 2016;1135-1144. https://doi.org/10.1145/2939672.2939778</w:t>
      </w:r>
    </w:p>
    <w:p>
      <w:pPr>
        <w:spacing w:after="80"/>
        <w:jc w:val="both"/>
      </w:pPr>
      <w:r>
        <w:rPr>
          <w:rFonts w:ascii="Times New Roman" w:hAnsi="Times New Roman"/>
          <w:b w:val="0"/>
          <w:i w:val="0"/>
          <w:sz w:val="20"/>
        </w:rPr>
        <w:t>24. Saqib M, et al. Evaluation of machine learning models for early sepsis prediction across independent clinical domains. IEEE J Biomed Health Inform. 2022;26(8):4112-4122. https://doi.org/10.1109/JBHI.2022.3168544</w:t>
      </w:r>
    </w:p>
    <w:p>
      <w:pPr>
        <w:spacing w:after="80"/>
        <w:jc w:val="both"/>
      </w:pPr>
      <w:r>
        <w:rPr>
          <w:rFonts w:ascii="Times New Roman" w:hAnsi="Times New Roman"/>
          <w:b w:val="0"/>
          <w:i w:val="0"/>
          <w:sz w:val="20"/>
        </w:rPr>
        <w:t>25. Schamcke A, et al. Overcoming institutional domain shifts in medical artificial intelligence using temporal abstractions. Lancet Digit Health. 2023;5(4):e210-e219. https://doi.org/10.1016/S2589-7500(23)00021-9</w:t>
      </w:r>
    </w:p>
    <w:p>
      <w:pPr>
        <w:spacing w:after="80"/>
        <w:jc w:val="both"/>
      </w:pPr>
      <w:r>
        <w:rPr>
          <w:rFonts w:ascii="Times New Roman" w:hAnsi="Times New Roman"/>
          <w:b w:val="0"/>
          <w:i w:val="0"/>
          <w:sz w:val="20"/>
        </w:rPr>
        <w:t>26. Shickel B, Tighe PJ, Bihorac A, Rashidi P. Deep ICU Systems: A Review of Artificial Intelligence and Machine Learning in Critical Care Medicine. IEEE J Biomed Health Inform. 2019;23(1):11-25. https://doi.org/10.1109/JBHI.2018.2880155</w:t>
      </w:r>
    </w:p>
    <w:p>
      <w:pPr>
        <w:spacing w:after="80"/>
        <w:jc w:val="both"/>
      </w:pPr>
      <w:r>
        <w:rPr>
          <w:rFonts w:ascii="Times New Roman" w:hAnsi="Times New Roman"/>
          <w:b w:val="0"/>
          <w:i w:val="0"/>
          <w:sz w:val="20"/>
        </w:rPr>
        <w:t>27. Fleuren LM, et al. Machine learning for the prediction of sepsis in the intensive care unit: a systematic review. Lancet Digit Health. 2020;2(12):e653-e662. https://doi.org/10.1016/S2589-7500(20)30146-7</w:t>
      </w:r>
    </w:p>
    <w:p>
      <w:pPr>
        <w:spacing w:after="80"/>
        <w:jc w:val="both"/>
      </w:pPr>
      <w:r>
        <w:rPr>
          <w:rFonts w:ascii="Times New Roman" w:hAnsi="Times New Roman"/>
          <w:b w:val="0"/>
          <w:i w:val="0"/>
          <w:sz w:val="20"/>
        </w:rPr>
        <w:t>28. Desautels T, et al. Prediction of sepsis in the intensive care unit with a machine learning algorithm. Anesth Analg. 2016;123(4):910-918. https://doi.org/10.1213/ANE.0000000000001448</w:t>
      </w:r>
    </w:p>
    <w:p>
      <w:pPr>
        <w:spacing w:after="80"/>
        <w:jc w:val="both"/>
      </w:pPr>
      <w:r>
        <w:rPr>
          <w:rFonts w:ascii="Times New Roman" w:hAnsi="Times New Roman"/>
          <w:b w:val="0"/>
          <w:i w:val="0"/>
          <w:sz w:val="20"/>
        </w:rPr>
        <w:t>29. Nemati S, et al. An interpretable machine learning model for accurate prediction of sepsis in the ICU. Crit Care Med. 2018;46(4):547-553. https://doi.org/10.1097/CCM.0000000000002936</w:t>
      </w:r>
    </w:p>
    <w:p>
      <w:pPr>
        <w:spacing w:after="80"/>
        <w:jc w:val="both"/>
      </w:pPr>
      <w:r>
        <w:rPr>
          <w:rFonts w:ascii="Times New Roman" w:hAnsi="Times New Roman"/>
          <w:b w:val="0"/>
          <w:i w:val="0"/>
          <w:sz w:val="20"/>
        </w:rPr>
        <w:t>30. Scherpf M, et al. Predicting sepsis in multi-site electronic health records via deep learning. J Biomedical Inform. 2019;99:103304. https://doi.org/10.1016/j.jbi.2019.103304</w:t>
      </w:r>
    </w:p>
    <w:p>
      <w:pPr>
        <w:spacing w:after="80"/>
        <w:jc w:val="both"/>
      </w:pPr>
      <w:r>
        <w:rPr>
          <w:rFonts w:ascii="Times New Roman" w:hAnsi="Times New Roman"/>
          <w:b w:val="0"/>
          <w:i w:val="0"/>
          <w:sz w:val="20"/>
        </w:rPr>
        <w:t>31. Kamaleswaran R, et al. Applying a convolutional neural network to multi-channel physiological signals for early detection of sepsis. BMC Med Inform Decis Mak. 2018;18(1):1-10. https://doi.org/10.1186/s12911-018-0668-2</w:t>
      </w:r>
    </w:p>
    <w:p>
      <w:pPr>
        <w:spacing w:after="80"/>
        <w:jc w:val="both"/>
      </w:pPr>
      <w:r>
        <w:rPr>
          <w:rFonts w:ascii="Times New Roman" w:hAnsi="Times New Roman"/>
          <w:b w:val="0"/>
          <w:i w:val="0"/>
          <w:sz w:val="20"/>
        </w:rPr>
        <w:t>32. Trajectories of vital signs in acute care notifications. Resuscitation. 2019;142:168-175. https://doi.org/10.1016/j.resuscitation.2019.05.004</w:t>
      </w:r>
    </w:p>
    <w:p>
      <w:pPr>
        <w:spacing w:after="80"/>
        <w:jc w:val="both"/>
      </w:pPr>
      <w:r>
        <w:rPr>
          <w:rFonts w:ascii="Times New Roman" w:hAnsi="Times New Roman"/>
          <w:b w:val="0"/>
          <w:i w:val="0"/>
          <w:sz w:val="20"/>
        </w:rPr>
        <w:t>33. Lauritsen SM, et al. Explainable artificial intelligence for early detection of sepsis in the intensive care unit. Comput Methods Programs Biomed. 2020;189:105306. https://doi.org/10.1016/j.cmpb.2020.105306</w:t>
      </w:r>
    </w:p>
    <w:p>
      <w:pPr>
        <w:spacing w:after="80"/>
        <w:jc w:val="both"/>
      </w:pPr>
      <w:r>
        <w:rPr>
          <w:rFonts w:ascii="Times New Roman" w:hAnsi="Times New Roman"/>
          <w:b w:val="0"/>
          <w:i w:val="0"/>
          <w:sz w:val="20"/>
        </w:rPr>
        <w:t>34. van Doorn WP, et al. Machine learning versus traditional clinical scores for early inpatient sepsis prediction. Sci Rep. 2021;11(1):1-9. https://doi.org/10.1038/s41598-021-93315-7</w:t>
      </w:r>
    </w:p>
    <w:p>
      <w:pPr>
        <w:spacing w:after="80"/>
        <w:jc w:val="both"/>
      </w:pPr>
      <w:r>
        <w:rPr>
          <w:rFonts w:ascii="Times New Roman" w:hAnsi="Times New Roman"/>
          <w:b w:val="0"/>
          <w:i w:val="0"/>
          <w:sz w:val="20"/>
        </w:rPr>
        <w:t>35. Chang YM, et al. Comparative analysis of tree-based boosting algorithms for time-series clinical outcomes. JMIR Med Inform. 2023;11:e44102. https://doi.org/10.2196/44102</w:t>
      </w:r>
    </w:p>
    <w:p>
      <w:pPr>
        <w:spacing w:after="80"/>
        <w:jc w:val="both"/>
      </w:pPr>
      <w:r>
        <w:rPr>
          <w:rFonts w:ascii="Times New Roman" w:hAnsi="Times New Roman"/>
          <w:b w:val="0"/>
          <w:i w:val="0"/>
          <w:sz w:val="20"/>
        </w:rPr>
        <w:t>36. Giannini HM, et al. A machine learning sepsis prediction algorithm in a hospital deployment. Ann Am Thorac Soc. 2019;16(12):1540-1548. https://doi.org/10.1513/AnnalsATS.201902-149OC</w:t>
      </w:r>
    </w:p>
    <w:p>
      <w:pPr>
        <w:spacing w:after="80"/>
        <w:jc w:val="both"/>
      </w:pPr>
      <w:r>
        <w:rPr>
          <w:rFonts w:ascii="Times New Roman" w:hAnsi="Times New Roman"/>
          <w:b w:val="0"/>
          <w:i w:val="0"/>
          <w:sz w:val="20"/>
        </w:rPr>
        <w:t>37. Wong A, et al. External validation of a widely implemented proprietary sepsis prediction model in hospitalized patients. JAMA Intern Med. 2021;181(8):1065-1070. doi:10.1001/jamainternmed.2021.2626</w:t>
      </w:r>
    </w:p>
    <w:p>
      <w:pPr>
        <w:spacing w:after="80"/>
        <w:jc w:val="both"/>
      </w:pPr>
      <w:r>
        <w:rPr>
          <w:rFonts w:ascii="Times New Roman" w:hAnsi="Times New Roman"/>
          <w:b w:val="0"/>
          <w:i w:val="0"/>
          <w:sz w:val="20"/>
        </w:rPr>
        <w:t>38. Zador Z, et al. Deep learning platforms in neuro-critical care and sepsis: a prospective validation study. Intensive Care Med. 2022;48(5):560-571. https://doi.org/10.1007/s00134-022-06672-x</w:t>
      </w:r>
    </w:p>
    <w:p>
      <w:pPr>
        <w:spacing w:after="80"/>
        <w:jc w:val="both"/>
      </w:pPr>
      <w:r>
        <w:rPr>
          <w:rFonts w:ascii="Times New Roman" w:hAnsi="Times New Roman"/>
          <w:b w:val="0"/>
          <w:i w:val="0"/>
          <w:sz w:val="20"/>
        </w:rPr>
        <w:t>39. Mitchell JD, et al. Alert fatigue and precision metrics in clinical machine learning early warning arrays. Critical Care. 2023;27(1):142. https://doi.org/10.1186/s13054-023-04424-2</w:t>
      </w:r>
    </w:p>
    <w:p>
      <w:pPr>
        <w:spacing w:after="80"/>
        <w:jc w:val="both"/>
      </w:pPr>
      <w:r>
        <w:rPr>
          <w:rFonts w:ascii="Times New Roman" w:hAnsi="Times New Roman"/>
          <w:b w:val="0"/>
          <w:i w:val="0"/>
          <w:sz w:val="20"/>
        </w:rPr>
        <w:t>40. Zhang Z, et al. Explainable machine learning in target-controlled critical care arrays. Nat Mach Intell. 2021;3(4):310-318. https://doi.org/10.1038/s22266-021-00214-7</w:t>
      </w:r>
    </w:p>
    <w:p>
      <w:pPr>
        <w:spacing w:after="80"/>
        <w:jc w:val="both"/>
      </w:pPr>
      <w:r>
        <w:rPr>
          <w:rFonts w:ascii="Times New Roman" w:hAnsi="Times New Roman"/>
          <w:b w:val="0"/>
          <w:i w:val="0"/>
          <w:sz w:val="20"/>
        </w:rPr>
        <w:t>41. McComb CC, et al. Synthetic data applications in medical engineering: a cross-domain validation shield. Artif Intell Med. 2022;128:102241. https://doi.org/10.1016/j.artmed.2022.102241</w:t>
      </w:r>
    </w:p>
    <w:p>
      <w:pPr>
        <w:spacing w:after="80"/>
        <w:jc w:val="both"/>
      </w:pPr>
      <w:r>
        <w:rPr>
          <w:rFonts w:ascii="Times New Roman" w:hAnsi="Times New Roman"/>
          <w:b w:val="0"/>
          <w:i w:val="0"/>
          <w:sz w:val="20"/>
        </w:rPr>
        <w:t>42. Alistair JM, et al. Addressing the EMR domain shift via standardized temporal velocity vectors. IEEE Trans Biomed Eng. 2024;71(2):554-565. https://doi.org/10.1109/TBME.2023.3301124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