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Politica de Prevenção a Lavagem de Dinheiro</w:t>
      </w:r>
    </w:p>
    <w:p>
      <w:r>
        <w:rPr>
          <w:sz w:val="18"/>
        </w:rPr>
        <w:t>Banco Exemplo S.A. · POL-PLD-004 · Versao 6.0</w:t>
      </w:r>
    </w:p>
    <w:p>
      <w:r>
        <w:rPr>
          <w:i/>
          <w:sz w:val="16"/>
        </w:rPr>
        <w:t>Documento fictício, gerado para demonstração técnica do Financial Support Intelligence. O Banco Exemplo S.A. não existe. Prazos, valores e procedimentos descritos são inventados e não constituem orientação real.</w:t>
      </w:r>
    </w:p>
    <w:p>
      <w:pPr>
        <w:pStyle w:val="Heading1"/>
      </w:pPr>
      <w:r>
        <w:t>1 Principios</w:t>
      </w:r>
    </w:p>
    <w:p>
      <w:r>
        <w:t>O Banco Exemplo S.A. adota politica de prevenção a lavagem de dinheiro e ao financiamento do terrorismo baseada em avaliação de risco, em conformidade com a Circular 3.978 do Banco Central do Brasil e com a Lei 9.613/1998.</w:t>
      </w:r>
    </w:p>
    <w:p>
      <w:r>
        <w:t>Nenhum relacionamento comercial se sobrepoe as obrigacoes de prevenção. A recusa de inicio ou a manutenção de relacionamento por razoes de conformidade não exige justificativa ao cliente.</w:t>
      </w:r>
    </w:p>
    <w:p>
      <w:pPr>
        <w:pStyle w:val="Heading1"/>
      </w:pPr>
      <w:r>
        <w:t>2 Conheca seu cliente</w:t>
      </w:r>
    </w:p>
    <w:p>
      <w:pPr>
        <w:pStyle w:val="Heading2"/>
      </w:pPr>
      <w:r>
        <w:t>2.1 Identificação e qualificação</w:t>
      </w:r>
    </w:p>
    <w:p>
      <w:r>
        <w:t>A identificação do cliente é requisito para o inicio do relacionamento. Os documentos exigidos estão no Manual de Cadastro de Pessoa Física (MAN-CAD-001), seção 2.</w:t>
      </w:r>
    </w:p>
    <w:p>
      <w:r>
        <w:t>A qualificação complementa a identificação com informações sobre ocupacao, renda, patrimonio e finalidade do relacionamento. Divergência relevante entre renda declarada e movimentação observada e sinal de alerta e deve ser tratada conforme a seção 5.</w:t>
      </w:r>
    </w:p>
    <w:p>
      <w:pPr>
        <w:pStyle w:val="Heading2"/>
      </w:pPr>
      <w:r>
        <w:t>2.2 Atualização das informações</w:t>
      </w:r>
    </w:p>
    <w:p>
      <w:r>
        <w:t>As informações de qualificação seguem a mesma periodicidade da atualização cadastral: 24 meses no perfil padrão e 12 meses no risco elevado.</w:t>
      </w:r>
    </w:p>
    <w:p>
      <w:r>
        <w:t>A área de Prevenção pode determinar atualização antecipada a qualquer momento, independentemente do prazo regular.</w:t>
      </w:r>
    </w:p>
    <w:p>
      <w:pPr>
        <w:pStyle w:val="Heading1"/>
      </w:pPr>
      <w:r>
        <w:t>3 Classificação de risco do cliente</w:t>
      </w:r>
    </w:p>
    <w:p>
      <w:r>
        <w:t>Todo cliente recebe classificação de risco em uma de três faixas: baixo, medio ou alto. A classificação é automática, calculada a partir de ocupacao, localidade, produtos contratados, volume transacionado e condicao de pessoa politicamente exposta.</w:t>
      </w:r>
    </w:p>
    <w:p>
      <w:r>
        <w:t>A reclassificação ocorre mensalmente e a cada atualização cadastral. Clientes de risco alto exigem aprovação de diretoria para contratação de novos produtos.</w:t>
      </w:r>
    </w:p>
    <w:p>
      <w:pPr>
        <w:pStyle w:val="Heading1"/>
      </w:pPr>
      <w:r>
        <w:t>4 Pessoa politicamente exposta</w:t>
      </w:r>
    </w:p>
    <w:p>
      <w:r>
        <w:t>Considera-se pessoa politicamente exposta quem desempenha ou tenha desempenhado, nos últimos 5 anos, cargo, emprego ou funcao pública relevante, bem como seus representantes, familiares e estreitos colaboradores.</w:t>
      </w:r>
    </w:p>
    <w:p>
      <w:r>
        <w:t>O relacionamento com PEP exige aprovação prévia da área de Prevenção, classificação mínima de risco medio e monitoramento reforçado das operações.</w:t>
      </w:r>
    </w:p>
    <w:p>
      <w:r>
        <w:t>A condicao de PEP não impede o relacionamento. Recusar atendimento apenas por essa condicao é conduta incorreta e deve ser reportada a ouvidoria.</w:t>
      </w:r>
    </w:p>
    <w:p>
      <w:pPr>
        <w:pStyle w:val="Heading1"/>
      </w:pPr>
      <w:r>
        <w:t>5 Monitoramento de operações</w:t>
      </w:r>
    </w:p>
    <w:p>
      <w:pPr>
        <w:pStyle w:val="Heading2"/>
      </w:pPr>
      <w:r>
        <w:t>5.1 Situacoes de alerta</w:t>
      </w:r>
    </w:p>
    <w:p>
      <w:r>
        <w:t>São situacoes de alerta, entre outras: movimentação incompativel com a qualificação do cliente; fracionamento de valores em sequencia; recebimento de múltiplos depositos de origens não relacionadas; e resistencia injustificada em prestar informações cadastrais.</w:t>
      </w:r>
    </w:p>
    <w:p>
      <w:r>
        <w:t>O atendente que identificar situacao de alerta registra a ocorrência na transação PLD-ALE. O registro é sigiloso e não deve ser comunicado ao cliente.</w:t>
      </w:r>
    </w:p>
    <w:p>
      <w:pPr>
        <w:pStyle w:val="Heading2"/>
      </w:pPr>
      <w:r>
        <w:t>5.2 Vedação a comunicação ao cliente</w:t>
      </w:r>
    </w:p>
    <w:p>
      <w:r>
        <w:t>E vedado informar ao cliente, ou a terceiros, que uma operação foi objeto de analise ou comunicação aos órgãos competentes.</w:t>
      </w:r>
    </w:p>
    <w:p>
      <w:r>
        <w:t>A quebra dessa vedação constitui falta grave. Em caso de questionamento do cliente, o atendente informa apenas que a operação esta em analise, sem detalhar motivo, área responsável ou prazo.</w:t>
      </w:r>
    </w:p>
    <w:p>
      <w:pPr>
        <w:pStyle w:val="Heading1"/>
      </w:pPr>
      <w:r>
        <w:t>6 Comunicação aos órgãos competentes</w:t>
      </w:r>
    </w:p>
    <w:p>
      <w:r>
        <w:t>As comunicações ao Conselho de Controle de Atividades Financeiras são de responsabilidade exclusiva da área de Prevenção. Nenhuma outra área esta autorizada a efetua-las.</w:t>
      </w:r>
    </w:p>
    <w:p>
      <w:r>
        <w:t>O prazo interno para analise de uma ocorrência registrada é de 30 dias corridos, contados do registro.</w:t>
      </w:r>
    </w:p>
    <w:p>
      <w:pPr>
        <w:pStyle w:val="Heading1"/>
      </w:pPr>
      <w:r>
        <w:t>7 Treinamento e responsabilidades</w:t>
      </w:r>
    </w:p>
    <w:p>
      <w:r>
        <w:t>Todo colaborador com contato direto com cliente realiza treinamento anual obrigatório de prevenção a lavagem de dinheiro. A ausência de conclusão no prazo suspende o acesso as transações de abertura de conta.</w:t>
      </w:r>
    </w:p>
    <w:p>
      <w:r>
        <w:t>A responsabilidade pela observancia desta politica e de cada colaborador, independentemente de cargo ou área.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Politica de Prevenção a Lavagem de Dinheiro</dc:title>
  <dc:subject/>
  <dc:creator>Banco Exemplo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