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Display" w:hAnsi="Aptos Display"/>
          <w:b/>
          <w:sz w:val="54"/>
        </w:rPr>
        <w:t>Kinsmen Barbershop</w:t>
      </w:r>
    </w:p>
    <w:p>
      <w:pPr>
        <w:jc w:val="center"/>
      </w:pPr>
      <w:r>
        <w:rPr>
          <w:b/>
          <w:sz w:val="30"/>
        </w:rPr>
        <w:t>Work Integrated Learning Part 2 Implementation Documentation</w:t>
      </w:r>
    </w:p>
    <w:p>
      <w:pPr>
        <w:spacing w:before="480"/>
        <w:jc w:val="center"/>
      </w:pPr>
      <w:r>
        <w:rPr>
          <w:i/>
          <w:sz w:val="22"/>
        </w:rPr>
        <w:t>Revised technical, deployment, security and cost report</w:t>
      </w:r>
    </w:p>
    <w:p>
      <w:pPr>
        <w:spacing w:before="1200"/>
        <w:jc w:val="center"/>
      </w:pPr>
      <w:r>
        <w:rPr>
          <w:b/>
        </w:rPr>
        <w:t>Group members</w:t>
        <w:br/>
        <w:t>Kaehil  |  Zario  |  Greg  |  Kyra</w:t>
      </w:r>
    </w:p>
    <w:p>
      <w:pPr>
        <w:spacing w:before="480"/>
        <w:jc w:val="center"/>
      </w:pPr>
      <w:r>
        <w:t>Prepared for the Part 2 delivery</w:t>
        <w:br/>
        <w:t>October 2026</w:t>
      </w:r>
    </w:p>
    <w:p>
      <w:r>
        <w:br w:type="page"/>
      </w:r>
    </w:p>
    <w:p>
      <w:pPr>
        <w:pStyle w:val="Heading1"/>
        <w:spacing w:before="220" w:after="100"/>
      </w:pPr>
      <w:r>
        <w:t>Executive summary</w:t>
      </w:r>
    </w:p>
    <w:p>
      <w:pPr>
        <w:spacing w:after="140" w:line="276" w:lineRule="auto"/>
      </w:pPr>
      <w:r>
        <w:t>This document records the system that the group has implemented for Part 2 and explains the changes from the earlier Part 1 proposal. The project remains a C# and ASP.NET Core barbershop application, but the original Azure SQL and Entity Framework persistence plan was replaced because Azure is no longer permitted for this assignment. The delivered solution uses MongoDB Atlas for a shared cloud database, Auth0 for identity, Render for hosting, Docker for repeatable deployment, and GitHub Actions for automated validation.</w:t>
      </w:r>
    </w:p>
    <w:p>
      <w:pPr>
        <w:spacing w:after="140" w:line="276" w:lineRule="auto"/>
      </w:pPr>
      <w:r>
        <w:t>The application now supports the central appointment workflow through a public web application and a protected API. Customers can register and sign in through Auth0, view services and available appointments, book one or more services, choose a suitable barber or allow the system to select a qualified available barber, and manage their own bookings. Barbers and administrators have separate capabilities for schedules, service skills, booking statuses and staff administration. The booking rules are enforced by the API and persisted in MongoDB transactions so that overlapping bookings cannot be accepted when multiple requests arrive at the same time.</w:t>
      </w:r>
    </w:p>
    <w:p>
      <w:pPr>
        <w:spacing w:after="140" w:line="276" w:lineRule="auto"/>
      </w:pPr>
      <w:r>
        <w:t>The main conclusion is that the Part 2 build is aligned with the practical requirements of a single-shop booking system and can be demonstrated as an integrated cloud application. The remaining work is deployment configuration, end-to-end acceptance testing and normal submission evidence rather than replacing the underlying architecture.</w:t>
      </w:r>
    </w:p>
    <w:p>
      <w:pPr>
        <w:pStyle w:val="Heading1"/>
        <w:spacing w:before="220" w:after="100"/>
      </w:pPr>
      <w:r>
        <w:t>Document purpose and scope</w:t>
      </w:r>
    </w:p>
    <w:p>
      <w:pPr>
        <w:spacing w:after="140" w:line="276" w:lineRule="auto"/>
      </w:pPr>
      <w:r>
        <w:t>This report is an implementation update rather than a replacement for the requirements work completed in Part 1. It records what was actually built, why the technical choices changed, how the components interact, and what must still be checked before the final submission. It should be read together with the repository README, API contract, Auth0 setup guide, Render deployment guide, automated tests and meeting records.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88"/>
            <w:shd w:fill="17365D"/>
            <w:vAlign w:val="center"/>
            <w:tcMar>
              <w:top w:w="90" w:type="dxa"/>
              <w:start w:w="110" w:type="dxa"/>
              <w:bottom w:w="90" w:type="dxa"/>
              <w:end w:w="110" w:type="dxa"/>
            </w:tcMar>
          </w:tcPr>
          <w:p>
            <w:pPr>
              <w:spacing w:after="0" w:line="259" w:lineRule="auto"/>
            </w:pPr>
            <w:r/>
            <w:r>
              <w:rPr>
                <w:rFonts w:ascii="Aptos" w:hAnsi="Aptos"/>
                <w:b/>
                <w:color w:val="FFFFFF"/>
                <w:sz w:val="18"/>
              </w:rPr>
              <w:t>Area</w:t>
            </w:r>
          </w:p>
        </w:tc>
        <w:tc>
          <w:tcPr>
            <w:tcW w:type="dxa" w:w="8064"/>
            <w:shd w:fill="17365D"/>
            <w:vAlign w:val="center"/>
            <w:tcMar>
              <w:top w:w="90" w:type="dxa"/>
              <w:start w:w="110" w:type="dxa"/>
              <w:bottom w:w="90" w:type="dxa"/>
              <w:end w:w="110" w:type="dxa"/>
            </w:tcMar>
          </w:tcPr>
          <w:p>
            <w:pPr>
              <w:spacing w:after="0" w:line="259" w:lineRule="auto"/>
            </w:pPr>
            <w:r/>
            <w:r>
              <w:rPr>
                <w:rFonts w:ascii="Aptos" w:hAnsi="Aptos"/>
                <w:b/>
                <w:color w:val="FFFFFF"/>
                <w:sz w:val="18"/>
              </w:rPr>
              <w:t>Part 2 position</w:t>
            </w:r>
          </w:p>
        </w:tc>
      </w:tr>
      <w:tr>
        <w:trPr>
          <w:cantSplit/>
        </w:trPr>
        <w:tc>
          <w:tcPr>
            <w:tcW w:type="dxa" w:w="2088"/>
            <w:vAlign w:val="center"/>
            <w:tcMar>
              <w:top w:w="90" w:type="dxa"/>
              <w:start w:w="110" w:type="dxa"/>
              <w:bottom w:w="90" w:type="dxa"/>
              <w:end w:w="110" w:type="dxa"/>
            </w:tcMar>
          </w:tcPr>
          <w:p>
            <w:pPr>
              <w:spacing w:after="0" w:line="259" w:lineRule="auto"/>
            </w:pPr>
            <w:r/>
            <w:r>
              <w:rPr>
                <w:rFonts w:ascii="Aptos" w:hAnsi="Aptos"/>
                <w:b w:val="0"/>
                <w:color w:val="000000"/>
                <w:sz w:val="17"/>
              </w:rPr>
              <w:t>Customer experience</w:t>
            </w:r>
          </w:p>
        </w:tc>
        <w:tc>
          <w:tcPr>
            <w:tcW w:type="dxa" w:w="8064"/>
            <w:vAlign w:val="center"/>
            <w:tcMar>
              <w:top w:w="90" w:type="dxa"/>
              <w:start w:w="110" w:type="dxa"/>
              <w:bottom w:w="90" w:type="dxa"/>
              <w:end w:w="110" w:type="dxa"/>
            </w:tcMar>
          </w:tcPr>
          <w:p>
            <w:pPr>
              <w:spacing w:after="0" w:line="259" w:lineRule="auto"/>
            </w:pPr>
            <w:r/>
            <w:r>
              <w:rPr>
                <w:rFonts w:ascii="Aptos" w:hAnsi="Aptos"/>
                <w:b w:val="0"/>
                <w:color w:val="000000"/>
                <w:sz w:val="17"/>
              </w:rPr>
              <w:t>Browse services and barbers, view availability, create, reschedule and cancel bookings, and view personal bookings.</w:t>
            </w:r>
          </w:p>
        </w:tc>
      </w:tr>
      <w:tr>
        <w:trPr>
          <w:cantSplit/>
        </w:trPr>
        <w:tc>
          <w:tcPr>
            <w:tcW w:type="dxa" w:w="208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Staff experience</w:t>
            </w:r>
          </w:p>
        </w:tc>
        <w:tc>
          <w:tcPr>
            <w:tcW w:type="dxa" w:w="806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Barbers manage schedule blocks and booking progress. Administrators manage service data, barber profiles, staff roles and audit history.</w:t>
            </w:r>
          </w:p>
        </w:tc>
      </w:tr>
      <w:tr>
        <w:trPr>
          <w:cantSplit/>
        </w:trPr>
        <w:tc>
          <w:tcPr>
            <w:tcW w:type="dxa" w:w="2088"/>
            <w:vAlign w:val="center"/>
            <w:tcMar>
              <w:top w:w="90" w:type="dxa"/>
              <w:start w:w="110" w:type="dxa"/>
              <w:bottom w:w="90" w:type="dxa"/>
              <w:end w:w="110" w:type="dxa"/>
            </w:tcMar>
          </w:tcPr>
          <w:p>
            <w:pPr>
              <w:spacing w:after="0" w:line="259" w:lineRule="auto"/>
            </w:pPr>
            <w:r/>
            <w:r>
              <w:rPr>
                <w:rFonts w:ascii="Aptos" w:hAnsi="Aptos"/>
                <w:b w:val="0"/>
                <w:color w:val="000000"/>
                <w:sz w:val="17"/>
              </w:rPr>
              <w:t>Identity and roles</w:t>
            </w:r>
          </w:p>
        </w:tc>
        <w:tc>
          <w:tcPr>
            <w:tcW w:type="dxa" w:w="8064"/>
            <w:vAlign w:val="center"/>
            <w:tcMar>
              <w:top w:w="90" w:type="dxa"/>
              <w:start w:w="110" w:type="dxa"/>
              <w:bottom w:w="90" w:type="dxa"/>
              <w:end w:w="110" w:type="dxa"/>
            </w:tcMar>
          </w:tcPr>
          <w:p>
            <w:pPr>
              <w:spacing w:after="0" w:line="259" w:lineRule="auto"/>
            </w:pPr>
            <w:r/>
            <w:r>
              <w:rPr>
                <w:rFonts w:ascii="Aptos" w:hAnsi="Aptos"/>
                <w:b w:val="0"/>
                <w:color w:val="000000"/>
                <w:sz w:val="17"/>
              </w:rPr>
              <w:t>Auth0 Universal Login issues tokens. The API validates signed tokens and role claims for Customer, Barber and Admin.</w:t>
            </w:r>
          </w:p>
        </w:tc>
      </w:tr>
      <w:tr>
        <w:trPr>
          <w:cantSplit/>
        </w:trPr>
        <w:tc>
          <w:tcPr>
            <w:tcW w:type="dxa" w:w="208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Data and booking rules</w:t>
            </w:r>
          </w:p>
        </w:tc>
        <w:tc>
          <w:tcPr>
            <w:tcW w:type="dxa" w:w="806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MongoDB Atlas stores services, barbers, bookings, time blocks and audit records. The API owns validation and transaction rules.</w:t>
            </w:r>
          </w:p>
        </w:tc>
      </w:tr>
      <w:tr>
        <w:trPr>
          <w:cantSplit/>
        </w:trPr>
        <w:tc>
          <w:tcPr>
            <w:tcW w:type="dxa" w:w="2088"/>
            <w:vAlign w:val="center"/>
            <w:tcMar>
              <w:top w:w="90" w:type="dxa"/>
              <w:start w:w="110" w:type="dxa"/>
              <w:bottom w:w="90" w:type="dxa"/>
              <w:end w:w="110" w:type="dxa"/>
            </w:tcMar>
          </w:tcPr>
          <w:p>
            <w:pPr>
              <w:spacing w:after="0" w:line="259" w:lineRule="auto"/>
            </w:pPr>
            <w:r/>
            <w:r>
              <w:rPr>
                <w:rFonts w:ascii="Aptos" w:hAnsi="Aptos"/>
                <w:b w:val="0"/>
                <w:color w:val="000000"/>
                <w:sz w:val="17"/>
              </w:rPr>
              <w:t>Hosting and release process</w:t>
            </w:r>
          </w:p>
        </w:tc>
        <w:tc>
          <w:tcPr>
            <w:tcW w:type="dxa" w:w="8064"/>
            <w:vAlign w:val="center"/>
            <w:tcMar>
              <w:top w:w="90" w:type="dxa"/>
              <w:start w:w="110" w:type="dxa"/>
              <w:bottom w:w="90" w:type="dxa"/>
              <w:end w:w="110" w:type="dxa"/>
            </w:tcMar>
          </w:tcPr>
          <w:p>
            <w:pPr>
              <w:spacing w:after="0" w:line="259" w:lineRule="auto"/>
            </w:pPr>
            <w:r/>
            <w:r>
              <w:rPr>
                <w:rFonts w:ascii="Aptos" w:hAnsi="Aptos"/>
                <w:b w:val="0"/>
                <w:color w:val="000000"/>
                <w:sz w:val="17"/>
              </w:rPr>
              <w:t>Render hosts the web application and API. Docker images and GitHub Actions provide a repeatable build and test path.</w:t>
            </w:r>
          </w:p>
        </w:tc>
      </w:tr>
      <w:tr>
        <w:trPr>
          <w:cantSplit/>
        </w:trPr>
        <w:tc>
          <w:tcPr>
            <w:tcW w:type="dxa" w:w="208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Excluded from this Part 2 scope</w:t>
            </w:r>
          </w:p>
        </w:tc>
        <w:tc>
          <w:tcPr>
            <w:tcW w:type="dxa" w:w="806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Product shop and checkout, loyalty, guest booking, point-of-sale integration and a multi-branch operating model.</w:t>
            </w:r>
          </w:p>
        </w:tc>
      </w:tr>
    </w:tbl>
    <w:p>
      <w:pPr>
        <w:spacing w:after="20"/>
      </w:pPr>
    </w:p>
    <w:p>
      <w:pPr>
        <w:pStyle w:val="Heading1"/>
        <w:spacing w:before="220" w:after="100"/>
      </w:pPr>
      <w:r>
        <w:t>Changes from the Part 1 technical proposal</w:t>
      </w:r>
    </w:p>
    <w:p>
      <w:pPr>
        <w:spacing w:after="140" w:line="276" w:lineRule="auto"/>
      </w:pPr>
      <w:r>
        <w:t>Part 1 proposed Azure-based hosting and Azure SQL with Entity Framework. That design is no longer appropriate because the group cannot use Azure. The change was not a reduction in the application requirements: it was an infrastructure substitution that preserves the same need for a shared database, secure authentication, deployment and repeatable testing.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04"/>
            <w:shd w:fill="17365D"/>
            <w:vAlign w:val="center"/>
            <w:tcMar>
              <w:top w:w="90" w:type="dxa"/>
              <w:start w:w="110" w:type="dxa"/>
              <w:bottom w:w="90" w:type="dxa"/>
              <w:end w:w="110" w:type="dxa"/>
            </w:tcMar>
          </w:tcPr>
          <w:p>
            <w:pPr>
              <w:spacing w:after="0" w:line="259" w:lineRule="auto"/>
            </w:pPr>
            <w:r/>
            <w:r>
              <w:rPr>
                <w:rFonts w:ascii="Aptos" w:hAnsi="Aptos"/>
                <w:b/>
                <w:color w:val="FFFFFF"/>
                <w:sz w:val="18"/>
              </w:rPr>
              <w:t>Original plan</w:t>
            </w:r>
          </w:p>
        </w:tc>
        <w:tc>
          <w:tcPr>
            <w:tcW w:type="dxa" w:w="3384"/>
            <w:shd w:fill="17365D"/>
            <w:vAlign w:val="center"/>
            <w:tcMar>
              <w:top w:w="90" w:type="dxa"/>
              <w:start w:w="110" w:type="dxa"/>
              <w:bottom w:w="90" w:type="dxa"/>
              <w:end w:w="110" w:type="dxa"/>
            </w:tcMar>
          </w:tcPr>
          <w:p>
            <w:pPr>
              <w:spacing w:after="0" w:line="259" w:lineRule="auto"/>
            </w:pPr>
            <w:r/>
            <w:r>
              <w:rPr>
                <w:rFonts w:ascii="Aptos" w:hAnsi="Aptos"/>
                <w:b/>
                <w:color w:val="FFFFFF"/>
                <w:sz w:val="18"/>
              </w:rPr>
              <w:t>Implemented Part 2 approach</w:t>
            </w:r>
          </w:p>
        </w:tc>
        <w:tc>
          <w:tcPr>
            <w:tcW w:type="dxa" w:w="4464"/>
            <w:shd w:fill="17365D"/>
            <w:vAlign w:val="center"/>
            <w:tcMar>
              <w:top w:w="90" w:type="dxa"/>
              <w:start w:w="110" w:type="dxa"/>
              <w:bottom w:w="90" w:type="dxa"/>
              <w:end w:w="110" w:type="dxa"/>
            </w:tcMar>
          </w:tcPr>
          <w:p>
            <w:pPr>
              <w:spacing w:after="0" w:line="259" w:lineRule="auto"/>
            </w:pPr>
            <w:r/>
            <w:r>
              <w:rPr>
                <w:rFonts w:ascii="Aptos" w:hAnsi="Aptos"/>
                <w:b/>
                <w:color w:val="FFFFFF"/>
                <w:sz w:val="18"/>
              </w:rPr>
              <w:t>Reason and impact</w:t>
            </w:r>
          </w:p>
        </w:tc>
      </w:tr>
      <w:tr>
        <w:trPr>
          <w:cantSplit/>
        </w:trPr>
        <w:tc>
          <w:tcPr>
            <w:tcW w:type="dxa" w:w="2304"/>
            <w:vAlign w:val="center"/>
            <w:tcMar>
              <w:top w:w="90" w:type="dxa"/>
              <w:start w:w="110" w:type="dxa"/>
              <w:bottom w:w="90" w:type="dxa"/>
              <w:end w:w="110" w:type="dxa"/>
            </w:tcMar>
          </w:tcPr>
          <w:p>
            <w:pPr>
              <w:spacing w:after="0" w:line="259" w:lineRule="auto"/>
            </w:pPr>
            <w:r/>
            <w:r>
              <w:rPr>
                <w:rFonts w:ascii="Aptos" w:hAnsi="Aptos"/>
                <w:b w:val="0"/>
                <w:color w:val="000000"/>
                <w:sz w:val="17"/>
              </w:rPr>
              <w:t>Azure App Service</w:t>
            </w:r>
          </w:p>
        </w:tc>
        <w:tc>
          <w:tcPr>
            <w:tcW w:type="dxa" w:w="3384"/>
            <w:vAlign w:val="center"/>
            <w:tcMar>
              <w:top w:w="90" w:type="dxa"/>
              <w:start w:w="110" w:type="dxa"/>
              <w:bottom w:w="90" w:type="dxa"/>
              <w:end w:w="110" w:type="dxa"/>
            </w:tcMar>
          </w:tcPr>
          <w:p>
            <w:pPr>
              <w:spacing w:after="0" w:line="259" w:lineRule="auto"/>
            </w:pPr>
            <w:r/>
            <w:r>
              <w:rPr>
                <w:rFonts w:ascii="Aptos" w:hAnsi="Aptos"/>
                <w:b w:val="0"/>
                <w:color w:val="000000"/>
                <w:sz w:val="17"/>
              </w:rPr>
              <w:t>Render web services managed by render.yaml</w:t>
            </w:r>
          </w:p>
        </w:tc>
        <w:tc>
          <w:tcPr>
            <w:tcW w:type="dxa" w:w="4464"/>
            <w:vAlign w:val="center"/>
            <w:tcMar>
              <w:top w:w="90" w:type="dxa"/>
              <w:start w:w="110" w:type="dxa"/>
              <w:bottom w:w="90" w:type="dxa"/>
              <w:end w:w="110" w:type="dxa"/>
            </w:tcMar>
          </w:tcPr>
          <w:p>
            <w:pPr>
              <w:spacing w:after="0" w:line="259" w:lineRule="auto"/>
            </w:pPr>
            <w:r/>
            <w:r>
              <w:rPr>
                <w:rFonts w:ascii="Aptos" w:hAnsi="Aptos"/>
                <w:b w:val="0"/>
                <w:color w:val="000000"/>
                <w:sz w:val="17"/>
              </w:rPr>
              <w:t>Azure is unavailable. Render can run the Dockerised ASP.NET Core web and API services from the repository branch.</w:t>
            </w:r>
          </w:p>
        </w:tc>
      </w:tr>
      <w:tr>
        <w:trPr>
          <w:cantSplit/>
        </w:trPr>
        <w:tc>
          <w:tcPr>
            <w:tcW w:type="dxa" w:w="230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Azure SQL with Entity Framework</w:t>
            </w:r>
          </w:p>
        </w:tc>
        <w:tc>
          <w:tcPr>
            <w:tcW w:type="dxa" w:w="338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MongoDB Atlas with the official MongoDB C# driver</w:t>
            </w:r>
          </w:p>
        </w:tc>
        <w:tc>
          <w:tcPr>
            <w:tcW w:type="dxa" w:w="446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Atlas supplies a managed shared database that the team can reach during integration. The document model fits bookings with embedded service snapshots.</w:t>
            </w:r>
          </w:p>
        </w:tc>
      </w:tr>
      <w:tr>
        <w:trPr>
          <w:cantSplit/>
        </w:trPr>
        <w:tc>
          <w:tcPr>
            <w:tcW w:type="dxa" w:w="2304"/>
            <w:vAlign w:val="center"/>
            <w:tcMar>
              <w:top w:w="90" w:type="dxa"/>
              <w:start w:w="110" w:type="dxa"/>
              <w:bottom w:w="90" w:type="dxa"/>
              <w:end w:w="110" w:type="dxa"/>
            </w:tcMar>
          </w:tcPr>
          <w:p>
            <w:pPr>
              <w:spacing w:after="0" w:line="259" w:lineRule="auto"/>
            </w:pPr>
            <w:r/>
            <w:r>
              <w:rPr>
                <w:rFonts w:ascii="Aptos" w:hAnsi="Aptos"/>
                <w:b w:val="0"/>
                <w:color w:val="000000"/>
                <w:sz w:val="17"/>
              </w:rPr>
              <w:t>Local or placeholder login</w:t>
            </w:r>
          </w:p>
        </w:tc>
        <w:tc>
          <w:tcPr>
            <w:tcW w:type="dxa" w:w="3384"/>
            <w:vAlign w:val="center"/>
            <w:tcMar>
              <w:top w:w="90" w:type="dxa"/>
              <w:start w:w="110" w:type="dxa"/>
              <w:bottom w:w="90" w:type="dxa"/>
              <w:end w:w="110" w:type="dxa"/>
            </w:tcMar>
          </w:tcPr>
          <w:p>
            <w:pPr>
              <w:spacing w:after="0" w:line="259" w:lineRule="auto"/>
            </w:pPr>
            <w:r/>
            <w:r>
              <w:rPr>
                <w:rFonts w:ascii="Aptos" w:hAnsi="Aptos"/>
                <w:b w:val="0"/>
                <w:color w:val="000000"/>
                <w:sz w:val="17"/>
              </w:rPr>
              <w:t>Auth0 Universal Login and JWT bearer validation</w:t>
            </w:r>
          </w:p>
        </w:tc>
        <w:tc>
          <w:tcPr>
            <w:tcW w:type="dxa" w:w="4464"/>
            <w:vAlign w:val="center"/>
            <w:tcMar>
              <w:top w:w="90" w:type="dxa"/>
              <w:start w:w="110" w:type="dxa"/>
              <w:bottom w:w="90" w:type="dxa"/>
              <w:end w:w="110" w:type="dxa"/>
            </w:tcMar>
          </w:tcPr>
          <w:p>
            <w:pPr>
              <w:spacing w:after="0" w:line="259" w:lineRule="auto"/>
            </w:pPr>
            <w:r/>
            <w:r>
              <w:rPr>
                <w:rFonts w:ascii="Aptos" w:hAnsi="Aptos"/>
                <w:b w:val="0"/>
                <w:color w:val="000000"/>
                <w:sz w:val="17"/>
              </w:rPr>
              <w:t>Passwords and account recovery remain with a specialist identity provider. The application receives role and subject claims instead of storing passwords.</w:t>
            </w:r>
          </w:p>
        </w:tc>
      </w:tr>
      <w:tr>
        <w:trPr>
          <w:cantSplit/>
        </w:trPr>
        <w:tc>
          <w:tcPr>
            <w:tcW w:type="dxa" w:w="230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Manual build confidence</w:t>
            </w:r>
          </w:p>
        </w:tc>
        <w:tc>
          <w:tcPr>
            <w:tcW w:type="dxa" w:w="338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GitHub Actions, locked package restore, unit/integration tests and container smoke checks</w:t>
            </w:r>
          </w:p>
        </w:tc>
        <w:tc>
          <w:tcPr>
            <w:tcW w:type="dxa" w:w="446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Every pull request can be checked before integration, reducing regression risk when team members work in parallel.</w:t>
            </w:r>
          </w:p>
        </w:tc>
      </w:tr>
      <w:tr>
        <w:trPr>
          <w:cantSplit/>
        </w:trPr>
        <w:tc>
          <w:tcPr>
            <w:tcW w:type="dxa" w:w="2304"/>
            <w:vAlign w:val="center"/>
            <w:tcMar>
              <w:top w:w="90" w:type="dxa"/>
              <w:start w:w="110" w:type="dxa"/>
              <w:bottom w:w="90" w:type="dxa"/>
              <w:end w:w="110" w:type="dxa"/>
            </w:tcMar>
          </w:tcPr>
          <w:p>
            <w:pPr>
              <w:spacing w:after="0" w:line="259" w:lineRule="auto"/>
            </w:pPr>
            <w:r/>
            <w:r>
              <w:rPr>
                <w:rFonts w:ascii="Aptos" w:hAnsi="Aptos"/>
                <w:b w:val="0"/>
                <w:color w:val="000000"/>
                <w:sz w:val="17"/>
              </w:rPr>
              <w:t>SMTP assumption</w:t>
            </w:r>
          </w:p>
        </w:tc>
        <w:tc>
          <w:tcPr>
            <w:tcW w:type="dxa" w:w="3384"/>
            <w:vAlign w:val="center"/>
            <w:tcMar>
              <w:top w:w="90" w:type="dxa"/>
              <w:start w:w="110" w:type="dxa"/>
              <w:bottom w:w="90" w:type="dxa"/>
              <w:end w:w="110" w:type="dxa"/>
            </w:tcMar>
          </w:tcPr>
          <w:p>
            <w:pPr>
              <w:spacing w:after="0" w:line="259" w:lineRule="auto"/>
            </w:pPr>
            <w:r/>
            <w:r>
              <w:rPr>
                <w:rFonts w:ascii="Aptos" w:hAnsi="Aptos"/>
                <w:b w:val="0"/>
                <w:color w:val="000000"/>
                <w:sz w:val="17"/>
              </w:rPr>
              <w:t>Brevo HTTPS email provider where configured</w:t>
            </w:r>
          </w:p>
        </w:tc>
        <w:tc>
          <w:tcPr>
            <w:tcW w:type="dxa" w:w="4464"/>
            <w:vAlign w:val="center"/>
            <w:tcMar>
              <w:top w:w="90" w:type="dxa"/>
              <w:start w:w="110" w:type="dxa"/>
              <w:bottom w:w="90" w:type="dxa"/>
              <w:end w:w="110" w:type="dxa"/>
            </w:tcMar>
          </w:tcPr>
          <w:p>
            <w:pPr>
              <w:spacing w:after="0" w:line="259" w:lineRule="auto"/>
            </w:pPr>
            <w:r/>
            <w:r>
              <w:rPr>
                <w:rFonts w:ascii="Aptos" w:hAnsi="Aptos"/>
                <w:b w:val="0"/>
                <w:color w:val="000000"/>
                <w:sz w:val="17"/>
              </w:rPr>
              <w:t>Render free services cannot rely on outbound SMTP. HTTPS email is a suitable deployment-compatible integration.</w:t>
            </w:r>
          </w:p>
        </w:tc>
      </w:tr>
    </w:tbl>
    <w:p>
      <w:pPr>
        <w:spacing w:after="20"/>
      </w:pPr>
    </w:p>
    <w:p>
      <w:pPr>
        <w:pStyle w:val="Heading1"/>
        <w:spacing w:before="220" w:after="100"/>
      </w:pPr>
      <w:r>
        <w:t>Technology selection and research rationale</w:t>
      </w:r>
    </w:p>
    <w:p>
      <w:pPr>
        <w:spacing w:after="140" w:line="276" w:lineRule="auto"/>
      </w:pPr>
      <w:r>
        <w:t>The group retained ASP.NET Core because it is the existing application platform and provides a consistent C# environment for the MVC web application and the minimal API. Keeping one language and one ecosystem reduces the cost of integration, makes test code consistent with production code, and avoids rewriting working features late in the assignment.</w:t>
      </w:r>
    </w:p>
    <w:p>
      <w:pPr>
        <w:spacing w:after="140" w:line="276" w:lineRule="auto"/>
      </w:pPr>
      <w:r>
        <w:t>MongoDB Atlas was selected as the shared database service. MongoDB stores booking service snapshots inside the booking record, which preserves the price, duration and service name that applied at the time of the appointment even if the catalogue later changes. MongoDB transactions are used for schedule-changing actions because availability depends on several documents: a barber profile, existing bookings, time blocks and the requested booking. The application does not assume that a database schema alone can enforce business rules; the API checks time windows, ownership, role permissions, totals and booking-state transitions.</w:t>
      </w:r>
    </w:p>
    <w:p>
      <w:pPr>
        <w:spacing w:after="140" w:line="276" w:lineRule="auto"/>
      </w:pPr>
      <w:r>
        <w:t>Auth0 was chosen for customer registration, login, password reset and email verification. This keeps credentials outside the group database. The API validates the issuer, audience, signature and lifetime of access tokens. A role claim identifies a Customer, Barber or Admin, while the Auth0 subject is used to enforce ownership. This means that access control does not depend on a hidden button in the web interface: the server checks the claim on every protected request.</w:t>
      </w:r>
    </w:p>
    <w:p>
      <w:pPr>
        <w:spacing w:after="140" w:line="276" w:lineRule="auto"/>
      </w:pPr>
      <w:r>
        <w:t>Render was chosen for deployment because it can build and run the existing Docker images and keep the web application and API separate. The web application calls the API from the server, which avoids exposing a database connection string or an API secret to the browser. The selection also supports a clear demonstration: the browser reaches the web service over HTTPS, the web service calls the API, and the API reaches Atlas with a server-side connection string.</w:t>
      </w:r>
    </w:p>
    <w:p>
      <w:pPr>
        <w:pStyle w:val="Heading1"/>
        <w:spacing w:before="220" w:after="100"/>
      </w:pPr>
      <w:r>
        <w:t>Implemented system architecture</w:t>
      </w:r>
    </w:p>
    <w:p>
      <w:pPr>
        <w:spacing w:after="140" w:line="276" w:lineRule="auto"/>
      </w:pPr>
      <w:r>
        <w:t>The solution is divided into a web presentation layer, an API and business-rules layer, external identity, and managed persistence. The web application is the only component a normal browser needs to access. It obtains the signed-in user context through Auth0 and sends the access token to the API when a protected operation is required. The API does not trust values such as customer ID or role supplied by a browser form; it derives the actor from the validated token.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944"/>
            <w:shd w:fill="17365D"/>
            <w:vAlign w:val="center"/>
            <w:tcMar>
              <w:top w:w="90" w:type="dxa"/>
              <w:start w:w="110" w:type="dxa"/>
              <w:bottom w:w="90" w:type="dxa"/>
              <w:end w:w="110" w:type="dxa"/>
            </w:tcMar>
          </w:tcPr>
          <w:p>
            <w:pPr>
              <w:spacing w:after="0" w:line="259" w:lineRule="auto"/>
            </w:pPr>
            <w:r/>
            <w:r>
              <w:rPr>
                <w:rFonts w:ascii="Aptos" w:hAnsi="Aptos"/>
                <w:b/>
                <w:color w:val="FFFFFF"/>
                <w:sz w:val="18"/>
              </w:rPr>
              <w:t>Component</w:t>
            </w:r>
          </w:p>
        </w:tc>
        <w:tc>
          <w:tcPr>
            <w:tcW w:type="dxa" w:w="4435"/>
            <w:shd w:fill="17365D"/>
            <w:vAlign w:val="center"/>
            <w:tcMar>
              <w:top w:w="90" w:type="dxa"/>
              <w:start w:w="110" w:type="dxa"/>
              <w:bottom w:w="90" w:type="dxa"/>
              <w:end w:w="110" w:type="dxa"/>
            </w:tcMar>
          </w:tcPr>
          <w:p>
            <w:pPr>
              <w:spacing w:after="0" w:line="259" w:lineRule="auto"/>
            </w:pPr>
            <w:r/>
            <w:r>
              <w:rPr>
                <w:rFonts w:ascii="Aptos" w:hAnsi="Aptos"/>
                <w:b/>
                <w:color w:val="FFFFFF"/>
                <w:sz w:val="18"/>
              </w:rPr>
              <w:t>Responsibility</w:t>
            </w:r>
          </w:p>
        </w:tc>
        <w:tc>
          <w:tcPr>
            <w:tcW w:type="dxa" w:w="3773"/>
            <w:shd w:fill="17365D"/>
            <w:vAlign w:val="center"/>
            <w:tcMar>
              <w:top w:w="90" w:type="dxa"/>
              <w:start w:w="110" w:type="dxa"/>
              <w:bottom w:w="90" w:type="dxa"/>
              <w:end w:w="110" w:type="dxa"/>
            </w:tcMar>
          </w:tcPr>
          <w:p>
            <w:pPr>
              <w:spacing w:after="0" w:line="259" w:lineRule="auto"/>
            </w:pPr>
            <w:r/>
            <w:r>
              <w:rPr>
                <w:rFonts w:ascii="Aptos" w:hAnsi="Aptos"/>
                <w:b/>
                <w:color w:val="FFFFFF"/>
                <w:sz w:val="18"/>
              </w:rPr>
              <w:t>Important boundary</w:t>
            </w:r>
          </w:p>
        </w:tc>
      </w:tr>
      <w:tr>
        <w:trPr>
          <w:cantSplit/>
        </w:trPr>
        <w:tc>
          <w:tcPr>
            <w:tcW w:type="dxa" w:w="1944"/>
            <w:vAlign w:val="center"/>
            <w:tcMar>
              <w:top w:w="90" w:type="dxa"/>
              <w:start w:w="110" w:type="dxa"/>
              <w:bottom w:w="90" w:type="dxa"/>
              <w:end w:w="110" w:type="dxa"/>
            </w:tcMar>
          </w:tcPr>
          <w:p>
            <w:pPr>
              <w:spacing w:after="0" w:line="259" w:lineRule="auto"/>
            </w:pPr>
            <w:r/>
            <w:r>
              <w:rPr>
                <w:rFonts w:ascii="Aptos" w:hAnsi="Aptos"/>
                <w:b w:val="0"/>
                <w:color w:val="000000"/>
                <w:sz w:val="17"/>
              </w:rPr>
              <w:t>Kinsmen Web</w:t>
            </w:r>
          </w:p>
        </w:tc>
        <w:tc>
          <w:tcPr>
            <w:tcW w:type="dxa" w:w="4435"/>
            <w:vAlign w:val="center"/>
            <w:tcMar>
              <w:top w:w="90" w:type="dxa"/>
              <w:start w:w="110" w:type="dxa"/>
              <w:bottom w:w="90" w:type="dxa"/>
              <w:end w:w="110" w:type="dxa"/>
            </w:tcMar>
          </w:tcPr>
          <w:p>
            <w:pPr>
              <w:spacing w:after="0" w:line="259" w:lineRule="auto"/>
            </w:pPr>
            <w:r/>
            <w:r>
              <w:rPr>
                <w:rFonts w:ascii="Aptos" w:hAnsi="Aptos"/>
                <w:b w:val="0"/>
                <w:color w:val="000000"/>
                <w:sz w:val="17"/>
              </w:rPr>
              <w:t>MVC pages, customer and staff journeys, form validation and server-to-server API calls.</w:t>
            </w:r>
          </w:p>
        </w:tc>
        <w:tc>
          <w:tcPr>
            <w:tcW w:type="dxa" w:w="3773"/>
            <w:vAlign w:val="center"/>
            <w:tcMar>
              <w:top w:w="90" w:type="dxa"/>
              <w:start w:w="110" w:type="dxa"/>
              <w:bottom w:w="90" w:type="dxa"/>
              <w:end w:w="110" w:type="dxa"/>
            </w:tcMar>
          </w:tcPr>
          <w:p>
            <w:pPr>
              <w:spacing w:after="0" w:line="259" w:lineRule="auto"/>
            </w:pPr>
            <w:r/>
            <w:r>
              <w:rPr>
                <w:rFonts w:ascii="Aptos" w:hAnsi="Aptos"/>
                <w:b w:val="0"/>
                <w:color w:val="000000"/>
                <w:sz w:val="17"/>
              </w:rPr>
              <w:t>Does not store database credentials and does not decide whether a booking is allowed.</w:t>
            </w:r>
          </w:p>
        </w:tc>
      </w:tr>
      <w:tr>
        <w:trPr>
          <w:cantSplit/>
        </w:trPr>
        <w:tc>
          <w:tcPr>
            <w:tcW w:type="dxa" w:w="194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Kinsmen API</w:t>
            </w:r>
          </w:p>
        </w:tc>
        <w:tc>
          <w:tcPr>
            <w:tcW w:type="dxa" w:w="4435"/>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Minimal HTTP API, booking rules, role and ownership checks, availability calculation and persistence coordination.</w:t>
            </w:r>
          </w:p>
        </w:tc>
        <w:tc>
          <w:tcPr>
            <w:tcW w:type="dxa" w:w="3773"/>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The authoritative business-rule boundary.</w:t>
            </w:r>
          </w:p>
        </w:tc>
      </w:tr>
      <w:tr>
        <w:trPr>
          <w:cantSplit/>
        </w:trPr>
        <w:tc>
          <w:tcPr>
            <w:tcW w:type="dxa" w:w="1944"/>
            <w:vAlign w:val="center"/>
            <w:tcMar>
              <w:top w:w="90" w:type="dxa"/>
              <w:start w:w="110" w:type="dxa"/>
              <w:bottom w:w="90" w:type="dxa"/>
              <w:end w:w="110" w:type="dxa"/>
            </w:tcMar>
          </w:tcPr>
          <w:p>
            <w:pPr>
              <w:spacing w:after="0" w:line="259" w:lineRule="auto"/>
            </w:pPr>
            <w:r/>
            <w:r>
              <w:rPr>
                <w:rFonts w:ascii="Aptos" w:hAnsi="Aptos"/>
                <w:b w:val="0"/>
                <w:color w:val="000000"/>
                <w:sz w:val="17"/>
              </w:rPr>
              <w:t>MongoDB Atlas</w:t>
            </w:r>
          </w:p>
        </w:tc>
        <w:tc>
          <w:tcPr>
            <w:tcW w:type="dxa" w:w="4435"/>
            <w:vAlign w:val="center"/>
            <w:tcMar>
              <w:top w:w="90" w:type="dxa"/>
              <w:start w:w="110" w:type="dxa"/>
              <w:bottom w:w="90" w:type="dxa"/>
              <w:end w:w="110" w:type="dxa"/>
            </w:tcMar>
          </w:tcPr>
          <w:p>
            <w:pPr>
              <w:spacing w:after="0" w:line="259" w:lineRule="auto"/>
            </w:pPr>
            <w:r/>
            <w:r>
              <w:rPr>
                <w:rFonts w:ascii="Aptos" w:hAnsi="Aptos"/>
                <w:b w:val="0"/>
                <w:color w:val="000000"/>
                <w:sz w:val="17"/>
              </w:rPr>
              <w:t>Managed MongoDB cluster containing services, barbers, bookings, time blocks and audit records.</w:t>
            </w:r>
          </w:p>
        </w:tc>
        <w:tc>
          <w:tcPr>
            <w:tcW w:type="dxa" w:w="3773"/>
            <w:vAlign w:val="center"/>
            <w:tcMar>
              <w:top w:w="90" w:type="dxa"/>
              <w:start w:w="110" w:type="dxa"/>
              <w:bottom w:w="90" w:type="dxa"/>
              <w:end w:w="110" w:type="dxa"/>
            </w:tcMar>
          </w:tcPr>
          <w:p>
            <w:pPr>
              <w:spacing w:after="0" w:line="259" w:lineRule="auto"/>
            </w:pPr>
            <w:r/>
            <w:r>
              <w:rPr>
                <w:rFonts w:ascii="Aptos" w:hAnsi="Aptos"/>
                <w:b w:val="0"/>
                <w:color w:val="000000"/>
                <w:sz w:val="17"/>
              </w:rPr>
              <w:t>Credentials are held only in environment configuration.</w:t>
            </w:r>
          </w:p>
        </w:tc>
      </w:tr>
      <w:tr>
        <w:trPr>
          <w:cantSplit/>
        </w:trPr>
        <w:tc>
          <w:tcPr>
            <w:tcW w:type="dxa" w:w="194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Auth0</w:t>
            </w:r>
          </w:p>
        </w:tc>
        <w:tc>
          <w:tcPr>
            <w:tcW w:type="dxa" w:w="4435"/>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Registration, sign-in, verification, password lifecycle and signed identity tokens.</w:t>
            </w:r>
          </w:p>
        </w:tc>
        <w:tc>
          <w:tcPr>
            <w:tcW w:type="dxa" w:w="3773"/>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The group database never stores user passwords.</w:t>
            </w:r>
          </w:p>
        </w:tc>
      </w:tr>
      <w:tr>
        <w:trPr>
          <w:cantSplit/>
        </w:trPr>
        <w:tc>
          <w:tcPr>
            <w:tcW w:type="dxa" w:w="1944"/>
            <w:vAlign w:val="center"/>
            <w:tcMar>
              <w:top w:w="90" w:type="dxa"/>
              <w:start w:w="110" w:type="dxa"/>
              <w:bottom w:w="90" w:type="dxa"/>
              <w:end w:w="110" w:type="dxa"/>
            </w:tcMar>
          </w:tcPr>
          <w:p>
            <w:pPr>
              <w:spacing w:after="0" w:line="259" w:lineRule="auto"/>
            </w:pPr>
            <w:r/>
            <w:r>
              <w:rPr>
                <w:rFonts w:ascii="Aptos" w:hAnsi="Aptos"/>
                <w:b w:val="0"/>
                <w:color w:val="000000"/>
                <w:sz w:val="17"/>
              </w:rPr>
              <w:t>Render</w:t>
            </w:r>
          </w:p>
        </w:tc>
        <w:tc>
          <w:tcPr>
            <w:tcW w:type="dxa" w:w="4435"/>
            <w:vAlign w:val="center"/>
            <w:tcMar>
              <w:top w:w="90" w:type="dxa"/>
              <w:start w:w="110" w:type="dxa"/>
              <w:bottom w:w="90" w:type="dxa"/>
              <w:end w:w="110" w:type="dxa"/>
            </w:tcMar>
          </w:tcPr>
          <w:p>
            <w:pPr>
              <w:spacing w:after="0" w:line="259" w:lineRule="auto"/>
            </w:pPr>
            <w:r/>
            <w:r>
              <w:rPr>
                <w:rFonts w:ascii="Aptos" w:hAnsi="Aptos"/>
                <w:b w:val="0"/>
                <w:color w:val="000000"/>
                <w:sz w:val="17"/>
              </w:rPr>
              <w:t>Runs Dockerised web and API services, holds production environment variables and health checks.</w:t>
            </w:r>
          </w:p>
        </w:tc>
        <w:tc>
          <w:tcPr>
            <w:tcW w:type="dxa" w:w="3773"/>
            <w:vAlign w:val="center"/>
            <w:tcMar>
              <w:top w:w="90" w:type="dxa"/>
              <w:start w:w="110" w:type="dxa"/>
              <w:bottom w:w="90" w:type="dxa"/>
              <w:end w:w="110" w:type="dxa"/>
            </w:tcMar>
          </w:tcPr>
          <w:p>
            <w:pPr>
              <w:spacing w:after="0" w:line="259" w:lineRule="auto"/>
            </w:pPr>
            <w:r/>
            <w:r>
              <w:rPr>
                <w:rFonts w:ascii="Aptos" w:hAnsi="Aptos"/>
                <w:b w:val="0"/>
                <w:color w:val="000000"/>
                <w:sz w:val="17"/>
              </w:rPr>
              <w:t>Hosts configuration separately from source control.</w:t>
            </w:r>
          </w:p>
        </w:tc>
      </w:tr>
      <w:tr>
        <w:trPr>
          <w:cantSplit/>
        </w:trPr>
        <w:tc>
          <w:tcPr>
            <w:tcW w:type="dxa" w:w="194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GitHub Actions</w:t>
            </w:r>
          </w:p>
        </w:tc>
        <w:tc>
          <w:tcPr>
            <w:tcW w:type="dxa" w:w="4435"/>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Build, restore, test, security advisory and container checks on the shared codebase.</w:t>
            </w:r>
          </w:p>
        </w:tc>
        <w:tc>
          <w:tcPr>
            <w:tcW w:type="dxa" w:w="3773"/>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Provides merge evidence before deployment.</w:t>
            </w:r>
          </w:p>
        </w:tc>
      </w:tr>
    </w:tbl>
    <w:p>
      <w:pPr>
        <w:spacing w:after="20"/>
      </w:pPr>
    </w:p>
    <w:p>
      <w:pPr>
        <w:pStyle w:val="Heading2"/>
        <w:spacing w:before="140" w:after="100"/>
      </w:pPr>
      <w:r>
        <w:t>Request and booking flow</w:t>
      </w:r>
    </w:p>
    <w:p>
      <w:pPr>
        <w:spacing w:after="140" w:line="276" w:lineRule="auto"/>
      </w:pPr>
      <w:r>
        <w:t>A customer opens the Kinsmen Web site and, where necessary, signs in through Auth0. The web application receives the authenticated session and access token. When the customer asks for availability or creates a booking, the web application calls the Kinsmen API. The API validates the access token, calculates the requested total duration and price from the live service catalogue, checks barber skills, working hours, time blocks and appointment overlaps, then commits an allowed change in a MongoDB transaction. The API returns a controlled response to the web application, which displays a friendly result to the customer.</w:t>
      </w:r>
    </w:p>
    <w:p>
      <w:pPr>
        <w:spacing w:after="140" w:line="276" w:lineRule="auto"/>
      </w:pPr>
      <w:r>
        <w:t>For an any-barber booking, the API considers only active barbers who are qualified for every selected service. It then applies the same availability checks to candidates. This makes the selected barber a business-rule decision in the API rather than a random choice in the interface. For a selected-barber booking, the requested barber must be active, qualified and available for the full appointment interval.</w:t>
      </w:r>
    </w:p>
    <w:p>
      <w:pPr>
        <w:pStyle w:val="Heading1"/>
        <w:spacing w:before="220" w:after="100"/>
      </w:pPr>
      <w:r>
        <w:t>Functional implementation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7365D"/>
            <w:vAlign w:val="center"/>
            <w:tcMar>
              <w:top w:w="90" w:type="dxa"/>
              <w:start w:w="110" w:type="dxa"/>
              <w:bottom w:w="90" w:type="dxa"/>
              <w:end w:w="110" w:type="dxa"/>
            </w:tcMar>
          </w:tcPr>
          <w:p>
            <w:pPr>
              <w:spacing w:after="0" w:line="259" w:lineRule="auto"/>
            </w:pPr>
            <w:r/>
            <w:r>
              <w:rPr>
                <w:rFonts w:ascii="Aptos" w:hAnsi="Aptos"/>
                <w:b/>
                <w:color w:val="FFFFFF"/>
                <w:sz w:val="18"/>
              </w:rPr>
              <w:t>Role</w:t>
            </w:r>
          </w:p>
        </w:tc>
        <w:tc>
          <w:tcPr>
            <w:tcW w:type="dxa" w:w="4838"/>
            <w:shd w:fill="17365D"/>
            <w:vAlign w:val="center"/>
            <w:tcMar>
              <w:top w:w="90" w:type="dxa"/>
              <w:start w:w="110" w:type="dxa"/>
              <w:bottom w:w="90" w:type="dxa"/>
              <w:end w:w="110" w:type="dxa"/>
            </w:tcMar>
          </w:tcPr>
          <w:p>
            <w:pPr>
              <w:spacing w:after="0" w:line="259" w:lineRule="auto"/>
            </w:pPr>
            <w:r/>
            <w:r>
              <w:rPr>
                <w:rFonts w:ascii="Aptos" w:hAnsi="Aptos"/>
                <w:b/>
                <w:color w:val="FFFFFF"/>
                <w:sz w:val="18"/>
              </w:rPr>
              <w:t>Implemented capabilities</w:t>
            </w:r>
          </w:p>
        </w:tc>
        <w:tc>
          <w:tcPr>
            <w:tcW w:type="dxa" w:w="3586"/>
            <w:shd w:fill="17365D"/>
            <w:vAlign w:val="center"/>
            <w:tcMar>
              <w:top w:w="90" w:type="dxa"/>
              <w:start w:w="110" w:type="dxa"/>
              <w:bottom w:w="90" w:type="dxa"/>
              <w:end w:w="110" w:type="dxa"/>
            </w:tcMar>
          </w:tcPr>
          <w:p>
            <w:pPr>
              <w:spacing w:after="0" w:line="259" w:lineRule="auto"/>
            </w:pPr>
            <w:r/>
            <w:r>
              <w:rPr>
                <w:rFonts w:ascii="Aptos" w:hAnsi="Aptos"/>
                <w:b/>
                <w:color w:val="FFFFFF"/>
                <w:sz w:val="18"/>
              </w:rPr>
              <w:t>Control applied</w:t>
            </w:r>
          </w:p>
        </w:tc>
      </w:tr>
      <w:tr>
        <w:trPr>
          <w:cantSplit/>
        </w:trPr>
        <w:tc>
          <w:tcPr>
            <w:tcW w:type="dxa" w:w="1728"/>
            <w:vAlign w:val="center"/>
            <w:tcMar>
              <w:top w:w="90" w:type="dxa"/>
              <w:start w:w="110" w:type="dxa"/>
              <w:bottom w:w="90" w:type="dxa"/>
              <w:end w:w="110" w:type="dxa"/>
            </w:tcMar>
          </w:tcPr>
          <w:p>
            <w:pPr>
              <w:spacing w:after="0" w:line="259" w:lineRule="auto"/>
            </w:pPr>
            <w:r/>
            <w:r>
              <w:rPr>
                <w:rFonts w:ascii="Aptos" w:hAnsi="Aptos"/>
                <w:b w:val="0"/>
                <w:color w:val="000000"/>
                <w:sz w:val="17"/>
              </w:rPr>
              <w:t>Visitor / customer</w:t>
            </w:r>
          </w:p>
        </w:tc>
        <w:tc>
          <w:tcPr>
            <w:tcW w:type="dxa" w:w="4838"/>
            <w:vAlign w:val="center"/>
            <w:tcMar>
              <w:top w:w="90" w:type="dxa"/>
              <w:start w:w="110" w:type="dxa"/>
              <w:bottom w:w="90" w:type="dxa"/>
              <w:end w:w="110" w:type="dxa"/>
            </w:tcMar>
          </w:tcPr>
          <w:p>
            <w:pPr>
              <w:spacing w:after="0" w:line="259" w:lineRule="auto"/>
            </w:pPr>
            <w:r/>
            <w:r>
              <w:rPr>
                <w:rFonts w:ascii="Aptos" w:hAnsi="Aptos"/>
                <w:b w:val="0"/>
                <w:color w:val="000000"/>
                <w:sz w:val="17"/>
              </w:rPr>
              <w:t>View services, barbers and availability; register/login; create, view, reschedule and cancel own bookings.</w:t>
            </w:r>
          </w:p>
        </w:tc>
        <w:tc>
          <w:tcPr>
            <w:tcW w:type="dxa" w:w="3586"/>
            <w:vAlign w:val="center"/>
            <w:tcMar>
              <w:top w:w="90" w:type="dxa"/>
              <w:start w:w="110" w:type="dxa"/>
              <w:bottom w:w="90" w:type="dxa"/>
              <w:end w:w="110" w:type="dxa"/>
            </w:tcMar>
          </w:tcPr>
          <w:p>
            <w:pPr>
              <w:spacing w:after="0" w:line="259" w:lineRule="auto"/>
            </w:pPr>
            <w:r/>
            <w:r>
              <w:rPr>
                <w:rFonts w:ascii="Aptos" w:hAnsi="Aptos"/>
                <w:b w:val="0"/>
                <w:color w:val="000000"/>
                <w:sz w:val="17"/>
              </w:rPr>
              <w:t>Token subject determines which bookings belong to the customer. Notice-period and state rules are checked by the API.</w:t>
            </w:r>
          </w:p>
        </w:tc>
      </w:tr>
      <w:tr>
        <w:trPr>
          <w:cantSplit/>
        </w:trPr>
        <w:tc>
          <w:tcPr>
            <w:tcW w:type="dxa" w:w="172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Barber</w:t>
            </w:r>
          </w:p>
        </w:tc>
        <w:tc>
          <w:tcPr>
            <w:tcW w:type="dxa" w:w="483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View assigned schedule, manage availability blocks, and update assigned bookings to confirmed, completed or no-show when valid.</w:t>
            </w:r>
          </w:p>
        </w:tc>
        <w:tc>
          <w:tcPr>
            <w:tcW w:type="dxa" w:w="3586"/>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 barber may only act on their own profile and schedule.</w:t>
            </w:r>
          </w:p>
        </w:tc>
      </w:tr>
      <w:tr>
        <w:trPr>
          <w:cantSplit/>
        </w:trPr>
        <w:tc>
          <w:tcPr>
            <w:tcW w:type="dxa" w:w="1728"/>
            <w:vAlign w:val="center"/>
            <w:tcMar>
              <w:top w:w="90" w:type="dxa"/>
              <w:start w:w="110" w:type="dxa"/>
              <w:bottom w:w="90" w:type="dxa"/>
              <w:end w:w="110" w:type="dxa"/>
            </w:tcMar>
          </w:tcPr>
          <w:p>
            <w:pPr>
              <w:spacing w:after="0" w:line="259" w:lineRule="auto"/>
            </w:pPr>
            <w:r/>
            <w:r>
              <w:rPr>
                <w:rFonts w:ascii="Aptos" w:hAnsi="Aptos"/>
                <w:b w:val="0"/>
                <w:color w:val="000000"/>
                <w:sz w:val="17"/>
              </w:rPr>
              <w:t>Administrator</w:t>
            </w:r>
          </w:p>
        </w:tc>
        <w:tc>
          <w:tcPr>
            <w:tcW w:type="dxa" w:w="4838"/>
            <w:vAlign w:val="center"/>
            <w:tcMar>
              <w:top w:w="90" w:type="dxa"/>
              <w:start w:w="110" w:type="dxa"/>
              <w:bottom w:w="90" w:type="dxa"/>
              <w:end w:w="110" w:type="dxa"/>
            </w:tcMar>
          </w:tcPr>
          <w:p>
            <w:pPr>
              <w:spacing w:after="0" w:line="259" w:lineRule="auto"/>
            </w:pPr>
            <w:r/>
            <w:r>
              <w:rPr>
                <w:rFonts w:ascii="Aptos" w:hAnsi="Aptos"/>
                <w:b w:val="0"/>
                <w:color w:val="000000"/>
                <w:sz w:val="17"/>
              </w:rPr>
              <w:t>Manage services, barber profiles and skills; manage staff roles when Auth0 Management credentials are configured; view audit activity.</w:t>
            </w:r>
          </w:p>
        </w:tc>
        <w:tc>
          <w:tcPr>
            <w:tcW w:type="dxa" w:w="3586"/>
            <w:vAlign w:val="center"/>
            <w:tcMar>
              <w:top w:w="90" w:type="dxa"/>
              <w:start w:w="110" w:type="dxa"/>
              <w:bottom w:w="90" w:type="dxa"/>
              <w:end w:w="110" w:type="dxa"/>
            </w:tcMar>
          </w:tcPr>
          <w:p>
            <w:pPr>
              <w:spacing w:after="0" w:line="259" w:lineRule="auto"/>
            </w:pPr>
            <w:r/>
            <w:r>
              <w:rPr>
                <w:rFonts w:ascii="Aptos" w:hAnsi="Aptos"/>
                <w:b w:val="0"/>
                <w:color w:val="000000"/>
                <w:sz w:val="17"/>
              </w:rPr>
              <w:t>Admin routes require the Admin role. Staff-role changes include guards against unsafe self-demotion and unverified promotion.</w:t>
            </w:r>
          </w:p>
        </w:tc>
      </w:tr>
      <w:tr>
        <w:trPr>
          <w:cantSplit/>
        </w:trPr>
        <w:tc>
          <w:tcPr>
            <w:tcW w:type="dxa" w:w="172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System</w:t>
            </w:r>
          </w:p>
        </w:tc>
        <w:tc>
          <w:tcPr>
            <w:tcW w:type="dxa" w:w="483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Preserve booking snapshots, prevent schedule overlaps, retain history and support idempotent booking creation.</w:t>
            </w:r>
          </w:p>
        </w:tc>
        <w:tc>
          <w:tcPr>
            <w:tcW w:type="dxa" w:w="3586"/>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Transactions and stored versions protect concurrent updates and retries.</w:t>
            </w:r>
          </w:p>
        </w:tc>
      </w:tr>
    </w:tbl>
    <w:p>
      <w:pPr>
        <w:spacing w:after="20"/>
      </w:pPr>
    </w:p>
    <w:p>
      <w:pPr>
        <w:pStyle w:val="Heading2"/>
        <w:spacing w:before="140" w:after="100"/>
      </w:pPr>
      <w:r>
        <w:t>Booking lifecycle and validation rules</w:t>
      </w:r>
    </w:p>
    <w:p>
      <w:pPr>
        <w:spacing w:after="140" w:line="276" w:lineRule="auto"/>
      </w:pPr>
      <w:r>
        <w:t>Bookings progress through Pending, Confirmed, Cancelled, Completed and NoShow states. A customer can create a booking in the permitted future window and can reschedule or cancel it only while the notice policy allows. A barber can confirm or complete a booking assigned to them, subject to state and time rules. Completed, NoShow and Cancelled records remain in the database for history and reporting; they are not silently deleted.</w:t>
      </w:r>
    </w:p>
    <w:p>
      <w:pPr>
        <w:pStyle w:val="ListBullet"/>
        <w:spacing w:after="60"/>
      </w:pPr>
      <w:r>
        <w:t>Bookings contain one to ten services. The API calculates duration and total from trusted service data, rather than accepting a browser-supplied total.</w:t>
      </w:r>
    </w:p>
    <w:p>
      <w:pPr>
        <w:pStyle w:val="ListBullet"/>
        <w:spacing w:after="60"/>
      </w:pPr>
      <w:r>
        <w:t>All time is stored in UTC. The customer-facing business context uses Africa/Johannesburg time, avoiding inconsistent server time zones.</w:t>
      </w:r>
    </w:p>
    <w:p>
      <w:pPr>
        <w:pStyle w:val="ListBullet"/>
        <w:spacing w:after="60"/>
      </w:pPr>
      <w:r>
        <w:t>Service snapshots preserve historical prices, names and durations even if an administrator later changes the catalogue.</w:t>
      </w:r>
    </w:p>
    <w:p>
      <w:pPr>
        <w:pStyle w:val="ListBullet"/>
        <w:spacing w:after="60"/>
      </w:pPr>
      <w:r>
        <w:t>A version value is increased after a booking mutation. A stale edit produces a conflict response instead of overwriting a newer change.</w:t>
      </w:r>
    </w:p>
    <w:p>
      <w:pPr>
        <w:pStyle w:val="ListBullet"/>
        <w:spacing w:after="60"/>
      </w:pPr>
      <w:r>
        <w:t>An idempotency key allows a safe retry of the same create request without producing a duplicate booking.</w:t>
      </w:r>
    </w:p>
    <w:p>
      <w:pPr>
        <w:pStyle w:val="Heading1"/>
        <w:spacing w:before="220" w:after="100"/>
      </w:pPr>
      <w:r>
        <w:t>Data design and integrity</w:t>
      </w:r>
    </w:p>
    <w:p>
      <w:pPr>
        <w:spacing w:after="140" w:line="276" w:lineRule="auto"/>
      </w:pPr>
      <w:r>
        <w:t>MongoDB collections represent the application’s operational data. MongoDB does not automatically apply relational foreign keys, so the API validates references before it writes. MongoDB JSON-schema validators add a second layer by enforcing required fields, BSON types, basic ranges and valid booking-status vocabulary. Indexes support the important schedule and customer-history queries.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17365D"/>
            <w:vAlign w:val="center"/>
            <w:tcMar>
              <w:top w:w="90" w:type="dxa"/>
              <w:start w:w="110" w:type="dxa"/>
              <w:bottom w:w="90" w:type="dxa"/>
              <w:end w:w="110" w:type="dxa"/>
            </w:tcMar>
          </w:tcPr>
          <w:p>
            <w:pPr>
              <w:spacing w:after="0" w:line="259" w:lineRule="auto"/>
            </w:pPr>
            <w:r/>
            <w:r>
              <w:rPr>
                <w:rFonts w:ascii="Aptos" w:hAnsi="Aptos"/>
                <w:b/>
                <w:color w:val="FFFFFF"/>
                <w:sz w:val="18"/>
              </w:rPr>
              <w:t>Collection</w:t>
            </w:r>
          </w:p>
        </w:tc>
        <w:tc>
          <w:tcPr>
            <w:tcW w:type="dxa" w:w="3672"/>
            <w:shd w:fill="17365D"/>
            <w:vAlign w:val="center"/>
            <w:tcMar>
              <w:top w:w="90" w:type="dxa"/>
              <w:start w:w="110" w:type="dxa"/>
              <w:bottom w:w="90" w:type="dxa"/>
              <w:end w:w="110" w:type="dxa"/>
            </w:tcMar>
          </w:tcPr>
          <w:p>
            <w:pPr>
              <w:spacing w:after="0" w:line="259" w:lineRule="auto"/>
            </w:pPr>
            <w:r/>
            <w:r>
              <w:rPr>
                <w:rFonts w:ascii="Aptos" w:hAnsi="Aptos"/>
                <w:b/>
                <w:color w:val="FFFFFF"/>
                <w:sz w:val="18"/>
              </w:rPr>
              <w:t>Purpose</w:t>
            </w:r>
          </w:p>
        </w:tc>
        <w:tc>
          <w:tcPr>
            <w:tcW w:type="dxa" w:w="4680"/>
            <w:shd w:fill="17365D"/>
            <w:vAlign w:val="center"/>
            <w:tcMar>
              <w:top w:w="90" w:type="dxa"/>
              <w:start w:w="110" w:type="dxa"/>
              <w:bottom w:w="90" w:type="dxa"/>
              <w:end w:w="110" w:type="dxa"/>
            </w:tcMar>
          </w:tcPr>
          <w:p>
            <w:pPr>
              <w:spacing w:after="0" w:line="259" w:lineRule="auto"/>
            </w:pPr>
            <w:r/>
            <w:r>
              <w:rPr>
                <w:rFonts w:ascii="Aptos" w:hAnsi="Aptos"/>
                <w:b/>
                <w:color w:val="FFFFFF"/>
                <w:sz w:val="18"/>
              </w:rPr>
              <w:t>Key integrity decision</w:t>
            </w:r>
          </w:p>
        </w:tc>
      </w:tr>
      <w:tr>
        <w:trPr>
          <w:cantSplit/>
        </w:trPr>
        <w:tc>
          <w:tcPr>
            <w:tcW w:type="dxa" w:w="1800"/>
            <w:vAlign w:val="center"/>
            <w:tcMar>
              <w:top w:w="90" w:type="dxa"/>
              <w:start w:w="110" w:type="dxa"/>
              <w:bottom w:w="90" w:type="dxa"/>
              <w:end w:w="110" w:type="dxa"/>
            </w:tcMar>
          </w:tcPr>
          <w:p>
            <w:pPr>
              <w:spacing w:after="0" w:line="259" w:lineRule="auto"/>
            </w:pPr>
            <w:r/>
            <w:r>
              <w:rPr>
                <w:rFonts w:ascii="Aptos" w:hAnsi="Aptos"/>
                <w:b w:val="0"/>
                <w:color w:val="000000"/>
                <w:sz w:val="17"/>
              </w:rPr>
              <w:t>services</w:t>
            </w:r>
          </w:p>
        </w:tc>
        <w:tc>
          <w:tcPr>
            <w:tcW w:type="dxa" w:w="3672"/>
            <w:vAlign w:val="center"/>
            <w:tcMar>
              <w:top w:w="90" w:type="dxa"/>
              <w:start w:w="110" w:type="dxa"/>
              <w:bottom w:w="90" w:type="dxa"/>
              <w:end w:w="110" w:type="dxa"/>
            </w:tcMar>
          </w:tcPr>
          <w:p>
            <w:pPr>
              <w:spacing w:after="0" w:line="259" w:lineRule="auto"/>
            </w:pPr>
            <w:r/>
            <w:r>
              <w:rPr>
                <w:rFonts w:ascii="Aptos" w:hAnsi="Aptos"/>
                <w:b w:val="0"/>
                <w:color w:val="000000"/>
                <w:sz w:val="17"/>
              </w:rPr>
              <w:t>Catalogue name, price in cents, duration and active status.</w:t>
            </w:r>
          </w:p>
        </w:tc>
        <w:tc>
          <w:tcPr>
            <w:tcW w:type="dxa" w:w="4680"/>
            <w:vAlign w:val="center"/>
            <w:tcMar>
              <w:top w:w="90" w:type="dxa"/>
              <w:start w:w="110" w:type="dxa"/>
              <w:bottom w:w="90" w:type="dxa"/>
              <w:end w:w="110" w:type="dxa"/>
            </w:tcMar>
          </w:tcPr>
          <w:p>
            <w:pPr>
              <w:spacing w:after="0" w:line="259" w:lineRule="auto"/>
            </w:pPr>
            <w:r/>
            <w:r>
              <w:rPr>
                <w:rFonts w:ascii="Aptos" w:hAnsi="Aptos"/>
                <w:b w:val="0"/>
                <w:color w:val="000000"/>
                <w:sz w:val="17"/>
              </w:rPr>
              <w:t>Services are deactivated rather than deleted when history references them.</w:t>
            </w:r>
          </w:p>
        </w:tc>
      </w:tr>
      <w:tr>
        <w:trPr>
          <w:cantSplit/>
        </w:trPr>
        <w:tc>
          <w:tcPr>
            <w:tcW w:type="dxa" w:w="180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barbers</w:t>
            </w:r>
          </w:p>
        </w:tc>
        <w:tc>
          <w:tcPr>
            <w:tcW w:type="dxa" w:w="367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Staff identity link, name, active state, working hours and service skills.</w:t>
            </w:r>
          </w:p>
        </w:tc>
        <w:tc>
          <w:tcPr>
            <w:tcW w:type="dxa" w:w="468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One active profile is linked to one authenticated staff identity.</w:t>
            </w:r>
          </w:p>
        </w:tc>
      </w:tr>
      <w:tr>
        <w:trPr>
          <w:cantSplit/>
        </w:trPr>
        <w:tc>
          <w:tcPr>
            <w:tcW w:type="dxa" w:w="1800"/>
            <w:vAlign w:val="center"/>
            <w:tcMar>
              <w:top w:w="90" w:type="dxa"/>
              <w:start w:w="110" w:type="dxa"/>
              <w:bottom w:w="90" w:type="dxa"/>
              <w:end w:w="110" w:type="dxa"/>
            </w:tcMar>
          </w:tcPr>
          <w:p>
            <w:pPr>
              <w:spacing w:after="0" w:line="259" w:lineRule="auto"/>
            </w:pPr>
            <w:r/>
            <w:r>
              <w:rPr>
                <w:rFonts w:ascii="Aptos" w:hAnsi="Aptos"/>
                <w:b w:val="0"/>
                <w:color w:val="000000"/>
                <w:sz w:val="17"/>
              </w:rPr>
              <w:t>bookings</w:t>
            </w:r>
          </w:p>
        </w:tc>
        <w:tc>
          <w:tcPr>
            <w:tcW w:type="dxa" w:w="3672"/>
            <w:vAlign w:val="center"/>
            <w:tcMar>
              <w:top w:w="90" w:type="dxa"/>
              <w:start w:w="110" w:type="dxa"/>
              <w:bottom w:w="90" w:type="dxa"/>
              <w:end w:w="110" w:type="dxa"/>
            </w:tcMar>
          </w:tcPr>
          <w:p>
            <w:pPr>
              <w:spacing w:after="0" w:line="259" w:lineRule="auto"/>
            </w:pPr>
            <w:r/>
            <w:r>
              <w:rPr>
                <w:rFonts w:ascii="Aptos" w:hAnsi="Aptos"/>
                <w:b w:val="0"/>
                <w:color w:val="000000"/>
                <w:sz w:val="17"/>
              </w:rPr>
              <w:t>Customer, assigned barber, UTC interval, state, version, notes, total and embedded service snapshots.</w:t>
            </w:r>
          </w:p>
        </w:tc>
        <w:tc>
          <w:tcPr>
            <w:tcW w:type="dxa" w:w="4680"/>
            <w:vAlign w:val="center"/>
            <w:tcMar>
              <w:top w:w="90" w:type="dxa"/>
              <w:start w:w="110" w:type="dxa"/>
              <w:bottom w:w="90" w:type="dxa"/>
              <w:end w:w="110" w:type="dxa"/>
            </w:tcMar>
          </w:tcPr>
          <w:p>
            <w:pPr>
              <w:spacing w:after="0" w:line="259" w:lineRule="auto"/>
            </w:pPr>
            <w:r/>
            <w:r>
              <w:rPr>
                <w:rFonts w:ascii="Aptos" w:hAnsi="Aptos"/>
                <w:b w:val="0"/>
                <w:color w:val="000000"/>
                <w:sz w:val="17"/>
              </w:rPr>
              <w:t>A booking keeps the facts that applied at appointment creation.</w:t>
            </w:r>
          </w:p>
        </w:tc>
      </w:tr>
      <w:tr>
        <w:trPr>
          <w:cantSplit/>
        </w:trPr>
        <w:tc>
          <w:tcPr>
            <w:tcW w:type="dxa" w:w="180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timeBlocks</w:t>
            </w:r>
          </w:p>
        </w:tc>
        <w:tc>
          <w:tcPr>
            <w:tcW w:type="dxa" w:w="367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Barber unavailability intervals and reasons.</w:t>
            </w:r>
          </w:p>
        </w:tc>
        <w:tc>
          <w:tcPr>
            <w:tcW w:type="dxa" w:w="468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Blocks are included in the same overlap calculation as bookings.</w:t>
            </w:r>
          </w:p>
        </w:tc>
      </w:tr>
      <w:tr>
        <w:trPr>
          <w:cantSplit/>
        </w:trPr>
        <w:tc>
          <w:tcPr>
            <w:tcW w:type="dxa" w:w="1800"/>
            <w:vAlign w:val="center"/>
            <w:tcMar>
              <w:top w:w="90" w:type="dxa"/>
              <w:start w:w="110" w:type="dxa"/>
              <w:bottom w:w="90" w:type="dxa"/>
              <w:end w:w="110" w:type="dxa"/>
            </w:tcMar>
          </w:tcPr>
          <w:p>
            <w:pPr>
              <w:spacing w:after="0" w:line="259" w:lineRule="auto"/>
            </w:pPr>
            <w:r/>
            <w:r>
              <w:rPr>
                <w:rFonts w:ascii="Aptos" w:hAnsi="Aptos"/>
                <w:b w:val="0"/>
                <w:color w:val="000000"/>
                <w:sz w:val="17"/>
              </w:rPr>
              <w:t>auditLog</w:t>
            </w:r>
          </w:p>
        </w:tc>
        <w:tc>
          <w:tcPr>
            <w:tcW w:type="dxa" w:w="3672"/>
            <w:vAlign w:val="center"/>
            <w:tcMar>
              <w:top w:w="90" w:type="dxa"/>
              <w:start w:w="110" w:type="dxa"/>
              <w:bottom w:w="90" w:type="dxa"/>
              <w:end w:w="110" w:type="dxa"/>
            </w:tcMar>
          </w:tcPr>
          <w:p>
            <w:pPr>
              <w:spacing w:after="0" w:line="259" w:lineRule="auto"/>
            </w:pPr>
            <w:r/>
            <w:r>
              <w:rPr>
                <w:rFonts w:ascii="Aptos" w:hAnsi="Aptos"/>
                <w:b w:val="0"/>
                <w:color w:val="000000"/>
                <w:sz w:val="17"/>
              </w:rPr>
              <w:t>Administrative staff-role actions and accountability information.</w:t>
            </w:r>
          </w:p>
        </w:tc>
        <w:tc>
          <w:tcPr>
            <w:tcW w:type="dxa" w:w="4680"/>
            <w:vAlign w:val="center"/>
            <w:tcMar>
              <w:top w:w="90" w:type="dxa"/>
              <w:start w:w="110" w:type="dxa"/>
              <w:bottom w:w="90" w:type="dxa"/>
              <w:end w:w="110" w:type="dxa"/>
            </w:tcMar>
          </w:tcPr>
          <w:p>
            <w:pPr>
              <w:spacing w:after="0" w:line="259" w:lineRule="auto"/>
            </w:pPr>
            <w:r/>
            <w:r>
              <w:rPr>
                <w:rFonts w:ascii="Aptos" w:hAnsi="Aptos"/>
                <w:b w:val="0"/>
                <w:color w:val="000000"/>
                <w:sz w:val="17"/>
              </w:rPr>
              <w:t>Creates a trace for sensitive administrative changes.</w:t>
            </w:r>
          </w:p>
        </w:tc>
      </w:tr>
    </w:tbl>
    <w:p>
      <w:pPr>
        <w:spacing w:after="20"/>
      </w:pPr>
    </w:p>
    <w:p>
      <w:pPr>
        <w:spacing w:after="140" w:line="276" w:lineRule="auto"/>
      </w:pPr>
      <w:r>
        <w:t>The important overlap condition is: an existing interval conflicts when its start time is before the requested end time and its end time is after the requested start time. The application also uses a transaction that touches the affected barber record before evaluating and saving schedule changes. This creates a database-level conflict when simultaneous requests attempt to reserve the same barber schedule, so the system can retry or return a clear conflict instead of double booking.</w:t>
      </w:r>
    </w:p>
    <w:p>
      <w:pPr>
        <w:pStyle w:val="Heading1"/>
        <w:spacing w:before="220" w:after="100"/>
      </w:pPr>
      <w:r>
        <w:t>Security and privacy</w:t>
      </w:r>
    </w:p>
    <w:p>
      <w:pPr>
        <w:spacing w:after="140" w:line="276" w:lineRule="auto"/>
      </w:pPr>
      <w:r>
        <w:t>Security is designed around server-side enforcement and externalised secrets. Source control contains configuration names and safe examples, never database passwords, API keys, Auth0 client secrets or personal access tokens. Local development uses environment variables or user secrets. Render holds deployment values in its protected environment configuration.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16"/>
            <w:shd w:fill="17365D"/>
            <w:vAlign w:val="center"/>
            <w:tcMar>
              <w:top w:w="90" w:type="dxa"/>
              <w:start w:w="110" w:type="dxa"/>
              <w:bottom w:w="90" w:type="dxa"/>
              <w:end w:w="110" w:type="dxa"/>
            </w:tcMar>
          </w:tcPr>
          <w:p>
            <w:pPr>
              <w:spacing w:after="0" w:line="259" w:lineRule="auto"/>
            </w:pPr>
            <w:r/>
            <w:r>
              <w:rPr>
                <w:rFonts w:ascii="Aptos" w:hAnsi="Aptos"/>
                <w:b/>
                <w:color w:val="FFFFFF"/>
                <w:sz w:val="18"/>
              </w:rPr>
              <w:t>Risk area</w:t>
            </w:r>
          </w:p>
        </w:tc>
        <w:tc>
          <w:tcPr>
            <w:tcW w:type="dxa" w:w="4752"/>
            <w:shd w:fill="17365D"/>
            <w:vAlign w:val="center"/>
            <w:tcMar>
              <w:top w:w="90" w:type="dxa"/>
              <w:start w:w="110" w:type="dxa"/>
              <w:bottom w:w="90" w:type="dxa"/>
              <w:end w:w="110" w:type="dxa"/>
            </w:tcMar>
          </w:tcPr>
          <w:p>
            <w:pPr>
              <w:spacing w:after="0" w:line="259" w:lineRule="auto"/>
            </w:pPr>
            <w:r/>
            <w:r>
              <w:rPr>
                <w:rFonts w:ascii="Aptos" w:hAnsi="Aptos"/>
                <w:b/>
                <w:color w:val="FFFFFF"/>
                <w:sz w:val="18"/>
              </w:rPr>
              <w:t>Implemented control</w:t>
            </w:r>
          </w:p>
        </w:tc>
        <w:tc>
          <w:tcPr>
            <w:tcW w:type="dxa" w:w="3384"/>
            <w:shd w:fill="17365D"/>
            <w:vAlign w:val="center"/>
            <w:tcMar>
              <w:top w:w="90" w:type="dxa"/>
              <w:start w:w="110" w:type="dxa"/>
              <w:bottom w:w="90" w:type="dxa"/>
              <w:end w:w="110" w:type="dxa"/>
            </w:tcMar>
          </w:tcPr>
          <w:p>
            <w:pPr>
              <w:spacing w:after="0" w:line="259" w:lineRule="auto"/>
            </w:pPr>
            <w:r/>
            <w:r>
              <w:rPr>
                <w:rFonts w:ascii="Aptos" w:hAnsi="Aptos"/>
                <w:b/>
                <w:color w:val="FFFFFF"/>
                <w:sz w:val="18"/>
              </w:rPr>
              <w:t>Why it matters</w:t>
            </w:r>
          </w:p>
        </w:tc>
      </w:tr>
      <w:tr>
        <w:trPr>
          <w:cantSplit/>
        </w:trPr>
        <w:tc>
          <w:tcPr>
            <w:tcW w:type="dxa" w:w="2016"/>
            <w:vAlign w:val="center"/>
            <w:tcMar>
              <w:top w:w="90" w:type="dxa"/>
              <w:start w:w="110" w:type="dxa"/>
              <w:bottom w:w="90" w:type="dxa"/>
              <w:end w:w="110" w:type="dxa"/>
            </w:tcMar>
          </w:tcPr>
          <w:p>
            <w:pPr>
              <w:spacing w:after="0" w:line="259" w:lineRule="auto"/>
            </w:pPr>
            <w:r/>
            <w:r>
              <w:rPr>
                <w:rFonts w:ascii="Aptos" w:hAnsi="Aptos"/>
                <w:b w:val="0"/>
                <w:color w:val="000000"/>
                <w:sz w:val="17"/>
              </w:rPr>
              <w:t>Passwords and account recovery</w:t>
            </w:r>
          </w:p>
        </w:tc>
        <w:tc>
          <w:tcPr>
            <w:tcW w:type="dxa" w:w="4752"/>
            <w:vAlign w:val="center"/>
            <w:tcMar>
              <w:top w:w="90" w:type="dxa"/>
              <w:start w:w="110" w:type="dxa"/>
              <w:bottom w:w="90" w:type="dxa"/>
              <w:end w:w="110" w:type="dxa"/>
            </w:tcMar>
          </w:tcPr>
          <w:p>
            <w:pPr>
              <w:spacing w:after="0" w:line="259" w:lineRule="auto"/>
            </w:pPr>
            <w:r/>
            <w:r>
              <w:rPr>
                <w:rFonts w:ascii="Aptos" w:hAnsi="Aptos"/>
                <w:b w:val="0"/>
                <w:color w:val="000000"/>
                <w:sz w:val="17"/>
              </w:rPr>
              <w:t>Auth0 Universal Login and Auth0-managed password lifecycle.</w:t>
            </w:r>
          </w:p>
        </w:tc>
        <w:tc>
          <w:tcPr>
            <w:tcW w:type="dxa" w:w="3384"/>
            <w:vAlign w:val="center"/>
            <w:tcMar>
              <w:top w:w="90" w:type="dxa"/>
              <w:start w:w="110" w:type="dxa"/>
              <w:bottom w:w="90" w:type="dxa"/>
              <w:end w:w="110" w:type="dxa"/>
            </w:tcMar>
          </w:tcPr>
          <w:p>
            <w:pPr>
              <w:spacing w:after="0" w:line="259" w:lineRule="auto"/>
            </w:pPr>
            <w:r/>
            <w:r>
              <w:rPr>
                <w:rFonts w:ascii="Aptos" w:hAnsi="Aptos"/>
                <w:b w:val="0"/>
                <w:color w:val="000000"/>
                <w:sz w:val="17"/>
              </w:rPr>
              <w:t>The project does not collect or persist raw credentials.</w:t>
            </w:r>
          </w:p>
        </w:tc>
      </w:tr>
      <w:tr>
        <w:trPr>
          <w:cantSplit/>
        </w:trPr>
        <w:tc>
          <w:tcPr>
            <w:tcW w:type="dxa" w:w="2016"/>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Unauthorised booking access</w:t>
            </w:r>
          </w:p>
        </w:tc>
        <w:tc>
          <w:tcPr>
            <w:tcW w:type="dxa" w:w="475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JWT bearer validation plus subject-based ownership checks in the API.</w:t>
            </w:r>
          </w:p>
        </w:tc>
        <w:tc>
          <w:tcPr>
            <w:tcW w:type="dxa" w:w="338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 customer cannot request another customer’s booking by changing an identifier in the browser.</w:t>
            </w:r>
          </w:p>
        </w:tc>
      </w:tr>
      <w:tr>
        <w:trPr>
          <w:cantSplit/>
        </w:trPr>
        <w:tc>
          <w:tcPr>
            <w:tcW w:type="dxa" w:w="2016"/>
            <w:vAlign w:val="center"/>
            <w:tcMar>
              <w:top w:w="90" w:type="dxa"/>
              <w:start w:w="110" w:type="dxa"/>
              <w:bottom w:w="90" w:type="dxa"/>
              <w:end w:w="110" w:type="dxa"/>
            </w:tcMar>
          </w:tcPr>
          <w:p>
            <w:pPr>
              <w:spacing w:after="0" w:line="259" w:lineRule="auto"/>
            </w:pPr>
            <w:r/>
            <w:r>
              <w:rPr>
                <w:rFonts w:ascii="Aptos" w:hAnsi="Aptos"/>
                <w:b w:val="0"/>
                <w:color w:val="000000"/>
                <w:sz w:val="17"/>
              </w:rPr>
              <w:t>Role escalation</w:t>
            </w:r>
          </w:p>
        </w:tc>
        <w:tc>
          <w:tcPr>
            <w:tcW w:type="dxa" w:w="4752"/>
            <w:vAlign w:val="center"/>
            <w:tcMar>
              <w:top w:w="90" w:type="dxa"/>
              <w:start w:w="110" w:type="dxa"/>
              <w:bottom w:w="90" w:type="dxa"/>
              <w:end w:w="110" w:type="dxa"/>
            </w:tcMar>
          </w:tcPr>
          <w:p>
            <w:pPr>
              <w:spacing w:after="0" w:line="259" w:lineRule="auto"/>
            </w:pPr>
            <w:r/>
            <w:r>
              <w:rPr>
                <w:rFonts w:ascii="Aptos" w:hAnsi="Aptos"/>
                <w:b w:val="0"/>
                <w:color w:val="000000"/>
                <w:sz w:val="17"/>
              </w:rPr>
              <w:t>Roles are set in Auth0 app metadata and copied into signed tokens. Admin staff management uses limited M2M scopes.</w:t>
            </w:r>
          </w:p>
        </w:tc>
        <w:tc>
          <w:tcPr>
            <w:tcW w:type="dxa" w:w="3384"/>
            <w:vAlign w:val="center"/>
            <w:tcMar>
              <w:top w:w="90" w:type="dxa"/>
              <w:start w:w="110" w:type="dxa"/>
              <w:bottom w:w="90" w:type="dxa"/>
              <w:end w:w="110" w:type="dxa"/>
            </w:tcMar>
          </w:tcPr>
          <w:p>
            <w:pPr>
              <w:spacing w:after="0" w:line="259" w:lineRule="auto"/>
            </w:pPr>
            <w:r/>
            <w:r>
              <w:rPr>
                <w:rFonts w:ascii="Aptos" w:hAnsi="Aptos"/>
                <w:b w:val="0"/>
                <w:color w:val="000000"/>
                <w:sz w:val="17"/>
              </w:rPr>
              <w:t>The browser cannot assign itself an Admin or Barber role.</w:t>
            </w:r>
          </w:p>
        </w:tc>
      </w:tr>
      <w:tr>
        <w:trPr>
          <w:cantSplit/>
        </w:trPr>
        <w:tc>
          <w:tcPr>
            <w:tcW w:type="dxa" w:w="2016"/>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Database exposure</w:t>
            </w:r>
          </w:p>
        </w:tc>
        <w:tc>
          <w:tcPr>
            <w:tcW w:type="dxa" w:w="475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Atlas credentials and network access configured outside the repository; API is the only service that connects to Atlas.</w:t>
            </w:r>
          </w:p>
        </w:tc>
        <w:tc>
          <w:tcPr>
            <w:tcW w:type="dxa" w:w="338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Reduces the chance of exposing the database to browser users.</w:t>
            </w:r>
          </w:p>
        </w:tc>
      </w:tr>
      <w:tr>
        <w:trPr>
          <w:cantSplit/>
        </w:trPr>
        <w:tc>
          <w:tcPr>
            <w:tcW w:type="dxa" w:w="2016"/>
            <w:vAlign w:val="center"/>
            <w:tcMar>
              <w:top w:w="90" w:type="dxa"/>
              <w:start w:w="110" w:type="dxa"/>
              <w:bottom w:w="90" w:type="dxa"/>
              <w:end w:w="110" w:type="dxa"/>
            </w:tcMar>
          </w:tcPr>
          <w:p>
            <w:pPr>
              <w:spacing w:after="0" w:line="259" w:lineRule="auto"/>
            </w:pPr>
            <w:r/>
            <w:r>
              <w:rPr>
                <w:rFonts w:ascii="Aptos" w:hAnsi="Aptos"/>
                <w:b w:val="0"/>
                <w:color w:val="000000"/>
                <w:sz w:val="17"/>
              </w:rPr>
              <w:t>Sensitive staff changes</w:t>
            </w:r>
          </w:p>
        </w:tc>
        <w:tc>
          <w:tcPr>
            <w:tcW w:type="dxa" w:w="4752"/>
            <w:vAlign w:val="center"/>
            <w:tcMar>
              <w:top w:w="90" w:type="dxa"/>
              <w:start w:w="110" w:type="dxa"/>
              <w:bottom w:w="90" w:type="dxa"/>
              <w:end w:w="110" w:type="dxa"/>
            </w:tcMar>
          </w:tcPr>
          <w:p>
            <w:pPr>
              <w:spacing w:after="0" w:line="259" w:lineRule="auto"/>
            </w:pPr>
            <w:r/>
            <w:r>
              <w:rPr>
                <w:rFonts w:ascii="Aptos" w:hAnsi="Aptos"/>
                <w:b w:val="0"/>
                <w:color w:val="000000"/>
                <w:sz w:val="17"/>
              </w:rPr>
              <w:t>Audit log and safeguards for staff management, including no self-role change.</w:t>
            </w:r>
          </w:p>
        </w:tc>
        <w:tc>
          <w:tcPr>
            <w:tcW w:type="dxa" w:w="3384"/>
            <w:vAlign w:val="center"/>
            <w:tcMar>
              <w:top w:w="90" w:type="dxa"/>
              <w:start w:w="110" w:type="dxa"/>
              <w:bottom w:w="90" w:type="dxa"/>
              <w:end w:w="110" w:type="dxa"/>
            </w:tcMar>
          </w:tcPr>
          <w:p>
            <w:pPr>
              <w:spacing w:after="0" w:line="259" w:lineRule="auto"/>
            </w:pPr>
            <w:r/>
            <w:r>
              <w:rPr>
                <w:rFonts w:ascii="Aptos" w:hAnsi="Aptos"/>
                <w:b w:val="0"/>
                <w:color w:val="000000"/>
                <w:sz w:val="17"/>
              </w:rPr>
              <w:t>Supports traceability and prevents easy accidental lockout.</w:t>
            </w:r>
          </w:p>
        </w:tc>
      </w:tr>
      <w:tr>
        <w:trPr>
          <w:cantSplit/>
        </w:trPr>
        <w:tc>
          <w:tcPr>
            <w:tcW w:type="dxa" w:w="2016"/>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Email credentials</w:t>
            </w:r>
          </w:p>
        </w:tc>
        <w:tc>
          <w:tcPr>
            <w:tcW w:type="dxa" w:w="475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Brevo API key and sender address are Render secrets; no-op sender when absent.</w:t>
            </w:r>
          </w:p>
        </w:tc>
        <w:tc>
          <w:tcPr>
            <w:tcW w:type="dxa" w:w="338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 development environment can run without sending real messages.</w:t>
            </w:r>
          </w:p>
        </w:tc>
      </w:tr>
    </w:tbl>
    <w:p>
      <w:pPr>
        <w:spacing w:after="20"/>
      </w:pPr>
    </w:p>
    <w:p>
      <w:pPr>
        <w:spacing w:after="140" w:line="276" w:lineRule="auto"/>
      </w:pPr>
      <w:r>
        <w:t>The Atlas development setup uses a dedicated database user with access only to the Kinsmen development database. Render free-tier infrastructure may require an Atlas network allow-list rule that is broader than an enterprise production setting. The compensating controls are a long generated password, restricted database role, secrets kept outside Git and no browser access to the database. This configuration must be reviewed before any real customer data is used.</w:t>
      </w:r>
    </w:p>
    <w:p>
      <w:pPr>
        <w:pStyle w:val="Heading1"/>
        <w:spacing w:before="220" w:after="100"/>
      </w:pPr>
      <w:r>
        <w:t>Deployment and operations</w:t>
      </w:r>
    </w:p>
    <w:p>
      <w:pPr>
        <w:spacing w:after="140" w:line="276" w:lineRule="auto"/>
      </w:pPr>
      <w:r>
        <w:t>The repository contains separate Dockerfiles for Kinsmen Web and Kinsmen API, plus a render.yaml blueprint. The API exposes a readiness health endpoint that includes a MongoDB ping. The web application is the public application surface; the API is called server to server. This arrangement removes the need to publish database access or rely on browser-to-API cross-origin settings for normal flows.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72"/>
            <w:shd w:fill="17365D"/>
            <w:vAlign w:val="center"/>
            <w:tcMar>
              <w:top w:w="90" w:type="dxa"/>
              <w:start w:w="110" w:type="dxa"/>
              <w:bottom w:w="90" w:type="dxa"/>
              <w:end w:w="110" w:type="dxa"/>
            </w:tcMar>
          </w:tcPr>
          <w:p>
            <w:pPr>
              <w:spacing w:after="0" w:line="259" w:lineRule="auto"/>
            </w:pPr>
            <w:r/>
            <w:r>
              <w:rPr>
                <w:rFonts w:ascii="Aptos" w:hAnsi="Aptos"/>
                <w:b/>
                <w:color w:val="FFFFFF"/>
                <w:sz w:val="18"/>
              </w:rPr>
              <w:t>Deployment item</w:t>
            </w:r>
          </w:p>
        </w:tc>
        <w:tc>
          <w:tcPr>
            <w:tcW w:type="dxa" w:w="4968"/>
            <w:shd w:fill="17365D"/>
            <w:vAlign w:val="center"/>
            <w:tcMar>
              <w:top w:w="90" w:type="dxa"/>
              <w:start w:w="110" w:type="dxa"/>
              <w:bottom w:w="90" w:type="dxa"/>
              <w:end w:w="110" w:type="dxa"/>
            </w:tcMar>
          </w:tcPr>
          <w:p>
            <w:pPr>
              <w:spacing w:after="0" w:line="259" w:lineRule="auto"/>
            </w:pPr>
            <w:r/>
            <w:r>
              <w:rPr>
                <w:rFonts w:ascii="Aptos" w:hAnsi="Aptos"/>
                <w:b/>
                <w:color w:val="FFFFFF"/>
                <w:sz w:val="18"/>
              </w:rPr>
              <w:t>Configuration responsibility</w:t>
            </w:r>
          </w:p>
        </w:tc>
        <w:tc>
          <w:tcPr>
            <w:tcW w:type="dxa" w:w="3312"/>
            <w:shd w:fill="17365D"/>
            <w:vAlign w:val="center"/>
            <w:tcMar>
              <w:top w:w="90" w:type="dxa"/>
              <w:start w:w="110" w:type="dxa"/>
              <w:bottom w:w="90" w:type="dxa"/>
              <w:end w:w="110" w:type="dxa"/>
            </w:tcMar>
          </w:tcPr>
          <w:p>
            <w:pPr>
              <w:spacing w:after="0" w:line="259" w:lineRule="auto"/>
            </w:pPr>
            <w:r/>
            <w:r>
              <w:rPr>
                <w:rFonts w:ascii="Aptos" w:hAnsi="Aptos"/>
                <w:b/>
                <w:color w:val="FFFFFF"/>
                <w:sz w:val="18"/>
              </w:rPr>
              <w:t>Check before demonstration</w:t>
            </w:r>
          </w:p>
        </w:tc>
      </w:tr>
      <w:tr>
        <w:trPr>
          <w:cantSplit/>
        </w:trPr>
        <w:tc>
          <w:tcPr>
            <w:tcW w:type="dxa" w:w="1872"/>
            <w:vAlign w:val="center"/>
            <w:tcMar>
              <w:top w:w="90" w:type="dxa"/>
              <w:start w:w="110" w:type="dxa"/>
              <w:bottom w:w="90" w:type="dxa"/>
              <w:end w:w="110" w:type="dxa"/>
            </w:tcMar>
          </w:tcPr>
          <w:p>
            <w:pPr>
              <w:spacing w:after="0" w:line="259" w:lineRule="auto"/>
            </w:pPr>
            <w:r/>
            <w:r>
              <w:rPr>
                <w:rFonts w:ascii="Aptos" w:hAnsi="Aptos"/>
                <w:b w:val="0"/>
                <w:color w:val="000000"/>
                <w:sz w:val="17"/>
              </w:rPr>
              <w:t>MongoDB Atlas</w:t>
            </w:r>
          </w:p>
        </w:tc>
        <w:tc>
          <w:tcPr>
            <w:tcW w:type="dxa" w:w="4968"/>
            <w:vAlign w:val="center"/>
            <w:tcMar>
              <w:top w:w="90" w:type="dxa"/>
              <w:start w:w="110" w:type="dxa"/>
              <w:bottom w:w="90" w:type="dxa"/>
              <w:end w:w="110" w:type="dxa"/>
            </w:tcMar>
          </w:tcPr>
          <w:p>
            <w:pPr>
              <w:spacing w:after="0" w:line="259" w:lineRule="auto"/>
            </w:pPr>
            <w:r/>
            <w:r>
              <w:rPr>
                <w:rFonts w:ascii="Aptos" w:hAnsi="Aptos"/>
                <w:b w:val="0"/>
                <w:color w:val="000000"/>
                <w:sz w:val="17"/>
              </w:rPr>
              <w:t>Create cluster, database user, database/network access and initialise validators/indexes once.</w:t>
            </w:r>
          </w:p>
        </w:tc>
        <w:tc>
          <w:tcPr>
            <w:tcW w:type="dxa" w:w="3312"/>
            <w:vAlign w:val="center"/>
            <w:tcMar>
              <w:top w:w="90" w:type="dxa"/>
              <w:start w:w="110" w:type="dxa"/>
              <w:bottom w:w="90" w:type="dxa"/>
              <w:end w:w="110" w:type="dxa"/>
            </w:tcMar>
          </w:tcPr>
          <w:p>
            <w:pPr>
              <w:spacing w:after="0" w:line="259" w:lineRule="auto"/>
            </w:pPr>
            <w:r/>
            <w:r>
              <w:rPr>
                <w:rFonts w:ascii="Aptos" w:hAnsi="Aptos"/>
                <w:b w:val="0"/>
                <w:color w:val="000000"/>
                <w:sz w:val="17"/>
              </w:rPr>
              <w:t>API readiness endpoint succeeds and expected collections exist.</w:t>
            </w:r>
          </w:p>
        </w:tc>
      </w:tr>
      <w:tr>
        <w:trPr>
          <w:cantSplit/>
        </w:trPr>
        <w:tc>
          <w:tcPr>
            <w:tcW w:type="dxa" w:w="187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Auth0 web application and API</w:t>
            </w:r>
          </w:p>
        </w:tc>
        <w:tc>
          <w:tcPr>
            <w:tcW w:type="dxa" w:w="496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Set domain, audience, callback/logout URLs, client secret and role action.</w:t>
            </w:r>
          </w:p>
        </w:tc>
        <w:tc>
          <w:tcPr>
            <w:tcW w:type="dxa" w:w="331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Registration, login, logout, customer ownership and a staff role all work with real accounts.</w:t>
            </w:r>
          </w:p>
        </w:tc>
      </w:tr>
      <w:tr>
        <w:trPr>
          <w:cantSplit/>
        </w:trPr>
        <w:tc>
          <w:tcPr>
            <w:tcW w:type="dxa" w:w="1872"/>
            <w:vAlign w:val="center"/>
            <w:tcMar>
              <w:top w:w="90" w:type="dxa"/>
              <w:start w:w="110" w:type="dxa"/>
              <w:bottom w:w="90" w:type="dxa"/>
              <w:end w:w="110" w:type="dxa"/>
            </w:tcMar>
          </w:tcPr>
          <w:p>
            <w:pPr>
              <w:spacing w:after="0" w:line="259" w:lineRule="auto"/>
            </w:pPr>
            <w:r/>
            <w:r>
              <w:rPr>
                <w:rFonts w:ascii="Aptos" w:hAnsi="Aptos"/>
                <w:b w:val="0"/>
                <w:color w:val="000000"/>
                <w:sz w:val="17"/>
              </w:rPr>
              <w:t>Render web service</w:t>
            </w:r>
          </w:p>
        </w:tc>
        <w:tc>
          <w:tcPr>
            <w:tcW w:type="dxa" w:w="4968"/>
            <w:vAlign w:val="center"/>
            <w:tcMar>
              <w:top w:w="90" w:type="dxa"/>
              <w:start w:w="110" w:type="dxa"/>
              <w:bottom w:w="90" w:type="dxa"/>
              <w:end w:w="110" w:type="dxa"/>
            </w:tcMar>
          </w:tcPr>
          <w:p>
            <w:pPr>
              <w:spacing w:after="0" w:line="259" w:lineRule="auto"/>
            </w:pPr>
            <w:r/>
            <w:r>
              <w:rPr>
                <w:rFonts w:ascii="Aptos" w:hAnsi="Aptos"/>
                <w:b w:val="0"/>
                <w:color w:val="000000"/>
                <w:sz w:val="17"/>
              </w:rPr>
              <w:t>Set Auth0 web values and API base URL.</w:t>
            </w:r>
          </w:p>
        </w:tc>
        <w:tc>
          <w:tcPr>
            <w:tcW w:type="dxa" w:w="3312"/>
            <w:vAlign w:val="center"/>
            <w:tcMar>
              <w:top w:w="90" w:type="dxa"/>
              <w:start w:w="110" w:type="dxa"/>
              <w:bottom w:w="90" w:type="dxa"/>
              <w:end w:w="110" w:type="dxa"/>
            </w:tcMar>
          </w:tcPr>
          <w:p>
            <w:pPr>
              <w:spacing w:after="0" w:line="259" w:lineRule="auto"/>
            </w:pPr>
            <w:r/>
            <w:r>
              <w:rPr>
                <w:rFonts w:ascii="Aptos" w:hAnsi="Aptos"/>
                <w:b w:val="0"/>
                <w:color w:val="000000"/>
                <w:sz w:val="17"/>
              </w:rPr>
              <w:t>Web service opens and can call the deployed API using its shared proxy configuration.</w:t>
            </w:r>
          </w:p>
        </w:tc>
      </w:tr>
      <w:tr>
        <w:trPr>
          <w:cantSplit/>
        </w:trPr>
        <w:tc>
          <w:tcPr>
            <w:tcW w:type="dxa" w:w="187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Render API service</w:t>
            </w:r>
          </w:p>
        </w:tc>
        <w:tc>
          <w:tcPr>
            <w:tcW w:type="dxa" w:w="496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Set MongoDB URI, Auth0 authority and optional Brevo/Auth0 Management values.</w:t>
            </w:r>
          </w:p>
        </w:tc>
        <w:tc>
          <w:tcPr>
            <w:tcW w:type="dxa" w:w="331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Health endpoint is ready and no secret is committed to Git.</w:t>
            </w:r>
          </w:p>
        </w:tc>
      </w:tr>
      <w:tr>
        <w:trPr>
          <w:cantSplit/>
        </w:trPr>
        <w:tc>
          <w:tcPr>
            <w:tcW w:type="dxa" w:w="1872"/>
            <w:vAlign w:val="center"/>
            <w:tcMar>
              <w:top w:w="90" w:type="dxa"/>
              <w:start w:w="110" w:type="dxa"/>
              <w:bottom w:w="90" w:type="dxa"/>
              <w:end w:w="110" w:type="dxa"/>
            </w:tcMar>
          </w:tcPr>
          <w:p>
            <w:pPr>
              <w:spacing w:after="0" w:line="259" w:lineRule="auto"/>
            </w:pPr>
            <w:r/>
            <w:r>
              <w:rPr>
                <w:rFonts w:ascii="Aptos" w:hAnsi="Aptos"/>
                <w:b w:val="0"/>
                <w:color w:val="000000"/>
                <w:sz w:val="17"/>
              </w:rPr>
              <w:t>Brevo email</w:t>
            </w:r>
          </w:p>
        </w:tc>
        <w:tc>
          <w:tcPr>
            <w:tcW w:type="dxa" w:w="4968"/>
            <w:vAlign w:val="center"/>
            <w:tcMar>
              <w:top w:w="90" w:type="dxa"/>
              <w:start w:w="110" w:type="dxa"/>
              <w:bottom w:w="90" w:type="dxa"/>
              <w:end w:w="110" w:type="dxa"/>
            </w:tcMar>
          </w:tcPr>
          <w:p>
            <w:pPr>
              <w:spacing w:after="0" w:line="259" w:lineRule="auto"/>
            </w:pPr>
            <w:r/>
            <w:r>
              <w:rPr>
                <w:rFonts w:ascii="Aptos" w:hAnsi="Aptos"/>
                <w:b w:val="0"/>
                <w:color w:val="000000"/>
                <w:sz w:val="17"/>
              </w:rPr>
              <w:t>Verify sender and set API key and sender address only when email should be enabled.</w:t>
            </w:r>
          </w:p>
        </w:tc>
        <w:tc>
          <w:tcPr>
            <w:tcW w:type="dxa" w:w="3312"/>
            <w:vAlign w:val="center"/>
            <w:tcMar>
              <w:top w:w="90" w:type="dxa"/>
              <w:start w:w="110" w:type="dxa"/>
              <w:bottom w:w="90" w:type="dxa"/>
              <w:end w:w="110" w:type="dxa"/>
            </w:tcMar>
          </w:tcPr>
          <w:p>
            <w:pPr>
              <w:spacing w:after="0" w:line="259" w:lineRule="auto"/>
            </w:pPr>
            <w:r/>
            <w:r>
              <w:rPr>
                <w:rFonts w:ascii="Aptos" w:hAnsi="Aptos"/>
                <w:b w:val="0"/>
                <w:color w:val="000000"/>
                <w:sz w:val="17"/>
              </w:rPr>
              <w:t>A test booking results in one appropriate message, with no secret shown in logs.</w:t>
            </w:r>
          </w:p>
        </w:tc>
      </w:tr>
    </w:tbl>
    <w:p>
      <w:pPr>
        <w:spacing w:after="20"/>
      </w:pPr>
    </w:p>
    <w:p>
      <w:pPr>
        <w:spacing w:after="140" w:line="276" w:lineRule="auto"/>
      </w:pPr>
      <w:r>
        <w:t>Render free services can sleep after a period without requests, so a first request may take longer than usual. The team should open the deployed web site and API health endpoint before a presentation or assessment demonstration. This is an operational limitation of the selected free tier, not a booking-rule failure.</w:t>
      </w:r>
    </w:p>
    <w:p>
      <w:pPr>
        <w:pStyle w:val="Heading1"/>
        <w:spacing w:before="220" w:after="100"/>
      </w:pPr>
      <w:r>
        <w:t>Testing and quality assurance</w:t>
      </w:r>
    </w:p>
    <w:p>
      <w:pPr>
        <w:spacing w:after="140" w:line="276" w:lineRule="auto"/>
      </w:pPr>
      <w:r>
        <w:t>Quality assurance is built into the repository rather than left only to a final manual demonstration. The automated pipeline restores dependencies in locked mode, compiles the solution, runs fast rule tests, runs MongoDB-backed integration tests, checks known package advisories and builds/runs the Docker images with production-like settings. Pull requests should be merged into integration-part2 only after their required checks pass and review comments have been resolved.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944"/>
            <w:shd w:fill="17365D"/>
            <w:vAlign w:val="center"/>
            <w:tcMar>
              <w:top w:w="90" w:type="dxa"/>
              <w:start w:w="110" w:type="dxa"/>
              <w:bottom w:w="90" w:type="dxa"/>
              <w:end w:w="110" w:type="dxa"/>
            </w:tcMar>
          </w:tcPr>
          <w:p>
            <w:pPr>
              <w:spacing w:after="0" w:line="259" w:lineRule="auto"/>
            </w:pPr>
            <w:r/>
            <w:r>
              <w:rPr>
                <w:rFonts w:ascii="Aptos" w:hAnsi="Aptos"/>
                <w:b/>
                <w:color w:val="FFFFFF"/>
                <w:sz w:val="18"/>
              </w:rPr>
              <w:t>Test area</w:t>
            </w:r>
          </w:p>
        </w:tc>
        <w:tc>
          <w:tcPr>
            <w:tcW w:type="dxa" w:w="4896"/>
            <w:shd w:fill="17365D"/>
            <w:vAlign w:val="center"/>
            <w:tcMar>
              <w:top w:w="90" w:type="dxa"/>
              <w:start w:w="110" w:type="dxa"/>
              <w:bottom w:w="90" w:type="dxa"/>
              <w:end w:w="110" w:type="dxa"/>
            </w:tcMar>
          </w:tcPr>
          <w:p>
            <w:pPr>
              <w:spacing w:after="0" w:line="259" w:lineRule="auto"/>
            </w:pPr>
            <w:r/>
            <w:r>
              <w:rPr>
                <w:rFonts w:ascii="Aptos" w:hAnsi="Aptos"/>
                <w:b/>
                <w:color w:val="FFFFFF"/>
                <w:sz w:val="18"/>
              </w:rPr>
              <w:t>Evidence in the project</w:t>
            </w:r>
          </w:p>
        </w:tc>
        <w:tc>
          <w:tcPr>
            <w:tcW w:type="dxa" w:w="3312"/>
            <w:shd w:fill="17365D"/>
            <w:vAlign w:val="center"/>
            <w:tcMar>
              <w:top w:w="90" w:type="dxa"/>
              <w:start w:w="110" w:type="dxa"/>
              <w:bottom w:w="90" w:type="dxa"/>
              <w:end w:w="110" w:type="dxa"/>
            </w:tcMar>
          </w:tcPr>
          <w:p>
            <w:pPr>
              <w:spacing w:after="0" w:line="259" w:lineRule="auto"/>
            </w:pPr>
            <w:r/>
            <w:r>
              <w:rPr>
                <w:rFonts w:ascii="Aptos" w:hAnsi="Aptos"/>
                <w:b/>
                <w:color w:val="FFFFFF"/>
                <w:sz w:val="18"/>
              </w:rPr>
              <w:t>Example behaviour checked</w:t>
            </w:r>
          </w:p>
        </w:tc>
      </w:tr>
      <w:tr>
        <w:trPr>
          <w:cantSplit/>
        </w:trPr>
        <w:tc>
          <w:tcPr>
            <w:tcW w:type="dxa" w:w="1944"/>
            <w:vAlign w:val="center"/>
            <w:tcMar>
              <w:top w:w="90" w:type="dxa"/>
              <w:start w:w="110" w:type="dxa"/>
              <w:bottom w:w="90" w:type="dxa"/>
              <w:end w:w="110" w:type="dxa"/>
            </w:tcMar>
          </w:tcPr>
          <w:p>
            <w:pPr>
              <w:spacing w:after="0" w:line="259" w:lineRule="auto"/>
            </w:pPr>
            <w:r/>
            <w:r>
              <w:rPr>
                <w:rFonts w:ascii="Aptos" w:hAnsi="Aptos"/>
                <w:b w:val="0"/>
                <w:color w:val="000000"/>
                <w:sz w:val="17"/>
              </w:rPr>
              <w:t>Business rules</w:t>
            </w:r>
          </w:p>
        </w:tc>
        <w:tc>
          <w:tcPr>
            <w:tcW w:type="dxa" w:w="4896"/>
            <w:vAlign w:val="center"/>
            <w:tcMar>
              <w:top w:w="90" w:type="dxa"/>
              <w:start w:w="110" w:type="dxa"/>
              <w:bottom w:w="90" w:type="dxa"/>
              <w:end w:w="110" w:type="dxa"/>
            </w:tcMar>
          </w:tcPr>
          <w:p>
            <w:pPr>
              <w:spacing w:after="0" w:line="259" w:lineRule="auto"/>
            </w:pPr>
            <w:r/>
            <w:r>
              <w:rPr>
                <w:rFonts w:ascii="Aptos" w:hAnsi="Aptos"/>
                <w:b w:val="0"/>
                <w:color w:val="000000"/>
                <w:sz w:val="17"/>
              </w:rPr>
              <w:t>Unit tests for BookingService and related policy code.</w:t>
            </w:r>
          </w:p>
        </w:tc>
        <w:tc>
          <w:tcPr>
            <w:tcW w:type="dxa" w:w="3312"/>
            <w:vAlign w:val="center"/>
            <w:tcMar>
              <w:top w:w="90" w:type="dxa"/>
              <w:start w:w="110" w:type="dxa"/>
              <w:bottom w:w="90" w:type="dxa"/>
              <w:end w:w="110" w:type="dxa"/>
            </w:tcMar>
          </w:tcPr>
          <w:p>
            <w:pPr>
              <w:spacing w:after="0" w:line="259" w:lineRule="auto"/>
            </w:pPr>
            <w:r/>
            <w:r>
              <w:rPr>
                <w:rFonts w:ascii="Aptos" w:hAnsi="Aptos"/>
                <w:b w:val="0"/>
                <w:color w:val="000000"/>
                <w:sz w:val="17"/>
              </w:rPr>
              <w:t>Duration/price calculation, notice limits, state transitions, ownership and validation errors.</w:t>
            </w:r>
          </w:p>
        </w:tc>
      </w:tr>
      <w:tr>
        <w:trPr>
          <w:cantSplit/>
        </w:trPr>
        <w:tc>
          <w:tcPr>
            <w:tcW w:type="dxa" w:w="194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MongoDB behaviour</w:t>
            </w:r>
          </w:p>
        </w:tc>
        <w:tc>
          <w:tcPr>
            <w:tcW w:type="dxa" w:w="4896"/>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Integration tests against MongoDB, including transaction paths.</w:t>
            </w:r>
          </w:p>
        </w:tc>
        <w:tc>
          <w:tcPr>
            <w:tcW w:type="dxa" w:w="331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Concurrent booking/time-block conflict and rollback leave the schedule consistent.</w:t>
            </w:r>
          </w:p>
        </w:tc>
      </w:tr>
      <w:tr>
        <w:trPr>
          <w:cantSplit/>
        </w:trPr>
        <w:tc>
          <w:tcPr>
            <w:tcW w:type="dxa" w:w="1944"/>
            <w:vAlign w:val="center"/>
            <w:tcMar>
              <w:top w:w="90" w:type="dxa"/>
              <w:start w:w="110" w:type="dxa"/>
              <w:bottom w:w="90" w:type="dxa"/>
              <w:end w:w="110" w:type="dxa"/>
            </w:tcMar>
          </w:tcPr>
          <w:p>
            <w:pPr>
              <w:spacing w:after="0" w:line="259" w:lineRule="auto"/>
            </w:pPr>
            <w:r/>
            <w:r>
              <w:rPr>
                <w:rFonts w:ascii="Aptos" w:hAnsi="Aptos"/>
                <w:b w:val="0"/>
                <w:color w:val="000000"/>
                <w:sz w:val="17"/>
              </w:rPr>
              <w:t>Web application</w:t>
            </w:r>
          </w:p>
        </w:tc>
        <w:tc>
          <w:tcPr>
            <w:tcW w:type="dxa" w:w="4896"/>
            <w:vAlign w:val="center"/>
            <w:tcMar>
              <w:top w:w="90" w:type="dxa"/>
              <w:start w:w="110" w:type="dxa"/>
              <w:bottom w:w="90" w:type="dxa"/>
              <w:end w:w="110" w:type="dxa"/>
            </w:tcMar>
          </w:tcPr>
          <w:p>
            <w:pPr>
              <w:spacing w:after="0" w:line="259" w:lineRule="auto"/>
            </w:pPr>
            <w:r/>
            <w:r>
              <w:rPr>
                <w:rFonts w:ascii="Aptos" w:hAnsi="Aptos"/>
                <w:b w:val="0"/>
                <w:color w:val="000000"/>
                <w:sz w:val="17"/>
              </w:rPr>
              <w:t>MVC/controller and interface tests.</w:t>
            </w:r>
          </w:p>
        </w:tc>
        <w:tc>
          <w:tcPr>
            <w:tcW w:type="dxa" w:w="3312"/>
            <w:vAlign w:val="center"/>
            <w:tcMar>
              <w:top w:w="90" w:type="dxa"/>
              <w:start w:w="110" w:type="dxa"/>
              <w:bottom w:w="90" w:type="dxa"/>
              <w:end w:w="110" w:type="dxa"/>
            </w:tcMar>
          </w:tcPr>
          <w:p>
            <w:pPr>
              <w:spacing w:after="0" w:line="259" w:lineRule="auto"/>
            </w:pPr>
            <w:r/>
            <w:r>
              <w:rPr>
                <w:rFonts w:ascii="Aptos" w:hAnsi="Aptos"/>
                <w:b w:val="0"/>
                <w:color w:val="000000"/>
                <w:sz w:val="17"/>
              </w:rPr>
              <w:t>Authenticated users see the correct identity context and staff workflow paths.</w:t>
            </w:r>
          </w:p>
        </w:tc>
      </w:tr>
      <w:tr>
        <w:trPr>
          <w:cantSplit/>
        </w:trPr>
        <w:tc>
          <w:tcPr>
            <w:tcW w:type="dxa" w:w="194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Container deployment</w:t>
            </w:r>
          </w:p>
        </w:tc>
        <w:tc>
          <w:tcPr>
            <w:tcW w:type="dxa" w:w="4896"/>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GitHub Actions container job builds the web and API images and performs health-oriented checks.</w:t>
            </w:r>
          </w:p>
        </w:tc>
        <w:tc>
          <w:tcPr>
            <w:tcW w:type="dxa" w:w="331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Images can start with the expected production configuration shape.</w:t>
            </w:r>
          </w:p>
        </w:tc>
      </w:tr>
      <w:tr>
        <w:trPr>
          <w:cantSplit/>
        </w:trPr>
        <w:tc>
          <w:tcPr>
            <w:tcW w:type="dxa" w:w="1944"/>
            <w:vAlign w:val="center"/>
            <w:tcMar>
              <w:top w:w="90" w:type="dxa"/>
              <w:start w:w="110" w:type="dxa"/>
              <w:bottom w:w="90" w:type="dxa"/>
              <w:end w:w="110" w:type="dxa"/>
            </w:tcMar>
          </w:tcPr>
          <w:p>
            <w:pPr>
              <w:spacing w:after="0" w:line="259" w:lineRule="auto"/>
            </w:pPr>
            <w:r/>
            <w:r>
              <w:rPr>
                <w:rFonts w:ascii="Aptos" w:hAnsi="Aptos"/>
                <w:b w:val="0"/>
                <w:color w:val="000000"/>
                <w:sz w:val="17"/>
              </w:rPr>
              <w:t>Manual acceptance</w:t>
            </w:r>
          </w:p>
        </w:tc>
        <w:tc>
          <w:tcPr>
            <w:tcW w:type="dxa" w:w="4896"/>
            <w:vAlign w:val="center"/>
            <w:tcMar>
              <w:top w:w="90" w:type="dxa"/>
              <w:start w:w="110" w:type="dxa"/>
              <w:bottom w:w="90" w:type="dxa"/>
              <w:end w:w="110" w:type="dxa"/>
            </w:tcMar>
          </w:tcPr>
          <w:p>
            <w:pPr>
              <w:spacing w:after="0" w:line="259" w:lineRule="auto"/>
            </w:pPr>
            <w:r/>
            <w:r>
              <w:rPr>
                <w:rFonts w:ascii="Aptos" w:hAnsi="Aptos"/>
                <w:b w:val="0"/>
                <w:color w:val="000000"/>
                <w:sz w:val="17"/>
              </w:rPr>
              <w:t>Team smoke testing against the hosted services.</w:t>
            </w:r>
          </w:p>
        </w:tc>
        <w:tc>
          <w:tcPr>
            <w:tcW w:type="dxa" w:w="3312"/>
            <w:vAlign w:val="center"/>
            <w:tcMar>
              <w:top w:w="90" w:type="dxa"/>
              <w:start w:w="110" w:type="dxa"/>
              <w:bottom w:w="90" w:type="dxa"/>
              <w:end w:w="110" w:type="dxa"/>
            </w:tcMar>
          </w:tcPr>
          <w:p>
            <w:pPr>
              <w:spacing w:after="0" w:line="259" w:lineRule="auto"/>
            </w:pPr>
            <w:r/>
            <w:r>
              <w:rPr>
                <w:rFonts w:ascii="Aptos" w:hAnsi="Aptos"/>
                <w:b w:val="0"/>
                <w:color w:val="000000"/>
                <w:sz w:val="17"/>
              </w:rPr>
              <w:t>Login, booking, barber actions, admin changes, email configuration and error messages are understandable.</w:t>
            </w:r>
          </w:p>
        </w:tc>
      </w:tr>
    </w:tbl>
    <w:p>
      <w:pPr>
        <w:spacing w:after="20"/>
      </w:pPr>
    </w:p>
    <w:p>
      <w:pPr>
        <w:spacing w:after="140" w:line="276" w:lineRule="auto"/>
      </w:pPr>
      <w:r>
        <w:t>The team must record the exact commit, workflow results and test accounts used for final submission evidence. Automated checks establish repeatability; the final hosted smoke test confirms that the actual secrets, Auth0 callback URLs, Atlas access and Render deployment settings work together.</w:t>
      </w:r>
    </w:p>
    <w:p>
      <w:pPr>
        <w:pStyle w:val="Heading1"/>
        <w:spacing w:before="220" w:after="100"/>
      </w:pPr>
      <w:r>
        <w:t>Cost model</w:t>
      </w:r>
    </w:p>
    <w:p>
      <w:pPr>
        <w:spacing w:after="140" w:line="276" w:lineRule="auto"/>
      </w:pPr>
      <w:r>
        <w:t>The earlier Azure cost table has been replaced with the actual Part 2 service model. The values below are planning estimates for the educational/development configuration, not a guarantee of future provider pricing. Free-tier rules, allowances and sleep behaviour can change, so the team must re-check provider dashboards on the day of deployment. No paid subscription is required for the intended Part 2 demonstration if the selected free tiers remain available.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872"/>
            <w:shd w:fill="17365D"/>
            <w:vAlign w:val="center"/>
            <w:tcMar>
              <w:top w:w="90" w:type="dxa"/>
              <w:start w:w="110" w:type="dxa"/>
              <w:bottom w:w="90" w:type="dxa"/>
              <w:end w:w="110" w:type="dxa"/>
            </w:tcMar>
          </w:tcPr>
          <w:p>
            <w:pPr>
              <w:spacing w:after="0" w:line="259" w:lineRule="auto"/>
            </w:pPr>
            <w:r/>
            <w:r>
              <w:rPr>
                <w:rFonts w:ascii="Aptos" w:hAnsi="Aptos"/>
                <w:b/>
                <w:color w:val="FFFFFF"/>
                <w:sz w:val="18"/>
              </w:rPr>
              <w:t>Service</w:t>
            </w:r>
          </w:p>
        </w:tc>
        <w:tc>
          <w:tcPr>
            <w:tcW w:type="dxa" w:w="3888"/>
            <w:shd w:fill="17365D"/>
            <w:vAlign w:val="center"/>
            <w:tcMar>
              <w:top w:w="90" w:type="dxa"/>
              <w:start w:w="110" w:type="dxa"/>
              <w:bottom w:w="90" w:type="dxa"/>
              <w:end w:w="110" w:type="dxa"/>
            </w:tcMar>
          </w:tcPr>
          <w:p>
            <w:pPr>
              <w:spacing w:after="0" w:line="259" w:lineRule="auto"/>
            </w:pPr>
            <w:r/>
            <w:r>
              <w:rPr>
                <w:rFonts w:ascii="Aptos" w:hAnsi="Aptos"/>
                <w:b/>
                <w:color w:val="FFFFFF"/>
                <w:sz w:val="18"/>
              </w:rPr>
              <w:t>Part 2 use</w:t>
            </w:r>
          </w:p>
        </w:tc>
        <w:tc>
          <w:tcPr>
            <w:tcW w:type="dxa" w:w="1800"/>
            <w:shd w:fill="17365D"/>
            <w:vAlign w:val="center"/>
            <w:tcMar>
              <w:top w:w="90" w:type="dxa"/>
              <w:start w:w="110" w:type="dxa"/>
              <w:bottom w:w="90" w:type="dxa"/>
              <w:end w:w="110" w:type="dxa"/>
            </w:tcMar>
          </w:tcPr>
          <w:p>
            <w:pPr>
              <w:spacing w:after="0" w:line="259" w:lineRule="auto"/>
            </w:pPr>
            <w:r/>
            <w:r>
              <w:rPr>
                <w:rFonts w:ascii="Aptos" w:hAnsi="Aptos"/>
                <w:b/>
                <w:color w:val="FFFFFF"/>
                <w:sz w:val="18"/>
              </w:rPr>
              <w:t>Planned student cost</w:t>
            </w:r>
          </w:p>
        </w:tc>
        <w:tc>
          <w:tcPr>
            <w:tcW w:type="dxa" w:w="2880"/>
            <w:shd w:fill="17365D"/>
            <w:vAlign w:val="center"/>
            <w:tcMar>
              <w:top w:w="90" w:type="dxa"/>
              <w:start w:w="110" w:type="dxa"/>
              <w:bottom w:w="90" w:type="dxa"/>
              <w:end w:w="110" w:type="dxa"/>
            </w:tcMar>
          </w:tcPr>
          <w:p>
            <w:pPr>
              <w:spacing w:after="0" w:line="259" w:lineRule="auto"/>
            </w:pPr>
            <w:r/>
            <w:r>
              <w:rPr>
                <w:rFonts w:ascii="Aptos" w:hAnsi="Aptos"/>
                <w:b/>
                <w:color w:val="FFFFFF"/>
                <w:sz w:val="18"/>
              </w:rPr>
              <w:t>Notes</w:t>
            </w:r>
          </w:p>
        </w:tc>
      </w:tr>
      <w:tr>
        <w:trPr>
          <w:cantSplit/>
        </w:trPr>
        <w:tc>
          <w:tcPr>
            <w:tcW w:type="dxa" w:w="1872"/>
            <w:vAlign w:val="center"/>
            <w:tcMar>
              <w:top w:w="90" w:type="dxa"/>
              <w:start w:w="110" w:type="dxa"/>
              <w:bottom w:w="90" w:type="dxa"/>
              <w:end w:w="110" w:type="dxa"/>
            </w:tcMar>
          </w:tcPr>
          <w:p>
            <w:pPr>
              <w:spacing w:after="0" w:line="259" w:lineRule="auto"/>
            </w:pPr>
            <w:r/>
            <w:r>
              <w:rPr>
                <w:rFonts w:ascii="Aptos" w:hAnsi="Aptos"/>
                <w:b w:val="0"/>
                <w:color w:val="000000"/>
                <w:sz w:val="17"/>
              </w:rPr>
              <w:t>MongoDB Atlas</w:t>
            </w:r>
          </w:p>
        </w:tc>
        <w:tc>
          <w:tcPr>
            <w:tcW w:type="dxa" w:w="3888"/>
            <w:vAlign w:val="center"/>
            <w:tcMar>
              <w:top w:w="90" w:type="dxa"/>
              <w:start w:w="110" w:type="dxa"/>
              <w:bottom w:w="90" w:type="dxa"/>
              <w:end w:w="110" w:type="dxa"/>
            </w:tcMar>
          </w:tcPr>
          <w:p>
            <w:pPr>
              <w:spacing w:after="0" w:line="259" w:lineRule="auto"/>
            </w:pPr>
            <w:r/>
            <w:r>
              <w:rPr>
                <w:rFonts w:ascii="Aptos" w:hAnsi="Aptos"/>
                <w:b w:val="0"/>
                <w:color w:val="000000"/>
                <w:sz w:val="17"/>
              </w:rPr>
              <w:t>Shared MongoDB development database.</w:t>
            </w:r>
          </w:p>
        </w:tc>
        <w:tc>
          <w:tcPr>
            <w:tcW w:type="dxa" w:w="1800"/>
            <w:vAlign w:val="center"/>
            <w:tcMar>
              <w:top w:w="90" w:type="dxa"/>
              <w:start w:w="110" w:type="dxa"/>
              <w:bottom w:w="90" w:type="dxa"/>
              <w:end w:w="110" w:type="dxa"/>
            </w:tcMar>
          </w:tcPr>
          <w:p>
            <w:pPr>
              <w:spacing w:after="0" w:line="259" w:lineRule="auto"/>
            </w:pPr>
            <w:r/>
            <w:r>
              <w:rPr>
                <w:rFonts w:ascii="Aptos" w:hAnsi="Aptos"/>
                <w:b w:val="0"/>
                <w:color w:val="000000"/>
                <w:sz w:val="17"/>
              </w:rPr>
              <w:t>R0 on an eligible free tier</w:t>
            </w:r>
          </w:p>
        </w:tc>
        <w:tc>
          <w:tcPr>
            <w:tcW w:type="dxa" w:w="2880"/>
            <w:vAlign w:val="center"/>
            <w:tcMar>
              <w:top w:w="90" w:type="dxa"/>
              <w:start w:w="110" w:type="dxa"/>
              <w:bottom w:w="90" w:type="dxa"/>
              <w:end w:w="110" w:type="dxa"/>
            </w:tcMar>
          </w:tcPr>
          <w:p>
            <w:pPr>
              <w:spacing w:after="0" w:line="259" w:lineRule="auto"/>
            </w:pPr>
            <w:r/>
            <w:r>
              <w:rPr>
                <w:rFonts w:ascii="Aptos" w:hAnsi="Aptos"/>
                <w:b w:val="0"/>
                <w:color w:val="000000"/>
                <w:sz w:val="17"/>
              </w:rPr>
              <w:t>Use a separate least-privilege database user and keep the URI in Render/local secrets.</w:t>
            </w:r>
          </w:p>
        </w:tc>
      </w:tr>
      <w:tr>
        <w:trPr>
          <w:cantSplit/>
        </w:trPr>
        <w:tc>
          <w:tcPr>
            <w:tcW w:type="dxa" w:w="187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Render</w:t>
            </w:r>
          </w:p>
        </w:tc>
        <w:tc>
          <w:tcPr>
            <w:tcW w:type="dxa" w:w="388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One web service and one API service built from Docker.</w:t>
            </w:r>
          </w:p>
        </w:tc>
        <w:tc>
          <w:tcPr>
            <w:tcW w:type="dxa" w:w="180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R0 on an eligible free tier</w:t>
            </w:r>
          </w:p>
        </w:tc>
        <w:tc>
          <w:tcPr>
            <w:tcW w:type="dxa" w:w="288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Free services may sleep and have resource limits; verify current free-tier terms before deploy.</w:t>
            </w:r>
          </w:p>
        </w:tc>
      </w:tr>
      <w:tr>
        <w:trPr>
          <w:cantSplit/>
        </w:trPr>
        <w:tc>
          <w:tcPr>
            <w:tcW w:type="dxa" w:w="1872"/>
            <w:vAlign w:val="center"/>
            <w:tcMar>
              <w:top w:w="90" w:type="dxa"/>
              <w:start w:w="110" w:type="dxa"/>
              <w:bottom w:w="90" w:type="dxa"/>
              <w:end w:w="110" w:type="dxa"/>
            </w:tcMar>
          </w:tcPr>
          <w:p>
            <w:pPr>
              <w:spacing w:after="0" w:line="259" w:lineRule="auto"/>
            </w:pPr>
            <w:r/>
            <w:r>
              <w:rPr>
                <w:rFonts w:ascii="Aptos" w:hAnsi="Aptos"/>
                <w:b w:val="0"/>
                <w:color w:val="000000"/>
                <w:sz w:val="17"/>
              </w:rPr>
              <w:t>Auth0</w:t>
            </w:r>
          </w:p>
        </w:tc>
        <w:tc>
          <w:tcPr>
            <w:tcW w:type="dxa" w:w="3888"/>
            <w:vAlign w:val="center"/>
            <w:tcMar>
              <w:top w:w="90" w:type="dxa"/>
              <w:start w:w="110" w:type="dxa"/>
              <w:bottom w:w="90" w:type="dxa"/>
              <w:end w:w="110" w:type="dxa"/>
            </w:tcMar>
          </w:tcPr>
          <w:p>
            <w:pPr>
              <w:spacing w:after="0" w:line="259" w:lineRule="auto"/>
            </w:pPr>
            <w:r/>
            <w:r>
              <w:rPr>
                <w:rFonts w:ascii="Aptos" w:hAnsi="Aptos"/>
                <w:b w:val="0"/>
                <w:color w:val="000000"/>
                <w:sz w:val="17"/>
              </w:rPr>
              <w:t>Universal Login, customer accounts and signed API tokens.</w:t>
            </w:r>
          </w:p>
        </w:tc>
        <w:tc>
          <w:tcPr>
            <w:tcW w:type="dxa" w:w="1800"/>
            <w:vAlign w:val="center"/>
            <w:tcMar>
              <w:top w:w="90" w:type="dxa"/>
              <w:start w:w="110" w:type="dxa"/>
              <w:bottom w:w="90" w:type="dxa"/>
              <w:end w:w="110" w:type="dxa"/>
            </w:tcMar>
          </w:tcPr>
          <w:p>
            <w:pPr>
              <w:spacing w:after="0" w:line="259" w:lineRule="auto"/>
            </w:pPr>
            <w:r/>
            <w:r>
              <w:rPr>
                <w:rFonts w:ascii="Aptos" w:hAnsi="Aptos"/>
                <w:b w:val="0"/>
                <w:color w:val="000000"/>
                <w:sz w:val="17"/>
              </w:rPr>
              <w:t>R0 within free-tier allowance</w:t>
            </w:r>
          </w:p>
        </w:tc>
        <w:tc>
          <w:tcPr>
            <w:tcW w:type="dxa" w:w="2880"/>
            <w:vAlign w:val="center"/>
            <w:tcMar>
              <w:top w:w="90" w:type="dxa"/>
              <w:start w:w="110" w:type="dxa"/>
              <w:bottom w:w="90" w:type="dxa"/>
              <w:end w:w="110" w:type="dxa"/>
            </w:tcMar>
          </w:tcPr>
          <w:p>
            <w:pPr>
              <w:spacing w:after="0" w:line="259" w:lineRule="auto"/>
            </w:pPr>
            <w:r/>
            <w:r>
              <w:rPr>
                <w:rFonts w:ascii="Aptos" w:hAnsi="Aptos"/>
                <w:b w:val="0"/>
                <w:color w:val="000000"/>
                <w:sz w:val="17"/>
              </w:rPr>
              <w:t>Keep client secret outside source control. Management API use requires a limited M2M application.</w:t>
            </w:r>
          </w:p>
        </w:tc>
      </w:tr>
      <w:tr>
        <w:trPr>
          <w:cantSplit/>
        </w:trPr>
        <w:tc>
          <w:tcPr>
            <w:tcW w:type="dxa" w:w="187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Brevo</w:t>
            </w:r>
          </w:p>
        </w:tc>
        <w:tc>
          <w:tcPr>
            <w:tcW w:type="dxa" w:w="388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Optional booking confirmation email through HTTPS API.</w:t>
            </w:r>
          </w:p>
        </w:tc>
        <w:tc>
          <w:tcPr>
            <w:tcW w:type="dxa" w:w="180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R0 while within free-tier allowance</w:t>
            </w:r>
          </w:p>
        </w:tc>
        <w:tc>
          <w:tcPr>
            <w:tcW w:type="dxa" w:w="288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Only enable after verifying a sender address.</w:t>
            </w:r>
          </w:p>
        </w:tc>
      </w:tr>
      <w:tr>
        <w:trPr>
          <w:cantSplit/>
        </w:trPr>
        <w:tc>
          <w:tcPr>
            <w:tcW w:type="dxa" w:w="1872"/>
            <w:vAlign w:val="center"/>
            <w:tcMar>
              <w:top w:w="90" w:type="dxa"/>
              <w:start w:w="110" w:type="dxa"/>
              <w:bottom w:w="90" w:type="dxa"/>
              <w:end w:w="110" w:type="dxa"/>
            </w:tcMar>
          </w:tcPr>
          <w:p>
            <w:pPr>
              <w:spacing w:after="0" w:line="259" w:lineRule="auto"/>
            </w:pPr>
            <w:r/>
            <w:r>
              <w:rPr>
                <w:rFonts w:ascii="Aptos" w:hAnsi="Aptos"/>
                <w:b w:val="0"/>
                <w:color w:val="000000"/>
                <w:sz w:val="17"/>
              </w:rPr>
              <w:t>GitHub Actions</w:t>
            </w:r>
          </w:p>
        </w:tc>
        <w:tc>
          <w:tcPr>
            <w:tcW w:type="dxa" w:w="3888"/>
            <w:vAlign w:val="center"/>
            <w:tcMar>
              <w:top w:w="90" w:type="dxa"/>
              <w:start w:w="110" w:type="dxa"/>
              <w:bottom w:w="90" w:type="dxa"/>
              <w:end w:w="110" w:type="dxa"/>
            </w:tcMar>
          </w:tcPr>
          <w:p>
            <w:pPr>
              <w:spacing w:after="0" w:line="259" w:lineRule="auto"/>
            </w:pPr>
            <w:r/>
            <w:r>
              <w:rPr>
                <w:rFonts w:ascii="Aptos" w:hAnsi="Aptos"/>
                <w:b w:val="0"/>
                <w:color w:val="000000"/>
                <w:sz w:val="17"/>
              </w:rPr>
              <w:t>Build, tests, security and container checks.</w:t>
            </w:r>
          </w:p>
        </w:tc>
        <w:tc>
          <w:tcPr>
            <w:tcW w:type="dxa" w:w="1800"/>
            <w:vAlign w:val="center"/>
            <w:tcMar>
              <w:top w:w="90" w:type="dxa"/>
              <w:start w:w="110" w:type="dxa"/>
              <w:bottom w:w="90" w:type="dxa"/>
              <w:end w:w="110" w:type="dxa"/>
            </w:tcMar>
          </w:tcPr>
          <w:p>
            <w:pPr>
              <w:spacing w:after="0" w:line="259" w:lineRule="auto"/>
            </w:pPr>
            <w:r/>
            <w:r>
              <w:rPr>
                <w:rFonts w:ascii="Aptos" w:hAnsi="Aptos"/>
                <w:b w:val="0"/>
                <w:color w:val="000000"/>
                <w:sz w:val="17"/>
              </w:rPr>
              <w:t>R0 for public/included minutes</w:t>
            </w:r>
          </w:p>
        </w:tc>
        <w:tc>
          <w:tcPr>
            <w:tcW w:type="dxa" w:w="2880"/>
            <w:vAlign w:val="center"/>
            <w:tcMar>
              <w:top w:w="90" w:type="dxa"/>
              <w:start w:w="110" w:type="dxa"/>
              <w:bottom w:w="90" w:type="dxa"/>
              <w:end w:w="110" w:type="dxa"/>
            </w:tcMar>
          </w:tcPr>
          <w:p>
            <w:pPr>
              <w:spacing w:after="0" w:line="259" w:lineRule="auto"/>
            </w:pPr>
            <w:r/>
            <w:r>
              <w:rPr>
                <w:rFonts w:ascii="Aptos" w:hAnsi="Aptos"/>
                <w:b w:val="0"/>
                <w:color w:val="000000"/>
                <w:sz w:val="17"/>
              </w:rPr>
              <w:t>Watch usage if the repository or workflow plan changes.</w:t>
            </w:r>
          </w:p>
        </w:tc>
      </w:tr>
      <w:tr>
        <w:trPr>
          <w:cantSplit/>
        </w:trPr>
        <w:tc>
          <w:tcPr>
            <w:tcW w:type="dxa" w:w="187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Domain and commercial email</w:t>
            </w:r>
          </w:p>
        </w:tc>
        <w:tc>
          <w:tcPr>
            <w:tcW w:type="dxa" w:w="388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Optional presentation polish or future operation.</w:t>
            </w:r>
          </w:p>
        </w:tc>
        <w:tc>
          <w:tcPr>
            <w:tcW w:type="dxa" w:w="180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Not included</w:t>
            </w:r>
          </w:p>
        </w:tc>
        <w:tc>
          <w:tcPr>
            <w:tcW w:type="dxa" w:w="288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The Part 2 deployment can use provider URLs.</w:t>
            </w:r>
          </w:p>
        </w:tc>
      </w:tr>
    </w:tbl>
    <w:p>
      <w:pPr>
        <w:spacing w:after="20"/>
      </w:pPr>
    </w:p>
    <w:p>
      <w:pPr>
        <w:spacing w:after="140" w:line="276" w:lineRule="auto"/>
      </w:pPr>
      <w:r>
        <w:t>Expected core hosting cost for the demonstration is therefore R0 under the free-tier assumptions above. The model deliberately excludes any optional custom domain, paid email sending, premium identity features, payment processing, stock systems, staff devices and real-world operational support. Those costs should be evaluated only if the project moves beyond the academic prototype.</w:t>
      </w:r>
    </w:p>
    <w:p>
      <w:pPr>
        <w:pStyle w:val="Heading1"/>
        <w:spacing w:before="220" w:after="100"/>
      </w:pPr>
      <w:r>
        <w:t>Implementation status and remaining configuration</w:t>
      </w:r>
    </w:p>
    <w:p>
      <w:pPr>
        <w:spacing w:after="140" w:line="276" w:lineRule="auto"/>
      </w:pPr>
      <w:r>
        <w:t>The repository includes the central web, API, database, deployment and validation work. Remaining actions are primarily controlled configuration and acceptance testing. They should be treated as a final checklist rather than as reasons to redesign the completed booking architecture.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7365D"/>
            <w:vAlign w:val="center"/>
            <w:tcMar>
              <w:top w:w="90" w:type="dxa"/>
              <w:start w:w="110" w:type="dxa"/>
              <w:bottom w:w="90" w:type="dxa"/>
              <w:end w:w="110" w:type="dxa"/>
            </w:tcMar>
          </w:tcPr>
          <w:p>
            <w:pPr>
              <w:spacing w:after="0" w:line="259" w:lineRule="auto"/>
            </w:pPr>
            <w:r/>
            <w:r>
              <w:rPr>
                <w:rFonts w:ascii="Aptos" w:hAnsi="Aptos"/>
                <w:b/>
                <w:color w:val="FFFFFF"/>
                <w:sz w:val="18"/>
              </w:rPr>
              <w:t>Status</w:t>
            </w:r>
          </w:p>
        </w:tc>
        <w:tc>
          <w:tcPr>
            <w:tcW w:type="dxa" w:w="5040"/>
            <w:shd w:fill="17365D"/>
            <w:vAlign w:val="center"/>
            <w:tcMar>
              <w:top w:w="90" w:type="dxa"/>
              <w:start w:w="110" w:type="dxa"/>
              <w:bottom w:w="90" w:type="dxa"/>
              <w:end w:w="110" w:type="dxa"/>
            </w:tcMar>
          </w:tcPr>
          <w:p>
            <w:pPr>
              <w:spacing w:after="0" w:line="259" w:lineRule="auto"/>
            </w:pPr>
            <w:r/>
            <w:r>
              <w:rPr>
                <w:rFonts w:ascii="Aptos" w:hAnsi="Aptos"/>
                <w:b/>
                <w:color w:val="FFFFFF"/>
                <w:sz w:val="18"/>
              </w:rPr>
              <w:t>Item</w:t>
            </w:r>
          </w:p>
        </w:tc>
        <w:tc>
          <w:tcPr>
            <w:tcW w:type="dxa" w:w="3672"/>
            <w:shd w:fill="17365D"/>
            <w:vAlign w:val="center"/>
            <w:tcMar>
              <w:top w:w="90" w:type="dxa"/>
              <w:start w:w="110" w:type="dxa"/>
              <w:bottom w:w="90" w:type="dxa"/>
              <w:end w:w="110" w:type="dxa"/>
            </w:tcMar>
          </w:tcPr>
          <w:p>
            <w:pPr>
              <w:spacing w:after="0" w:line="259" w:lineRule="auto"/>
            </w:pPr>
            <w:r/>
            <w:r>
              <w:rPr>
                <w:rFonts w:ascii="Aptos" w:hAnsi="Aptos"/>
                <w:b/>
                <w:color w:val="FFFFFF"/>
                <w:sz w:val="18"/>
              </w:rPr>
              <w:t>Owner or team action</w:t>
            </w:r>
          </w:p>
        </w:tc>
      </w:tr>
      <w:tr>
        <w:trPr>
          <w:cantSplit/>
        </w:trPr>
        <w:tc>
          <w:tcPr>
            <w:tcW w:type="dxa" w:w="1728"/>
            <w:vAlign w:val="center"/>
            <w:tcMar>
              <w:top w:w="90" w:type="dxa"/>
              <w:start w:w="110" w:type="dxa"/>
              <w:bottom w:w="90" w:type="dxa"/>
              <w:end w:w="110" w:type="dxa"/>
            </w:tcMar>
          </w:tcPr>
          <w:p>
            <w:pPr>
              <w:spacing w:after="0" w:line="259" w:lineRule="auto"/>
            </w:pPr>
            <w:r/>
            <w:r>
              <w:rPr>
                <w:rFonts w:ascii="Aptos" w:hAnsi="Aptos"/>
                <w:b w:val="0"/>
                <w:color w:val="000000"/>
                <w:sz w:val="17"/>
              </w:rPr>
              <w:t>Complete in code</w:t>
            </w:r>
          </w:p>
        </w:tc>
        <w:tc>
          <w:tcPr>
            <w:tcW w:type="dxa" w:w="5040"/>
            <w:vAlign w:val="center"/>
            <w:tcMar>
              <w:top w:w="90" w:type="dxa"/>
              <w:start w:w="110" w:type="dxa"/>
              <w:bottom w:w="90" w:type="dxa"/>
              <w:end w:w="110" w:type="dxa"/>
            </w:tcMar>
          </w:tcPr>
          <w:p>
            <w:pPr>
              <w:spacing w:after="0" w:line="259" w:lineRule="auto"/>
            </w:pPr>
            <w:r/>
            <w:r>
              <w:rPr>
                <w:rFonts w:ascii="Aptos" w:hAnsi="Aptos"/>
                <w:b w:val="0"/>
                <w:color w:val="000000"/>
                <w:sz w:val="17"/>
              </w:rPr>
              <w:t>Core booking APIs, MongoDB persistence, transactions, booking lifecycle, multi-service bookings and skill-aware barber matching.</w:t>
            </w:r>
          </w:p>
        </w:tc>
        <w:tc>
          <w:tcPr>
            <w:tcW w:type="dxa" w:w="3672"/>
            <w:vAlign w:val="center"/>
            <w:tcMar>
              <w:top w:w="90" w:type="dxa"/>
              <w:start w:w="110" w:type="dxa"/>
              <w:bottom w:w="90" w:type="dxa"/>
              <w:end w:w="110" w:type="dxa"/>
            </w:tcMar>
          </w:tcPr>
          <w:p>
            <w:pPr>
              <w:spacing w:after="0" w:line="259" w:lineRule="auto"/>
            </w:pPr>
            <w:r/>
            <w:r>
              <w:rPr>
                <w:rFonts w:ascii="Aptos" w:hAnsi="Aptos"/>
                <w:b w:val="0"/>
                <w:color w:val="000000"/>
                <w:sz w:val="17"/>
              </w:rPr>
              <w:t>Keep regression tests passing when integrating other changes.</w:t>
            </w:r>
          </w:p>
        </w:tc>
      </w:tr>
      <w:tr>
        <w:trPr>
          <w:cantSplit/>
        </w:trPr>
        <w:tc>
          <w:tcPr>
            <w:tcW w:type="dxa" w:w="172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Complete in code</w:t>
            </w:r>
          </w:p>
        </w:tc>
        <w:tc>
          <w:tcPr>
            <w:tcW w:type="dxa" w:w="504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Auth0-aware web/API integration and display-name handling.</w:t>
            </w:r>
          </w:p>
        </w:tc>
        <w:tc>
          <w:tcPr>
            <w:tcW w:type="dxa" w:w="367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Verify real tenant settings and role claims in the deployed environment.</w:t>
            </w:r>
          </w:p>
        </w:tc>
      </w:tr>
      <w:tr>
        <w:trPr>
          <w:cantSplit/>
        </w:trPr>
        <w:tc>
          <w:tcPr>
            <w:tcW w:type="dxa" w:w="1728"/>
            <w:vAlign w:val="center"/>
            <w:tcMar>
              <w:top w:w="90" w:type="dxa"/>
              <w:start w:w="110" w:type="dxa"/>
              <w:bottom w:w="90" w:type="dxa"/>
              <w:end w:w="110" w:type="dxa"/>
            </w:tcMar>
          </w:tcPr>
          <w:p>
            <w:pPr>
              <w:spacing w:after="0" w:line="259" w:lineRule="auto"/>
            </w:pPr>
            <w:r/>
            <w:r>
              <w:rPr>
                <w:rFonts w:ascii="Aptos" w:hAnsi="Aptos"/>
                <w:b w:val="0"/>
                <w:color w:val="000000"/>
                <w:sz w:val="17"/>
              </w:rPr>
              <w:t>Complete in code</w:t>
            </w:r>
          </w:p>
        </w:tc>
        <w:tc>
          <w:tcPr>
            <w:tcW w:type="dxa" w:w="5040"/>
            <w:vAlign w:val="center"/>
            <w:tcMar>
              <w:top w:w="90" w:type="dxa"/>
              <w:start w:w="110" w:type="dxa"/>
              <w:bottom w:w="90" w:type="dxa"/>
              <w:end w:w="110" w:type="dxa"/>
            </w:tcMar>
          </w:tcPr>
          <w:p>
            <w:pPr>
              <w:spacing w:after="0" w:line="259" w:lineRule="auto"/>
            </w:pPr>
            <w:r/>
            <w:r>
              <w:rPr>
                <w:rFonts w:ascii="Aptos" w:hAnsi="Aptos"/>
                <w:b w:val="0"/>
                <w:color w:val="000000"/>
                <w:sz w:val="17"/>
              </w:rPr>
              <w:t>Admin staff-management workflow and audit design, guarded by feature configuration.</w:t>
            </w:r>
          </w:p>
        </w:tc>
        <w:tc>
          <w:tcPr>
            <w:tcW w:type="dxa" w:w="3672"/>
            <w:vAlign w:val="center"/>
            <w:tcMar>
              <w:top w:w="90" w:type="dxa"/>
              <w:start w:w="110" w:type="dxa"/>
              <w:bottom w:w="90" w:type="dxa"/>
              <w:end w:w="110" w:type="dxa"/>
            </w:tcMar>
          </w:tcPr>
          <w:p>
            <w:pPr>
              <w:spacing w:after="0" w:line="259" w:lineRule="auto"/>
            </w:pPr>
            <w:r/>
            <w:r>
              <w:rPr>
                <w:rFonts w:ascii="Aptos" w:hAnsi="Aptos"/>
                <w:b w:val="0"/>
                <w:color w:val="000000"/>
                <w:sz w:val="17"/>
              </w:rPr>
              <w:t>Create the restricted Auth0 M2M application and set only the listed Render secrets before enabling.</w:t>
            </w:r>
          </w:p>
        </w:tc>
      </w:tr>
      <w:tr>
        <w:trPr>
          <w:cantSplit/>
        </w:trPr>
        <w:tc>
          <w:tcPr>
            <w:tcW w:type="dxa" w:w="172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Available when configured</w:t>
            </w:r>
          </w:p>
        </w:tc>
        <w:tc>
          <w:tcPr>
            <w:tcW w:type="dxa" w:w="504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Brevo booking email and review-email flow.</w:t>
            </w:r>
          </w:p>
        </w:tc>
        <w:tc>
          <w:tcPr>
            <w:tcW w:type="dxa" w:w="367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Verify sender address and API key; test with group accounts before using a live address list.</w:t>
            </w:r>
          </w:p>
        </w:tc>
      </w:tr>
      <w:tr>
        <w:trPr>
          <w:cantSplit/>
        </w:trPr>
        <w:tc>
          <w:tcPr>
            <w:tcW w:type="dxa" w:w="1728"/>
            <w:vAlign w:val="center"/>
            <w:tcMar>
              <w:top w:w="90" w:type="dxa"/>
              <w:start w:w="110" w:type="dxa"/>
              <w:bottom w:w="90" w:type="dxa"/>
              <w:end w:w="110" w:type="dxa"/>
            </w:tcMar>
          </w:tcPr>
          <w:p>
            <w:pPr>
              <w:spacing w:after="0" w:line="259" w:lineRule="auto"/>
            </w:pPr>
            <w:r/>
            <w:r>
              <w:rPr>
                <w:rFonts w:ascii="Aptos" w:hAnsi="Aptos"/>
                <w:b w:val="0"/>
                <w:color w:val="000000"/>
                <w:sz w:val="17"/>
              </w:rPr>
              <w:t>Required before final hand-in</w:t>
            </w:r>
          </w:p>
        </w:tc>
        <w:tc>
          <w:tcPr>
            <w:tcW w:type="dxa" w:w="5040"/>
            <w:vAlign w:val="center"/>
            <w:tcMar>
              <w:top w:w="90" w:type="dxa"/>
              <w:start w:w="110" w:type="dxa"/>
              <w:bottom w:w="90" w:type="dxa"/>
              <w:end w:w="110" w:type="dxa"/>
            </w:tcMar>
          </w:tcPr>
          <w:p>
            <w:pPr>
              <w:spacing w:after="0" w:line="259" w:lineRule="auto"/>
            </w:pPr>
            <w:r/>
            <w:r>
              <w:rPr>
                <w:rFonts w:ascii="Aptos" w:hAnsi="Aptos"/>
                <w:b w:val="0"/>
                <w:color w:val="000000"/>
                <w:sz w:val="17"/>
              </w:rPr>
              <w:t>Hosted end-to-end smoke test and evidence capture.</w:t>
            </w:r>
          </w:p>
        </w:tc>
        <w:tc>
          <w:tcPr>
            <w:tcW w:type="dxa" w:w="3672"/>
            <w:vAlign w:val="center"/>
            <w:tcMar>
              <w:top w:w="90" w:type="dxa"/>
              <w:start w:w="110" w:type="dxa"/>
              <w:bottom w:w="90" w:type="dxa"/>
              <w:end w:w="110" w:type="dxa"/>
            </w:tcMar>
          </w:tcPr>
          <w:p>
            <w:pPr>
              <w:spacing w:after="0" w:line="259" w:lineRule="auto"/>
            </w:pPr>
            <w:r/>
            <w:r>
              <w:rPr>
                <w:rFonts w:ascii="Aptos" w:hAnsi="Aptos"/>
                <w:b w:val="0"/>
                <w:color w:val="000000"/>
                <w:sz w:val="17"/>
              </w:rPr>
              <w:t>Record URLs, commit SHA, passing workflow, screenshots and test outcomes.</w:t>
            </w:r>
          </w:p>
        </w:tc>
      </w:tr>
      <w:tr>
        <w:trPr>
          <w:cantSplit/>
        </w:trPr>
        <w:tc>
          <w:tcPr>
            <w:tcW w:type="dxa" w:w="1728"/>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Out of Part 2 scope</w:t>
            </w:r>
          </w:p>
        </w:tc>
        <w:tc>
          <w:tcPr>
            <w:tcW w:type="dxa" w:w="5040"/>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Product shop, checkout/POS, loyalty and guest booking.</w:t>
            </w:r>
          </w:p>
        </w:tc>
        <w:tc>
          <w:tcPr>
            <w:tcW w:type="dxa" w:w="367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Do not represent these as delivered Part 2 features.</w:t>
            </w:r>
          </w:p>
        </w:tc>
      </w:tr>
    </w:tbl>
    <w:p>
      <w:pPr>
        <w:spacing w:after="20"/>
      </w:pPr>
    </w:p>
    <w:p>
      <w:pPr>
        <w:pStyle w:val="Heading1"/>
        <w:spacing w:before="220" w:after="100"/>
      </w:pPr>
      <w:r>
        <w:t>Team contribution and integration approach</w:t>
      </w:r>
    </w:p>
    <w:p>
      <w:pPr>
        <w:spacing w:after="140" w:line="276" w:lineRule="auto"/>
      </w:pPr>
      <w:r>
        <w:t>The group should continue using feature branches, pull requests and integration-part2 as the shared validation branch. Each contributor should make a focused pull request, run local checks relevant to the change, describe test evidence, request review and merge only after the required GitHub Actions checks pass. This creates a clear audit trail of individual contribution while keeping the shared build stable.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584"/>
            <w:shd w:fill="17365D"/>
            <w:vAlign w:val="center"/>
            <w:tcMar>
              <w:top w:w="90" w:type="dxa"/>
              <w:start w:w="110" w:type="dxa"/>
              <w:bottom w:w="90" w:type="dxa"/>
              <w:end w:w="110" w:type="dxa"/>
            </w:tcMar>
          </w:tcPr>
          <w:p>
            <w:pPr>
              <w:spacing w:after="0" w:line="259" w:lineRule="auto"/>
            </w:pPr>
            <w:r/>
            <w:r>
              <w:rPr>
                <w:rFonts w:ascii="Aptos" w:hAnsi="Aptos"/>
                <w:b/>
                <w:color w:val="FFFFFF"/>
                <w:sz w:val="18"/>
              </w:rPr>
              <w:t>Member</w:t>
            </w:r>
          </w:p>
        </w:tc>
        <w:tc>
          <w:tcPr>
            <w:tcW w:type="dxa" w:w="5112"/>
            <w:shd w:fill="17365D"/>
            <w:vAlign w:val="center"/>
            <w:tcMar>
              <w:top w:w="90" w:type="dxa"/>
              <w:start w:w="110" w:type="dxa"/>
              <w:bottom w:w="90" w:type="dxa"/>
              <w:end w:w="110" w:type="dxa"/>
            </w:tcMar>
          </w:tcPr>
          <w:p>
            <w:pPr>
              <w:spacing w:after="0" w:line="259" w:lineRule="auto"/>
            </w:pPr>
            <w:r/>
            <w:r>
              <w:rPr>
                <w:rFonts w:ascii="Aptos" w:hAnsi="Aptos"/>
                <w:b/>
                <w:color w:val="FFFFFF"/>
                <w:sz w:val="18"/>
              </w:rPr>
              <w:t>Part 2 contribution focus</w:t>
            </w:r>
          </w:p>
        </w:tc>
        <w:tc>
          <w:tcPr>
            <w:tcW w:type="dxa" w:w="3744"/>
            <w:shd w:fill="17365D"/>
            <w:vAlign w:val="center"/>
            <w:tcMar>
              <w:top w:w="90" w:type="dxa"/>
              <w:start w:w="110" w:type="dxa"/>
              <w:bottom w:w="90" w:type="dxa"/>
              <w:end w:w="110" w:type="dxa"/>
            </w:tcMar>
          </w:tcPr>
          <w:p>
            <w:pPr>
              <w:spacing w:after="0" w:line="259" w:lineRule="auto"/>
            </w:pPr>
            <w:r/>
            <w:r>
              <w:rPr>
                <w:rFonts w:ascii="Aptos" w:hAnsi="Aptos"/>
                <w:b/>
                <w:color w:val="FFFFFF"/>
                <w:sz w:val="18"/>
              </w:rPr>
              <w:t>Final evidence to retain</w:t>
            </w:r>
          </w:p>
        </w:tc>
      </w:tr>
      <w:tr>
        <w:trPr>
          <w:cantSplit/>
        </w:trPr>
        <w:tc>
          <w:tcPr>
            <w:tcW w:type="dxa" w:w="1584"/>
            <w:vAlign w:val="center"/>
            <w:tcMar>
              <w:top w:w="90" w:type="dxa"/>
              <w:start w:w="110" w:type="dxa"/>
              <w:bottom w:w="90" w:type="dxa"/>
              <w:end w:w="110" w:type="dxa"/>
            </w:tcMar>
          </w:tcPr>
          <w:p>
            <w:pPr>
              <w:spacing w:after="0" w:line="259" w:lineRule="auto"/>
            </w:pPr>
            <w:r/>
            <w:r>
              <w:rPr>
                <w:rFonts w:ascii="Aptos" w:hAnsi="Aptos"/>
                <w:b w:val="0"/>
                <w:color w:val="000000"/>
                <w:sz w:val="17"/>
              </w:rPr>
              <w:t>Kaehil</w:t>
            </w:r>
          </w:p>
        </w:tc>
        <w:tc>
          <w:tcPr>
            <w:tcW w:type="dxa" w:w="5112"/>
            <w:vAlign w:val="center"/>
            <w:tcMar>
              <w:top w:w="90" w:type="dxa"/>
              <w:start w:w="110" w:type="dxa"/>
              <w:bottom w:w="90" w:type="dxa"/>
              <w:end w:w="110" w:type="dxa"/>
            </w:tcMar>
          </w:tcPr>
          <w:p>
            <w:pPr>
              <w:spacing w:after="0" w:line="259" w:lineRule="auto"/>
            </w:pPr>
            <w:r/>
            <w:r>
              <w:rPr>
                <w:rFonts w:ascii="Aptos" w:hAnsi="Aptos"/>
                <w:b w:val="0"/>
                <w:color w:val="000000"/>
                <w:sz w:val="17"/>
              </w:rPr>
              <w:t>Group leadership, repository integration, staff-management and overall release coordination.</w:t>
            </w:r>
          </w:p>
        </w:tc>
        <w:tc>
          <w:tcPr>
            <w:tcW w:type="dxa" w:w="3744"/>
            <w:vAlign w:val="center"/>
            <w:tcMar>
              <w:top w:w="90" w:type="dxa"/>
              <w:start w:w="110" w:type="dxa"/>
              <w:bottom w:w="90" w:type="dxa"/>
              <w:end w:w="110" w:type="dxa"/>
            </w:tcMar>
          </w:tcPr>
          <w:p>
            <w:pPr>
              <w:spacing w:after="0" w:line="259" w:lineRule="auto"/>
            </w:pPr>
            <w:r/>
            <w:r>
              <w:rPr>
                <w:rFonts w:ascii="Aptos" w:hAnsi="Aptos"/>
                <w:b w:val="0"/>
                <w:color w:val="000000"/>
                <w:sz w:val="17"/>
              </w:rPr>
              <w:t>Approved pull requests, role-management setup notes and final integration commit.</w:t>
            </w:r>
          </w:p>
        </w:tc>
      </w:tr>
      <w:tr>
        <w:trPr>
          <w:cantSplit/>
        </w:trPr>
        <w:tc>
          <w:tcPr>
            <w:tcW w:type="dxa" w:w="158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Zario</w:t>
            </w:r>
          </w:p>
        </w:tc>
        <w:tc>
          <w:tcPr>
            <w:tcW w:type="dxa" w:w="511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Booking API, MongoDB Atlas setup, service/barber matching, API deployment and documentation maintenance.</w:t>
            </w:r>
          </w:p>
        </w:tc>
        <w:tc>
          <w:tcPr>
            <w:tcW w:type="dxa" w:w="374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Atlas initialisation evidence, API health URL, booking tests and documentation update.</w:t>
            </w:r>
          </w:p>
        </w:tc>
      </w:tr>
      <w:tr>
        <w:trPr>
          <w:cantSplit/>
        </w:trPr>
        <w:tc>
          <w:tcPr>
            <w:tcW w:type="dxa" w:w="1584"/>
            <w:vAlign w:val="center"/>
            <w:tcMar>
              <w:top w:w="90" w:type="dxa"/>
              <w:start w:w="110" w:type="dxa"/>
              <w:bottom w:w="90" w:type="dxa"/>
              <w:end w:w="110" w:type="dxa"/>
            </w:tcMar>
          </w:tcPr>
          <w:p>
            <w:pPr>
              <w:spacing w:after="0" w:line="259" w:lineRule="auto"/>
            </w:pPr>
            <w:r/>
            <w:r>
              <w:rPr>
                <w:rFonts w:ascii="Aptos" w:hAnsi="Aptos"/>
                <w:b w:val="0"/>
                <w:color w:val="000000"/>
                <w:sz w:val="17"/>
              </w:rPr>
              <w:t>Greg</w:t>
            </w:r>
          </w:p>
        </w:tc>
        <w:tc>
          <w:tcPr>
            <w:tcW w:type="dxa" w:w="5112"/>
            <w:vAlign w:val="center"/>
            <w:tcMar>
              <w:top w:w="90" w:type="dxa"/>
              <w:start w:w="110" w:type="dxa"/>
              <w:bottom w:w="90" w:type="dxa"/>
              <w:end w:w="110" w:type="dxa"/>
            </w:tcMar>
          </w:tcPr>
          <w:p>
            <w:pPr>
              <w:spacing w:after="0" w:line="259" w:lineRule="auto"/>
            </w:pPr>
            <w:r/>
            <w:r>
              <w:rPr>
                <w:rFonts w:ascii="Aptos" w:hAnsi="Aptos"/>
                <w:b w:val="0"/>
                <w:color w:val="000000"/>
                <w:sz w:val="17"/>
              </w:rPr>
              <w:t>Web experience, interface polish, customer/staff journeys and usability testing.</w:t>
            </w:r>
          </w:p>
        </w:tc>
        <w:tc>
          <w:tcPr>
            <w:tcW w:type="dxa" w:w="3744"/>
            <w:vAlign w:val="center"/>
            <w:tcMar>
              <w:top w:w="90" w:type="dxa"/>
              <w:start w:w="110" w:type="dxa"/>
              <w:bottom w:w="90" w:type="dxa"/>
              <w:end w:w="110" w:type="dxa"/>
            </w:tcMar>
          </w:tcPr>
          <w:p>
            <w:pPr>
              <w:spacing w:after="0" w:line="259" w:lineRule="auto"/>
            </w:pPr>
            <w:r/>
            <w:r>
              <w:rPr>
                <w:rFonts w:ascii="Aptos" w:hAnsi="Aptos"/>
                <w:b w:val="0"/>
                <w:color w:val="000000"/>
                <w:sz w:val="17"/>
              </w:rPr>
              <w:t>Screenshots or test notes covering responsive and user-facing flows.</w:t>
            </w:r>
          </w:p>
        </w:tc>
      </w:tr>
      <w:tr>
        <w:trPr>
          <w:cantSplit/>
        </w:trPr>
        <w:tc>
          <w:tcPr>
            <w:tcW w:type="dxa" w:w="158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Kyra</w:t>
            </w:r>
          </w:p>
        </w:tc>
        <w:tc>
          <w:tcPr>
            <w:tcW w:type="dxa" w:w="5112"/>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Auth0 configuration, authentication tests, email/review integration and account workflow verification.</w:t>
            </w:r>
          </w:p>
        </w:tc>
        <w:tc>
          <w:tcPr>
            <w:tcW w:type="dxa" w:w="3744"/>
            <w:shd w:fill="F4F7FA"/>
            <w:vAlign w:val="center"/>
            <w:tcMar>
              <w:top w:w="90" w:type="dxa"/>
              <w:start w:w="110" w:type="dxa"/>
              <w:bottom w:w="90" w:type="dxa"/>
              <w:end w:w="110" w:type="dxa"/>
            </w:tcMar>
          </w:tcPr>
          <w:p>
            <w:pPr>
              <w:spacing w:after="0" w:line="259" w:lineRule="auto"/>
            </w:pPr>
            <w:r/>
            <w:r>
              <w:rPr>
                <w:rFonts w:ascii="Aptos" w:hAnsi="Aptos"/>
                <w:b w:val="0"/>
                <w:color w:val="000000"/>
                <w:sz w:val="17"/>
              </w:rPr>
              <w:t>Auth0 configuration checklist, test account results and email/review test evidence.</w:t>
            </w:r>
          </w:p>
        </w:tc>
      </w:tr>
    </w:tbl>
    <w:p>
      <w:pPr>
        <w:spacing w:after="20"/>
      </w:pPr>
    </w:p>
    <w:p>
      <w:pPr>
        <w:spacing w:after="140" w:line="276" w:lineRule="auto"/>
      </w:pPr>
      <w:r>
        <w:t>These focus areas support collaboration but do not replace shared review. Any group member who merges a pull request should check scope, tests, configuration impact and documentation impact. Changes that add an external credential or provider must include instructions that name the environment variable and service page, but must never include the secret value.</w:t>
      </w:r>
    </w:p>
    <w:p>
      <w:pPr>
        <w:pStyle w:val="Heading1"/>
        <w:spacing w:before="220" w:after="100"/>
      </w:pPr>
      <w:r>
        <w:t>References and technical evidence</w:t>
      </w:r>
    </w:p>
    <w:p>
      <w:pPr>
        <w:spacing w:after="140" w:line="276" w:lineRule="auto"/>
      </w:pPr>
      <w:r>
        <w:t>Repository documentation provides the detailed implementation evidence: README.md; docs/backend/ARCHITECTURE.md; docs/backend/API-CONTRACT.md; docs/backend/GETTING-STARTED.md; docs/backend/VALIDATION.md; docs/auth/AUTH0-SETUP.md; docs/deployment/RENDER.md; render.yaml; Dockerfiles; and the GitHub Actions workflow. The source code and tests remain the authoritative evidence for exact endpoint signatures and automated behaviours.</w:t>
      </w:r>
    </w:p>
    <w:p>
      <w:pPr>
        <w:pStyle w:val="ListBullet"/>
        <w:spacing w:after="60"/>
      </w:pPr>
      <w:r>
        <w:t>MongoDB Documentation: transactions, atomicity, indexes and C# driver guidance. https://www.mongodb.com/docs/</w:t>
      </w:r>
    </w:p>
    <w:p>
      <w:pPr>
        <w:pStyle w:val="ListBullet"/>
        <w:spacing w:after="60"/>
      </w:pPr>
      <w:r>
        <w:t>Microsoft Learn: ASP.NET Core authentication, authorization, minimal APIs and Docker deployment. https://learn.microsoft.com/aspnet/core/</w:t>
      </w:r>
    </w:p>
    <w:p>
      <w:pPr>
        <w:pStyle w:val="ListBullet"/>
        <w:spacing w:after="60"/>
      </w:pPr>
      <w:r>
        <w:t>Auth0 Documentation: Universal Login, APIs, Actions and Management API guidance. https://auth0.com/docs</w:t>
      </w:r>
    </w:p>
    <w:p>
      <w:pPr>
        <w:pStyle w:val="ListBullet"/>
        <w:spacing w:after="60"/>
      </w:pPr>
      <w:r>
        <w:t>Render Documentation: Docker web services, blueprints, environment groups and health checks. https://render.com/docs</w:t>
      </w:r>
    </w:p>
    <w:p>
      <w:pPr>
        <w:pStyle w:val="ListBullet"/>
        <w:spacing w:after="60"/>
      </w:pPr>
      <w:r>
        <w:t>GitHub Docs: Actions, pull-request checks and dependency review. https://docs.github.com/actions</w:t>
      </w:r>
    </w:p>
    <w:p>
      <w:pPr>
        <w:pStyle w:val="Heading1"/>
        <w:spacing w:before="220" w:after="100"/>
      </w:pPr>
      <w:r>
        <w:t>Conclusion</w:t>
      </w:r>
    </w:p>
    <w:p>
      <w:pPr>
        <w:spacing w:after="140" w:line="276" w:lineRule="auto"/>
      </w:pPr>
      <w:r>
        <w:t>The Part 2 implementation now reflects the group’s actual technology choices and the constraint that Azure may not be used. MongoDB Atlas provides shared persistence, Auth0 provides secure identity and role claims, Render provides a realistic hosting path, and Docker plus GitHub Actions provide a repeatable release process. The API remains the authoritative place for booking, schedule, ownership and role rules. This architecture supports a clear assessment demonstration while leaving optional commercial features for later work.</w:t>
      </w:r>
    </w:p>
    <w:p>
      <w:pPr>
        <w:spacing w:after="140" w:line="276" w:lineRule="auto"/>
      </w:pPr>
      <w:r>
        <w:t>Before final submission, the team should complete the deployment and end-to-end checklist, preserve evidence of passing checks and hosted tests, and ensure the README, screenshots and live URLs point to the same approved integration commit. That will make the documented design, repository implementation and demonstration consistent.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Kinsmen Barbershop Group  |  Implementation documentation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6"/>
      </w:rPr>
      <w:t>Kinsmen Barbershop  |  Work Integrated Learning Part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Kinsmen Barbershop Work Integrated Learning Part 2 Implementation Documentation</dc:title>
  <dc:subject>Part 2 implementation update</dc:subject>
  <dc:creator>Kinsmen Barbershop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