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ED" w:rsidRPr="00EE0476" w:rsidRDefault="00C947ED" w:rsidP="00061E08">
      <w:pPr>
        <w:tabs>
          <w:tab w:val="clear" w:pos="1440"/>
          <w:tab w:val="clear" w:pos="4234"/>
        </w:tabs>
        <w:spacing w:after="120"/>
        <w:jc w:val="right"/>
        <w:rPr>
          <w:color w:val="000000"/>
          <w:lang w:val="en-US"/>
        </w:rPr>
      </w:pPr>
      <w:r w:rsidRPr="00C947ED">
        <w:rPr>
          <w:rFonts w:hint="eastAsia"/>
          <w:color w:val="000000"/>
          <w:lang w:val="en-US"/>
        </w:rPr>
        <w:t>CA</w:t>
      </w:r>
      <w:r w:rsidRPr="00C947ED">
        <w:rPr>
          <w:color w:val="000000"/>
          <w:lang w:val="en-US"/>
        </w:rPr>
        <w:t>AR 3</w:t>
      </w:r>
      <w:r w:rsidRPr="00C947ED">
        <w:rPr>
          <w:rFonts w:hint="eastAsia"/>
          <w:color w:val="000000"/>
          <w:lang w:val="en-US"/>
        </w:rPr>
        <w:t>/2020</w:t>
      </w:r>
    </w:p>
    <w:p w:rsidR="00C947ED" w:rsidRPr="00EE0476" w:rsidRDefault="00B5097E" w:rsidP="00C947ED">
      <w:pPr>
        <w:tabs>
          <w:tab w:val="clear" w:pos="1440"/>
          <w:tab w:val="clear" w:pos="4234"/>
        </w:tabs>
        <w:jc w:val="right"/>
        <w:rPr>
          <w:color w:val="000000"/>
          <w:lang w:val="en-US"/>
        </w:rPr>
      </w:pPr>
      <w:r w:rsidRPr="004852AC">
        <w:rPr>
          <w:color w:val="000000"/>
          <w:lang w:val="en-US"/>
        </w:rPr>
        <w:t>[2020] HKCA 939</w:t>
      </w:r>
    </w:p>
    <w:p w:rsidR="00C947ED" w:rsidRDefault="00C947ED" w:rsidP="00C947ED">
      <w:pPr>
        <w:pStyle w:val="hspace"/>
        <w:rPr>
          <w:color w:val="000000"/>
        </w:rPr>
      </w:pPr>
    </w:p>
    <w:p w:rsidR="00193A6C" w:rsidRPr="00EE0476" w:rsidRDefault="00193A6C" w:rsidP="00C947ED">
      <w:pPr>
        <w:pStyle w:val="hspace"/>
        <w:rPr>
          <w:color w:val="000000"/>
        </w:rPr>
      </w:pPr>
    </w:p>
    <w:p w:rsidR="00C947ED" w:rsidRPr="00EE0476" w:rsidRDefault="00C947ED" w:rsidP="00C947ED">
      <w:pPr>
        <w:spacing w:after="80"/>
        <w:jc w:val="center"/>
        <w:rPr>
          <w:b/>
          <w:color w:val="000000"/>
        </w:rPr>
      </w:pPr>
      <w:r w:rsidRPr="00EE0476">
        <w:rPr>
          <w:rFonts w:hint="eastAsia"/>
          <w:b/>
          <w:color w:val="000000"/>
        </w:rPr>
        <w:t>IN THE HIGH COURT OF THE</w:t>
      </w:r>
    </w:p>
    <w:p w:rsidR="00C947ED" w:rsidRPr="00EE0476" w:rsidRDefault="00C947ED" w:rsidP="00C947ED">
      <w:pPr>
        <w:spacing w:after="80"/>
        <w:jc w:val="center"/>
        <w:rPr>
          <w:b/>
          <w:color w:val="000000"/>
        </w:rPr>
      </w:pPr>
      <w:r w:rsidRPr="00EE0476">
        <w:rPr>
          <w:rFonts w:hint="eastAsia"/>
          <w:b/>
          <w:color w:val="000000"/>
        </w:rPr>
        <w:t>HONG KONG SPECIAL ADMINISTRATIVE REGION</w:t>
      </w:r>
    </w:p>
    <w:p w:rsidR="00C947ED" w:rsidRPr="00EE0476" w:rsidRDefault="00C947ED" w:rsidP="00C947ED">
      <w:pPr>
        <w:spacing w:after="80"/>
        <w:jc w:val="center"/>
        <w:rPr>
          <w:b/>
          <w:color w:val="000000"/>
        </w:rPr>
      </w:pPr>
      <w:r w:rsidRPr="00EE0476">
        <w:rPr>
          <w:rFonts w:hint="eastAsia"/>
          <w:b/>
          <w:color w:val="000000"/>
        </w:rPr>
        <w:t>COURT OF APPEAL</w:t>
      </w:r>
      <w:bookmarkStart w:id="0" w:name="_GoBack"/>
      <w:bookmarkEnd w:id="0"/>
    </w:p>
    <w:p w:rsidR="00C947ED" w:rsidRPr="00EE0476" w:rsidRDefault="00C947ED" w:rsidP="00C947ED">
      <w:pPr>
        <w:spacing w:after="80"/>
        <w:jc w:val="center"/>
        <w:rPr>
          <w:color w:val="000000"/>
        </w:rPr>
      </w:pPr>
      <w:r w:rsidRPr="00EE0476">
        <w:rPr>
          <w:rFonts w:hint="eastAsia"/>
          <w:bCs/>
          <w:color w:val="000000"/>
        </w:rPr>
        <w:t xml:space="preserve">APPLICATION FOR REVIEW </w:t>
      </w:r>
      <w:r w:rsidRPr="00EE0476">
        <w:rPr>
          <w:rFonts w:hint="eastAsia"/>
          <w:color w:val="000000"/>
        </w:rPr>
        <w:t>NO</w:t>
      </w:r>
      <w:r w:rsidRPr="00EE0476">
        <w:rPr>
          <w:color w:val="000000"/>
          <w:lang w:val="en-US"/>
        </w:rPr>
        <w:t xml:space="preserve"> 3 </w:t>
      </w:r>
      <w:r w:rsidRPr="00EE0476">
        <w:rPr>
          <w:rFonts w:hint="eastAsia"/>
          <w:color w:val="000000"/>
        </w:rPr>
        <w:t>OF 20</w:t>
      </w:r>
      <w:r w:rsidRPr="00EE0476">
        <w:rPr>
          <w:color w:val="000000"/>
        </w:rPr>
        <w:t>20</w:t>
      </w:r>
    </w:p>
    <w:p w:rsidR="00C947ED" w:rsidRPr="00EE0476" w:rsidRDefault="00C947ED" w:rsidP="00061E08">
      <w:pPr>
        <w:spacing w:line="360" w:lineRule="auto"/>
        <w:jc w:val="center"/>
        <w:rPr>
          <w:color w:val="000000"/>
        </w:rPr>
      </w:pPr>
      <w:r w:rsidRPr="00EE0476">
        <w:rPr>
          <w:rFonts w:hint="eastAsia"/>
          <w:bCs/>
          <w:color w:val="000000"/>
        </w:rPr>
        <w:t>(</w:t>
      </w:r>
      <w:r w:rsidRPr="00EE0476">
        <w:rPr>
          <w:bCs/>
          <w:color w:val="000000"/>
        </w:rPr>
        <w:t>ON REVIEW FROM ESCC</w:t>
      </w:r>
      <w:r w:rsidRPr="00EE0476">
        <w:rPr>
          <w:rFonts w:hint="eastAsia"/>
          <w:bCs/>
          <w:color w:val="000000"/>
        </w:rPr>
        <w:t xml:space="preserve"> NO</w:t>
      </w:r>
      <w:r w:rsidRPr="00EE0476">
        <w:rPr>
          <w:bCs/>
          <w:color w:val="000000"/>
          <w:lang w:val="en-US"/>
        </w:rPr>
        <w:t> </w:t>
      </w:r>
      <w:r w:rsidRPr="00EE0476">
        <w:rPr>
          <w:bCs/>
          <w:color w:val="000000"/>
        </w:rPr>
        <w:t>70</w:t>
      </w:r>
      <w:r w:rsidR="00C6376E">
        <w:rPr>
          <w:bCs/>
          <w:color w:val="000000"/>
        </w:rPr>
        <w:t>0</w:t>
      </w:r>
      <w:r w:rsidRPr="00EE0476">
        <w:rPr>
          <w:bCs/>
          <w:color w:val="000000"/>
        </w:rPr>
        <w:t>010</w:t>
      </w:r>
      <w:r w:rsidR="00C6376E">
        <w:rPr>
          <w:rFonts w:hint="eastAsia"/>
          <w:bCs/>
          <w:color w:val="000000"/>
        </w:rPr>
        <w:t xml:space="preserve"> OF</w:t>
      </w:r>
      <w:r w:rsidRPr="00EE0476">
        <w:rPr>
          <w:rFonts w:hint="eastAsia"/>
          <w:bCs/>
          <w:color w:val="000000"/>
        </w:rPr>
        <w:t xml:space="preserve"> 2019)</w:t>
      </w:r>
    </w:p>
    <w:p w:rsidR="00C947ED" w:rsidRPr="00EE0476" w:rsidRDefault="00C947ED" w:rsidP="00C947ED">
      <w:pPr>
        <w:pStyle w:val="hspace"/>
        <w:rPr>
          <w:color w:val="000000"/>
        </w:rPr>
      </w:pPr>
    </w:p>
    <w:p w:rsidR="00C947ED" w:rsidRPr="00EE0476" w:rsidRDefault="00C947ED" w:rsidP="00C947ED">
      <w:pPr>
        <w:pStyle w:val="hspace"/>
        <w:tabs>
          <w:tab w:val="clear" w:pos="1440"/>
        </w:tabs>
        <w:jc w:val="center"/>
        <w:rPr>
          <w:color w:val="000000"/>
        </w:rPr>
      </w:pPr>
      <w:r w:rsidRPr="00EE0476">
        <w:rPr>
          <w:rFonts w:hint="eastAsia"/>
          <w:color w:val="000000"/>
        </w:rPr>
        <w:t>-----------------</w:t>
      </w:r>
      <w:r w:rsidRPr="00EE0476">
        <w:rPr>
          <w:color w:val="000000"/>
        </w:rPr>
        <w:t>-----</w:t>
      </w:r>
      <w:r w:rsidRPr="00EE0476">
        <w:rPr>
          <w:rFonts w:hint="eastAsia"/>
          <w:color w:val="000000"/>
        </w:rPr>
        <w:t>--</w:t>
      </w:r>
    </w:p>
    <w:p w:rsidR="00C947ED" w:rsidRPr="00EE0476" w:rsidRDefault="00C947ED" w:rsidP="00C947ED">
      <w:pPr>
        <w:rPr>
          <w:color w:val="000000"/>
        </w:rPr>
      </w:pPr>
    </w:p>
    <w:p w:rsidR="00C947ED" w:rsidRPr="00EE0476" w:rsidRDefault="00C947ED" w:rsidP="00C947ED">
      <w:pPr>
        <w:rPr>
          <w:color w:val="000000"/>
          <w:lang w:val="en-US"/>
        </w:rPr>
      </w:pPr>
      <w:r w:rsidRPr="00EE0476">
        <w:rPr>
          <w:color w:val="000000"/>
          <w:lang w:val="en-US"/>
        </w:rPr>
        <w:t>BETWEEN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770"/>
        <w:gridCol w:w="2141"/>
      </w:tblGrid>
      <w:tr w:rsidR="00C947ED" w:rsidRPr="00EE0476" w:rsidTr="003C3C6A">
        <w:tc>
          <w:tcPr>
            <w:tcW w:w="1530" w:type="dxa"/>
          </w:tcPr>
          <w:p w:rsidR="00C947ED" w:rsidRPr="00EE0476" w:rsidRDefault="00C947ED" w:rsidP="003C3C6A">
            <w:pPr>
              <w:tabs>
                <w:tab w:val="clear" w:pos="1440"/>
              </w:tabs>
              <w:spacing w:line="480" w:lineRule="auto"/>
              <w:rPr>
                <w:color w:val="000000"/>
              </w:rPr>
            </w:pPr>
          </w:p>
        </w:tc>
        <w:tc>
          <w:tcPr>
            <w:tcW w:w="4770" w:type="dxa"/>
          </w:tcPr>
          <w:p w:rsidR="00C947ED" w:rsidRPr="00EE0476" w:rsidRDefault="00C947ED" w:rsidP="003C3C6A">
            <w:pPr>
              <w:tabs>
                <w:tab w:val="clear" w:pos="1440"/>
              </w:tabs>
              <w:spacing w:line="480" w:lineRule="auto"/>
              <w:jc w:val="center"/>
              <w:rPr>
                <w:color w:val="000000"/>
              </w:rPr>
            </w:pPr>
            <w:r w:rsidRPr="00EE0476">
              <w:rPr>
                <w:color w:val="000000"/>
              </w:rPr>
              <w:t>SECRETARY FOR JUSTICE</w:t>
            </w:r>
          </w:p>
        </w:tc>
        <w:tc>
          <w:tcPr>
            <w:tcW w:w="2141" w:type="dxa"/>
          </w:tcPr>
          <w:p w:rsidR="00C947ED" w:rsidRPr="00EE0476" w:rsidRDefault="00C947ED" w:rsidP="003C3C6A">
            <w:pPr>
              <w:tabs>
                <w:tab w:val="clear" w:pos="1440"/>
              </w:tabs>
              <w:spacing w:line="480" w:lineRule="auto"/>
              <w:rPr>
                <w:color w:val="000000"/>
              </w:rPr>
            </w:pPr>
            <w:r w:rsidRPr="00EE0476">
              <w:rPr>
                <w:color w:val="000000"/>
              </w:rPr>
              <w:t>Applicant</w:t>
            </w:r>
          </w:p>
        </w:tc>
      </w:tr>
      <w:tr w:rsidR="00C947ED" w:rsidRPr="00EE0476" w:rsidTr="003C3C6A">
        <w:tc>
          <w:tcPr>
            <w:tcW w:w="1530" w:type="dxa"/>
          </w:tcPr>
          <w:p w:rsidR="00C947ED" w:rsidRPr="00EE0476" w:rsidRDefault="00C947ED" w:rsidP="003C3C6A">
            <w:pPr>
              <w:tabs>
                <w:tab w:val="clear" w:pos="1440"/>
              </w:tabs>
              <w:spacing w:line="480" w:lineRule="auto"/>
              <w:rPr>
                <w:color w:val="000000"/>
              </w:rPr>
            </w:pPr>
          </w:p>
        </w:tc>
        <w:tc>
          <w:tcPr>
            <w:tcW w:w="4770" w:type="dxa"/>
          </w:tcPr>
          <w:p w:rsidR="00C947ED" w:rsidRPr="00EE0476" w:rsidRDefault="00C947ED" w:rsidP="003C3C6A">
            <w:pPr>
              <w:tabs>
                <w:tab w:val="clear" w:pos="1440"/>
              </w:tabs>
              <w:spacing w:line="480" w:lineRule="auto"/>
              <w:jc w:val="center"/>
              <w:rPr>
                <w:color w:val="000000"/>
              </w:rPr>
            </w:pPr>
            <w:r w:rsidRPr="00EE0476">
              <w:rPr>
                <w:color w:val="000000"/>
              </w:rPr>
              <w:t>and</w:t>
            </w:r>
          </w:p>
        </w:tc>
        <w:tc>
          <w:tcPr>
            <w:tcW w:w="2141" w:type="dxa"/>
          </w:tcPr>
          <w:p w:rsidR="00C947ED" w:rsidRPr="00EE0476" w:rsidRDefault="00C947ED" w:rsidP="003C3C6A">
            <w:pPr>
              <w:tabs>
                <w:tab w:val="clear" w:pos="1440"/>
              </w:tabs>
              <w:spacing w:line="480" w:lineRule="auto"/>
              <w:rPr>
                <w:color w:val="000000"/>
              </w:rPr>
            </w:pPr>
          </w:p>
        </w:tc>
      </w:tr>
      <w:tr w:rsidR="00C947ED" w:rsidRPr="00EE0476" w:rsidTr="003C3C6A">
        <w:tc>
          <w:tcPr>
            <w:tcW w:w="1530" w:type="dxa"/>
          </w:tcPr>
          <w:p w:rsidR="00C947ED" w:rsidRPr="00EE0476" w:rsidRDefault="00C947ED" w:rsidP="003C3C6A">
            <w:pPr>
              <w:tabs>
                <w:tab w:val="clear" w:pos="1440"/>
              </w:tabs>
              <w:spacing w:line="480" w:lineRule="auto"/>
              <w:rPr>
                <w:color w:val="000000"/>
              </w:rPr>
            </w:pPr>
          </w:p>
        </w:tc>
        <w:tc>
          <w:tcPr>
            <w:tcW w:w="4770" w:type="dxa"/>
          </w:tcPr>
          <w:p w:rsidR="00C947ED" w:rsidRPr="00EE0476" w:rsidRDefault="00C947ED" w:rsidP="003C3C6A">
            <w:pPr>
              <w:tabs>
                <w:tab w:val="clear" w:pos="1440"/>
              </w:tabs>
              <w:spacing w:line="480" w:lineRule="auto"/>
              <w:jc w:val="center"/>
              <w:rPr>
                <w:color w:val="000000"/>
              </w:rPr>
            </w:pPr>
            <w:r w:rsidRPr="00EE0476">
              <w:rPr>
                <w:color w:val="000000"/>
              </w:rPr>
              <w:t>CMT</w:t>
            </w:r>
          </w:p>
        </w:tc>
        <w:tc>
          <w:tcPr>
            <w:tcW w:w="2141" w:type="dxa"/>
          </w:tcPr>
          <w:p w:rsidR="00C947ED" w:rsidRPr="00EE0476" w:rsidRDefault="00C947ED" w:rsidP="003C3C6A">
            <w:pPr>
              <w:tabs>
                <w:tab w:val="clear" w:pos="1440"/>
              </w:tabs>
              <w:spacing w:line="480" w:lineRule="auto"/>
              <w:rPr>
                <w:color w:val="000000"/>
              </w:rPr>
            </w:pPr>
            <w:r w:rsidRPr="00EE0476">
              <w:rPr>
                <w:color w:val="000000"/>
              </w:rPr>
              <w:t>1</w:t>
            </w:r>
            <w:r w:rsidRPr="00EE0476">
              <w:rPr>
                <w:color w:val="000000"/>
                <w:vertAlign w:val="superscript"/>
              </w:rPr>
              <w:t>st</w:t>
            </w:r>
            <w:r w:rsidRPr="00EE0476">
              <w:rPr>
                <w:color w:val="000000"/>
              </w:rPr>
              <w:t xml:space="preserve"> Respondent</w:t>
            </w:r>
          </w:p>
        </w:tc>
      </w:tr>
      <w:tr w:rsidR="00C947ED" w:rsidRPr="00EE0476" w:rsidTr="003C3C6A">
        <w:tc>
          <w:tcPr>
            <w:tcW w:w="1530" w:type="dxa"/>
          </w:tcPr>
          <w:p w:rsidR="00C947ED" w:rsidRPr="00EE0476" w:rsidRDefault="00C947ED" w:rsidP="003C3C6A">
            <w:pPr>
              <w:tabs>
                <w:tab w:val="clear" w:pos="1440"/>
              </w:tabs>
              <w:spacing w:line="480" w:lineRule="auto"/>
              <w:rPr>
                <w:color w:val="000000"/>
              </w:rPr>
            </w:pPr>
          </w:p>
        </w:tc>
        <w:tc>
          <w:tcPr>
            <w:tcW w:w="4770" w:type="dxa"/>
          </w:tcPr>
          <w:p w:rsidR="00C947ED" w:rsidRPr="00EE0476" w:rsidRDefault="00C947ED" w:rsidP="003C3C6A">
            <w:pPr>
              <w:tabs>
                <w:tab w:val="clear" w:pos="1440"/>
              </w:tabs>
              <w:spacing w:line="480" w:lineRule="auto"/>
              <w:jc w:val="center"/>
              <w:rPr>
                <w:color w:val="000000"/>
              </w:rPr>
            </w:pPr>
            <w:r w:rsidRPr="00EE0476">
              <w:rPr>
                <w:color w:val="000000"/>
              </w:rPr>
              <w:t>YYH</w:t>
            </w:r>
          </w:p>
        </w:tc>
        <w:tc>
          <w:tcPr>
            <w:tcW w:w="2141" w:type="dxa"/>
          </w:tcPr>
          <w:p w:rsidR="00C947ED" w:rsidRPr="00EE0476" w:rsidRDefault="00C947ED" w:rsidP="003C3C6A">
            <w:pPr>
              <w:tabs>
                <w:tab w:val="clear" w:pos="1440"/>
              </w:tabs>
              <w:spacing w:line="480" w:lineRule="auto"/>
              <w:rPr>
                <w:color w:val="000000"/>
              </w:rPr>
            </w:pPr>
            <w:r w:rsidRPr="00EE0476">
              <w:rPr>
                <w:color w:val="000000"/>
              </w:rPr>
              <w:t>2</w:t>
            </w:r>
            <w:r w:rsidRPr="00EE0476">
              <w:rPr>
                <w:color w:val="000000"/>
                <w:vertAlign w:val="superscript"/>
              </w:rPr>
              <w:t>nd</w:t>
            </w:r>
            <w:r w:rsidRPr="00EE0476">
              <w:rPr>
                <w:color w:val="000000"/>
              </w:rPr>
              <w:t xml:space="preserve"> Respondent</w:t>
            </w:r>
          </w:p>
        </w:tc>
      </w:tr>
    </w:tbl>
    <w:p w:rsidR="00C947ED" w:rsidRPr="00EE0476" w:rsidRDefault="00C947ED" w:rsidP="00C947ED">
      <w:pPr>
        <w:tabs>
          <w:tab w:val="clear" w:pos="1440"/>
        </w:tabs>
        <w:rPr>
          <w:color w:val="000000"/>
        </w:rPr>
      </w:pPr>
    </w:p>
    <w:p w:rsidR="00C947ED" w:rsidRPr="00EE0476" w:rsidRDefault="00C947ED" w:rsidP="00C947ED">
      <w:pPr>
        <w:pStyle w:val="hspace"/>
        <w:rPr>
          <w:color w:val="000000"/>
        </w:rPr>
      </w:pPr>
    </w:p>
    <w:p w:rsidR="00C947ED" w:rsidRPr="00EE0476" w:rsidRDefault="00C947ED" w:rsidP="00C947ED">
      <w:pPr>
        <w:pStyle w:val="hspace"/>
        <w:tabs>
          <w:tab w:val="clear" w:pos="1440"/>
        </w:tabs>
        <w:jc w:val="center"/>
        <w:rPr>
          <w:color w:val="000000"/>
        </w:rPr>
      </w:pPr>
      <w:r w:rsidRPr="00EE0476">
        <w:rPr>
          <w:rFonts w:hint="eastAsia"/>
          <w:color w:val="000000"/>
        </w:rPr>
        <w:t>-----------------</w:t>
      </w:r>
      <w:r w:rsidRPr="00EE0476">
        <w:rPr>
          <w:color w:val="000000"/>
        </w:rPr>
        <w:t>-----</w:t>
      </w:r>
      <w:r w:rsidRPr="00EE0476">
        <w:rPr>
          <w:rFonts w:hint="eastAsia"/>
          <w:color w:val="000000"/>
        </w:rPr>
        <w:t>--</w:t>
      </w:r>
    </w:p>
    <w:p w:rsidR="00C947ED" w:rsidRPr="00EE0476" w:rsidRDefault="00C947ED" w:rsidP="00C947ED">
      <w:pPr>
        <w:pStyle w:val="hspace"/>
        <w:rPr>
          <w:color w:val="000000"/>
          <w:lang w:val="en-US"/>
        </w:rPr>
      </w:pPr>
    </w:p>
    <w:p w:rsidR="00C947ED" w:rsidRPr="00EE0476" w:rsidRDefault="00C947ED" w:rsidP="00C947ED">
      <w:pPr>
        <w:pStyle w:val="hspace"/>
        <w:rPr>
          <w:color w:val="000000"/>
          <w:lang w:val="en-US"/>
        </w:rPr>
      </w:pPr>
    </w:p>
    <w:p w:rsidR="00C947ED" w:rsidRPr="00EE0476" w:rsidRDefault="00C947ED" w:rsidP="00C947ED">
      <w:pPr>
        <w:tabs>
          <w:tab w:val="clear" w:pos="1440"/>
        </w:tabs>
        <w:spacing w:after="120"/>
        <w:rPr>
          <w:color w:val="000000"/>
          <w:lang w:val="en-US"/>
        </w:rPr>
      </w:pPr>
      <w:r w:rsidRPr="00EE0476">
        <w:rPr>
          <w:color w:val="000000"/>
          <w:lang w:val="en-US"/>
        </w:rPr>
        <w:t xml:space="preserve">Before: </w:t>
      </w:r>
      <w:r w:rsidRPr="00EE0476">
        <w:rPr>
          <w:rFonts w:hint="eastAsia"/>
          <w:color w:val="000000"/>
        </w:rPr>
        <w:t>Hon</w:t>
      </w:r>
      <w:r w:rsidRPr="00EE0476">
        <w:rPr>
          <w:color w:val="000000"/>
        </w:rPr>
        <w:t xml:space="preserve"> Poon CJHC, Chu and Pang JJA</w:t>
      </w:r>
      <w:r w:rsidRPr="00EE0476">
        <w:rPr>
          <w:rFonts w:hint="eastAsia"/>
          <w:color w:val="000000"/>
        </w:rPr>
        <w:t xml:space="preserve"> in Court</w:t>
      </w:r>
    </w:p>
    <w:p w:rsidR="00C947ED" w:rsidRPr="00EE0476" w:rsidRDefault="00C947ED" w:rsidP="00C947ED">
      <w:pPr>
        <w:tabs>
          <w:tab w:val="clear" w:pos="1440"/>
        </w:tabs>
        <w:spacing w:after="120"/>
        <w:rPr>
          <w:color w:val="000000"/>
          <w:lang w:val="en-US"/>
        </w:rPr>
      </w:pPr>
      <w:r w:rsidRPr="00EE0476">
        <w:rPr>
          <w:color w:val="000000"/>
          <w:lang w:val="en-US"/>
        </w:rPr>
        <w:t>Date</w:t>
      </w:r>
      <w:r w:rsidR="006E24D3">
        <w:rPr>
          <w:color w:val="000000"/>
          <w:lang w:val="en-US"/>
        </w:rPr>
        <w:t>s</w:t>
      </w:r>
      <w:r w:rsidRPr="00EE0476">
        <w:rPr>
          <w:color w:val="000000"/>
          <w:lang w:val="en-US"/>
        </w:rPr>
        <w:t xml:space="preserve"> of </w:t>
      </w:r>
      <w:r w:rsidRPr="00EE0476">
        <w:rPr>
          <w:rFonts w:hint="eastAsia"/>
          <w:color w:val="000000"/>
          <w:lang w:val="en-US"/>
        </w:rPr>
        <w:t>H</w:t>
      </w:r>
      <w:r w:rsidR="006E24D3">
        <w:rPr>
          <w:color w:val="000000"/>
          <w:lang w:val="en-US"/>
        </w:rPr>
        <w:t>earing: 30 October and 13 November 2020</w:t>
      </w:r>
    </w:p>
    <w:p w:rsidR="00C947ED" w:rsidRPr="00EE0476" w:rsidRDefault="00C947ED" w:rsidP="00C947ED">
      <w:pPr>
        <w:tabs>
          <w:tab w:val="clear" w:pos="1440"/>
        </w:tabs>
        <w:spacing w:after="120"/>
        <w:rPr>
          <w:color w:val="000000"/>
          <w:lang w:val="en-US"/>
        </w:rPr>
      </w:pPr>
      <w:r w:rsidRPr="00EE0476">
        <w:rPr>
          <w:color w:val="000000"/>
          <w:lang w:val="en-US"/>
        </w:rPr>
        <w:t>Date</w:t>
      </w:r>
      <w:r w:rsidR="006E24D3">
        <w:rPr>
          <w:color w:val="000000"/>
          <w:lang w:val="en-US"/>
        </w:rPr>
        <w:t>s</w:t>
      </w:r>
      <w:r w:rsidRPr="00EE0476">
        <w:rPr>
          <w:color w:val="000000"/>
          <w:lang w:val="en-US"/>
        </w:rPr>
        <w:t xml:space="preserve"> of Judgment: </w:t>
      </w:r>
      <w:r w:rsidR="00193A6C">
        <w:rPr>
          <w:color w:val="000000"/>
          <w:lang w:val="en-US"/>
        </w:rPr>
        <w:t>30 October and 13 November 2020</w:t>
      </w:r>
    </w:p>
    <w:p w:rsidR="00C947ED" w:rsidRDefault="00C947ED" w:rsidP="00C947ED">
      <w:pPr>
        <w:tabs>
          <w:tab w:val="clear" w:pos="1440"/>
        </w:tabs>
        <w:spacing w:after="120"/>
        <w:rPr>
          <w:color w:val="000000"/>
          <w:lang w:val="en-US"/>
        </w:rPr>
      </w:pPr>
      <w:r w:rsidRPr="00EE0476">
        <w:rPr>
          <w:color w:val="000000"/>
          <w:lang w:val="en-US"/>
        </w:rPr>
        <w:t xml:space="preserve">Date of Reasons for Judgment: </w:t>
      </w:r>
      <w:r w:rsidR="001621E2">
        <w:rPr>
          <w:color w:val="000000"/>
          <w:lang w:val="en-US"/>
        </w:rPr>
        <w:t>13</w:t>
      </w:r>
      <w:r w:rsidR="00193A6C">
        <w:rPr>
          <w:color w:val="000000"/>
          <w:lang w:val="en-US"/>
        </w:rPr>
        <w:t xml:space="preserve"> November 2020</w:t>
      </w:r>
    </w:p>
    <w:p w:rsidR="00BB6221" w:rsidRPr="001621E2" w:rsidRDefault="00BB6221" w:rsidP="00BB6221">
      <w:pPr>
        <w:tabs>
          <w:tab w:val="left" w:pos="2268"/>
          <w:tab w:val="right" w:pos="8505"/>
        </w:tabs>
        <w:spacing w:line="360" w:lineRule="auto"/>
        <w:rPr>
          <w:bCs/>
          <w:szCs w:val="28"/>
          <w:lang w:val="en-US"/>
        </w:rPr>
      </w:pPr>
    </w:p>
    <w:p w:rsidR="00BB6221" w:rsidRPr="00187C6A" w:rsidRDefault="00BB6221" w:rsidP="00BB6221">
      <w:pPr>
        <w:spacing w:line="360" w:lineRule="auto"/>
        <w:jc w:val="center"/>
      </w:pPr>
      <w:r w:rsidRPr="00187C6A">
        <w:t>_</w:t>
      </w:r>
      <w:r>
        <w:t>___</w:t>
      </w:r>
      <w:r w:rsidRPr="00187C6A">
        <w:t>_____________</w:t>
      </w:r>
      <w:r w:rsidR="00DE35F4">
        <w:t>_________</w:t>
      </w:r>
    </w:p>
    <w:p w:rsidR="00BB6221" w:rsidRPr="00187C6A" w:rsidRDefault="00DE35F4" w:rsidP="00BB6221">
      <w:pPr>
        <w:spacing w:before="200"/>
        <w:jc w:val="center"/>
        <w:rPr>
          <w:szCs w:val="28"/>
        </w:rPr>
      </w:pPr>
      <w:r>
        <w:rPr>
          <w:szCs w:val="28"/>
        </w:rPr>
        <w:t>REASONS FOR JUDGMENT</w:t>
      </w:r>
    </w:p>
    <w:p w:rsidR="00BB6221" w:rsidRDefault="00BB6221" w:rsidP="00DB333D">
      <w:pPr>
        <w:spacing w:after="480" w:line="360" w:lineRule="auto"/>
        <w:jc w:val="center"/>
      </w:pPr>
      <w:r w:rsidRPr="00187C6A">
        <w:t>___</w:t>
      </w:r>
      <w:r>
        <w:t>___</w:t>
      </w:r>
      <w:r w:rsidRPr="00187C6A">
        <w:t>___________</w:t>
      </w:r>
      <w:r w:rsidR="00DE35F4">
        <w:t>_________</w:t>
      </w:r>
    </w:p>
    <w:p w:rsidR="00DE35F4" w:rsidRDefault="00DE35F4" w:rsidP="00D639E4">
      <w:pPr>
        <w:spacing w:after="480"/>
        <w:jc w:val="both"/>
        <w:rPr>
          <w:szCs w:val="28"/>
        </w:rPr>
      </w:pPr>
      <w:r>
        <w:rPr>
          <w:szCs w:val="28"/>
        </w:rPr>
        <w:t xml:space="preserve">Hon Poon CJHC (giving the </w:t>
      </w:r>
      <w:r w:rsidR="0040520B">
        <w:rPr>
          <w:szCs w:val="28"/>
        </w:rPr>
        <w:t>R</w:t>
      </w:r>
      <w:r w:rsidR="00C6376E">
        <w:rPr>
          <w:szCs w:val="28"/>
        </w:rPr>
        <w:t xml:space="preserve">easons for </w:t>
      </w:r>
      <w:r w:rsidR="0040520B">
        <w:rPr>
          <w:szCs w:val="28"/>
        </w:rPr>
        <w:t>J</w:t>
      </w:r>
      <w:r>
        <w:rPr>
          <w:szCs w:val="28"/>
        </w:rPr>
        <w:t>udgment of the Court):</w:t>
      </w:r>
    </w:p>
    <w:p w:rsidR="00DE35F4" w:rsidRPr="00985DEF" w:rsidRDefault="00DE35F4" w:rsidP="00837C66">
      <w:pPr>
        <w:pStyle w:val="ListParagraph"/>
        <w:keepNext/>
        <w:numPr>
          <w:ilvl w:val="0"/>
          <w:numId w:val="32"/>
        </w:numPr>
        <w:spacing w:after="240" w:line="360" w:lineRule="auto"/>
        <w:ind w:leftChars="0" w:hanging="720"/>
        <w:rPr>
          <w:b w:val="0"/>
          <w:sz w:val="28"/>
          <w:szCs w:val="28"/>
          <w:lang w:eastAsia="zh-TW"/>
        </w:rPr>
      </w:pPr>
      <w:r w:rsidRPr="00985DEF">
        <w:rPr>
          <w:b w:val="0"/>
          <w:i/>
          <w:sz w:val="28"/>
          <w:szCs w:val="28"/>
        </w:rPr>
        <w:lastRenderedPageBreak/>
        <w:t>Introduction</w:t>
      </w:r>
    </w:p>
    <w:p w:rsidR="00DE35F4" w:rsidRDefault="00193A6C" w:rsidP="00DE35F4">
      <w:pPr>
        <w:numPr>
          <w:ilvl w:val="0"/>
          <w:numId w:val="29"/>
        </w:numPr>
        <w:tabs>
          <w:tab w:val="clear" w:pos="4234"/>
          <w:tab w:val="clear" w:pos="8453"/>
        </w:tabs>
        <w:snapToGrid/>
        <w:spacing w:after="480" w:line="360" w:lineRule="auto"/>
        <w:ind w:left="0" w:firstLine="0"/>
        <w:jc w:val="both"/>
        <w:rPr>
          <w:szCs w:val="28"/>
        </w:rPr>
      </w:pPr>
      <w:r>
        <w:t xml:space="preserve">On 12 May 2020, </w:t>
      </w:r>
      <w:r w:rsidR="00DE35F4">
        <w:rPr>
          <w:szCs w:val="28"/>
        </w:rPr>
        <w:t xml:space="preserve">the respondents </w:t>
      </w:r>
      <w:r w:rsidR="00AA6ABD">
        <w:rPr>
          <w:szCs w:val="28"/>
        </w:rPr>
        <w:t xml:space="preserve">each </w:t>
      </w:r>
      <w:r w:rsidR="00DE35F4">
        <w:rPr>
          <w:szCs w:val="28"/>
        </w:rPr>
        <w:t>pleaded guilty to a charge of unlawful assembly, contrary to sections 18(1) and (3) of the Public Order Ordinance,</w:t>
      </w:r>
      <w:r w:rsidR="00DE35F4">
        <w:rPr>
          <w:rStyle w:val="FootnoteReference"/>
          <w:szCs w:val="28"/>
        </w:rPr>
        <w:footnoteReference w:id="1"/>
      </w:r>
      <w:r w:rsidR="00DE35F4">
        <w:rPr>
          <w:szCs w:val="28"/>
        </w:rPr>
        <w:t xml:space="preserve"> before </w:t>
      </w:r>
      <w:r w:rsidR="00497176">
        <w:rPr>
          <w:szCs w:val="28"/>
        </w:rPr>
        <w:t xml:space="preserve">Permanent Magistrate </w:t>
      </w:r>
      <w:proofErr w:type="spellStart"/>
      <w:r w:rsidR="00497176">
        <w:rPr>
          <w:szCs w:val="28"/>
        </w:rPr>
        <w:t>Ho</w:t>
      </w:r>
      <w:proofErr w:type="spellEnd"/>
      <w:r w:rsidR="00497176">
        <w:rPr>
          <w:szCs w:val="28"/>
        </w:rPr>
        <w:t xml:space="preserve"> Chun </w:t>
      </w:r>
      <w:proofErr w:type="spellStart"/>
      <w:r w:rsidR="00497176">
        <w:rPr>
          <w:szCs w:val="28"/>
        </w:rPr>
        <w:t>Yi</w:t>
      </w:r>
      <w:r w:rsidR="002A63EE">
        <w:rPr>
          <w:szCs w:val="28"/>
        </w:rPr>
        <w:t>u</w:t>
      </w:r>
      <w:proofErr w:type="spellEnd"/>
      <w:r w:rsidR="00DE35F4">
        <w:rPr>
          <w:szCs w:val="28"/>
        </w:rPr>
        <w:t xml:space="preserve"> (“</w:t>
      </w:r>
      <w:r w:rsidR="00C6376E">
        <w:rPr>
          <w:szCs w:val="28"/>
        </w:rPr>
        <w:t>the Magistrate”) in the Eastern</w:t>
      </w:r>
      <w:r w:rsidR="00DE35F4">
        <w:rPr>
          <w:szCs w:val="28"/>
        </w:rPr>
        <w:t xml:space="preserve"> Juvenile Court.  Having heard preliminary mitigation, the Magistrate called for a probation officer’s report and a social welfare officer’s report for each of the respondents and adjourned the case to 16 June 2020.</w:t>
      </w:r>
    </w:p>
    <w:p w:rsidR="00DE35F4" w:rsidRDefault="00DE35F4" w:rsidP="00DE35F4">
      <w:pPr>
        <w:numPr>
          <w:ilvl w:val="0"/>
          <w:numId w:val="29"/>
        </w:numPr>
        <w:tabs>
          <w:tab w:val="clear" w:pos="4234"/>
          <w:tab w:val="clear" w:pos="8453"/>
        </w:tabs>
        <w:snapToGrid/>
        <w:spacing w:after="480" w:line="360" w:lineRule="auto"/>
        <w:ind w:left="0" w:firstLine="0"/>
        <w:jc w:val="both"/>
        <w:rPr>
          <w:szCs w:val="28"/>
        </w:rPr>
      </w:pPr>
      <w:r>
        <w:rPr>
          <w:szCs w:val="28"/>
        </w:rPr>
        <w:t>At the adjourned hearing, after reading the reports and hearing further mitigation, the Magistrate dismissed the charge against the respondents (“Dismiss</w:t>
      </w:r>
      <w:r w:rsidR="00C6376E">
        <w:rPr>
          <w:szCs w:val="28"/>
        </w:rPr>
        <w:t xml:space="preserve">al Orders”) under section 15(1)(a) </w:t>
      </w:r>
      <w:r>
        <w:rPr>
          <w:szCs w:val="28"/>
        </w:rPr>
        <w:t>of the Juvenile Offenders Ordinance (“JOO”).</w:t>
      </w:r>
      <w:r>
        <w:rPr>
          <w:rStyle w:val="FootnoteReference"/>
          <w:szCs w:val="28"/>
        </w:rPr>
        <w:footnoteReference w:id="2"/>
      </w:r>
      <w:r>
        <w:rPr>
          <w:szCs w:val="28"/>
        </w:rPr>
        <w:t xml:space="preserve">  He further com</w:t>
      </w:r>
      <w:r w:rsidR="00C6376E">
        <w:rPr>
          <w:szCs w:val="28"/>
        </w:rPr>
        <w:t>mitted them under section 34(1)(b</w:t>
      </w:r>
      <w:r>
        <w:rPr>
          <w:szCs w:val="28"/>
        </w:rPr>
        <w:t>) and (d) of the Protection of Children and Juveniles Ordinance (“PCJO”)</w:t>
      </w:r>
      <w:r>
        <w:rPr>
          <w:rStyle w:val="FootnoteReference"/>
          <w:szCs w:val="28"/>
        </w:rPr>
        <w:footnoteReference w:id="3"/>
      </w:r>
      <w:r w:rsidR="00B65EE5">
        <w:rPr>
          <w:szCs w:val="28"/>
        </w:rPr>
        <w:t xml:space="preserve"> </w:t>
      </w:r>
      <w:r>
        <w:rPr>
          <w:szCs w:val="28"/>
        </w:rPr>
        <w:t>to the care of their parents and placed them under the supervision of a social welfare officer for 12 months with special conditions (“CP Orders”).</w:t>
      </w:r>
    </w:p>
    <w:p w:rsidR="00DE35F4" w:rsidRDefault="00DE35F4" w:rsidP="00DE35F4">
      <w:pPr>
        <w:numPr>
          <w:ilvl w:val="0"/>
          <w:numId w:val="29"/>
        </w:numPr>
        <w:tabs>
          <w:tab w:val="clear" w:pos="4234"/>
          <w:tab w:val="clear" w:pos="8453"/>
        </w:tabs>
        <w:snapToGrid/>
        <w:spacing w:after="480" w:line="360" w:lineRule="auto"/>
        <w:ind w:left="0" w:firstLine="0"/>
        <w:jc w:val="both"/>
        <w:rPr>
          <w:szCs w:val="28"/>
        </w:rPr>
      </w:pPr>
      <w:r>
        <w:rPr>
          <w:szCs w:val="28"/>
        </w:rPr>
        <w:t>On 3 July 2020, the Secretary for Justice applied for leave to review the Orders made by the Magistrate pursuant to section 81A of the Criminal Procedure Ordinance</w:t>
      </w:r>
      <w:r w:rsidR="00AA6ABD">
        <w:rPr>
          <w:szCs w:val="28"/>
        </w:rPr>
        <w:t xml:space="preserve"> (“CPO”)</w:t>
      </w:r>
      <w:r>
        <w:rPr>
          <w:szCs w:val="28"/>
        </w:rPr>
        <w:t>.</w:t>
      </w:r>
      <w:r>
        <w:rPr>
          <w:rStyle w:val="FootnoteReference"/>
          <w:szCs w:val="28"/>
        </w:rPr>
        <w:footnoteReference w:id="4"/>
      </w:r>
      <w:r>
        <w:rPr>
          <w:szCs w:val="28"/>
        </w:rPr>
        <w:t xml:space="preserve">  She contended that the sentences were wrong in principle and/or manifestly inadequate because (1) the Magistrate accorded insufficient weight to the factors of punishment and deterrence in sentencing and the sentences were without any punitive element; (2) the Magistrate underjudged the culpability of the respondents; </w:t>
      </w:r>
      <w:r>
        <w:rPr>
          <w:szCs w:val="28"/>
        </w:rPr>
        <w:lastRenderedPageBreak/>
        <w:t xml:space="preserve">and (3) the resultant sentences were wrong in principle and/or manifestly inadequate.  Leave was granted on 6 July 2020. </w:t>
      </w:r>
    </w:p>
    <w:p w:rsidR="00DE35F4" w:rsidRDefault="00DE35F4" w:rsidP="00DE35F4">
      <w:pPr>
        <w:numPr>
          <w:ilvl w:val="0"/>
          <w:numId w:val="29"/>
        </w:numPr>
        <w:tabs>
          <w:tab w:val="clear" w:pos="4234"/>
          <w:tab w:val="clear" w:pos="8453"/>
        </w:tabs>
        <w:snapToGrid/>
        <w:spacing w:after="480" w:line="360" w:lineRule="auto"/>
        <w:ind w:left="0" w:firstLine="0"/>
        <w:jc w:val="both"/>
        <w:rPr>
          <w:szCs w:val="28"/>
        </w:rPr>
      </w:pPr>
      <w:r>
        <w:rPr>
          <w:szCs w:val="28"/>
        </w:rPr>
        <w:t xml:space="preserve">After hearing the parties on 30 October 2020, we allowed the application for review against both respondents, set aside the Dismissal Orders and the CP Orders, called for probation officer’s reports and community service order </w:t>
      </w:r>
      <w:r w:rsidR="00B65EE5">
        <w:rPr>
          <w:szCs w:val="28"/>
        </w:rPr>
        <w:t xml:space="preserve">suitability </w:t>
      </w:r>
      <w:r>
        <w:rPr>
          <w:szCs w:val="28"/>
        </w:rPr>
        <w:t xml:space="preserve">reports </w:t>
      </w:r>
      <w:r w:rsidR="00491A61">
        <w:rPr>
          <w:szCs w:val="28"/>
        </w:rPr>
        <w:t xml:space="preserve">for both of them </w:t>
      </w:r>
      <w:r>
        <w:rPr>
          <w:szCs w:val="28"/>
        </w:rPr>
        <w:t>and adjourned the case to 13 November 2020 for sentence.</w:t>
      </w:r>
    </w:p>
    <w:p w:rsidR="00DE35F4" w:rsidRPr="00056157" w:rsidRDefault="00DE35F4" w:rsidP="00056157">
      <w:pPr>
        <w:numPr>
          <w:ilvl w:val="0"/>
          <w:numId w:val="29"/>
        </w:numPr>
        <w:tabs>
          <w:tab w:val="clear" w:pos="4234"/>
          <w:tab w:val="clear" w:pos="8453"/>
        </w:tabs>
        <w:snapToGrid/>
        <w:spacing w:after="240" w:line="360" w:lineRule="auto"/>
        <w:ind w:left="0" w:firstLine="0"/>
        <w:jc w:val="both"/>
        <w:rPr>
          <w:szCs w:val="28"/>
        </w:rPr>
      </w:pPr>
      <w:r>
        <w:rPr>
          <w:szCs w:val="28"/>
        </w:rPr>
        <w:t xml:space="preserve">On 13 November 2020, after </w:t>
      </w:r>
      <w:r w:rsidR="00056157">
        <w:rPr>
          <w:szCs w:val="28"/>
        </w:rPr>
        <w:t xml:space="preserve">considering the reports and </w:t>
      </w:r>
      <w:r>
        <w:rPr>
          <w:szCs w:val="28"/>
        </w:rPr>
        <w:t>hearing further submissions, we sentenced</w:t>
      </w:r>
      <w:r w:rsidR="00056157">
        <w:rPr>
          <w:szCs w:val="28"/>
        </w:rPr>
        <w:t xml:space="preserve"> the 1</w:t>
      </w:r>
      <w:r w:rsidR="00056157" w:rsidRPr="00056157">
        <w:rPr>
          <w:szCs w:val="28"/>
          <w:vertAlign w:val="superscript"/>
        </w:rPr>
        <w:t>st</w:t>
      </w:r>
      <w:r w:rsidR="00491A61">
        <w:rPr>
          <w:szCs w:val="28"/>
        </w:rPr>
        <w:t xml:space="preserve"> respondent to 12-</w:t>
      </w:r>
      <w:r w:rsidR="00056157">
        <w:rPr>
          <w:szCs w:val="28"/>
        </w:rPr>
        <w:t xml:space="preserve">month </w:t>
      </w:r>
      <w:r w:rsidR="00491A61">
        <w:rPr>
          <w:szCs w:val="28"/>
        </w:rPr>
        <w:t>probation</w:t>
      </w:r>
      <w:r w:rsidR="00056157" w:rsidRPr="00056157">
        <w:rPr>
          <w:szCs w:val="28"/>
        </w:rPr>
        <w:t xml:space="preserve"> with the following conditions</w:t>
      </w:r>
      <w:r w:rsidRPr="00056157">
        <w:rPr>
          <w:szCs w:val="28"/>
        </w:rPr>
        <w:t>:</w:t>
      </w:r>
    </w:p>
    <w:p w:rsidR="00DE35F4" w:rsidRPr="000B7905" w:rsidRDefault="00491A61" w:rsidP="00D21855">
      <w:pPr>
        <w:pStyle w:val="ListParagraph"/>
        <w:numPr>
          <w:ilvl w:val="0"/>
          <w:numId w:val="37"/>
        </w:numPr>
        <w:tabs>
          <w:tab w:val="left" w:pos="2160"/>
        </w:tabs>
        <w:spacing w:after="240" w:line="360" w:lineRule="auto"/>
        <w:ind w:leftChars="0" w:left="2160" w:right="-9" w:hanging="720"/>
        <w:rPr>
          <w:sz w:val="28"/>
          <w:szCs w:val="28"/>
        </w:rPr>
      </w:pPr>
      <w:r>
        <w:rPr>
          <w:b w:val="0"/>
          <w:sz w:val="28"/>
          <w:szCs w:val="28"/>
        </w:rPr>
        <w:t xml:space="preserve">that she shall reside and study or </w:t>
      </w:r>
      <w:r w:rsidR="00056157" w:rsidRPr="000B7905">
        <w:rPr>
          <w:b w:val="0"/>
          <w:sz w:val="28"/>
          <w:szCs w:val="28"/>
        </w:rPr>
        <w:t>work as directed</w:t>
      </w:r>
      <w:r w:rsidR="0082573A">
        <w:rPr>
          <w:b w:val="0"/>
          <w:sz w:val="28"/>
          <w:szCs w:val="28"/>
        </w:rPr>
        <w:t xml:space="preserve"> by her supervising officer</w:t>
      </w:r>
      <w:r w:rsidR="00056157" w:rsidRPr="000B7905">
        <w:rPr>
          <w:b w:val="0"/>
          <w:sz w:val="28"/>
          <w:szCs w:val="28"/>
        </w:rPr>
        <w:t>;</w:t>
      </w:r>
    </w:p>
    <w:p w:rsidR="0082573A" w:rsidRPr="000B7905" w:rsidRDefault="0082573A" w:rsidP="0082573A">
      <w:pPr>
        <w:pStyle w:val="ListParagraph"/>
        <w:numPr>
          <w:ilvl w:val="0"/>
          <w:numId w:val="37"/>
        </w:numPr>
        <w:tabs>
          <w:tab w:val="left" w:pos="2160"/>
        </w:tabs>
        <w:spacing w:after="240" w:line="360" w:lineRule="auto"/>
        <w:ind w:leftChars="0" w:left="2160" w:right="-9" w:hanging="720"/>
        <w:rPr>
          <w:b w:val="0"/>
          <w:sz w:val="28"/>
          <w:szCs w:val="28"/>
        </w:rPr>
      </w:pPr>
      <w:r>
        <w:rPr>
          <w:b w:val="0"/>
          <w:sz w:val="28"/>
          <w:szCs w:val="28"/>
        </w:rPr>
        <w:t xml:space="preserve">that she shall remain at her </w:t>
      </w:r>
      <w:r w:rsidRPr="000B7905">
        <w:rPr>
          <w:b w:val="0"/>
          <w:sz w:val="28"/>
          <w:szCs w:val="28"/>
        </w:rPr>
        <w:t>place of residence between 8:30 p</w:t>
      </w:r>
      <w:r>
        <w:rPr>
          <w:b w:val="0"/>
          <w:sz w:val="28"/>
          <w:szCs w:val="28"/>
        </w:rPr>
        <w:t>.</w:t>
      </w:r>
      <w:r w:rsidRPr="000B7905">
        <w:rPr>
          <w:b w:val="0"/>
          <w:sz w:val="28"/>
          <w:szCs w:val="28"/>
        </w:rPr>
        <w:t>m</w:t>
      </w:r>
      <w:r>
        <w:rPr>
          <w:b w:val="0"/>
          <w:sz w:val="28"/>
          <w:szCs w:val="28"/>
        </w:rPr>
        <w:t>. and 6:3</w:t>
      </w:r>
      <w:r w:rsidRPr="000B7905">
        <w:rPr>
          <w:b w:val="0"/>
          <w:sz w:val="28"/>
          <w:szCs w:val="28"/>
        </w:rPr>
        <w:t>0</w:t>
      </w:r>
      <w:r w:rsidRPr="000B7905">
        <w:rPr>
          <w:b w:val="0"/>
          <w:sz w:val="28"/>
          <w:szCs w:val="28"/>
          <w:lang w:val="en-US"/>
        </w:rPr>
        <w:t> </w:t>
      </w:r>
      <w:r w:rsidRPr="000B7905">
        <w:rPr>
          <w:b w:val="0"/>
          <w:sz w:val="28"/>
          <w:szCs w:val="28"/>
        </w:rPr>
        <w:t>a</w:t>
      </w:r>
      <w:r>
        <w:rPr>
          <w:b w:val="0"/>
          <w:sz w:val="28"/>
          <w:szCs w:val="28"/>
        </w:rPr>
        <w:t>.</w:t>
      </w:r>
      <w:r w:rsidRPr="000B7905">
        <w:rPr>
          <w:b w:val="0"/>
          <w:sz w:val="28"/>
          <w:szCs w:val="28"/>
        </w:rPr>
        <w:t>m</w:t>
      </w:r>
      <w:r>
        <w:rPr>
          <w:b w:val="0"/>
          <w:sz w:val="28"/>
          <w:szCs w:val="28"/>
        </w:rPr>
        <w:t>.</w:t>
      </w:r>
      <w:r w:rsidRPr="000B7905">
        <w:rPr>
          <w:b w:val="0"/>
          <w:sz w:val="28"/>
          <w:szCs w:val="28"/>
        </w:rPr>
        <w:t>, except with prior approval from the</w:t>
      </w:r>
      <w:r>
        <w:rPr>
          <w:b w:val="0"/>
          <w:sz w:val="28"/>
          <w:szCs w:val="28"/>
        </w:rPr>
        <w:t xml:space="preserve"> supervising officer or in her</w:t>
      </w:r>
      <w:r w:rsidRPr="000B7905">
        <w:rPr>
          <w:b w:val="0"/>
          <w:sz w:val="28"/>
          <w:szCs w:val="28"/>
        </w:rPr>
        <w:t xml:space="preserve"> parents’ company;</w:t>
      </w:r>
    </w:p>
    <w:p w:rsidR="00056157" w:rsidRPr="000B7905" w:rsidRDefault="00056157" w:rsidP="00D21855">
      <w:pPr>
        <w:pStyle w:val="ListParagraph"/>
        <w:numPr>
          <w:ilvl w:val="0"/>
          <w:numId w:val="37"/>
        </w:numPr>
        <w:tabs>
          <w:tab w:val="left" w:pos="2160"/>
        </w:tabs>
        <w:spacing w:after="240" w:line="360" w:lineRule="auto"/>
        <w:ind w:leftChars="0" w:left="2160" w:right="-9" w:hanging="720"/>
        <w:rPr>
          <w:b w:val="0"/>
          <w:sz w:val="28"/>
          <w:szCs w:val="28"/>
        </w:rPr>
      </w:pPr>
      <w:r w:rsidRPr="000B7905">
        <w:rPr>
          <w:b w:val="0"/>
          <w:sz w:val="28"/>
          <w:szCs w:val="28"/>
        </w:rPr>
        <w:t>that she shall receive</w:t>
      </w:r>
      <w:r w:rsidR="00094633">
        <w:rPr>
          <w:b w:val="0"/>
          <w:sz w:val="28"/>
          <w:szCs w:val="28"/>
        </w:rPr>
        <w:t xml:space="preserve"> psychiatric and/</w:t>
      </w:r>
      <w:r w:rsidR="008A4343" w:rsidRPr="000B7905">
        <w:rPr>
          <w:b w:val="0"/>
          <w:sz w:val="28"/>
          <w:szCs w:val="28"/>
        </w:rPr>
        <w:t xml:space="preserve">or psychological treatment as </w:t>
      </w:r>
      <w:r w:rsidR="00FE19C7">
        <w:rPr>
          <w:b w:val="0"/>
          <w:sz w:val="28"/>
          <w:szCs w:val="28"/>
        </w:rPr>
        <w:t xml:space="preserve">and when </w:t>
      </w:r>
      <w:r w:rsidR="008A4343" w:rsidRPr="000B7905">
        <w:rPr>
          <w:b w:val="0"/>
          <w:sz w:val="28"/>
          <w:szCs w:val="28"/>
        </w:rPr>
        <w:t>directed;</w:t>
      </w:r>
      <w:r w:rsidR="00FE19C7">
        <w:rPr>
          <w:b w:val="0"/>
          <w:sz w:val="28"/>
          <w:szCs w:val="28"/>
        </w:rPr>
        <w:t xml:space="preserve"> and</w:t>
      </w:r>
    </w:p>
    <w:p w:rsidR="008A4343" w:rsidRPr="000B7905" w:rsidRDefault="008A4343" w:rsidP="00D21855">
      <w:pPr>
        <w:pStyle w:val="ListParagraph"/>
        <w:numPr>
          <w:ilvl w:val="0"/>
          <w:numId w:val="37"/>
        </w:numPr>
        <w:tabs>
          <w:tab w:val="left" w:pos="2160"/>
        </w:tabs>
        <w:spacing w:after="480" w:line="360" w:lineRule="auto"/>
        <w:ind w:leftChars="0" w:left="2160" w:right="-9" w:hanging="720"/>
        <w:rPr>
          <w:b w:val="0"/>
          <w:sz w:val="28"/>
          <w:szCs w:val="28"/>
        </w:rPr>
      </w:pPr>
      <w:r w:rsidRPr="000B7905">
        <w:rPr>
          <w:b w:val="0"/>
          <w:sz w:val="28"/>
          <w:szCs w:val="28"/>
        </w:rPr>
        <w:t>that she shall obey directions regarding peer association.</w:t>
      </w:r>
    </w:p>
    <w:p w:rsidR="00C330EF" w:rsidRPr="000B7905" w:rsidRDefault="00C330EF" w:rsidP="00D21855">
      <w:pPr>
        <w:tabs>
          <w:tab w:val="left" w:pos="2160"/>
        </w:tabs>
        <w:spacing w:after="240" w:line="360" w:lineRule="auto"/>
        <w:ind w:right="-9"/>
        <w:jc w:val="both"/>
        <w:rPr>
          <w:szCs w:val="28"/>
        </w:rPr>
      </w:pPr>
      <w:r w:rsidRPr="000B7905">
        <w:rPr>
          <w:szCs w:val="28"/>
        </w:rPr>
        <w:t>We</w:t>
      </w:r>
      <w:r w:rsidR="000B7905" w:rsidRPr="000B7905">
        <w:rPr>
          <w:szCs w:val="28"/>
        </w:rPr>
        <w:t xml:space="preserve"> sentenced the 2</w:t>
      </w:r>
      <w:r w:rsidR="000B7905" w:rsidRPr="000B7905">
        <w:rPr>
          <w:szCs w:val="28"/>
          <w:vertAlign w:val="superscript"/>
        </w:rPr>
        <w:t>nd</w:t>
      </w:r>
      <w:r w:rsidR="000B7905" w:rsidRPr="000B7905">
        <w:rPr>
          <w:szCs w:val="28"/>
        </w:rPr>
        <w:t xml:space="preserve"> respondent to </w:t>
      </w:r>
      <w:r w:rsidR="00175D29">
        <w:rPr>
          <w:szCs w:val="28"/>
        </w:rPr>
        <w:t xml:space="preserve">80 hours of </w:t>
      </w:r>
      <w:r w:rsidR="00884969">
        <w:rPr>
          <w:szCs w:val="28"/>
        </w:rPr>
        <w:t xml:space="preserve">community service </w:t>
      </w:r>
      <w:r w:rsidR="000B7905" w:rsidRPr="000B7905">
        <w:rPr>
          <w:szCs w:val="28"/>
        </w:rPr>
        <w:t>with the following conditions:</w:t>
      </w:r>
    </w:p>
    <w:p w:rsidR="000B7905" w:rsidRPr="000B7905" w:rsidRDefault="00491A61" w:rsidP="00D21855">
      <w:pPr>
        <w:pStyle w:val="ListParagraph"/>
        <w:numPr>
          <w:ilvl w:val="0"/>
          <w:numId w:val="38"/>
        </w:numPr>
        <w:tabs>
          <w:tab w:val="left" w:pos="2160"/>
        </w:tabs>
        <w:spacing w:after="240" w:line="360" w:lineRule="auto"/>
        <w:ind w:leftChars="0" w:left="2160" w:right="-9" w:hanging="720"/>
        <w:rPr>
          <w:b w:val="0"/>
          <w:sz w:val="28"/>
          <w:szCs w:val="28"/>
        </w:rPr>
      </w:pPr>
      <w:r>
        <w:rPr>
          <w:b w:val="0"/>
          <w:sz w:val="28"/>
          <w:szCs w:val="28"/>
        </w:rPr>
        <w:t>that he shall reside and study or work</w:t>
      </w:r>
      <w:r w:rsidR="00C330EF" w:rsidRPr="000B7905">
        <w:rPr>
          <w:b w:val="0"/>
          <w:sz w:val="28"/>
          <w:szCs w:val="28"/>
        </w:rPr>
        <w:t xml:space="preserve"> as directed by his supervising officer; </w:t>
      </w:r>
    </w:p>
    <w:p w:rsidR="000B7905" w:rsidRPr="000B7905" w:rsidRDefault="00491A61" w:rsidP="00D21855">
      <w:pPr>
        <w:pStyle w:val="ListParagraph"/>
        <w:numPr>
          <w:ilvl w:val="0"/>
          <w:numId w:val="38"/>
        </w:numPr>
        <w:tabs>
          <w:tab w:val="left" w:pos="2160"/>
        </w:tabs>
        <w:spacing w:after="240" w:line="360" w:lineRule="auto"/>
        <w:ind w:leftChars="0" w:left="2160" w:right="-9" w:hanging="720"/>
        <w:rPr>
          <w:b w:val="0"/>
          <w:sz w:val="28"/>
          <w:szCs w:val="28"/>
        </w:rPr>
      </w:pPr>
      <w:r>
        <w:rPr>
          <w:b w:val="0"/>
          <w:sz w:val="28"/>
          <w:szCs w:val="28"/>
        </w:rPr>
        <w:lastRenderedPageBreak/>
        <w:t xml:space="preserve">that he shall remain at his </w:t>
      </w:r>
      <w:r w:rsidR="00C330EF" w:rsidRPr="000B7905">
        <w:rPr>
          <w:b w:val="0"/>
          <w:sz w:val="28"/>
          <w:szCs w:val="28"/>
        </w:rPr>
        <w:t>place of residence between 8:30 p</w:t>
      </w:r>
      <w:r w:rsidR="00D21855">
        <w:rPr>
          <w:b w:val="0"/>
          <w:sz w:val="28"/>
          <w:szCs w:val="28"/>
        </w:rPr>
        <w:t>.</w:t>
      </w:r>
      <w:r w:rsidR="00C330EF" w:rsidRPr="000B7905">
        <w:rPr>
          <w:b w:val="0"/>
          <w:sz w:val="28"/>
          <w:szCs w:val="28"/>
        </w:rPr>
        <w:t>m</w:t>
      </w:r>
      <w:r w:rsidR="00D21855">
        <w:rPr>
          <w:b w:val="0"/>
          <w:sz w:val="28"/>
          <w:szCs w:val="28"/>
        </w:rPr>
        <w:t>.</w:t>
      </w:r>
      <w:r w:rsidR="0082573A">
        <w:rPr>
          <w:b w:val="0"/>
          <w:sz w:val="28"/>
          <w:szCs w:val="28"/>
        </w:rPr>
        <w:t xml:space="preserve"> and 6:3</w:t>
      </w:r>
      <w:r w:rsidR="00C330EF" w:rsidRPr="000B7905">
        <w:rPr>
          <w:b w:val="0"/>
          <w:sz w:val="28"/>
          <w:szCs w:val="28"/>
        </w:rPr>
        <w:t>0</w:t>
      </w:r>
      <w:r w:rsidR="00C330EF" w:rsidRPr="000B7905">
        <w:rPr>
          <w:b w:val="0"/>
          <w:sz w:val="28"/>
          <w:szCs w:val="28"/>
          <w:lang w:val="en-US"/>
        </w:rPr>
        <w:t> </w:t>
      </w:r>
      <w:r w:rsidR="00C330EF" w:rsidRPr="000B7905">
        <w:rPr>
          <w:b w:val="0"/>
          <w:sz w:val="28"/>
          <w:szCs w:val="28"/>
        </w:rPr>
        <w:t>a</w:t>
      </w:r>
      <w:r w:rsidR="00D21855">
        <w:rPr>
          <w:b w:val="0"/>
          <w:sz w:val="28"/>
          <w:szCs w:val="28"/>
        </w:rPr>
        <w:t>.</w:t>
      </w:r>
      <w:r w:rsidR="00C330EF" w:rsidRPr="000B7905">
        <w:rPr>
          <w:b w:val="0"/>
          <w:sz w:val="28"/>
          <w:szCs w:val="28"/>
        </w:rPr>
        <w:t>m</w:t>
      </w:r>
      <w:r w:rsidR="00D21855">
        <w:rPr>
          <w:b w:val="0"/>
          <w:sz w:val="28"/>
          <w:szCs w:val="28"/>
        </w:rPr>
        <w:t>.</w:t>
      </w:r>
      <w:r w:rsidR="00C330EF" w:rsidRPr="000B7905">
        <w:rPr>
          <w:b w:val="0"/>
          <w:sz w:val="28"/>
          <w:szCs w:val="28"/>
        </w:rPr>
        <w:t>, except with prior approval from the</w:t>
      </w:r>
      <w:r>
        <w:rPr>
          <w:b w:val="0"/>
          <w:sz w:val="28"/>
          <w:szCs w:val="28"/>
        </w:rPr>
        <w:t xml:space="preserve"> supervising officer or in his</w:t>
      </w:r>
      <w:r w:rsidR="00C330EF" w:rsidRPr="000B7905">
        <w:rPr>
          <w:b w:val="0"/>
          <w:sz w:val="28"/>
          <w:szCs w:val="28"/>
        </w:rPr>
        <w:t xml:space="preserve"> parents’ company;</w:t>
      </w:r>
    </w:p>
    <w:p w:rsidR="00C330EF" w:rsidRPr="000B7905" w:rsidRDefault="00491A61" w:rsidP="00D21855">
      <w:pPr>
        <w:pStyle w:val="ListParagraph"/>
        <w:numPr>
          <w:ilvl w:val="0"/>
          <w:numId w:val="38"/>
        </w:numPr>
        <w:tabs>
          <w:tab w:val="left" w:pos="2160"/>
        </w:tabs>
        <w:spacing w:after="600"/>
        <w:ind w:leftChars="0" w:left="2160" w:right="-9" w:hanging="720"/>
        <w:rPr>
          <w:b w:val="0"/>
          <w:sz w:val="28"/>
          <w:szCs w:val="28"/>
        </w:rPr>
      </w:pPr>
      <w:r>
        <w:rPr>
          <w:b w:val="0"/>
          <w:sz w:val="28"/>
          <w:szCs w:val="28"/>
        </w:rPr>
        <w:t>that he shall receive</w:t>
      </w:r>
      <w:r w:rsidR="00C330EF" w:rsidRPr="000B7905">
        <w:rPr>
          <w:b w:val="0"/>
          <w:sz w:val="28"/>
          <w:szCs w:val="28"/>
        </w:rPr>
        <w:t xml:space="preserve"> psychiatric and/or psychological</w:t>
      </w:r>
      <w:r w:rsidR="00FE19C7">
        <w:rPr>
          <w:b w:val="0"/>
          <w:sz w:val="28"/>
          <w:szCs w:val="28"/>
        </w:rPr>
        <w:t xml:space="preserve"> treatment as and when directed.</w:t>
      </w:r>
    </w:p>
    <w:p w:rsidR="00DE35F4" w:rsidRDefault="00DE35F4" w:rsidP="00DE35F4">
      <w:pPr>
        <w:numPr>
          <w:ilvl w:val="0"/>
          <w:numId w:val="29"/>
        </w:numPr>
        <w:tabs>
          <w:tab w:val="clear" w:pos="4234"/>
          <w:tab w:val="clear" w:pos="8453"/>
        </w:tabs>
        <w:snapToGrid/>
        <w:spacing w:after="480" w:line="360" w:lineRule="auto"/>
        <w:ind w:left="0" w:firstLine="0"/>
        <w:jc w:val="both"/>
        <w:rPr>
          <w:szCs w:val="28"/>
        </w:rPr>
      </w:pPr>
      <w:r>
        <w:rPr>
          <w:szCs w:val="28"/>
        </w:rPr>
        <w:t>We now hand down the reasons for our judgment.</w:t>
      </w:r>
    </w:p>
    <w:p w:rsidR="00DE35F4" w:rsidRPr="00D639E4" w:rsidRDefault="00D639E4" w:rsidP="00E077FE">
      <w:pPr>
        <w:keepNext/>
        <w:tabs>
          <w:tab w:val="clear" w:pos="1440"/>
          <w:tab w:val="clear" w:pos="4234"/>
          <w:tab w:val="clear" w:pos="8453"/>
          <w:tab w:val="left" w:pos="720"/>
        </w:tabs>
        <w:snapToGrid/>
        <w:spacing w:after="240" w:line="360" w:lineRule="auto"/>
        <w:jc w:val="both"/>
        <w:rPr>
          <w:i/>
          <w:szCs w:val="28"/>
        </w:rPr>
      </w:pPr>
      <w:r w:rsidRPr="00D639E4">
        <w:rPr>
          <w:i/>
          <w:szCs w:val="28"/>
        </w:rPr>
        <w:t>B.</w:t>
      </w:r>
      <w:r w:rsidRPr="00D639E4">
        <w:rPr>
          <w:i/>
          <w:szCs w:val="28"/>
        </w:rPr>
        <w:tab/>
      </w:r>
      <w:r w:rsidR="00DE35F4" w:rsidRPr="00D639E4">
        <w:rPr>
          <w:i/>
          <w:szCs w:val="28"/>
        </w:rPr>
        <w:t>The prosecution case</w:t>
      </w:r>
    </w:p>
    <w:p w:rsidR="00DE35F4" w:rsidRDefault="00DE35F4" w:rsidP="00DE35F4">
      <w:pPr>
        <w:numPr>
          <w:ilvl w:val="0"/>
          <w:numId w:val="29"/>
        </w:numPr>
        <w:tabs>
          <w:tab w:val="clear" w:pos="4234"/>
          <w:tab w:val="clear" w:pos="8453"/>
        </w:tabs>
        <w:snapToGrid/>
        <w:spacing w:after="480" w:line="360" w:lineRule="auto"/>
        <w:ind w:left="0" w:firstLine="0"/>
        <w:jc w:val="both"/>
        <w:rPr>
          <w:szCs w:val="28"/>
        </w:rPr>
      </w:pPr>
      <w:r>
        <w:rPr>
          <w:szCs w:val="28"/>
        </w:rPr>
        <w:t>The unlawful assembly in question took place in the afternoon on 18 November 2019 at the junction of Wylie Road and Gascoigne Road, Kowloon.  The prosecution case was based on the facts admitted by the respondents</w:t>
      </w:r>
      <w:r>
        <w:rPr>
          <w:rStyle w:val="FootnoteReference"/>
          <w:szCs w:val="28"/>
        </w:rPr>
        <w:footnoteReference w:id="5"/>
      </w:r>
      <w:r>
        <w:rPr>
          <w:szCs w:val="28"/>
        </w:rPr>
        <w:t xml:space="preserve"> and online-sourced video footages capturing the incident.</w:t>
      </w:r>
    </w:p>
    <w:p w:rsidR="00DE35F4" w:rsidRDefault="00DE35F4" w:rsidP="002C318E">
      <w:pPr>
        <w:numPr>
          <w:ilvl w:val="0"/>
          <w:numId w:val="29"/>
        </w:numPr>
        <w:tabs>
          <w:tab w:val="clear" w:pos="4234"/>
          <w:tab w:val="clear" w:pos="8453"/>
        </w:tabs>
        <w:snapToGrid/>
        <w:spacing w:after="240" w:line="360" w:lineRule="auto"/>
        <w:ind w:left="0" w:firstLine="0"/>
        <w:jc w:val="both"/>
        <w:rPr>
          <w:szCs w:val="28"/>
        </w:rPr>
      </w:pPr>
      <w:r>
        <w:rPr>
          <w:szCs w:val="28"/>
        </w:rPr>
        <w:t xml:space="preserve">According to the </w:t>
      </w:r>
      <w:r w:rsidR="00497176">
        <w:rPr>
          <w:szCs w:val="28"/>
        </w:rPr>
        <w:t>Admitted F</w:t>
      </w:r>
      <w:r>
        <w:rPr>
          <w:szCs w:val="28"/>
        </w:rPr>
        <w:t>acts:</w:t>
      </w:r>
    </w:p>
    <w:p w:rsidR="007A0785" w:rsidRDefault="002C318E" w:rsidP="007A0785">
      <w:pPr>
        <w:tabs>
          <w:tab w:val="clear" w:pos="8453"/>
        </w:tabs>
        <w:ind w:left="1440" w:right="619"/>
        <w:jc w:val="both"/>
        <w:rPr>
          <w:sz w:val="24"/>
          <w:szCs w:val="24"/>
        </w:rPr>
      </w:pPr>
      <w:r w:rsidRPr="002C318E">
        <w:rPr>
          <w:sz w:val="24"/>
          <w:szCs w:val="24"/>
        </w:rPr>
        <w:t xml:space="preserve">“In the afternoon on 2019-11-18, Police officers including PW1-2 were deployed at the junction of Wylie Road and Gascoigne Road to form a </w:t>
      </w:r>
      <w:proofErr w:type="spellStart"/>
      <w:r w:rsidRPr="002C318E">
        <w:rPr>
          <w:sz w:val="24"/>
          <w:szCs w:val="24"/>
        </w:rPr>
        <w:t>checkline</w:t>
      </w:r>
      <w:proofErr w:type="spellEnd"/>
      <w:r w:rsidRPr="002C318E">
        <w:rPr>
          <w:sz w:val="24"/>
          <w:szCs w:val="24"/>
        </w:rPr>
        <w:t xml:space="preserve"> in preventing protestors from entering the cordoned area.  About 100 protestors had assembled at the carriageways of Gascoigne Road.  Despite repeated warnings, protestors continued to charge the police </w:t>
      </w:r>
      <w:proofErr w:type="spellStart"/>
      <w:r w:rsidRPr="002C318E">
        <w:rPr>
          <w:sz w:val="24"/>
          <w:szCs w:val="24"/>
        </w:rPr>
        <w:t>checkline</w:t>
      </w:r>
      <w:proofErr w:type="spellEnd"/>
      <w:r w:rsidRPr="002C318E">
        <w:rPr>
          <w:sz w:val="24"/>
          <w:szCs w:val="24"/>
        </w:rPr>
        <w:t xml:space="preserve"> by setting up barricades and throwing bricks and petrol bombs.  Police officers had dispersed the protestors but the protestors assembled again after each dispersal.</w:t>
      </w:r>
    </w:p>
    <w:p w:rsidR="007A0785" w:rsidRDefault="007A0785" w:rsidP="007A0785">
      <w:pPr>
        <w:tabs>
          <w:tab w:val="clear" w:pos="8453"/>
        </w:tabs>
        <w:ind w:left="1440" w:right="619"/>
        <w:jc w:val="both"/>
        <w:rPr>
          <w:sz w:val="24"/>
          <w:szCs w:val="24"/>
        </w:rPr>
      </w:pPr>
    </w:p>
    <w:p w:rsidR="007A0785" w:rsidRDefault="007A0785" w:rsidP="007A0785">
      <w:pPr>
        <w:tabs>
          <w:tab w:val="clear" w:pos="8453"/>
          <w:tab w:val="left" w:pos="2160"/>
        </w:tabs>
        <w:ind w:left="1440" w:right="619"/>
        <w:jc w:val="both"/>
        <w:rPr>
          <w:sz w:val="24"/>
          <w:szCs w:val="24"/>
        </w:rPr>
      </w:pPr>
      <w:r>
        <w:rPr>
          <w:sz w:val="24"/>
          <w:szCs w:val="24"/>
        </w:rPr>
        <w:t>2.</w:t>
      </w:r>
      <w:r>
        <w:rPr>
          <w:sz w:val="24"/>
          <w:szCs w:val="24"/>
        </w:rPr>
        <w:tab/>
        <w:t xml:space="preserve">After one of the dispersals </w:t>
      </w:r>
      <w:r w:rsidR="00B65EE5">
        <w:rPr>
          <w:sz w:val="24"/>
          <w:szCs w:val="24"/>
        </w:rPr>
        <w:t>at 1622 hours, PW1-2 found Deft</w:t>
      </w:r>
      <w:r>
        <w:rPr>
          <w:sz w:val="24"/>
          <w:szCs w:val="24"/>
        </w:rPr>
        <w:t xml:space="preserve">1-2 sitting on a staircase outside No. 38 Gascoigne Road.  PW1-2 enquired Deft1-2 who stated that they had just participated in the earlier protest occurred at Gascoigne Road and they were sitting </w:t>
      </w:r>
      <w:proofErr w:type="spellStart"/>
      <w:r>
        <w:rPr>
          <w:sz w:val="24"/>
          <w:szCs w:val="24"/>
        </w:rPr>
        <w:t>thereat</w:t>
      </w:r>
      <w:proofErr w:type="spellEnd"/>
      <w:r>
        <w:rPr>
          <w:sz w:val="24"/>
          <w:szCs w:val="24"/>
        </w:rPr>
        <w:t xml:space="preserve"> because their legs were hit and injured by a CS capsule.  At 1625 hours, PW1-2 respectively arrested Deft1-2 for ‘Riot’.  Under caution, Deft1-2 remained silent.  E1-23 </w:t>
      </w:r>
      <w:proofErr w:type="gramStart"/>
      <w:r>
        <w:rPr>
          <w:sz w:val="24"/>
          <w:szCs w:val="24"/>
        </w:rPr>
        <w:t>were</w:t>
      </w:r>
      <w:proofErr w:type="gramEnd"/>
      <w:r>
        <w:rPr>
          <w:sz w:val="24"/>
          <w:szCs w:val="24"/>
        </w:rPr>
        <w:t xml:space="preserve"> seized from Deft1-2.</w:t>
      </w:r>
    </w:p>
    <w:p w:rsidR="007A0785" w:rsidRDefault="007A0785" w:rsidP="007A0785">
      <w:pPr>
        <w:tabs>
          <w:tab w:val="clear" w:pos="8453"/>
          <w:tab w:val="left" w:pos="2160"/>
        </w:tabs>
        <w:ind w:left="1440" w:right="619"/>
        <w:jc w:val="both"/>
        <w:rPr>
          <w:sz w:val="24"/>
          <w:szCs w:val="24"/>
        </w:rPr>
      </w:pPr>
    </w:p>
    <w:p w:rsidR="007A0785" w:rsidRDefault="007A0785" w:rsidP="007A0785">
      <w:pPr>
        <w:tabs>
          <w:tab w:val="clear" w:pos="8453"/>
          <w:tab w:val="left" w:pos="2160"/>
        </w:tabs>
        <w:ind w:left="1440" w:right="619"/>
        <w:jc w:val="both"/>
        <w:rPr>
          <w:sz w:val="24"/>
          <w:szCs w:val="24"/>
        </w:rPr>
      </w:pPr>
      <w:r>
        <w:rPr>
          <w:sz w:val="24"/>
          <w:szCs w:val="24"/>
        </w:rPr>
        <w:t>3.</w:t>
      </w:r>
      <w:r>
        <w:rPr>
          <w:sz w:val="24"/>
          <w:szCs w:val="24"/>
        </w:rPr>
        <w:tab/>
      </w:r>
      <w:r w:rsidR="001E6387">
        <w:rPr>
          <w:sz w:val="24"/>
          <w:szCs w:val="24"/>
        </w:rPr>
        <w:t xml:space="preserve">Online source video footage (E24) revealed that since 1500 hours on 2019-11-18, around 100 protestors had assembled in disorderly manners at Gascoigne Road and committed breach of the peace by unlawful acts, i.e. barricading and forming </w:t>
      </w:r>
      <w:proofErr w:type="spellStart"/>
      <w:r w:rsidR="001E6387">
        <w:rPr>
          <w:sz w:val="24"/>
          <w:szCs w:val="24"/>
        </w:rPr>
        <w:t>checklines</w:t>
      </w:r>
      <w:proofErr w:type="spellEnd"/>
      <w:r w:rsidR="001E6387">
        <w:rPr>
          <w:sz w:val="24"/>
          <w:szCs w:val="24"/>
        </w:rPr>
        <w:t xml:space="preserve"> at road carriageways, damaging road structures, charging the police </w:t>
      </w:r>
      <w:proofErr w:type="spellStart"/>
      <w:r w:rsidR="001E6387">
        <w:rPr>
          <w:sz w:val="24"/>
          <w:szCs w:val="24"/>
        </w:rPr>
        <w:t>checkline</w:t>
      </w:r>
      <w:proofErr w:type="spellEnd"/>
      <w:r w:rsidR="001E6387">
        <w:rPr>
          <w:sz w:val="24"/>
          <w:szCs w:val="24"/>
        </w:rPr>
        <w:t xml:space="preserve"> by throwing bricks and petrol bombs.</w:t>
      </w:r>
    </w:p>
    <w:p w:rsidR="001E6387" w:rsidRDefault="001E6387" w:rsidP="007A0785">
      <w:pPr>
        <w:tabs>
          <w:tab w:val="clear" w:pos="8453"/>
          <w:tab w:val="left" w:pos="2160"/>
        </w:tabs>
        <w:ind w:left="1440" w:right="619"/>
        <w:jc w:val="both"/>
        <w:rPr>
          <w:sz w:val="24"/>
          <w:szCs w:val="24"/>
        </w:rPr>
      </w:pPr>
    </w:p>
    <w:p w:rsidR="001E6387" w:rsidRDefault="001E6387" w:rsidP="007A0785">
      <w:pPr>
        <w:tabs>
          <w:tab w:val="clear" w:pos="8453"/>
          <w:tab w:val="left" w:pos="2160"/>
        </w:tabs>
        <w:ind w:left="1440" w:right="619"/>
        <w:jc w:val="both"/>
        <w:rPr>
          <w:sz w:val="24"/>
          <w:szCs w:val="24"/>
        </w:rPr>
      </w:pPr>
      <w:r>
        <w:rPr>
          <w:sz w:val="24"/>
          <w:szCs w:val="24"/>
        </w:rPr>
        <w:t>4.</w:t>
      </w:r>
      <w:r>
        <w:rPr>
          <w:sz w:val="24"/>
          <w:szCs w:val="24"/>
        </w:rPr>
        <w:tab/>
        <w:t xml:space="preserve">The footage also </w:t>
      </w:r>
      <w:r w:rsidR="004901F0">
        <w:rPr>
          <w:sz w:val="24"/>
          <w:szCs w:val="24"/>
        </w:rPr>
        <w:t xml:space="preserve">revealed that since 1509 hours (for Deft2) and 1510 hours (for Deft1), Deft1-2 had participated at front section of the protest among the crowd of around 100 protestors.  Deft1 was captured holding an umbrella for covering other protestors who were moving barricades to charge the police </w:t>
      </w:r>
      <w:proofErr w:type="spellStart"/>
      <w:r w:rsidR="004901F0">
        <w:rPr>
          <w:sz w:val="24"/>
          <w:szCs w:val="24"/>
        </w:rPr>
        <w:t>checkline</w:t>
      </w:r>
      <w:proofErr w:type="spellEnd"/>
      <w:r w:rsidR="004901F0">
        <w:rPr>
          <w:sz w:val="24"/>
          <w:szCs w:val="24"/>
        </w:rPr>
        <w:t>.  Deft2 was captured moving forward at the forefront of the protestors and giving signals</w:t>
      </w:r>
      <w:r w:rsidR="00982C6B">
        <w:rPr>
          <w:sz w:val="24"/>
          <w:szCs w:val="24"/>
        </w:rPr>
        <w:t xml:space="preserve"> to other protestors by hand gesture.  Deft1-2 </w:t>
      </w:r>
      <w:proofErr w:type="gramStart"/>
      <w:r w:rsidR="00982C6B">
        <w:rPr>
          <w:sz w:val="24"/>
          <w:szCs w:val="24"/>
        </w:rPr>
        <w:t>were</w:t>
      </w:r>
      <w:proofErr w:type="gramEnd"/>
      <w:r w:rsidR="00982C6B">
        <w:rPr>
          <w:sz w:val="24"/>
          <w:szCs w:val="24"/>
        </w:rPr>
        <w:t xml:space="preserve"> captured taking part in the protest until they were intercepted by PW1-2.</w:t>
      </w:r>
    </w:p>
    <w:p w:rsidR="00982C6B" w:rsidRDefault="00982C6B" w:rsidP="007A0785">
      <w:pPr>
        <w:tabs>
          <w:tab w:val="clear" w:pos="8453"/>
          <w:tab w:val="left" w:pos="2160"/>
        </w:tabs>
        <w:ind w:left="1440" w:right="619"/>
        <w:jc w:val="both"/>
        <w:rPr>
          <w:sz w:val="24"/>
          <w:szCs w:val="24"/>
        </w:rPr>
      </w:pPr>
    </w:p>
    <w:p w:rsidR="00982C6B" w:rsidRDefault="00982C6B" w:rsidP="002F7425">
      <w:pPr>
        <w:tabs>
          <w:tab w:val="clear" w:pos="8453"/>
          <w:tab w:val="left" w:pos="2160"/>
        </w:tabs>
        <w:spacing w:after="600"/>
        <w:ind w:left="1440" w:right="619"/>
        <w:jc w:val="both"/>
        <w:rPr>
          <w:sz w:val="24"/>
          <w:szCs w:val="24"/>
        </w:rPr>
      </w:pPr>
      <w:r>
        <w:rPr>
          <w:sz w:val="24"/>
          <w:szCs w:val="24"/>
        </w:rPr>
        <w:t>5.</w:t>
      </w:r>
      <w:r>
        <w:rPr>
          <w:sz w:val="24"/>
          <w:szCs w:val="24"/>
        </w:rPr>
        <w:tab/>
        <w:t xml:space="preserve">Throughout the period which Deft1-2 were depicted by video footages </w:t>
      </w:r>
      <w:r w:rsidR="00B65EE5">
        <w:rPr>
          <w:sz w:val="24"/>
          <w:szCs w:val="24"/>
        </w:rPr>
        <w:t>at the vicinity (about 15:09-16:</w:t>
      </w:r>
      <w:r>
        <w:rPr>
          <w:sz w:val="24"/>
          <w:szCs w:val="24"/>
        </w:rPr>
        <w:t xml:space="preserve">16 hours), a total of 39 petrol bombs had been thrown by the protesters towards the police </w:t>
      </w:r>
      <w:proofErr w:type="spellStart"/>
      <w:r>
        <w:rPr>
          <w:sz w:val="24"/>
          <w:szCs w:val="24"/>
        </w:rPr>
        <w:t>checkline</w:t>
      </w:r>
      <w:proofErr w:type="spellEnd"/>
      <w:r>
        <w:rPr>
          <w:sz w:val="24"/>
          <w:szCs w:val="24"/>
        </w:rPr>
        <w:t>.”</w:t>
      </w:r>
    </w:p>
    <w:p w:rsidR="00DE35F4" w:rsidRDefault="00DE35F4" w:rsidP="00DE35F4">
      <w:pPr>
        <w:numPr>
          <w:ilvl w:val="0"/>
          <w:numId w:val="29"/>
        </w:numPr>
        <w:tabs>
          <w:tab w:val="clear" w:pos="4234"/>
          <w:tab w:val="clear" w:pos="8453"/>
        </w:tabs>
        <w:snapToGrid/>
        <w:spacing w:after="480" w:line="360" w:lineRule="auto"/>
        <w:ind w:left="0" w:firstLine="0"/>
        <w:jc w:val="both"/>
        <w:rPr>
          <w:szCs w:val="28"/>
        </w:rPr>
      </w:pPr>
      <w:r>
        <w:rPr>
          <w:szCs w:val="28"/>
        </w:rPr>
        <w:t>The Magistrate viewed the vid</w:t>
      </w:r>
      <w:r w:rsidR="000E6911">
        <w:rPr>
          <w:szCs w:val="28"/>
        </w:rPr>
        <w:t>eo footages referred to in the Admitted F</w:t>
      </w:r>
      <w:r>
        <w:rPr>
          <w:szCs w:val="28"/>
        </w:rPr>
        <w:t>acts before sentence</w:t>
      </w:r>
      <w:r w:rsidR="00497176">
        <w:rPr>
          <w:szCs w:val="28"/>
        </w:rPr>
        <w:t xml:space="preserve"> to assess the scale of the unlawful assembly and the respondents’ participation in it.</w:t>
      </w:r>
      <w:r w:rsidR="00497176">
        <w:rPr>
          <w:rStyle w:val="FootnoteReference"/>
          <w:szCs w:val="28"/>
        </w:rPr>
        <w:footnoteReference w:id="6"/>
      </w:r>
    </w:p>
    <w:p w:rsidR="00DE35F4" w:rsidRPr="00B37BA3" w:rsidRDefault="00DE35F4" w:rsidP="00F80CB9">
      <w:pPr>
        <w:pStyle w:val="ListParagraph"/>
        <w:keepNext/>
        <w:numPr>
          <w:ilvl w:val="0"/>
          <w:numId w:val="33"/>
        </w:numPr>
        <w:tabs>
          <w:tab w:val="left" w:pos="720"/>
        </w:tabs>
        <w:snapToGrid/>
        <w:spacing w:after="240" w:line="360" w:lineRule="auto"/>
        <w:ind w:leftChars="0" w:hanging="720"/>
        <w:rPr>
          <w:b w:val="0"/>
          <w:i/>
          <w:sz w:val="28"/>
          <w:szCs w:val="28"/>
        </w:rPr>
      </w:pPr>
      <w:r w:rsidRPr="00B37BA3">
        <w:rPr>
          <w:b w:val="0"/>
          <w:i/>
          <w:sz w:val="28"/>
          <w:szCs w:val="28"/>
        </w:rPr>
        <w:t>Sentence below</w:t>
      </w:r>
    </w:p>
    <w:p w:rsidR="00DE35F4" w:rsidRDefault="00DE35F4" w:rsidP="00F80CB9">
      <w:pPr>
        <w:keepNext/>
        <w:tabs>
          <w:tab w:val="clear" w:pos="1440"/>
          <w:tab w:val="left" w:pos="720"/>
        </w:tabs>
        <w:spacing w:after="240" w:line="360" w:lineRule="auto"/>
        <w:jc w:val="both"/>
        <w:rPr>
          <w:i/>
          <w:szCs w:val="28"/>
        </w:rPr>
      </w:pPr>
      <w:r w:rsidRPr="00B37BA3">
        <w:rPr>
          <w:i/>
          <w:szCs w:val="28"/>
        </w:rPr>
        <w:t>C1.</w:t>
      </w:r>
      <w:r w:rsidRPr="00B37BA3">
        <w:rPr>
          <w:i/>
          <w:szCs w:val="28"/>
        </w:rPr>
        <w:tab/>
        <w:t>Mitigation</w:t>
      </w:r>
    </w:p>
    <w:p w:rsidR="00E64E13" w:rsidRDefault="00E64E13" w:rsidP="00102ECD">
      <w:pPr>
        <w:spacing w:before="360" w:after="480" w:line="360" w:lineRule="auto"/>
        <w:jc w:val="both"/>
      </w:pPr>
      <w:r>
        <w:t>10.</w:t>
      </w:r>
      <w:r>
        <w:tab/>
        <w:t>The 1</w:t>
      </w:r>
      <w:r w:rsidRPr="00B91512">
        <w:rPr>
          <w:vertAlign w:val="superscript"/>
        </w:rPr>
        <w:t>st</w:t>
      </w:r>
      <w:r>
        <w:t xml:space="preserve"> respondent was 14 years</w:t>
      </w:r>
      <w:r w:rsidR="00962665">
        <w:t xml:space="preserve"> 10 months old</w:t>
      </w:r>
      <w:r>
        <w:t xml:space="preserve"> at the time of the offence. </w:t>
      </w:r>
      <w:r w:rsidR="002F12D7">
        <w:t xml:space="preserve"> </w:t>
      </w:r>
      <w:r>
        <w:t xml:space="preserve">At the time of appearing before the Magistrate, she was 15 years old. </w:t>
      </w:r>
      <w:r w:rsidR="001F2B3B">
        <w:t xml:space="preserve"> </w:t>
      </w:r>
      <w:r>
        <w:t xml:space="preserve">She was of clear record.  She </w:t>
      </w:r>
      <w:r w:rsidR="00175D29">
        <w:t xml:space="preserve">is </w:t>
      </w:r>
      <w:r>
        <w:t xml:space="preserve">a secondary school student in a Band 1 school with above-average grades.  Her parents </w:t>
      </w:r>
      <w:r w:rsidR="00175D29">
        <w:t xml:space="preserve">are </w:t>
      </w:r>
      <w:r>
        <w:t>a paramedic and a private car driver.  The 1</w:t>
      </w:r>
      <w:r w:rsidRPr="00B91512">
        <w:rPr>
          <w:vertAlign w:val="superscript"/>
        </w:rPr>
        <w:t>st</w:t>
      </w:r>
      <w:r>
        <w:t xml:space="preserve"> respondent </w:t>
      </w:r>
      <w:r w:rsidR="00175D29">
        <w:t>i</w:t>
      </w:r>
      <w:r>
        <w:t xml:space="preserve">s a devoted Catholic and a teaching assistant in Sunday school. </w:t>
      </w:r>
      <w:r w:rsidR="001F2B3B">
        <w:t xml:space="preserve"> </w:t>
      </w:r>
      <w:r>
        <w:t xml:space="preserve">She </w:t>
      </w:r>
      <w:r w:rsidR="00175D29">
        <w:t xml:space="preserve">has </w:t>
      </w:r>
      <w:r>
        <w:t xml:space="preserve">aspired to be a medical doctor. </w:t>
      </w:r>
      <w:r w:rsidR="00962665">
        <w:t xml:space="preserve"> </w:t>
      </w:r>
      <w:r w:rsidR="00962665">
        <w:lastRenderedPageBreak/>
        <w:t>Mr Harris SC, for the 1</w:t>
      </w:r>
      <w:r w:rsidR="00962665" w:rsidRPr="00962665">
        <w:rPr>
          <w:vertAlign w:val="superscript"/>
        </w:rPr>
        <w:t>s</w:t>
      </w:r>
      <w:r w:rsidR="00962665">
        <w:rPr>
          <w:vertAlign w:val="superscript"/>
        </w:rPr>
        <w:t xml:space="preserve">t </w:t>
      </w:r>
      <w:r w:rsidR="00962665">
        <w:t>respondent, submitted</w:t>
      </w:r>
      <w:r>
        <w:t xml:space="preserve"> that </w:t>
      </w:r>
      <w:r w:rsidR="00962665">
        <w:t>she</w:t>
      </w:r>
      <w:r>
        <w:t xml:space="preserve"> was unlikely to re-offend. </w:t>
      </w:r>
      <w:r w:rsidR="001F2B3B">
        <w:t xml:space="preserve"> Dr</w:t>
      </w:r>
      <w:r>
        <w:t xml:space="preserve"> Henry Kwok </w:t>
      </w:r>
      <w:r w:rsidR="00474FBE">
        <w:t>who attended</w:t>
      </w:r>
      <w:r>
        <w:t xml:space="preserve"> the 1</w:t>
      </w:r>
      <w:r w:rsidRPr="00B91512">
        <w:rPr>
          <w:vertAlign w:val="superscript"/>
        </w:rPr>
        <w:t>st</w:t>
      </w:r>
      <w:r>
        <w:t xml:space="preserve"> respondent </w:t>
      </w:r>
      <w:r w:rsidR="00474FBE">
        <w:t xml:space="preserve">noted that she </w:t>
      </w:r>
      <w:r>
        <w:t>had a history of repeated self-ha</w:t>
      </w:r>
      <w:r w:rsidR="00962665">
        <w:t>rm and had been diagnosed with depression, generalised anxiety disorder and irritable bowel s</w:t>
      </w:r>
      <w:r>
        <w:t xml:space="preserve">yndrome and had been on anti-depressant medication. </w:t>
      </w:r>
      <w:r w:rsidR="00B65EE5">
        <w:t xml:space="preserve"> </w:t>
      </w:r>
      <w:r>
        <w:t>Dr Kwok was of the opinion that the 1</w:t>
      </w:r>
      <w:r w:rsidRPr="00B91512">
        <w:rPr>
          <w:vertAlign w:val="superscript"/>
        </w:rPr>
        <w:t>st</w:t>
      </w:r>
      <w:r w:rsidR="00962665">
        <w:t xml:space="preserve"> respondent suffered from posttraumatic stress d</w:t>
      </w:r>
      <w:r>
        <w:t>isorder with mild symptoms</w:t>
      </w:r>
      <w:r w:rsidR="00962665">
        <w:t xml:space="preserve"> because of the criminal proceedings</w:t>
      </w:r>
      <w:r w:rsidR="006B3700">
        <w:t>.</w:t>
      </w:r>
    </w:p>
    <w:p w:rsidR="00E64E13" w:rsidRDefault="001F2B3B" w:rsidP="00102ECD">
      <w:pPr>
        <w:spacing w:before="360" w:after="480" w:line="360" w:lineRule="auto"/>
        <w:jc w:val="both"/>
      </w:pPr>
      <w:r>
        <w:t>11.</w:t>
      </w:r>
      <w:r>
        <w:tab/>
      </w:r>
      <w:r w:rsidR="00962665">
        <w:t xml:space="preserve">Mr Harris further </w:t>
      </w:r>
      <w:r w:rsidR="00E64E13">
        <w:t>submitted that the 1</w:t>
      </w:r>
      <w:r w:rsidR="00E64E13" w:rsidRPr="003B3327">
        <w:rPr>
          <w:vertAlign w:val="superscript"/>
        </w:rPr>
        <w:t>st</w:t>
      </w:r>
      <w:r w:rsidR="00E64E13">
        <w:t xml:space="preserve"> respondent, being 14 years of age at the time of offence, was an “extremely young” offender within the meaning of </w:t>
      </w:r>
      <w:r w:rsidR="00E64E13" w:rsidRPr="003B3327">
        <w:rPr>
          <w:i/>
        </w:rPr>
        <w:t xml:space="preserve">HKSAR v Law </w:t>
      </w:r>
      <w:proofErr w:type="spellStart"/>
      <w:r w:rsidR="00E64E13" w:rsidRPr="003B3327">
        <w:rPr>
          <w:i/>
        </w:rPr>
        <w:t>Ka</w:t>
      </w:r>
      <w:proofErr w:type="spellEnd"/>
      <w:r w:rsidR="00E64E13" w:rsidRPr="003B3327">
        <w:rPr>
          <w:i/>
        </w:rPr>
        <w:t>-kit and Others</w:t>
      </w:r>
      <w:r w:rsidR="00C42631">
        <w:rPr>
          <w:i/>
        </w:rPr>
        <w:t xml:space="preserve"> </w:t>
      </w:r>
      <w:r w:rsidR="00B65EE5">
        <w:rPr>
          <w:rFonts w:hint="eastAsia"/>
          <w:szCs w:val="28"/>
        </w:rPr>
        <w:t>[2003] 2 HKC 178</w:t>
      </w:r>
      <w:r w:rsidR="00B65EE5">
        <w:rPr>
          <w:szCs w:val="28"/>
        </w:rPr>
        <w:t>,</w:t>
      </w:r>
      <w:r w:rsidR="00B65EE5">
        <w:rPr>
          <w:rFonts w:hint="eastAsia"/>
          <w:szCs w:val="28"/>
        </w:rPr>
        <w:t xml:space="preserve"> at p.</w:t>
      </w:r>
      <w:r w:rsidR="00C42631" w:rsidRPr="00C42631">
        <w:rPr>
          <w:rFonts w:hint="eastAsia"/>
          <w:szCs w:val="28"/>
        </w:rPr>
        <w:t>186</w:t>
      </w:r>
      <w:r w:rsidR="00C42631" w:rsidRPr="00C42631">
        <w:rPr>
          <w:szCs w:val="28"/>
        </w:rPr>
        <w:t>.</w:t>
      </w:r>
      <w:r w:rsidR="00C42631">
        <w:t xml:space="preserve">  </w:t>
      </w:r>
      <w:r w:rsidR="00BD1677">
        <w:t xml:space="preserve">Referring to </w:t>
      </w:r>
      <w:r w:rsidR="00E64E13">
        <w:t>section 11 of JOO</w:t>
      </w:r>
      <w:r w:rsidR="00BD1677">
        <w:t>, which provided</w:t>
      </w:r>
      <w:r w:rsidR="00E64E13">
        <w:t xml:space="preserve"> that a young person shall not be sentenced to imprisonment if he could be suitably dealt with in any other way</w:t>
      </w:r>
      <w:r w:rsidR="00BD1677">
        <w:t xml:space="preserve">, Mr Harris urged the Magistrate </w:t>
      </w:r>
      <w:r w:rsidR="00474FBE">
        <w:t>to</w:t>
      </w:r>
      <w:r w:rsidR="00BD1677">
        <w:t xml:space="preserve"> bear</w:t>
      </w:r>
      <w:r w:rsidR="00E64E13">
        <w:t xml:space="preserve"> </w:t>
      </w:r>
      <w:r w:rsidR="00474FBE">
        <w:t xml:space="preserve">in mind </w:t>
      </w:r>
      <w:r w:rsidR="00E64E13">
        <w:t xml:space="preserve">rehabilitation </w:t>
      </w:r>
      <w:r w:rsidR="00BD1677">
        <w:t>a</w:t>
      </w:r>
      <w:r w:rsidR="00782051">
        <w:t>s opposed to retribution</w:t>
      </w:r>
      <w:r w:rsidR="00BD1677">
        <w:t xml:space="preserve"> </w:t>
      </w:r>
      <w:r w:rsidR="00E64E13">
        <w:t>unless the offence was so serious that such an approach was not appropriate</w:t>
      </w:r>
      <w:r w:rsidR="00773156">
        <w:t>, citing</w:t>
      </w:r>
      <w:r w:rsidR="00C42631">
        <w:t xml:space="preserve"> </w:t>
      </w:r>
      <w:r w:rsidR="00C42631" w:rsidRPr="0006071C">
        <w:rPr>
          <w:i/>
        </w:rPr>
        <w:t xml:space="preserve">HKSAR v </w:t>
      </w:r>
      <w:proofErr w:type="spellStart"/>
      <w:r w:rsidR="00C42631" w:rsidRPr="0006071C">
        <w:rPr>
          <w:i/>
        </w:rPr>
        <w:t>Chochanga</w:t>
      </w:r>
      <w:proofErr w:type="spellEnd"/>
      <w:r w:rsidR="00C42631" w:rsidRPr="0006071C">
        <w:rPr>
          <w:i/>
        </w:rPr>
        <w:t xml:space="preserve"> </w:t>
      </w:r>
      <w:proofErr w:type="spellStart"/>
      <w:r w:rsidR="00C42631" w:rsidRPr="0006071C">
        <w:rPr>
          <w:i/>
        </w:rPr>
        <w:t>Vabindra</w:t>
      </w:r>
      <w:proofErr w:type="spellEnd"/>
      <w:r w:rsidR="00C42631">
        <w:t xml:space="preserve"> </w:t>
      </w:r>
      <w:r w:rsidR="0006071C">
        <w:rPr>
          <w:szCs w:val="28"/>
        </w:rPr>
        <w:t>[2003] 3 HKLRD 224</w:t>
      </w:r>
      <w:r w:rsidR="00B65EE5">
        <w:rPr>
          <w:szCs w:val="28"/>
        </w:rPr>
        <w:t>, at p.228</w:t>
      </w:r>
      <w:r w:rsidR="00C42631">
        <w:t>.</w:t>
      </w:r>
      <w:r w:rsidR="00E64E13">
        <w:t xml:space="preserve"> </w:t>
      </w:r>
      <w:r>
        <w:t xml:space="preserve"> </w:t>
      </w:r>
      <w:r w:rsidR="00BD1677">
        <w:t>Counsel</w:t>
      </w:r>
      <w:r w:rsidR="00E64E13">
        <w:t xml:space="preserve"> suggested that the 1</w:t>
      </w:r>
      <w:r w:rsidR="00E64E13" w:rsidRPr="00615123">
        <w:rPr>
          <w:vertAlign w:val="superscript"/>
        </w:rPr>
        <w:t>st</w:t>
      </w:r>
      <w:r w:rsidR="00E64E13">
        <w:t xml:space="preserve"> respondent’s rehabilitation would be best a</w:t>
      </w:r>
      <w:r w:rsidR="00474FBE">
        <w:t>ssiste</w:t>
      </w:r>
      <w:r w:rsidR="00773156">
        <w:t>d by the imposition of a care and</w:t>
      </w:r>
      <w:r w:rsidR="00474FBE">
        <w:t xml:space="preserve"> p</w:t>
      </w:r>
      <w:r w:rsidR="002F12D7">
        <w:t>rotection o</w:t>
      </w:r>
      <w:r w:rsidR="00E64E13">
        <w:t>rder pursuant to section 34 of the</w:t>
      </w:r>
      <w:r w:rsidR="00B65EE5">
        <w:t xml:space="preserve"> PCJO and section 15(1)(e) of JO</w:t>
      </w:r>
      <w:r w:rsidR="00E64E13">
        <w:t>O.</w:t>
      </w:r>
    </w:p>
    <w:p w:rsidR="00E64E13" w:rsidRDefault="00C42631" w:rsidP="00102ECD">
      <w:pPr>
        <w:spacing w:before="360" w:after="480" w:line="360" w:lineRule="auto"/>
        <w:jc w:val="both"/>
      </w:pPr>
      <w:r>
        <w:t>12.</w:t>
      </w:r>
      <w:r>
        <w:tab/>
      </w:r>
      <w:r w:rsidR="00E64E13">
        <w:t>The 2</w:t>
      </w:r>
      <w:r w:rsidR="00E64E13" w:rsidRPr="00D24C66">
        <w:rPr>
          <w:vertAlign w:val="superscript"/>
        </w:rPr>
        <w:t>nd</w:t>
      </w:r>
      <w:r w:rsidR="00E64E13">
        <w:t xml:space="preserve"> respondent was 14 years </w:t>
      </w:r>
      <w:r w:rsidR="00BD1677">
        <w:t>1 month old</w:t>
      </w:r>
      <w:r w:rsidR="00E64E13">
        <w:t xml:space="preserve"> at the time of the offence. </w:t>
      </w:r>
      <w:r w:rsidR="001F2B3B">
        <w:t xml:space="preserve"> </w:t>
      </w:r>
      <w:r w:rsidR="00E64E13">
        <w:t>He attend</w:t>
      </w:r>
      <w:r w:rsidR="00175D29">
        <w:t xml:space="preserve">s </w:t>
      </w:r>
      <w:r w:rsidR="00E64E13">
        <w:t xml:space="preserve">a reputable secondary school and </w:t>
      </w:r>
      <w:r w:rsidR="00175D29">
        <w:t xml:space="preserve">has taken </w:t>
      </w:r>
      <w:r w:rsidR="00E64E13">
        <w:t xml:space="preserve">part in various extracurricular activities. </w:t>
      </w:r>
      <w:r w:rsidR="001F2B3B">
        <w:t xml:space="preserve"> </w:t>
      </w:r>
      <w:r w:rsidR="00E64E13">
        <w:t>The 2</w:t>
      </w:r>
      <w:r w:rsidR="00E64E13" w:rsidRPr="00B56D84">
        <w:rPr>
          <w:vertAlign w:val="superscript"/>
        </w:rPr>
        <w:t>nd</w:t>
      </w:r>
      <w:r w:rsidR="00E64E13">
        <w:t xml:space="preserve"> resp</w:t>
      </w:r>
      <w:r w:rsidR="009513FD">
        <w:t>ondent had been diagnosed with attention deficit hyperactivity d</w:t>
      </w:r>
      <w:r w:rsidR="00E64E13">
        <w:t>isorder (</w:t>
      </w:r>
      <w:r w:rsidR="009513FD">
        <w:t>“</w:t>
      </w:r>
      <w:r w:rsidR="00E64E13">
        <w:t>ADHD</w:t>
      </w:r>
      <w:r w:rsidR="009513FD">
        <w:t>”</w:t>
      </w:r>
      <w:r w:rsidR="00E64E13">
        <w:t xml:space="preserve">) at 7 or 8 years of age. </w:t>
      </w:r>
      <w:r w:rsidR="001F2B3B">
        <w:t xml:space="preserve"> Dr</w:t>
      </w:r>
      <w:r w:rsidR="00E64E13">
        <w:t xml:space="preserve"> Cheung </w:t>
      </w:r>
      <w:proofErr w:type="spellStart"/>
      <w:r w:rsidR="00E64E13">
        <w:t>Wai</w:t>
      </w:r>
      <w:proofErr w:type="spellEnd"/>
      <w:r w:rsidR="00E64E13">
        <w:t xml:space="preserve"> Him </w:t>
      </w:r>
      <w:r w:rsidR="00773156">
        <w:t xml:space="preserve">who </w:t>
      </w:r>
      <w:r w:rsidR="00E64E13">
        <w:t>assessed the 2</w:t>
      </w:r>
      <w:r w:rsidR="00E64E13" w:rsidRPr="009275E1">
        <w:rPr>
          <w:vertAlign w:val="superscript"/>
        </w:rPr>
        <w:t>nd</w:t>
      </w:r>
      <w:r w:rsidR="00E64E13">
        <w:t xml:space="preserve"> re</w:t>
      </w:r>
      <w:r w:rsidR="00773156">
        <w:t xml:space="preserve">spondent on 11 January 2020 </w:t>
      </w:r>
      <w:r w:rsidR="00E64E13">
        <w:t xml:space="preserve">found his mood to be mildly depressed and that he had fleeting suicidal idea </w:t>
      </w:r>
      <w:r w:rsidR="00E64E13">
        <w:lastRenderedPageBreak/>
        <w:t>but wit</w:t>
      </w:r>
      <w:r w:rsidR="001F2B3B">
        <w:t>hout plan or actual attempt.  Dr</w:t>
      </w:r>
      <w:r w:rsidR="00E64E13">
        <w:t xml:space="preserve"> Cheung diagnosed the 2</w:t>
      </w:r>
      <w:r w:rsidR="00E64E13" w:rsidRPr="009275E1">
        <w:rPr>
          <w:vertAlign w:val="superscript"/>
        </w:rPr>
        <w:t>nd</w:t>
      </w:r>
      <w:r w:rsidR="00E64E13">
        <w:t xml:space="preserve"> r</w:t>
      </w:r>
      <w:r w:rsidR="009513FD">
        <w:t>espondent to be suffering from adjustment d</w:t>
      </w:r>
      <w:r w:rsidR="00E64E13">
        <w:t>isorder and ADHD</w:t>
      </w:r>
      <w:r>
        <w:t>.</w:t>
      </w:r>
    </w:p>
    <w:p w:rsidR="00E64E13" w:rsidRDefault="00DA78FB" w:rsidP="00102ECD">
      <w:pPr>
        <w:spacing w:before="360" w:after="480" w:line="360" w:lineRule="auto"/>
        <w:jc w:val="both"/>
      </w:pPr>
      <w:r>
        <w:t>13.</w:t>
      </w:r>
      <w:r>
        <w:tab/>
      </w:r>
      <w:r w:rsidR="009513FD">
        <w:t>Mr Ma</w:t>
      </w:r>
      <w:r w:rsidR="00F50AE0">
        <w:t>,</w:t>
      </w:r>
      <w:r w:rsidR="00E64E13">
        <w:t xml:space="preserve"> for the 2</w:t>
      </w:r>
      <w:r w:rsidR="00E64E13" w:rsidRPr="00B56D84">
        <w:rPr>
          <w:vertAlign w:val="superscript"/>
        </w:rPr>
        <w:t>nd</w:t>
      </w:r>
      <w:r w:rsidR="00E64E13">
        <w:t xml:space="preserve"> respondent</w:t>
      </w:r>
      <w:r w:rsidR="00F50AE0">
        <w:t>,</w:t>
      </w:r>
      <w:r w:rsidR="00E64E13">
        <w:t xml:space="preserve"> submitted that the 2</w:t>
      </w:r>
      <w:r w:rsidR="00E64E13" w:rsidRPr="00351E71">
        <w:rPr>
          <w:vertAlign w:val="superscript"/>
        </w:rPr>
        <w:t>nd</w:t>
      </w:r>
      <w:r w:rsidR="00E64E13">
        <w:t xml:space="preserve"> respondent had been much affected by the daily reporting of the protests and on the date of offence he went to Gascoigne Road in answer to a call on social media, equipped with respirator, goggles and saline.</w:t>
      </w:r>
      <w:r w:rsidR="001F2B3B">
        <w:t xml:space="preserve"> </w:t>
      </w:r>
      <w:r w:rsidR="00E64E13">
        <w:t xml:space="preserve"> </w:t>
      </w:r>
      <w:r w:rsidR="009513FD">
        <w:t>He</w:t>
      </w:r>
      <w:r w:rsidR="00E64E13">
        <w:t xml:space="preserve"> said that the 2</w:t>
      </w:r>
      <w:r w:rsidR="00E64E13" w:rsidRPr="00087CAF">
        <w:rPr>
          <w:vertAlign w:val="superscript"/>
        </w:rPr>
        <w:t>nd</w:t>
      </w:r>
      <w:r w:rsidR="00E64E13">
        <w:t xml:space="preserve"> respondent did not throw any petrol bomb but was only at the front section of the protestors, walked towards the police cordon, and made hand gestures to other protestors. </w:t>
      </w:r>
      <w:r w:rsidR="001F2B3B">
        <w:t xml:space="preserve"> </w:t>
      </w:r>
      <w:r w:rsidR="009513FD">
        <w:t xml:space="preserve">He urged </w:t>
      </w:r>
      <w:r>
        <w:t>the M</w:t>
      </w:r>
      <w:r w:rsidR="00E64E13">
        <w:t>agistrate</w:t>
      </w:r>
      <w:r w:rsidR="009513FD">
        <w:t xml:space="preserve"> to deal with </w:t>
      </w:r>
      <w:r w:rsidR="00E64E13">
        <w:t>the 2</w:t>
      </w:r>
      <w:r w:rsidR="00E64E13" w:rsidRPr="00AF6429">
        <w:rPr>
          <w:vertAlign w:val="superscript"/>
        </w:rPr>
        <w:t>nd</w:t>
      </w:r>
      <w:r w:rsidR="009513FD">
        <w:t xml:space="preserve"> respondent </w:t>
      </w:r>
      <w:r w:rsidR="00782051">
        <w:t>by way of a care and protection o</w:t>
      </w:r>
      <w:r w:rsidR="00E64E13">
        <w:t>rder.</w:t>
      </w:r>
    </w:p>
    <w:p w:rsidR="00DE35F4" w:rsidRPr="00B37BA3" w:rsidRDefault="00DA78FB" w:rsidP="009513FD">
      <w:pPr>
        <w:spacing w:before="360" w:after="480" w:line="360" w:lineRule="auto"/>
        <w:jc w:val="both"/>
        <w:rPr>
          <w:i/>
          <w:szCs w:val="28"/>
        </w:rPr>
      </w:pPr>
      <w:r>
        <w:t>14.</w:t>
      </w:r>
      <w:r>
        <w:tab/>
      </w:r>
      <w:r w:rsidR="0077586A">
        <w:t>The</w:t>
      </w:r>
      <w:r w:rsidR="00E64E13">
        <w:t xml:space="preserve"> probation officer’s reports </w:t>
      </w:r>
      <w:r w:rsidR="009513FD">
        <w:t xml:space="preserve">and </w:t>
      </w:r>
      <w:r w:rsidR="00E64E13">
        <w:t xml:space="preserve">social welfare officer’s reports </w:t>
      </w:r>
      <w:r w:rsidR="00E64E13" w:rsidRPr="00087CAF">
        <w:t xml:space="preserve">spoke favourably of the respondents and </w:t>
      </w:r>
      <w:r w:rsidR="00E64E13">
        <w:t>recommen</w:t>
      </w:r>
      <w:r w:rsidR="009513FD">
        <w:t>ded that they be dealt with by care and protection orders instead of probation o</w:t>
      </w:r>
      <w:r w:rsidR="00E64E13">
        <w:t xml:space="preserve">rders. </w:t>
      </w:r>
      <w:r w:rsidR="006B3700">
        <w:t xml:space="preserve"> </w:t>
      </w:r>
      <w:r w:rsidR="00E64E13">
        <w:t>The reports further recommended that the respondents be committed to the care of their respective parents and be placed under the supervision of a Social Welfare Officer under section 34 (1)(b) and (d) of the PCJO for 12 months with special conditions attached.</w:t>
      </w:r>
    </w:p>
    <w:p w:rsidR="00DE35F4" w:rsidRDefault="00DE35F4" w:rsidP="00246904">
      <w:pPr>
        <w:keepNext/>
        <w:tabs>
          <w:tab w:val="clear" w:pos="1440"/>
          <w:tab w:val="left" w:pos="720"/>
        </w:tabs>
        <w:spacing w:after="240" w:line="360" w:lineRule="auto"/>
        <w:jc w:val="both"/>
        <w:rPr>
          <w:i/>
          <w:szCs w:val="28"/>
        </w:rPr>
      </w:pPr>
      <w:r w:rsidRPr="00350639">
        <w:rPr>
          <w:i/>
          <w:szCs w:val="28"/>
        </w:rPr>
        <w:t>C2.</w:t>
      </w:r>
      <w:r w:rsidRPr="00350639">
        <w:rPr>
          <w:i/>
          <w:szCs w:val="28"/>
        </w:rPr>
        <w:tab/>
        <w:t>Reasons for sentence</w:t>
      </w:r>
    </w:p>
    <w:p w:rsidR="009D0BA7" w:rsidRDefault="00837C66" w:rsidP="00246904">
      <w:pPr>
        <w:spacing w:after="480" w:line="360" w:lineRule="auto"/>
        <w:jc w:val="both"/>
      </w:pPr>
      <w:r>
        <w:t>15</w:t>
      </w:r>
      <w:r w:rsidR="009D0BA7">
        <w:t>.</w:t>
      </w:r>
      <w:r w:rsidR="009D0BA7">
        <w:tab/>
        <w:t xml:space="preserve">The Magistrate first reminded himself of the sentencing principles and guidelines laid down by </w:t>
      </w:r>
      <w:r w:rsidR="00773156">
        <w:t>this</w:t>
      </w:r>
      <w:r w:rsidR="009D0BA7">
        <w:t xml:space="preserve"> Court</w:t>
      </w:r>
      <w:r w:rsidR="00773156">
        <w:t xml:space="preserve"> </w:t>
      </w:r>
      <w:r w:rsidR="009D0BA7">
        <w:t xml:space="preserve">in </w:t>
      </w:r>
      <w:r w:rsidR="009D0BA7">
        <w:rPr>
          <w:i/>
        </w:rPr>
        <w:t>Secretary for Justice v Wong Chi F</w:t>
      </w:r>
      <w:r w:rsidR="009D0BA7" w:rsidRPr="002347B6">
        <w:rPr>
          <w:i/>
        </w:rPr>
        <w:t>ung</w:t>
      </w:r>
      <w:r w:rsidR="00860AFE">
        <w:rPr>
          <w:i/>
        </w:rPr>
        <w:t xml:space="preserve"> </w:t>
      </w:r>
      <w:r w:rsidR="00860AFE" w:rsidRPr="00860AFE">
        <w:rPr>
          <w:szCs w:val="28"/>
          <w:lang w:val="en-US"/>
        </w:rPr>
        <w:t>[2018] 2 HKLRD 699</w:t>
      </w:r>
      <w:r w:rsidR="009D0BA7" w:rsidRPr="00840347">
        <w:t>,</w:t>
      </w:r>
      <w:r w:rsidR="009D0BA7">
        <w:t xml:space="preserve"> which were endorsed by the Court of Final Appeal</w:t>
      </w:r>
      <w:r w:rsidR="00055BEB">
        <w:t xml:space="preserve"> </w:t>
      </w:r>
      <w:r w:rsidR="00782051">
        <w:t xml:space="preserve">in </w:t>
      </w:r>
      <w:r w:rsidR="00055BEB" w:rsidRPr="00055BEB">
        <w:rPr>
          <w:szCs w:val="28"/>
          <w:lang w:val="en-US"/>
        </w:rPr>
        <w:t>(2018) 21 HKCFAR 35</w:t>
      </w:r>
      <w:r w:rsidR="009D0BA7">
        <w:t xml:space="preserve">.  </w:t>
      </w:r>
      <w:r w:rsidR="00055BEB">
        <w:t>In particular, the M</w:t>
      </w:r>
      <w:r w:rsidR="009D0BA7">
        <w:t>agistrate referred to the principle that deterrence and punishment are to be given emphasis when sentencing large-scale unlawful assembly cases involving violence.</w:t>
      </w:r>
    </w:p>
    <w:p w:rsidR="009D0BA7" w:rsidRDefault="00837C66" w:rsidP="00246904">
      <w:pPr>
        <w:spacing w:after="480" w:line="360" w:lineRule="auto"/>
        <w:jc w:val="both"/>
      </w:pPr>
      <w:r>
        <w:lastRenderedPageBreak/>
        <w:t>16</w:t>
      </w:r>
      <w:r w:rsidR="009D0BA7">
        <w:t>.</w:t>
      </w:r>
      <w:r w:rsidR="009D0BA7">
        <w:tab/>
        <w:t>Having viewed the video footage, t</w:t>
      </w:r>
      <w:r w:rsidR="00055BEB">
        <w:t>he M</w:t>
      </w:r>
      <w:r w:rsidR="009D0BA7">
        <w:t>agistrate noted the nature and sca</w:t>
      </w:r>
      <w:r w:rsidR="003032FF">
        <w:t xml:space="preserve">le of the protest in question.  </w:t>
      </w:r>
      <w:r w:rsidR="000E6911">
        <w:t>A</w:t>
      </w:r>
      <w:r w:rsidR="009D0BA7">
        <w:t>bout 100 protestors were in</w:t>
      </w:r>
      <w:r w:rsidR="000E6911">
        <w:t>volved in the unlawful assembly;</w:t>
      </w:r>
      <w:r w:rsidR="009D0BA7">
        <w:t xml:space="preserve"> most of them being passive by holding umbrellas and moving among the crowd but some of them threw bricks and petrol bombs towards the police </w:t>
      </w:r>
      <w:proofErr w:type="spellStart"/>
      <w:r w:rsidR="009D0BA7">
        <w:t>checkline</w:t>
      </w:r>
      <w:proofErr w:type="spellEnd"/>
      <w:r w:rsidR="009D0BA7">
        <w:t xml:space="preserve">; the unlawful assembly lasted over an hour; properties were damaged but nobody was injured; the protestors were probably trying to obstruct the police from pushing forward instead of trying to injure the latter with their acts. </w:t>
      </w:r>
      <w:r w:rsidR="00055BEB">
        <w:t xml:space="preserve"> The M</w:t>
      </w:r>
      <w:r w:rsidR="009D0BA7">
        <w:t xml:space="preserve">agistrate concluded that the unlawful assembly as seen on the footage was not the most serious of its kind, though it definitely was a large-scale one involving violence. </w:t>
      </w:r>
      <w:r w:rsidR="00055BEB">
        <w:t xml:space="preserve"> As such, the M</w:t>
      </w:r>
      <w:r w:rsidR="009D0BA7">
        <w:t>agistrate stated that “in normal circumstances, the sentencing factors for punishment and deterrence should be given greater weight over other factors, such as personal circumstances of the offenders, their motives and their rehabilitation”.</w:t>
      </w:r>
    </w:p>
    <w:p w:rsidR="009D0BA7" w:rsidRDefault="00837C66" w:rsidP="001310F7">
      <w:pPr>
        <w:spacing w:after="480" w:line="360" w:lineRule="auto"/>
        <w:jc w:val="both"/>
      </w:pPr>
      <w:r>
        <w:t>17</w:t>
      </w:r>
      <w:r w:rsidR="00055BEB">
        <w:t>.</w:t>
      </w:r>
      <w:r w:rsidR="00055BEB">
        <w:tab/>
      </w:r>
      <w:r w:rsidR="009D0BA7">
        <w:t xml:space="preserve">However, the </w:t>
      </w:r>
      <w:r w:rsidR="00055BEB">
        <w:t>M</w:t>
      </w:r>
      <w:r w:rsidR="003032FF">
        <w:t>agistrate emphasiz</w:t>
      </w:r>
      <w:r w:rsidR="009D0BA7">
        <w:t>ed that the respondents were juvenile offenders, were of clear record and were from very good background. W</w:t>
      </w:r>
      <w:r w:rsidR="00055BEB">
        <w:t>ith their pleas of guilty, the M</w:t>
      </w:r>
      <w:r w:rsidR="009D0BA7">
        <w:t xml:space="preserve">agistrate believed the respondents were genuinely remorseful. </w:t>
      </w:r>
      <w:r w:rsidR="00055BEB">
        <w:t xml:space="preserve"> </w:t>
      </w:r>
      <w:r w:rsidR="009D0BA7">
        <w:t xml:space="preserve">The </w:t>
      </w:r>
      <w:r w:rsidR="00055BEB">
        <w:t>M</w:t>
      </w:r>
      <w:r w:rsidR="009D0BA7">
        <w:t xml:space="preserve">agistrate observed that while some at the forefront of the unlawful assembly behaved violently, the respondents were never seen carrying out those acts and seemed to be relatively passive throughout the duration of the assembly. </w:t>
      </w:r>
      <w:r w:rsidR="00055BEB">
        <w:t xml:space="preserve"> The M</w:t>
      </w:r>
      <w:r w:rsidR="009D0BA7">
        <w:t xml:space="preserve">agistrate referred to </w:t>
      </w:r>
      <w:r w:rsidR="009D0BA7" w:rsidRPr="00E84A0F">
        <w:rPr>
          <w:i/>
        </w:rPr>
        <w:t xml:space="preserve">HKSAR v Chow </w:t>
      </w:r>
      <w:proofErr w:type="spellStart"/>
      <w:r w:rsidR="009D0BA7" w:rsidRPr="00E84A0F">
        <w:rPr>
          <w:i/>
        </w:rPr>
        <w:t>Nok</w:t>
      </w:r>
      <w:proofErr w:type="spellEnd"/>
      <w:r w:rsidR="009D0BA7">
        <w:rPr>
          <w:i/>
        </w:rPr>
        <w:t xml:space="preserve"> H</w:t>
      </w:r>
      <w:r w:rsidR="009D0BA7" w:rsidRPr="00E84A0F">
        <w:rPr>
          <w:i/>
        </w:rPr>
        <w:t>ang</w:t>
      </w:r>
      <w:r w:rsidR="00B65EE5">
        <w:rPr>
          <w:i/>
        </w:rPr>
        <w:t xml:space="preserve"> </w:t>
      </w:r>
      <w:r w:rsidR="00B65EE5" w:rsidRPr="00B65EE5">
        <w:t>(2013) 16 HKCFAR 837</w:t>
      </w:r>
      <w:r w:rsidR="009D0BA7">
        <w:t xml:space="preserve">, </w:t>
      </w:r>
      <w:r w:rsidR="00782051">
        <w:t>where</w:t>
      </w:r>
      <w:r w:rsidR="00782051">
        <w:rPr>
          <w:lang w:val="en-US"/>
        </w:rPr>
        <w:t> </w:t>
      </w:r>
      <w:r w:rsidR="00782051">
        <w:t>Tang</w:t>
      </w:r>
      <w:r w:rsidR="00782051">
        <w:rPr>
          <w:lang w:val="en-US"/>
        </w:rPr>
        <w:t> </w:t>
      </w:r>
      <w:r w:rsidR="00782051">
        <w:t xml:space="preserve">PJ remarked at [141] </w:t>
      </w:r>
      <w:r w:rsidR="00474FBE">
        <w:t>that</w:t>
      </w:r>
      <w:r w:rsidR="009D0BA7">
        <w:t xml:space="preserve"> “a distinction must be drawn between a participant in an unlawful assembly who remains peaceful and one who himself engages in or encourages violence”. </w:t>
      </w:r>
      <w:r w:rsidR="00055BEB">
        <w:t xml:space="preserve"> The M</w:t>
      </w:r>
      <w:r w:rsidR="009D0BA7">
        <w:t>agistrate took the</w:t>
      </w:r>
      <w:r w:rsidR="007E5D69">
        <w:t xml:space="preserve"> view that the respondents fell within</w:t>
      </w:r>
      <w:r w:rsidR="009D0BA7">
        <w:t xml:space="preserve"> the former type. </w:t>
      </w:r>
      <w:r w:rsidR="00055BEB">
        <w:t xml:space="preserve"> </w:t>
      </w:r>
      <w:r w:rsidR="009D0BA7">
        <w:t xml:space="preserve">Hence, </w:t>
      </w:r>
      <w:r w:rsidR="007E5D69">
        <w:t>he</w:t>
      </w:r>
      <w:r w:rsidR="009D0BA7">
        <w:t xml:space="preserve"> concluded that immediate custodial sentence was not the only option available in this case.</w:t>
      </w:r>
      <w:r w:rsidR="009D0BA7" w:rsidRPr="00A3302C">
        <w:t xml:space="preserve"> </w:t>
      </w:r>
      <w:r w:rsidR="00EA258C">
        <w:t xml:space="preserve"> </w:t>
      </w:r>
      <w:r w:rsidR="009D0BA7">
        <w:lastRenderedPageBreak/>
        <w:t>Reminding himself of</w:t>
      </w:r>
      <w:r w:rsidR="00055BEB">
        <w:t xml:space="preserve"> section 109A of the CPO, the Ma</w:t>
      </w:r>
      <w:r w:rsidR="009D0BA7">
        <w:t>gistrate considered that rehabilitation should be given proportionally more weight over deterrence and punishment.</w:t>
      </w:r>
    </w:p>
    <w:p w:rsidR="009D0BA7" w:rsidRPr="00773156" w:rsidRDefault="00837C66" w:rsidP="00055BEB">
      <w:pPr>
        <w:spacing w:after="480" w:line="360" w:lineRule="auto"/>
        <w:jc w:val="both"/>
        <w:rPr>
          <w:i/>
          <w:szCs w:val="28"/>
          <w:lang w:val="en-US"/>
        </w:rPr>
      </w:pPr>
      <w:r>
        <w:t>18</w:t>
      </w:r>
      <w:r w:rsidR="00055BEB">
        <w:t>.</w:t>
      </w:r>
      <w:r w:rsidR="00055BEB">
        <w:tab/>
      </w:r>
      <w:r w:rsidR="009D0BA7">
        <w:t>Referring to the favourable comments and adopting the recom</w:t>
      </w:r>
      <w:r w:rsidR="00055BEB">
        <w:t>mendations in the reports, the M</w:t>
      </w:r>
      <w:r w:rsidR="009D0BA7">
        <w:t>agistrate exercised his power under section 15(1)(e) of JOO and section 34(1)(b) and (d) of PCJO, committed the respondents to the care of their respective parents and placed them under the supervision of a social welfare officer for a period of 12 months with special conditions</w:t>
      </w:r>
      <w:r w:rsidR="00055BEB">
        <w:t xml:space="preserve">.  </w:t>
      </w:r>
      <w:r w:rsidR="00055BEB" w:rsidRPr="00E40586">
        <w:rPr>
          <w:szCs w:val="28"/>
        </w:rPr>
        <w:t>Both respondents were given special conditions</w:t>
      </w:r>
      <w:r w:rsidR="00773156">
        <w:rPr>
          <w:szCs w:val="28"/>
        </w:rPr>
        <w:t>:</w:t>
      </w:r>
      <w:r w:rsidR="00055BEB" w:rsidRPr="00E40586">
        <w:rPr>
          <w:szCs w:val="28"/>
        </w:rPr>
        <w:t xml:space="preserve"> (a) residing and studying or working as directed by his su</w:t>
      </w:r>
      <w:r w:rsidR="0077586A">
        <w:rPr>
          <w:szCs w:val="28"/>
        </w:rPr>
        <w:t>pervising officer;</w:t>
      </w:r>
      <w:r w:rsidR="00055BEB" w:rsidRPr="00E40586">
        <w:rPr>
          <w:szCs w:val="28"/>
        </w:rPr>
        <w:t xml:space="preserve"> (b) remaining at their respective pl</w:t>
      </w:r>
      <w:r w:rsidR="00EA258C">
        <w:rPr>
          <w:szCs w:val="28"/>
        </w:rPr>
        <w:t>ace of residence between 8:30 p</w:t>
      </w:r>
      <w:r w:rsidR="00AE6900">
        <w:rPr>
          <w:szCs w:val="28"/>
        </w:rPr>
        <w:t>.</w:t>
      </w:r>
      <w:r w:rsidR="00EA258C">
        <w:rPr>
          <w:szCs w:val="28"/>
        </w:rPr>
        <w:t>m</w:t>
      </w:r>
      <w:r w:rsidR="00AE6900">
        <w:rPr>
          <w:szCs w:val="28"/>
        </w:rPr>
        <w:t>.</w:t>
      </w:r>
      <w:r w:rsidR="00055BEB" w:rsidRPr="00E40586">
        <w:rPr>
          <w:szCs w:val="28"/>
        </w:rPr>
        <w:t xml:space="preserve"> and 7</w:t>
      </w:r>
      <w:r w:rsidR="00EA258C">
        <w:rPr>
          <w:szCs w:val="28"/>
        </w:rPr>
        <w:t>:00</w:t>
      </w:r>
      <w:r w:rsidR="00EA258C">
        <w:rPr>
          <w:szCs w:val="28"/>
          <w:lang w:val="en-US"/>
        </w:rPr>
        <w:t> </w:t>
      </w:r>
      <w:r w:rsidR="00055BEB" w:rsidRPr="00E40586">
        <w:rPr>
          <w:szCs w:val="28"/>
        </w:rPr>
        <w:t>a</w:t>
      </w:r>
      <w:r w:rsidR="00AE6900">
        <w:rPr>
          <w:szCs w:val="28"/>
        </w:rPr>
        <w:t>.</w:t>
      </w:r>
      <w:r w:rsidR="00055BEB" w:rsidRPr="00E40586">
        <w:rPr>
          <w:szCs w:val="28"/>
        </w:rPr>
        <w:t>m</w:t>
      </w:r>
      <w:r w:rsidR="00AE6900">
        <w:rPr>
          <w:szCs w:val="28"/>
        </w:rPr>
        <w:t>.</w:t>
      </w:r>
      <w:r w:rsidR="00055BEB" w:rsidRPr="00E40586">
        <w:rPr>
          <w:szCs w:val="28"/>
        </w:rPr>
        <w:t>, except with prior approval from the supervising officer or in their respective parents’ compan</w:t>
      </w:r>
      <w:r w:rsidR="0077586A">
        <w:rPr>
          <w:szCs w:val="28"/>
        </w:rPr>
        <w:t>y;</w:t>
      </w:r>
      <w:r w:rsidR="00055BEB" w:rsidRPr="00E40586">
        <w:rPr>
          <w:szCs w:val="28"/>
        </w:rPr>
        <w:t xml:space="preserve"> (c) receiving psychiatric and/or psychological treatment as and when directed</w:t>
      </w:r>
      <w:r w:rsidR="0077586A">
        <w:rPr>
          <w:szCs w:val="28"/>
        </w:rPr>
        <w:t>;</w:t>
      </w:r>
      <w:r w:rsidR="00055BEB" w:rsidRPr="00E40586">
        <w:rPr>
          <w:szCs w:val="28"/>
        </w:rPr>
        <w:t xml:space="preserve"> and (d) participating in any community programs or activities as directed by the supervising officer.</w:t>
      </w:r>
      <w:r w:rsidR="001310F7">
        <w:rPr>
          <w:szCs w:val="28"/>
        </w:rPr>
        <w:t xml:space="preserve"> </w:t>
      </w:r>
      <w:r w:rsidR="00055BEB" w:rsidRPr="00E40586">
        <w:rPr>
          <w:szCs w:val="28"/>
        </w:rPr>
        <w:t xml:space="preserve"> The 2</w:t>
      </w:r>
      <w:r w:rsidR="00055BEB" w:rsidRPr="00E40586">
        <w:rPr>
          <w:szCs w:val="28"/>
          <w:vertAlign w:val="superscript"/>
        </w:rPr>
        <w:t>nd</w:t>
      </w:r>
      <w:r w:rsidR="00055BEB" w:rsidRPr="00E40586">
        <w:rPr>
          <w:szCs w:val="28"/>
        </w:rPr>
        <w:t xml:space="preserve"> respondent was given the additional condition of obeying instructions regarding social activities and place of visit.  The Magistrate </w:t>
      </w:r>
      <w:r w:rsidR="009D0BA7">
        <w:t>called for progress report</w:t>
      </w:r>
      <w:r w:rsidR="0077586A">
        <w:t>s</w:t>
      </w:r>
      <w:r w:rsidR="00773156">
        <w:t xml:space="preserve"> in 4 months’ time.</w:t>
      </w:r>
      <w:r w:rsidR="0077586A">
        <w:rPr>
          <w:rStyle w:val="FootnoteReference"/>
        </w:rPr>
        <w:footnoteReference w:id="7"/>
      </w:r>
      <w:r w:rsidR="00773156">
        <w:t xml:space="preserve">  He finally clarified that no conviction was to be entered.</w:t>
      </w:r>
    </w:p>
    <w:p w:rsidR="00DE35F4" w:rsidRPr="00350639" w:rsidRDefault="00DE35F4" w:rsidP="00246904">
      <w:pPr>
        <w:pStyle w:val="ListParagraph"/>
        <w:keepNext/>
        <w:numPr>
          <w:ilvl w:val="0"/>
          <w:numId w:val="34"/>
        </w:numPr>
        <w:snapToGrid/>
        <w:spacing w:after="240" w:line="360" w:lineRule="auto"/>
        <w:ind w:leftChars="0" w:hanging="720"/>
        <w:rPr>
          <w:b w:val="0"/>
          <w:i/>
          <w:sz w:val="28"/>
          <w:szCs w:val="28"/>
        </w:rPr>
      </w:pPr>
      <w:r w:rsidRPr="00350639">
        <w:rPr>
          <w:b w:val="0"/>
          <w:i/>
          <w:sz w:val="28"/>
          <w:szCs w:val="28"/>
        </w:rPr>
        <w:t>Discussion</w:t>
      </w:r>
    </w:p>
    <w:p w:rsidR="00DE35F4" w:rsidRPr="00350639" w:rsidRDefault="00DE35F4" w:rsidP="00246904">
      <w:pPr>
        <w:keepNext/>
        <w:tabs>
          <w:tab w:val="clear" w:pos="1440"/>
          <w:tab w:val="left" w:pos="720"/>
        </w:tabs>
        <w:spacing w:after="240" w:line="360" w:lineRule="auto"/>
        <w:jc w:val="both"/>
        <w:rPr>
          <w:i/>
          <w:szCs w:val="28"/>
        </w:rPr>
      </w:pPr>
      <w:r w:rsidRPr="00350639">
        <w:rPr>
          <w:i/>
          <w:szCs w:val="28"/>
        </w:rPr>
        <w:t>D1.</w:t>
      </w:r>
      <w:r w:rsidRPr="00350639">
        <w:rPr>
          <w:i/>
          <w:szCs w:val="28"/>
        </w:rPr>
        <w:tab/>
        <w:t>Dismissal Orders and CP Order</w:t>
      </w:r>
      <w:r w:rsidR="00355090">
        <w:rPr>
          <w:i/>
          <w:szCs w:val="28"/>
        </w:rPr>
        <w:t>s</w:t>
      </w:r>
      <w:r w:rsidRPr="00350639">
        <w:rPr>
          <w:i/>
          <w:szCs w:val="28"/>
        </w:rPr>
        <w:t xml:space="preserve"> solely focusing on rehabilitation</w:t>
      </w:r>
    </w:p>
    <w:p w:rsidR="00DE35F4" w:rsidRDefault="00837C66" w:rsidP="00376675">
      <w:pPr>
        <w:tabs>
          <w:tab w:val="clear" w:pos="4234"/>
          <w:tab w:val="clear" w:pos="8453"/>
        </w:tabs>
        <w:snapToGrid/>
        <w:spacing w:after="480" w:line="360" w:lineRule="auto"/>
        <w:jc w:val="both"/>
        <w:rPr>
          <w:szCs w:val="28"/>
        </w:rPr>
      </w:pPr>
      <w:r>
        <w:rPr>
          <w:szCs w:val="28"/>
        </w:rPr>
        <w:t>19</w:t>
      </w:r>
      <w:r w:rsidR="00376675">
        <w:rPr>
          <w:szCs w:val="28"/>
        </w:rPr>
        <w:t>.</w:t>
      </w:r>
      <w:r w:rsidR="00376675">
        <w:rPr>
          <w:szCs w:val="28"/>
        </w:rPr>
        <w:tab/>
      </w:r>
      <w:r w:rsidR="00DE35F4">
        <w:rPr>
          <w:szCs w:val="28"/>
        </w:rPr>
        <w:t xml:space="preserve">Section 15(1) of the JOO enables the court to deal with an offender under the age of 16 found guilty of any offence by, among others, </w:t>
      </w:r>
      <w:r w:rsidR="00DE35F4">
        <w:rPr>
          <w:szCs w:val="28"/>
        </w:rPr>
        <w:lastRenderedPageBreak/>
        <w:t>dismissing the charge</w:t>
      </w:r>
      <w:r w:rsidR="00DE35F4">
        <w:rPr>
          <w:rStyle w:val="FootnoteReference"/>
          <w:szCs w:val="28"/>
        </w:rPr>
        <w:footnoteReference w:id="8"/>
      </w:r>
      <w:r w:rsidR="00DE35F4">
        <w:rPr>
          <w:szCs w:val="28"/>
        </w:rPr>
        <w:t xml:space="preserve"> and if the offender is in need of care and protection, by dealing with him under section 34 of the PCJO.</w:t>
      </w:r>
      <w:r w:rsidR="00DE35F4">
        <w:rPr>
          <w:rStyle w:val="FootnoteReference"/>
          <w:szCs w:val="28"/>
        </w:rPr>
        <w:footnoteReference w:id="9"/>
      </w:r>
    </w:p>
    <w:p w:rsidR="00DE35F4" w:rsidRPr="00A82E4E" w:rsidRDefault="00837C66" w:rsidP="00B602E9">
      <w:pPr>
        <w:tabs>
          <w:tab w:val="clear" w:pos="4234"/>
          <w:tab w:val="clear" w:pos="8453"/>
        </w:tabs>
        <w:snapToGrid/>
        <w:spacing w:after="480" w:line="360" w:lineRule="auto"/>
        <w:jc w:val="both"/>
        <w:rPr>
          <w:szCs w:val="28"/>
        </w:rPr>
      </w:pPr>
      <w:r>
        <w:rPr>
          <w:szCs w:val="28"/>
        </w:rPr>
        <w:t>20</w:t>
      </w:r>
      <w:r w:rsidR="00B602E9">
        <w:rPr>
          <w:szCs w:val="28"/>
        </w:rPr>
        <w:t>.</w:t>
      </w:r>
      <w:r w:rsidR="00B602E9">
        <w:rPr>
          <w:szCs w:val="28"/>
        </w:rPr>
        <w:tab/>
      </w:r>
      <w:r w:rsidR="00583C57">
        <w:rPr>
          <w:szCs w:val="28"/>
        </w:rPr>
        <w:t xml:space="preserve">It is established that the recording of a conviction is in itself an element of punishment.  It may encourage the offender not to engage in further criminal activity and may also act as a deterrence to others: </w:t>
      </w:r>
      <w:r w:rsidR="00583C57" w:rsidRPr="00170EDE">
        <w:rPr>
          <w:i/>
          <w:szCs w:val="28"/>
        </w:rPr>
        <w:t>R v Brown, ex parte Attorney General</w:t>
      </w:r>
      <w:r w:rsidR="00583C57">
        <w:rPr>
          <w:szCs w:val="28"/>
        </w:rPr>
        <w:t xml:space="preserve"> [1994] 2 </w:t>
      </w:r>
      <w:proofErr w:type="spellStart"/>
      <w:r w:rsidR="00583C57">
        <w:rPr>
          <w:szCs w:val="28"/>
        </w:rPr>
        <w:t>Qd</w:t>
      </w:r>
      <w:proofErr w:type="spellEnd"/>
      <w:r w:rsidR="00583C57">
        <w:rPr>
          <w:szCs w:val="28"/>
        </w:rPr>
        <w:t xml:space="preserve"> R 182, per Lee J at p.194.  </w:t>
      </w:r>
      <w:r w:rsidR="00474FBE" w:rsidRPr="00A82E4E">
        <w:rPr>
          <w:szCs w:val="28"/>
        </w:rPr>
        <w:t xml:space="preserve">Dismissing a charge means that although the court is satisfied of the young offender’s guilt, no conviction will be recorded against him. </w:t>
      </w:r>
      <w:r w:rsidR="00474FBE">
        <w:rPr>
          <w:szCs w:val="28"/>
        </w:rPr>
        <w:t xml:space="preserve"> </w:t>
      </w:r>
      <w:r w:rsidR="00DE35F4" w:rsidRPr="00A82E4E">
        <w:rPr>
          <w:szCs w:val="28"/>
        </w:rPr>
        <w:t>It is the most lenient way of disposing</w:t>
      </w:r>
      <w:r w:rsidR="00583C57">
        <w:rPr>
          <w:szCs w:val="28"/>
        </w:rPr>
        <w:t xml:space="preserve"> of</w:t>
      </w:r>
      <w:r w:rsidR="00DE35F4" w:rsidRPr="00A82E4E">
        <w:rPr>
          <w:szCs w:val="28"/>
        </w:rPr>
        <w:t xml:space="preserve"> </w:t>
      </w:r>
      <w:r w:rsidR="00DE35F4">
        <w:rPr>
          <w:szCs w:val="28"/>
        </w:rPr>
        <w:t xml:space="preserve">such </w:t>
      </w:r>
      <w:r w:rsidR="00DE35F4" w:rsidRPr="00A82E4E">
        <w:rPr>
          <w:szCs w:val="28"/>
        </w:rPr>
        <w:t>offender</w:t>
      </w:r>
      <w:r w:rsidR="00DE35F4">
        <w:rPr>
          <w:szCs w:val="28"/>
        </w:rPr>
        <w:t xml:space="preserve">.  It leaves him with no stigma of a conviction thus allowing him to embark on a clean rehabilitation with the main focus on his welfare and development.  </w:t>
      </w:r>
      <w:r w:rsidR="0077586A">
        <w:rPr>
          <w:szCs w:val="28"/>
        </w:rPr>
        <w:t>It does not have any puniti</w:t>
      </w:r>
      <w:r w:rsidR="001621E2">
        <w:rPr>
          <w:szCs w:val="28"/>
        </w:rPr>
        <w:t xml:space="preserve">ve element or deterrence effect, </w:t>
      </w:r>
      <w:r w:rsidR="00773156">
        <w:rPr>
          <w:szCs w:val="28"/>
        </w:rPr>
        <w:t xml:space="preserve">thus </w:t>
      </w:r>
      <w:r w:rsidR="001621E2">
        <w:rPr>
          <w:szCs w:val="28"/>
        </w:rPr>
        <w:t xml:space="preserve">tilting the balance </w:t>
      </w:r>
      <w:r w:rsidR="00773156">
        <w:rPr>
          <w:szCs w:val="28"/>
        </w:rPr>
        <w:t>emphatically</w:t>
      </w:r>
      <w:r w:rsidR="00DE35F4">
        <w:rPr>
          <w:szCs w:val="28"/>
        </w:rPr>
        <w:t xml:space="preserve"> towards the offender’s rehabilitation.  That being the case, </w:t>
      </w:r>
      <w:r w:rsidR="00DE35F4" w:rsidRPr="00A82E4E">
        <w:rPr>
          <w:szCs w:val="28"/>
        </w:rPr>
        <w:t xml:space="preserve">the court generally speaking will be persuaded to </w:t>
      </w:r>
      <w:r w:rsidR="00DE35F4">
        <w:rPr>
          <w:szCs w:val="28"/>
        </w:rPr>
        <w:t xml:space="preserve">dismiss the charge </w:t>
      </w:r>
      <w:r w:rsidR="00DE35F4" w:rsidRPr="00A82E4E">
        <w:rPr>
          <w:szCs w:val="28"/>
        </w:rPr>
        <w:t xml:space="preserve">only if the offence is trivial; or the circumstances in which the offence was committed moderate or diminish </w:t>
      </w:r>
      <w:r w:rsidR="006C79F7">
        <w:rPr>
          <w:szCs w:val="28"/>
        </w:rPr>
        <w:t>the offender’s</w:t>
      </w:r>
      <w:r w:rsidR="00DE35F4" w:rsidRPr="00A82E4E">
        <w:rPr>
          <w:szCs w:val="28"/>
        </w:rPr>
        <w:t xml:space="preserve"> culpability significantly, such as where it involved no more than a fractional error of judgment</w:t>
      </w:r>
      <w:r w:rsidR="00DE35F4">
        <w:rPr>
          <w:szCs w:val="28"/>
        </w:rPr>
        <w:t xml:space="preserve"> or a sudden and</w:t>
      </w:r>
      <w:r w:rsidR="0077586A">
        <w:rPr>
          <w:szCs w:val="28"/>
        </w:rPr>
        <w:t xml:space="preserve"> wholly</w:t>
      </w:r>
      <w:r w:rsidR="00DE35F4">
        <w:rPr>
          <w:szCs w:val="28"/>
        </w:rPr>
        <w:t xml:space="preserve"> unexpected loss of control</w:t>
      </w:r>
      <w:r w:rsidR="00DE35F4" w:rsidRPr="00A82E4E">
        <w:rPr>
          <w:szCs w:val="28"/>
        </w:rPr>
        <w:t>, or a</w:t>
      </w:r>
      <w:r w:rsidR="00DE35F4">
        <w:rPr>
          <w:szCs w:val="28"/>
        </w:rPr>
        <w:t xml:space="preserve"> single </w:t>
      </w:r>
      <w:r w:rsidR="00DE35F4" w:rsidRPr="00A82E4E">
        <w:rPr>
          <w:szCs w:val="28"/>
        </w:rPr>
        <w:t xml:space="preserve">incident or act entirely out of the offender’s </w:t>
      </w:r>
      <w:r w:rsidR="00DE35F4">
        <w:rPr>
          <w:szCs w:val="28"/>
        </w:rPr>
        <w:t xml:space="preserve">otherwise good </w:t>
      </w:r>
      <w:r w:rsidR="00DE35F4" w:rsidRPr="00A82E4E">
        <w:rPr>
          <w:szCs w:val="28"/>
        </w:rPr>
        <w:t>character</w:t>
      </w:r>
      <w:r w:rsidR="00884969">
        <w:rPr>
          <w:szCs w:val="28"/>
        </w:rPr>
        <w:t xml:space="preserve"> and behaviour</w:t>
      </w:r>
      <w:r w:rsidR="00DE35F4" w:rsidRPr="00A82E4E">
        <w:rPr>
          <w:szCs w:val="28"/>
        </w:rPr>
        <w:t>; or there is very strong mitigation arising from the personal circumstances of the offender; and the offender is truly remorseful.</w:t>
      </w:r>
    </w:p>
    <w:p w:rsidR="00DE35F4" w:rsidRDefault="00847FF3" w:rsidP="00B602E9">
      <w:pPr>
        <w:tabs>
          <w:tab w:val="clear" w:pos="4234"/>
          <w:tab w:val="clear" w:pos="8453"/>
        </w:tabs>
        <w:snapToGrid/>
        <w:spacing w:after="480" w:line="360" w:lineRule="auto"/>
        <w:jc w:val="both"/>
        <w:rPr>
          <w:szCs w:val="28"/>
        </w:rPr>
      </w:pPr>
      <w:r>
        <w:rPr>
          <w:szCs w:val="28"/>
        </w:rPr>
        <w:t>2</w:t>
      </w:r>
      <w:r w:rsidR="00837C66">
        <w:rPr>
          <w:szCs w:val="28"/>
        </w:rPr>
        <w:t>1</w:t>
      </w:r>
      <w:r w:rsidR="00B602E9">
        <w:rPr>
          <w:szCs w:val="28"/>
        </w:rPr>
        <w:t>.</w:t>
      </w:r>
      <w:r w:rsidR="00B602E9">
        <w:rPr>
          <w:szCs w:val="28"/>
        </w:rPr>
        <w:tab/>
      </w:r>
      <w:r w:rsidR="00DE35F4" w:rsidRPr="00EF09CE">
        <w:rPr>
          <w:szCs w:val="28"/>
        </w:rPr>
        <w:t>Section 34</w:t>
      </w:r>
      <w:r w:rsidR="00DE35F4">
        <w:rPr>
          <w:szCs w:val="28"/>
        </w:rPr>
        <w:t>(1)</w:t>
      </w:r>
      <w:r w:rsidR="002F12D7">
        <w:rPr>
          <w:szCs w:val="28"/>
        </w:rPr>
        <w:t xml:space="preserve"> of the PCJ</w:t>
      </w:r>
      <w:r w:rsidR="00DE35F4" w:rsidRPr="00EF09CE">
        <w:rPr>
          <w:szCs w:val="28"/>
        </w:rPr>
        <w:t xml:space="preserve">O empowers </w:t>
      </w:r>
      <w:r w:rsidR="00160F1C">
        <w:rPr>
          <w:szCs w:val="28"/>
        </w:rPr>
        <w:t xml:space="preserve">a juvenile </w:t>
      </w:r>
      <w:r w:rsidR="00DE35F4" w:rsidRPr="00EF09CE">
        <w:rPr>
          <w:szCs w:val="28"/>
        </w:rPr>
        <w:t xml:space="preserve">court to deal with </w:t>
      </w:r>
      <w:r w:rsidR="00DE35F4">
        <w:rPr>
          <w:szCs w:val="28"/>
        </w:rPr>
        <w:t xml:space="preserve">a child or </w:t>
      </w:r>
      <w:r w:rsidR="00DE35F4" w:rsidRPr="00EF09CE">
        <w:rPr>
          <w:szCs w:val="28"/>
        </w:rPr>
        <w:t xml:space="preserve">a juvenile, that is, a person </w:t>
      </w:r>
      <w:r w:rsidR="00160F1C">
        <w:rPr>
          <w:szCs w:val="28"/>
        </w:rPr>
        <w:t xml:space="preserve">aged </w:t>
      </w:r>
      <w:r w:rsidR="00DE35F4" w:rsidRPr="00EF09CE">
        <w:rPr>
          <w:szCs w:val="28"/>
        </w:rPr>
        <w:t>between 14 and 18,</w:t>
      </w:r>
      <w:r w:rsidR="00DE35F4">
        <w:rPr>
          <w:rStyle w:val="FootnoteReference"/>
          <w:szCs w:val="28"/>
        </w:rPr>
        <w:footnoteReference w:id="10"/>
      </w:r>
      <w:r w:rsidR="00DE35F4" w:rsidRPr="00EF09CE">
        <w:rPr>
          <w:szCs w:val="28"/>
        </w:rPr>
        <w:t xml:space="preserve"> </w:t>
      </w:r>
      <w:r w:rsidR="00160F1C">
        <w:rPr>
          <w:szCs w:val="28"/>
        </w:rPr>
        <w:t xml:space="preserve">and a </w:t>
      </w:r>
      <w:r w:rsidR="00067065">
        <w:rPr>
          <w:szCs w:val="28"/>
        </w:rPr>
        <w:lastRenderedPageBreak/>
        <w:t xml:space="preserve">child or young person, that is, </w:t>
      </w:r>
      <w:r w:rsidR="00160F1C">
        <w:rPr>
          <w:szCs w:val="28"/>
        </w:rPr>
        <w:t>a person aged between 14 and 16,</w:t>
      </w:r>
      <w:r w:rsidR="00160F1C">
        <w:rPr>
          <w:rStyle w:val="FootnoteReference"/>
          <w:szCs w:val="28"/>
        </w:rPr>
        <w:footnoteReference w:id="11"/>
      </w:r>
      <w:r w:rsidR="00160F1C">
        <w:rPr>
          <w:szCs w:val="28"/>
        </w:rPr>
        <w:t xml:space="preserve"> charged with any offence, </w:t>
      </w:r>
      <w:r w:rsidR="00DE35F4" w:rsidRPr="00EF09CE">
        <w:rPr>
          <w:szCs w:val="28"/>
        </w:rPr>
        <w:t xml:space="preserve">if it is satisfied that he is in need of care and protection by </w:t>
      </w:r>
      <w:r w:rsidR="00DE35F4">
        <w:rPr>
          <w:szCs w:val="28"/>
        </w:rPr>
        <w:t>appointing the Director of Social Welfare to be his legal guardian; committing him to care of any person, relative or not, who is willing to undertake the care of him or of any institution which is so willing; ordering his parent or guardian to enter into recognizance to exercise proper care and guardianship; or if necessary, subjecting him to supervision by a social welfare officer for not exceeding 3 years.</w:t>
      </w:r>
    </w:p>
    <w:p w:rsidR="00DE35F4" w:rsidRPr="00EF09CE" w:rsidRDefault="00847FF3" w:rsidP="00847FF3">
      <w:pPr>
        <w:tabs>
          <w:tab w:val="clear" w:pos="4234"/>
          <w:tab w:val="clear" w:pos="8453"/>
        </w:tabs>
        <w:snapToGrid/>
        <w:spacing w:after="240" w:line="360" w:lineRule="auto"/>
        <w:jc w:val="both"/>
        <w:rPr>
          <w:szCs w:val="28"/>
        </w:rPr>
      </w:pPr>
      <w:r>
        <w:rPr>
          <w:szCs w:val="28"/>
        </w:rPr>
        <w:t>2</w:t>
      </w:r>
      <w:r w:rsidR="00837C66">
        <w:rPr>
          <w:szCs w:val="28"/>
        </w:rPr>
        <w:t>2</w:t>
      </w:r>
      <w:r w:rsidR="00990EE9">
        <w:rPr>
          <w:szCs w:val="28"/>
        </w:rPr>
        <w:t>.</w:t>
      </w:r>
      <w:r w:rsidR="00990EE9">
        <w:rPr>
          <w:szCs w:val="28"/>
        </w:rPr>
        <w:tab/>
      </w:r>
      <w:r w:rsidR="00DE35F4" w:rsidRPr="00EF09CE">
        <w:rPr>
          <w:szCs w:val="28"/>
        </w:rPr>
        <w:t xml:space="preserve">Pursuant to section 34(2), a </w:t>
      </w:r>
      <w:r w:rsidR="00DE35F4">
        <w:rPr>
          <w:szCs w:val="28"/>
        </w:rPr>
        <w:t xml:space="preserve">child or a </w:t>
      </w:r>
      <w:r w:rsidR="00DE35F4" w:rsidRPr="00EF09CE">
        <w:rPr>
          <w:szCs w:val="28"/>
        </w:rPr>
        <w:t>juvenile in need of care or protection means a</w:t>
      </w:r>
      <w:r w:rsidR="00884969">
        <w:rPr>
          <w:szCs w:val="28"/>
        </w:rPr>
        <w:t xml:space="preserve"> child or a</w:t>
      </w:r>
      <w:r w:rsidR="00DE35F4" w:rsidRPr="00EF09CE">
        <w:rPr>
          <w:szCs w:val="28"/>
        </w:rPr>
        <w:t xml:space="preserve"> juvenile:</w:t>
      </w:r>
    </w:p>
    <w:p w:rsidR="00DE35F4" w:rsidRDefault="00DE35F4" w:rsidP="00990EE9">
      <w:pPr>
        <w:tabs>
          <w:tab w:val="clear" w:pos="8453"/>
        </w:tabs>
        <w:ind w:left="2070" w:right="621" w:hanging="720"/>
        <w:jc w:val="both"/>
        <w:rPr>
          <w:sz w:val="24"/>
          <w:szCs w:val="24"/>
        </w:rPr>
      </w:pPr>
      <w:r w:rsidRPr="00990EE9">
        <w:rPr>
          <w:sz w:val="24"/>
          <w:szCs w:val="24"/>
        </w:rPr>
        <w:t>“(a)</w:t>
      </w:r>
      <w:r w:rsidRPr="00990EE9">
        <w:rPr>
          <w:sz w:val="24"/>
          <w:szCs w:val="24"/>
        </w:rPr>
        <w:tab/>
        <w:t>who has been or is being assaulted, ill-treated, neglected or sexually abused; or</w:t>
      </w:r>
    </w:p>
    <w:p w:rsidR="00990EE9" w:rsidRPr="00990EE9" w:rsidRDefault="00990EE9" w:rsidP="00990EE9">
      <w:pPr>
        <w:tabs>
          <w:tab w:val="clear" w:pos="8453"/>
        </w:tabs>
        <w:ind w:left="2070" w:right="621" w:hanging="630"/>
        <w:jc w:val="both"/>
        <w:rPr>
          <w:sz w:val="24"/>
          <w:szCs w:val="24"/>
        </w:rPr>
      </w:pPr>
    </w:p>
    <w:p w:rsidR="00DE35F4" w:rsidRDefault="00DE35F4" w:rsidP="00990EE9">
      <w:pPr>
        <w:tabs>
          <w:tab w:val="clear" w:pos="8453"/>
        </w:tabs>
        <w:ind w:left="2070" w:right="621" w:hanging="630"/>
        <w:jc w:val="both"/>
        <w:rPr>
          <w:sz w:val="24"/>
          <w:szCs w:val="24"/>
        </w:rPr>
      </w:pPr>
      <w:r w:rsidRPr="00990EE9">
        <w:rPr>
          <w:sz w:val="24"/>
          <w:szCs w:val="24"/>
        </w:rPr>
        <w:t>(b)</w:t>
      </w:r>
      <w:r w:rsidRPr="00990EE9">
        <w:rPr>
          <w:sz w:val="24"/>
          <w:szCs w:val="24"/>
        </w:rPr>
        <w:tab/>
        <w:t>whose health, development or welfare has been or is being neglected or avoidably impaired; or</w:t>
      </w:r>
    </w:p>
    <w:p w:rsidR="00990EE9" w:rsidRPr="00990EE9" w:rsidRDefault="00990EE9" w:rsidP="00990EE9">
      <w:pPr>
        <w:tabs>
          <w:tab w:val="clear" w:pos="8453"/>
        </w:tabs>
        <w:ind w:left="2070" w:right="621" w:hanging="630"/>
        <w:jc w:val="both"/>
        <w:rPr>
          <w:sz w:val="24"/>
          <w:szCs w:val="24"/>
        </w:rPr>
      </w:pPr>
    </w:p>
    <w:p w:rsidR="00DE35F4" w:rsidRDefault="00DE35F4" w:rsidP="00990EE9">
      <w:pPr>
        <w:tabs>
          <w:tab w:val="clear" w:pos="8453"/>
        </w:tabs>
        <w:ind w:left="2070" w:right="621" w:hanging="630"/>
        <w:jc w:val="both"/>
        <w:rPr>
          <w:sz w:val="24"/>
          <w:szCs w:val="24"/>
        </w:rPr>
      </w:pPr>
      <w:r w:rsidRPr="00990EE9">
        <w:rPr>
          <w:sz w:val="24"/>
          <w:szCs w:val="24"/>
        </w:rPr>
        <w:t>(c)</w:t>
      </w:r>
      <w:r w:rsidRPr="00990EE9">
        <w:rPr>
          <w:sz w:val="24"/>
          <w:szCs w:val="24"/>
        </w:rPr>
        <w:tab/>
        <w:t>whose health, development or welfare appears likely to be neglected or avoidably impaired; or</w:t>
      </w:r>
    </w:p>
    <w:p w:rsidR="00990EE9" w:rsidRPr="00990EE9" w:rsidRDefault="00990EE9" w:rsidP="00990EE9">
      <w:pPr>
        <w:tabs>
          <w:tab w:val="clear" w:pos="8453"/>
        </w:tabs>
        <w:ind w:left="2070" w:right="621" w:hanging="630"/>
        <w:jc w:val="both"/>
        <w:rPr>
          <w:sz w:val="24"/>
          <w:szCs w:val="24"/>
        </w:rPr>
      </w:pPr>
    </w:p>
    <w:p w:rsidR="00DE35F4" w:rsidRDefault="00DE35F4" w:rsidP="00990EE9">
      <w:pPr>
        <w:tabs>
          <w:tab w:val="clear" w:pos="8453"/>
        </w:tabs>
        <w:spacing w:after="600"/>
        <w:ind w:left="2074" w:right="621" w:hanging="634"/>
        <w:jc w:val="both"/>
        <w:rPr>
          <w:szCs w:val="28"/>
        </w:rPr>
      </w:pPr>
      <w:r w:rsidRPr="00990EE9">
        <w:rPr>
          <w:sz w:val="24"/>
          <w:szCs w:val="24"/>
        </w:rPr>
        <w:t>(d)</w:t>
      </w:r>
      <w:r w:rsidRPr="00990EE9">
        <w:rPr>
          <w:sz w:val="24"/>
          <w:szCs w:val="24"/>
        </w:rPr>
        <w:tab/>
        <w:t>who is beyond control, to the extent that harm may be caused to him or to others</w:t>
      </w:r>
      <w:r w:rsidR="005B2165">
        <w:rPr>
          <w:sz w:val="24"/>
          <w:szCs w:val="24"/>
        </w:rPr>
        <w:t>.</w:t>
      </w:r>
      <w:r w:rsidRPr="00990EE9">
        <w:rPr>
          <w:sz w:val="24"/>
          <w:szCs w:val="24"/>
        </w:rPr>
        <w:t>”</w:t>
      </w:r>
    </w:p>
    <w:p w:rsidR="00DE35F4" w:rsidRDefault="00DE35F4" w:rsidP="00DE35F4">
      <w:pPr>
        <w:spacing w:after="480" w:line="360" w:lineRule="auto"/>
        <w:jc w:val="both"/>
        <w:rPr>
          <w:szCs w:val="28"/>
        </w:rPr>
      </w:pPr>
      <w:r>
        <w:rPr>
          <w:szCs w:val="28"/>
        </w:rPr>
        <w:t>Put simply, before dealing with a child or a juvenile under section 34(1), the court has to be satisfied that he falls within one or more of the four statutory criteria as set out in section 34(2).</w:t>
      </w:r>
    </w:p>
    <w:p w:rsidR="00DE35F4" w:rsidRDefault="00837C66" w:rsidP="00C86F89">
      <w:pPr>
        <w:tabs>
          <w:tab w:val="clear" w:pos="4234"/>
          <w:tab w:val="clear" w:pos="8453"/>
        </w:tabs>
        <w:snapToGrid/>
        <w:spacing w:after="480" w:line="360" w:lineRule="auto"/>
        <w:jc w:val="both"/>
        <w:rPr>
          <w:szCs w:val="28"/>
        </w:rPr>
      </w:pPr>
      <w:r>
        <w:rPr>
          <w:szCs w:val="28"/>
        </w:rPr>
        <w:t>23</w:t>
      </w:r>
      <w:r w:rsidR="00C86F89">
        <w:rPr>
          <w:szCs w:val="28"/>
        </w:rPr>
        <w:t>.</w:t>
      </w:r>
      <w:r w:rsidR="00C86F89">
        <w:rPr>
          <w:szCs w:val="28"/>
        </w:rPr>
        <w:tab/>
      </w:r>
      <w:r w:rsidR="00DE35F4">
        <w:rPr>
          <w:szCs w:val="28"/>
        </w:rPr>
        <w:t>A care and protection order seeks to protect a child or a juvenile in need of care or protection.  As a sentencing option</w:t>
      </w:r>
      <w:r w:rsidR="00884969">
        <w:rPr>
          <w:szCs w:val="28"/>
        </w:rPr>
        <w:t xml:space="preserve"> against a juvenile offender</w:t>
      </w:r>
      <w:r w:rsidR="00DE35F4">
        <w:rPr>
          <w:szCs w:val="28"/>
        </w:rPr>
        <w:t>, its objective is solely rehabilitation.</w:t>
      </w:r>
    </w:p>
    <w:p w:rsidR="00DE35F4" w:rsidRDefault="00837C66" w:rsidP="00C86F89">
      <w:pPr>
        <w:tabs>
          <w:tab w:val="clear" w:pos="4234"/>
          <w:tab w:val="clear" w:pos="8453"/>
        </w:tabs>
        <w:snapToGrid/>
        <w:spacing w:after="480" w:line="360" w:lineRule="auto"/>
        <w:jc w:val="both"/>
        <w:rPr>
          <w:szCs w:val="28"/>
        </w:rPr>
      </w:pPr>
      <w:r>
        <w:rPr>
          <w:szCs w:val="28"/>
        </w:rPr>
        <w:lastRenderedPageBreak/>
        <w:t>24</w:t>
      </w:r>
      <w:r w:rsidR="00C86F89">
        <w:rPr>
          <w:szCs w:val="28"/>
        </w:rPr>
        <w:t>.</w:t>
      </w:r>
      <w:r w:rsidR="00C86F89">
        <w:rPr>
          <w:szCs w:val="28"/>
        </w:rPr>
        <w:tab/>
      </w:r>
      <w:r w:rsidR="00DE35F4">
        <w:rPr>
          <w:szCs w:val="28"/>
        </w:rPr>
        <w:t>Given their nature, the Dismissal Orders and the CP Orders focus exclusively on the respondents’ rehabilitation and accord no weight to punishment or deterrence.</w:t>
      </w:r>
    </w:p>
    <w:p w:rsidR="00DE35F4" w:rsidRDefault="00837C66" w:rsidP="00C86F89">
      <w:pPr>
        <w:tabs>
          <w:tab w:val="clear" w:pos="4234"/>
          <w:tab w:val="clear" w:pos="8453"/>
        </w:tabs>
        <w:snapToGrid/>
        <w:spacing w:after="480" w:line="360" w:lineRule="auto"/>
        <w:jc w:val="both"/>
        <w:rPr>
          <w:szCs w:val="28"/>
        </w:rPr>
      </w:pPr>
      <w:r>
        <w:rPr>
          <w:szCs w:val="28"/>
        </w:rPr>
        <w:t>25</w:t>
      </w:r>
      <w:r w:rsidR="00C86F89">
        <w:rPr>
          <w:szCs w:val="28"/>
        </w:rPr>
        <w:t>.</w:t>
      </w:r>
      <w:r w:rsidR="00C86F89">
        <w:rPr>
          <w:szCs w:val="28"/>
        </w:rPr>
        <w:tab/>
      </w:r>
      <w:r w:rsidR="00E80B03">
        <w:rPr>
          <w:szCs w:val="28"/>
        </w:rPr>
        <w:t>We</w:t>
      </w:r>
      <w:r w:rsidR="00DE35F4">
        <w:rPr>
          <w:szCs w:val="28"/>
        </w:rPr>
        <w:t xml:space="preserve"> pause to make one observation.</w:t>
      </w:r>
    </w:p>
    <w:p w:rsidR="00DE35F4" w:rsidRPr="008C0AE4" w:rsidRDefault="00837C66" w:rsidP="00C86F89">
      <w:pPr>
        <w:tabs>
          <w:tab w:val="clear" w:pos="4234"/>
          <w:tab w:val="clear" w:pos="8453"/>
        </w:tabs>
        <w:snapToGrid/>
        <w:spacing w:after="480" w:line="360" w:lineRule="auto"/>
        <w:jc w:val="both"/>
        <w:rPr>
          <w:szCs w:val="28"/>
        </w:rPr>
      </w:pPr>
      <w:r>
        <w:rPr>
          <w:szCs w:val="28"/>
        </w:rPr>
        <w:t>26</w:t>
      </w:r>
      <w:r w:rsidR="00C86F89">
        <w:rPr>
          <w:szCs w:val="28"/>
        </w:rPr>
        <w:t>.</w:t>
      </w:r>
      <w:r w:rsidR="00C86F89">
        <w:rPr>
          <w:szCs w:val="28"/>
        </w:rPr>
        <w:tab/>
      </w:r>
      <w:r w:rsidR="00DE35F4" w:rsidRPr="008C0AE4">
        <w:rPr>
          <w:szCs w:val="28"/>
        </w:rPr>
        <w:t xml:space="preserve">In </w:t>
      </w:r>
      <w:r w:rsidR="00DE35F4">
        <w:rPr>
          <w:szCs w:val="28"/>
        </w:rPr>
        <w:t xml:space="preserve">the present case, when </w:t>
      </w:r>
      <w:r w:rsidR="00DE35F4" w:rsidRPr="008C0AE4">
        <w:rPr>
          <w:szCs w:val="28"/>
        </w:rPr>
        <w:t>recommending a care and protection order, the probation officers had not explained why the respondents were juveniles in need of care and protection as defi</w:t>
      </w:r>
      <w:r w:rsidR="00355090">
        <w:rPr>
          <w:szCs w:val="28"/>
        </w:rPr>
        <w:t>ned by section 34(2) of the PCJ</w:t>
      </w:r>
      <w:r w:rsidR="00DE35F4" w:rsidRPr="008C0AE4">
        <w:rPr>
          <w:szCs w:val="28"/>
        </w:rPr>
        <w:t xml:space="preserve">O.  In their further mitigation, counsel for the respondents had not addressed the Magistrate on section 34(2) either.  </w:t>
      </w:r>
      <w:r w:rsidR="00DE35F4">
        <w:rPr>
          <w:szCs w:val="28"/>
        </w:rPr>
        <w:t xml:space="preserve">So </w:t>
      </w:r>
      <w:r w:rsidR="00DE35F4" w:rsidRPr="008C0AE4">
        <w:rPr>
          <w:szCs w:val="28"/>
        </w:rPr>
        <w:t xml:space="preserve">the Magistrate was not assisted on the crucial threshold question of whether the respondents were juveniles in need of care and protection as statutorily defined before he adopted the recommendations of the probation officers and made the CP Orders.  And </w:t>
      </w:r>
      <w:r w:rsidR="00DE35F4">
        <w:rPr>
          <w:szCs w:val="28"/>
        </w:rPr>
        <w:t xml:space="preserve">in his reasons for sentence, </w:t>
      </w:r>
      <w:r w:rsidR="00DE35F4" w:rsidRPr="008C0AE4">
        <w:rPr>
          <w:szCs w:val="28"/>
        </w:rPr>
        <w:t>the Magistrate had not identified the statutory criteria that he had in mind or articulated the reasons why the respondents fell within such criteria.</w:t>
      </w:r>
      <w:r w:rsidR="00884969">
        <w:rPr>
          <w:szCs w:val="28"/>
        </w:rPr>
        <w:t xml:space="preserve"> </w:t>
      </w:r>
      <w:r w:rsidR="00884969" w:rsidRPr="00884969">
        <w:rPr>
          <w:szCs w:val="28"/>
        </w:rPr>
        <w:t xml:space="preserve"> </w:t>
      </w:r>
      <w:r w:rsidR="00884969">
        <w:rPr>
          <w:szCs w:val="28"/>
        </w:rPr>
        <w:t>It</w:t>
      </w:r>
      <w:r w:rsidR="00884969" w:rsidRPr="005A76C9">
        <w:rPr>
          <w:szCs w:val="28"/>
        </w:rPr>
        <w:t xml:space="preserve"> leaves us with the impression that nobody below had</w:t>
      </w:r>
      <w:r w:rsidR="00884969">
        <w:rPr>
          <w:szCs w:val="28"/>
        </w:rPr>
        <w:t xml:space="preserve"> really focused their mind on </w:t>
      </w:r>
      <w:r w:rsidR="009A525C">
        <w:rPr>
          <w:szCs w:val="28"/>
        </w:rPr>
        <w:t xml:space="preserve">the </w:t>
      </w:r>
      <w:r w:rsidR="00884969">
        <w:rPr>
          <w:szCs w:val="28"/>
        </w:rPr>
        <w:t>threshold question</w:t>
      </w:r>
      <w:r w:rsidR="00884969" w:rsidRPr="005A76C9">
        <w:rPr>
          <w:szCs w:val="28"/>
        </w:rPr>
        <w:t xml:space="preserve"> at all.</w:t>
      </w:r>
    </w:p>
    <w:p w:rsidR="00DE35F4" w:rsidRDefault="00837C66" w:rsidP="00C86F89">
      <w:pPr>
        <w:tabs>
          <w:tab w:val="clear" w:pos="4234"/>
          <w:tab w:val="clear" w:pos="8453"/>
        </w:tabs>
        <w:snapToGrid/>
        <w:spacing w:after="480" w:line="360" w:lineRule="auto"/>
        <w:jc w:val="both"/>
        <w:rPr>
          <w:szCs w:val="28"/>
        </w:rPr>
      </w:pPr>
      <w:r>
        <w:rPr>
          <w:szCs w:val="28"/>
        </w:rPr>
        <w:t>27</w:t>
      </w:r>
      <w:r w:rsidR="00C86F89">
        <w:rPr>
          <w:szCs w:val="28"/>
        </w:rPr>
        <w:t>.</w:t>
      </w:r>
      <w:r w:rsidR="00C86F89">
        <w:rPr>
          <w:szCs w:val="28"/>
        </w:rPr>
        <w:tab/>
      </w:r>
      <w:r w:rsidR="009A32E8">
        <w:rPr>
          <w:szCs w:val="28"/>
        </w:rPr>
        <w:t>This is unsatisfactory.</w:t>
      </w:r>
      <w:r w:rsidR="009A32E8">
        <w:rPr>
          <w:rStyle w:val="FootnoteReference"/>
          <w:szCs w:val="28"/>
        </w:rPr>
        <w:footnoteReference w:id="12"/>
      </w:r>
      <w:r w:rsidR="009A32E8">
        <w:rPr>
          <w:szCs w:val="28"/>
        </w:rPr>
        <w:t xml:space="preserve">  As the present application is not premised on whether, and in what way, the respondents fall within section 34(2), we shall say no more other than to emphasize this.  Before a juvenile court decides to make a care and protection order, it must first consider and be satisfied that the offender is in need of care and protection within the meaning of section 34(2) </w:t>
      </w:r>
      <w:r w:rsidR="00BB17B5">
        <w:rPr>
          <w:szCs w:val="28"/>
        </w:rPr>
        <w:t>o</w:t>
      </w:r>
      <w:r w:rsidR="009A32E8">
        <w:rPr>
          <w:szCs w:val="28"/>
        </w:rPr>
        <w:t xml:space="preserve">f PCJO.  Hence, where counsel advocates or a probation officer considers a care and protection order is appropriate, he </w:t>
      </w:r>
      <w:r w:rsidR="009A32E8">
        <w:rPr>
          <w:szCs w:val="28"/>
        </w:rPr>
        <w:lastRenderedPageBreak/>
        <w:t>should provide the necessary assistance to the court, including indicating how the statutory criteria is met in the circumstances of the case.  It would not be sufficient to proceed simply on the basis that the offender needs care and protection in a general or loose sense.</w:t>
      </w:r>
    </w:p>
    <w:p w:rsidR="00DE35F4" w:rsidRPr="00644677" w:rsidRDefault="00DE35F4" w:rsidP="006F28E4">
      <w:pPr>
        <w:keepNext/>
        <w:tabs>
          <w:tab w:val="left" w:pos="720"/>
        </w:tabs>
        <w:spacing w:after="240" w:line="360" w:lineRule="auto"/>
        <w:jc w:val="both"/>
        <w:rPr>
          <w:i/>
          <w:szCs w:val="28"/>
        </w:rPr>
      </w:pPr>
      <w:r w:rsidRPr="00644677">
        <w:rPr>
          <w:i/>
          <w:szCs w:val="28"/>
        </w:rPr>
        <w:t>D2.</w:t>
      </w:r>
      <w:r w:rsidRPr="00644677">
        <w:rPr>
          <w:i/>
          <w:szCs w:val="28"/>
        </w:rPr>
        <w:tab/>
        <w:t>The respondents’ culpability</w:t>
      </w:r>
    </w:p>
    <w:p w:rsidR="00DE35F4" w:rsidRDefault="00837C66" w:rsidP="00644677">
      <w:pPr>
        <w:tabs>
          <w:tab w:val="clear" w:pos="4234"/>
          <w:tab w:val="clear" w:pos="8453"/>
        </w:tabs>
        <w:snapToGrid/>
        <w:spacing w:after="480" w:line="360" w:lineRule="auto"/>
        <w:jc w:val="both"/>
        <w:rPr>
          <w:szCs w:val="28"/>
        </w:rPr>
      </w:pPr>
      <w:r>
        <w:rPr>
          <w:szCs w:val="28"/>
        </w:rPr>
        <w:t>2</w:t>
      </w:r>
      <w:r w:rsidR="00BB17B5">
        <w:rPr>
          <w:szCs w:val="28"/>
        </w:rPr>
        <w:t>8</w:t>
      </w:r>
      <w:r w:rsidR="00644677">
        <w:rPr>
          <w:szCs w:val="28"/>
        </w:rPr>
        <w:t>.</w:t>
      </w:r>
      <w:r w:rsidR="00644677">
        <w:rPr>
          <w:szCs w:val="28"/>
        </w:rPr>
        <w:tab/>
      </w:r>
      <w:r w:rsidR="00DE35F4">
        <w:rPr>
          <w:szCs w:val="28"/>
        </w:rPr>
        <w:t xml:space="preserve">Continuing with the discussion at hand, it is the Magistrate’s finding that the respondents’ role was relatively passive.  </w:t>
      </w:r>
      <w:r w:rsidR="0011083E">
        <w:rPr>
          <w:szCs w:val="28"/>
        </w:rPr>
        <w:t>Significantly, this</w:t>
      </w:r>
      <w:r w:rsidR="00DE35F4">
        <w:rPr>
          <w:szCs w:val="28"/>
        </w:rPr>
        <w:t xml:space="preserve"> factual finding of the respondents’ culpability informed his approach to sentence and underpinned the Dismissal Orders and the CP Orders.</w:t>
      </w:r>
      <w:r w:rsidR="0011083E">
        <w:rPr>
          <w:szCs w:val="28"/>
        </w:rPr>
        <w:t xml:space="preserve">  It calls for a closer scrutiny of the evidence.</w:t>
      </w:r>
    </w:p>
    <w:p w:rsidR="00DE35F4" w:rsidRDefault="00FE425E" w:rsidP="00D243D0">
      <w:pPr>
        <w:tabs>
          <w:tab w:val="clear" w:pos="4234"/>
          <w:tab w:val="clear" w:pos="8453"/>
        </w:tabs>
        <w:snapToGrid/>
        <w:spacing w:after="480" w:line="360" w:lineRule="auto"/>
        <w:jc w:val="both"/>
        <w:rPr>
          <w:szCs w:val="28"/>
        </w:rPr>
      </w:pPr>
      <w:r>
        <w:rPr>
          <w:szCs w:val="28"/>
        </w:rPr>
        <w:t>29</w:t>
      </w:r>
      <w:r w:rsidR="00D243D0">
        <w:rPr>
          <w:szCs w:val="28"/>
        </w:rPr>
        <w:t>.</w:t>
      </w:r>
      <w:r w:rsidR="00D243D0">
        <w:rPr>
          <w:szCs w:val="28"/>
        </w:rPr>
        <w:tab/>
      </w:r>
      <w:r w:rsidR="00DE35F4">
        <w:rPr>
          <w:szCs w:val="28"/>
        </w:rPr>
        <w:t xml:space="preserve">It is not in dispute and indeed cannot be disputed that the unlawful assembly </w:t>
      </w:r>
      <w:r w:rsidR="0011083E">
        <w:rPr>
          <w:szCs w:val="28"/>
        </w:rPr>
        <w:t xml:space="preserve">in </w:t>
      </w:r>
      <w:r w:rsidR="00DE35F4">
        <w:rPr>
          <w:szCs w:val="28"/>
        </w:rPr>
        <w:t>which the respondents participated was a large scale one involving considerable viol</w:t>
      </w:r>
      <w:r>
        <w:rPr>
          <w:szCs w:val="28"/>
        </w:rPr>
        <w:t>ence.  It lasted for more than one</w:t>
      </w:r>
      <w:r w:rsidR="00DE35F4">
        <w:rPr>
          <w:szCs w:val="28"/>
        </w:rPr>
        <w:t xml:space="preserve"> hour.  Some 100 protestors participated.  Many</w:t>
      </w:r>
      <w:r w:rsidR="00711712">
        <w:rPr>
          <w:szCs w:val="28"/>
        </w:rPr>
        <w:t xml:space="preserve"> of</w:t>
      </w:r>
      <w:r w:rsidR="00DE35F4">
        <w:rPr>
          <w:szCs w:val="28"/>
        </w:rPr>
        <w:t xml:space="preserve"> them were dressed in black and wore gears such as helmets, respirators, googles, gloves and masks, an indication that it involved some premeditation.  Some </w:t>
      </w:r>
      <w:r>
        <w:rPr>
          <w:szCs w:val="28"/>
        </w:rPr>
        <w:t xml:space="preserve">made use of </w:t>
      </w:r>
      <w:r w:rsidR="00DE35F4">
        <w:rPr>
          <w:szCs w:val="28"/>
        </w:rPr>
        <w:t>wooden boards</w:t>
      </w:r>
      <w:r w:rsidR="00711712">
        <w:rPr>
          <w:szCs w:val="28"/>
        </w:rPr>
        <w:t>,</w:t>
      </w:r>
      <w:r w:rsidR="00DE35F4">
        <w:rPr>
          <w:szCs w:val="28"/>
        </w:rPr>
        <w:t xml:space="preserve"> </w:t>
      </w:r>
      <w:r w:rsidR="00711712">
        <w:rPr>
          <w:szCs w:val="28"/>
        </w:rPr>
        <w:t xml:space="preserve">public </w:t>
      </w:r>
      <w:r w:rsidR="00DE35F4">
        <w:rPr>
          <w:szCs w:val="28"/>
        </w:rPr>
        <w:t>road signs, and metal railings as shields or barricades.  Many shielded themselves behind umbrellas to hide their and other</w:t>
      </w:r>
      <w:r w:rsidR="00711712">
        <w:rPr>
          <w:szCs w:val="28"/>
        </w:rPr>
        <w:t>s’</w:t>
      </w:r>
      <w:r w:rsidR="00DE35F4">
        <w:rPr>
          <w:szCs w:val="28"/>
        </w:rPr>
        <w:t xml:space="preserve"> identities.  They </w:t>
      </w:r>
      <w:r>
        <w:rPr>
          <w:szCs w:val="28"/>
        </w:rPr>
        <w:t xml:space="preserve">targeted </w:t>
      </w:r>
      <w:r w:rsidR="00DE35F4">
        <w:rPr>
          <w:szCs w:val="28"/>
        </w:rPr>
        <w:t>the police who had formed a check line to prevent them from adva</w:t>
      </w:r>
      <w:r w:rsidR="00711712">
        <w:rPr>
          <w:szCs w:val="28"/>
        </w:rPr>
        <w:t>ncing towards the direction of T</w:t>
      </w:r>
      <w:r w:rsidR="00BC3EE9">
        <w:rPr>
          <w:szCs w:val="28"/>
        </w:rPr>
        <w:t>he</w:t>
      </w:r>
      <w:r w:rsidR="00DE35F4">
        <w:rPr>
          <w:szCs w:val="28"/>
        </w:rPr>
        <w:t xml:space="preserve"> </w:t>
      </w:r>
      <w:r w:rsidR="00711712">
        <w:rPr>
          <w:szCs w:val="28"/>
        </w:rPr>
        <w:t xml:space="preserve">Hong Kong </w:t>
      </w:r>
      <w:r w:rsidR="00DE35F4">
        <w:rPr>
          <w:szCs w:val="28"/>
        </w:rPr>
        <w:t>Polytechnic University.  While chargin</w:t>
      </w:r>
      <w:r w:rsidR="00711712">
        <w:rPr>
          <w:szCs w:val="28"/>
        </w:rPr>
        <w:t>g at the police check line, some protestors</w:t>
      </w:r>
      <w:r w:rsidR="00DE35F4">
        <w:rPr>
          <w:szCs w:val="28"/>
        </w:rPr>
        <w:t xml:space="preserve"> threw bricks and hurled 39 petrol bombs, thereby posing obvious and potentially lethal danger to the police, the protestors and other persons who happened to be at or near the scene.  The protestors refused to disperse de</w:t>
      </w:r>
      <w:r w:rsidR="00FE7043">
        <w:rPr>
          <w:szCs w:val="28"/>
        </w:rPr>
        <w:t xml:space="preserve">spite repeated warnings and </w:t>
      </w:r>
      <w:r w:rsidR="00DE35F4">
        <w:rPr>
          <w:szCs w:val="28"/>
        </w:rPr>
        <w:t xml:space="preserve">use of teargas by the police.  It all took place underneath Gascoigne Road Flyover, one of the busiest flyovers in Kowloon and in the vicinity of </w:t>
      </w:r>
      <w:r w:rsidR="00DE35F4">
        <w:rPr>
          <w:szCs w:val="28"/>
        </w:rPr>
        <w:lastRenderedPageBreak/>
        <w:t xml:space="preserve">a hotel, a secondary school, some recreational clubs and </w:t>
      </w:r>
      <w:r>
        <w:rPr>
          <w:szCs w:val="28"/>
        </w:rPr>
        <w:t>court buildings</w:t>
      </w:r>
      <w:r w:rsidR="00DE35F4">
        <w:rPr>
          <w:szCs w:val="28"/>
        </w:rPr>
        <w:t>.  It had caused serious threats to the safety of the public and buildings nearby.  It is a very bad case bordering on rioting.</w:t>
      </w:r>
    </w:p>
    <w:p w:rsidR="00DE35F4" w:rsidRPr="00005A1C" w:rsidRDefault="00FE425E" w:rsidP="00D243D0">
      <w:pPr>
        <w:tabs>
          <w:tab w:val="clear" w:pos="4234"/>
          <w:tab w:val="clear" w:pos="8453"/>
        </w:tabs>
        <w:snapToGrid/>
        <w:spacing w:after="240" w:line="360" w:lineRule="auto"/>
        <w:jc w:val="both"/>
        <w:rPr>
          <w:szCs w:val="28"/>
        </w:rPr>
      </w:pPr>
      <w:r>
        <w:rPr>
          <w:szCs w:val="28"/>
        </w:rPr>
        <w:t>30</w:t>
      </w:r>
      <w:r w:rsidR="00D243D0">
        <w:rPr>
          <w:szCs w:val="28"/>
        </w:rPr>
        <w:t>.</w:t>
      </w:r>
      <w:r w:rsidR="00D243D0">
        <w:rPr>
          <w:szCs w:val="28"/>
        </w:rPr>
        <w:tab/>
      </w:r>
      <w:r w:rsidR="00DE35F4" w:rsidRPr="00005A1C">
        <w:rPr>
          <w:szCs w:val="28"/>
        </w:rPr>
        <w:t>In respect of the respondents’ role when participating in the unlawful assembly, the Magistrate said:</w:t>
      </w:r>
    </w:p>
    <w:p w:rsidR="00DE35F4" w:rsidRDefault="00DE35F4" w:rsidP="00E45AD2">
      <w:pPr>
        <w:tabs>
          <w:tab w:val="clear" w:pos="8453"/>
        </w:tabs>
        <w:ind w:left="1526" w:right="619"/>
        <w:jc w:val="both"/>
        <w:rPr>
          <w:sz w:val="24"/>
          <w:szCs w:val="24"/>
        </w:rPr>
      </w:pPr>
      <w:r w:rsidRPr="00D243D0">
        <w:rPr>
          <w:sz w:val="24"/>
          <w:szCs w:val="24"/>
        </w:rPr>
        <w:t>“I have also examined in detail the footage provided.  While the two defendants were seen among the protestors, sometimes towards the front line of the assembly where some of the mentioned violent act were seen to be done by some protestors, the two defendants themselves were never seen doing these violent acts.  They were not even seen to have encouraged or incited these violent acts.  Overall, my impression is that they were relatively passive throughout the duration of the assembly even when some violent acts were done by others.</w:t>
      </w:r>
    </w:p>
    <w:p w:rsidR="00E45AD2" w:rsidRPr="00D243D0" w:rsidRDefault="00E45AD2" w:rsidP="00E45AD2">
      <w:pPr>
        <w:tabs>
          <w:tab w:val="clear" w:pos="8453"/>
        </w:tabs>
        <w:ind w:left="1526" w:right="619"/>
        <w:jc w:val="both"/>
        <w:rPr>
          <w:sz w:val="24"/>
          <w:szCs w:val="24"/>
        </w:rPr>
      </w:pPr>
    </w:p>
    <w:p w:rsidR="00DE35F4" w:rsidRPr="00E45AD2" w:rsidRDefault="00DE35F4" w:rsidP="00E45AD2">
      <w:pPr>
        <w:tabs>
          <w:tab w:val="clear" w:pos="8453"/>
        </w:tabs>
        <w:spacing w:after="600"/>
        <w:ind w:left="1526" w:right="619"/>
        <w:jc w:val="both"/>
        <w:rPr>
          <w:sz w:val="24"/>
          <w:szCs w:val="24"/>
        </w:rPr>
      </w:pPr>
      <w:r w:rsidRPr="00E45AD2">
        <w:rPr>
          <w:sz w:val="24"/>
          <w:szCs w:val="24"/>
        </w:rPr>
        <w:t xml:space="preserve">As per Tang PJ in his judgment in </w:t>
      </w:r>
      <w:r w:rsidRPr="00E45AD2">
        <w:rPr>
          <w:sz w:val="24"/>
          <w:szCs w:val="24"/>
          <w:u w:val="single"/>
        </w:rPr>
        <w:t xml:space="preserve">HKSAR v Chow </w:t>
      </w:r>
      <w:proofErr w:type="spellStart"/>
      <w:r w:rsidRPr="00E45AD2">
        <w:rPr>
          <w:sz w:val="24"/>
          <w:szCs w:val="24"/>
          <w:u w:val="single"/>
        </w:rPr>
        <w:t>Nok</w:t>
      </w:r>
      <w:proofErr w:type="spellEnd"/>
      <w:r w:rsidRPr="00E45AD2">
        <w:rPr>
          <w:sz w:val="24"/>
          <w:szCs w:val="24"/>
          <w:u w:val="single"/>
        </w:rPr>
        <w:t>-hang</w:t>
      </w:r>
      <w:r w:rsidRPr="00E45AD2">
        <w:rPr>
          <w:sz w:val="24"/>
          <w:szCs w:val="24"/>
        </w:rPr>
        <w:t>, ‘a distinction must be drawn between a participant in an unlawful assembly who remains peaceful and one who himself engages in or encourages violence.’  In my opinion, the level of participation of these two defendants were more akin to the former category t</w:t>
      </w:r>
      <w:r w:rsidR="00E45AD2">
        <w:rPr>
          <w:sz w:val="24"/>
          <w:szCs w:val="24"/>
        </w:rPr>
        <w:t>han the latter.”</w:t>
      </w:r>
    </w:p>
    <w:p w:rsidR="00DE35F4" w:rsidRPr="00ED18C3" w:rsidRDefault="00837C66" w:rsidP="009C3000">
      <w:pPr>
        <w:tabs>
          <w:tab w:val="clear" w:pos="4234"/>
          <w:tab w:val="clear" w:pos="8453"/>
        </w:tabs>
        <w:snapToGrid/>
        <w:spacing w:after="480" w:line="360" w:lineRule="auto"/>
        <w:jc w:val="both"/>
        <w:rPr>
          <w:szCs w:val="28"/>
        </w:rPr>
      </w:pPr>
      <w:r>
        <w:rPr>
          <w:szCs w:val="28"/>
        </w:rPr>
        <w:t>3</w:t>
      </w:r>
      <w:r w:rsidR="00FE425E">
        <w:rPr>
          <w:szCs w:val="28"/>
        </w:rPr>
        <w:t>1</w:t>
      </w:r>
      <w:r w:rsidR="009C3000">
        <w:rPr>
          <w:szCs w:val="28"/>
        </w:rPr>
        <w:t>.</w:t>
      </w:r>
      <w:r w:rsidR="009C3000">
        <w:rPr>
          <w:szCs w:val="28"/>
        </w:rPr>
        <w:tab/>
      </w:r>
      <w:r w:rsidR="00DE35F4" w:rsidRPr="00ED18C3">
        <w:rPr>
          <w:szCs w:val="28"/>
        </w:rPr>
        <w:t xml:space="preserve">The Magistrate’s finding </w:t>
      </w:r>
      <w:r w:rsidR="009C3000">
        <w:rPr>
          <w:szCs w:val="28"/>
        </w:rPr>
        <w:t>that</w:t>
      </w:r>
      <w:r w:rsidR="00DE35F4">
        <w:rPr>
          <w:szCs w:val="28"/>
        </w:rPr>
        <w:t xml:space="preserve"> </w:t>
      </w:r>
      <w:r w:rsidR="00DE35F4" w:rsidRPr="00ED18C3">
        <w:rPr>
          <w:szCs w:val="28"/>
        </w:rPr>
        <w:t>the respondents played a relative</w:t>
      </w:r>
      <w:r w:rsidR="00F50AE0">
        <w:rPr>
          <w:szCs w:val="28"/>
        </w:rPr>
        <w:t>ly</w:t>
      </w:r>
      <w:r w:rsidR="00DE35F4" w:rsidRPr="00ED18C3">
        <w:rPr>
          <w:szCs w:val="28"/>
        </w:rPr>
        <w:t xml:space="preserve"> passive role without engaging in violence or encouraging or citing others to commit violence is flatly contrad</w:t>
      </w:r>
      <w:r w:rsidR="00FE7043">
        <w:rPr>
          <w:szCs w:val="28"/>
        </w:rPr>
        <w:t>icted by the evidence.  As the Admitted F</w:t>
      </w:r>
      <w:r w:rsidR="00DE35F4" w:rsidRPr="00ED18C3">
        <w:rPr>
          <w:szCs w:val="28"/>
        </w:rPr>
        <w:t>acts and the video footages showed:</w:t>
      </w:r>
    </w:p>
    <w:p w:rsidR="00DE35F4" w:rsidRDefault="00DE35F4" w:rsidP="00D030EF">
      <w:pPr>
        <w:numPr>
          <w:ilvl w:val="0"/>
          <w:numId w:val="30"/>
        </w:numPr>
        <w:tabs>
          <w:tab w:val="clear" w:pos="4234"/>
          <w:tab w:val="clear" w:pos="8453"/>
        </w:tabs>
        <w:snapToGrid/>
        <w:spacing w:after="480" w:line="360" w:lineRule="auto"/>
        <w:ind w:left="2160" w:hanging="720"/>
        <w:jc w:val="both"/>
        <w:rPr>
          <w:szCs w:val="28"/>
        </w:rPr>
      </w:pPr>
      <w:r>
        <w:rPr>
          <w:szCs w:val="28"/>
        </w:rPr>
        <w:t>Both respondents were seen at the front of the protestors for some time.</w:t>
      </w:r>
    </w:p>
    <w:p w:rsidR="00DE35F4" w:rsidRDefault="00DE35F4" w:rsidP="00D030EF">
      <w:pPr>
        <w:numPr>
          <w:ilvl w:val="0"/>
          <w:numId w:val="30"/>
        </w:numPr>
        <w:tabs>
          <w:tab w:val="clear" w:pos="4234"/>
          <w:tab w:val="clear" w:pos="8453"/>
        </w:tabs>
        <w:snapToGrid/>
        <w:spacing w:after="480" w:line="360" w:lineRule="auto"/>
        <w:ind w:left="2160" w:hanging="720"/>
        <w:jc w:val="both"/>
        <w:rPr>
          <w:szCs w:val="28"/>
        </w:rPr>
      </w:pPr>
      <w:r>
        <w:rPr>
          <w:szCs w:val="28"/>
        </w:rPr>
        <w:t>The 1</w:t>
      </w:r>
      <w:r w:rsidRPr="00D76EC2">
        <w:rPr>
          <w:szCs w:val="28"/>
          <w:vertAlign w:val="superscript"/>
        </w:rPr>
        <w:t>st</w:t>
      </w:r>
      <w:r>
        <w:rPr>
          <w:szCs w:val="28"/>
        </w:rPr>
        <w:t xml:space="preserve"> respondent used an umbrella to shield other protestors who were moving barricades to charge at the police check line from being identified.  Her act must </w:t>
      </w:r>
      <w:r>
        <w:rPr>
          <w:szCs w:val="28"/>
        </w:rPr>
        <w:lastRenderedPageBreak/>
        <w:t>have the effect of emboldening, encouraging and reinforcing the violent behavio</w:t>
      </w:r>
      <w:r w:rsidR="00FE425E">
        <w:rPr>
          <w:szCs w:val="28"/>
        </w:rPr>
        <w:t>u</w:t>
      </w:r>
      <w:r>
        <w:rPr>
          <w:szCs w:val="28"/>
        </w:rPr>
        <w:t>r of other protestors.</w:t>
      </w:r>
    </w:p>
    <w:p w:rsidR="00DE35F4" w:rsidRDefault="00DE35F4" w:rsidP="00D030EF">
      <w:pPr>
        <w:numPr>
          <w:ilvl w:val="0"/>
          <w:numId w:val="30"/>
        </w:numPr>
        <w:tabs>
          <w:tab w:val="clear" w:pos="4234"/>
          <w:tab w:val="clear" w:pos="8453"/>
        </w:tabs>
        <w:snapToGrid/>
        <w:spacing w:after="480" w:line="360" w:lineRule="auto"/>
        <w:ind w:left="2160" w:hanging="720"/>
        <w:jc w:val="both"/>
        <w:rPr>
          <w:szCs w:val="28"/>
        </w:rPr>
      </w:pPr>
      <w:r>
        <w:rPr>
          <w:szCs w:val="28"/>
        </w:rPr>
        <w:t>While positioning and walking at the forefront of the protestors, the 2</w:t>
      </w:r>
      <w:r w:rsidRPr="00D76EC2">
        <w:rPr>
          <w:szCs w:val="28"/>
          <w:vertAlign w:val="superscript"/>
        </w:rPr>
        <w:t>nd</w:t>
      </w:r>
      <w:r>
        <w:rPr>
          <w:szCs w:val="28"/>
        </w:rPr>
        <w:t xml:space="preserve"> respondent gave hand signals to those behind him, gesturing to them to</w:t>
      </w:r>
      <w:r w:rsidR="00FE7043">
        <w:rPr>
          <w:szCs w:val="28"/>
        </w:rPr>
        <w:t xml:space="preserve"> halt</w:t>
      </w:r>
      <w:r w:rsidR="007D1D23">
        <w:rPr>
          <w:szCs w:val="28"/>
        </w:rPr>
        <w:t xml:space="preserve"> </w:t>
      </w:r>
      <w:r w:rsidR="00FE425E">
        <w:rPr>
          <w:szCs w:val="28"/>
        </w:rPr>
        <w:t>or back off</w:t>
      </w:r>
      <w:r w:rsidR="007D1D23">
        <w:rPr>
          <w:szCs w:val="28"/>
        </w:rPr>
        <w:t xml:space="preserve">.  They did </w:t>
      </w:r>
      <w:r w:rsidR="00FE425E">
        <w:rPr>
          <w:szCs w:val="28"/>
        </w:rPr>
        <w:t xml:space="preserve">pause but </w:t>
      </w:r>
      <w:r w:rsidR="007D1D23">
        <w:rPr>
          <w:szCs w:val="28"/>
        </w:rPr>
        <w:t xml:space="preserve">after a while </w:t>
      </w:r>
      <w:r>
        <w:rPr>
          <w:szCs w:val="28"/>
        </w:rPr>
        <w:t>continued with the charge at the police.  In playing the role as he did, the 2</w:t>
      </w:r>
      <w:r w:rsidRPr="00ED18C3">
        <w:rPr>
          <w:szCs w:val="28"/>
          <w:vertAlign w:val="superscript"/>
        </w:rPr>
        <w:t>nd</w:t>
      </w:r>
      <w:r>
        <w:rPr>
          <w:szCs w:val="28"/>
        </w:rPr>
        <w:t xml:space="preserve"> respondent was actively involved in emboldening, encouraging and reinforcing </w:t>
      </w:r>
      <w:r w:rsidR="00FE425E">
        <w:rPr>
          <w:szCs w:val="28"/>
        </w:rPr>
        <w:t xml:space="preserve">the acts of </w:t>
      </w:r>
      <w:r>
        <w:rPr>
          <w:szCs w:val="28"/>
        </w:rPr>
        <w:t xml:space="preserve">other protestors, if not actually </w:t>
      </w:r>
      <w:r w:rsidR="00FE425E">
        <w:rPr>
          <w:szCs w:val="28"/>
        </w:rPr>
        <w:t>directing</w:t>
      </w:r>
      <w:r w:rsidR="00F25A7C">
        <w:rPr>
          <w:szCs w:val="28"/>
        </w:rPr>
        <w:t xml:space="preserve"> them</w:t>
      </w:r>
      <w:r>
        <w:rPr>
          <w:szCs w:val="28"/>
        </w:rPr>
        <w:t>.</w:t>
      </w:r>
      <w:r w:rsidR="00E80B03">
        <w:rPr>
          <w:szCs w:val="28"/>
        </w:rPr>
        <w:t xml:space="preserve">  His culpability is more serious than the 1</w:t>
      </w:r>
      <w:r w:rsidR="00E80B03" w:rsidRPr="00E80B03">
        <w:rPr>
          <w:szCs w:val="28"/>
          <w:vertAlign w:val="superscript"/>
        </w:rPr>
        <w:t>st</w:t>
      </w:r>
      <w:r w:rsidR="00E80B03">
        <w:rPr>
          <w:szCs w:val="28"/>
        </w:rPr>
        <w:t xml:space="preserve"> respondent</w:t>
      </w:r>
      <w:r w:rsidR="00701376">
        <w:rPr>
          <w:szCs w:val="28"/>
        </w:rPr>
        <w:t>’s</w:t>
      </w:r>
      <w:r w:rsidR="00E80B03">
        <w:rPr>
          <w:szCs w:val="28"/>
        </w:rPr>
        <w:t>.</w:t>
      </w:r>
    </w:p>
    <w:p w:rsidR="00DE35F4" w:rsidRDefault="00837C66" w:rsidP="00B11330">
      <w:pPr>
        <w:tabs>
          <w:tab w:val="clear" w:pos="4234"/>
          <w:tab w:val="clear" w:pos="8453"/>
        </w:tabs>
        <w:snapToGrid/>
        <w:spacing w:after="480" w:line="360" w:lineRule="auto"/>
        <w:jc w:val="both"/>
        <w:rPr>
          <w:szCs w:val="28"/>
        </w:rPr>
      </w:pPr>
      <w:r>
        <w:rPr>
          <w:szCs w:val="28"/>
        </w:rPr>
        <w:t>3</w:t>
      </w:r>
      <w:r w:rsidR="00521922">
        <w:rPr>
          <w:szCs w:val="28"/>
        </w:rPr>
        <w:t>2</w:t>
      </w:r>
      <w:r w:rsidR="00B11330">
        <w:rPr>
          <w:szCs w:val="28"/>
        </w:rPr>
        <w:t>.</w:t>
      </w:r>
      <w:r w:rsidR="00B11330">
        <w:rPr>
          <w:szCs w:val="28"/>
        </w:rPr>
        <w:tab/>
      </w:r>
      <w:r w:rsidR="00355090">
        <w:rPr>
          <w:szCs w:val="28"/>
        </w:rPr>
        <w:t>Mr Pun</w:t>
      </w:r>
      <w:r w:rsidR="00DE35F4">
        <w:rPr>
          <w:szCs w:val="28"/>
        </w:rPr>
        <w:t xml:space="preserve"> SC, for the 1</w:t>
      </w:r>
      <w:r w:rsidR="00DE35F4" w:rsidRPr="00EC69EF">
        <w:rPr>
          <w:szCs w:val="28"/>
          <w:vertAlign w:val="superscript"/>
        </w:rPr>
        <w:t>st</w:t>
      </w:r>
      <w:r w:rsidR="00DE35F4">
        <w:rPr>
          <w:szCs w:val="28"/>
        </w:rPr>
        <w:t xml:space="preserve"> respondent</w:t>
      </w:r>
      <w:r w:rsidR="00F50AE0">
        <w:rPr>
          <w:szCs w:val="28"/>
        </w:rPr>
        <w:t>,</w:t>
      </w:r>
      <w:r w:rsidR="00DE35F4">
        <w:rPr>
          <w:szCs w:val="28"/>
        </w:rPr>
        <w:t xml:space="preserve"> sought to support the Magistrate’s finding on her role by making three points.</w:t>
      </w:r>
    </w:p>
    <w:p w:rsidR="00DE35F4" w:rsidRDefault="00837C66" w:rsidP="00B11330">
      <w:pPr>
        <w:tabs>
          <w:tab w:val="clear" w:pos="4234"/>
          <w:tab w:val="clear" w:pos="8453"/>
        </w:tabs>
        <w:snapToGrid/>
        <w:spacing w:after="480" w:line="360" w:lineRule="auto"/>
        <w:jc w:val="both"/>
        <w:rPr>
          <w:szCs w:val="28"/>
        </w:rPr>
      </w:pPr>
      <w:r>
        <w:rPr>
          <w:szCs w:val="28"/>
        </w:rPr>
        <w:t>3</w:t>
      </w:r>
      <w:r w:rsidR="00521922">
        <w:rPr>
          <w:szCs w:val="28"/>
        </w:rPr>
        <w:t>3</w:t>
      </w:r>
      <w:r w:rsidR="00B11330">
        <w:rPr>
          <w:szCs w:val="28"/>
        </w:rPr>
        <w:t>.</w:t>
      </w:r>
      <w:r w:rsidR="00B11330">
        <w:rPr>
          <w:szCs w:val="28"/>
        </w:rPr>
        <w:tab/>
      </w:r>
      <w:r w:rsidR="00DE35F4">
        <w:rPr>
          <w:szCs w:val="28"/>
        </w:rPr>
        <w:t>He first submitted that before the Magistrate it was never suggested that the 1</w:t>
      </w:r>
      <w:r w:rsidR="00DE35F4" w:rsidRPr="00A97C1B">
        <w:rPr>
          <w:szCs w:val="28"/>
          <w:vertAlign w:val="superscript"/>
        </w:rPr>
        <w:t>st</w:t>
      </w:r>
      <w:r w:rsidR="00DE35F4">
        <w:rPr>
          <w:szCs w:val="28"/>
        </w:rPr>
        <w:t xml:space="preserve"> respondent had participated in anything other </w:t>
      </w:r>
      <w:r w:rsidR="00F50AE0">
        <w:rPr>
          <w:szCs w:val="28"/>
        </w:rPr>
        <w:t xml:space="preserve">than </w:t>
      </w:r>
      <w:r w:rsidR="00521922">
        <w:rPr>
          <w:szCs w:val="28"/>
        </w:rPr>
        <w:t xml:space="preserve">what </w:t>
      </w:r>
      <w:r w:rsidR="00F50AE0">
        <w:rPr>
          <w:szCs w:val="28"/>
        </w:rPr>
        <w:t>had been suggested in the A</w:t>
      </w:r>
      <w:r w:rsidR="00DE35F4">
        <w:rPr>
          <w:szCs w:val="28"/>
        </w:rPr>
        <w:t xml:space="preserve">dmitted </w:t>
      </w:r>
      <w:r w:rsidR="00F50AE0">
        <w:rPr>
          <w:szCs w:val="28"/>
        </w:rPr>
        <w:t>F</w:t>
      </w:r>
      <w:r w:rsidR="00DE35F4">
        <w:rPr>
          <w:szCs w:val="28"/>
        </w:rPr>
        <w:t xml:space="preserve">acts.  The prosecution never suggested that she had behaved violently or encouraged or facilitated the violent behaviour of others.  It is therefore not open to the applicant to now contend that she had encouraged and facilitated the violent </w:t>
      </w:r>
      <w:proofErr w:type="spellStart"/>
      <w:r w:rsidR="00DE35F4">
        <w:rPr>
          <w:szCs w:val="28"/>
        </w:rPr>
        <w:t>behavior</w:t>
      </w:r>
      <w:proofErr w:type="spellEnd"/>
      <w:r w:rsidR="00DE35F4">
        <w:rPr>
          <w:szCs w:val="28"/>
        </w:rPr>
        <w:t xml:space="preserve"> of other participants in the unlawful assembly: </w:t>
      </w:r>
      <w:r w:rsidR="00DE35F4" w:rsidRPr="00A97C1B">
        <w:rPr>
          <w:i/>
          <w:szCs w:val="28"/>
        </w:rPr>
        <w:t>Secretary for Justice v Wong Chi Fung (CFA)</w:t>
      </w:r>
      <w:r w:rsidR="00DE35F4">
        <w:rPr>
          <w:szCs w:val="28"/>
        </w:rPr>
        <w:t xml:space="preserve"> (2018) 21 HKCFAR 35, at [61].</w:t>
      </w:r>
    </w:p>
    <w:p w:rsidR="00DE35F4" w:rsidRDefault="00521922" w:rsidP="00B11330">
      <w:pPr>
        <w:tabs>
          <w:tab w:val="clear" w:pos="4234"/>
          <w:tab w:val="clear" w:pos="8453"/>
        </w:tabs>
        <w:snapToGrid/>
        <w:spacing w:after="480" w:line="360" w:lineRule="auto"/>
        <w:jc w:val="both"/>
        <w:rPr>
          <w:szCs w:val="28"/>
        </w:rPr>
      </w:pPr>
      <w:r>
        <w:rPr>
          <w:szCs w:val="28"/>
        </w:rPr>
        <w:t>34</w:t>
      </w:r>
      <w:r w:rsidR="00B11330">
        <w:rPr>
          <w:szCs w:val="28"/>
        </w:rPr>
        <w:t>.</w:t>
      </w:r>
      <w:r w:rsidR="00B11330">
        <w:rPr>
          <w:szCs w:val="28"/>
        </w:rPr>
        <w:tab/>
      </w:r>
      <w:r w:rsidR="00DE35F4">
        <w:rPr>
          <w:szCs w:val="28"/>
        </w:rPr>
        <w:t xml:space="preserve">It is trite that on a sentence review the Secretary for Justice is not entitled to rely on a factual basis different to that accepted by the prosecution below: </w:t>
      </w:r>
      <w:r w:rsidR="00DE35F4" w:rsidRPr="00A97C1B">
        <w:rPr>
          <w:i/>
          <w:szCs w:val="28"/>
        </w:rPr>
        <w:t>Wong Chi Fung (</w:t>
      </w:r>
      <w:r w:rsidR="00355090">
        <w:rPr>
          <w:i/>
          <w:szCs w:val="28"/>
        </w:rPr>
        <w:t>CFA</w:t>
      </w:r>
      <w:r w:rsidR="00DE35F4" w:rsidRPr="00A97C1B">
        <w:rPr>
          <w:i/>
          <w:szCs w:val="28"/>
        </w:rPr>
        <w:t>)</w:t>
      </w:r>
      <w:r w:rsidR="00DE35F4">
        <w:rPr>
          <w:szCs w:val="28"/>
        </w:rPr>
        <w:t xml:space="preserve">, ibid.  But that is not the case </w:t>
      </w:r>
      <w:r w:rsidR="00DE35F4">
        <w:rPr>
          <w:szCs w:val="28"/>
        </w:rPr>
        <w:lastRenderedPageBreak/>
        <w:t xml:space="preserve">here.  Properly understood, when the prosecution appeared to have accepted </w:t>
      </w:r>
      <w:r>
        <w:rPr>
          <w:szCs w:val="28"/>
        </w:rPr>
        <w:t xml:space="preserve">there was no evidence or suggestion </w:t>
      </w:r>
      <w:r w:rsidR="00DE35F4">
        <w:rPr>
          <w:szCs w:val="28"/>
        </w:rPr>
        <w:t>that the respondents had “participated in anything other than that have been suggested in the brief facts”,</w:t>
      </w:r>
      <w:r w:rsidR="00DE35F4">
        <w:rPr>
          <w:rStyle w:val="FootnoteReference"/>
          <w:szCs w:val="28"/>
        </w:rPr>
        <w:footnoteReference w:id="13"/>
      </w:r>
      <w:r w:rsidR="00DE35F4">
        <w:rPr>
          <w:szCs w:val="28"/>
        </w:rPr>
        <w:t xml:space="preserve"> </w:t>
      </w:r>
      <w:r>
        <w:rPr>
          <w:szCs w:val="28"/>
        </w:rPr>
        <w:t xml:space="preserve">this could not have precluded the drawing of proper inferences </w:t>
      </w:r>
      <w:r w:rsidR="00FE7043">
        <w:rPr>
          <w:szCs w:val="28"/>
        </w:rPr>
        <w:t xml:space="preserve">from what was stated in the </w:t>
      </w:r>
      <w:r w:rsidR="00F50AE0">
        <w:rPr>
          <w:szCs w:val="28"/>
        </w:rPr>
        <w:t>Admitted</w:t>
      </w:r>
      <w:r w:rsidR="00FE7043">
        <w:rPr>
          <w:szCs w:val="28"/>
        </w:rPr>
        <w:t xml:space="preserve"> F</w:t>
      </w:r>
      <w:r w:rsidR="00DE35F4">
        <w:rPr>
          <w:szCs w:val="28"/>
        </w:rPr>
        <w:t xml:space="preserve">acts concerning </w:t>
      </w:r>
      <w:r>
        <w:rPr>
          <w:szCs w:val="28"/>
        </w:rPr>
        <w:t xml:space="preserve">the level of </w:t>
      </w:r>
      <w:r w:rsidR="00DE35F4">
        <w:rPr>
          <w:szCs w:val="28"/>
        </w:rPr>
        <w:t xml:space="preserve">their participation and </w:t>
      </w:r>
      <w:r>
        <w:rPr>
          <w:szCs w:val="28"/>
        </w:rPr>
        <w:t>their role</w:t>
      </w:r>
      <w:r w:rsidR="00DE35F4">
        <w:rPr>
          <w:szCs w:val="28"/>
        </w:rPr>
        <w:t xml:space="preserve">, as </w:t>
      </w:r>
      <w:r w:rsidR="007B45CB">
        <w:rPr>
          <w:szCs w:val="28"/>
        </w:rPr>
        <w:t>confirmed by the video footages</w:t>
      </w:r>
      <w:r w:rsidR="00DE35F4">
        <w:rPr>
          <w:szCs w:val="28"/>
        </w:rPr>
        <w:t xml:space="preserve"> which the Magistrate had viewed.  The prosecution did not ask the Magistrate to adopt </w:t>
      </w:r>
      <w:r>
        <w:rPr>
          <w:szCs w:val="28"/>
        </w:rPr>
        <w:t>a</w:t>
      </w:r>
      <w:r w:rsidR="00DE35F4">
        <w:rPr>
          <w:szCs w:val="28"/>
        </w:rPr>
        <w:t xml:space="preserve"> blinker</w:t>
      </w:r>
      <w:r w:rsidR="007B45CB">
        <w:rPr>
          <w:szCs w:val="28"/>
        </w:rPr>
        <w:t>ed</w:t>
      </w:r>
      <w:r w:rsidR="00DE35F4">
        <w:rPr>
          <w:szCs w:val="28"/>
        </w:rPr>
        <w:t xml:space="preserve"> approach to the evidence as suggested by Mr Pun.  Thus contrary to his submissions, the applicant has not impermissibly gone beyond the factual basis on the </w:t>
      </w:r>
      <w:r>
        <w:rPr>
          <w:szCs w:val="28"/>
        </w:rPr>
        <w:t>1</w:t>
      </w:r>
      <w:r w:rsidRPr="00521922">
        <w:rPr>
          <w:szCs w:val="28"/>
          <w:vertAlign w:val="superscript"/>
        </w:rPr>
        <w:t>st</w:t>
      </w:r>
      <w:r>
        <w:rPr>
          <w:szCs w:val="28"/>
        </w:rPr>
        <w:t xml:space="preserve"> </w:t>
      </w:r>
      <w:r w:rsidR="00DE35F4">
        <w:rPr>
          <w:szCs w:val="28"/>
        </w:rPr>
        <w:t>respondent</w:t>
      </w:r>
      <w:r>
        <w:rPr>
          <w:szCs w:val="28"/>
        </w:rPr>
        <w:t>’s</w:t>
      </w:r>
      <w:r w:rsidR="00DE35F4">
        <w:rPr>
          <w:szCs w:val="28"/>
        </w:rPr>
        <w:t xml:space="preserve"> participation </w:t>
      </w:r>
      <w:r w:rsidR="007B45CB">
        <w:rPr>
          <w:szCs w:val="28"/>
        </w:rPr>
        <w:t xml:space="preserve">as </w:t>
      </w:r>
      <w:r w:rsidR="00DE35F4">
        <w:rPr>
          <w:szCs w:val="28"/>
        </w:rPr>
        <w:t>presented to the Magistrate below.</w:t>
      </w:r>
    </w:p>
    <w:p w:rsidR="00DE35F4" w:rsidRPr="00D719E7" w:rsidRDefault="00837C66" w:rsidP="00B11330">
      <w:pPr>
        <w:tabs>
          <w:tab w:val="clear" w:pos="4234"/>
          <w:tab w:val="clear" w:pos="8453"/>
        </w:tabs>
        <w:snapToGrid/>
        <w:spacing w:after="480" w:line="360" w:lineRule="auto"/>
        <w:jc w:val="both"/>
        <w:rPr>
          <w:szCs w:val="28"/>
        </w:rPr>
      </w:pPr>
      <w:r>
        <w:rPr>
          <w:szCs w:val="28"/>
        </w:rPr>
        <w:t>3</w:t>
      </w:r>
      <w:r w:rsidR="00521922">
        <w:rPr>
          <w:szCs w:val="28"/>
        </w:rPr>
        <w:t>5</w:t>
      </w:r>
      <w:r w:rsidR="00B11330">
        <w:rPr>
          <w:szCs w:val="28"/>
        </w:rPr>
        <w:t>.</w:t>
      </w:r>
      <w:r w:rsidR="00B11330">
        <w:rPr>
          <w:szCs w:val="28"/>
        </w:rPr>
        <w:tab/>
      </w:r>
      <w:r w:rsidR="00DE35F4" w:rsidRPr="00D719E7">
        <w:rPr>
          <w:szCs w:val="28"/>
        </w:rPr>
        <w:t xml:space="preserve">Mr Pun next submitted that in any event, the Magistrate made the findings as he did after he had the chance to properly examine the video footages and to assess the level of </w:t>
      </w:r>
      <w:r w:rsidR="00FE7043">
        <w:rPr>
          <w:szCs w:val="28"/>
        </w:rPr>
        <w:t>the 1</w:t>
      </w:r>
      <w:r w:rsidR="00FE7043" w:rsidRPr="00FE7043">
        <w:rPr>
          <w:szCs w:val="28"/>
          <w:vertAlign w:val="superscript"/>
        </w:rPr>
        <w:t>st</w:t>
      </w:r>
      <w:r w:rsidR="00FE7043">
        <w:rPr>
          <w:szCs w:val="28"/>
        </w:rPr>
        <w:t xml:space="preserve"> respondent’s </w:t>
      </w:r>
      <w:r w:rsidR="00DE35F4" w:rsidRPr="00D719E7">
        <w:rPr>
          <w:szCs w:val="28"/>
        </w:rPr>
        <w:t xml:space="preserve">participation.  However, in </w:t>
      </w:r>
      <w:r w:rsidR="00FE7043">
        <w:rPr>
          <w:szCs w:val="28"/>
        </w:rPr>
        <w:t>evaluating the evidence on her</w:t>
      </w:r>
      <w:r w:rsidR="00DE35F4" w:rsidRPr="00D719E7">
        <w:rPr>
          <w:szCs w:val="28"/>
        </w:rPr>
        <w:t xml:space="preserve"> participation, the Magistrate had failed to direct his mind to </w:t>
      </w:r>
      <w:r w:rsidR="0016237C">
        <w:rPr>
          <w:szCs w:val="28"/>
        </w:rPr>
        <w:t>the effect of the 1</w:t>
      </w:r>
      <w:r w:rsidR="0016237C" w:rsidRPr="0016237C">
        <w:rPr>
          <w:szCs w:val="28"/>
          <w:vertAlign w:val="superscript"/>
        </w:rPr>
        <w:t>st</w:t>
      </w:r>
      <w:r w:rsidR="0016237C">
        <w:rPr>
          <w:szCs w:val="28"/>
        </w:rPr>
        <w:t xml:space="preserve"> respondent’s act o</w:t>
      </w:r>
      <w:r w:rsidR="00EE3DE9">
        <w:rPr>
          <w:szCs w:val="28"/>
        </w:rPr>
        <w:t>n</w:t>
      </w:r>
      <w:r w:rsidR="0016237C">
        <w:rPr>
          <w:szCs w:val="28"/>
        </w:rPr>
        <w:t xml:space="preserve"> the other protestors </w:t>
      </w:r>
      <w:r w:rsidR="007D1D23">
        <w:rPr>
          <w:szCs w:val="28"/>
        </w:rPr>
        <w:t>as pointed out at [3</w:t>
      </w:r>
      <w:r w:rsidR="00E36A6D">
        <w:rPr>
          <w:szCs w:val="28"/>
        </w:rPr>
        <w:t>1</w:t>
      </w:r>
      <w:r w:rsidR="007D1D23">
        <w:rPr>
          <w:szCs w:val="28"/>
        </w:rPr>
        <w:t>] above.</w:t>
      </w:r>
    </w:p>
    <w:p w:rsidR="00DE35F4" w:rsidRDefault="00837C66" w:rsidP="00683C31">
      <w:pPr>
        <w:tabs>
          <w:tab w:val="clear" w:pos="4234"/>
          <w:tab w:val="clear" w:pos="8453"/>
        </w:tabs>
        <w:snapToGrid/>
        <w:spacing w:after="480" w:line="360" w:lineRule="auto"/>
        <w:jc w:val="both"/>
        <w:rPr>
          <w:szCs w:val="28"/>
        </w:rPr>
      </w:pPr>
      <w:r>
        <w:rPr>
          <w:szCs w:val="28"/>
        </w:rPr>
        <w:t>3</w:t>
      </w:r>
      <w:r w:rsidR="00521922">
        <w:rPr>
          <w:szCs w:val="28"/>
        </w:rPr>
        <w:t>6</w:t>
      </w:r>
      <w:r w:rsidR="00683C31">
        <w:rPr>
          <w:szCs w:val="28"/>
        </w:rPr>
        <w:t>.</w:t>
      </w:r>
      <w:r w:rsidR="00683C31">
        <w:rPr>
          <w:szCs w:val="28"/>
        </w:rPr>
        <w:tab/>
      </w:r>
      <w:r w:rsidR="00DE35F4">
        <w:rPr>
          <w:szCs w:val="28"/>
        </w:rPr>
        <w:t xml:space="preserve">Finally, Mr Pun submitted that the Magistrate was entitled to rely on Tang PJ’s remarks in </w:t>
      </w:r>
      <w:r w:rsidR="00907569">
        <w:rPr>
          <w:i/>
          <w:szCs w:val="28"/>
        </w:rPr>
        <w:t xml:space="preserve">Chow </w:t>
      </w:r>
      <w:proofErr w:type="spellStart"/>
      <w:r w:rsidR="00907569">
        <w:rPr>
          <w:i/>
          <w:szCs w:val="28"/>
        </w:rPr>
        <w:t>Nok</w:t>
      </w:r>
      <w:proofErr w:type="spellEnd"/>
      <w:r w:rsidR="00907569">
        <w:rPr>
          <w:i/>
          <w:szCs w:val="28"/>
        </w:rPr>
        <w:t xml:space="preserve"> H</w:t>
      </w:r>
      <w:r w:rsidR="00DE35F4" w:rsidRPr="00D719E7">
        <w:rPr>
          <w:i/>
          <w:szCs w:val="28"/>
        </w:rPr>
        <w:t>ang</w:t>
      </w:r>
      <w:r w:rsidR="007D1D23">
        <w:rPr>
          <w:i/>
          <w:szCs w:val="28"/>
        </w:rPr>
        <w:t xml:space="preserve">, </w:t>
      </w:r>
      <w:r w:rsidR="007D1D23" w:rsidRPr="00555E22">
        <w:rPr>
          <w:szCs w:val="28"/>
        </w:rPr>
        <w:t>supra</w:t>
      </w:r>
      <w:r w:rsidR="00DE35F4" w:rsidRPr="00555E22">
        <w:rPr>
          <w:szCs w:val="28"/>
        </w:rPr>
        <w:t>.</w:t>
      </w:r>
      <w:r w:rsidR="00DE35F4">
        <w:rPr>
          <w:szCs w:val="28"/>
        </w:rPr>
        <w:t xml:space="preserve">  However, the Magistrate’s reliance on it is entirely misplaced when his finding on the 1</w:t>
      </w:r>
      <w:r w:rsidR="00DE35F4" w:rsidRPr="00D719E7">
        <w:rPr>
          <w:szCs w:val="28"/>
          <w:vertAlign w:val="superscript"/>
        </w:rPr>
        <w:t>st</w:t>
      </w:r>
      <w:r w:rsidR="00DE35F4">
        <w:rPr>
          <w:szCs w:val="28"/>
        </w:rPr>
        <w:t xml:space="preserve"> respondent’s participation in the unlawful assembly is </w:t>
      </w:r>
      <w:r w:rsidR="00FE7043">
        <w:rPr>
          <w:szCs w:val="28"/>
        </w:rPr>
        <w:t xml:space="preserve">plainly </w:t>
      </w:r>
      <w:r w:rsidR="00DE35F4">
        <w:rPr>
          <w:szCs w:val="28"/>
        </w:rPr>
        <w:t>wrong.</w:t>
      </w:r>
    </w:p>
    <w:p w:rsidR="00DE35F4" w:rsidRPr="00D719E7" w:rsidRDefault="00837C66" w:rsidP="00683C31">
      <w:pPr>
        <w:tabs>
          <w:tab w:val="clear" w:pos="4234"/>
          <w:tab w:val="clear" w:pos="8453"/>
        </w:tabs>
        <w:snapToGrid/>
        <w:spacing w:after="480" w:line="360" w:lineRule="auto"/>
        <w:jc w:val="both"/>
        <w:rPr>
          <w:szCs w:val="28"/>
        </w:rPr>
      </w:pPr>
      <w:r>
        <w:rPr>
          <w:szCs w:val="28"/>
        </w:rPr>
        <w:t>3</w:t>
      </w:r>
      <w:r w:rsidR="00521922">
        <w:rPr>
          <w:szCs w:val="28"/>
        </w:rPr>
        <w:t>7</w:t>
      </w:r>
      <w:r w:rsidR="00683C31">
        <w:rPr>
          <w:szCs w:val="28"/>
        </w:rPr>
        <w:t>.</w:t>
      </w:r>
      <w:r w:rsidR="00683C31">
        <w:rPr>
          <w:szCs w:val="28"/>
        </w:rPr>
        <w:tab/>
      </w:r>
      <w:r w:rsidR="00DE35F4" w:rsidRPr="00664B09">
        <w:rPr>
          <w:szCs w:val="28"/>
        </w:rPr>
        <w:t>Mr Ma, for the 2</w:t>
      </w:r>
      <w:r w:rsidR="00DE35F4" w:rsidRPr="00664B09">
        <w:rPr>
          <w:szCs w:val="28"/>
          <w:vertAlign w:val="superscript"/>
        </w:rPr>
        <w:t>nd</w:t>
      </w:r>
      <w:r w:rsidR="00DE35F4" w:rsidRPr="00664B09">
        <w:rPr>
          <w:szCs w:val="28"/>
        </w:rPr>
        <w:t xml:space="preserve"> respondent, submitted that the Magistrate is entitled to conclude that his role was relatively passive or minor.  Counsel </w:t>
      </w:r>
      <w:r w:rsidR="00DE35F4" w:rsidRPr="00664B09">
        <w:rPr>
          <w:szCs w:val="28"/>
        </w:rPr>
        <w:lastRenderedPageBreak/>
        <w:t xml:space="preserve">asked rhetorically if the Magistrate’s finding was something no reasonable magistrate could </w:t>
      </w:r>
      <w:r w:rsidR="00DE35F4">
        <w:rPr>
          <w:szCs w:val="28"/>
        </w:rPr>
        <w:t xml:space="preserve">have </w:t>
      </w:r>
      <w:r w:rsidR="00DE35F4" w:rsidRPr="00664B09">
        <w:rPr>
          <w:szCs w:val="28"/>
        </w:rPr>
        <w:t>ma</w:t>
      </w:r>
      <w:r w:rsidR="00DE35F4">
        <w:rPr>
          <w:szCs w:val="28"/>
        </w:rPr>
        <w:t>d</w:t>
      </w:r>
      <w:r w:rsidR="00DE35F4" w:rsidRPr="00664B09">
        <w:rPr>
          <w:szCs w:val="28"/>
        </w:rPr>
        <w:t>e and submitted that the answer must be no.  However, as already pointed out</w:t>
      </w:r>
      <w:r w:rsidR="00E36A6D">
        <w:rPr>
          <w:szCs w:val="28"/>
        </w:rPr>
        <w:t xml:space="preserve"> in [31]</w:t>
      </w:r>
      <w:r w:rsidR="00DE35F4" w:rsidRPr="00664B09">
        <w:rPr>
          <w:szCs w:val="28"/>
        </w:rPr>
        <w:t xml:space="preserve">, the Magistrate had failed to direct his mind on what was </w:t>
      </w:r>
      <w:r w:rsidR="008E18E3">
        <w:rPr>
          <w:szCs w:val="28"/>
        </w:rPr>
        <w:t>the effect of the 2</w:t>
      </w:r>
      <w:r w:rsidR="008E18E3" w:rsidRPr="008E18E3">
        <w:rPr>
          <w:szCs w:val="28"/>
          <w:vertAlign w:val="superscript"/>
        </w:rPr>
        <w:t>nd</w:t>
      </w:r>
      <w:r w:rsidR="008E18E3">
        <w:rPr>
          <w:szCs w:val="28"/>
        </w:rPr>
        <w:t xml:space="preserve"> respondent’s act </w:t>
      </w:r>
      <w:r w:rsidR="004675BD">
        <w:rPr>
          <w:szCs w:val="28"/>
        </w:rPr>
        <w:t>on the other protestors.  It cannot be said that his finding on the 2</w:t>
      </w:r>
      <w:r w:rsidR="004675BD" w:rsidRPr="004675BD">
        <w:rPr>
          <w:szCs w:val="28"/>
          <w:vertAlign w:val="superscript"/>
        </w:rPr>
        <w:t>nd</w:t>
      </w:r>
      <w:r w:rsidR="004675BD">
        <w:rPr>
          <w:szCs w:val="28"/>
        </w:rPr>
        <w:t xml:space="preserve"> respondent’s role is</w:t>
      </w:r>
      <w:r w:rsidR="00DE35F4" w:rsidRPr="00D719E7">
        <w:rPr>
          <w:szCs w:val="28"/>
        </w:rPr>
        <w:t xml:space="preserve"> what a reasonable tribunal, after properly evaluating all the evidence, would have made.</w:t>
      </w:r>
    </w:p>
    <w:p w:rsidR="00DE35F4" w:rsidRDefault="00837C66" w:rsidP="00A83CC1">
      <w:pPr>
        <w:tabs>
          <w:tab w:val="clear" w:pos="4234"/>
          <w:tab w:val="clear" w:pos="8453"/>
        </w:tabs>
        <w:snapToGrid/>
        <w:spacing w:after="480" w:line="360" w:lineRule="auto"/>
        <w:jc w:val="both"/>
        <w:rPr>
          <w:szCs w:val="28"/>
        </w:rPr>
      </w:pPr>
      <w:r>
        <w:rPr>
          <w:szCs w:val="28"/>
        </w:rPr>
        <w:t>3</w:t>
      </w:r>
      <w:r w:rsidR="004753BB">
        <w:rPr>
          <w:szCs w:val="28"/>
        </w:rPr>
        <w:t>8</w:t>
      </w:r>
      <w:r w:rsidR="00A83CC1">
        <w:rPr>
          <w:szCs w:val="28"/>
        </w:rPr>
        <w:t>.</w:t>
      </w:r>
      <w:r w:rsidR="00A83CC1">
        <w:rPr>
          <w:szCs w:val="28"/>
        </w:rPr>
        <w:tab/>
      </w:r>
      <w:r w:rsidR="004753BB">
        <w:rPr>
          <w:szCs w:val="28"/>
        </w:rPr>
        <w:t>For the reasons given above, this is a serious case, and the Magistrate’s finding on the level of the respondents’ participation and their culpability cannot be supported.  Misguided by the finding, his approach to sentence is also flawed.  The factual basis underpinning the Dismissal Orders and CP Orders, which give no weight to punishment and deterrence, simply cannot stand.</w:t>
      </w:r>
    </w:p>
    <w:p w:rsidR="00DE35F4" w:rsidRPr="00A83CC1" w:rsidRDefault="00DE35F4" w:rsidP="006F28E4">
      <w:pPr>
        <w:keepNext/>
        <w:tabs>
          <w:tab w:val="clear" w:pos="1440"/>
          <w:tab w:val="left" w:pos="720"/>
        </w:tabs>
        <w:spacing w:after="240" w:line="360" w:lineRule="auto"/>
        <w:jc w:val="both"/>
        <w:rPr>
          <w:i/>
          <w:szCs w:val="28"/>
        </w:rPr>
      </w:pPr>
      <w:r w:rsidRPr="00A83CC1">
        <w:rPr>
          <w:i/>
          <w:szCs w:val="28"/>
        </w:rPr>
        <w:t>D3.</w:t>
      </w:r>
      <w:r w:rsidRPr="00A83CC1">
        <w:rPr>
          <w:i/>
          <w:szCs w:val="28"/>
        </w:rPr>
        <w:tab/>
      </w:r>
      <w:r w:rsidR="001003C3">
        <w:rPr>
          <w:i/>
          <w:szCs w:val="28"/>
        </w:rPr>
        <w:t>Appropriate</w:t>
      </w:r>
      <w:r w:rsidRPr="00A83CC1">
        <w:rPr>
          <w:i/>
          <w:szCs w:val="28"/>
        </w:rPr>
        <w:t xml:space="preserve"> sentence</w:t>
      </w:r>
    </w:p>
    <w:p w:rsidR="00DE35F4" w:rsidRPr="00A83CC1" w:rsidRDefault="00DE35F4" w:rsidP="006F28E4">
      <w:pPr>
        <w:keepNext/>
        <w:tabs>
          <w:tab w:val="clear" w:pos="1440"/>
          <w:tab w:val="left" w:pos="720"/>
        </w:tabs>
        <w:spacing w:after="240" w:line="360" w:lineRule="auto"/>
        <w:jc w:val="both"/>
        <w:rPr>
          <w:i/>
          <w:szCs w:val="28"/>
        </w:rPr>
      </w:pPr>
      <w:r w:rsidRPr="00A83CC1">
        <w:rPr>
          <w:i/>
          <w:szCs w:val="28"/>
        </w:rPr>
        <w:t>D3.1</w:t>
      </w:r>
      <w:r w:rsidRPr="00A83CC1">
        <w:rPr>
          <w:i/>
          <w:szCs w:val="28"/>
        </w:rPr>
        <w:tab/>
      </w:r>
      <w:r w:rsidR="001003C3">
        <w:rPr>
          <w:i/>
          <w:szCs w:val="28"/>
        </w:rPr>
        <w:t xml:space="preserve">Proper Approach - </w:t>
      </w:r>
      <w:r w:rsidR="00A8039E">
        <w:rPr>
          <w:i/>
          <w:szCs w:val="28"/>
        </w:rPr>
        <w:t>s</w:t>
      </w:r>
      <w:r w:rsidRPr="00A83CC1">
        <w:rPr>
          <w:i/>
          <w:szCs w:val="28"/>
        </w:rPr>
        <w:t>ufficient weight must be given to punishment and deterrence</w:t>
      </w:r>
    </w:p>
    <w:p w:rsidR="00DE35F4" w:rsidRDefault="004753BB" w:rsidP="00220364">
      <w:pPr>
        <w:tabs>
          <w:tab w:val="clear" w:pos="4234"/>
          <w:tab w:val="clear" w:pos="8453"/>
        </w:tabs>
        <w:snapToGrid/>
        <w:spacing w:after="240" w:line="360" w:lineRule="auto"/>
        <w:jc w:val="both"/>
        <w:rPr>
          <w:szCs w:val="28"/>
        </w:rPr>
      </w:pPr>
      <w:r>
        <w:rPr>
          <w:szCs w:val="28"/>
        </w:rPr>
        <w:t>39</w:t>
      </w:r>
      <w:r w:rsidR="00A83CC1">
        <w:rPr>
          <w:szCs w:val="28"/>
        </w:rPr>
        <w:t>.</w:t>
      </w:r>
      <w:r w:rsidR="00A83CC1">
        <w:rPr>
          <w:szCs w:val="28"/>
        </w:rPr>
        <w:tab/>
      </w:r>
      <w:r w:rsidR="00DE35F4">
        <w:rPr>
          <w:szCs w:val="28"/>
        </w:rPr>
        <w:t xml:space="preserve">Recently in </w:t>
      </w:r>
      <w:r w:rsidR="00DE35F4" w:rsidRPr="00F302B1">
        <w:rPr>
          <w:i/>
          <w:szCs w:val="28"/>
        </w:rPr>
        <w:t>Secretary for Justice v SWS</w:t>
      </w:r>
      <w:r w:rsidR="00DE35F4">
        <w:rPr>
          <w:szCs w:val="28"/>
        </w:rPr>
        <w:t xml:space="preserve"> [2020] HKCA 788, this Court set out the general approach to sentencing juvenile offenders who have committ</w:t>
      </w:r>
      <w:r w:rsidR="001003C3">
        <w:rPr>
          <w:szCs w:val="28"/>
        </w:rPr>
        <w:t>ed a serious offence, which was</w:t>
      </w:r>
      <w:r w:rsidR="00DE35F4">
        <w:rPr>
          <w:szCs w:val="28"/>
        </w:rPr>
        <w:t xml:space="preserve"> derived from earlier authorities including </w:t>
      </w:r>
      <w:r w:rsidR="00DE35F4" w:rsidRPr="004B16C4">
        <w:rPr>
          <w:i/>
          <w:szCs w:val="28"/>
        </w:rPr>
        <w:t>Secretary for Justice v Wong Chi Fung</w:t>
      </w:r>
      <w:r w:rsidR="00DE35F4" w:rsidRPr="004B16C4">
        <w:rPr>
          <w:szCs w:val="28"/>
        </w:rPr>
        <w:t xml:space="preserve"> </w:t>
      </w:r>
      <w:r w:rsidR="00907569" w:rsidRPr="00BC3EE9">
        <w:rPr>
          <w:i/>
          <w:szCs w:val="28"/>
        </w:rPr>
        <w:t>(CA)</w:t>
      </w:r>
      <w:r w:rsidR="00DE35F4" w:rsidRPr="00BC3EE9">
        <w:rPr>
          <w:i/>
          <w:szCs w:val="28"/>
        </w:rPr>
        <w:t>,</w:t>
      </w:r>
      <w:r w:rsidR="00AC7DA2">
        <w:rPr>
          <w:i/>
          <w:szCs w:val="28"/>
        </w:rPr>
        <w:t xml:space="preserve"> </w:t>
      </w:r>
      <w:r w:rsidR="00AC7DA2" w:rsidRPr="00604850">
        <w:rPr>
          <w:szCs w:val="28"/>
        </w:rPr>
        <w:t>s</w:t>
      </w:r>
      <w:r w:rsidR="00907569" w:rsidRPr="00604850">
        <w:rPr>
          <w:szCs w:val="28"/>
        </w:rPr>
        <w:t>upra,</w:t>
      </w:r>
      <w:r w:rsidR="00DE35F4">
        <w:rPr>
          <w:szCs w:val="28"/>
        </w:rPr>
        <w:t xml:space="preserve"> approved by the Court of Final Appeal in </w:t>
      </w:r>
      <w:r w:rsidR="00DE35F4" w:rsidRPr="004B16C4">
        <w:rPr>
          <w:i/>
          <w:szCs w:val="28"/>
        </w:rPr>
        <w:t>Secretary for Justice v Wong Chi Fung</w:t>
      </w:r>
      <w:r w:rsidR="00DE35F4">
        <w:rPr>
          <w:i/>
          <w:szCs w:val="28"/>
        </w:rPr>
        <w:t xml:space="preserve"> (CFA)</w:t>
      </w:r>
      <w:r w:rsidR="00AC7DA2">
        <w:rPr>
          <w:i/>
          <w:szCs w:val="28"/>
        </w:rPr>
        <w:t xml:space="preserve">, </w:t>
      </w:r>
      <w:r w:rsidR="00AC7DA2" w:rsidRPr="00604850">
        <w:rPr>
          <w:szCs w:val="28"/>
        </w:rPr>
        <w:t>s</w:t>
      </w:r>
      <w:r w:rsidR="00BC3EE9" w:rsidRPr="00604850">
        <w:rPr>
          <w:szCs w:val="28"/>
        </w:rPr>
        <w:t>upra,</w:t>
      </w:r>
      <w:r w:rsidR="00DE35F4">
        <w:rPr>
          <w:szCs w:val="28"/>
        </w:rPr>
        <w:t xml:space="preserve"> thus:</w:t>
      </w:r>
      <w:r w:rsidR="008B3B43">
        <w:rPr>
          <w:rStyle w:val="FootnoteReference"/>
          <w:szCs w:val="28"/>
        </w:rPr>
        <w:footnoteReference w:id="14"/>
      </w:r>
    </w:p>
    <w:p w:rsidR="00604850" w:rsidRDefault="00604850" w:rsidP="00B44CEA">
      <w:pPr>
        <w:tabs>
          <w:tab w:val="clear" w:pos="1440"/>
          <w:tab w:val="clear" w:pos="4234"/>
          <w:tab w:val="clear" w:pos="8453"/>
          <w:tab w:val="left" w:pos="720"/>
        </w:tabs>
        <w:ind w:left="1350" w:right="621"/>
        <w:jc w:val="both"/>
        <w:rPr>
          <w:sz w:val="24"/>
          <w:szCs w:val="24"/>
        </w:rPr>
      </w:pPr>
    </w:p>
    <w:p w:rsidR="00604850" w:rsidRDefault="00604850" w:rsidP="00B44CEA">
      <w:pPr>
        <w:tabs>
          <w:tab w:val="clear" w:pos="1440"/>
          <w:tab w:val="clear" w:pos="4234"/>
          <w:tab w:val="clear" w:pos="8453"/>
          <w:tab w:val="left" w:pos="720"/>
        </w:tabs>
        <w:ind w:left="1350" w:right="621"/>
        <w:jc w:val="both"/>
        <w:rPr>
          <w:sz w:val="24"/>
          <w:szCs w:val="24"/>
        </w:rPr>
      </w:pPr>
    </w:p>
    <w:p w:rsidR="00DE35F4" w:rsidRPr="007D4653" w:rsidRDefault="007D4653" w:rsidP="00B44CEA">
      <w:pPr>
        <w:tabs>
          <w:tab w:val="clear" w:pos="1440"/>
          <w:tab w:val="clear" w:pos="4234"/>
          <w:tab w:val="clear" w:pos="8453"/>
          <w:tab w:val="left" w:pos="720"/>
        </w:tabs>
        <w:ind w:left="1350" w:right="621"/>
        <w:jc w:val="both"/>
        <w:rPr>
          <w:sz w:val="24"/>
          <w:szCs w:val="24"/>
        </w:rPr>
      </w:pPr>
      <w:r>
        <w:rPr>
          <w:sz w:val="24"/>
          <w:szCs w:val="24"/>
        </w:rPr>
        <w:lastRenderedPageBreak/>
        <w:t>“G</w:t>
      </w:r>
      <w:r w:rsidR="00206B33" w:rsidRPr="007D4653">
        <w:rPr>
          <w:sz w:val="24"/>
          <w:szCs w:val="24"/>
        </w:rPr>
        <w:t>.</w:t>
      </w:r>
      <w:r>
        <w:rPr>
          <w:sz w:val="24"/>
          <w:szCs w:val="24"/>
        </w:rPr>
        <w:tab/>
      </w:r>
      <w:r w:rsidR="00206B33" w:rsidRPr="007D4653">
        <w:rPr>
          <w:sz w:val="24"/>
          <w:szCs w:val="24"/>
        </w:rPr>
        <w:t>Discussion</w:t>
      </w:r>
    </w:p>
    <w:p w:rsidR="007D4653" w:rsidRDefault="007D4653" w:rsidP="00832E12">
      <w:pPr>
        <w:tabs>
          <w:tab w:val="clear" w:pos="1440"/>
          <w:tab w:val="clear" w:pos="8453"/>
          <w:tab w:val="left" w:pos="720"/>
        </w:tabs>
        <w:ind w:left="1440" w:right="621"/>
        <w:jc w:val="both"/>
        <w:rPr>
          <w:sz w:val="24"/>
          <w:szCs w:val="24"/>
        </w:rPr>
      </w:pPr>
    </w:p>
    <w:p w:rsidR="00206B33" w:rsidRDefault="007D4653" w:rsidP="005B2165">
      <w:pPr>
        <w:tabs>
          <w:tab w:val="clear" w:pos="1440"/>
          <w:tab w:val="clear" w:pos="8453"/>
          <w:tab w:val="left" w:pos="720"/>
          <w:tab w:val="left" w:pos="1980"/>
        </w:tabs>
        <w:ind w:left="1440" w:right="621"/>
        <w:jc w:val="both"/>
        <w:rPr>
          <w:sz w:val="24"/>
          <w:szCs w:val="24"/>
        </w:rPr>
      </w:pPr>
      <w:r>
        <w:rPr>
          <w:sz w:val="24"/>
          <w:szCs w:val="24"/>
        </w:rPr>
        <w:t>G</w:t>
      </w:r>
      <w:r w:rsidR="00206B33" w:rsidRPr="007D4653">
        <w:rPr>
          <w:sz w:val="24"/>
          <w:szCs w:val="24"/>
        </w:rPr>
        <w:t>1.</w:t>
      </w:r>
      <w:r w:rsidR="00206B33" w:rsidRPr="007D4653">
        <w:rPr>
          <w:sz w:val="24"/>
          <w:szCs w:val="24"/>
        </w:rPr>
        <w:tab/>
      </w:r>
      <w:r>
        <w:rPr>
          <w:sz w:val="24"/>
          <w:szCs w:val="24"/>
        </w:rPr>
        <w:t xml:space="preserve"> </w:t>
      </w:r>
      <w:r w:rsidR="00206B33" w:rsidRPr="007D4653">
        <w:rPr>
          <w:sz w:val="24"/>
          <w:szCs w:val="24"/>
        </w:rPr>
        <w:t>General sentencing principles for juvenile offenders</w:t>
      </w:r>
    </w:p>
    <w:p w:rsidR="007D4653" w:rsidRPr="007D4653" w:rsidRDefault="007D4653" w:rsidP="00832E12">
      <w:pPr>
        <w:tabs>
          <w:tab w:val="clear" w:pos="1440"/>
          <w:tab w:val="clear" w:pos="8453"/>
          <w:tab w:val="left" w:pos="720"/>
        </w:tabs>
        <w:ind w:left="1440" w:right="621"/>
        <w:jc w:val="both"/>
        <w:rPr>
          <w:sz w:val="24"/>
          <w:szCs w:val="24"/>
        </w:rPr>
      </w:pPr>
    </w:p>
    <w:p w:rsidR="00206B33" w:rsidRDefault="007D4653" w:rsidP="00832E12">
      <w:pPr>
        <w:tabs>
          <w:tab w:val="clear" w:pos="1440"/>
          <w:tab w:val="clear" w:pos="8453"/>
          <w:tab w:val="left" w:pos="2160"/>
        </w:tabs>
        <w:ind w:left="1440" w:right="621"/>
        <w:jc w:val="both"/>
        <w:rPr>
          <w:sz w:val="24"/>
          <w:szCs w:val="24"/>
        </w:rPr>
      </w:pPr>
      <w:r>
        <w:rPr>
          <w:sz w:val="24"/>
          <w:szCs w:val="24"/>
        </w:rPr>
        <w:t>45</w:t>
      </w:r>
      <w:r w:rsidR="00206B33" w:rsidRPr="007D4653">
        <w:rPr>
          <w:sz w:val="24"/>
          <w:szCs w:val="24"/>
        </w:rPr>
        <w:t>.</w:t>
      </w:r>
      <w:r w:rsidR="00206B33" w:rsidRPr="007D4653">
        <w:rPr>
          <w:sz w:val="24"/>
          <w:szCs w:val="24"/>
        </w:rPr>
        <w:tab/>
        <w:t xml:space="preserve">Section 11(2) of the Juvenile </w:t>
      </w:r>
      <w:r w:rsidR="00907569">
        <w:rPr>
          <w:sz w:val="24"/>
          <w:szCs w:val="24"/>
        </w:rPr>
        <w:t xml:space="preserve">Offenders </w:t>
      </w:r>
      <w:r w:rsidR="00206B33" w:rsidRPr="007D4653">
        <w:rPr>
          <w:sz w:val="24"/>
          <w:szCs w:val="24"/>
        </w:rPr>
        <w:t>Ordinance provides that no young person (which means a person who is, in the opinion of the court having cognizance of any case in relation to such person, 14 years of age or upwards and under the age of 16 years), shall be sentenced to imprisonment if</w:t>
      </w:r>
      <w:r w:rsidR="00B44CEA">
        <w:rPr>
          <w:sz w:val="24"/>
          <w:szCs w:val="24"/>
        </w:rPr>
        <w:t xml:space="preserve"> he can be suitably dealt with in</w:t>
      </w:r>
      <w:r w:rsidR="00206B33" w:rsidRPr="007D4653">
        <w:rPr>
          <w:sz w:val="24"/>
          <w:szCs w:val="24"/>
        </w:rPr>
        <w:t xml:space="preserve"> any other way.  In other words, imprisonment is the last resort when sentencing a young person.  As regards the other suitable disposal, section 15(1) of the same ordinance provides for the options available to deal with convicted young persons including a probation order, detention in a reformatory school, imprisonment or detention in a </w:t>
      </w:r>
      <w:r w:rsidR="004D2960">
        <w:rPr>
          <w:sz w:val="24"/>
          <w:szCs w:val="24"/>
        </w:rPr>
        <w:t xml:space="preserve">training centre or detention in a rehabilitation centre, and detention in a </w:t>
      </w:r>
      <w:r w:rsidR="00206B33" w:rsidRPr="007D4653">
        <w:rPr>
          <w:sz w:val="24"/>
          <w:szCs w:val="24"/>
        </w:rPr>
        <w:t xml:space="preserve">detention centre where the offender is a male.  These are all sentencing options alternative to imprisonment, which dove-tail with the provisions restricting the imprisonment of young persons for perfecting the sentencing regime in relation to such persons.  For the statutory intention, see </w:t>
      </w:r>
      <w:r w:rsidR="00206B33" w:rsidRPr="007D4653">
        <w:rPr>
          <w:i/>
          <w:sz w:val="24"/>
          <w:szCs w:val="24"/>
        </w:rPr>
        <w:t>Wong Chun Cheong v HKSAR</w:t>
      </w:r>
      <w:r w:rsidR="00206B33" w:rsidRPr="007D4653">
        <w:rPr>
          <w:sz w:val="24"/>
          <w:szCs w:val="24"/>
        </w:rPr>
        <w:t xml:space="preserve"> (2001) 4 HKCFAR 12, page 21C-D.</w:t>
      </w:r>
    </w:p>
    <w:p w:rsidR="007D4653" w:rsidRPr="007D4653" w:rsidRDefault="007D4653" w:rsidP="00832E12">
      <w:pPr>
        <w:tabs>
          <w:tab w:val="clear" w:pos="1440"/>
          <w:tab w:val="clear" w:pos="8453"/>
          <w:tab w:val="left" w:pos="2160"/>
        </w:tabs>
        <w:ind w:left="1440" w:right="621"/>
        <w:jc w:val="both"/>
        <w:rPr>
          <w:sz w:val="24"/>
          <w:szCs w:val="24"/>
        </w:rPr>
      </w:pPr>
    </w:p>
    <w:p w:rsidR="00206B33" w:rsidRDefault="007D4653" w:rsidP="00832E12">
      <w:pPr>
        <w:tabs>
          <w:tab w:val="clear" w:pos="1440"/>
          <w:tab w:val="clear" w:pos="8453"/>
          <w:tab w:val="left" w:pos="2160"/>
        </w:tabs>
        <w:ind w:left="1440" w:right="621"/>
        <w:jc w:val="both"/>
        <w:rPr>
          <w:sz w:val="24"/>
          <w:szCs w:val="24"/>
        </w:rPr>
      </w:pPr>
      <w:r>
        <w:rPr>
          <w:sz w:val="24"/>
          <w:szCs w:val="24"/>
        </w:rPr>
        <w:t>46</w:t>
      </w:r>
      <w:r w:rsidR="00206B33" w:rsidRPr="007D4653">
        <w:rPr>
          <w:sz w:val="24"/>
          <w:szCs w:val="24"/>
        </w:rPr>
        <w:t>.</w:t>
      </w:r>
      <w:r w:rsidR="00206B33" w:rsidRPr="007D4653">
        <w:rPr>
          <w:sz w:val="24"/>
          <w:szCs w:val="24"/>
        </w:rPr>
        <w:tab/>
      </w:r>
      <w:r w:rsidR="00187327" w:rsidRPr="007D4653">
        <w:rPr>
          <w:sz w:val="24"/>
          <w:szCs w:val="24"/>
        </w:rPr>
        <w:t xml:space="preserve">The Juvenile Offenders Ordinance requires that no court shall sentence a young person to imprisonment unless after consideration it is of the opinion that there is no other suitable way to deal with him.  This is because in accordance with the established legal principle, the court will as far as practicable give primary consideration to the well-being of young offenders and endeavour to give young offenders in particular young persons, a chance to turn over a new leaf by </w:t>
      </w:r>
      <w:r w:rsidR="00862622" w:rsidRPr="007D4653">
        <w:rPr>
          <w:sz w:val="24"/>
          <w:szCs w:val="24"/>
        </w:rPr>
        <w:t>passing a sentence which is predominantly rehabilitative in nature.  Imprisonment, which prioritizes sentencing factors like punishment</w:t>
      </w:r>
      <w:r w:rsidR="00A52BA0">
        <w:rPr>
          <w:sz w:val="24"/>
          <w:szCs w:val="24"/>
        </w:rPr>
        <w:t xml:space="preserve"> and deterrence over rehabilita</w:t>
      </w:r>
      <w:r w:rsidR="00862622" w:rsidRPr="007D4653">
        <w:rPr>
          <w:sz w:val="24"/>
          <w:szCs w:val="24"/>
        </w:rPr>
        <w:t>t</w:t>
      </w:r>
      <w:r w:rsidR="00A52BA0">
        <w:rPr>
          <w:sz w:val="24"/>
          <w:szCs w:val="24"/>
        </w:rPr>
        <w:t>i</w:t>
      </w:r>
      <w:r w:rsidR="00862622" w:rsidRPr="007D4653">
        <w:rPr>
          <w:sz w:val="24"/>
          <w:szCs w:val="24"/>
        </w:rPr>
        <w:t>on, is invariably the last option.  As for alternatives to imprisonment, probation order is a non-custodial sentence which, far from punitive or deterrent, has rehabilitation as its main concern and purpose; reformatory school, tra</w:t>
      </w:r>
      <w:r w:rsidR="00A52BA0">
        <w:rPr>
          <w:sz w:val="24"/>
          <w:szCs w:val="24"/>
        </w:rPr>
        <w:t>i</w:t>
      </w:r>
      <w:r w:rsidR="00862622" w:rsidRPr="007D4653">
        <w:rPr>
          <w:sz w:val="24"/>
          <w:szCs w:val="24"/>
        </w:rPr>
        <w:t xml:space="preserve">ning centre, rehabilitation centre and detention centre are on the other hand custodial in nature, which takes on board both the consideration and purpose of rehabilitation and sentencing factors such as punishment and deterrence.  When considering the adopting of a non-custodial option in sentencing, the court </w:t>
      </w:r>
      <w:r w:rsidR="00F53AF3" w:rsidRPr="007D4653">
        <w:rPr>
          <w:sz w:val="24"/>
          <w:szCs w:val="24"/>
        </w:rPr>
        <w:t>is required to decide according to the relevant provisions, applicable legal principles and the actual circumstances of the case.</w:t>
      </w:r>
    </w:p>
    <w:p w:rsidR="007D4653" w:rsidRPr="007D4653" w:rsidRDefault="007D4653" w:rsidP="00832E12">
      <w:pPr>
        <w:tabs>
          <w:tab w:val="clear" w:pos="1440"/>
          <w:tab w:val="clear" w:pos="8453"/>
          <w:tab w:val="left" w:pos="2160"/>
        </w:tabs>
        <w:ind w:left="1440" w:right="621"/>
        <w:jc w:val="both"/>
        <w:rPr>
          <w:sz w:val="24"/>
          <w:szCs w:val="24"/>
        </w:rPr>
      </w:pPr>
    </w:p>
    <w:p w:rsidR="00F53AF3" w:rsidRDefault="007D4653" w:rsidP="00832E12">
      <w:pPr>
        <w:tabs>
          <w:tab w:val="clear" w:pos="1440"/>
          <w:tab w:val="clear" w:pos="8453"/>
          <w:tab w:val="left" w:pos="2160"/>
        </w:tabs>
        <w:ind w:left="1440" w:right="621"/>
        <w:jc w:val="both"/>
        <w:rPr>
          <w:sz w:val="24"/>
          <w:szCs w:val="24"/>
        </w:rPr>
      </w:pPr>
      <w:r>
        <w:rPr>
          <w:sz w:val="24"/>
          <w:szCs w:val="24"/>
        </w:rPr>
        <w:t>47</w:t>
      </w:r>
      <w:r w:rsidR="00F53AF3" w:rsidRPr="007D4653">
        <w:rPr>
          <w:sz w:val="24"/>
          <w:szCs w:val="24"/>
        </w:rPr>
        <w:t>.</w:t>
      </w:r>
      <w:r w:rsidR="00F53AF3" w:rsidRPr="007D4653">
        <w:rPr>
          <w:sz w:val="24"/>
          <w:szCs w:val="24"/>
        </w:rPr>
        <w:tab/>
      </w:r>
      <w:r w:rsidR="00991DA2" w:rsidRPr="007D4653">
        <w:rPr>
          <w:sz w:val="24"/>
          <w:szCs w:val="24"/>
        </w:rPr>
        <w:t xml:space="preserve">A sentencing court shall take into account all applicable factors, give proper weight to them and impose a commensurate sentence: see </w:t>
      </w:r>
      <w:r w:rsidR="00991DA2" w:rsidRPr="007D4653">
        <w:rPr>
          <w:i/>
          <w:sz w:val="24"/>
          <w:szCs w:val="24"/>
        </w:rPr>
        <w:t>Wong Chi Fung</w:t>
      </w:r>
      <w:r w:rsidR="00991DA2" w:rsidRPr="007D4653">
        <w:rPr>
          <w:sz w:val="24"/>
          <w:szCs w:val="24"/>
        </w:rPr>
        <w:t xml:space="preserve"> (Court of Appeal), paragraph 108.  This principle is applicable to sentencing a young person who committed a serious offence.  Generally speaking, there are two main aspects for consideration.  On the </w:t>
      </w:r>
      <w:r w:rsidR="0081189B" w:rsidRPr="007D4653">
        <w:rPr>
          <w:sz w:val="24"/>
          <w:szCs w:val="24"/>
        </w:rPr>
        <w:t xml:space="preserve">one hand is the interest of </w:t>
      </w:r>
      <w:r w:rsidR="0081189B" w:rsidRPr="007D4653">
        <w:rPr>
          <w:sz w:val="24"/>
          <w:szCs w:val="24"/>
        </w:rPr>
        <w:lastRenderedPageBreak/>
        <w:t>the public which requires the court to pass a sentence on a serious offence, commensurate with gravity and the circumstances of offending to achieve the effects of protecti</w:t>
      </w:r>
      <w:r w:rsidR="00DC7C09" w:rsidRPr="007D4653">
        <w:rPr>
          <w:sz w:val="24"/>
          <w:szCs w:val="24"/>
        </w:rPr>
        <w:t>ng the public, meting out penal</w:t>
      </w:r>
      <w:r w:rsidR="0081189B" w:rsidRPr="007D4653">
        <w:rPr>
          <w:sz w:val="24"/>
          <w:szCs w:val="24"/>
        </w:rPr>
        <w:t xml:space="preserve">ties, open condemnation and deterrence.  On the other </w:t>
      </w:r>
      <w:proofErr w:type="gramStart"/>
      <w:r w:rsidR="0081189B" w:rsidRPr="007D4653">
        <w:rPr>
          <w:sz w:val="24"/>
          <w:szCs w:val="24"/>
        </w:rPr>
        <w:t>hand</w:t>
      </w:r>
      <w:proofErr w:type="gramEnd"/>
      <w:r w:rsidR="0081189B" w:rsidRPr="007D4653">
        <w:rPr>
          <w:sz w:val="24"/>
          <w:szCs w:val="24"/>
        </w:rPr>
        <w:t xml:space="preserve"> is the young age of an offender, which is always a relevant mitigating factor: see </w:t>
      </w:r>
      <w:r w:rsidR="0081189B" w:rsidRPr="007D4653">
        <w:rPr>
          <w:i/>
          <w:sz w:val="24"/>
          <w:szCs w:val="24"/>
        </w:rPr>
        <w:t>Wong Chi Fung</w:t>
      </w:r>
      <w:r w:rsidR="0081189B" w:rsidRPr="007D4653">
        <w:rPr>
          <w:sz w:val="24"/>
          <w:szCs w:val="24"/>
        </w:rPr>
        <w:t xml:space="preserve"> (Court of Final Appeal), paragraph 84.  This is also borne</w:t>
      </w:r>
      <w:r w:rsidR="00DC7C09" w:rsidRPr="007D4653">
        <w:rPr>
          <w:sz w:val="24"/>
          <w:szCs w:val="24"/>
        </w:rPr>
        <w:t xml:space="preserve"> of the public interest.  The reason is that it not only takes care of the youngster’s well-being and future but also serves the interest of the community as a whole to divert him off the criminal path by encouraging his rehabilitation and reformation.  Therefore, even for serious offences, a sentencing court must consider the young offender’s circumstances, background, well-being and rehabilitative needs.  Caution must be taken in assessing all the relevant sentencing factors and their weights before arriving at the appropriate sentence.</w:t>
      </w:r>
    </w:p>
    <w:p w:rsidR="007D4653" w:rsidRPr="007D4653" w:rsidRDefault="007D4653" w:rsidP="00832E12">
      <w:pPr>
        <w:tabs>
          <w:tab w:val="clear" w:pos="1440"/>
          <w:tab w:val="clear" w:pos="8453"/>
          <w:tab w:val="left" w:pos="2160"/>
        </w:tabs>
        <w:ind w:left="1440" w:right="621"/>
        <w:jc w:val="both"/>
        <w:rPr>
          <w:sz w:val="24"/>
          <w:szCs w:val="24"/>
        </w:rPr>
      </w:pPr>
    </w:p>
    <w:p w:rsidR="00DC7C09" w:rsidRPr="007D4653" w:rsidRDefault="007D4653" w:rsidP="00832E12">
      <w:pPr>
        <w:tabs>
          <w:tab w:val="clear" w:pos="1440"/>
          <w:tab w:val="clear" w:pos="8453"/>
          <w:tab w:val="left" w:pos="2160"/>
        </w:tabs>
        <w:ind w:left="1440" w:right="621"/>
        <w:jc w:val="both"/>
        <w:rPr>
          <w:sz w:val="24"/>
          <w:szCs w:val="24"/>
        </w:rPr>
      </w:pPr>
      <w:r>
        <w:rPr>
          <w:sz w:val="24"/>
          <w:szCs w:val="24"/>
        </w:rPr>
        <w:t>48</w:t>
      </w:r>
      <w:r w:rsidR="00FC13A8" w:rsidRPr="007D4653">
        <w:rPr>
          <w:sz w:val="24"/>
          <w:szCs w:val="24"/>
        </w:rPr>
        <w:t>.</w:t>
      </w:r>
      <w:r w:rsidR="00FC13A8" w:rsidRPr="007D4653">
        <w:rPr>
          <w:sz w:val="24"/>
          <w:szCs w:val="24"/>
        </w:rPr>
        <w:tab/>
        <w:t>In weighing the sentencing factors, the court, as aforesaid, will as far as practicable endeavour to give young offenders especially young persons a chance for rehabilitation.  But this does not mean that youth is the sole object to the court’s sentence with no regard to the other sentencing factors.  This is because the weight on youth varies with the gravity and circumstances of individual offences in individual cases.  Where the public interest justifies a severe or deterrent sentence for an offender, given the gravity or circumstances of the offence, the weight accorded to youth or personal background will be very much limited, or even pales into insignificance</w:t>
      </w:r>
      <w:r w:rsidR="00FC13A8" w:rsidRPr="007D4653">
        <w:rPr>
          <w:i/>
          <w:sz w:val="24"/>
          <w:szCs w:val="24"/>
        </w:rPr>
        <w:t>: Re Application</w:t>
      </w:r>
      <w:r w:rsidR="00AE5E58">
        <w:rPr>
          <w:i/>
          <w:sz w:val="24"/>
          <w:szCs w:val="24"/>
        </w:rPr>
        <w:t>s</w:t>
      </w:r>
      <w:r w:rsidR="00FC13A8" w:rsidRPr="007D4653">
        <w:rPr>
          <w:i/>
          <w:sz w:val="24"/>
          <w:szCs w:val="24"/>
        </w:rPr>
        <w:t xml:space="preserve"> for Review of Sentences</w:t>
      </w:r>
      <w:r w:rsidR="00FC13A8" w:rsidRPr="007D4653">
        <w:rPr>
          <w:sz w:val="24"/>
          <w:szCs w:val="24"/>
        </w:rPr>
        <w:t xml:space="preserve"> [1972] HKLR 370, page 417; </w:t>
      </w:r>
      <w:r w:rsidR="00FC13A8" w:rsidRPr="007D4653">
        <w:rPr>
          <w:i/>
          <w:sz w:val="24"/>
          <w:szCs w:val="24"/>
        </w:rPr>
        <w:t xml:space="preserve">Law </w:t>
      </w:r>
      <w:proofErr w:type="spellStart"/>
      <w:r w:rsidR="00FC13A8" w:rsidRPr="007D4653">
        <w:rPr>
          <w:i/>
          <w:sz w:val="24"/>
          <w:szCs w:val="24"/>
        </w:rPr>
        <w:t>Ka</w:t>
      </w:r>
      <w:proofErr w:type="spellEnd"/>
      <w:r w:rsidR="00FC13A8" w:rsidRPr="007D4653">
        <w:rPr>
          <w:i/>
          <w:sz w:val="24"/>
          <w:szCs w:val="24"/>
        </w:rPr>
        <w:t xml:space="preserve"> Kit</w:t>
      </w:r>
      <w:r w:rsidR="00FC13A8" w:rsidRPr="007D4653">
        <w:rPr>
          <w:sz w:val="24"/>
          <w:szCs w:val="24"/>
        </w:rPr>
        <w:t xml:space="preserve">, paragraphs 27 and 29.  The reason is that the need for </w:t>
      </w:r>
      <w:r w:rsidR="007829A7" w:rsidRPr="007D4653">
        <w:rPr>
          <w:sz w:val="24"/>
          <w:szCs w:val="24"/>
        </w:rPr>
        <w:t xml:space="preserve">punitive or deterrent effects far exceeds the need for rehabilitative treatment: see </w:t>
      </w:r>
      <w:r w:rsidR="007829A7" w:rsidRPr="002E65A0">
        <w:rPr>
          <w:i/>
          <w:sz w:val="24"/>
          <w:szCs w:val="24"/>
        </w:rPr>
        <w:t>Wong Chun Cheong</w:t>
      </w:r>
      <w:r w:rsidR="007829A7" w:rsidRPr="007D4653">
        <w:rPr>
          <w:sz w:val="24"/>
          <w:szCs w:val="24"/>
        </w:rPr>
        <w:t>, page 22.</w:t>
      </w:r>
    </w:p>
    <w:p w:rsidR="007D4653" w:rsidRDefault="007D4653" w:rsidP="00832E12">
      <w:pPr>
        <w:tabs>
          <w:tab w:val="clear" w:pos="1440"/>
          <w:tab w:val="clear" w:pos="8453"/>
          <w:tab w:val="left" w:pos="2160"/>
        </w:tabs>
        <w:ind w:left="1440" w:right="621"/>
        <w:jc w:val="both"/>
        <w:rPr>
          <w:sz w:val="24"/>
          <w:szCs w:val="24"/>
        </w:rPr>
      </w:pPr>
    </w:p>
    <w:p w:rsidR="008A235F" w:rsidRDefault="007D4653" w:rsidP="00220364">
      <w:pPr>
        <w:tabs>
          <w:tab w:val="clear" w:pos="1440"/>
          <w:tab w:val="clear" w:pos="8453"/>
          <w:tab w:val="left" w:pos="2160"/>
        </w:tabs>
        <w:spacing w:after="600"/>
        <w:ind w:left="1440" w:right="619"/>
        <w:jc w:val="both"/>
        <w:rPr>
          <w:sz w:val="24"/>
          <w:szCs w:val="24"/>
        </w:rPr>
      </w:pPr>
      <w:r>
        <w:rPr>
          <w:sz w:val="24"/>
          <w:szCs w:val="24"/>
        </w:rPr>
        <w:t>49</w:t>
      </w:r>
      <w:r w:rsidR="008A235F" w:rsidRPr="007D4653">
        <w:rPr>
          <w:sz w:val="24"/>
          <w:szCs w:val="24"/>
        </w:rPr>
        <w:t>.</w:t>
      </w:r>
      <w:r w:rsidR="008A235F" w:rsidRPr="007D4653">
        <w:rPr>
          <w:sz w:val="24"/>
          <w:szCs w:val="24"/>
        </w:rPr>
        <w:tab/>
        <w:t xml:space="preserve">The above legal principles basically are similar </w:t>
      </w:r>
      <w:r w:rsidR="00AE5E58">
        <w:rPr>
          <w:sz w:val="24"/>
          <w:szCs w:val="24"/>
        </w:rPr>
        <w:t>to the UK Sentencing Council’s ‘</w:t>
      </w:r>
      <w:r w:rsidR="008A235F" w:rsidRPr="007D4653">
        <w:rPr>
          <w:sz w:val="24"/>
          <w:szCs w:val="24"/>
        </w:rPr>
        <w:t>Sentencing Children and You</w:t>
      </w:r>
      <w:r w:rsidR="00AE5E58">
        <w:rPr>
          <w:sz w:val="24"/>
          <w:szCs w:val="24"/>
        </w:rPr>
        <w:t>ng People: Definitive Guideline’ and the ‘Beijing Rules’</w:t>
      </w:r>
      <w:r w:rsidR="008A235F" w:rsidRPr="007D4653">
        <w:rPr>
          <w:sz w:val="24"/>
          <w:szCs w:val="24"/>
        </w:rPr>
        <w:t xml:space="preserve"> cited by Mr Lee.</w:t>
      </w:r>
      <w:r w:rsidR="005B2165">
        <w:rPr>
          <w:sz w:val="24"/>
          <w:szCs w:val="24"/>
        </w:rPr>
        <w:t>”</w:t>
      </w:r>
    </w:p>
    <w:p w:rsidR="00DE35F4" w:rsidRDefault="004753BB" w:rsidP="00FF7ADB">
      <w:pPr>
        <w:tabs>
          <w:tab w:val="clear" w:pos="4234"/>
          <w:tab w:val="clear" w:pos="8453"/>
        </w:tabs>
        <w:snapToGrid/>
        <w:spacing w:after="480" w:line="360" w:lineRule="auto"/>
        <w:jc w:val="both"/>
        <w:rPr>
          <w:szCs w:val="28"/>
        </w:rPr>
      </w:pPr>
      <w:r>
        <w:rPr>
          <w:szCs w:val="28"/>
        </w:rPr>
        <w:t>40</w:t>
      </w:r>
      <w:r w:rsidR="00FF7ADB">
        <w:rPr>
          <w:szCs w:val="28"/>
        </w:rPr>
        <w:t>.</w:t>
      </w:r>
      <w:r w:rsidR="00FF7ADB">
        <w:rPr>
          <w:szCs w:val="28"/>
        </w:rPr>
        <w:tab/>
      </w:r>
      <w:r w:rsidR="00DE35F4" w:rsidRPr="00115878">
        <w:rPr>
          <w:szCs w:val="28"/>
        </w:rPr>
        <w:t xml:space="preserve">Because the respondents had committed a serious offence, </w:t>
      </w:r>
      <w:r>
        <w:rPr>
          <w:szCs w:val="28"/>
        </w:rPr>
        <w:t xml:space="preserve">appropriate </w:t>
      </w:r>
      <w:r w:rsidR="00DE35F4" w:rsidRPr="00115878">
        <w:rPr>
          <w:szCs w:val="28"/>
        </w:rPr>
        <w:t xml:space="preserve">weight must be given to </w:t>
      </w:r>
      <w:r>
        <w:rPr>
          <w:szCs w:val="28"/>
        </w:rPr>
        <w:t xml:space="preserve">the </w:t>
      </w:r>
      <w:r w:rsidR="00DE35F4" w:rsidRPr="00115878">
        <w:rPr>
          <w:szCs w:val="28"/>
        </w:rPr>
        <w:t>sentencing factors of punishment, deterrence and condemnation</w:t>
      </w:r>
      <w:r w:rsidR="007B45CB">
        <w:rPr>
          <w:szCs w:val="28"/>
        </w:rPr>
        <w:t xml:space="preserve"> despite their youth</w:t>
      </w:r>
      <w:r w:rsidR="00DE35F4" w:rsidRPr="00115878">
        <w:rPr>
          <w:szCs w:val="28"/>
        </w:rPr>
        <w:t xml:space="preserve">.  </w:t>
      </w:r>
      <w:r w:rsidR="007B45CB">
        <w:rPr>
          <w:szCs w:val="28"/>
        </w:rPr>
        <w:t>In particular, since</w:t>
      </w:r>
      <w:r w:rsidR="00DE35F4">
        <w:rPr>
          <w:szCs w:val="28"/>
        </w:rPr>
        <w:t xml:space="preserve"> it was a large-scale unlawful assembly involving </w:t>
      </w:r>
      <w:r w:rsidR="007B45CB">
        <w:rPr>
          <w:szCs w:val="28"/>
        </w:rPr>
        <w:t xml:space="preserve">considerable </w:t>
      </w:r>
      <w:r w:rsidR="00DE35F4">
        <w:rPr>
          <w:szCs w:val="28"/>
        </w:rPr>
        <w:t xml:space="preserve">violence, the guidelines enunciated by this Court in </w:t>
      </w:r>
      <w:r w:rsidR="00DE35F4" w:rsidRPr="0051534D">
        <w:rPr>
          <w:i/>
          <w:szCs w:val="28"/>
        </w:rPr>
        <w:t>Wong Chi Fung (CA)</w:t>
      </w:r>
      <w:r w:rsidR="00A8039E">
        <w:rPr>
          <w:i/>
          <w:szCs w:val="28"/>
        </w:rPr>
        <w:t xml:space="preserve">, </w:t>
      </w:r>
      <w:r w:rsidR="00A8039E" w:rsidRPr="00555E22">
        <w:rPr>
          <w:szCs w:val="28"/>
        </w:rPr>
        <w:t>supra,</w:t>
      </w:r>
      <w:r w:rsidR="00DE35F4">
        <w:rPr>
          <w:szCs w:val="28"/>
        </w:rPr>
        <w:t xml:space="preserve"> and approved by the Court of Final Appeal in </w:t>
      </w:r>
      <w:r w:rsidR="00DE35F4" w:rsidRPr="0051534D">
        <w:rPr>
          <w:i/>
          <w:szCs w:val="28"/>
        </w:rPr>
        <w:t>Wong Chi Fung (CFA)</w:t>
      </w:r>
      <w:r w:rsidR="00A8039E">
        <w:rPr>
          <w:i/>
          <w:szCs w:val="28"/>
        </w:rPr>
        <w:t xml:space="preserve">, </w:t>
      </w:r>
      <w:r w:rsidR="00A8039E" w:rsidRPr="00555E22">
        <w:rPr>
          <w:szCs w:val="28"/>
        </w:rPr>
        <w:t>supra</w:t>
      </w:r>
      <w:r w:rsidR="00DE35F4" w:rsidRPr="00555E22">
        <w:rPr>
          <w:szCs w:val="28"/>
        </w:rPr>
        <w:t xml:space="preserve">, </w:t>
      </w:r>
      <w:r w:rsidR="00DE35F4">
        <w:rPr>
          <w:szCs w:val="28"/>
        </w:rPr>
        <w:t>which emphasize punishment and deterrence, apply with full force.</w:t>
      </w:r>
    </w:p>
    <w:p w:rsidR="00EA416F" w:rsidRDefault="008C0AD6" w:rsidP="00EA416F">
      <w:pPr>
        <w:spacing w:after="480" w:line="360" w:lineRule="auto"/>
        <w:jc w:val="both"/>
        <w:rPr>
          <w:szCs w:val="28"/>
        </w:rPr>
      </w:pPr>
      <w:r>
        <w:rPr>
          <w:szCs w:val="28"/>
        </w:rPr>
        <w:lastRenderedPageBreak/>
        <w:t>41</w:t>
      </w:r>
      <w:r w:rsidR="00EA416F">
        <w:rPr>
          <w:szCs w:val="28"/>
        </w:rPr>
        <w:t>.</w:t>
      </w:r>
      <w:r w:rsidR="00EA416F">
        <w:rPr>
          <w:szCs w:val="28"/>
        </w:rPr>
        <w:tab/>
        <w:t xml:space="preserve">On deterrence, Mr Ma submitted that as a large number of cases have been widely reported, especially over the past few months, regarding protestors in unlawful assemblies and riots being sentence to lengthy imprisonment of various terms according to the seriousness of each case.  The message that violence is not </w:t>
      </w:r>
      <w:r w:rsidR="00F50AE0">
        <w:rPr>
          <w:szCs w:val="28"/>
        </w:rPr>
        <w:t xml:space="preserve">to </w:t>
      </w:r>
      <w:r w:rsidR="00EA416F">
        <w:rPr>
          <w:szCs w:val="28"/>
        </w:rPr>
        <w:t>be condoned has been made crystal clear to the public.  It is unnecessary to make use of cases like the present, which involves extreme youth of good character, who comes from a decent background, and is genuinely remorseful, for reiteration.</w:t>
      </w:r>
    </w:p>
    <w:p w:rsidR="00EA416F" w:rsidRDefault="008C0AD6" w:rsidP="00EA416F">
      <w:pPr>
        <w:tabs>
          <w:tab w:val="clear" w:pos="4234"/>
          <w:tab w:val="clear" w:pos="8453"/>
        </w:tabs>
        <w:snapToGrid/>
        <w:spacing w:after="480" w:line="360" w:lineRule="auto"/>
        <w:jc w:val="both"/>
        <w:rPr>
          <w:szCs w:val="28"/>
        </w:rPr>
      </w:pPr>
      <w:r>
        <w:rPr>
          <w:szCs w:val="28"/>
        </w:rPr>
        <w:t>42</w:t>
      </w:r>
      <w:r w:rsidR="00EA416F">
        <w:rPr>
          <w:szCs w:val="28"/>
        </w:rPr>
        <w:t>.</w:t>
      </w:r>
      <w:r w:rsidR="00EA416F">
        <w:rPr>
          <w:szCs w:val="28"/>
        </w:rPr>
        <w:tab/>
        <w:t>It may well be the case that the public has</w:t>
      </w:r>
      <w:r>
        <w:rPr>
          <w:szCs w:val="28"/>
        </w:rPr>
        <w:t xml:space="preserve"> by</w:t>
      </w:r>
      <w:r w:rsidR="00EA416F">
        <w:rPr>
          <w:szCs w:val="28"/>
        </w:rPr>
        <w:t xml:space="preserve"> now got the message that the courts </w:t>
      </w:r>
      <w:r>
        <w:rPr>
          <w:szCs w:val="28"/>
        </w:rPr>
        <w:t xml:space="preserve">take a serious view of </w:t>
      </w:r>
      <w:r w:rsidR="00EA416F">
        <w:rPr>
          <w:szCs w:val="28"/>
        </w:rPr>
        <w:t>large-scale unlawful assembly involving violence</w:t>
      </w:r>
      <w:r>
        <w:rPr>
          <w:szCs w:val="28"/>
        </w:rPr>
        <w:t xml:space="preserve"> and those who actively participate in it should expect to be given a punitive and deterrent sentence</w:t>
      </w:r>
      <w:r w:rsidR="00EA416F">
        <w:rPr>
          <w:szCs w:val="28"/>
        </w:rPr>
        <w:t xml:space="preserve">.  But it does not detract from the continuous </w:t>
      </w:r>
      <w:r w:rsidR="0011083E">
        <w:rPr>
          <w:szCs w:val="28"/>
        </w:rPr>
        <w:t xml:space="preserve">and vigorous </w:t>
      </w:r>
      <w:r w:rsidR="00EA416F">
        <w:rPr>
          <w:szCs w:val="28"/>
        </w:rPr>
        <w:t>application of deterrent sentence</w:t>
      </w:r>
      <w:r>
        <w:rPr>
          <w:szCs w:val="28"/>
        </w:rPr>
        <w:t>s</w:t>
      </w:r>
      <w:r w:rsidR="00EA416F">
        <w:rPr>
          <w:szCs w:val="28"/>
        </w:rPr>
        <w:t xml:space="preserve"> for such </w:t>
      </w:r>
      <w:r>
        <w:rPr>
          <w:szCs w:val="28"/>
        </w:rPr>
        <w:t xml:space="preserve">an </w:t>
      </w:r>
      <w:r w:rsidR="00EA416F">
        <w:rPr>
          <w:szCs w:val="28"/>
        </w:rPr>
        <w:t>offence, which</w:t>
      </w:r>
      <w:r w:rsidR="00F25A7C">
        <w:rPr>
          <w:szCs w:val="28"/>
        </w:rPr>
        <w:t xml:space="preserve"> is,</w:t>
      </w:r>
      <w:r w:rsidR="00EA416F">
        <w:rPr>
          <w:szCs w:val="28"/>
        </w:rPr>
        <w:t xml:space="preserve"> as pointed out by the Court of Final Appeal in </w:t>
      </w:r>
      <w:r w:rsidR="00EA416F" w:rsidRPr="00CC541A">
        <w:rPr>
          <w:i/>
          <w:szCs w:val="28"/>
        </w:rPr>
        <w:t>Wong Chi Fung (CFA)</w:t>
      </w:r>
      <w:r w:rsidR="000E6911">
        <w:rPr>
          <w:szCs w:val="28"/>
        </w:rPr>
        <w:t xml:space="preserve">, </w:t>
      </w:r>
      <w:r w:rsidR="000E6911" w:rsidRPr="00697096">
        <w:rPr>
          <w:szCs w:val="28"/>
        </w:rPr>
        <w:t>supra,</w:t>
      </w:r>
      <w:r w:rsidR="000E6911">
        <w:rPr>
          <w:szCs w:val="28"/>
        </w:rPr>
        <w:t xml:space="preserve"> essential</w:t>
      </w:r>
      <w:r w:rsidR="00EA416F">
        <w:rPr>
          <w:szCs w:val="28"/>
        </w:rPr>
        <w:t xml:space="preserve"> to uphold</w:t>
      </w:r>
      <w:r w:rsidR="0011083E">
        <w:rPr>
          <w:szCs w:val="28"/>
        </w:rPr>
        <w:t>ing</w:t>
      </w:r>
      <w:r w:rsidR="00EA416F">
        <w:rPr>
          <w:szCs w:val="28"/>
        </w:rPr>
        <w:t xml:space="preserve"> the public interest involved in maintaining </w:t>
      </w:r>
      <w:r w:rsidR="000E6911">
        <w:rPr>
          <w:szCs w:val="28"/>
        </w:rPr>
        <w:t>peace and safety</w:t>
      </w:r>
      <w:r w:rsidR="00EA416F">
        <w:rPr>
          <w:szCs w:val="28"/>
        </w:rPr>
        <w:t xml:space="preserve"> in Hong Kong.</w:t>
      </w:r>
    </w:p>
    <w:p w:rsidR="00DE35F4" w:rsidRPr="00BB0237" w:rsidRDefault="00190C2C" w:rsidP="006F28E4">
      <w:pPr>
        <w:keepNext/>
        <w:tabs>
          <w:tab w:val="clear" w:pos="1440"/>
          <w:tab w:val="left" w:pos="720"/>
        </w:tabs>
        <w:spacing w:after="240" w:line="360" w:lineRule="auto"/>
        <w:jc w:val="both"/>
        <w:rPr>
          <w:i/>
          <w:szCs w:val="28"/>
        </w:rPr>
      </w:pPr>
      <w:r>
        <w:rPr>
          <w:i/>
          <w:szCs w:val="28"/>
        </w:rPr>
        <w:t>D</w:t>
      </w:r>
      <w:r w:rsidR="00DE35F4" w:rsidRPr="00BB0237">
        <w:rPr>
          <w:i/>
          <w:szCs w:val="28"/>
        </w:rPr>
        <w:t>3.2</w:t>
      </w:r>
      <w:r w:rsidR="00DE35F4" w:rsidRPr="00BB0237">
        <w:rPr>
          <w:i/>
          <w:szCs w:val="28"/>
        </w:rPr>
        <w:tab/>
        <w:t>The Magistrate’s mistakes</w:t>
      </w:r>
    </w:p>
    <w:p w:rsidR="00604850" w:rsidRDefault="00837C66" w:rsidP="00BB0237">
      <w:pPr>
        <w:tabs>
          <w:tab w:val="clear" w:pos="4234"/>
          <w:tab w:val="clear" w:pos="8453"/>
        </w:tabs>
        <w:snapToGrid/>
        <w:spacing w:after="480" w:line="360" w:lineRule="auto"/>
        <w:jc w:val="both"/>
        <w:rPr>
          <w:szCs w:val="28"/>
        </w:rPr>
      </w:pPr>
      <w:r>
        <w:rPr>
          <w:szCs w:val="28"/>
        </w:rPr>
        <w:t>4</w:t>
      </w:r>
      <w:r w:rsidR="00604850">
        <w:rPr>
          <w:szCs w:val="28"/>
        </w:rPr>
        <w:t>3</w:t>
      </w:r>
      <w:r w:rsidR="00BB0237">
        <w:rPr>
          <w:szCs w:val="28"/>
        </w:rPr>
        <w:t>.</w:t>
      </w:r>
      <w:r w:rsidR="00BB0237">
        <w:rPr>
          <w:szCs w:val="28"/>
        </w:rPr>
        <w:tab/>
      </w:r>
      <w:r w:rsidR="00604850">
        <w:rPr>
          <w:szCs w:val="28"/>
        </w:rPr>
        <w:t xml:space="preserve">While the Magistrate had referred to the principles laid down in </w:t>
      </w:r>
      <w:r w:rsidR="00DF5918" w:rsidRPr="00DF5918">
        <w:rPr>
          <w:i/>
          <w:szCs w:val="28"/>
        </w:rPr>
        <w:t>Wong Chi Fung</w:t>
      </w:r>
      <w:r w:rsidR="00DF5918">
        <w:rPr>
          <w:szCs w:val="28"/>
        </w:rPr>
        <w:t xml:space="preserve"> (CA), supra, and </w:t>
      </w:r>
      <w:r w:rsidR="00DF5918" w:rsidRPr="00DF5918">
        <w:rPr>
          <w:i/>
          <w:szCs w:val="28"/>
        </w:rPr>
        <w:t>Wong Chi Fung</w:t>
      </w:r>
      <w:r w:rsidR="00DF5918">
        <w:rPr>
          <w:szCs w:val="28"/>
        </w:rPr>
        <w:t xml:space="preserve"> (CFA), supra, based on a misguided finding on the respondents’ culpability, he passed a sentence that gives no weight to punishment and deterrence.</w:t>
      </w:r>
    </w:p>
    <w:p w:rsidR="00DE35F4" w:rsidRPr="00115878" w:rsidRDefault="006174EE" w:rsidP="006174EE">
      <w:pPr>
        <w:tabs>
          <w:tab w:val="clear" w:pos="4234"/>
          <w:tab w:val="clear" w:pos="8453"/>
        </w:tabs>
        <w:snapToGrid/>
        <w:spacing w:after="480" w:line="360" w:lineRule="auto"/>
        <w:jc w:val="both"/>
        <w:rPr>
          <w:szCs w:val="28"/>
        </w:rPr>
      </w:pPr>
      <w:r>
        <w:rPr>
          <w:szCs w:val="28"/>
        </w:rPr>
        <w:t>44.</w:t>
      </w:r>
      <w:r>
        <w:rPr>
          <w:szCs w:val="28"/>
        </w:rPr>
        <w:tab/>
        <w:t xml:space="preserve">The Magistrate further erred in failing to have regard to the guidance given by the Court of Final Appeal, namely, it is necessary to emphasize deterrence and punishment in large-scale unlawful assembly </w:t>
      </w:r>
      <w:r>
        <w:rPr>
          <w:szCs w:val="28"/>
        </w:rPr>
        <w:lastRenderedPageBreak/>
        <w:t xml:space="preserve">involving violence.  </w:t>
      </w:r>
      <w:r w:rsidR="00DE35F4" w:rsidRPr="00115878">
        <w:rPr>
          <w:szCs w:val="28"/>
        </w:rPr>
        <w:t xml:space="preserve">In </w:t>
      </w:r>
      <w:r w:rsidR="00DE35F4" w:rsidRPr="00115878">
        <w:rPr>
          <w:i/>
          <w:szCs w:val="28"/>
        </w:rPr>
        <w:t>Wong Chi Fung (CFA)</w:t>
      </w:r>
      <w:r w:rsidR="00DE35F4" w:rsidRPr="00115878">
        <w:rPr>
          <w:szCs w:val="28"/>
        </w:rPr>
        <w:t>, the Court of Final Appeal said:</w:t>
      </w:r>
    </w:p>
    <w:p w:rsidR="00DE35F4" w:rsidRPr="00B67EB5" w:rsidRDefault="00AE5E58" w:rsidP="00AE5E58">
      <w:pPr>
        <w:tabs>
          <w:tab w:val="clear" w:pos="8453"/>
          <w:tab w:val="left" w:pos="2160"/>
        </w:tabs>
        <w:ind w:left="1530" w:right="531"/>
        <w:jc w:val="both"/>
        <w:rPr>
          <w:sz w:val="24"/>
          <w:szCs w:val="24"/>
        </w:rPr>
      </w:pPr>
      <w:r>
        <w:rPr>
          <w:sz w:val="24"/>
          <w:szCs w:val="24"/>
        </w:rPr>
        <w:t>“2.</w:t>
      </w:r>
      <w:r w:rsidR="000D22BD">
        <w:rPr>
          <w:sz w:val="24"/>
          <w:szCs w:val="24"/>
        </w:rPr>
        <w:t xml:space="preserve"> </w:t>
      </w:r>
      <w:r w:rsidR="00DE35F4" w:rsidRPr="00B67EB5">
        <w:rPr>
          <w:sz w:val="24"/>
          <w:szCs w:val="24"/>
        </w:rPr>
        <w:tab/>
        <w:t>In its judgment on the review application, the Court of Appeal took the opportunity to provide guidance to sentencing courts in the future regarding the sentences for unlawful assemblies, particularly emphasizing the need to take a much stricter view where disorder and any degree of violence was involved. … Like the Court of Appeal, we specially draw attention to the importance of taking a much stricter view where disorder or violence is involved.  Naturally, it will be incumbent on the sentencing court to take into account the extent of the participation or involvement of the convicted person but where disorder or violence is involved, these are serious aggravating features.  Hong Kong is on the whole a peaceful society and these elements are to be deterred.</w:t>
      </w:r>
    </w:p>
    <w:p w:rsidR="00B67EB5" w:rsidRDefault="00B67EB5" w:rsidP="00AE5E58">
      <w:pPr>
        <w:tabs>
          <w:tab w:val="clear" w:pos="8453"/>
          <w:tab w:val="left" w:pos="2160"/>
        </w:tabs>
        <w:ind w:left="1530" w:right="531"/>
        <w:jc w:val="both"/>
        <w:rPr>
          <w:sz w:val="24"/>
          <w:szCs w:val="24"/>
        </w:rPr>
      </w:pPr>
    </w:p>
    <w:p w:rsidR="00DE35F4" w:rsidRDefault="002804C2" w:rsidP="00AE5E58">
      <w:pPr>
        <w:tabs>
          <w:tab w:val="clear" w:pos="8453"/>
          <w:tab w:val="left" w:pos="2160"/>
        </w:tabs>
        <w:ind w:left="1530" w:right="531"/>
        <w:jc w:val="both"/>
        <w:rPr>
          <w:sz w:val="24"/>
          <w:szCs w:val="24"/>
        </w:rPr>
      </w:pPr>
      <w:r>
        <w:rPr>
          <w:sz w:val="24"/>
          <w:szCs w:val="24"/>
        </w:rPr>
        <w:t>…</w:t>
      </w:r>
    </w:p>
    <w:p w:rsidR="00B67EB5" w:rsidRPr="00B67EB5" w:rsidRDefault="00B67EB5" w:rsidP="00AE5E58">
      <w:pPr>
        <w:tabs>
          <w:tab w:val="clear" w:pos="8453"/>
          <w:tab w:val="left" w:pos="2160"/>
        </w:tabs>
        <w:ind w:left="1530" w:right="531"/>
        <w:jc w:val="both"/>
        <w:rPr>
          <w:sz w:val="24"/>
          <w:szCs w:val="24"/>
        </w:rPr>
      </w:pPr>
    </w:p>
    <w:p w:rsidR="00DE35F4" w:rsidRDefault="00AE5E58" w:rsidP="00AE5E58">
      <w:pPr>
        <w:tabs>
          <w:tab w:val="clear" w:pos="8453"/>
          <w:tab w:val="left" w:pos="2160"/>
        </w:tabs>
        <w:ind w:left="1530" w:right="531"/>
        <w:jc w:val="both"/>
        <w:rPr>
          <w:sz w:val="24"/>
          <w:szCs w:val="24"/>
        </w:rPr>
      </w:pPr>
      <w:r>
        <w:rPr>
          <w:sz w:val="24"/>
          <w:szCs w:val="24"/>
        </w:rPr>
        <w:t>120.</w:t>
      </w:r>
      <w:r w:rsidR="00DE35F4" w:rsidRPr="00B67EB5">
        <w:rPr>
          <w:sz w:val="24"/>
          <w:szCs w:val="24"/>
        </w:rPr>
        <w:tab/>
        <w:t>… [It] was appropriate for the Court of Appeal to say that, in the circumstances now prevailing in Hong Kong including increasing incidents of unrest and a rising number of large scale public protests, it is now necessary to emphasi</w:t>
      </w:r>
      <w:r w:rsidR="00C10CE0">
        <w:rPr>
          <w:sz w:val="24"/>
          <w:szCs w:val="24"/>
        </w:rPr>
        <w:t>s</w:t>
      </w:r>
      <w:r w:rsidR="00DE35F4" w:rsidRPr="00B67EB5">
        <w:rPr>
          <w:sz w:val="24"/>
          <w:szCs w:val="24"/>
        </w:rPr>
        <w:t>e deterrence and punishment in large-scale unlawful assembly cases involving violence.</w:t>
      </w:r>
    </w:p>
    <w:p w:rsidR="00B67EB5" w:rsidRPr="00B67EB5" w:rsidRDefault="00B67EB5" w:rsidP="00AE5E58">
      <w:pPr>
        <w:tabs>
          <w:tab w:val="clear" w:pos="8453"/>
          <w:tab w:val="left" w:pos="2160"/>
        </w:tabs>
        <w:ind w:left="1530" w:right="531"/>
        <w:jc w:val="both"/>
        <w:rPr>
          <w:sz w:val="24"/>
          <w:szCs w:val="24"/>
        </w:rPr>
      </w:pPr>
    </w:p>
    <w:p w:rsidR="00DE35F4" w:rsidRDefault="00DE35F4" w:rsidP="00AE5E58">
      <w:pPr>
        <w:tabs>
          <w:tab w:val="clear" w:pos="8453"/>
          <w:tab w:val="left" w:pos="2160"/>
        </w:tabs>
        <w:ind w:left="1530" w:right="531"/>
        <w:jc w:val="both"/>
        <w:rPr>
          <w:sz w:val="24"/>
          <w:szCs w:val="24"/>
        </w:rPr>
      </w:pPr>
      <w:r w:rsidRPr="00B67EB5">
        <w:rPr>
          <w:sz w:val="24"/>
          <w:szCs w:val="24"/>
        </w:rPr>
        <w:t>…</w:t>
      </w:r>
    </w:p>
    <w:p w:rsidR="00B67EB5" w:rsidRPr="00B67EB5" w:rsidRDefault="00B67EB5" w:rsidP="00AE5E58">
      <w:pPr>
        <w:tabs>
          <w:tab w:val="clear" w:pos="8453"/>
          <w:tab w:val="left" w:pos="2160"/>
        </w:tabs>
        <w:ind w:left="1530" w:right="531"/>
        <w:jc w:val="both"/>
        <w:rPr>
          <w:sz w:val="24"/>
          <w:szCs w:val="24"/>
        </w:rPr>
      </w:pPr>
    </w:p>
    <w:p w:rsidR="00B67EB5" w:rsidRDefault="00AE5E58" w:rsidP="00AE5E58">
      <w:pPr>
        <w:tabs>
          <w:tab w:val="clear" w:pos="8453"/>
          <w:tab w:val="left" w:pos="2160"/>
        </w:tabs>
        <w:spacing w:after="600"/>
        <w:ind w:left="1526" w:right="533"/>
        <w:jc w:val="both"/>
        <w:rPr>
          <w:sz w:val="24"/>
          <w:szCs w:val="24"/>
        </w:rPr>
      </w:pPr>
      <w:r>
        <w:rPr>
          <w:sz w:val="24"/>
          <w:szCs w:val="24"/>
        </w:rPr>
        <w:t>135.</w:t>
      </w:r>
      <w:r w:rsidR="002804C2">
        <w:rPr>
          <w:sz w:val="24"/>
          <w:szCs w:val="24"/>
        </w:rPr>
        <w:t xml:space="preserve"> </w:t>
      </w:r>
      <w:r w:rsidR="00DE35F4" w:rsidRPr="00B67EB5">
        <w:rPr>
          <w:sz w:val="24"/>
          <w:szCs w:val="24"/>
        </w:rPr>
        <w:tab/>
        <w:t>As indicated in [2] above, the Court of Appeal was entitled to provide the guidance it did in relation to appropriate sentences to be imposed in respect of large-scale unlawful assemblies involving violence.  Offenders in such future cases will therefore be subject to the new guidelines.”</w:t>
      </w:r>
    </w:p>
    <w:p w:rsidR="00DE35F4" w:rsidRDefault="00832E12" w:rsidP="004066DE">
      <w:pPr>
        <w:tabs>
          <w:tab w:val="clear" w:pos="4234"/>
          <w:tab w:val="clear" w:pos="8453"/>
        </w:tabs>
        <w:snapToGrid/>
        <w:spacing w:after="480" w:line="360" w:lineRule="auto"/>
        <w:jc w:val="both"/>
        <w:rPr>
          <w:szCs w:val="28"/>
        </w:rPr>
      </w:pPr>
      <w:r>
        <w:rPr>
          <w:szCs w:val="28"/>
        </w:rPr>
        <w:t>4</w:t>
      </w:r>
      <w:r w:rsidR="00802086">
        <w:rPr>
          <w:szCs w:val="28"/>
        </w:rPr>
        <w:t>5</w:t>
      </w:r>
      <w:r w:rsidR="004066DE">
        <w:rPr>
          <w:szCs w:val="28"/>
        </w:rPr>
        <w:t>.</w:t>
      </w:r>
      <w:r w:rsidR="004066DE">
        <w:rPr>
          <w:szCs w:val="28"/>
        </w:rPr>
        <w:tab/>
      </w:r>
      <w:r w:rsidR="00DE35F4">
        <w:rPr>
          <w:szCs w:val="28"/>
        </w:rPr>
        <w:t>Both Mr Pun and Mr Ma prayed in aid the Magistrate’s experience in the Juvenile Court.  They submitted that the Magistrate had already taken into account all relevant sentencing factors.  As to what particular weight should be accorded to them, it is a matter for the Magistrate and the Court of Appeal should not lightly interfere.</w:t>
      </w:r>
    </w:p>
    <w:p w:rsidR="00DE35F4" w:rsidRDefault="00802086" w:rsidP="004066DE">
      <w:pPr>
        <w:tabs>
          <w:tab w:val="clear" w:pos="4234"/>
          <w:tab w:val="clear" w:pos="8453"/>
        </w:tabs>
        <w:snapToGrid/>
        <w:spacing w:after="240" w:line="360" w:lineRule="auto"/>
        <w:jc w:val="both"/>
        <w:rPr>
          <w:szCs w:val="28"/>
        </w:rPr>
      </w:pPr>
      <w:r>
        <w:rPr>
          <w:szCs w:val="28"/>
        </w:rPr>
        <w:t>46</w:t>
      </w:r>
      <w:r w:rsidR="004066DE">
        <w:rPr>
          <w:szCs w:val="28"/>
        </w:rPr>
        <w:t>.</w:t>
      </w:r>
      <w:r w:rsidR="004066DE">
        <w:rPr>
          <w:szCs w:val="28"/>
        </w:rPr>
        <w:tab/>
      </w:r>
      <w:r w:rsidR="00DE35F4">
        <w:rPr>
          <w:szCs w:val="28"/>
        </w:rPr>
        <w:t xml:space="preserve">In this regard, the Court of Final Appeal in </w:t>
      </w:r>
      <w:r w:rsidR="00DE35F4" w:rsidRPr="008C1109">
        <w:rPr>
          <w:i/>
          <w:szCs w:val="28"/>
        </w:rPr>
        <w:t>Wong Chi Fung (CFA)</w:t>
      </w:r>
      <w:r w:rsidR="00A8039E">
        <w:rPr>
          <w:i/>
          <w:szCs w:val="28"/>
        </w:rPr>
        <w:t xml:space="preserve">, </w:t>
      </w:r>
      <w:r w:rsidR="00A8039E" w:rsidRPr="00A16937">
        <w:rPr>
          <w:szCs w:val="28"/>
        </w:rPr>
        <w:t>supra,</w:t>
      </w:r>
      <w:r w:rsidR="00DE35F4">
        <w:rPr>
          <w:szCs w:val="28"/>
        </w:rPr>
        <w:t xml:space="preserve"> said:</w:t>
      </w:r>
    </w:p>
    <w:p w:rsidR="00DE35F4" w:rsidRPr="002804C2" w:rsidRDefault="00C10CE0" w:rsidP="00C10CE0">
      <w:pPr>
        <w:tabs>
          <w:tab w:val="clear" w:pos="8453"/>
          <w:tab w:val="left" w:pos="2160"/>
        </w:tabs>
        <w:spacing w:after="600"/>
        <w:ind w:left="1440" w:right="533"/>
        <w:jc w:val="both"/>
        <w:rPr>
          <w:sz w:val="24"/>
          <w:szCs w:val="24"/>
        </w:rPr>
      </w:pPr>
      <w:r>
        <w:rPr>
          <w:sz w:val="24"/>
          <w:szCs w:val="24"/>
        </w:rPr>
        <w:lastRenderedPageBreak/>
        <w:t>“62.</w:t>
      </w:r>
      <w:r w:rsidR="00DE35F4" w:rsidRPr="002804C2">
        <w:rPr>
          <w:sz w:val="24"/>
          <w:szCs w:val="24"/>
        </w:rPr>
        <w:tab/>
        <w:t xml:space="preserve">It is also not open to the Court of Appeal in a review of sentence to ascribe a different weight to a factor properly taken into account by the sentencing judge in arriving at a sentence that is otherwise within the range of sentences appropriate for the offence.  If the judge has failed to take a relevant matter into account or has taken into account an irrelevant factor, that is an error of principle.  However, the relative weight the sentencing judge ascribes to each relevant factor is a matter within the judge’s discretion and, unless that exercise results in the imposition of a sentence that is manifestly inadequate, the relative weight attributed to each individual relevant factor is a matter for the judge.  Save where it concludes that the sentence is manifestly inadequate, the Court of Appeal is not entitled to ascribe more or less weight to a relevant factor than did the sentencing court.” </w:t>
      </w:r>
    </w:p>
    <w:p w:rsidR="00DE35F4" w:rsidRDefault="00802086" w:rsidP="00974C12">
      <w:pPr>
        <w:tabs>
          <w:tab w:val="clear" w:pos="4234"/>
          <w:tab w:val="clear" w:pos="8453"/>
        </w:tabs>
        <w:snapToGrid/>
        <w:spacing w:after="480" w:line="360" w:lineRule="auto"/>
        <w:jc w:val="both"/>
        <w:rPr>
          <w:szCs w:val="28"/>
        </w:rPr>
      </w:pPr>
      <w:r>
        <w:rPr>
          <w:szCs w:val="28"/>
        </w:rPr>
        <w:t>47</w:t>
      </w:r>
      <w:r w:rsidR="00974C12">
        <w:rPr>
          <w:szCs w:val="28"/>
        </w:rPr>
        <w:t>.</w:t>
      </w:r>
      <w:r w:rsidR="00974C12">
        <w:rPr>
          <w:szCs w:val="28"/>
        </w:rPr>
        <w:tab/>
      </w:r>
      <w:r w:rsidR="00DE35F4">
        <w:rPr>
          <w:szCs w:val="28"/>
        </w:rPr>
        <w:t xml:space="preserve">In our view, we are entitled to interfere because as explained, the Magistrate proceeded on the wrong factual finding on the respondents’ culpability, which </w:t>
      </w:r>
      <w:r w:rsidR="000E6911">
        <w:rPr>
          <w:szCs w:val="28"/>
        </w:rPr>
        <w:t>is</w:t>
      </w:r>
      <w:r w:rsidR="00DE35F4">
        <w:rPr>
          <w:szCs w:val="28"/>
        </w:rPr>
        <w:t xml:space="preserve"> an error of principle.  Further, as will be seen, even after balancing their personal circumstances against their culpability, the Dismissal Orders and the CP Orders </w:t>
      </w:r>
      <w:r w:rsidR="000E6911">
        <w:rPr>
          <w:szCs w:val="28"/>
        </w:rPr>
        <w:t xml:space="preserve">are manifestly inadequate, falling </w:t>
      </w:r>
      <w:r w:rsidR="00DE35F4">
        <w:rPr>
          <w:szCs w:val="28"/>
        </w:rPr>
        <w:t>outside the range of senten</w:t>
      </w:r>
      <w:r w:rsidR="000E6911">
        <w:rPr>
          <w:szCs w:val="28"/>
        </w:rPr>
        <w:t>ces appropriate for the offence</w:t>
      </w:r>
      <w:r w:rsidR="00DE35F4">
        <w:rPr>
          <w:szCs w:val="28"/>
        </w:rPr>
        <w:t>.</w:t>
      </w:r>
    </w:p>
    <w:p w:rsidR="00DE35F4" w:rsidRPr="00974C12" w:rsidRDefault="00190C2C" w:rsidP="006F28E4">
      <w:pPr>
        <w:keepNext/>
        <w:tabs>
          <w:tab w:val="clear" w:pos="1440"/>
        </w:tabs>
        <w:spacing w:after="240" w:line="360" w:lineRule="auto"/>
        <w:jc w:val="both"/>
        <w:rPr>
          <w:i/>
          <w:szCs w:val="28"/>
        </w:rPr>
      </w:pPr>
      <w:r>
        <w:rPr>
          <w:i/>
          <w:szCs w:val="28"/>
        </w:rPr>
        <w:t>D</w:t>
      </w:r>
      <w:r w:rsidR="00DE35F4" w:rsidRPr="00974C12">
        <w:rPr>
          <w:i/>
          <w:szCs w:val="28"/>
        </w:rPr>
        <w:t>3.3</w:t>
      </w:r>
      <w:r w:rsidR="00DE35F4" w:rsidRPr="00974C12">
        <w:rPr>
          <w:i/>
          <w:szCs w:val="28"/>
        </w:rPr>
        <w:tab/>
        <w:t>Balancing against the respondents’ personal circumstances</w:t>
      </w:r>
    </w:p>
    <w:p w:rsidR="00DE35F4" w:rsidRDefault="00802086" w:rsidP="00974C12">
      <w:pPr>
        <w:tabs>
          <w:tab w:val="clear" w:pos="4234"/>
          <w:tab w:val="clear" w:pos="8453"/>
        </w:tabs>
        <w:snapToGrid/>
        <w:spacing w:after="480" w:line="360" w:lineRule="auto"/>
        <w:jc w:val="both"/>
        <w:rPr>
          <w:szCs w:val="28"/>
        </w:rPr>
      </w:pPr>
      <w:r>
        <w:rPr>
          <w:szCs w:val="28"/>
        </w:rPr>
        <w:t>48</w:t>
      </w:r>
      <w:r w:rsidR="00974C12">
        <w:rPr>
          <w:szCs w:val="28"/>
        </w:rPr>
        <w:t>.</w:t>
      </w:r>
      <w:r w:rsidR="00974C12">
        <w:rPr>
          <w:szCs w:val="28"/>
        </w:rPr>
        <w:tab/>
      </w:r>
      <w:r w:rsidR="00DE35F4">
        <w:rPr>
          <w:szCs w:val="28"/>
        </w:rPr>
        <w:t xml:space="preserve">Following the established approach, we </w:t>
      </w:r>
      <w:r w:rsidR="000E6911">
        <w:rPr>
          <w:szCs w:val="28"/>
        </w:rPr>
        <w:t>next</w:t>
      </w:r>
      <w:r w:rsidR="00231E17">
        <w:rPr>
          <w:szCs w:val="28"/>
        </w:rPr>
        <w:t xml:space="preserve"> </w:t>
      </w:r>
      <w:r w:rsidR="00DE35F4">
        <w:rPr>
          <w:szCs w:val="28"/>
        </w:rPr>
        <w:t>balance the gravity of the offence and the respondents’ culpability against their personal circumstances.  Both respondents had a clear record.  They come from healthy, supportive and caring famil</w:t>
      </w:r>
      <w:r>
        <w:rPr>
          <w:szCs w:val="28"/>
        </w:rPr>
        <w:t>ies</w:t>
      </w:r>
      <w:r w:rsidR="00DE35F4">
        <w:rPr>
          <w:szCs w:val="28"/>
        </w:rPr>
        <w:t>.  They do quite well at school</w:t>
      </w:r>
      <w:r w:rsidR="007B5A34">
        <w:rPr>
          <w:szCs w:val="28"/>
        </w:rPr>
        <w:t>.  Two particular features arising</w:t>
      </w:r>
      <w:r w:rsidR="00DE35F4">
        <w:rPr>
          <w:szCs w:val="28"/>
        </w:rPr>
        <w:t xml:space="preserve"> from t</w:t>
      </w:r>
      <w:r w:rsidR="007B5A34">
        <w:rPr>
          <w:szCs w:val="28"/>
        </w:rPr>
        <w:t>heir personal circumstances</w:t>
      </w:r>
      <w:r w:rsidR="00DE35F4">
        <w:rPr>
          <w:szCs w:val="28"/>
        </w:rPr>
        <w:t xml:space="preserve"> merit close</w:t>
      </w:r>
      <w:r w:rsidR="007B5A34">
        <w:rPr>
          <w:szCs w:val="28"/>
        </w:rPr>
        <w:t>r</w:t>
      </w:r>
      <w:r w:rsidR="00DE35F4">
        <w:rPr>
          <w:szCs w:val="28"/>
        </w:rPr>
        <w:t xml:space="preserve"> attention.</w:t>
      </w:r>
    </w:p>
    <w:p w:rsidR="00DE35F4" w:rsidRDefault="00635649" w:rsidP="00974C12">
      <w:pPr>
        <w:tabs>
          <w:tab w:val="clear" w:pos="4234"/>
          <w:tab w:val="clear" w:pos="8453"/>
        </w:tabs>
        <w:snapToGrid/>
        <w:spacing w:after="480" w:line="360" w:lineRule="auto"/>
        <w:jc w:val="both"/>
        <w:rPr>
          <w:szCs w:val="28"/>
        </w:rPr>
      </w:pPr>
      <w:r>
        <w:rPr>
          <w:szCs w:val="28"/>
        </w:rPr>
        <w:t>49</w:t>
      </w:r>
      <w:r w:rsidR="00974C12">
        <w:rPr>
          <w:szCs w:val="28"/>
        </w:rPr>
        <w:t>.</w:t>
      </w:r>
      <w:r w:rsidR="00974C12">
        <w:rPr>
          <w:szCs w:val="28"/>
        </w:rPr>
        <w:tab/>
      </w:r>
      <w:r w:rsidR="00DE35F4">
        <w:rPr>
          <w:szCs w:val="28"/>
        </w:rPr>
        <w:t>First, both of them were of extreme youth at the time of the offence.  The 1</w:t>
      </w:r>
      <w:r w:rsidR="00DE35F4" w:rsidRPr="000E4674">
        <w:rPr>
          <w:szCs w:val="28"/>
          <w:vertAlign w:val="superscript"/>
        </w:rPr>
        <w:t>st</w:t>
      </w:r>
      <w:r w:rsidR="00002811">
        <w:rPr>
          <w:szCs w:val="28"/>
        </w:rPr>
        <w:t xml:space="preserve"> respondent was 14</w:t>
      </w:r>
      <w:r w:rsidR="007B5A34">
        <w:rPr>
          <w:szCs w:val="28"/>
        </w:rPr>
        <w:t xml:space="preserve"> years 10</w:t>
      </w:r>
      <w:r w:rsidR="00DE35F4">
        <w:rPr>
          <w:szCs w:val="28"/>
        </w:rPr>
        <w:t xml:space="preserve"> months old.  The 2</w:t>
      </w:r>
      <w:r w:rsidR="00DE35F4" w:rsidRPr="000E4674">
        <w:rPr>
          <w:szCs w:val="28"/>
          <w:vertAlign w:val="superscript"/>
        </w:rPr>
        <w:t>nd</w:t>
      </w:r>
      <w:r w:rsidR="00DE35F4">
        <w:rPr>
          <w:szCs w:val="28"/>
        </w:rPr>
        <w:t xml:space="preserve"> respondent was even younger.  He was only 14 years 1 month old.  This is a weighty mitigating factor in the present case.  Arising from their </w:t>
      </w:r>
      <w:r w:rsidR="00DE35F4">
        <w:rPr>
          <w:szCs w:val="28"/>
        </w:rPr>
        <w:lastRenderedPageBreak/>
        <w:t>extreme youth, especially in the 2</w:t>
      </w:r>
      <w:r w:rsidR="00DE35F4" w:rsidRPr="00CC7DE2">
        <w:rPr>
          <w:szCs w:val="28"/>
          <w:vertAlign w:val="superscript"/>
        </w:rPr>
        <w:t>nd</w:t>
      </w:r>
      <w:r w:rsidR="00DE35F4">
        <w:rPr>
          <w:szCs w:val="28"/>
        </w:rPr>
        <w:t xml:space="preserve"> respondent’s case, is their immaturity</w:t>
      </w:r>
      <w:r w:rsidR="001D43D9">
        <w:rPr>
          <w:szCs w:val="28"/>
        </w:rPr>
        <w:t xml:space="preserve"> and impulsiveness</w:t>
      </w:r>
      <w:r w:rsidR="00DE35F4">
        <w:rPr>
          <w:szCs w:val="28"/>
        </w:rPr>
        <w:t xml:space="preserve">, the susceptibility to </w:t>
      </w:r>
      <w:r w:rsidR="007B5A34">
        <w:rPr>
          <w:szCs w:val="28"/>
        </w:rPr>
        <w:t xml:space="preserve">undue </w:t>
      </w:r>
      <w:r w:rsidR="00DE35F4">
        <w:rPr>
          <w:szCs w:val="28"/>
        </w:rPr>
        <w:t xml:space="preserve">influence </w:t>
      </w:r>
      <w:r>
        <w:rPr>
          <w:szCs w:val="28"/>
        </w:rPr>
        <w:t xml:space="preserve">through </w:t>
      </w:r>
      <w:r w:rsidR="00DE35F4">
        <w:rPr>
          <w:szCs w:val="28"/>
        </w:rPr>
        <w:t>exposure to social media,</w:t>
      </w:r>
      <w:r w:rsidR="00740333">
        <w:rPr>
          <w:szCs w:val="28"/>
        </w:rPr>
        <w:t xml:space="preserve"> the lack of sufficient self-discipline and control</w:t>
      </w:r>
      <w:r w:rsidR="00DE35F4">
        <w:rPr>
          <w:szCs w:val="28"/>
        </w:rPr>
        <w:t xml:space="preserve"> and the lack of careful thought about the serious consequences of breaking the law</w:t>
      </w:r>
      <w:r w:rsidR="007B5A34">
        <w:rPr>
          <w:szCs w:val="28"/>
        </w:rPr>
        <w:t xml:space="preserve"> by committing the present offence</w:t>
      </w:r>
      <w:r w:rsidR="00DE35F4">
        <w:rPr>
          <w:szCs w:val="28"/>
        </w:rPr>
        <w:t>.  These considerations tend to moderate their culpability.</w:t>
      </w:r>
    </w:p>
    <w:p w:rsidR="00DE35F4" w:rsidRDefault="00EA416F" w:rsidP="00A8028E">
      <w:pPr>
        <w:tabs>
          <w:tab w:val="clear" w:pos="4234"/>
          <w:tab w:val="clear" w:pos="8453"/>
        </w:tabs>
        <w:snapToGrid/>
        <w:spacing w:after="480" w:line="360" w:lineRule="auto"/>
        <w:jc w:val="both"/>
        <w:rPr>
          <w:szCs w:val="28"/>
        </w:rPr>
      </w:pPr>
      <w:r>
        <w:rPr>
          <w:szCs w:val="28"/>
        </w:rPr>
        <w:t>5</w:t>
      </w:r>
      <w:r w:rsidR="00635649">
        <w:rPr>
          <w:szCs w:val="28"/>
        </w:rPr>
        <w:t>0</w:t>
      </w:r>
      <w:r w:rsidR="00A8028E">
        <w:rPr>
          <w:szCs w:val="28"/>
        </w:rPr>
        <w:t>.</w:t>
      </w:r>
      <w:r w:rsidR="00A8028E">
        <w:rPr>
          <w:szCs w:val="28"/>
        </w:rPr>
        <w:tab/>
      </w:r>
      <w:r w:rsidR="00DE35F4">
        <w:rPr>
          <w:szCs w:val="28"/>
        </w:rPr>
        <w:t>Second, as established by undisputed medical evidence, the 1</w:t>
      </w:r>
      <w:r w:rsidR="00DE35F4" w:rsidRPr="00512B77">
        <w:rPr>
          <w:szCs w:val="28"/>
          <w:vertAlign w:val="superscript"/>
        </w:rPr>
        <w:t>st</w:t>
      </w:r>
      <w:r w:rsidR="00DE35F4">
        <w:rPr>
          <w:szCs w:val="28"/>
        </w:rPr>
        <w:t xml:space="preserve"> respondent has a history of mental health problems, including depression, generalized anxiety disorder and posttraumatic stress disorder with mild symptoms.  Although there is no evidence to link her mental health issues with the commission of the p</w:t>
      </w:r>
      <w:r w:rsidR="007B5A34">
        <w:rPr>
          <w:szCs w:val="28"/>
        </w:rPr>
        <w:t xml:space="preserve">resent offence, we </w:t>
      </w:r>
      <w:r w:rsidR="000E6911">
        <w:rPr>
          <w:szCs w:val="28"/>
        </w:rPr>
        <w:t xml:space="preserve">cannot ignore the </w:t>
      </w:r>
      <w:r w:rsidR="003A4E7A">
        <w:rPr>
          <w:szCs w:val="28"/>
        </w:rPr>
        <w:t xml:space="preserve">real </w:t>
      </w:r>
      <w:r w:rsidR="000E6911">
        <w:rPr>
          <w:szCs w:val="28"/>
        </w:rPr>
        <w:t>possibility that</w:t>
      </w:r>
      <w:r w:rsidR="00740333">
        <w:rPr>
          <w:szCs w:val="28"/>
        </w:rPr>
        <w:t xml:space="preserve"> her mental</w:t>
      </w:r>
      <w:r w:rsidR="00DE35F4">
        <w:rPr>
          <w:szCs w:val="28"/>
        </w:rPr>
        <w:t xml:space="preserve"> condition</w:t>
      </w:r>
      <w:r w:rsidR="00740333">
        <w:rPr>
          <w:szCs w:val="28"/>
        </w:rPr>
        <w:t>s</w:t>
      </w:r>
      <w:r w:rsidR="00DE35F4">
        <w:rPr>
          <w:szCs w:val="28"/>
        </w:rPr>
        <w:t xml:space="preserve"> </w:t>
      </w:r>
      <w:r w:rsidR="00231E17">
        <w:rPr>
          <w:szCs w:val="28"/>
        </w:rPr>
        <w:t>might</w:t>
      </w:r>
      <w:r w:rsidR="00740333">
        <w:rPr>
          <w:szCs w:val="28"/>
        </w:rPr>
        <w:t xml:space="preserve"> significantly</w:t>
      </w:r>
      <w:r w:rsidR="00231E17">
        <w:rPr>
          <w:szCs w:val="28"/>
        </w:rPr>
        <w:t xml:space="preserve"> det</w:t>
      </w:r>
      <w:r w:rsidR="003A4E7A">
        <w:rPr>
          <w:szCs w:val="28"/>
        </w:rPr>
        <w:t>eriorate</w:t>
      </w:r>
      <w:r w:rsidR="00231E17">
        <w:rPr>
          <w:szCs w:val="28"/>
        </w:rPr>
        <w:t xml:space="preserve"> </w:t>
      </w:r>
      <w:r w:rsidR="00740333">
        <w:rPr>
          <w:szCs w:val="28"/>
        </w:rPr>
        <w:t xml:space="preserve">and she might commit self-harm </w:t>
      </w:r>
      <w:r w:rsidR="00231E17">
        <w:rPr>
          <w:szCs w:val="28"/>
        </w:rPr>
        <w:t>if a harsh</w:t>
      </w:r>
      <w:r w:rsidR="003A4E7A">
        <w:rPr>
          <w:szCs w:val="28"/>
        </w:rPr>
        <w:t xml:space="preserve"> sentence were to be imposed on her</w:t>
      </w:r>
      <w:r w:rsidR="00DE35F4">
        <w:rPr>
          <w:szCs w:val="28"/>
        </w:rPr>
        <w:t>.</w:t>
      </w:r>
    </w:p>
    <w:p w:rsidR="00DE35F4" w:rsidRDefault="00EA416F" w:rsidP="00A8028E">
      <w:pPr>
        <w:tabs>
          <w:tab w:val="clear" w:pos="4234"/>
          <w:tab w:val="clear" w:pos="8453"/>
        </w:tabs>
        <w:snapToGrid/>
        <w:spacing w:after="480" w:line="360" w:lineRule="auto"/>
        <w:jc w:val="both"/>
        <w:rPr>
          <w:szCs w:val="28"/>
        </w:rPr>
      </w:pPr>
      <w:r>
        <w:rPr>
          <w:szCs w:val="28"/>
        </w:rPr>
        <w:t>5</w:t>
      </w:r>
      <w:r w:rsidR="00635649">
        <w:rPr>
          <w:szCs w:val="28"/>
        </w:rPr>
        <w:t>1</w:t>
      </w:r>
      <w:r w:rsidR="00A8028E">
        <w:rPr>
          <w:szCs w:val="28"/>
        </w:rPr>
        <w:t>.</w:t>
      </w:r>
      <w:r w:rsidR="00A8028E">
        <w:rPr>
          <w:szCs w:val="28"/>
        </w:rPr>
        <w:tab/>
      </w:r>
      <w:r w:rsidR="00DE35F4">
        <w:rPr>
          <w:szCs w:val="28"/>
        </w:rPr>
        <w:t>The respondents are genuinely remorseful.  This is also a mitigating factor in their favour.</w:t>
      </w:r>
    </w:p>
    <w:p w:rsidR="00DE35F4" w:rsidRDefault="00EA416F" w:rsidP="005379FC">
      <w:pPr>
        <w:tabs>
          <w:tab w:val="clear" w:pos="4234"/>
          <w:tab w:val="clear" w:pos="8453"/>
        </w:tabs>
        <w:snapToGrid/>
        <w:spacing w:after="480" w:line="360" w:lineRule="auto"/>
        <w:jc w:val="both"/>
        <w:rPr>
          <w:szCs w:val="28"/>
        </w:rPr>
      </w:pPr>
      <w:r>
        <w:rPr>
          <w:szCs w:val="28"/>
        </w:rPr>
        <w:t>5</w:t>
      </w:r>
      <w:r w:rsidR="00635649">
        <w:rPr>
          <w:szCs w:val="28"/>
        </w:rPr>
        <w:t>2</w:t>
      </w:r>
      <w:r w:rsidR="005379FC">
        <w:rPr>
          <w:szCs w:val="28"/>
        </w:rPr>
        <w:t>.</w:t>
      </w:r>
      <w:r w:rsidR="005379FC">
        <w:rPr>
          <w:szCs w:val="28"/>
        </w:rPr>
        <w:tab/>
      </w:r>
      <w:r w:rsidR="00DE35F4">
        <w:rPr>
          <w:szCs w:val="28"/>
        </w:rPr>
        <w:t xml:space="preserve">After balancing all relevant sentencing factors, </w:t>
      </w:r>
      <w:r w:rsidR="00D572D2">
        <w:rPr>
          <w:szCs w:val="28"/>
        </w:rPr>
        <w:t xml:space="preserve">we take the view that </w:t>
      </w:r>
      <w:r w:rsidR="00DE35F4">
        <w:rPr>
          <w:szCs w:val="28"/>
        </w:rPr>
        <w:t xml:space="preserve">the appropriate sentence for the offence must have a sufficient punitive element and deterrence while </w:t>
      </w:r>
      <w:r w:rsidR="00231E17">
        <w:rPr>
          <w:szCs w:val="28"/>
        </w:rPr>
        <w:t>a</w:t>
      </w:r>
      <w:r w:rsidR="00C50C20">
        <w:rPr>
          <w:szCs w:val="28"/>
        </w:rPr>
        <w:t>t the same time take</w:t>
      </w:r>
      <w:r w:rsidR="00DE35F4">
        <w:rPr>
          <w:szCs w:val="28"/>
        </w:rPr>
        <w:t xml:space="preserve"> care of th</w:t>
      </w:r>
      <w:r w:rsidR="00D572D2">
        <w:rPr>
          <w:szCs w:val="28"/>
        </w:rPr>
        <w:t>e respondents’</w:t>
      </w:r>
      <w:r w:rsidR="00DE35F4">
        <w:rPr>
          <w:szCs w:val="28"/>
        </w:rPr>
        <w:t xml:space="preserve"> rehabilitation</w:t>
      </w:r>
      <w:r w:rsidR="00635649">
        <w:rPr>
          <w:szCs w:val="28"/>
        </w:rPr>
        <w:t xml:space="preserve"> and well</w:t>
      </w:r>
      <w:r w:rsidR="00F25A7C">
        <w:rPr>
          <w:szCs w:val="28"/>
        </w:rPr>
        <w:t>-</w:t>
      </w:r>
      <w:r w:rsidR="00635649">
        <w:rPr>
          <w:szCs w:val="28"/>
        </w:rPr>
        <w:t>being</w:t>
      </w:r>
      <w:r w:rsidR="00DE35F4">
        <w:rPr>
          <w:szCs w:val="28"/>
        </w:rPr>
        <w:t>.  As already pointed out, the Dismissal Orders and the CP Orders g</w:t>
      </w:r>
      <w:r w:rsidR="00635649">
        <w:rPr>
          <w:szCs w:val="28"/>
        </w:rPr>
        <w:t>iv</w:t>
      </w:r>
      <w:r w:rsidR="00F25A7C">
        <w:rPr>
          <w:szCs w:val="28"/>
        </w:rPr>
        <w:t>e</w:t>
      </w:r>
      <w:r w:rsidR="00DE35F4">
        <w:rPr>
          <w:szCs w:val="28"/>
        </w:rPr>
        <w:t xml:space="preserve"> no weight to punishment and deterrence.  They are both wrong in principle and manifestly inadequate</w:t>
      </w:r>
      <w:r w:rsidR="00D572D2">
        <w:rPr>
          <w:szCs w:val="28"/>
        </w:rPr>
        <w:t xml:space="preserve"> and are liable to be set aside</w:t>
      </w:r>
      <w:r w:rsidR="00DE35F4">
        <w:rPr>
          <w:szCs w:val="28"/>
        </w:rPr>
        <w:t>.</w:t>
      </w:r>
    </w:p>
    <w:p w:rsidR="00DE35F4" w:rsidRDefault="00635649" w:rsidP="005678A7">
      <w:pPr>
        <w:tabs>
          <w:tab w:val="clear" w:pos="4234"/>
          <w:tab w:val="clear" w:pos="8453"/>
        </w:tabs>
        <w:snapToGrid/>
        <w:spacing w:after="480" w:line="360" w:lineRule="auto"/>
        <w:jc w:val="both"/>
        <w:rPr>
          <w:szCs w:val="28"/>
        </w:rPr>
      </w:pPr>
      <w:r>
        <w:rPr>
          <w:szCs w:val="28"/>
        </w:rPr>
        <w:t>53</w:t>
      </w:r>
      <w:r w:rsidR="005678A7">
        <w:rPr>
          <w:szCs w:val="28"/>
        </w:rPr>
        <w:t>.</w:t>
      </w:r>
      <w:r w:rsidR="005678A7">
        <w:rPr>
          <w:szCs w:val="28"/>
        </w:rPr>
        <w:tab/>
      </w:r>
      <w:r w:rsidR="00F25A7C">
        <w:rPr>
          <w:szCs w:val="28"/>
        </w:rPr>
        <w:t>In</w:t>
      </w:r>
      <w:r>
        <w:rPr>
          <w:szCs w:val="28"/>
        </w:rPr>
        <w:t xml:space="preserve"> a</w:t>
      </w:r>
      <w:r w:rsidR="00231E17">
        <w:rPr>
          <w:szCs w:val="28"/>
        </w:rPr>
        <w:t>sking us to uphold</w:t>
      </w:r>
      <w:r w:rsidR="00EA416F">
        <w:rPr>
          <w:szCs w:val="28"/>
        </w:rPr>
        <w:t xml:space="preserve"> the Dismissal Order</w:t>
      </w:r>
      <w:r w:rsidR="00F50AE0">
        <w:rPr>
          <w:szCs w:val="28"/>
        </w:rPr>
        <w:t>s</w:t>
      </w:r>
      <w:r w:rsidR="00EA416F">
        <w:rPr>
          <w:szCs w:val="28"/>
        </w:rPr>
        <w:t xml:space="preserve">, </w:t>
      </w:r>
      <w:r w:rsidR="00DE35F4">
        <w:rPr>
          <w:szCs w:val="28"/>
        </w:rPr>
        <w:t xml:space="preserve">Mr Pun and Mr Ma submitted that a criminal record will stigmatize the respondents’ and </w:t>
      </w:r>
      <w:r w:rsidR="00DE35F4">
        <w:rPr>
          <w:szCs w:val="28"/>
        </w:rPr>
        <w:lastRenderedPageBreak/>
        <w:t xml:space="preserve">mar their development.  They urged </w:t>
      </w:r>
      <w:r w:rsidR="00EA416F">
        <w:rPr>
          <w:szCs w:val="28"/>
        </w:rPr>
        <w:t>us</w:t>
      </w:r>
      <w:r w:rsidR="00DE35F4">
        <w:rPr>
          <w:szCs w:val="28"/>
        </w:rPr>
        <w:t xml:space="preserve"> to give them a clean rehabilitation.  However, as pointed out in the course of the hearing, their conviction might be spent under the Rehabilitation of Offenders Ordinance.</w:t>
      </w:r>
      <w:r w:rsidR="00DE35F4">
        <w:rPr>
          <w:rStyle w:val="FootnoteReference"/>
          <w:szCs w:val="28"/>
        </w:rPr>
        <w:footnoteReference w:id="15"/>
      </w:r>
      <w:r w:rsidR="00DE35F4">
        <w:rPr>
          <w:szCs w:val="28"/>
        </w:rPr>
        <w:t xml:space="preserve">  Mr Ma submitted that </w:t>
      </w:r>
      <w:r>
        <w:rPr>
          <w:szCs w:val="28"/>
        </w:rPr>
        <w:t xml:space="preserve">under the Ordinance, spent </w:t>
      </w:r>
      <w:r w:rsidR="00DE35F4">
        <w:rPr>
          <w:szCs w:val="28"/>
        </w:rPr>
        <w:t>conviction m</w:t>
      </w:r>
      <w:r>
        <w:rPr>
          <w:szCs w:val="28"/>
        </w:rPr>
        <w:t xml:space="preserve">ust </w:t>
      </w:r>
      <w:r w:rsidR="00DE35F4">
        <w:rPr>
          <w:szCs w:val="28"/>
        </w:rPr>
        <w:t xml:space="preserve">be </w:t>
      </w:r>
      <w:r>
        <w:rPr>
          <w:szCs w:val="28"/>
        </w:rPr>
        <w:t xml:space="preserve">disclosed </w:t>
      </w:r>
      <w:r w:rsidR="00DE35F4">
        <w:rPr>
          <w:szCs w:val="28"/>
        </w:rPr>
        <w:t xml:space="preserve">for the purpose of </w:t>
      </w:r>
      <w:r>
        <w:rPr>
          <w:szCs w:val="28"/>
        </w:rPr>
        <w:t>joining certain professions,</w:t>
      </w:r>
      <w:r>
        <w:rPr>
          <w:rStyle w:val="FootnoteReference"/>
          <w:szCs w:val="28"/>
        </w:rPr>
        <w:footnoteReference w:id="16"/>
      </w:r>
      <w:r>
        <w:rPr>
          <w:szCs w:val="28"/>
        </w:rPr>
        <w:t xml:space="preserve"> and may </w:t>
      </w:r>
      <w:r w:rsidR="00DE35F4">
        <w:rPr>
          <w:szCs w:val="28"/>
        </w:rPr>
        <w:t>jeopardiz</w:t>
      </w:r>
      <w:r>
        <w:rPr>
          <w:szCs w:val="28"/>
        </w:rPr>
        <w:t xml:space="preserve">e </w:t>
      </w:r>
      <w:r w:rsidR="00DE35F4">
        <w:rPr>
          <w:szCs w:val="28"/>
        </w:rPr>
        <w:t xml:space="preserve">the respondents’ respective </w:t>
      </w:r>
      <w:r w:rsidR="00D572D2">
        <w:rPr>
          <w:szCs w:val="28"/>
        </w:rPr>
        <w:t>aspiration of working as a doctor</w:t>
      </w:r>
      <w:r w:rsidR="00DE35F4">
        <w:rPr>
          <w:szCs w:val="28"/>
        </w:rPr>
        <w:t xml:space="preserve"> and an architect in the future.  But he accepted that the professional bodies should have </w:t>
      </w:r>
      <w:r>
        <w:rPr>
          <w:szCs w:val="28"/>
        </w:rPr>
        <w:t xml:space="preserve">a </w:t>
      </w:r>
      <w:r w:rsidR="00DE35F4">
        <w:rPr>
          <w:szCs w:val="28"/>
        </w:rPr>
        <w:t>discretion to ignore the effect of conviction in appropriate cases.</w:t>
      </w:r>
    </w:p>
    <w:p w:rsidR="00DE35F4" w:rsidRPr="003A1BB8" w:rsidRDefault="006F51E3" w:rsidP="005678A7">
      <w:pPr>
        <w:tabs>
          <w:tab w:val="clear" w:pos="4234"/>
          <w:tab w:val="clear" w:pos="8453"/>
        </w:tabs>
        <w:snapToGrid/>
        <w:spacing w:after="240" w:line="360" w:lineRule="auto"/>
        <w:jc w:val="both"/>
        <w:rPr>
          <w:szCs w:val="28"/>
        </w:rPr>
      </w:pPr>
      <w:r>
        <w:rPr>
          <w:szCs w:val="28"/>
        </w:rPr>
        <w:t>5</w:t>
      </w:r>
      <w:r w:rsidR="003B45FC">
        <w:rPr>
          <w:szCs w:val="28"/>
        </w:rPr>
        <w:t>4</w:t>
      </w:r>
      <w:r w:rsidR="005678A7">
        <w:rPr>
          <w:szCs w:val="28"/>
        </w:rPr>
        <w:t>.</w:t>
      </w:r>
      <w:r w:rsidR="005678A7">
        <w:rPr>
          <w:szCs w:val="28"/>
        </w:rPr>
        <w:tab/>
      </w:r>
      <w:r w:rsidR="00DE35F4" w:rsidRPr="003A1BB8">
        <w:rPr>
          <w:szCs w:val="28"/>
        </w:rPr>
        <w:t xml:space="preserve">In any event, we do not consider the public interest in recording the conviction is outweighed by the respondents’ concern of its effect.  </w:t>
      </w:r>
      <w:r w:rsidR="00DE35F4">
        <w:rPr>
          <w:szCs w:val="28"/>
        </w:rPr>
        <w:t xml:space="preserve">Indeed, recording a conviction also forms part of the offender’s rehabilitation.  </w:t>
      </w:r>
      <w:r w:rsidR="00DE35F4" w:rsidRPr="003A1BB8">
        <w:rPr>
          <w:szCs w:val="28"/>
        </w:rPr>
        <w:t xml:space="preserve">As explained </w:t>
      </w:r>
      <w:r w:rsidR="00DE35F4">
        <w:rPr>
          <w:szCs w:val="28"/>
        </w:rPr>
        <w:t xml:space="preserve">by </w:t>
      </w:r>
      <w:proofErr w:type="spellStart"/>
      <w:r w:rsidR="00DE35F4">
        <w:rPr>
          <w:szCs w:val="28"/>
        </w:rPr>
        <w:t>Sofronoff</w:t>
      </w:r>
      <w:proofErr w:type="spellEnd"/>
      <w:r w:rsidR="00DE35F4">
        <w:rPr>
          <w:szCs w:val="28"/>
        </w:rPr>
        <w:t xml:space="preserve"> P </w:t>
      </w:r>
      <w:r w:rsidR="00DE35F4" w:rsidRPr="003A1BB8">
        <w:rPr>
          <w:szCs w:val="28"/>
        </w:rPr>
        <w:t xml:space="preserve">in </w:t>
      </w:r>
      <w:r w:rsidR="00DE35F4" w:rsidRPr="003A1BB8">
        <w:rPr>
          <w:i/>
          <w:szCs w:val="28"/>
        </w:rPr>
        <w:t>R v Patrick (a pseudonym), ex parte Attorney General (</w:t>
      </w:r>
      <w:proofErr w:type="spellStart"/>
      <w:r w:rsidR="00DE35F4" w:rsidRPr="003A1BB8">
        <w:rPr>
          <w:i/>
          <w:szCs w:val="28"/>
        </w:rPr>
        <w:t>Qld</w:t>
      </w:r>
      <w:proofErr w:type="spellEnd"/>
      <w:r w:rsidR="00DE35F4" w:rsidRPr="003A1BB8">
        <w:rPr>
          <w:i/>
          <w:szCs w:val="28"/>
        </w:rPr>
        <w:t>)</w:t>
      </w:r>
      <w:r w:rsidR="00DE35F4" w:rsidRPr="003A1BB8">
        <w:rPr>
          <w:szCs w:val="28"/>
        </w:rPr>
        <w:t xml:space="preserve"> [2020] QCA 51, unreported, 24 March 2020:</w:t>
      </w:r>
    </w:p>
    <w:p w:rsidR="00DE35F4" w:rsidRPr="005678A7" w:rsidRDefault="00DE35F4" w:rsidP="005678A7">
      <w:pPr>
        <w:tabs>
          <w:tab w:val="clear" w:pos="8453"/>
        </w:tabs>
        <w:spacing w:after="600"/>
        <w:ind w:left="1440" w:right="706"/>
        <w:jc w:val="both"/>
        <w:rPr>
          <w:sz w:val="24"/>
          <w:szCs w:val="24"/>
        </w:rPr>
      </w:pPr>
      <w:r w:rsidRPr="005678A7">
        <w:rPr>
          <w:sz w:val="24"/>
          <w:szCs w:val="24"/>
        </w:rPr>
        <w:t>“[54]</w:t>
      </w:r>
      <w:r w:rsidRPr="005678A7">
        <w:rPr>
          <w:sz w:val="24"/>
          <w:szCs w:val="24"/>
        </w:rPr>
        <w:tab/>
      </w:r>
      <w:r w:rsidR="00023421">
        <w:rPr>
          <w:sz w:val="24"/>
          <w:szCs w:val="24"/>
        </w:rPr>
        <w:t xml:space="preserve"> </w:t>
      </w:r>
      <w:r w:rsidRPr="005678A7">
        <w:rPr>
          <w:sz w:val="24"/>
          <w:szCs w:val="24"/>
        </w:rPr>
        <w:t>Part of Patrick’s rehabilitation must involve … him accepting responsibility for what he has done and what harm he has caused. Acceptance of responsibility is much more than an offender’s verbal acknowledgment of personal fault.  It must involve an actual appreciation and acknowledgment of the community’s revulsion at the crime and its consequences.  That revulsion is partly manifested by the public record that is a conviction.  It is true, as counsel for Patrick urged, that the recording of a conviction may affect Patrick’s future employment prospects but in a case like the present, that does not outweigh the justification for recoding, as a conviction, the community’s denunciation of the offending act, notwithstanding that it was committed by a child in the circumstances in which Patrick found himself.”</w:t>
      </w:r>
    </w:p>
    <w:p w:rsidR="00DE35F4" w:rsidRDefault="00832E12" w:rsidP="00A90A44">
      <w:pPr>
        <w:tabs>
          <w:tab w:val="clear" w:pos="4234"/>
          <w:tab w:val="clear" w:pos="8453"/>
        </w:tabs>
        <w:snapToGrid/>
        <w:spacing w:after="480" w:line="360" w:lineRule="auto"/>
        <w:jc w:val="both"/>
        <w:rPr>
          <w:szCs w:val="28"/>
        </w:rPr>
      </w:pPr>
      <w:r>
        <w:rPr>
          <w:szCs w:val="28"/>
        </w:rPr>
        <w:t>5</w:t>
      </w:r>
      <w:r w:rsidR="003B45FC">
        <w:rPr>
          <w:szCs w:val="28"/>
        </w:rPr>
        <w:t>5</w:t>
      </w:r>
      <w:r w:rsidR="00A90A44">
        <w:rPr>
          <w:szCs w:val="28"/>
        </w:rPr>
        <w:t>.</w:t>
      </w:r>
      <w:r w:rsidR="00A90A44">
        <w:rPr>
          <w:szCs w:val="28"/>
        </w:rPr>
        <w:tab/>
      </w:r>
      <w:r w:rsidR="00DE35F4">
        <w:rPr>
          <w:szCs w:val="28"/>
        </w:rPr>
        <w:t xml:space="preserve">Mr Pun took a further point.  He submitted that it is necessary for the Magistrate to dismiss the charge so that he could make the CP Orders.  However, </w:t>
      </w:r>
      <w:r w:rsidR="00C50C20">
        <w:rPr>
          <w:szCs w:val="28"/>
        </w:rPr>
        <w:t>after</w:t>
      </w:r>
      <w:r w:rsidR="00231E17">
        <w:rPr>
          <w:szCs w:val="28"/>
        </w:rPr>
        <w:t xml:space="preserve"> this C</w:t>
      </w:r>
      <w:r w:rsidR="00D572D2">
        <w:rPr>
          <w:szCs w:val="28"/>
        </w:rPr>
        <w:t xml:space="preserve">ourt referred him to section 15(1) of the JOO, </w:t>
      </w:r>
      <w:r w:rsidR="00DE35F4">
        <w:rPr>
          <w:szCs w:val="28"/>
        </w:rPr>
        <w:t xml:space="preserve">he agreed </w:t>
      </w:r>
      <w:r w:rsidR="00DE35F4">
        <w:rPr>
          <w:szCs w:val="28"/>
        </w:rPr>
        <w:lastRenderedPageBreak/>
        <w:t>that as a matter of law,</w:t>
      </w:r>
      <w:r w:rsidR="00231E17">
        <w:rPr>
          <w:szCs w:val="28"/>
        </w:rPr>
        <w:t xml:space="preserve"> a care and protection order could</w:t>
      </w:r>
      <w:r w:rsidR="00DE35F4">
        <w:rPr>
          <w:szCs w:val="28"/>
        </w:rPr>
        <w:t xml:space="preserve"> still be made</w:t>
      </w:r>
      <w:r w:rsidR="00D572D2">
        <w:rPr>
          <w:szCs w:val="28"/>
        </w:rPr>
        <w:t xml:space="preserve"> ev</w:t>
      </w:r>
      <w:r w:rsidR="00231E17">
        <w:rPr>
          <w:szCs w:val="28"/>
        </w:rPr>
        <w:t>en after conviction.  He then</w:t>
      </w:r>
      <w:r w:rsidR="00DE35F4">
        <w:rPr>
          <w:szCs w:val="28"/>
        </w:rPr>
        <w:t xml:space="preserve"> submitted that as a matter of practice</w:t>
      </w:r>
      <w:r w:rsidR="009E5848">
        <w:rPr>
          <w:szCs w:val="28"/>
        </w:rPr>
        <w:t xml:space="preserve"> in the Ju</w:t>
      </w:r>
      <w:r w:rsidR="00D75582">
        <w:rPr>
          <w:szCs w:val="28"/>
        </w:rPr>
        <w:t xml:space="preserve">venile </w:t>
      </w:r>
      <w:r w:rsidR="00A16937">
        <w:rPr>
          <w:szCs w:val="28"/>
        </w:rPr>
        <w:t>C</w:t>
      </w:r>
      <w:r w:rsidR="00D75582">
        <w:rPr>
          <w:szCs w:val="28"/>
        </w:rPr>
        <w:t>ourt, the magistrate</w:t>
      </w:r>
      <w:r w:rsidR="00DE35F4">
        <w:rPr>
          <w:szCs w:val="28"/>
        </w:rPr>
        <w:t xml:space="preserve"> would usually dismiss the charge before imposing a care an</w:t>
      </w:r>
      <w:r w:rsidR="001D43D9">
        <w:rPr>
          <w:szCs w:val="28"/>
        </w:rPr>
        <w:t xml:space="preserve">d protection order.  </w:t>
      </w:r>
      <w:r w:rsidR="003B45FC">
        <w:rPr>
          <w:szCs w:val="28"/>
        </w:rPr>
        <w:t xml:space="preserve">Assuming this is the case, </w:t>
      </w:r>
      <w:r w:rsidR="00DE35F4">
        <w:rPr>
          <w:szCs w:val="28"/>
        </w:rPr>
        <w:t xml:space="preserve">such practice does not </w:t>
      </w:r>
      <w:r w:rsidR="00EA692C">
        <w:rPr>
          <w:szCs w:val="28"/>
        </w:rPr>
        <w:t xml:space="preserve">relegate </w:t>
      </w:r>
      <w:r w:rsidR="003B45FC">
        <w:rPr>
          <w:szCs w:val="28"/>
        </w:rPr>
        <w:t xml:space="preserve">the importance of applying </w:t>
      </w:r>
      <w:r w:rsidR="00DE35F4">
        <w:rPr>
          <w:szCs w:val="28"/>
        </w:rPr>
        <w:t>the correct sentencing principles and the duty of the sentencing court to impose a sentence appropriate for the offence and proportionate in the overall circumstances of the case.</w:t>
      </w:r>
      <w:r w:rsidR="00EA416F">
        <w:rPr>
          <w:szCs w:val="28"/>
        </w:rPr>
        <w:t xml:space="preserve">  As the Dismissal Order</w:t>
      </w:r>
      <w:r w:rsidR="00C50C20">
        <w:rPr>
          <w:szCs w:val="28"/>
        </w:rPr>
        <w:t>s</w:t>
      </w:r>
      <w:r w:rsidR="00EA416F">
        <w:rPr>
          <w:szCs w:val="28"/>
        </w:rPr>
        <w:t xml:space="preserve"> fall foul of </w:t>
      </w:r>
      <w:r w:rsidR="00231E17">
        <w:rPr>
          <w:szCs w:val="28"/>
        </w:rPr>
        <w:t>the principles identified in [20</w:t>
      </w:r>
      <w:r w:rsidR="00EA416F">
        <w:rPr>
          <w:szCs w:val="28"/>
        </w:rPr>
        <w:t>] above</w:t>
      </w:r>
      <w:r w:rsidR="00231E17">
        <w:rPr>
          <w:szCs w:val="28"/>
        </w:rPr>
        <w:t xml:space="preserve"> and </w:t>
      </w:r>
      <w:r w:rsidR="003B45FC">
        <w:rPr>
          <w:szCs w:val="28"/>
        </w:rPr>
        <w:t>are</w:t>
      </w:r>
      <w:r w:rsidR="00231E17">
        <w:rPr>
          <w:szCs w:val="28"/>
        </w:rPr>
        <w:t xml:space="preserve"> wrong in principle</w:t>
      </w:r>
      <w:r w:rsidR="00EA416F">
        <w:rPr>
          <w:szCs w:val="28"/>
        </w:rPr>
        <w:t xml:space="preserve">, </w:t>
      </w:r>
      <w:r w:rsidR="001A7355">
        <w:rPr>
          <w:szCs w:val="28"/>
        </w:rPr>
        <w:t xml:space="preserve">they have </w:t>
      </w:r>
      <w:r w:rsidR="00EA416F">
        <w:rPr>
          <w:szCs w:val="28"/>
        </w:rPr>
        <w:t>no legal basis to stand on.</w:t>
      </w:r>
    </w:p>
    <w:p w:rsidR="006F51E3" w:rsidRDefault="001A7355" w:rsidP="006F51E3">
      <w:pPr>
        <w:spacing w:after="480" w:line="360" w:lineRule="auto"/>
        <w:jc w:val="both"/>
        <w:rPr>
          <w:szCs w:val="28"/>
        </w:rPr>
      </w:pPr>
      <w:r>
        <w:rPr>
          <w:szCs w:val="28"/>
        </w:rPr>
        <w:t>56</w:t>
      </w:r>
      <w:r w:rsidR="00A90A44">
        <w:rPr>
          <w:szCs w:val="28"/>
        </w:rPr>
        <w:t>.</w:t>
      </w:r>
      <w:r w:rsidR="00A90A44">
        <w:rPr>
          <w:szCs w:val="28"/>
        </w:rPr>
        <w:tab/>
      </w:r>
      <w:r w:rsidR="006F51E3">
        <w:rPr>
          <w:szCs w:val="28"/>
        </w:rPr>
        <w:t xml:space="preserve">Both Mr Pun and Mr Ma </w:t>
      </w:r>
      <w:r w:rsidR="00D75582">
        <w:rPr>
          <w:szCs w:val="28"/>
        </w:rPr>
        <w:t xml:space="preserve">then </w:t>
      </w:r>
      <w:r w:rsidR="006F51E3">
        <w:rPr>
          <w:szCs w:val="28"/>
        </w:rPr>
        <w:t xml:space="preserve">urged us to uphold the CP Orders even if we were to set aside the Dismissal Orders.  They invited us not to impose a community service order even though it carries punishment and deterrence and at the same time takes care of the respondent’s rehabilitation.  They argued that the curfew in special condition (b) of the CP Orders is also a kind of punishment as it is a restriction on liberty.  They further submitted that under special condition (d) of the CP Orders, the respondents could be directed to do voluntary work.  That is as good as </w:t>
      </w:r>
      <w:r w:rsidR="00231E17">
        <w:rPr>
          <w:szCs w:val="28"/>
        </w:rPr>
        <w:t>a community service order</w:t>
      </w:r>
      <w:r w:rsidR="00D75582">
        <w:rPr>
          <w:szCs w:val="28"/>
        </w:rPr>
        <w:t>.  Counsel’s submissions are entirely mis</w:t>
      </w:r>
      <w:r>
        <w:rPr>
          <w:szCs w:val="28"/>
        </w:rPr>
        <w:t>place</w:t>
      </w:r>
      <w:r w:rsidR="00D75582">
        <w:rPr>
          <w:szCs w:val="28"/>
        </w:rPr>
        <w:t>d</w:t>
      </w:r>
      <w:r w:rsidR="006F51E3">
        <w:rPr>
          <w:szCs w:val="28"/>
        </w:rPr>
        <w:t>.</w:t>
      </w:r>
    </w:p>
    <w:p w:rsidR="006F51E3" w:rsidRDefault="006F51E3" w:rsidP="006F51E3">
      <w:pPr>
        <w:spacing w:after="480" w:line="360" w:lineRule="auto"/>
        <w:jc w:val="both"/>
        <w:rPr>
          <w:szCs w:val="28"/>
        </w:rPr>
      </w:pPr>
      <w:r>
        <w:rPr>
          <w:szCs w:val="28"/>
        </w:rPr>
        <w:t>5</w:t>
      </w:r>
      <w:r w:rsidR="001E457B">
        <w:rPr>
          <w:szCs w:val="28"/>
        </w:rPr>
        <w:t>7</w:t>
      </w:r>
      <w:r>
        <w:rPr>
          <w:szCs w:val="28"/>
        </w:rPr>
        <w:t>.</w:t>
      </w:r>
      <w:r>
        <w:rPr>
          <w:szCs w:val="28"/>
        </w:rPr>
        <w:tab/>
        <w:t xml:space="preserve">Despite the special conditions, the CP Orders focus </w:t>
      </w:r>
      <w:r w:rsidR="00231E17">
        <w:rPr>
          <w:szCs w:val="28"/>
        </w:rPr>
        <w:t xml:space="preserve">exclusively </w:t>
      </w:r>
      <w:r>
        <w:rPr>
          <w:szCs w:val="28"/>
        </w:rPr>
        <w:t>on the respondents’ need for care and protection.  They remain</w:t>
      </w:r>
      <w:r w:rsidR="00D75582">
        <w:rPr>
          <w:szCs w:val="28"/>
        </w:rPr>
        <w:t xml:space="preserve"> in substance a</w:t>
      </w:r>
      <w:r>
        <w:rPr>
          <w:szCs w:val="28"/>
        </w:rPr>
        <w:t xml:space="preserve"> rehabilitative sentencing option with no weight being given to punishment and deterrence.  The kind of restriction imposed by special condition (b) is </w:t>
      </w:r>
      <w:r w:rsidR="001E457B">
        <w:rPr>
          <w:szCs w:val="28"/>
        </w:rPr>
        <w:t xml:space="preserve">not </w:t>
      </w:r>
      <w:r w:rsidR="001D43D9">
        <w:rPr>
          <w:szCs w:val="28"/>
        </w:rPr>
        <w:t>a real</w:t>
      </w:r>
      <w:r>
        <w:rPr>
          <w:szCs w:val="28"/>
        </w:rPr>
        <w:t xml:space="preserve"> curtailment on the respondents’ liberty.  As to counsel’s reliance on special condition (d), they have missed the material distinction between special condition (d) and a community service </w:t>
      </w:r>
      <w:r w:rsidR="001D43D9">
        <w:rPr>
          <w:szCs w:val="28"/>
        </w:rPr>
        <w:t>order.  A</w:t>
      </w:r>
      <w:r>
        <w:rPr>
          <w:szCs w:val="28"/>
        </w:rPr>
        <w:t>lthoug</w:t>
      </w:r>
      <w:r w:rsidR="00C50C20">
        <w:rPr>
          <w:szCs w:val="28"/>
        </w:rPr>
        <w:t>h under both the respondents would be</w:t>
      </w:r>
      <w:r>
        <w:rPr>
          <w:szCs w:val="28"/>
        </w:rPr>
        <w:t xml:space="preserve"> directed to do voluntary community service</w:t>
      </w:r>
      <w:r w:rsidR="001D43D9">
        <w:rPr>
          <w:szCs w:val="28"/>
        </w:rPr>
        <w:t>,</w:t>
      </w:r>
      <w:r>
        <w:rPr>
          <w:szCs w:val="28"/>
        </w:rPr>
        <w:t xml:space="preserve"> the </w:t>
      </w:r>
      <w:r>
        <w:rPr>
          <w:szCs w:val="28"/>
        </w:rPr>
        <w:lastRenderedPageBreak/>
        <w:t>consequence</w:t>
      </w:r>
      <w:r w:rsidR="001D43D9">
        <w:rPr>
          <w:szCs w:val="28"/>
        </w:rPr>
        <w:t>s</w:t>
      </w:r>
      <w:r>
        <w:rPr>
          <w:szCs w:val="28"/>
        </w:rPr>
        <w:t xml:space="preserve"> of breach if the respondents did not comply with such direction</w:t>
      </w:r>
      <w:r w:rsidR="001D43D9">
        <w:rPr>
          <w:szCs w:val="28"/>
        </w:rPr>
        <w:t xml:space="preserve"> are significantly different</w:t>
      </w:r>
      <w:r>
        <w:rPr>
          <w:szCs w:val="28"/>
        </w:rPr>
        <w:t>.  Under section 34D of the PCJO, the court may impose further appropriate direction under section 34C(2); whereas under section 8 of the Community Service Orders Ordinance (“CSOO”),</w:t>
      </w:r>
      <w:r>
        <w:rPr>
          <w:rStyle w:val="FootnoteReference"/>
          <w:szCs w:val="28"/>
        </w:rPr>
        <w:footnoteReference w:id="17"/>
      </w:r>
      <w:r>
        <w:rPr>
          <w:szCs w:val="28"/>
        </w:rPr>
        <w:t xml:space="preserve"> the court may impose a fine of not ex</w:t>
      </w:r>
      <w:r w:rsidR="00180E99">
        <w:rPr>
          <w:szCs w:val="28"/>
        </w:rPr>
        <w:t>ceeding HK$1,000 or even revoke</w:t>
      </w:r>
      <w:r>
        <w:rPr>
          <w:szCs w:val="28"/>
        </w:rPr>
        <w:t xml:space="preserve"> the order and “resentence” them for the offence</w:t>
      </w:r>
      <w:r w:rsidR="00180E99">
        <w:rPr>
          <w:szCs w:val="28"/>
        </w:rPr>
        <w:t xml:space="preserve">.  </w:t>
      </w:r>
      <w:r w:rsidR="0008310D">
        <w:rPr>
          <w:szCs w:val="28"/>
        </w:rPr>
        <w:t xml:space="preserve">This is a punitive element not found in section 34D of the PCJO.  </w:t>
      </w:r>
      <w:r w:rsidR="00180E99">
        <w:rPr>
          <w:szCs w:val="28"/>
        </w:rPr>
        <w:t>As such, special condition (d</w:t>
      </w:r>
      <w:r>
        <w:rPr>
          <w:szCs w:val="28"/>
        </w:rPr>
        <w:t xml:space="preserve">) </w:t>
      </w:r>
      <w:r w:rsidR="00D75582">
        <w:rPr>
          <w:szCs w:val="28"/>
        </w:rPr>
        <w:t xml:space="preserve">does not turn the CP Orders into something </w:t>
      </w:r>
      <w:r>
        <w:rPr>
          <w:szCs w:val="28"/>
        </w:rPr>
        <w:t>relevantly similar to a community service order.</w:t>
      </w:r>
    </w:p>
    <w:p w:rsidR="006F51E3" w:rsidRDefault="001E457B" w:rsidP="006F51E3">
      <w:pPr>
        <w:spacing w:after="480" w:line="360" w:lineRule="auto"/>
        <w:jc w:val="both"/>
        <w:rPr>
          <w:szCs w:val="28"/>
        </w:rPr>
      </w:pPr>
      <w:r>
        <w:rPr>
          <w:szCs w:val="28"/>
        </w:rPr>
        <w:t>58</w:t>
      </w:r>
      <w:r w:rsidR="006F51E3">
        <w:rPr>
          <w:szCs w:val="28"/>
        </w:rPr>
        <w:t>.</w:t>
      </w:r>
      <w:r w:rsidR="006F51E3">
        <w:rPr>
          <w:szCs w:val="28"/>
        </w:rPr>
        <w:tab/>
        <w:t xml:space="preserve">Mr Pun further submitted that it is necessary to </w:t>
      </w:r>
      <w:r w:rsidR="008465D8">
        <w:rPr>
          <w:szCs w:val="28"/>
        </w:rPr>
        <w:t>keep special condition (c) so that</w:t>
      </w:r>
      <w:r w:rsidR="006F51E3">
        <w:rPr>
          <w:szCs w:val="28"/>
        </w:rPr>
        <w:t xml:space="preserve"> the 1</w:t>
      </w:r>
      <w:r w:rsidR="006F51E3" w:rsidRPr="00444B56">
        <w:rPr>
          <w:szCs w:val="28"/>
          <w:vertAlign w:val="superscript"/>
        </w:rPr>
        <w:t>st</w:t>
      </w:r>
      <w:r w:rsidR="006F51E3">
        <w:rPr>
          <w:szCs w:val="28"/>
        </w:rPr>
        <w:t xml:space="preserve"> respondent </w:t>
      </w:r>
      <w:r w:rsidR="008465D8">
        <w:rPr>
          <w:szCs w:val="28"/>
        </w:rPr>
        <w:t xml:space="preserve">will continue </w:t>
      </w:r>
      <w:r w:rsidR="006F51E3">
        <w:rPr>
          <w:szCs w:val="28"/>
        </w:rPr>
        <w:t xml:space="preserve">to attend medical/psychiatric treatment.  Since special condition </w:t>
      </w:r>
      <w:r w:rsidR="001518E7">
        <w:rPr>
          <w:szCs w:val="28"/>
        </w:rPr>
        <w:t xml:space="preserve">(c) </w:t>
      </w:r>
      <w:r w:rsidR="008465D8">
        <w:rPr>
          <w:szCs w:val="28"/>
        </w:rPr>
        <w:t>can only be imposed in a care and</w:t>
      </w:r>
      <w:r w:rsidR="006F51E3">
        <w:rPr>
          <w:szCs w:val="28"/>
        </w:rPr>
        <w:t xml:space="preserve"> protection order but a community service order</w:t>
      </w:r>
      <w:r w:rsidR="001518E7" w:rsidRPr="001518E7">
        <w:rPr>
          <w:szCs w:val="28"/>
        </w:rPr>
        <w:t xml:space="preserve"> </w:t>
      </w:r>
      <w:r w:rsidR="001518E7">
        <w:rPr>
          <w:szCs w:val="28"/>
        </w:rPr>
        <w:t>can specify conditions relating to community service only</w:t>
      </w:r>
      <w:r w:rsidR="008465D8">
        <w:rPr>
          <w:szCs w:val="28"/>
        </w:rPr>
        <w:t>, the court should not disturb</w:t>
      </w:r>
      <w:r w:rsidR="006F51E3">
        <w:rPr>
          <w:szCs w:val="28"/>
        </w:rPr>
        <w:t xml:space="preserve"> the CP Order.  With respect, Mr Pun’s submission is plainly wrong.</w:t>
      </w:r>
    </w:p>
    <w:p w:rsidR="006F51E3" w:rsidRDefault="001E457B" w:rsidP="006F51E3">
      <w:pPr>
        <w:spacing w:after="480" w:line="360" w:lineRule="auto"/>
        <w:jc w:val="both"/>
        <w:rPr>
          <w:szCs w:val="28"/>
        </w:rPr>
      </w:pPr>
      <w:r>
        <w:rPr>
          <w:szCs w:val="28"/>
        </w:rPr>
        <w:t>59</w:t>
      </w:r>
      <w:r w:rsidR="00180E99">
        <w:rPr>
          <w:szCs w:val="28"/>
        </w:rPr>
        <w:t>.</w:t>
      </w:r>
      <w:r w:rsidR="00180E99">
        <w:rPr>
          <w:szCs w:val="28"/>
        </w:rPr>
        <w:tab/>
        <w:t>Section 5(1)(a) of CSO</w:t>
      </w:r>
      <w:r w:rsidR="006F51E3">
        <w:rPr>
          <w:szCs w:val="28"/>
        </w:rPr>
        <w:t>O expressly empowers the court to “specify in the order conditions to be complied with by the offender duri</w:t>
      </w:r>
      <w:r w:rsidR="00180E99">
        <w:rPr>
          <w:szCs w:val="28"/>
        </w:rPr>
        <w:t xml:space="preserve">ng the period that the order </w:t>
      </w:r>
      <w:r w:rsidR="006F51E3">
        <w:rPr>
          <w:szCs w:val="28"/>
        </w:rPr>
        <w:t xml:space="preserve">is in force”.  </w:t>
      </w:r>
      <w:r w:rsidR="001518E7">
        <w:rPr>
          <w:szCs w:val="28"/>
        </w:rPr>
        <w:t xml:space="preserve">On a proper construction, the </w:t>
      </w:r>
      <w:r w:rsidR="006F51E3">
        <w:rPr>
          <w:szCs w:val="28"/>
        </w:rPr>
        <w:t xml:space="preserve">court must be entitled to impose a tailor-made condition that fits the particular needs and circumstances of the </w:t>
      </w:r>
      <w:r w:rsidR="00D75582">
        <w:rPr>
          <w:szCs w:val="28"/>
        </w:rPr>
        <w:t>1</w:t>
      </w:r>
      <w:r w:rsidR="00D75582" w:rsidRPr="00D75582">
        <w:rPr>
          <w:szCs w:val="28"/>
          <w:vertAlign w:val="superscript"/>
        </w:rPr>
        <w:t>st</w:t>
      </w:r>
      <w:r w:rsidR="00D75582">
        <w:rPr>
          <w:szCs w:val="28"/>
        </w:rPr>
        <w:t xml:space="preserve"> respondent</w:t>
      </w:r>
      <w:r w:rsidR="006F51E3">
        <w:rPr>
          <w:szCs w:val="28"/>
        </w:rPr>
        <w:t>.  The restriction on the court’s power as argued by Mr Pun is unwarranted.</w:t>
      </w:r>
    </w:p>
    <w:p w:rsidR="00DE35F4" w:rsidRDefault="006F51E3" w:rsidP="00B66128">
      <w:pPr>
        <w:tabs>
          <w:tab w:val="clear" w:pos="4234"/>
          <w:tab w:val="clear" w:pos="8453"/>
        </w:tabs>
        <w:snapToGrid/>
        <w:spacing w:after="480" w:line="360" w:lineRule="auto"/>
        <w:jc w:val="both"/>
        <w:rPr>
          <w:szCs w:val="28"/>
        </w:rPr>
      </w:pPr>
      <w:r>
        <w:rPr>
          <w:szCs w:val="28"/>
        </w:rPr>
        <w:lastRenderedPageBreak/>
        <w:t>6</w:t>
      </w:r>
      <w:r w:rsidR="001E457B">
        <w:rPr>
          <w:szCs w:val="28"/>
        </w:rPr>
        <w:t>0</w:t>
      </w:r>
      <w:r w:rsidR="00B66128">
        <w:rPr>
          <w:szCs w:val="28"/>
        </w:rPr>
        <w:t>.</w:t>
      </w:r>
      <w:r w:rsidR="00B66128">
        <w:rPr>
          <w:szCs w:val="28"/>
        </w:rPr>
        <w:tab/>
      </w:r>
      <w:r w:rsidR="00DE35F4">
        <w:rPr>
          <w:szCs w:val="28"/>
        </w:rPr>
        <w:t xml:space="preserve">Ms Lam, DDPP, for the applicant, </w:t>
      </w:r>
      <w:r w:rsidR="001E457B">
        <w:rPr>
          <w:szCs w:val="28"/>
        </w:rPr>
        <w:t xml:space="preserve">on the other hand </w:t>
      </w:r>
      <w:r w:rsidR="00DE35F4">
        <w:rPr>
          <w:szCs w:val="28"/>
        </w:rPr>
        <w:t>submitted that the court should impose an immediate custodial sentence.  She even suggested that a short term immediat</w:t>
      </w:r>
      <w:r w:rsidR="003E092E">
        <w:rPr>
          <w:szCs w:val="28"/>
        </w:rPr>
        <w:t>e imprisonment is appropriate.</w:t>
      </w:r>
    </w:p>
    <w:p w:rsidR="00DE35F4" w:rsidRDefault="006F51E3" w:rsidP="00B66128">
      <w:pPr>
        <w:tabs>
          <w:tab w:val="clear" w:pos="4234"/>
          <w:tab w:val="clear" w:pos="8453"/>
        </w:tabs>
        <w:snapToGrid/>
        <w:spacing w:after="480" w:line="360" w:lineRule="auto"/>
        <w:jc w:val="both"/>
        <w:rPr>
          <w:szCs w:val="28"/>
        </w:rPr>
      </w:pPr>
      <w:r>
        <w:rPr>
          <w:szCs w:val="28"/>
        </w:rPr>
        <w:t>6</w:t>
      </w:r>
      <w:r w:rsidR="00DF7C09">
        <w:rPr>
          <w:szCs w:val="28"/>
        </w:rPr>
        <w:t>1</w:t>
      </w:r>
      <w:r w:rsidR="00B66128">
        <w:rPr>
          <w:szCs w:val="28"/>
        </w:rPr>
        <w:t>.</w:t>
      </w:r>
      <w:r w:rsidR="00B66128">
        <w:rPr>
          <w:szCs w:val="28"/>
        </w:rPr>
        <w:tab/>
      </w:r>
      <w:r w:rsidR="003E092E">
        <w:rPr>
          <w:szCs w:val="28"/>
        </w:rPr>
        <w:t>However, b</w:t>
      </w:r>
      <w:r w:rsidR="00DE35F4" w:rsidRPr="001B5823">
        <w:rPr>
          <w:szCs w:val="28"/>
        </w:rPr>
        <w:t xml:space="preserve">earing in mind </w:t>
      </w:r>
      <w:r w:rsidR="00DE35F4">
        <w:rPr>
          <w:szCs w:val="28"/>
        </w:rPr>
        <w:t xml:space="preserve">that </w:t>
      </w:r>
      <w:r w:rsidR="00DE35F4" w:rsidRPr="001B5823">
        <w:rPr>
          <w:szCs w:val="28"/>
        </w:rPr>
        <w:t>it is an application for review and as mandated by section 11</w:t>
      </w:r>
      <w:r w:rsidR="00DF7C09">
        <w:rPr>
          <w:szCs w:val="28"/>
        </w:rPr>
        <w:t>(2)</w:t>
      </w:r>
      <w:r w:rsidR="00DE35F4" w:rsidRPr="001B5823">
        <w:rPr>
          <w:szCs w:val="28"/>
        </w:rPr>
        <w:t xml:space="preserve"> of the </w:t>
      </w:r>
      <w:r w:rsidR="00DE35F4">
        <w:rPr>
          <w:szCs w:val="28"/>
        </w:rPr>
        <w:t>JOO</w:t>
      </w:r>
      <w:r w:rsidR="00DE35F4" w:rsidRPr="001B5823">
        <w:rPr>
          <w:szCs w:val="28"/>
        </w:rPr>
        <w:t xml:space="preserve">, if there are other suitable ways to deal with the respondents, who are under 16, we </w:t>
      </w:r>
      <w:r w:rsidR="00DE35F4">
        <w:rPr>
          <w:szCs w:val="28"/>
        </w:rPr>
        <w:t xml:space="preserve">should </w:t>
      </w:r>
      <w:r w:rsidR="00DE35F4" w:rsidRPr="001B5823">
        <w:rPr>
          <w:szCs w:val="28"/>
        </w:rPr>
        <w:t xml:space="preserve">not impose immediate custodial sentence on them.  </w:t>
      </w:r>
      <w:r w:rsidR="00DF7C09">
        <w:rPr>
          <w:szCs w:val="28"/>
        </w:rPr>
        <w:t xml:space="preserve">In this regard, we do not </w:t>
      </w:r>
      <w:proofErr w:type="gramStart"/>
      <w:r w:rsidR="00DF7C09">
        <w:rPr>
          <w:szCs w:val="28"/>
        </w:rPr>
        <w:t>agreed</w:t>
      </w:r>
      <w:proofErr w:type="gramEnd"/>
      <w:r w:rsidR="00DF7C09">
        <w:rPr>
          <w:szCs w:val="28"/>
        </w:rPr>
        <w:t xml:space="preserve"> with Ms Lam’s reading of section 11(2), namely a young person cannot be suitably dealt with in ways other than a sentence of imprisonment if the offence he commit</w:t>
      </w:r>
      <w:r w:rsidR="00F25A7C">
        <w:rPr>
          <w:szCs w:val="28"/>
        </w:rPr>
        <w:t>ted</w:t>
      </w:r>
      <w:r w:rsidR="00DF7C09">
        <w:rPr>
          <w:szCs w:val="28"/>
        </w:rPr>
        <w:t xml:space="preserve"> is serious, irrespective of his personal circumstances:</w:t>
      </w:r>
      <w:r w:rsidR="00F25A7C">
        <w:rPr>
          <w:szCs w:val="28"/>
        </w:rPr>
        <w:t xml:space="preserve"> see</w:t>
      </w:r>
      <w:r w:rsidR="00DF7C09">
        <w:rPr>
          <w:szCs w:val="28"/>
        </w:rPr>
        <w:t xml:space="preserve"> </w:t>
      </w:r>
      <w:r w:rsidR="00DF7C09" w:rsidRPr="00DF7C09">
        <w:rPr>
          <w:i/>
          <w:szCs w:val="28"/>
        </w:rPr>
        <w:t>Secretary for Justice v SWS</w:t>
      </w:r>
      <w:r w:rsidR="00DF7C09">
        <w:rPr>
          <w:szCs w:val="28"/>
        </w:rPr>
        <w:t>, supra, at [45] to [49]</w:t>
      </w:r>
      <w:r w:rsidR="007A43DB">
        <w:rPr>
          <w:szCs w:val="28"/>
        </w:rPr>
        <w:t xml:space="preserve">.  </w:t>
      </w:r>
      <w:r w:rsidR="00DE35F4" w:rsidRPr="001B5823">
        <w:rPr>
          <w:szCs w:val="28"/>
        </w:rPr>
        <w:t xml:space="preserve">In order to ascertain if there are suitable alternatives other than immediate custodial sentence, we </w:t>
      </w:r>
      <w:r w:rsidR="007A43DB">
        <w:rPr>
          <w:szCs w:val="28"/>
        </w:rPr>
        <w:t xml:space="preserve">had </w:t>
      </w:r>
      <w:r w:rsidR="00792E95">
        <w:rPr>
          <w:szCs w:val="28"/>
        </w:rPr>
        <w:t>decided to call</w:t>
      </w:r>
      <w:r w:rsidR="00DE35F4" w:rsidRPr="001B5823">
        <w:rPr>
          <w:szCs w:val="28"/>
        </w:rPr>
        <w:t xml:space="preserve"> for a probation officer’s report and a community service order </w:t>
      </w:r>
      <w:r w:rsidR="00CB207E">
        <w:rPr>
          <w:szCs w:val="28"/>
        </w:rPr>
        <w:t xml:space="preserve">suitability </w:t>
      </w:r>
      <w:r w:rsidR="00DE35F4" w:rsidRPr="001B5823">
        <w:rPr>
          <w:szCs w:val="28"/>
        </w:rPr>
        <w:t>report on each of the respondents</w:t>
      </w:r>
      <w:r w:rsidR="00DE35F4">
        <w:rPr>
          <w:szCs w:val="28"/>
        </w:rPr>
        <w:t xml:space="preserve"> and adjourned sentence to 13 November 2020</w:t>
      </w:r>
      <w:r w:rsidR="00DE35F4" w:rsidRPr="001B5823">
        <w:rPr>
          <w:szCs w:val="28"/>
        </w:rPr>
        <w:t>.</w:t>
      </w:r>
    </w:p>
    <w:p w:rsidR="00C964AC" w:rsidRDefault="00C964AC" w:rsidP="00B66128">
      <w:pPr>
        <w:tabs>
          <w:tab w:val="clear" w:pos="4234"/>
          <w:tab w:val="clear" w:pos="8453"/>
        </w:tabs>
        <w:snapToGrid/>
        <w:spacing w:after="480" w:line="360" w:lineRule="auto"/>
        <w:jc w:val="both"/>
        <w:rPr>
          <w:szCs w:val="28"/>
        </w:rPr>
      </w:pPr>
      <w:r>
        <w:rPr>
          <w:szCs w:val="28"/>
        </w:rPr>
        <w:t>6</w:t>
      </w:r>
      <w:r w:rsidR="007A43DB">
        <w:rPr>
          <w:szCs w:val="28"/>
        </w:rPr>
        <w:t>2</w:t>
      </w:r>
      <w:r>
        <w:rPr>
          <w:szCs w:val="28"/>
        </w:rPr>
        <w:t>.</w:t>
      </w:r>
      <w:r>
        <w:rPr>
          <w:szCs w:val="28"/>
        </w:rPr>
        <w:tab/>
        <w:t>For the above reasons, we made the orders as set out at [4] above.</w:t>
      </w:r>
    </w:p>
    <w:p w:rsidR="003E092E" w:rsidRPr="00A90A44" w:rsidRDefault="003E092E" w:rsidP="003E092E">
      <w:pPr>
        <w:keepNext/>
        <w:tabs>
          <w:tab w:val="clear" w:pos="1440"/>
          <w:tab w:val="left" w:pos="720"/>
        </w:tabs>
        <w:spacing w:after="240" w:line="360" w:lineRule="auto"/>
        <w:jc w:val="both"/>
        <w:rPr>
          <w:i/>
          <w:szCs w:val="28"/>
        </w:rPr>
      </w:pPr>
      <w:r>
        <w:rPr>
          <w:i/>
          <w:szCs w:val="28"/>
        </w:rPr>
        <w:t>D3.4</w:t>
      </w:r>
      <w:r w:rsidRPr="00A90A44">
        <w:rPr>
          <w:i/>
          <w:szCs w:val="28"/>
        </w:rPr>
        <w:tab/>
      </w:r>
      <w:r w:rsidR="0008310D">
        <w:rPr>
          <w:i/>
          <w:szCs w:val="28"/>
        </w:rPr>
        <w:t>Sentencing the respondents</w:t>
      </w:r>
    </w:p>
    <w:p w:rsidR="0008310D" w:rsidRDefault="006F51E3" w:rsidP="00741488">
      <w:pPr>
        <w:spacing w:after="240" w:line="360" w:lineRule="auto"/>
        <w:jc w:val="both"/>
        <w:rPr>
          <w:szCs w:val="28"/>
        </w:rPr>
      </w:pPr>
      <w:r>
        <w:rPr>
          <w:szCs w:val="28"/>
        </w:rPr>
        <w:t>6</w:t>
      </w:r>
      <w:r w:rsidR="007A43DB">
        <w:rPr>
          <w:szCs w:val="28"/>
        </w:rPr>
        <w:t>3</w:t>
      </w:r>
      <w:r w:rsidR="00B66128">
        <w:rPr>
          <w:szCs w:val="28"/>
        </w:rPr>
        <w:t>.</w:t>
      </w:r>
      <w:r w:rsidR="00B66128">
        <w:rPr>
          <w:szCs w:val="28"/>
        </w:rPr>
        <w:tab/>
      </w:r>
      <w:r w:rsidR="0008310D">
        <w:rPr>
          <w:szCs w:val="28"/>
        </w:rPr>
        <w:t>The probation officer’s report cum community service order suitability report in respect of the 1</w:t>
      </w:r>
      <w:r w:rsidR="0008310D" w:rsidRPr="00897F30">
        <w:rPr>
          <w:szCs w:val="28"/>
          <w:vertAlign w:val="superscript"/>
        </w:rPr>
        <w:t>st</w:t>
      </w:r>
      <w:r w:rsidR="0008310D">
        <w:rPr>
          <w:szCs w:val="28"/>
        </w:rPr>
        <w:t xml:space="preserve"> respondent stated:</w:t>
      </w:r>
    </w:p>
    <w:p w:rsidR="0008310D" w:rsidRPr="00741488" w:rsidRDefault="00034CBC" w:rsidP="00741488">
      <w:pPr>
        <w:tabs>
          <w:tab w:val="clear" w:pos="8453"/>
        </w:tabs>
        <w:spacing w:after="600"/>
        <w:ind w:left="1526" w:right="619"/>
        <w:jc w:val="both"/>
        <w:rPr>
          <w:sz w:val="24"/>
          <w:szCs w:val="24"/>
        </w:rPr>
      </w:pPr>
      <w:r w:rsidRPr="00741488">
        <w:rPr>
          <w:sz w:val="24"/>
          <w:szCs w:val="24"/>
        </w:rPr>
        <w:t xml:space="preserve">“To conclude, the </w:t>
      </w:r>
      <w:r w:rsidR="00A75F48">
        <w:rPr>
          <w:sz w:val="24"/>
          <w:szCs w:val="24"/>
        </w:rPr>
        <w:t>[1</w:t>
      </w:r>
      <w:r w:rsidR="00A75F48" w:rsidRPr="00A75F48">
        <w:rPr>
          <w:sz w:val="24"/>
          <w:szCs w:val="24"/>
          <w:vertAlign w:val="superscript"/>
        </w:rPr>
        <w:t>st</w:t>
      </w:r>
      <w:r w:rsidR="00A75F48">
        <w:rPr>
          <w:sz w:val="24"/>
          <w:szCs w:val="24"/>
        </w:rPr>
        <w:t xml:space="preserve"> </w:t>
      </w:r>
      <w:r w:rsidRPr="00741488">
        <w:rPr>
          <w:sz w:val="24"/>
          <w:szCs w:val="24"/>
        </w:rPr>
        <w:t>respondent</w:t>
      </w:r>
      <w:r w:rsidR="00A75F48">
        <w:rPr>
          <w:sz w:val="24"/>
          <w:szCs w:val="24"/>
        </w:rPr>
        <w:t>]</w:t>
      </w:r>
      <w:r w:rsidRPr="00741488">
        <w:rPr>
          <w:sz w:val="24"/>
          <w:szCs w:val="24"/>
        </w:rPr>
        <w:t>, aged 15, is a teenager coming from an intact family.  She received adequate care and guidance from her parents and paternal grandmother.  All along, she behaved well and performed satisfactorily at school.  She suffered from mental illness since aged 10.  She attended regular psychiatric follow up on schedule with good drug compliance.  She strived hard to overcome her mental illness and worked hard to continue her studying in recent year.</w:t>
      </w:r>
      <w:r w:rsidR="00D51BE1">
        <w:rPr>
          <w:sz w:val="24"/>
          <w:szCs w:val="24"/>
        </w:rPr>
        <w:t xml:space="preserve"> </w:t>
      </w:r>
      <w:r w:rsidRPr="00741488">
        <w:rPr>
          <w:sz w:val="24"/>
          <w:szCs w:val="24"/>
        </w:rPr>
        <w:t xml:space="preserve"> Her mental condition </w:t>
      </w:r>
      <w:r w:rsidRPr="00741488">
        <w:rPr>
          <w:sz w:val="24"/>
          <w:szCs w:val="24"/>
        </w:rPr>
        <w:lastRenderedPageBreak/>
        <w:t xml:space="preserve">turned worse during present legal </w:t>
      </w:r>
      <w:r w:rsidR="00A75F48">
        <w:rPr>
          <w:sz w:val="24"/>
          <w:szCs w:val="24"/>
        </w:rPr>
        <w:t>[proceedi</w:t>
      </w:r>
      <w:r w:rsidRPr="00741488">
        <w:rPr>
          <w:sz w:val="24"/>
          <w:szCs w:val="24"/>
        </w:rPr>
        <w:t>ng</w:t>
      </w:r>
      <w:r w:rsidR="00A75F48">
        <w:rPr>
          <w:sz w:val="24"/>
          <w:szCs w:val="24"/>
        </w:rPr>
        <w:t>s]</w:t>
      </w:r>
      <w:r w:rsidRPr="00741488">
        <w:rPr>
          <w:sz w:val="24"/>
          <w:szCs w:val="24"/>
        </w:rPr>
        <w:t xml:space="preserve">.  She suffered from depression and Post-traumatic stress disorder (PTSD).  She attended first psychiatric follow up in Queen Mary Hospital on 23.10.2020.  Under the influence of social media and weak legal sense, </w:t>
      </w:r>
      <w:r w:rsidR="00A75F48">
        <w:rPr>
          <w:sz w:val="24"/>
          <w:szCs w:val="24"/>
        </w:rPr>
        <w:t>[</w:t>
      </w:r>
      <w:r w:rsidRPr="00741488">
        <w:rPr>
          <w:sz w:val="24"/>
          <w:szCs w:val="24"/>
        </w:rPr>
        <w:t xml:space="preserve">the </w:t>
      </w:r>
      <w:r w:rsidR="00A75F48">
        <w:rPr>
          <w:sz w:val="24"/>
          <w:szCs w:val="24"/>
        </w:rPr>
        <w:t>1</w:t>
      </w:r>
      <w:r w:rsidR="00A75F48" w:rsidRPr="00A75F48">
        <w:rPr>
          <w:sz w:val="24"/>
          <w:szCs w:val="24"/>
          <w:vertAlign w:val="superscript"/>
        </w:rPr>
        <w:t>st</w:t>
      </w:r>
      <w:r w:rsidR="00A75F48">
        <w:rPr>
          <w:sz w:val="24"/>
          <w:szCs w:val="24"/>
        </w:rPr>
        <w:t xml:space="preserve"> </w:t>
      </w:r>
      <w:r w:rsidR="002C2A1B">
        <w:rPr>
          <w:sz w:val="24"/>
          <w:szCs w:val="24"/>
        </w:rPr>
        <w:t>r</w:t>
      </w:r>
      <w:r w:rsidRPr="00741488">
        <w:rPr>
          <w:sz w:val="24"/>
          <w:szCs w:val="24"/>
        </w:rPr>
        <w:t>espondent</w:t>
      </w:r>
      <w:r w:rsidR="00A75F48">
        <w:rPr>
          <w:sz w:val="24"/>
          <w:szCs w:val="24"/>
        </w:rPr>
        <w:t>]</w:t>
      </w:r>
      <w:r w:rsidRPr="00741488">
        <w:rPr>
          <w:sz w:val="24"/>
          <w:szCs w:val="24"/>
        </w:rPr>
        <w:t xml:space="preserve"> committed the present offence.  She expressed deep remorse for getting involved in law-breaking act.  She showed motivation to receive professional guidance to strengthen her legal sense during social enquiry.  She wished to work anew and did not make trouble to her parents anymore.  In view of </w:t>
      </w:r>
      <w:r w:rsidR="00A75F48">
        <w:rPr>
          <w:sz w:val="24"/>
          <w:szCs w:val="24"/>
        </w:rPr>
        <w:t>[the 1</w:t>
      </w:r>
      <w:r w:rsidR="00A75F48" w:rsidRPr="00A75F48">
        <w:rPr>
          <w:sz w:val="24"/>
          <w:szCs w:val="24"/>
          <w:vertAlign w:val="superscript"/>
        </w:rPr>
        <w:t>st</w:t>
      </w:r>
      <w:r w:rsidR="00A75F48">
        <w:rPr>
          <w:sz w:val="24"/>
          <w:szCs w:val="24"/>
        </w:rPr>
        <w:t xml:space="preserve"> </w:t>
      </w:r>
      <w:r w:rsidR="002C2A1B">
        <w:rPr>
          <w:sz w:val="24"/>
          <w:szCs w:val="24"/>
        </w:rPr>
        <w:t>r</w:t>
      </w:r>
      <w:r w:rsidRPr="00741488">
        <w:rPr>
          <w:sz w:val="24"/>
          <w:szCs w:val="24"/>
        </w:rPr>
        <w:t>espondent’s</w:t>
      </w:r>
      <w:r w:rsidR="00A75F48">
        <w:rPr>
          <w:sz w:val="24"/>
          <w:szCs w:val="24"/>
        </w:rPr>
        <w:t>]</w:t>
      </w:r>
      <w:r w:rsidRPr="00741488">
        <w:rPr>
          <w:sz w:val="24"/>
          <w:szCs w:val="24"/>
        </w:rPr>
        <w:t xml:space="preserve"> young age, clear record, strong family support and need for counselling in legal sense, probation supervision would be helpful </w:t>
      </w:r>
      <w:r w:rsidR="00CC3499" w:rsidRPr="00741488">
        <w:rPr>
          <w:sz w:val="24"/>
          <w:szCs w:val="24"/>
        </w:rPr>
        <w:t>and beneficial to her rehabilitation.</w:t>
      </w:r>
      <w:r w:rsidR="00741488" w:rsidRPr="00741488">
        <w:rPr>
          <w:sz w:val="24"/>
          <w:szCs w:val="24"/>
        </w:rPr>
        <w:t>”</w:t>
      </w:r>
    </w:p>
    <w:p w:rsidR="0008310D" w:rsidRDefault="0008310D" w:rsidP="0008310D">
      <w:pPr>
        <w:spacing w:after="480" w:line="360" w:lineRule="auto"/>
        <w:jc w:val="both"/>
        <w:rPr>
          <w:szCs w:val="28"/>
        </w:rPr>
      </w:pPr>
      <w:r>
        <w:rPr>
          <w:szCs w:val="28"/>
        </w:rPr>
        <w:t>The probation officer therefore recommended a 12-month probation with special conditions.</w:t>
      </w:r>
    </w:p>
    <w:p w:rsidR="0008310D" w:rsidRDefault="0008310D" w:rsidP="0008310D">
      <w:pPr>
        <w:spacing w:after="480" w:line="360" w:lineRule="auto"/>
        <w:jc w:val="both"/>
        <w:rPr>
          <w:szCs w:val="28"/>
        </w:rPr>
      </w:pPr>
      <w:r>
        <w:rPr>
          <w:szCs w:val="28"/>
        </w:rPr>
        <w:t>6</w:t>
      </w:r>
      <w:r w:rsidR="007A43DB">
        <w:rPr>
          <w:szCs w:val="28"/>
        </w:rPr>
        <w:t>4</w:t>
      </w:r>
      <w:r>
        <w:rPr>
          <w:szCs w:val="28"/>
        </w:rPr>
        <w:t>.</w:t>
      </w:r>
      <w:r>
        <w:rPr>
          <w:szCs w:val="28"/>
        </w:rPr>
        <w:tab/>
        <w:t>As the 1</w:t>
      </w:r>
      <w:r w:rsidRPr="00897F30">
        <w:rPr>
          <w:szCs w:val="28"/>
          <w:vertAlign w:val="superscript"/>
        </w:rPr>
        <w:t>st</w:t>
      </w:r>
      <w:r>
        <w:rPr>
          <w:szCs w:val="28"/>
        </w:rPr>
        <w:t xml:space="preserve"> respondent suffers from depression and posttraumatic stress disorder and her emotion may be affected by other community service</w:t>
      </w:r>
      <w:r w:rsidR="002B36DF">
        <w:rPr>
          <w:szCs w:val="28"/>
        </w:rPr>
        <w:t xml:space="preserve"> worker o</w:t>
      </w:r>
      <w:r>
        <w:rPr>
          <w:szCs w:val="28"/>
        </w:rPr>
        <w:t>n the work si</w:t>
      </w:r>
      <w:r w:rsidR="00491A61">
        <w:rPr>
          <w:szCs w:val="28"/>
        </w:rPr>
        <w:t>te, the probation officer did</w:t>
      </w:r>
      <w:r>
        <w:rPr>
          <w:szCs w:val="28"/>
        </w:rPr>
        <w:t xml:space="preserve"> not recommend community service order.</w:t>
      </w:r>
    </w:p>
    <w:p w:rsidR="0008310D" w:rsidRDefault="007A43DB" w:rsidP="0008310D">
      <w:pPr>
        <w:spacing w:after="480" w:line="360" w:lineRule="auto"/>
        <w:jc w:val="both"/>
        <w:rPr>
          <w:szCs w:val="28"/>
        </w:rPr>
      </w:pPr>
      <w:r>
        <w:rPr>
          <w:szCs w:val="28"/>
        </w:rPr>
        <w:t>65</w:t>
      </w:r>
      <w:r w:rsidR="0008310D">
        <w:rPr>
          <w:szCs w:val="28"/>
        </w:rPr>
        <w:t>.</w:t>
      </w:r>
      <w:r w:rsidR="0008310D">
        <w:rPr>
          <w:szCs w:val="28"/>
        </w:rPr>
        <w:tab/>
      </w:r>
      <w:r w:rsidR="00736C89">
        <w:rPr>
          <w:szCs w:val="28"/>
        </w:rPr>
        <w:t>Although the 1</w:t>
      </w:r>
      <w:r w:rsidR="00736C89" w:rsidRPr="00736C89">
        <w:rPr>
          <w:szCs w:val="28"/>
          <w:vertAlign w:val="superscript"/>
        </w:rPr>
        <w:t>st</w:t>
      </w:r>
      <w:r w:rsidR="00736C89">
        <w:rPr>
          <w:szCs w:val="28"/>
        </w:rPr>
        <w:t xml:space="preserve"> respondent had committed a serious offence, given her personal circumstances, including extreme youth and mental conditions, we do not consider an immediate custodial sentence to be appropriate.  </w:t>
      </w:r>
      <w:r w:rsidR="00A76B98">
        <w:rPr>
          <w:szCs w:val="28"/>
        </w:rPr>
        <w:t>Concerning community service, w</w:t>
      </w:r>
      <w:r w:rsidR="00384EB1">
        <w:rPr>
          <w:szCs w:val="28"/>
        </w:rPr>
        <w:t>e agree with the probation officer’s assessment.  In particular, we are concerned that community service work on the site may exacerbate the 1</w:t>
      </w:r>
      <w:r w:rsidR="00384EB1" w:rsidRPr="00FC2C9A">
        <w:rPr>
          <w:szCs w:val="28"/>
          <w:vertAlign w:val="superscript"/>
        </w:rPr>
        <w:t>st</w:t>
      </w:r>
      <w:r w:rsidR="00384EB1">
        <w:rPr>
          <w:szCs w:val="28"/>
        </w:rPr>
        <w:t xml:space="preserve"> respondent mental issues.  </w:t>
      </w:r>
      <w:r w:rsidR="0002271C">
        <w:rPr>
          <w:szCs w:val="28"/>
        </w:rPr>
        <w:t>B</w:t>
      </w:r>
      <w:r w:rsidR="00736C89">
        <w:rPr>
          <w:szCs w:val="28"/>
        </w:rPr>
        <w:t xml:space="preserve">ecause of </w:t>
      </w:r>
      <w:r w:rsidR="00384EB1">
        <w:rPr>
          <w:szCs w:val="28"/>
        </w:rPr>
        <w:t>the 1</w:t>
      </w:r>
      <w:r w:rsidR="00384EB1" w:rsidRPr="00FC2C9A">
        <w:rPr>
          <w:szCs w:val="28"/>
          <w:vertAlign w:val="superscript"/>
        </w:rPr>
        <w:t>st</w:t>
      </w:r>
      <w:r w:rsidR="00384EB1">
        <w:rPr>
          <w:szCs w:val="28"/>
        </w:rPr>
        <w:t xml:space="preserve"> respondent</w:t>
      </w:r>
      <w:r w:rsidR="0002271C">
        <w:rPr>
          <w:szCs w:val="28"/>
        </w:rPr>
        <w:t>’s very special circumstances</w:t>
      </w:r>
      <w:r w:rsidR="00384EB1">
        <w:rPr>
          <w:szCs w:val="28"/>
        </w:rPr>
        <w:t xml:space="preserve">, </w:t>
      </w:r>
      <w:r w:rsidR="0002271C">
        <w:rPr>
          <w:szCs w:val="28"/>
        </w:rPr>
        <w:t>community service order is not suitable either.  The remaining suitable option is probation</w:t>
      </w:r>
      <w:r w:rsidR="00384EB1">
        <w:rPr>
          <w:szCs w:val="28"/>
        </w:rPr>
        <w:t xml:space="preserve">.  So we </w:t>
      </w:r>
      <w:r>
        <w:rPr>
          <w:szCs w:val="28"/>
        </w:rPr>
        <w:t xml:space="preserve">imposed </w:t>
      </w:r>
      <w:r w:rsidR="00384EB1">
        <w:rPr>
          <w:szCs w:val="28"/>
        </w:rPr>
        <w:t xml:space="preserve">a 12-month probation </w:t>
      </w:r>
      <w:r>
        <w:rPr>
          <w:szCs w:val="28"/>
        </w:rPr>
        <w:t xml:space="preserve">order on </w:t>
      </w:r>
      <w:r w:rsidR="00F25A7C">
        <w:rPr>
          <w:szCs w:val="28"/>
        </w:rPr>
        <w:t>the 1</w:t>
      </w:r>
      <w:r w:rsidR="00F25A7C" w:rsidRPr="00F25A7C">
        <w:rPr>
          <w:szCs w:val="28"/>
          <w:vertAlign w:val="superscript"/>
        </w:rPr>
        <w:t>st</w:t>
      </w:r>
      <w:r w:rsidR="00F25A7C">
        <w:rPr>
          <w:szCs w:val="28"/>
        </w:rPr>
        <w:t xml:space="preserve"> respondent </w:t>
      </w:r>
      <w:r w:rsidR="00384EB1">
        <w:rPr>
          <w:szCs w:val="28"/>
        </w:rPr>
        <w:t xml:space="preserve">with special conditions as set out </w:t>
      </w:r>
      <w:r w:rsidR="00F25A7C">
        <w:rPr>
          <w:szCs w:val="28"/>
        </w:rPr>
        <w:t xml:space="preserve">at </w:t>
      </w:r>
      <w:r w:rsidR="00384EB1">
        <w:rPr>
          <w:szCs w:val="28"/>
        </w:rPr>
        <w:t xml:space="preserve">[5] above. </w:t>
      </w:r>
    </w:p>
    <w:p w:rsidR="0008310D" w:rsidRDefault="00C964AC" w:rsidP="00741488">
      <w:pPr>
        <w:spacing w:after="240" w:line="360" w:lineRule="auto"/>
        <w:jc w:val="both"/>
        <w:rPr>
          <w:szCs w:val="28"/>
        </w:rPr>
      </w:pPr>
      <w:r>
        <w:rPr>
          <w:szCs w:val="28"/>
        </w:rPr>
        <w:lastRenderedPageBreak/>
        <w:t>6</w:t>
      </w:r>
      <w:r w:rsidR="007A43DB">
        <w:rPr>
          <w:szCs w:val="28"/>
        </w:rPr>
        <w:t>6</w:t>
      </w:r>
      <w:r w:rsidR="0008310D">
        <w:rPr>
          <w:szCs w:val="28"/>
        </w:rPr>
        <w:t>.</w:t>
      </w:r>
      <w:r w:rsidR="0008310D">
        <w:rPr>
          <w:szCs w:val="28"/>
        </w:rPr>
        <w:tab/>
        <w:t>Turning to the 2</w:t>
      </w:r>
      <w:r w:rsidR="0008310D" w:rsidRPr="00897F30">
        <w:rPr>
          <w:szCs w:val="28"/>
          <w:vertAlign w:val="superscript"/>
        </w:rPr>
        <w:t>nd</w:t>
      </w:r>
      <w:r w:rsidR="0008310D">
        <w:rPr>
          <w:szCs w:val="28"/>
        </w:rPr>
        <w:t xml:space="preserve"> respondent, the probation officer’s report cum community service order suitability report had this to say:</w:t>
      </w:r>
    </w:p>
    <w:p w:rsidR="0008310D" w:rsidRPr="00741488" w:rsidRDefault="00741488" w:rsidP="00741488">
      <w:pPr>
        <w:tabs>
          <w:tab w:val="clear" w:pos="8453"/>
        </w:tabs>
        <w:spacing w:after="600"/>
        <w:ind w:left="1526" w:right="619"/>
        <w:jc w:val="both"/>
        <w:rPr>
          <w:sz w:val="24"/>
          <w:szCs w:val="24"/>
        </w:rPr>
      </w:pPr>
      <w:r w:rsidRPr="00741488">
        <w:rPr>
          <w:sz w:val="24"/>
          <w:szCs w:val="24"/>
        </w:rPr>
        <w:t xml:space="preserve">“The </w:t>
      </w:r>
      <w:r w:rsidR="00A75F48">
        <w:rPr>
          <w:sz w:val="24"/>
          <w:szCs w:val="24"/>
        </w:rPr>
        <w:t>[2</w:t>
      </w:r>
      <w:r w:rsidR="00A75F48" w:rsidRPr="00A75F48">
        <w:rPr>
          <w:sz w:val="24"/>
          <w:szCs w:val="24"/>
          <w:vertAlign w:val="superscript"/>
        </w:rPr>
        <w:t>nd</w:t>
      </w:r>
      <w:r w:rsidR="00A75F48">
        <w:rPr>
          <w:sz w:val="24"/>
          <w:szCs w:val="24"/>
        </w:rPr>
        <w:t xml:space="preserve"> r</w:t>
      </w:r>
      <w:r w:rsidRPr="00741488">
        <w:rPr>
          <w:sz w:val="24"/>
          <w:szCs w:val="24"/>
        </w:rPr>
        <w:t>espondent</w:t>
      </w:r>
      <w:r w:rsidR="00A75F48">
        <w:rPr>
          <w:sz w:val="24"/>
          <w:szCs w:val="24"/>
        </w:rPr>
        <w:t>]</w:t>
      </w:r>
      <w:r w:rsidRPr="00741488">
        <w:rPr>
          <w:sz w:val="24"/>
          <w:szCs w:val="24"/>
        </w:rPr>
        <w:t xml:space="preserve"> showed deep remorse for his wrongdoing which was observed by those who know him well.  He asked the Court to grant him a non-custodial sentence so that he can keep his normal life and continue his study.  The parents, the sister, the teachers, the social worker, the supervising officer and those people who wrote mitigation letters begged the Court to grant the </w:t>
      </w:r>
      <w:r w:rsidR="00A75F48">
        <w:rPr>
          <w:sz w:val="24"/>
          <w:szCs w:val="24"/>
        </w:rPr>
        <w:t>[2</w:t>
      </w:r>
      <w:r w:rsidR="00A75F48" w:rsidRPr="00A75F48">
        <w:rPr>
          <w:sz w:val="24"/>
          <w:szCs w:val="24"/>
          <w:vertAlign w:val="superscript"/>
        </w:rPr>
        <w:t>nd</w:t>
      </w:r>
      <w:r w:rsidR="00A75F48">
        <w:rPr>
          <w:sz w:val="24"/>
          <w:szCs w:val="24"/>
        </w:rPr>
        <w:t xml:space="preserve"> r</w:t>
      </w:r>
      <w:r w:rsidRPr="00741488">
        <w:rPr>
          <w:sz w:val="24"/>
          <w:szCs w:val="24"/>
        </w:rPr>
        <w:t>espondent</w:t>
      </w:r>
      <w:r w:rsidR="00A75F48">
        <w:rPr>
          <w:sz w:val="24"/>
          <w:szCs w:val="24"/>
        </w:rPr>
        <w:t>]</w:t>
      </w:r>
      <w:r w:rsidRPr="00741488">
        <w:rPr>
          <w:sz w:val="24"/>
          <w:szCs w:val="24"/>
        </w:rPr>
        <w:t xml:space="preserve"> a chance.  Upon discussion with the </w:t>
      </w:r>
      <w:r w:rsidR="00A75F48">
        <w:rPr>
          <w:sz w:val="24"/>
          <w:szCs w:val="24"/>
        </w:rPr>
        <w:t>[2</w:t>
      </w:r>
      <w:r w:rsidR="00A75F48" w:rsidRPr="00A75F48">
        <w:rPr>
          <w:sz w:val="24"/>
          <w:szCs w:val="24"/>
          <w:vertAlign w:val="superscript"/>
        </w:rPr>
        <w:t>nd</w:t>
      </w:r>
      <w:r w:rsidR="00A75F48">
        <w:rPr>
          <w:sz w:val="24"/>
          <w:szCs w:val="24"/>
        </w:rPr>
        <w:t xml:space="preserve"> r</w:t>
      </w:r>
      <w:r w:rsidRPr="00741488">
        <w:rPr>
          <w:sz w:val="24"/>
          <w:szCs w:val="24"/>
        </w:rPr>
        <w:t>espondent</w:t>
      </w:r>
      <w:r w:rsidR="00A75F48">
        <w:rPr>
          <w:sz w:val="24"/>
          <w:szCs w:val="24"/>
        </w:rPr>
        <w:t>]</w:t>
      </w:r>
      <w:r w:rsidRPr="00741488">
        <w:rPr>
          <w:sz w:val="24"/>
          <w:szCs w:val="24"/>
        </w:rPr>
        <w:t xml:space="preserve"> and his f</w:t>
      </w:r>
      <w:r w:rsidR="002C2A1B">
        <w:rPr>
          <w:sz w:val="24"/>
          <w:szCs w:val="24"/>
        </w:rPr>
        <w:t>amily, it is believed that the [2</w:t>
      </w:r>
      <w:r w:rsidR="002C2A1B" w:rsidRPr="002C2A1B">
        <w:rPr>
          <w:sz w:val="24"/>
          <w:szCs w:val="24"/>
          <w:vertAlign w:val="superscript"/>
        </w:rPr>
        <w:t>nd</w:t>
      </w:r>
      <w:r w:rsidR="002C2A1B">
        <w:rPr>
          <w:sz w:val="24"/>
          <w:szCs w:val="24"/>
        </w:rPr>
        <w:t xml:space="preserve"> r</w:t>
      </w:r>
      <w:r w:rsidRPr="00741488">
        <w:rPr>
          <w:sz w:val="24"/>
          <w:szCs w:val="24"/>
        </w:rPr>
        <w:t>espondent</w:t>
      </w:r>
      <w:r w:rsidR="002C2A1B">
        <w:rPr>
          <w:sz w:val="24"/>
          <w:szCs w:val="24"/>
        </w:rPr>
        <w:t>]</w:t>
      </w:r>
      <w:r w:rsidRPr="00741488">
        <w:rPr>
          <w:sz w:val="24"/>
          <w:szCs w:val="24"/>
        </w:rPr>
        <w:t xml:space="preserve"> is more suitable for </w:t>
      </w:r>
      <w:r w:rsidR="00A75F48">
        <w:rPr>
          <w:sz w:val="24"/>
          <w:szCs w:val="24"/>
        </w:rPr>
        <w:t>[probation order]</w:t>
      </w:r>
      <w:r w:rsidRPr="00741488">
        <w:rPr>
          <w:sz w:val="24"/>
          <w:szCs w:val="24"/>
        </w:rPr>
        <w:t xml:space="preserve"> as he can continue to benefit from supervision like what he received under the </w:t>
      </w:r>
      <w:r w:rsidR="00A75F48">
        <w:rPr>
          <w:sz w:val="24"/>
          <w:szCs w:val="24"/>
        </w:rPr>
        <w:t>[C</w:t>
      </w:r>
      <w:r w:rsidRPr="00741488">
        <w:rPr>
          <w:sz w:val="24"/>
          <w:szCs w:val="24"/>
        </w:rPr>
        <w:t>P Order</w:t>
      </w:r>
      <w:r w:rsidR="00A75F48">
        <w:rPr>
          <w:sz w:val="24"/>
          <w:szCs w:val="24"/>
        </w:rPr>
        <w:t>]</w:t>
      </w:r>
      <w:r w:rsidRPr="00741488">
        <w:rPr>
          <w:sz w:val="24"/>
          <w:szCs w:val="24"/>
        </w:rPr>
        <w:t>.”</w:t>
      </w:r>
    </w:p>
    <w:p w:rsidR="0008310D" w:rsidRDefault="0008310D" w:rsidP="0008310D">
      <w:pPr>
        <w:spacing w:after="480" w:line="360" w:lineRule="auto"/>
        <w:jc w:val="both"/>
        <w:rPr>
          <w:szCs w:val="28"/>
        </w:rPr>
      </w:pPr>
      <w:r>
        <w:rPr>
          <w:szCs w:val="28"/>
        </w:rPr>
        <w:t xml:space="preserve">The probation officer therefore recommended a 12-month probation with a </w:t>
      </w:r>
      <w:r w:rsidR="00EC1C27">
        <w:rPr>
          <w:szCs w:val="28"/>
        </w:rPr>
        <w:t xml:space="preserve">list </w:t>
      </w:r>
      <w:r>
        <w:rPr>
          <w:szCs w:val="28"/>
        </w:rPr>
        <w:t>of special conditions.</w:t>
      </w:r>
    </w:p>
    <w:p w:rsidR="0008310D" w:rsidRDefault="00C964AC" w:rsidP="0008310D">
      <w:pPr>
        <w:spacing w:after="480" w:line="360" w:lineRule="auto"/>
        <w:jc w:val="both"/>
        <w:rPr>
          <w:szCs w:val="28"/>
        </w:rPr>
      </w:pPr>
      <w:r>
        <w:rPr>
          <w:szCs w:val="28"/>
        </w:rPr>
        <w:t>6</w:t>
      </w:r>
      <w:r w:rsidR="00EC1C27">
        <w:rPr>
          <w:szCs w:val="28"/>
        </w:rPr>
        <w:t>7</w:t>
      </w:r>
      <w:r w:rsidR="0008310D">
        <w:rPr>
          <w:szCs w:val="28"/>
        </w:rPr>
        <w:t>.</w:t>
      </w:r>
      <w:r w:rsidR="0008310D">
        <w:rPr>
          <w:szCs w:val="28"/>
        </w:rPr>
        <w:tab/>
      </w:r>
      <w:r w:rsidR="00DE6F42">
        <w:rPr>
          <w:szCs w:val="28"/>
        </w:rPr>
        <w:t>Finally, the probation officer said that for this case a community service order is considered not as good as a probation order, without however articulating the reasons why.  Relevantly, the probation officer did not say that a community service order is not suitable.</w:t>
      </w:r>
    </w:p>
    <w:p w:rsidR="00845696" w:rsidRDefault="00EC1C27" w:rsidP="00A32E34">
      <w:pPr>
        <w:spacing w:after="240" w:line="360" w:lineRule="auto"/>
        <w:jc w:val="both"/>
        <w:rPr>
          <w:szCs w:val="28"/>
        </w:rPr>
      </w:pPr>
      <w:r>
        <w:rPr>
          <w:szCs w:val="28"/>
        </w:rPr>
        <w:t>68</w:t>
      </w:r>
      <w:r w:rsidR="0008310D">
        <w:rPr>
          <w:szCs w:val="28"/>
        </w:rPr>
        <w:t>.</w:t>
      </w:r>
      <w:r w:rsidR="0008310D">
        <w:rPr>
          <w:szCs w:val="28"/>
        </w:rPr>
        <w:tab/>
      </w:r>
      <w:r w:rsidR="0067202A">
        <w:rPr>
          <w:szCs w:val="28"/>
        </w:rPr>
        <w:t>We are conscious of the 2</w:t>
      </w:r>
      <w:r w:rsidR="0067202A" w:rsidRPr="002F0A2C">
        <w:rPr>
          <w:szCs w:val="28"/>
          <w:vertAlign w:val="superscript"/>
        </w:rPr>
        <w:t>nd</w:t>
      </w:r>
      <w:r w:rsidR="0067202A">
        <w:rPr>
          <w:szCs w:val="28"/>
        </w:rPr>
        <w:t xml:space="preserve"> respondent’s extreme youth, his need for rehabilitation and the progress he</w:t>
      </w:r>
      <w:r w:rsidR="00701376">
        <w:rPr>
          <w:szCs w:val="28"/>
        </w:rPr>
        <w:t xml:space="preserve"> has</w:t>
      </w:r>
      <w:r w:rsidR="0067202A">
        <w:rPr>
          <w:szCs w:val="28"/>
        </w:rPr>
        <w:t xml:space="preserve"> made so far.  </w:t>
      </w:r>
      <w:r w:rsidR="00F25A7C">
        <w:rPr>
          <w:szCs w:val="28"/>
        </w:rPr>
        <w:t>Despite his culpability, a</w:t>
      </w:r>
      <w:r w:rsidR="0067202A">
        <w:rPr>
          <w:szCs w:val="28"/>
        </w:rPr>
        <w:t xml:space="preserve">n immediate custodial sentence is </w:t>
      </w:r>
      <w:r w:rsidR="00370A08">
        <w:rPr>
          <w:szCs w:val="28"/>
        </w:rPr>
        <w:t xml:space="preserve">in our view </w:t>
      </w:r>
      <w:r w:rsidR="0067202A">
        <w:rPr>
          <w:szCs w:val="28"/>
        </w:rPr>
        <w:t xml:space="preserve">too harsh.  However, the probation order recommended is mainly rehabilitative in nature: see </w:t>
      </w:r>
      <w:r w:rsidR="0067202A" w:rsidRPr="002F0A2C">
        <w:rPr>
          <w:i/>
          <w:szCs w:val="28"/>
        </w:rPr>
        <w:t>Secretary for Justice v SWS,</w:t>
      </w:r>
      <w:r w:rsidR="0067202A">
        <w:rPr>
          <w:szCs w:val="28"/>
        </w:rPr>
        <w:t xml:space="preserve"> supra, at [46].  Its principal aim is to allow the 2</w:t>
      </w:r>
      <w:r w:rsidR="0067202A" w:rsidRPr="00C71513">
        <w:rPr>
          <w:szCs w:val="28"/>
          <w:vertAlign w:val="superscript"/>
        </w:rPr>
        <w:t>nd</w:t>
      </w:r>
      <w:r w:rsidR="0067202A">
        <w:rPr>
          <w:szCs w:val="28"/>
        </w:rPr>
        <w:t xml:space="preserve"> respondent to continue to benefit from supervision similar to the CP Order.  As such, it </w:t>
      </w:r>
      <w:r w:rsidR="00680343">
        <w:rPr>
          <w:szCs w:val="28"/>
        </w:rPr>
        <w:t xml:space="preserve">is too lenient and </w:t>
      </w:r>
      <w:r w:rsidR="0067202A">
        <w:rPr>
          <w:szCs w:val="28"/>
        </w:rPr>
        <w:t>fails to sufficiently reflect his culpability</w:t>
      </w:r>
      <w:r w:rsidR="00701376">
        <w:rPr>
          <w:szCs w:val="28"/>
        </w:rPr>
        <w:t xml:space="preserve"> which as noted, is more serious than the 1</w:t>
      </w:r>
      <w:r w:rsidR="00701376" w:rsidRPr="00701376">
        <w:rPr>
          <w:szCs w:val="28"/>
          <w:vertAlign w:val="superscript"/>
        </w:rPr>
        <w:t>st</w:t>
      </w:r>
      <w:r w:rsidR="00701376">
        <w:rPr>
          <w:szCs w:val="28"/>
        </w:rPr>
        <w:t xml:space="preserve"> respondent’s</w:t>
      </w:r>
      <w:r w:rsidR="0067202A">
        <w:rPr>
          <w:szCs w:val="28"/>
        </w:rPr>
        <w:t xml:space="preserve">.  It is therefore </w:t>
      </w:r>
      <w:r w:rsidR="00F25A7C">
        <w:rPr>
          <w:szCs w:val="28"/>
        </w:rPr>
        <w:t>not a s</w:t>
      </w:r>
      <w:r w:rsidR="0067202A">
        <w:rPr>
          <w:szCs w:val="28"/>
        </w:rPr>
        <w:t xml:space="preserve">uitable sentencing option. </w:t>
      </w:r>
    </w:p>
    <w:p w:rsidR="00845696" w:rsidRDefault="00EC1C27" w:rsidP="00845696">
      <w:pPr>
        <w:spacing w:after="480" w:line="360" w:lineRule="auto"/>
        <w:jc w:val="both"/>
        <w:rPr>
          <w:szCs w:val="28"/>
        </w:rPr>
      </w:pPr>
      <w:r>
        <w:rPr>
          <w:szCs w:val="28"/>
        </w:rPr>
        <w:lastRenderedPageBreak/>
        <w:t>69</w:t>
      </w:r>
      <w:r w:rsidR="00845696">
        <w:rPr>
          <w:szCs w:val="28"/>
        </w:rPr>
        <w:t>.</w:t>
      </w:r>
      <w:r w:rsidR="00845696">
        <w:rPr>
          <w:szCs w:val="28"/>
        </w:rPr>
        <w:tab/>
        <w:t xml:space="preserve">In </w:t>
      </w:r>
      <w:r>
        <w:rPr>
          <w:szCs w:val="28"/>
        </w:rPr>
        <w:t>the circumstances of this case</w:t>
      </w:r>
      <w:r w:rsidR="00845696">
        <w:rPr>
          <w:szCs w:val="28"/>
        </w:rPr>
        <w:t>, a community service order is the most suitable sentence for the 2</w:t>
      </w:r>
      <w:r w:rsidR="00845696" w:rsidRPr="00E75B95">
        <w:rPr>
          <w:szCs w:val="28"/>
          <w:vertAlign w:val="superscript"/>
        </w:rPr>
        <w:t>nd</w:t>
      </w:r>
      <w:r w:rsidR="00845696">
        <w:rPr>
          <w:szCs w:val="28"/>
        </w:rPr>
        <w:t xml:space="preserve"> respondent, </w:t>
      </w:r>
      <w:r w:rsidR="00701376">
        <w:rPr>
          <w:szCs w:val="28"/>
        </w:rPr>
        <w:t>balancing fairly</w:t>
      </w:r>
      <w:r w:rsidR="00845696">
        <w:rPr>
          <w:szCs w:val="28"/>
        </w:rPr>
        <w:t xml:space="preserve"> both punishment and deterrence on the one hand and rehabilitation on the other.</w:t>
      </w:r>
    </w:p>
    <w:p w:rsidR="00CE6BAF" w:rsidRDefault="00CE6BAF" w:rsidP="00CE6BAF">
      <w:pPr>
        <w:spacing w:after="240" w:line="360" w:lineRule="auto"/>
        <w:jc w:val="both"/>
        <w:rPr>
          <w:szCs w:val="28"/>
        </w:rPr>
      </w:pPr>
      <w:r>
        <w:rPr>
          <w:szCs w:val="28"/>
        </w:rPr>
        <w:t>7</w:t>
      </w:r>
      <w:r w:rsidR="00381141">
        <w:rPr>
          <w:szCs w:val="28"/>
        </w:rPr>
        <w:t>0</w:t>
      </w:r>
      <w:r>
        <w:rPr>
          <w:szCs w:val="28"/>
        </w:rPr>
        <w:t>.</w:t>
      </w:r>
      <w:r>
        <w:rPr>
          <w:szCs w:val="28"/>
        </w:rPr>
        <w:tab/>
        <w:t xml:space="preserve">A </w:t>
      </w:r>
      <w:r w:rsidR="007A24C2">
        <w:rPr>
          <w:szCs w:val="28"/>
        </w:rPr>
        <w:t>significant feature</w:t>
      </w:r>
      <w:r>
        <w:rPr>
          <w:szCs w:val="28"/>
        </w:rPr>
        <w:t xml:space="preserve"> of community service order is its purpose of both punishment and rehabilitation.  It has been </w:t>
      </w:r>
      <w:r w:rsidR="007B6935">
        <w:rPr>
          <w:szCs w:val="28"/>
        </w:rPr>
        <w:t>said</w:t>
      </w:r>
      <w:r>
        <w:rPr>
          <w:szCs w:val="28"/>
        </w:rPr>
        <w:t xml:space="preserve"> that it fills the gap between a custodial sentence and a probation order: see </w:t>
      </w:r>
      <w:r w:rsidRPr="00701376">
        <w:rPr>
          <w:i/>
          <w:szCs w:val="28"/>
        </w:rPr>
        <w:t>Cross and Cheung on Sentencing in Hong Kong</w:t>
      </w:r>
      <w:r>
        <w:rPr>
          <w:szCs w:val="28"/>
        </w:rPr>
        <w:t>, 9</w:t>
      </w:r>
      <w:r w:rsidRPr="00E75B95">
        <w:rPr>
          <w:szCs w:val="28"/>
          <w:vertAlign w:val="superscript"/>
        </w:rPr>
        <w:t>th</w:t>
      </w:r>
      <w:r w:rsidR="00632A9D">
        <w:rPr>
          <w:szCs w:val="28"/>
        </w:rPr>
        <w:t xml:space="preserve"> edition, at [8-3], p.</w:t>
      </w:r>
      <w:r>
        <w:rPr>
          <w:szCs w:val="28"/>
        </w:rPr>
        <w:t xml:space="preserve">125.  In </w:t>
      </w:r>
      <w:r w:rsidRPr="007A24C2">
        <w:rPr>
          <w:i/>
          <w:szCs w:val="28"/>
        </w:rPr>
        <w:t>Secretary for Justice</w:t>
      </w:r>
      <w:r>
        <w:rPr>
          <w:szCs w:val="28"/>
        </w:rPr>
        <w:t xml:space="preserve"> </w:t>
      </w:r>
      <w:proofErr w:type="gramStart"/>
      <w:r w:rsidRPr="007A24C2">
        <w:rPr>
          <w:i/>
          <w:szCs w:val="28"/>
        </w:rPr>
        <w:t>v</w:t>
      </w:r>
      <w:proofErr w:type="gramEnd"/>
      <w:r w:rsidRPr="007A24C2">
        <w:rPr>
          <w:i/>
          <w:szCs w:val="28"/>
        </w:rPr>
        <w:t xml:space="preserve"> Li </w:t>
      </w:r>
      <w:proofErr w:type="spellStart"/>
      <w:r w:rsidRPr="007A24C2">
        <w:rPr>
          <w:i/>
          <w:szCs w:val="28"/>
        </w:rPr>
        <w:t>Cheuk</w:t>
      </w:r>
      <w:proofErr w:type="spellEnd"/>
      <w:r w:rsidRPr="007A24C2">
        <w:rPr>
          <w:i/>
          <w:szCs w:val="28"/>
        </w:rPr>
        <w:t xml:space="preserve"> Ming</w:t>
      </w:r>
      <w:r>
        <w:rPr>
          <w:szCs w:val="28"/>
        </w:rPr>
        <w:t xml:space="preserve"> [1999] 1 HKLRD 63, Chan CJH</w:t>
      </w:r>
      <w:r w:rsidR="00632A9D">
        <w:rPr>
          <w:szCs w:val="28"/>
        </w:rPr>
        <w:t xml:space="preserve">C (as he then was) </w:t>
      </w:r>
      <w:r w:rsidR="00420712">
        <w:rPr>
          <w:szCs w:val="28"/>
        </w:rPr>
        <w:t>explained</w:t>
      </w:r>
      <w:r w:rsidR="00632A9D">
        <w:rPr>
          <w:szCs w:val="28"/>
        </w:rPr>
        <w:t xml:space="preserve"> at p.65E-G</w:t>
      </w:r>
      <w:r>
        <w:rPr>
          <w:szCs w:val="28"/>
        </w:rPr>
        <w:t>:</w:t>
      </w:r>
    </w:p>
    <w:p w:rsidR="00CE6BAF" w:rsidRPr="00632A9D" w:rsidRDefault="00CE6BAF" w:rsidP="00632A9D">
      <w:pPr>
        <w:tabs>
          <w:tab w:val="clear" w:pos="8453"/>
        </w:tabs>
        <w:spacing w:after="600"/>
        <w:ind w:left="1530" w:right="711"/>
        <w:jc w:val="both"/>
        <w:rPr>
          <w:sz w:val="24"/>
          <w:szCs w:val="24"/>
        </w:rPr>
      </w:pPr>
      <w:r w:rsidRPr="00632A9D">
        <w:rPr>
          <w:sz w:val="24"/>
          <w:szCs w:val="24"/>
        </w:rPr>
        <w:t>“A community service order is an alternative to custodial sentence.  It comprises the element of retribution as well as the function of rehabilitation.  Such type of sentence is punitive to the extent that it imposes restrictions on the accused and curtails his free time.  Besides, it is rehabilitative in that when performing the service, the accused can ‘have the opportunity for character building, restoring their personal dignity, and improving their standing in the community’ and will be able ‘to establish constructive interests, develop worthwhile patterns of behaviour’.”</w:t>
      </w:r>
    </w:p>
    <w:p w:rsidR="0008310D" w:rsidRDefault="00845696" w:rsidP="00A32E34">
      <w:pPr>
        <w:spacing w:after="240" w:line="360" w:lineRule="auto"/>
        <w:jc w:val="both"/>
        <w:rPr>
          <w:szCs w:val="28"/>
        </w:rPr>
      </w:pPr>
      <w:r>
        <w:rPr>
          <w:szCs w:val="28"/>
        </w:rPr>
        <w:t>7</w:t>
      </w:r>
      <w:r w:rsidR="00381141">
        <w:rPr>
          <w:szCs w:val="28"/>
        </w:rPr>
        <w:t>1</w:t>
      </w:r>
      <w:r>
        <w:rPr>
          <w:szCs w:val="28"/>
        </w:rPr>
        <w:t>.</w:t>
      </w:r>
      <w:r>
        <w:rPr>
          <w:szCs w:val="28"/>
        </w:rPr>
        <w:tab/>
      </w:r>
      <w:r w:rsidR="0008310D">
        <w:rPr>
          <w:szCs w:val="28"/>
        </w:rPr>
        <w:t>On the materials before us, unlike the 1</w:t>
      </w:r>
      <w:r w:rsidR="0008310D" w:rsidRPr="003C3EF4">
        <w:rPr>
          <w:szCs w:val="28"/>
          <w:vertAlign w:val="superscript"/>
        </w:rPr>
        <w:t>st</w:t>
      </w:r>
      <w:r w:rsidR="0008310D">
        <w:rPr>
          <w:szCs w:val="28"/>
        </w:rPr>
        <w:t xml:space="preserve"> respondent, </w:t>
      </w:r>
      <w:r w:rsidR="00381141">
        <w:rPr>
          <w:szCs w:val="28"/>
        </w:rPr>
        <w:t xml:space="preserve">there is no suggestion that </w:t>
      </w:r>
      <w:r w:rsidR="0008310D">
        <w:rPr>
          <w:szCs w:val="28"/>
        </w:rPr>
        <w:t>the 2</w:t>
      </w:r>
      <w:r w:rsidR="0008310D" w:rsidRPr="003C3EF4">
        <w:rPr>
          <w:szCs w:val="28"/>
          <w:vertAlign w:val="superscript"/>
        </w:rPr>
        <w:t>nd</w:t>
      </w:r>
      <w:r w:rsidR="0008310D">
        <w:rPr>
          <w:szCs w:val="28"/>
        </w:rPr>
        <w:t xml:space="preserve"> respondent is un</w:t>
      </w:r>
      <w:r w:rsidR="00381141">
        <w:rPr>
          <w:szCs w:val="28"/>
        </w:rPr>
        <w:t xml:space="preserve">suitable </w:t>
      </w:r>
      <w:r w:rsidR="0008310D">
        <w:rPr>
          <w:szCs w:val="28"/>
        </w:rPr>
        <w:t>to perform community service</w:t>
      </w:r>
      <w:r w:rsidR="00370A08">
        <w:rPr>
          <w:szCs w:val="28"/>
        </w:rPr>
        <w:t xml:space="preserve"> </w:t>
      </w:r>
      <w:r w:rsidR="00381141">
        <w:rPr>
          <w:szCs w:val="28"/>
        </w:rPr>
        <w:t>due to his personal circumstances</w:t>
      </w:r>
      <w:r w:rsidR="0008310D">
        <w:rPr>
          <w:szCs w:val="28"/>
        </w:rPr>
        <w:t xml:space="preserve">.  </w:t>
      </w:r>
      <w:r w:rsidR="00A32E34">
        <w:rPr>
          <w:szCs w:val="28"/>
        </w:rPr>
        <w:t>The 2</w:t>
      </w:r>
      <w:r w:rsidR="00A32E34" w:rsidRPr="00A32E34">
        <w:rPr>
          <w:szCs w:val="28"/>
          <w:vertAlign w:val="superscript"/>
        </w:rPr>
        <w:t>nd</w:t>
      </w:r>
      <w:r w:rsidR="00627FA4">
        <w:rPr>
          <w:szCs w:val="28"/>
        </w:rPr>
        <w:t xml:space="preserve"> respondent also agreed</w:t>
      </w:r>
      <w:r w:rsidR="00A32E34">
        <w:rPr>
          <w:szCs w:val="28"/>
        </w:rPr>
        <w:t xml:space="preserve"> </w:t>
      </w:r>
      <w:r w:rsidR="00381141">
        <w:rPr>
          <w:szCs w:val="28"/>
        </w:rPr>
        <w:t xml:space="preserve">to </w:t>
      </w:r>
      <w:r w:rsidR="00A81DAA">
        <w:rPr>
          <w:szCs w:val="28"/>
        </w:rPr>
        <w:t xml:space="preserve">a community service </w:t>
      </w:r>
      <w:r w:rsidR="007F333F">
        <w:rPr>
          <w:szCs w:val="28"/>
        </w:rPr>
        <w:t>order</w:t>
      </w:r>
      <w:r w:rsidR="00A32E34">
        <w:rPr>
          <w:szCs w:val="28"/>
        </w:rPr>
        <w:t xml:space="preserve">.  </w:t>
      </w:r>
      <w:r w:rsidR="0008310D">
        <w:rPr>
          <w:szCs w:val="28"/>
        </w:rPr>
        <w:t>We therefore sentence</w:t>
      </w:r>
      <w:r w:rsidR="00627FA4">
        <w:rPr>
          <w:szCs w:val="28"/>
        </w:rPr>
        <w:t>d him</w:t>
      </w:r>
      <w:r w:rsidR="0008310D">
        <w:rPr>
          <w:szCs w:val="28"/>
        </w:rPr>
        <w:t xml:space="preserve"> </w:t>
      </w:r>
      <w:r w:rsidR="00A81DAA">
        <w:rPr>
          <w:szCs w:val="28"/>
        </w:rPr>
        <w:t>to</w:t>
      </w:r>
      <w:r w:rsidR="0002271C">
        <w:rPr>
          <w:szCs w:val="28"/>
        </w:rPr>
        <w:t xml:space="preserve"> </w:t>
      </w:r>
      <w:r w:rsidR="00381141">
        <w:rPr>
          <w:szCs w:val="28"/>
        </w:rPr>
        <w:t>80 hours of c</w:t>
      </w:r>
      <w:r w:rsidR="00627FA4">
        <w:rPr>
          <w:szCs w:val="28"/>
        </w:rPr>
        <w:t xml:space="preserve">ommunity service </w:t>
      </w:r>
      <w:r w:rsidR="0008310D">
        <w:rPr>
          <w:szCs w:val="28"/>
        </w:rPr>
        <w:t>with special conditions</w:t>
      </w:r>
      <w:r w:rsidR="00016232">
        <w:rPr>
          <w:szCs w:val="28"/>
        </w:rPr>
        <w:t xml:space="preserve"> as se</w:t>
      </w:r>
      <w:r w:rsidR="007B6935">
        <w:rPr>
          <w:szCs w:val="28"/>
        </w:rPr>
        <w:t>t</w:t>
      </w:r>
      <w:r w:rsidR="00EA7BDA">
        <w:rPr>
          <w:szCs w:val="28"/>
        </w:rPr>
        <w:t xml:space="preserve"> out at</w:t>
      </w:r>
      <w:r w:rsidR="00016232">
        <w:rPr>
          <w:szCs w:val="28"/>
        </w:rPr>
        <w:t xml:space="preserve"> [5] above</w:t>
      </w:r>
      <w:r w:rsidR="002C2A1B">
        <w:rPr>
          <w:szCs w:val="28"/>
        </w:rPr>
        <w:t>.</w:t>
      </w:r>
    </w:p>
    <w:p w:rsidR="00701376" w:rsidRDefault="00701376" w:rsidP="00BB6221">
      <w:pPr>
        <w:tabs>
          <w:tab w:val="clear" w:pos="1440"/>
          <w:tab w:val="clear" w:pos="4234"/>
          <w:tab w:val="left" w:pos="1418"/>
          <w:tab w:val="center" w:pos="4253"/>
          <w:tab w:val="right" w:pos="8505"/>
        </w:tabs>
        <w:jc w:val="both"/>
        <w:rPr>
          <w:bCs/>
          <w:szCs w:val="28"/>
        </w:rPr>
      </w:pPr>
    </w:p>
    <w:p w:rsidR="00701376" w:rsidRDefault="00701376" w:rsidP="00BB6221">
      <w:pPr>
        <w:tabs>
          <w:tab w:val="clear" w:pos="1440"/>
          <w:tab w:val="clear" w:pos="4234"/>
          <w:tab w:val="left" w:pos="1418"/>
          <w:tab w:val="center" w:pos="4253"/>
          <w:tab w:val="right" w:pos="8505"/>
        </w:tabs>
        <w:jc w:val="both"/>
        <w:rPr>
          <w:bCs/>
          <w:szCs w:val="28"/>
        </w:rPr>
      </w:pPr>
    </w:p>
    <w:p w:rsidR="00701376" w:rsidRDefault="00701376" w:rsidP="00BB6221">
      <w:pPr>
        <w:tabs>
          <w:tab w:val="clear" w:pos="1440"/>
          <w:tab w:val="clear" w:pos="4234"/>
          <w:tab w:val="left" w:pos="1418"/>
          <w:tab w:val="center" w:pos="4253"/>
          <w:tab w:val="right" w:pos="8505"/>
        </w:tabs>
        <w:jc w:val="both"/>
        <w:rPr>
          <w:bCs/>
          <w:szCs w:val="28"/>
        </w:rPr>
      </w:pPr>
    </w:p>
    <w:p w:rsidR="00701376" w:rsidRDefault="00701376" w:rsidP="00BB6221">
      <w:pPr>
        <w:tabs>
          <w:tab w:val="clear" w:pos="1440"/>
          <w:tab w:val="clear" w:pos="4234"/>
          <w:tab w:val="left" w:pos="1418"/>
          <w:tab w:val="center" w:pos="4253"/>
          <w:tab w:val="right" w:pos="8505"/>
        </w:tabs>
        <w:jc w:val="both"/>
        <w:rPr>
          <w:bCs/>
          <w:szCs w:val="28"/>
        </w:rPr>
      </w:pPr>
    </w:p>
    <w:p w:rsidR="00BB6221" w:rsidRPr="005C14C0" w:rsidRDefault="00BB6221" w:rsidP="00BB6221">
      <w:pPr>
        <w:tabs>
          <w:tab w:val="clear" w:pos="1440"/>
          <w:tab w:val="clear" w:pos="4234"/>
          <w:tab w:val="left" w:pos="1418"/>
          <w:tab w:val="center" w:pos="4253"/>
          <w:tab w:val="right" w:pos="8505"/>
        </w:tabs>
        <w:jc w:val="both"/>
        <w:rPr>
          <w:bCs/>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7"/>
        <w:gridCol w:w="2820"/>
        <w:gridCol w:w="2674"/>
      </w:tblGrid>
      <w:tr w:rsidR="00BB6221" w:rsidTr="00660798">
        <w:tc>
          <w:tcPr>
            <w:tcW w:w="2972" w:type="dxa"/>
          </w:tcPr>
          <w:p w:rsidR="00BB6221" w:rsidRDefault="00BB6221" w:rsidP="00660798">
            <w:pPr>
              <w:tabs>
                <w:tab w:val="clear" w:pos="1440"/>
                <w:tab w:val="clear" w:pos="4234"/>
                <w:tab w:val="left" w:pos="1418"/>
                <w:tab w:val="center" w:pos="4253"/>
                <w:tab w:val="right" w:pos="8505"/>
              </w:tabs>
              <w:jc w:val="center"/>
              <w:rPr>
                <w:bCs/>
                <w:szCs w:val="28"/>
              </w:rPr>
            </w:pPr>
            <w:r w:rsidRPr="005C14C0">
              <w:rPr>
                <w:bCs/>
                <w:szCs w:val="28"/>
              </w:rPr>
              <w:t>(</w:t>
            </w:r>
            <w:r>
              <w:rPr>
                <w:bCs/>
                <w:szCs w:val="28"/>
              </w:rPr>
              <w:t>Jeremy Poon</w:t>
            </w:r>
            <w:r w:rsidRPr="005C14C0">
              <w:rPr>
                <w:bCs/>
                <w:szCs w:val="28"/>
              </w:rPr>
              <w:t>)</w:t>
            </w:r>
          </w:p>
        </w:tc>
        <w:tc>
          <w:tcPr>
            <w:tcW w:w="2835" w:type="dxa"/>
          </w:tcPr>
          <w:p w:rsidR="00BB6221" w:rsidRDefault="00BB6221" w:rsidP="00660798">
            <w:pPr>
              <w:tabs>
                <w:tab w:val="clear" w:pos="1440"/>
                <w:tab w:val="clear" w:pos="4234"/>
                <w:tab w:val="left" w:pos="1418"/>
                <w:tab w:val="center" w:pos="4253"/>
                <w:tab w:val="right" w:pos="8505"/>
              </w:tabs>
              <w:jc w:val="center"/>
              <w:rPr>
                <w:bCs/>
                <w:szCs w:val="28"/>
              </w:rPr>
            </w:pPr>
            <w:r>
              <w:rPr>
                <w:bCs/>
                <w:szCs w:val="28"/>
              </w:rPr>
              <w:t>(</w:t>
            </w:r>
            <w:proofErr w:type="spellStart"/>
            <w:r>
              <w:rPr>
                <w:bCs/>
                <w:szCs w:val="28"/>
              </w:rPr>
              <w:t>Carlye</w:t>
            </w:r>
            <w:proofErr w:type="spellEnd"/>
            <w:r>
              <w:rPr>
                <w:bCs/>
                <w:szCs w:val="28"/>
              </w:rPr>
              <w:t xml:space="preserve"> Chu</w:t>
            </w:r>
            <w:r w:rsidRPr="005C14C0">
              <w:rPr>
                <w:bCs/>
                <w:szCs w:val="28"/>
              </w:rPr>
              <w:t>)</w:t>
            </w:r>
          </w:p>
        </w:tc>
        <w:tc>
          <w:tcPr>
            <w:tcW w:w="2688" w:type="dxa"/>
          </w:tcPr>
          <w:p w:rsidR="00BB6221" w:rsidRDefault="00BB6221" w:rsidP="00660798">
            <w:pPr>
              <w:tabs>
                <w:tab w:val="clear" w:pos="1440"/>
                <w:tab w:val="clear" w:pos="4234"/>
                <w:tab w:val="left" w:pos="1418"/>
                <w:tab w:val="center" w:pos="4253"/>
                <w:tab w:val="right" w:pos="8505"/>
              </w:tabs>
              <w:jc w:val="center"/>
              <w:rPr>
                <w:bCs/>
                <w:szCs w:val="28"/>
              </w:rPr>
            </w:pPr>
            <w:r>
              <w:rPr>
                <w:bCs/>
                <w:szCs w:val="28"/>
              </w:rPr>
              <w:t>(Derek Pang)</w:t>
            </w:r>
          </w:p>
        </w:tc>
      </w:tr>
      <w:tr w:rsidR="00BB6221" w:rsidTr="00660798">
        <w:tc>
          <w:tcPr>
            <w:tcW w:w="2972" w:type="dxa"/>
          </w:tcPr>
          <w:p w:rsidR="00BB6221" w:rsidRDefault="00BB6221" w:rsidP="00660798">
            <w:pPr>
              <w:tabs>
                <w:tab w:val="clear" w:pos="1440"/>
                <w:tab w:val="clear" w:pos="4234"/>
                <w:tab w:val="left" w:pos="1418"/>
                <w:tab w:val="center" w:pos="4253"/>
                <w:tab w:val="right" w:pos="8505"/>
              </w:tabs>
              <w:jc w:val="center"/>
              <w:rPr>
                <w:bCs/>
                <w:szCs w:val="28"/>
              </w:rPr>
            </w:pPr>
            <w:r w:rsidRPr="005C14C0">
              <w:rPr>
                <w:bCs/>
                <w:szCs w:val="28"/>
              </w:rPr>
              <w:t>Chief Judge of the</w:t>
            </w:r>
          </w:p>
          <w:p w:rsidR="00BB6221" w:rsidRPr="005C14C0" w:rsidRDefault="00BB6221" w:rsidP="00660798">
            <w:pPr>
              <w:tabs>
                <w:tab w:val="clear" w:pos="1440"/>
                <w:tab w:val="clear" w:pos="4234"/>
                <w:tab w:val="left" w:pos="1418"/>
                <w:tab w:val="center" w:pos="4253"/>
                <w:tab w:val="right" w:pos="8505"/>
              </w:tabs>
              <w:jc w:val="center"/>
              <w:rPr>
                <w:bCs/>
                <w:szCs w:val="28"/>
              </w:rPr>
            </w:pPr>
            <w:r w:rsidRPr="005C14C0">
              <w:rPr>
                <w:bCs/>
                <w:szCs w:val="28"/>
              </w:rPr>
              <w:t>High Court</w:t>
            </w:r>
          </w:p>
        </w:tc>
        <w:tc>
          <w:tcPr>
            <w:tcW w:w="2835" w:type="dxa"/>
          </w:tcPr>
          <w:p w:rsidR="00BB6221" w:rsidRPr="005C14C0" w:rsidRDefault="00BB6221" w:rsidP="00660798">
            <w:pPr>
              <w:tabs>
                <w:tab w:val="clear" w:pos="1440"/>
                <w:tab w:val="clear" w:pos="4234"/>
                <w:tab w:val="left" w:pos="1418"/>
                <w:tab w:val="center" w:pos="4253"/>
                <w:tab w:val="right" w:pos="8505"/>
              </w:tabs>
              <w:jc w:val="center"/>
              <w:rPr>
                <w:bCs/>
                <w:szCs w:val="28"/>
              </w:rPr>
            </w:pPr>
            <w:r>
              <w:rPr>
                <w:bCs/>
                <w:szCs w:val="28"/>
              </w:rPr>
              <w:t>Justice of Appeal</w:t>
            </w:r>
          </w:p>
        </w:tc>
        <w:tc>
          <w:tcPr>
            <w:tcW w:w="2688" w:type="dxa"/>
          </w:tcPr>
          <w:p w:rsidR="00BB6221" w:rsidRDefault="00BB6221" w:rsidP="00660798">
            <w:pPr>
              <w:tabs>
                <w:tab w:val="clear" w:pos="1440"/>
                <w:tab w:val="clear" w:pos="4234"/>
                <w:tab w:val="left" w:pos="1418"/>
                <w:tab w:val="center" w:pos="4253"/>
                <w:tab w:val="right" w:pos="8505"/>
              </w:tabs>
              <w:jc w:val="center"/>
              <w:rPr>
                <w:bCs/>
                <w:szCs w:val="28"/>
              </w:rPr>
            </w:pPr>
            <w:r>
              <w:rPr>
                <w:bCs/>
                <w:szCs w:val="28"/>
              </w:rPr>
              <w:t>Justice of Appeal</w:t>
            </w:r>
          </w:p>
        </w:tc>
      </w:tr>
    </w:tbl>
    <w:p w:rsidR="00BB6221" w:rsidRDefault="00BB6221" w:rsidP="00BB6221">
      <w:pPr>
        <w:tabs>
          <w:tab w:val="clear" w:pos="1440"/>
          <w:tab w:val="clear" w:pos="4234"/>
          <w:tab w:val="left" w:pos="1418"/>
          <w:tab w:val="center" w:pos="4253"/>
          <w:tab w:val="right" w:pos="8505"/>
        </w:tabs>
        <w:jc w:val="both"/>
        <w:rPr>
          <w:bCs/>
          <w:szCs w:val="28"/>
        </w:rPr>
      </w:pPr>
    </w:p>
    <w:p w:rsidR="00BA7325" w:rsidRDefault="00BA7325" w:rsidP="00BB6221">
      <w:pPr>
        <w:tabs>
          <w:tab w:val="clear" w:pos="1440"/>
          <w:tab w:val="clear" w:pos="4234"/>
          <w:tab w:val="left" w:pos="1418"/>
          <w:tab w:val="center" w:pos="4253"/>
          <w:tab w:val="right" w:pos="8505"/>
        </w:tabs>
        <w:jc w:val="both"/>
        <w:rPr>
          <w:bCs/>
          <w:szCs w:val="28"/>
        </w:rPr>
      </w:pPr>
    </w:p>
    <w:p w:rsidR="00BB6221" w:rsidRDefault="00BB6221" w:rsidP="00BB6221">
      <w:pPr>
        <w:tabs>
          <w:tab w:val="clear" w:pos="1440"/>
          <w:tab w:val="clear" w:pos="4234"/>
          <w:tab w:val="clear" w:pos="8453"/>
        </w:tabs>
        <w:autoSpaceDE w:val="0"/>
        <w:autoSpaceDN w:val="0"/>
        <w:adjustRightInd w:val="0"/>
        <w:snapToGrid/>
        <w:ind w:left="540" w:hanging="540"/>
        <w:rPr>
          <w:color w:val="000000"/>
          <w:szCs w:val="28"/>
          <w:lang w:val="en-US"/>
        </w:rPr>
      </w:pPr>
      <w:proofErr w:type="spellStart"/>
      <w:r>
        <w:rPr>
          <w:color w:val="000000"/>
          <w:szCs w:val="28"/>
          <w:lang w:val="en-US"/>
        </w:rPr>
        <w:t>Ms</w:t>
      </w:r>
      <w:proofErr w:type="spellEnd"/>
      <w:r>
        <w:rPr>
          <w:color w:val="000000"/>
          <w:szCs w:val="28"/>
          <w:lang w:val="en-US"/>
        </w:rPr>
        <w:t xml:space="preserve"> Vinci Lam, DDPP and </w:t>
      </w:r>
      <w:proofErr w:type="spellStart"/>
      <w:r>
        <w:rPr>
          <w:color w:val="000000"/>
          <w:szCs w:val="28"/>
          <w:lang w:val="en-US"/>
        </w:rPr>
        <w:t>Mr</w:t>
      </w:r>
      <w:proofErr w:type="spellEnd"/>
      <w:r>
        <w:rPr>
          <w:color w:val="000000"/>
          <w:szCs w:val="28"/>
          <w:lang w:val="en-US"/>
        </w:rPr>
        <w:t xml:space="preserve"> Derek Lau, SPP of the </w:t>
      </w:r>
      <w:r w:rsidR="004979B0">
        <w:rPr>
          <w:color w:val="000000"/>
          <w:szCs w:val="28"/>
          <w:lang w:val="en-US"/>
        </w:rPr>
        <w:t>Department of Justice, for the a</w:t>
      </w:r>
      <w:r>
        <w:rPr>
          <w:color w:val="000000"/>
          <w:szCs w:val="28"/>
          <w:lang w:val="en-US"/>
        </w:rPr>
        <w:t>pplicant</w:t>
      </w:r>
    </w:p>
    <w:p w:rsidR="00BB6221" w:rsidRDefault="00BB6221" w:rsidP="00BB6221">
      <w:pPr>
        <w:tabs>
          <w:tab w:val="clear" w:pos="1440"/>
          <w:tab w:val="clear" w:pos="4234"/>
          <w:tab w:val="clear" w:pos="8453"/>
        </w:tabs>
        <w:autoSpaceDE w:val="0"/>
        <w:autoSpaceDN w:val="0"/>
        <w:adjustRightInd w:val="0"/>
        <w:snapToGrid/>
        <w:ind w:left="540" w:hanging="540"/>
        <w:rPr>
          <w:color w:val="000000"/>
          <w:szCs w:val="28"/>
          <w:lang w:val="en-US"/>
        </w:rPr>
      </w:pPr>
    </w:p>
    <w:p w:rsidR="00BB6221" w:rsidRDefault="00BB6221" w:rsidP="00BB6221">
      <w:pPr>
        <w:tabs>
          <w:tab w:val="clear" w:pos="1440"/>
          <w:tab w:val="clear" w:pos="4234"/>
          <w:tab w:val="clear" w:pos="8453"/>
        </w:tabs>
        <w:autoSpaceDE w:val="0"/>
        <w:autoSpaceDN w:val="0"/>
        <w:adjustRightInd w:val="0"/>
        <w:snapToGrid/>
        <w:ind w:left="540" w:hanging="540"/>
        <w:rPr>
          <w:color w:val="000000"/>
          <w:szCs w:val="28"/>
          <w:lang w:val="en-US"/>
        </w:rPr>
      </w:pPr>
      <w:proofErr w:type="spellStart"/>
      <w:r>
        <w:rPr>
          <w:color w:val="000000"/>
          <w:szCs w:val="28"/>
          <w:lang w:val="en-US"/>
        </w:rPr>
        <w:t>Mr</w:t>
      </w:r>
      <w:proofErr w:type="spellEnd"/>
      <w:r>
        <w:rPr>
          <w:color w:val="000000"/>
          <w:szCs w:val="28"/>
          <w:lang w:val="en-US"/>
        </w:rPr>
        <w:t xml:space="preserve"> </w:t>
      </w:r>
      <w:proofErr w:type="spellStart"/>
      <w:r>
        <w:rPr>
          <w:color w:val="000000"/>
          <w:szCs w:val="28"/>
          <w:lang w:val="en-US"/>
        </w:rPr>
        <w:t>Hectar</w:t>
      </w:r>
      <w:proofErr w:type="spellEnd"/>
      <w:r>
        <w:rPr>
          <w:color w:val="000000"/>
          <w:szCs w:val="28"/>
          <w:lang w:val="en-US"/>
        </w:rPr>
        <w:t xml:space="preserve"> Pun SC leading </w:t>
      </w:r>
      <w:proofErr w:type="spellStart"/>
      <w:r>
        <w:rPr>
          <w:color w:val="000000"/>
          <w:szCs w:val="28"/>
          <w:lang w:val="en-US"/>
        </w:rPr>
        <w:t>Mr</w:t>
      </w:r>
      <w:proofErr w:type="spellEnd"/>
      <w:r>
        <w:rPr>
          <w:color w:val="000000"/>
          <w:szCs w:val="28"/>
          <w:lang w:val="en-US"/>
        </w:rPr>
        <w:t xml:space="preserve"> Jason </w:t>
      </w:r>
      <w:proofErr w:type="spellStart"/>
      <w:r>
        <w:rPr>
          <w:color w:val="000000"/>
          <w:szCs w:val="28"/>
          <w:lang w:val="en-US"/>
        </w:rPr>
        <w:t>Ko</w:t>
      </w:r>
      <w:proofErr w:type="spellEnd"/>
      <w:r>
        <w:rPr>
          <w:color w:val="000000"/>
          <w:szCs w:val="28"/>
          <w:lang w:val="en-US"/>
        </w:rPr>
        <w:t xml:space="preserve"> instructed by SC Ho &amp; Co., assigned by the Director of Legal Aid, for the 1</w:t>
      </w:r>
      <w:r>
        <w:rPr>
          <w:color w:val="000000"/>
          <w:szCs w:val="28"/>
          <w:vertAlign w:val="superscript"/>
          <w:lang w:val="en-US"/>
        </w:rPr>
        <w:t>st</w:t>
      </w:r>
      <w:r w:rsidR="004979B0">
        <w:rPr>
          <w:color w:val="000000"/>
          <w:szCs w:val="28"/>
          <w:lang w:val="en-US"/>
        </w:rPr>
        <w:t xml:space="preserve"> r</w:t>
      </w:r>
      <w:r>
        <w:rPr>
          <w:color w:val="000000"/>
          <w:szCs w:val="28"/>
          <w:lang w:val="en-US"/>
        </w:rPr>
        <w:t>espondent</w:t>
      </w:r>
    </w:p>
    <w:p w:rsidR="00BB6221" w:rsidRDefault="00BB6221" w:rsidP="00BB6221">
      <w:pPr>
        <w:tabs>
          <w:tab w:val="clear" w:pos="1440"/>
          <w:tab w:val="clear" w:pos="4234"/>
          <w:tab w:val="clear" w:pos="8453"/>
        </w:tabs>
        <w:autoSpaceDE w:val="0"/>
        <w:autoSpaceDN w:val="0"/>
        <w:adjustRightInd w:val="0"/>
        <w:snapToGrid/>
        <w:ind w:left="540" w:hanging="540"/>
        <w:rPr>
          <w:color w:val="000000"/>
          <w:szCs w:val="28"/>
          <w:lang w:val="en-US"/>
        </w:rPr>
      </w:pPr>
    </w:p>
    <w:p w:rsidR="00BB6221" w:rsidRDefault="00BB6221" w:rsidP="00BB6221">
      <w:pPr>
        <w:tabs>
          <w:tab w:val="clear" w:pos="1440"/>
          <w:tab w:val="clear" w:pos="4234"/>
          <w:tab w:val="clear" w:pos="8453"/>
        </w:tabs>
        <w:autoSpaceDE w:val="0"/>
        <w:autoSpaceDN w:val="0"/>
        <w:adjustRightInd w:val="0"/>
        <w:snapToGrid/>
        <w:ind w:left="540" w:hanging="540"/>
        <w:rPr>
          <w:color w:val="000000"/>
          <w:szCs w:val="28"/>
          <w:lang w:val="en-US"/>
        </w:rPr>
      </w:pPr>
      <w:proofErr w:type="spellStart"/>
      <w:r>
        <w:rPr>
          <w:color w:val="000000"/>
          <w:szCs w:val="28"/>
          <w:lang w:val="en-US"/>
        </w:rPr>
        <w:t>Mr</w:t>
      </w:r>
      <w:proofErr w:type="spellEnd"/>
      <w:r>
        <w:rPr>
          <w:color w:val="000000"/>
          <w:szCs w:val="28"/>
          <w:lang w:val="en-US"/>
        </w:rPr>
        <w:t xml:space="preserve"> David Ma leading </w:t>
      </w:r>
      <w:proofErr w:type="spellStart"/>
      <w:r>
        <w:rPr>
          <w:color w:val="000000"/>
          <w:szCs w:val="28"/>
          <w:lang w:val="en-US"/>
        </w:rPr>
        <w:t>Ms</w:t>
      </w:r>
      <w:proofErr w:type="spellEnd"/>
      <w:r>
        <w:rPr>
          <w:color w:val="000000"/>
          <w:szCs w:val="28"/>
          <w:lang w:val="en-US"/>
        </w:rPr>
        <w:t xml:space="preserve"> Tiffany Tin instructed by Cheung &amp; Co., assigned by the Director of Legal Aid, for the 2</w:t>
      </w:r>
      <w:r>
        <w:rPr>
          <w:color w:val="000000"/>
          <w:szCs w:val="28"/>
          <w:vertAlign w:val="superscript"/>
          <w:lang w:val="en-US"/>
        </w:rPr>
        <w:t>nd</w:t>
      </w:r>
      <w:r w:rsidR="004979B0">
        <w:rPr>
          <w:color w:val="000000"/>
          <w:szCs w:val="28"/>
          <w:lang w:val="en-US"/>
        </w:rPr>
        <w:t xml:space="preserve"> r</w:t>
      </w:r>
      <w:r>
        <w:rPr>
          <w:color w:val="000000"/>
          <w:szCs w:val="28"/>
          <w:lang w:val="en-US"/>
        </w:rPr>
        <w:t>espondent</w:t>
      </w:r>
    </w:p>
    <w:p w:rsidR="00BB6221" w:rsidRPr="00BB6221" w:rsidRDefault="00BB6221" w:rsidP="00BB6221">
      <w:pPr>
        <w:tabs>
          <w:tab w:val="clear" w:pos="1440"/>
          <w:tab w:val="clear" w:pos="4234"/>
          <w:tab w:val="left" w:pos="1418"/>
          <w:tab w:val="center" w:pos="4253"/>
          <w:tab w:val="right" w:pos="8505"/>
        </w:tabs>
        <w:ind w:left="540" w:hanging="540"/>
        <w:jc w:val="both"/>
        <w:rPr>
          <w:bCs/>
          <w:szCs w:val="28"/>
          <w:lang w:val="en-US"/>
        </w:rPr>
      </w:pPr>
    </w:p>
    <w:sectPr w:rsidR="00BB6221" w:rsidRPr="00BB6221" w:rsidSect="00203BBE">
      <w:headerReference w:type="even" r:id="rId8"/>
      <w:headerReference w:type="default" r:id="rId9"/>
      <w:headerReference w:type="first" r:id="rId10"/>
      <w:pgSz w:w="11907" w:h="16840" w:code="9"/>
      <w:pgMar w:top="1728" w:right="1728" w:bottom="1296" w:left="1728"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8E" w:rsidRDefault="00F53B8E">
      <w:r>
        <w:separator/>
      </w:r>
    </w:p>
  </w:endnote>
  <w:endnote w:type="continuationSeparator" w:id="0">
    <w:p w:rsidR="00F53B8E" w:rsidRDefault="00F5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8E" w:rsidRDefault="00F53B8E">
      <w:r>
        <w:separator/>
      </w:r>
    </w:p>
  </w:footnote>
  <w:footnote w:type="continuationSeparator" w:id="0">
    <w:p w:rsidR="00F53B8E" w:rsidRDefault="00F53B8E">
      <w:r>
        <w:continuationSeparator/>
      </w:r>
    </w:p>
  </w:footnote>
  <w:footnote w:id="1">
    <w:p w:rsidR="00DE35F4" w:rsidRPr="00985DEF" w:rsidRDefault="00DE35F4" w:rsidP="00DE35F4">
      <w:pPr>
        <w:pStyle w:val="FootnoteText"/>
        <w:rPr>
          <w:sz w:val="20"/>
        </w:rPr>
      </w:pPr>
      <w:r w:rsidRPr="00985DEF">
        <w:rPr>
          <w:rStyle w:val="FootnoteReference"/>
          <w:sz w:val="20"/>
        </w:rPr>
        <w:footnoteRef/>
      </w:r>
      <w:r w:rsidRPr="00985DEF">
        <w:rPr>
          <w:sz w:val="20"/>
        </w:rPr>
        <w:t xml:space="preserve"> </w:t>
      </w:r>
      <w:r w:rsidRPr="00985DEF">
        <w:rPr>
          <w:rFonts w:hint="eastAsia"/>
          <w:sz w:val="20"/>
        </w:rPr>
        <w:t>Cap</w:t>
      </w:r>
      <w:r w:rsidRPr="00985DEF">
        <w:rPr>
          <w:sz w:val="20"/>
        </w:rPr>
        <w:t xml:space="preserve"> </w:t>
      </w:r>
      <w:r w:rsidRPr="00985DEF">
        <w:rPr>
          <w:rFonts w:hint="eastAsia"/>
          <w:sz w:val="20"/>
        </w:rPr>
        <w:t>245.</w:t>
      </w:r>
    </w:p>
  </w:footnote>
  <w:footnote w:id="2">
    <w:p w:rsidR="00DE35F4" w:rsidRPr="00985DEF" w:rsidRDefault="00DE35F4" w:rsidP="00DE35F4">
      <w:pPr>
        <w:pStyle w:val="FootnoteText"/>
        <w:rPr>
          <w:sz w:val="20"/>
        </w:rPr>
      </w:pPr>
      <w:r w:rsidRPr="00985DEF">
        <w:rPr>
          <w:rStyle w:val="FootnoteReference"/>
          <w:sz w:val="20"/>
        </w:rPr>
        <w:footnoteRef/>
      </w:r>
      <w:r w:rsidRPr="00985DEF">
        <w:rPr>
          <w:sz w:val="20"/>
        </w:rPr>
        <w:t xml:space="preserve"> </w:t>
      </w:r>
      <w:r w:rsidR="00C86F89">
        <w:rPr>
          <w:rFonts w:hint="eastAsia"/>
          <w:sz w:val="20"/>
        </w:rPr>
        <w:t>Cap</w:t>
      </w:r>
      <w:r w:rsidRPr="00985DEF">
        <w:rPr>
          <w:rFonts w:hint="eastAsia"/>
          <w:sz w:val="20"/>
        </w:rPr>
        <w:t xml:space="preserve"> 226.</w:t>
      </w:r>
    </w:p>
  </w:footnote>
  <w:footnote w:id="3">
    <w:p w:rsidR="00DE35F4" w:rsidRPr="00985DEF" w:rsidRDefault="00DE35F4" w:rsidP="00DE35F4">
      <w:pPr>
        <w:pStyle w:val="FootnoteText"/>
        <w:rPr>
          <w:sz w:val="20"/>
        </w:rPr>
      </w:pPr>
      <w:r w:rsidRPr="00985DEF">
        <w:rPr>
          <w:rStyle w:val="FootnoteReference"/>
          <w:sz w:val="20"/>
        </w:rPr>
        <w:footnoteRef/>
      </w:r>
      <w:r w:rsidRPr="00985DEF">
        <w:rPr>
          <w:sz w:val="20"/>
        </w:rPr>
        <w:t xml:space="preserve"> </w:t>
      </w:r>
      <w:r w:rsidR="00C86F89">
        <w:rPr>
          <w:rFonts w:hint="eastAsia"/>
          <w:sz w:val="20"/>
        </w:rPr>
        <w:t>Cap</w:t>
      </w:r>
      <w:r w:rsidRPr="00985DEF">
        <w:rPr>
          <w:rFonts w:hint="eastAsia"/>
          <w:sz w:val="20"/>
        </w:rPr>
        <w:t xml:space="preserve"> 213</w:t>
      </w:r>
      <w:r w:rsidRPr="00985DEF">
        <w:rPr>
          <w:sz w:val="20"/>
        </w:rPr>
        <w:t>, formerly the Protection of Women and Juveniles Ordinance.</w:t>
      </w:r>
    </w:p>
  </w:footnote>
  <w:footnote w:id="4">
    <w:p w:rsidR="00DE35F4" w:rsidRDefault="00DE35F4" w:rsidP="00DE35F4">
      <w:pPr>
        <w:pStyle w:val="FootnoteText"/>
      </w:pPr>
      <w:r w:rsidRPr="00985DEF">
        <w:rPr>
          <w:rStyle w:val="FootnoteReference"/>
          <w:sz w:val="20"/>
        </w:rPr>
        <w:footnoteRef/>
      </w:r>
      <w:r w:rsidRPr="00985DEF">
        <w:rPr>
          <w:sz w:val="20"/>
        </w:rPr>
        <w:t xml:space="preserve"> </w:t>
      </w:r>
      <w:r w:rsidR="00C86F89">
        <w:rPr>
          <w:rFonts w:hint="eastAsia"/>
          <w:sz w:val="20"/>
        </w:rPr>
        <w:t>Cap</w:t>
      </w:r>
      <w:r w:rsidRPr="00985DEF">
        <w:rPr>
          <w:rFonts w:hint="eastAsia"/>
          <w:sz w:val="20"/>
        </w:rPr>
        <w:t xml:space="preserve"> 221.</w:t>
      </w:r>
    </w:p>
  </w:footnote>
  <w:footnote w:id="5">
    <w:p w:rsidR="00DE35F4" w:rsidRPr="00B37BA3" w:rsidRDefault="00DE35F4" w:rsidP="00FE19C7">
      <w:pPr>
        <w:pStyle w:val="FootnoteText"/>
        <w:ind w:left="180" w:hanging="180"/>
        <w:rPr>
          <w:sz w:val="20"/>
        </w:rPr>
      </w:pPr>
      <w:r w:rsidRPr="002C5D15">
        <w:rPr>
          <w:rStyle w:val="FootnoteReference"/>
          <w:sz w:val="20"/>
        </w:rPr>
        <w:footnoteRef/>
      </w:r>
      <w:r>
        <w:t xml:space="preserve"> </w:t>
      </w:r>
      <w:r w:rsidRPr="00B37BA3">
        <w:rPr>
          <w:sz w:val="20"/>
        </w:rPr>
        <w:t>Contained in the Brief Facts (</w:t>
      </w:r>
      <w:r w:rsidR="00B65EE5">
        <w:rPr>
          <w:sz w:val="20"/>
        </w:rPr>
        <w:t>Amended</w:t>
      </w:r>
      <w:r w:rsidRPr="00B37BA3">
        <w:rPr>
          <w:sz w:val="20"/>
        </w:rPr>
        <w:t>) dated 16 January 2020</w:t>
      </w:r>
      <w:r w:rsidR="00175D29">
        <w:rPr>
          <w:sz w:val="20"/>
        </w:rPr>
        <w:t xml:space="preserve"> (“Admitted Facts”).  R</w:t>
      </w:r>
      <w:r w:rsidR="00FE19C7">
        <w:rPr>
          <w:sz w:val="20"/>
        </w:rPr>
        <w:t>eference</w:t>
      </w:r>
      <w:r w:rsidR="00E80B03">
        <w:rPr>
          <w:sz w:val="20"/>
        </w:rPr>
        <w:t>s</w:t>
      </w:r>
      <w:r w:rsidR="00FE19C7">
        <w:rPr>
          <w:sz w:val="20"/>
        </w:rPr>
        <w:t xml:space="preserve"> to “Deft1” and “Deft2” in the Admitted Facts </w:t>
      </w:r>
      <w:r w:rsidR="00175D29">
        <w:rPr>
          <w:sz w:val="20"/>
        </w:rPr>
        <w:t xml:space="preserve">are references to </w:t>
      </w:r>
      <w:r w:rsidR="00FE19C7">
        <w:rPr>
          <w:sz w:val="20"/>
        </w:rPr>
        <w:t>the 1</w:t>
      </w:r>
      <w:r w:rsidR="00FE19C7" w:rsidRPr="00FE19C7">
        <w:rPr>
          <w:sz w:val="20"/>
          <w:vertAlign w:val="superscript"/>
        </w:rPr>
        <w:t>st</w:t>
      </w:r>
      <w:r w:rsidR="00FE19C7">
        <w:rPr>
          <w:sz w:val="20"/>
        </w:rPr>
        <w:t xml:space="preserve"> and 2</w:t>
      </w:r>
      <w:r w:rsidR="00FE19C7" w:rsidRPr="00FE19C7">
        <w:rPr>
          <w:sz w:val="20"/>
          <w:vertAlign w:val="superscript"/>
        </w:rPr>
        <w:t>nd</w:t>
      </w:r>
      <w:r w:rsidR="00FE19C7">
        <w:rPr>
          <w:sz w:val="20"/>
        </w:rPr>
        <w:t xml:space="preserve"> respondents respectively</w:t>
      </w:r>
      <w:r w:rsidR="00497176">
        <w:rPr>
          <w:sz w:val="20"/>
        </w:rPr>
        <w:t>.</w:t>
      </w:r>
    </w:p>
  </w:footnote>
  <w:footnote w:id="6">
    <w:p w:rsidR="00497176" w:rsidRDefault="00497176">
      <w:pPr>
        <w:pStyle w:val="FootnoteText"/>
      </w:pPr>
      <w:r w:rsidRPr="00497176">
        <w:rPr>
          <w:rStyle w:val="FootnoteReference"/>
          <w:sz w:val="20"/>
        </w:rPr>
        <w:footnoteRef/>
      </w:r>
      <w:r>
        <w:t xml:space="preserve"> </w:t>
      </w:r>
      <w:r w:rsidRPr="00497176">
        <w:rPr>
          <w:sz w:val="20"/>
        </w:rPr>
        <w:t>So did we at the hearing on 30 October 2020.</w:t>
      </w:r>
    </w:p>
  </w:footnote>
  <w:footnote w:id="7">
    <w:p w:rsidR="0077586A" w:rsidRPr="0077586A" w:rsidRDefault="0077586A" w:rsidP="0077586A">
      <w:pPr>
        <w:pStyle w:val="FootnoteText"/>
        <w:ind w:left="180" w:hanging="180"/>
        <w:rPr>
          <w:sz w:val="20"/>
          <w:lang w:val="en-US"/>
        </w:rPr>
      </w:pPr>
      <w:r w:rsidRPr="0077586A">
        <w:rPr>
          <w:rStyle w:val="FootnoteReference"/>
          <w:sz w:val="20"/>
        </w:rPr>
        <w:footnoteRef/>
      </w:r>
      <w:r w:rsidRPr="0077586A">
        <w:rPr>
          <w:sz w:val="20"/>
        </w:rPr>
        <w:t xml:space="preserve"> </w:t>
      </w:r>
      <w:r w:rsidRPr="0077586A">
        <w:rPr>
          <w:sz w:val="20"/>
          <w:lang w:val="en-US"/>
        </w:rPr>
        <w:t xml:space="preserve">The progress reports were placed </w:t>
      </w:r>
      <w:r>
        <w:rPr>
          <w:sz w:val="20"/>
          <w:lang w:val="en-US"/>
        </w:rPr>
        <w:t>before us at t</w:t>
      </w:r>
      <w:r w:rsidR="00884969">
        <w:rPr>
          <w:sz w:val="20"/>
          <w:lang w:val="en-US"/>
        </w:rPr>
        <w:t>he hearing on 30 October 2020 u</w:t>
      </w:r>
      <w:r w:rsidR="00773156">
        <w:rPr>
          <w:sz w:val="20"/>
          <w:lang w:val="en-US"/>
        </w:rPr>
        <w:t>pon the respondents’ unopposed application</w:t>
      </w:r>
      <w:r w:rsidR="00884969">
        <w:rPr>
          <w:sz w:val="20"/>
          <w:lang w:val="en-US"/>
        </w:rPr>
        <w:t>s</w:t>
      </w:r>
      <w:r w:rsidR="00773156">
        <w:rPr>
          <w:sz w:val="20"/>
          <w:lang w:val="en-US"/>
        </w:rPr>
        <w:t xml:space="preserve"> to adduce fresh evidence, which we allowed.  </w:t>
      </w:r>
      <w:r>
        <w:rPr>
          <w:sz w:val="20"/>
          <w:lang w:val="en-US"/>
        </w:rPr>
        <w:t>They</w:t>
      </w:r>
      <w:r w:rsidR="00DC649D">
        <w:rPr>
          <w:sz w:val="20"/>
          <w:lang w:val="en-US"/>
        </w:rPr>
        <w:t xml:space="preserve"> </w:t>
      </w:r>
      <w:r w:rsidR="009E29C4">
        <w:rPr>
          <w:sz w:val="20"/>
          <w:lang w:val="en-US"/>
        </w:rPr>
        <w:t>showed</w:t>
      </w:r>
      <w:r>
        <w:rPr>
          <w:sz w:val="20"/>
          <w:lang w:val="en-US"/>
        </w:rPr>
        <w:t xml:space="preserve"> that both respondents are </w:t>
      </w:r>
      <w:r w:rsidR="001621E2">
        <w:rPr>
          <w:sz w:val="20"/>
          <w:lang w:val="en-US"/>
        </w:rPr>
        <w:t>coping</w:t>
      </w:r>
      <w:r>
        <w:rPr>
          <w:sz w:val="20"/>
          <w:lang w:val="en-US"/>
        </w:rPr>
        <w:t xml:space="preserve"> quite well so far.</w:t>
      </w:r>
    </w:p>
  </w:footnote>
  <w:footnote w:id="8">
    <w:p w:rsidR="00DE35F4" w:rsidRPr="003032FF" w:rsidRDefault="00DE35F4" w:rsidP="00DE35F4">
      <w:pPr>
        <w:pStyle w:val="FootnoteText"/>
        <w:rPr>
          <w:sz w:val="20"/>
        </w:rPr>
      </w:pPr>
      <w:r w:rsidRPr="003032FF">
        <w:rPr>
          <w:rStyle w:val="FootnoteReference"/>
          <w:sz w:val="20"/>
        </w:rPr>
        <w:footnoteRef/>
      </w:r>
      <w:r w:rsidR="003032FF" w:rsidRPr="003032FF">
        <w:rPr>
          <w:sz w:val="20"/>
        </w:rPr>
        <w:t xml:space="preserve"> </w:t>
      </w:r>
      <w:r w:rsidRPr="003032FF">
        <w:rPr>
          <w:rFonts w:hint="eastAsia"/>
          <w:sz w:val="20"/>
        </w:rPr>
        <w:t>Section 15(1)(a).</w:t>
      </w:r>
    </w:p>
  </w:footnote>
  <w:footnote w:id="9">
    <w:p w:rsidR="00DE35F4" w:rsidRPr="00B602E9" w:rsidRDefault="00DE35F4" w:rsidP="00DE35F4">
      <w:pPr>
        <w:pStyle w:val="FootnoteText"/>
        <w:rPr>
          <w:sz w:val="20"/>
        </w:rPr>
      </w:pPr>
      <w:r w:rsidRPr="003032FF">
        <w:rPr>
          <w:rStyle w:val="FootnoteReference"/>
          <w:sz w:val="20"/>
        </w:rPr>
        <w:footnoteRef/>
      </w:r>
      <w:r w:rsidR="00BC3EE9" w:rsidRPr="003032FF">
        <w:rPr>
          <w:sz w:val="20"/>
        </w:rPr>
        <w:t xml:space="preserve"> Section 15(1)(e</w:t>
      </w:r>
      <w:r w:rsidRPr="003032FF">
        <w:rPr>
          <w:sz w:val="20"/>
        </w:rPr>
        <w:t>).</w:t>
      </w:r>
    </w:p>
  </w:footnote>
  <w:footnote w:id="10">
    <w:p w:rsidR="00DE35F4" w:rsidRPr="00B949EC" w:rsidRDefault="00DE35F4" w:rsidP="00DE35F4">
      <w:pPr>
        <w:pStyle w:val="FootnoteText"/>
      </w:pPr>
      <w:r w:rsidRPr="00B602E9">
        <w:rPr>
          <w:rStyle w:val="FootnoteReference"/>
          <w:sz w:val="20"/>
        </w:rPr>
        <w:footnoteRef/>
      </w:r>
      <w:r w:rsidR="00160F1C">
        <w:rPr>
          <w:sz w:val="20"/>
        </w:rPr>
        <w:t xml:space="preserve"> See the </w:t>
      </w:r>
      <w:r w:rsidRPr="00B602E9">
        <w:rPr>
          <w:sz w:val="20"/>
        </w:rPr>
        <w:t xml:space="preserve">definition </w:t>
      </w:r>
      <w:r w:rsidR="00160F1C">
        <w:rPr>
          <w:sz w:val="20"/>
        </w:rPr>
        <w:t xml:space="preserve">of juvenile </w:t>
      </w:r>
      <w:r w:rsidRPr="00B602E9">
        <w:rPr>
          <w:sz w:val="20"/>
        </w:rPr>
        <w:t>in section 2 of the PCJO.</w:t>
      </w:r>
      <w:r>
        <w:t xml:space="preserve"> </w:t>
      </w:r>
    </w:p>
  </w:footnote>
  <w:footnote w:id="11">
    <w:p w:rsidR="00160F1C" w:rsidRPr="00B949EC" w:rsidRDefault="00160F1C" w:rsidP="00160F1C">
      <w:pPr>
        <w:pStyle w:val="FootnoteText"/>
      </w:pPr>
      <w:r w:rsidRPr="00B602E9">
        <w:rPr>
          <w:rStyle w:val="FootnoteReference"/>
          <w:sz w:val="20"/>
        </w:rPr>
        <w:footnoteRef/>
      </w:r>
      <w:r>
        <w:rPr>
          <w:sz w:val="20"/>
        </w:rPr>
        <w:t xml:space="preserve"> See the </w:t>
      </w:r>
      <w:r w:rsidRPr="00B602E9">
        <w:rPr>
          <w:sz w:val="20"/>
        </w:rPr>
        <w:t xml:space="preserve">definition </w:t>
      </w:r>
      <w:r>
        <w:rPr>
          <w:sz w:val="20"/>
        </w:rPr>
        <w:t xml:space="preserve">of </w:t>
      </w:r>
      <w:r>
        <w:rPr>
          <w:sz w:val="20"/>
        </w:rPr>
        <w:t xml:space="preserve">young person </w:t>
      </w:r>
      <w:r w:rsidRPr="00B602E9">
        <w:rPr>
          <w:sz w:val="20"/>
        </w:rPr>
        <w:t xml:space="preserve">in section 2 of the </w:t>
      </w:r>
      <w:r>
        <w:rPr>
          <w:sz w:val="20"/>
        </w:rPr>
        <w:t>JOO</w:t>
      </w:r>
      <w:r w:rsidRPr="00B602E9">
        <w:rPr>
          <w:sz w:val="20"/>
        </w:rPr>
        <w:t>.</w:t>
      </w:r>
      <w:r>
        <w:t xml:space="preserve"> </w:t>
      </w:r>
    </w:p>
  </w:footnote>
  <w:footnote w:id="12">
    <w:p w:rsidR="009A32E8" w:rsidRPr="00B949EC" w:rsidRDefault="009A32E8" w:rsidP="009A32E8">
      <w:pPr>
        <w:pStyle w:val="FootnoteText"/>
        <w:ind w:left="270" w:hanging="270"/>
      </w:pPr>
      <w:r w:rsidRPr="00B602E9">
        <w:rPr>
          <w:rStyle w:val="FootnoteReference"/>
          <w:sz w:val="20"/>
        </w:rPr>
        <w:footnoteRef/>
      </w:r>
      <w:r>
        <w:rPr>
          <w:sz w:val="20"/>
        </w:rPr>
        <w:t xml:space="preserve"> </w:t>
      </w:r>
      <w:r>
        <w:rPr>
          <w:sz w:val="20"/>
        </w:rPr>
        <w:t xml:space="preserve">In fact, when the issue was raised with counsel </w:t>
      </w:r>
      <w:r w:rsidR="00F25A7C">
        <w:rPr>
          <w:sz w:val="20"/>
        </w:rPr>
        <w:t>at</w:t>
      </w:r>
      <w:r>
        <w:rPr>
          <w:sz w:val="20"/>
        </w:rPr>
        <w:t xml:space="preserve"> the hearing before us, both Mr Pun SC for the 1</w:t>
      </w:r>
      <w:r w:rsidRPr="009A32E8">
        <w:rPr>
          <w:sz w:val="20"/>
          <w:vertAlign w:val="superscript"/>
        </w:rPr>
        <w:t>st</w:t>
      </w:r>
      <w:r>
        <w:rPr>
          <w:sz w:val="20"/>
        </w:rPr>
        <w:t xml:space="preserve"> respondent and Mr Ma for the 2</w:t>
      </w:r>
      <w:r w:rsidRPr="009A32E8">
        <w:rPr>
          <w:sz w:val="20"/>
          <w:vertAlign w:val="superscript"/>
        </w:rPr>
        <w:t>nd</w:t>
      </w:r>
      <w:r>
        <w:rPr>
          <w:sz w:val="20"/>
        </w:rPr>
        <w:t xml:space="preserve"> respondent had some difficulty in explaining whether and how the statutory criteria is met in the 1</w:t>
      </w:r>
      <w:r w:rsidRPr="009A32E8">
        <w:rPr>
          <w:sz w:val="20"/>
          <w:vertAlign w:val="superscript"/>
        </w:rPr>
        <w:t>st</w:t>
      </w:r>
      <w:r>
        <w:rPr>
          <w:sz w:val="20"/>
        </w:rPr>
        <w:t xml:space="preserve"> or 2</w:t>
      </w:r>
      <w:r w:rsidRPr="009A32E8">
        <w:rPr>
          <w:sz w:val="20"/>
          <w:vertAlign w:val="superscript"/>
        </w:rPr>
        <w:t>nd</w:t>
      </w:r>
      <w:r>
        <w:rPr>
          <w:sz w:val="20"/>
        </w:rPr>
        <w:t xml:space="preserve"> respondent’s case.</w:t>
      </w:r>
    </w:p>
  </w:footnote>
  <w:footnote w:id="13">
    <w:p w:rsidR="00DE35F4" w:rsidRPr="00683C31" w:rsidRDefault="00DE35F4" w:rsidP="00355090">
      <w:pPr>
        <w:pStyle w:val="FootnoteText"/>
        <w:ind w:left="270" w:hanging="270"/>
        <w:rPr>
          <w:sz w:val="20"/>
        </w:rPr>
      </w:pPr>
      <w:r w:rsidRPr="00683C31">
        <w:rPr>
          <w:rStyle w:val="FootnoteReference"/>
          <w:sz w:val="20"/>
        </w:rPr>
        <w:footnoteRef/>
      </w:r>
      <w:r w:rsidRPr="00683C31">
        <w:rPr>
          <w:sz w:val="20"/>
        </w:rPr>
        <w:t xml:space="preserve"> </w:t>
      </w:r>
      <w:r w:rsidRPr="00683C31">
        <w:rPr>
          <w:rFonts w:hint="eastAsia"/>
          <w:sz w:val="20"/>
        </w:rPr>
        <w:t>Th</w:t>
      </w:r>
      <w:r w:rsidR="0016237C">
        <w:rPr>
          <w:sz w:val="20"/>
        </w:rPr>
        <w:t xml:space="preserve">is was </w:t>
      </w:r>
      <w:r w:rsidRPr="00683C31">
        <w:rPr>
          <w:rFonts w:hint="eastAsia"/>
          <w:sz w:val="20"/>
        </w:rPr>
        <w:t>the Magistrate</w:t>
      </w:r>
      <w:r w:rsidRPr="00683C31">
        <w:rPr>
          <w:sz w:val="20"/>
        </w:rPr>
        <w:t xml:space="preserve">’s </w:t>
      </w:r>
      <w:r w:rsidR="0016237C">
        <w:rPr>
          <w:sz w:val="20"/>
        </w:rPr>
        <w:t>comment in response to Mr Ma’s submission on the culpability of the 2</w:t>
      </w:r>
      <w:r w:rsidR="0016237C" w:rsidRPr="0016237C">
        <w:rPr>
          <w:sz w:val="20"/>
          <w:vertAlign w:val="superscript"/>
        </w:rPr>
        <w:t>nd</w:t>
      </w:r>
      <w:r w:rsidR="0016237C">
        <w:rPr>
          <w:sz w:val="20"/>
        </w:rPr>
        <w:t xml:space="preserve"> respondent</w:t>
      </w:r>
      <w:r w:rsidRPr="00683C31">
        <w:rPr>
          <w:sz w:val="20"/>
        </w:rPr>
        <w:t>: see the transcript of the proceedings below at</w:t>
      </w:r>
      <w:r w:rsidR="00907569">
        <w:rPr>
          <w:sz w:val="20"/>
        </w:rPr>
        <w:t xml:space="preserve"> Hearing Bundle,</w:t>
      </w:r>
      <w:r w:rsidRPr="00683C31">
        <w:rPr>
          <w:sz w:val="20"/>
        </w:rPr>
        <w:t xml:space="preserve"> p.33S-U. </w:t>
      </w:r>
    </w:p>
  </w:footnote>
  <w:footnote w:id="14">
    <w:p w:rsidR="008B3B43" w:rsidRPr="008B3B43" w:rsidRDefault="008B3B43" w:rsidP="00FF7ADB">
      <w:pPr>
        <w:pStyle w:val="FootnoteText"/>
        <w:tabs>
          <w:tab w:val="clear" w:pos="1440"/>
        </w:tabs>
        <w:ind w:left="270" w:hanging="270"/>
        <w:rPr>
          <w:sz w:val="20"/>
        </w:rPr>
      </w:pPr>
      <w:r w:rsidRPr="008B3B43">
        <w:rPr>
          <w:rStyle w:val="FootnoteReference"/>
          <w:sz w:val="20"/>
        </w:rPr>
        <w:footnoteRef/>
      </w:r>
      <w:r w:rsidRPr="008B3B43">
        <w:rPr>
          <w:sz w:val="20"/>
        </w:rPr>
        <w:t xml:space="preserve"> </w:t>
      </w:r>
      <w:r w:rsidR="004753BB">
        <w:rPr>
          <w:rFonts w:hint="eastAsia"/>
          <w:sz w:val="20"/>
        </w:rPr>
        <w:t>The Judgment i</w:t>
      </w:r>
      <w:r w:rsidRPr="008B3B43">
        <w:rPr>
          <w:rFonts w:hint="eastAsia"/>
          <w:sz w:val="20"/>
        </w:rPr>
        <w:t xml:space="preserve">s in Chinese. </w:t>
      </w:r>
      <w:r w:rsidRPr="008B3B43">
        <w:rPr>
          <w:sz w:val="20"/>
        </w:rPr>
        <w:t xml:space="preserve"> The </w:t>
      </w:r>
      <w:r>
        <w:rPr>
          <w:sz w:val="20"/>
        </w:rPr>
        <w:t xml:space="preserve">extract </w:t>
      </w:r>
      <w:r w:rsidR="00A8039E">
        <w:rPr>
          <w:sz w:val="20"/>
        </w:rPr>
        <w:t xml:space="preserve">below </w:t>
      </w:r>
      <w:r>
        <w:rPr>
          <w:sz w:val="20"/>
        </w:rPr>
        <w:t>is an English translation prepared by the Bilingual Court Documents Unit of the Department of Justice.</w:t>
      </w:r>
    </w:p>
  </w:footnote>
  <w:footnote w:id="15">
    <w:p w:rsidR="00DE35F4" w:rsidRPr="005678A7" w:rsidRDefault="00DE35F4" w:rsidP="00DE35F4">
      <w:pPr>
        <w:pStyle w:val="FootnoteText"/>
        <w:rPr>
          <w:sz w:val="20"/>
        </w:rPr>
      </w:pPr>
      <w:r w:rsidRPr="005678A7">
        <w:rPr>
          <w:rStyle w:val="FootnoteReference"/>
          <w:sz w:val="20"/>
        </w:rPr>
        <w:footnoteRef/>
      </w:r>
      <w:r w:rsidRPr="005678A7">
        <w:rPr>
          <w:sz w:val="20"/>
        </w:rPr>
        <w:t xml:space="preserve"> </w:t>
      </w:r>
      <w:r w:rsidRPr="005678A7">
        <w:rPr>
          <w:rFonts w:hint="eastAsia"/>
          <w:sz w:val="20"/>
        </w:rPr>
        <w:t>C</w:t>
      </w:r>
      <w:r w:rsidRPr="005678A7">
        <w:rPr>
          <w:sz w:val="20"/>
        </w:rPr>
        <w:t>a</w:t>
      </w:r>
      <w:r w:rsidR="005678A7" w:rsidRPr="005678A7">
        <w:rPr>
          <w:rFonts w:hint="eastAsia"/>
          <w:sz w:val="20"/>
        </w:rPr>
        <w:t>p</w:t>
      </w:r>
      <w:r w:rsidR="005678A7" w:rsidRPr="005678A7">
        <w:rPr>
          <w:sz w:val="20"/>
        </w:rPr>
        <w:t xml:space="preserve"> 297.</w:t>
      </w:r>
    </w:p>
  </w:footnote>
  <w:footnote w:id="16">
    <w:p w:rsidR="00635649" w:rsidRPr="005678A7" w:rsidRDefault="00635649" w:rsidP="00635649">
      <w:pPr>
        <w:pStyle w:val="FootnoteText"/>
        <w:rPr>
          <w:sz w:val="20"/>
        </w:rPr>
      </w:pPr>
      <w:r w:rsidRPr="005678A7">
        <w:rPr>
          <w:rStyle w:val="FootnoteReference"/>
          <w:sz w:val="20"/>
        </w:rPr>
        <w:footnoteRef/>
      </w:r>
      <w:r w:rsidRPr="005678A7">
        <w:rPr>
          <w:sz w:val="20"/>
        </w:rPr>
        <w:t xml:space="preserve"> </w:t>
      </w:r>
      <w:r>
        <w:rPr>
          <w:rFonts w:hint="eastAsia"/>
          <w:sz w:val="20"/>
        </w:rPr>
        <w:t>Section</w:t>
      </w:r>
      <w:r>
        <w:rPr>
          <w:sz w:val="20"/>
        </w:rPr>
        <w:t xml:space="preserve"> 4.</w:t>
      </w:r>
    </w:p>
  </w:footnote>
  <w:footnote w:id="17">
    <w:p w:rsidR="006F51E3" w:rsidRPr="002F12D7" w:rsidRDefault="006F51E3" w:rsidP="006F51E3">
      <w:pPr>
        <w:pStyle w:val="FootnoteText"/>
        <w:rPr>
          <w:sz w:val="20"/>
        </w:rPr>
      </w:pPr>
      <w:r w:rsidRPr="002F12D7">
        <w:rPr>
          <w:rStyle w:val="FootnoteReference"/>
          <w:sz w:val="20"/>
        </w:rPr>
        <w:footnoteRef/>
      </w:r>
      <w:r w:rsidRPr="002F12D7">
        <w:rPr>
          <w:sz w:val="20"/>
        </w:rPr>
        <w:t xml:space="preserve"> </w:t>
      </w:r>
      <w:r w:rsidR="002F12D7">
        <w:rPr>
          <w:rFonts w:hint="eastAsia"/>
          <w:sz w:val="20"/>
        </w:rPr>
        <w:t>Cap</w:t>
      </w:r>
      <w:r w:rsidRPr="002F12D7">
        <w:rPr>
          <w:rFonts w:hint="eastAsia"/>
          <w:sz w:val="20"/>
        </w:rPr>
        <w:t xml:space="preserve"> 378.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187" w:rsidRDefault="005841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84187" w:rsidRDefault="00584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187" w:rsidRPr="00A34041" w:rsidRDefault="00584187" w:rsidP="00A34041">
    <w:pPr>
      <w:tabs>
        <w:tab w:val="clear" w:pos="1440"/>
      </w:tabs>
      <w:jc w:val="center"/>
      <w:rPr>
        <w:lang w:val="en-US"/>
      </w:rPr>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5850890</wp:posOffset>
              </wp:positionH>
              <wp:positionV relativeFrom="paragraph">
                <wp:posOffset>71755</wp:posOffset>
              </wp:positionV>
              <wp:extent cx="342900" cy="10150475"/>
              <wp:effectExtent l="254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84187" w:rsidRDefault="00584187">
                          <w:pPr>
                            <w:spacing w:line="720" w:lineRule="exact"/>
                            <w:jc w:val="right"/>
                            <w:rPr>
                              <w:b/>
                              <w:sz w:val="20"/>
                            </w:rPr>
                          </w:pPr>
                          <w:r>
                            <w:rPr>
                              <w:b/>
                              <w:sz w:val="20"/>
                            </w:rPr>
                            <w:t>A</w:t>
                          </w:r>
                        </w:p>
                        <w:p w:rsidR="00584187" w:rsidRDefault="00584187">
                          <w:pPr>
                            <w:spacing w:line="720" w:lineRule="exact"/>
                            <w:jc w:val="right"/>
                            <w:rPr>
                              <w:b/>
                              <w:sz w:val="20"/>
                            </w:rPr>
                          </w:pPr>
                          <w:r>
                            <w:rPr>
                              <w:b/>
                              <w:sz w:val="20"/>
                            </w:rPr>
                            <w:t>B</w:t>
                          </w:r>
                        </w:p>
                        <w:p w:rsidR="00584187" w:rsidRDefault="00584187">
                          <w:pPr>
                            <w:spacing w:line="720" w:lineRule="exact"/>
                            <w:jc w:val="right"/>
                            <w:rPr>
                              <w:b/>
                              <w:sz w:val="20"/>
                            </w:rPr>
                          </w:pPr>
                          <w:r>
                            <w:rPr>
                              <w:b/>
                              <w:sz w:val="20"/>
                            </w:rPr>
                            <w:t>C</w:t>
                          </w:r>
                        </w:p>
                        <w:p w:rsidR="00584187" w:rsidRDefault="00584187">
                          <w:pPr>
                            <w:spacing w:line="720" w:lineRule="exact"/>
                            <w:jc w:val="right"/>
                            <w:rPr>
                              <w:b/>
                              <w:sz w:val="20"/>
                            </w:rPr>
                          </w:pPr>
                          <w:r>
                            <w:rPr>
                              <w:b/>
                              <w:sz w:val="20"/>
                            </w:rPr>
                            <w:t>D</w:t>
                          </w:r>
                        </w:p>
                        <w:p w:rsidR="00584187" w:rsidRDefault="00584187">
                          <w:pPr>
                            <w:spacing w:line="720" w:lineRule="exact"/>
                            <w:jc w:val="right"/>
                            <w:rPr>
                              <w:b/>
                              <w:sz w:val="20"/>
                            </w:rPr>
                          </w:pPr>
                          <w:r>
                            <w:rPr>
                              <w:b/>
                              <w:sz w:val="20"/>
                            </w:rPr>
                            <w:t>E</w:t>
                          </w:r>
                        </w:p>
                        <w:p w:rsidR="00584187" w:rsidRDefault="00584187">
                          <w:pPr>
                            <w:pStyle w:val="Heading3"/>
                            <w:spacing w:line="720" w:lineRule="exact"/>
                            <w:jc w:val="right"/>
                          </w:pPr>
                          <w:r>
                            <w:t>F</w:t>
                          </w:r>
                        </w:p>
                        <w:p w:rsidR="00584187" w:rsidRDefault="00584187">
                          <w:pPr>
                            <w:spacing w:line="720" w:lineRule="exact"/>
                            <w:jc w:val="right"/>
                            <w:rPr>
                              <w:b/>
                              <w:sz w:val="20"/>
                            </w:rPr>
                          </w:pPr>
                          <w:r>
                            <w:rPr>
                              <w:b/>
                              <w:sz w:val="20"/>
                            </w:rPr>
                            <w:t>G</w:t>
                          </w:r>
                        </w:p>
                        <w:p w:rsidR="00584187" w:rsidRDefault="00584187">
                          <w:pPr>
                            <w:spacing w:line="720" w:lineRule="exact"/>
                            <w:jc w:val="right"/>
                            <w:rPr>
                              <w:b/>
                              <w:sz w:val="20"/>
                            </w:rPr>
                          </w:pPr>
                          <w:r>
                            <w:rPr>
                              <w:b/>
                              <w:sz w:val="20"/>
                            </w:rPr>
                            <w:t>H</w:t>
                          </w:r>
                        </w:p>
                        <w:p w:rsidR="00584187" w:rsidRDefault="00584187">
                          <w:pPr>
                            <w:spacing w:line="720" w:lineRule="exact"/>
                            <w:jc w:val="right"/>
                            <w:rPr>
                              <w:b/>
                              <w:sz w:val="20"/>
                            </w:rPr>
                          </w:pPr>
                          <w:r>
                            <w:rPr>
                              <w:b/>
                              <w:sz w:val="20"/>
                            </w:rPr>
                            <w:t>I</w:t>
                          </w:r>
                        </w:p>
                        <w:p w:rsidR="00584187" w:rsidRDefault="00584187">
                          <w:pPr>
                            <w:spacing w:line="720" w:lineRule="exact"/>
                            <w:jc w:val="right"/>
                            <w:rPr>
                              <w:b/>
                              <w:sz w:val="20"/>
                            </w:rPr>
                          </w:pPr>
                          <w:r>
                            <w:rPr>
                              <w:b/>
                              <w:sz w:val="20"/>
                            </w:rPr>
                            <w:t>J</w:t>
                          </w:r>
                        </w:p>
                        <w:p w:rsidR="00584187" w:rsidRDefault="00584187">
                          <w:pPr>
                            <w:spacing w:line="720" w:lineRule="exact"/>
                            <w:jc w:val="right"/>
                            <w:rPr>
                              <w:b/>
                              <w:sz w:val="20"/>
                            </w:rPr>
                          </w:pPr>
                          <w:r>
                            <w:rPr>
                              <w:b/>
                              <w:sz w:val="20"/>
                            </w:rPr>
                            <w:t>K</w:t>
                          </w:r>
                        </w:p>
                        <w:p w:rsidR="00584187" w:rsidRDefault="00584187">
                          <w:pPr>
                            <w:spacing w:line="720" w:lineRule="exact"/>
                            <w:jc w:val="right"/>
                            <w:rPr>
                              <w:b/>
                              <w:sz w:val="20"/>
                            </w:rPr>
                          </w:pPr>
                          <w:r>
                            <w:rPr>
                              <w:b/>
                              <w:sz w:val="20"/>
                            </w:rPr>
                            <w:t>L</w:t>
                          </w:r>
                        </w:p>
                        <w:p w:rsidR="00584187" w:rsidRDefault="00584187">
                          <w:pPr>
                            <w:spacing w:line="720" w:lineRule="exact"/>
                            <w:jc w:val="right"/>
                            <w:rPr>
                              <w:b/>
                              <w:sz w:val="20"/>
                            </w:rPr>
                          </w:pPr>
                          <w:r>
                            <w:rPr>
                              <w:b/>
                              <w:sz w:val="20"/>
                            </w:rPr>
                            <w:t>M</w:t>
                          </w:r>
                        </w:p>
                        <w:p w:rsidR="00584187" w:rsidRDefault="00584187">
                          <w:pPr>
                            <w:spacing w:line="720" w:lineRule="exact"/>
                            <w:jc w:val="right"/>
                            <w:rPr>
                              <w:b/>
                              <w:sz w:val="20"/>
                            </w:rPr>
                          </w:pPr>
                          <w:r>
                            <w:rPr>
                              <w:b/>
                              <w:sz w:val="20"/>
                            </w:rPr>
                            <w:t>N</w:t>
                          </w:r>
                        </w:p>
                        <w:p w:rsidR="00584187" w:rsidRDefault="00584187">
                          <w:pPr>
                            <w:spacing w:line="720" w:lineRule="exact"/>
                            <w:jc w:val="right"/>
                            <w:rPr>
                              <w:b/>
                              <w:sz w:val="20"/>
                            </w:rPr>
                          </w:pPr>
                          <w:r>
                            <w:rPr>
                              <w:b/>
                              <w:sz w:val="20"/>
                            </w:rPr>
                            <w:t>O</w:t>
                          </w:r>
                        </w:p>
                        <w:p w:rsidR="00584187" w:rsidRDefault="00584187">
                          <w:pPr>
                            <w:spacing w:line="720" w:lineRule="exact"/>
                            <w:jc w:val="right"/>
                            <w:rPr>
                              <w:b/>
                              <w:sz w:val="20"/>
                            </w:rPr>
                          </w:pPr>
                          <w:r>
                            <w:rPr>
                              <w:b/>
                              <w:sz w:val="20"/>
                            </w:rPr>
                            <w:t>P</w:t>
                          </w:r>
                        </w:p>
                        <w:p w:rsidR="00584187" w:rsidRDefault="00584187">
                          <w:pPr>
                            <w:spacing w:line="720" w:lineRule="exact"/>
                            <w:jc w:val="right"/>
                            <w:rPr>
                              <w:b/>
                              <w:sz w:val="20"/>
                            </w:rPr>
                          </w:pPr>
                          <w:r>
                            <w:rPr>
                              <w:b/>
                              <w:sz w:val="20"/>
                            </w:rPr>
                            <w:t>Q</w:t>
                          </w:r>
                        </w:p>
                        <w:p w:rsidR="00584187" w:rsidRDefault="00584187">
                          <w:pPr>
                            <w:spacing w:line="720" w:lineRule="exact"/>
                            <w:jc w:val="right"/>
                            <w:rPr>
                              <w:b/>
                              <w:sz w:val="20"/>
                            </w:rPr>
                          </w:pPr>
                          <w:r>
                            <w:rPr>
                              <w:b/>
                              <w:sz w:val="20"/>
                            </w:rPr>
                            <w:t>R</w:t>
                          </w:r>
                        </w:p>
                        <w:p w:rsidR="00584187" w:rsidRDefault="00584187">
                          <w:pPr>
                            <w:spacing w:line="720" w:lineRule="exact"/>
                            <w:jc w:val="right"/>
                            <w:rPr>
                              <w:b/>
                              <w:sz w:val="20"/>
                            </w:rPr>
                          </w:pPr>
                          <w:r>
                            <w:rPr>
                              <w:b/>
                              <w:sz w:val="20"/>
                            </w:rPr>
                            <w:t>S</w:t>
                          </w:r>
                        </w:p>
                        <w:p w:rsidR="00584187" w:rsidRDefault="00584187">
                          <w:pPr>
                            <w:spacing w:line="720" w:lineRule="exact"/>
                            <w:jc w:val="right"/>
                            <w:rPr>
                              <w:b/>
                              <w:sz w:val="20"/>
                            </w:rPr>
                          </w:pPr>
                          <w:r>
                            <w:rPr>
                              <w:b/>
                              <w:sz w:val="20"/>
                            </w:rPr>
                            <w:t>T</w:t>
                          </w:r>
                        </w:p>
                        <w:p w:rsidR="00584187" w:rsidRDefault="00584187">
                          <w:pPr>
                            <w:spacing w:line="720" w:lineRule="exact"/>
                            <w:jc w:val="right"/>
                            <w:rPr>
                              <w:b/>
                              <w:sz w:val="20"/>
                            </w:rPr>
                          </w:pPr>
                          <w:r>
                            <w:rPr>
                              <w:b/>
                              <w:sz w:val="20"/>
                            </w:rPr>
                            <w:t>U</w:t>
                          </w:r>
                        </w:p>
                        <w:p w:rsidR="00584187" w:rsidRDefault="00584187">
                          <w:pPr>
                            <w:spacing w:line="720" w:lineRule="exact"/>
                            <w:jc w:val="right"/>
                            <w:rPr>
                              <w:b/>
                              <w:sz w:val="20"/>
                            </w:rPr>
                          </w:pPr>
                          <w:r>
                            <w:rPr>
                              <w:b/>
                              <w:sz w:val="20"/>
                            </w:rPr>
                            <w:t>V</w:t>
                          </w:r>
                        </w:p>
                        <w:p w:rsidR="00584187" w:rsidRDefault="00584187">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60.7pt;margin-top:5.65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" o:allowincell="f" stroked="f" strokeweight="0">
              <v:textbox inset="0,0,0,0">
                <w:txbxContent>
                  <w:p w:rsidR="00584187" w:rsidRDefault="00584187">
                    <w:pPr>
                      <w:spacing w:line="720" w:lineRule="exact"/>
                      <w:jc w:val="right"/>
                      <w:rPr>
                        <w:b/>
                        <w:sz w:val="20"/>
                      </w:rPr>
                    </w:pPr>
                    <w:r>
                      <w:rPr>
                        <w:b/>
                        <w:sz w:val="20"/>
                      </w:rPr>
                      <w:t>A</w:t>
                    </w:r>
                  </w:p>
                  <w:p w:rsidR="00584187" w:rsidRDefault="00584187">
                    <w:pPr>
                      <w:spacing w:line="720" w:lineRule="exact"/>
                      <w:jc w:val="right"/>
                      <w:rPr>
                        <w:b/>
                        <w:sz w:val="20"/>
                      </w:rPr>
                    </w:pPr>
                    <w:r>
                      <w:rPr>
                        <w:b/>
                        <w:sz w:val="20"/>
                      </w:rPr>
                      <w:t>B</w:t>
                    </w:r>
                  </w:p>
                  <w:p w:rsidR="00584187" w:rsidRDefault="00584187">
                    <w:pPr>
                      <w:spacing w:line="720" w:lineRule="exact"/>
                      <w:jc w:val="right"/>
                      <w:rPr>
                        <w:b/>
                        <w:sz w:val="20"/>
                      </w:rPr>
                    </w:pPr>
                    <w:r>
                      <w:rPr>
                        <w:b/>
                        <w:sz w:val="20"/>
                      </w:rPr>
                      <w:t>C</w:t>
                    </w:r>
                  </w:p>
                  <w:p w:rsidR="00584187" w:rsidRDefault="00584187">
                    <w:pPr>
                      <w:spacing w:line="720" w:lineRule="exact"/>
                      <w:jc w:val="right"/>
                      <w:rPr>
                        <w:b/>
                        <w:sz w:val="20"/>
                      </w:rPr>
                    </w:pPr>
                    <w:r>
                      <w:rPr>
                        <w:b/>
                        <w:sz w:val="20"/>
                      </w:rPr>
                      <w:t>D</w:t>
                    </w:r>
                  </w:p>
                  <w:p w:rsidR="00584187" w:rsidRDefault="00584187">
                    <w:pPr>
                      <w:spacing w:line="720" w:lineRule="exact"/>
                      <w:jc w:val="right"/>
                      <w:rPr>
                        <w:b/>
                        <w:sz w:val="20"/>
                      </w:rPr>
                    </w:pPr>
                    <w:r>
                      <w:rPr>
                        <w:b/>
                        <w:sz w:val="20"/>
                      </w:rPr>
                      <w:t>E</w:t>
                    </w:r>
                  </w:p>
                  <w:p w:rsidR="00584187" w:rsidRDefault="00584187">
                    <w:pPr>
                      <w:pStyle w:val="Heading3"/>
                      <w:spacing w:line="720" w:lineRule="exact"/>
                      <w:jc w:val="right"/>
                    </w:pPr>
                    <w:r>
                      <w:t>F</w:t>
                    </w:r>
                  </w:p>
                  <w:p w:rsidR="00584187" w:rsidRDefault="00584187">
                    <w:pPr>
                      <w:spacing w:line="720" w:lineRule="exact"/>
                      <w:jc w:val="right"/>
                      <w:rPr>
                        <w:b/>
                        <w:sz w:val="20"/>
                      </w:rPr>
                    </w:pPr>
                    <w:r>
                      <w:rPr>
                        <w:b/>
                        <w:sz w:val="20"/>
                      </w:rPr>
                      <w:t>G</w:t>
                    </w:r>
                  </w:p>
                  <w:p w:rsidR="00584187" w:rsidRDefault="00584187">
                    <w:pPr>
                      <w:spacing w:line="720" w:lineRule="exact"/>
                      <w:jc w:val="right"/>
                      <w:rPr>
                        <w:b/>
                        <w:sz w:val="20"/>
                      </w:rPr>
                    </w:pPr>
                    <w:r>
                      <w:rPr>
                        <w:b/>
                        <w:sz w:val="20"/>
                      </w:rPr>
                      <w:t>H</w:t>
                    </w:r>
                  </w:p>
                  <w:p w:rsidR="00584187" w:rsidRDefault="00584187">
                    <w:pPr>
                      <w:spacing w:line="720" w:lineRule="exact"/>
                      <w:jc w:val="right"/>
                      <w:rPr>
                        <w:b/>
                        <w:sz w:val="20"/>
                      </w:rPr>
                    </w:pPr>
                    <w:r>
                      <w:rPr>
                        <w:b/>
                        <w:sz w:val="20"/>
                      </w:rPr>
                      <w:t>I</w:t>
                    </w:r>
                  </w:p>
                  <w:p w:rsidR="00584187" w:rsidRDefault="00584187">
                    <w:pPr>
                      <w:spacing w:line="720" w:lineRule="exact"/>
                      <w:jc w:val="right"/>
                      <w:rPr>
                        <w:b/>
                        <w:sz w:val="20"/>
                      </w:rPr>
                    </w:pPr>
                    <w:r>
                      <w:rPr>
                        <w:b/>
                        <w:sz w:val="20"/>
                      </w:rPr>
                      <w:t>J</w:t>
                    </w:r>
                  </w:p>
                  <w:p w:rsidR="00584187" w:rsidRDefault="00584187">
                    <w:pPr>
                      <w:spacing w:line="720" w:lineRule="exact"/>
                      <w:jc w:val="right"/>
                      <w:rPr>
                        <w:b/>
                        <w:sz w:val="20"/>
                      </w:rPr>
                    </w:pPr>
                    <w:r>
                      <w:rPr>
                        <w:b/>
                        <w:sz w:val="20"/>
                      </w:rPr>
                      <w:t>K</w:t>
                    </w:r>
                  </w:p>
                  <w:p w:rsidR="00584187" w:rsidRDefault="00584187">
                    <w:pPr>
                      <w:spacing w:line="720" w:lineRule="exact"/>
                      <w:jc w:val="right"/>
                      <w:rPr>
                        <w:b/>
                        <w:sz w:val="20"/>
                      </w:rPr>
                    </w:pPr>
                    <w:r>
                      <w:rPr>
                        <w:b/>
                        <w:sz w:val="20"/>
                      </w:rPr>
                      <w:t>L</w:t>
                    </w:r>
                  </w:p>
                  <w:p w:rsidR="00584187" w:rsidRDefault="00584187">
                    <w:pPr>
                      <w:spacing w:line="720" w:lineRule="exact"/>
                      <w:jc w:val="right"/>
                      <w:rPr>
                        <w:b/>
                        <w:sz w:val="20"/>
                      </w:rPr>
                    </w:pPr>
                    <w:r>
                      <w:rPr>
                        <w:b/>
                        <w:sz w:val="20"/>
                      </w:rPr>
                      <w:t>M</w:t>
                    </w:r>
                  </w:p>
                  <w:p w:rsidR="00584187" w:rsidRDefault="00584187">
                    <w:pPr>
                      <w:spacing w:line="720" w:lineRule="exact"/>
                      <w:jc w:val="right"/>
                      <w:rPr>
                        <w:b/>
                        <w:sz w:val="20"/>
                      </w:rPr>
                    </w:pPr>
                    <w:r>
                      <w:rPr>
                        <w:b/>
                        <w:sz w:val="20"/>
                      </w:rPr>
                      <w:t>N</w:t>
                    </w:r>
                  </w:p>
                  <w:p w:rsidR="00584187" w:rsidRDefault="00584187">
                    <w:pPr>
                      <w:spacing w:line="720" w:lineRule="exact"/>
                      <w:jc w:val="right"/>
                      <w:rPr>
                        <w:b/>
                        <w:sz w:val="20"/>
                      </w:rPr>
                    </w:pPr>
                    <w:r>
                      <w:rPr>
                        <w:b/>
                        <w:sz w:val="20"/>
                      </w:rPr>
                      <w:t>O</w:t>
                    </w:r>
                  </w:p>
                  <w:p w:rsidR="00584187" w:rsidRDefault="00584187">
                    <w:pPr>
                      <w:spacing w:line="720" w:lineRule="exact"/>
                      <w:jc w:val="right"/>
                      <w:rPr>
                        <w:b/>
                        <w:sz w:val="20"/>
                      </w:rPr>
                    </w:pPr>
                    <w:r>
                      <w:rPr>
                        <w:b/>
                        <w:sz w:val="20"/>
                      </w:rPr>
                      <w:t>P</w:t>
                    </w:r>
                  </w:p>
                  <w:p w:rsidR="00584187" w:rsidRDefault="00584187">
                    <w:pPr>
                      <w:spacing w:line="720" w:lineRule="exact"/>
                      <w:jc w:val="right"/>
                      <w:rPr>
                        <w:b/>
                        <w:sz w:val="20"/>
                      </w:rPr>
                    </w:pPr>
                    <w:r>
                      <w:rPr>
                        <w:b/>
                        <w:sz w:val="20"/>
                      </w:rPr>
                      <w:t>Q</w:t>
                    </w:r>
                  </w:p>
                  <w:p w:rsidR="00584187" w:rsidRDefault="00584187">
                    <w:pPr>
                      <w:spacing w:line="720" w:lineRule="exact"/>
                      <w:jc w:val="right"/>
                      <w:rPr>
                        <w:b/>
                        <w:sz w:val="20"/>
                      </w:rPr>
                    </w:pPr>
                    <w:r>
                      <w:rPr>
                        <w:b/>
                        <w:sz w:val="20"/>
                      </w:rPr>
                      <w:t>R</w:t>
                    </w:r>
                  </w:p>
                  <w:p w:rsidR="00584187" w:rsidRDefault="00584187">
                    <w:pPr>
                      <w:spacing w:line="720" w:lineRule="exact"/>
                      <w:jc w:val="right"/>
                      <w:rPr>
                        <w:b/>
                        <w:sz w:val="20"/>
                      </w:rPr>
                    </w:pPr>
                    <w:r>
                      <w:rPr>
                        <w:b/>
                        <w:sz w:val="20"/>
                      </w:rPr>
                      <w:t>S</w:t>
                    </w:r>
                  </w:p>
                  <w:p w:rsidR="00584187" w:rsidRDefault="00584187">
                    <w:pPr>
                      <w:spacing w:line="720" w:lineRule="exact"/>
                      <w:jc w:val="right"/>
                      <w:rPr>
                        <w:b/>
                        <w:sz w:val="20"/>
                      </w:rPr>
                    </w:pPr>
                    <w:r>
                      <w:rPr>
                        <w:b/>
                        <w:sz w:val="20"/>
                      </w:rPr>
                      <w:t>T</w:t>
                    </w:r>
                  </w:p>
                  <w:p w:rsidR="00584187" w:rsidRDefault="00584187">
                    <w:pPr>
                      <w:spacing w:line="720" w:lineRule="exact"/>
                      <w:jc w:val="right"/>
                      <w:rPr>
                        <w:b/>
                        <w:sz w:val="20"/>
                      </w:rPr>
                    </w:pPr>
                    <w:r>
                      <w:rPr>
                        <w:b/>
                        <w:sz w:val="20"/>
                      </w:rPr>
                      <w:t>U</w:t>
                    </w:r>
                  </w:p>
                  <w:p w:rsidR="00584187" w:rsidRDefault="00584187">
                    <w:pPr>
                      <w:spacing w:line="720" w:lineRule="exact"/>
                      <w:jc w:val="right"/>
                      <w:rPr>
                        <w:b/>
                        <w:sz w:val="20"/>
                      </w:rPr>
                    </w:pPr>
                    <w:r>
                      <w:rPr>
                        <w:b/>
                        <w:sz w:val="20"/>
                      </w:rPr>
                      <w:t>V</w:t>
                    </w:r>
                  </w:p>
                  <w:p w:rsidR="00584187" w:rsidRDefault="00584187">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7216" behindDoc="0" locked="0" layoutInCell="0" allowOverlap="1">
              <wp:simplePos x="0" y="0"/>
              <wp:positionH relativeFrom="column">
                <wp:posOffset>-720090</wp:posOffset>
              </wp:positionH>
              <wp:positionV relativeFrom="paragraph">
                <wp:posOffset>71755</wp:posOffset>
              </wp:positionV>
              <wp:extent cx="342900" cy="10150475"/>
              <wp:effectExtent l="381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84187" w:rsidRDefault="00584187">
                          <w:pPr>
                            <w:spacing w:line="720" w:lineRule="exact"/>
                            <w:rPr>
                              <w:b/>
                              <w:sz w:val="20"/>
                            </w:rPr>
                          </w:pPr>
                          <w:r>
                            <w:rPr>
                              <w:b/>
                              <w:sz w:val="20"/>
                            </w:rPr>
                            <w:t>A</w:t>
                          </w:r>
                        </w:p>
                        <w:p w:rsidR="00584187" w:rsidRDefault="00584187">
                          <w:pPr>
                            <w:spacing w:line="720" w:lineRule="exact"/>
                            <w:rPr>
                              <w:b/>
                              <w:sz w:val="20"/>
                            </w:rPr>
                          </w:pPr>
                          <w:r>
                            <w:rPr>
                              <w:b/>
                              <w:sz w:val="20"/>
                            </w:rPr>
                            <w:t>B</w:t>
                          </w:r>
                        </w:p>
                        <w:p w:rsidR="00584187" w:rsidRDefault="00584187">
                          <w:pPr>
                            <w:spacing w:line="720" w:lineRule="exact"/>
                            <w:rPr>
                              <w:b/>
                              <w:sz w:val="20"/>
                            </w:rPr>
                          </w:pPr>
                          <w:r>
                            <w:rPr>
                              <w:b/>
                              <w:sz w:val="20"/>
                            </w:rPr>
                            <w:t>C</w:t>
                          </w:r>
                        </w:p>
                        <w:p w:rsidR="00584187" w:rsidRDefault="00584187">
                          <w:pPr>
                            <w:spacing w:line="720" w:lineRule="exact"/>
                            <w:rPr>
                              <w:b/>
                              <w:sz w:val="20"/>
                            </w:rPr>
                          </w:pPr>
                          <w:r>
                            <w:rPr>
                              <w:b/>
                              <w:sz w:val="20"/>
                            </w:rPr>
                            <w:t>D</w:t>
                          </w:r>
                        </w:p>
                        <w:p w:rsidR="00584187" w:rsidRDefault="00584187">
                          <w:pPr>
                            <w:spacing w:line="720" w:lineRule="exact"/>
                            <w:rPr>
                              <w:b/>
                              <w:sz w:val="20"/>
                            </w:rPr>
                          </w:pPr>
                          <w:r>
                            <w:rPr>
                              <w:b/>
                              <w:sz w:val="20"/>
                            </w:rPr>
                            <w:t>E</w:t>
                          </w:r>
                        </w:p>
                        <w:p w:rsidR="00584187" w:rsidRDefault="00584187">
                          <w:pPr>
                            <w:pStyle w:val="Heading3"/>
                            <w:spacing w:line="720" w:lineRule="exact"/>
                            <w:jc w:val="left"/>
                          </w:pPr>
                          <w:r>
                            <w:t>F</w:t>
                          </w:r>
                        </w:p>
                        <w:p w:rsidR="00584187" w:rsidRDefault="00584187">
                          <w:pPr>
                            <w:spacing w:line="720" w:lineRule="exact"/>
                            <w:rPr>
                              <w:b/>
                              <w:sz w:val="20"/>
                            </w:rPr>
                          </w:pPr>
                          <w:r>
                            <w:rPr>
                              <w:b/>
                              <w:sz w:val="20"/>
                            </w:rPr>
                            <w:t>G</w:t>
                          </w:r>
                        </w:p>
                        <w:p w:rsidR="00584187" w:rsidRDefault="00584187">
                          <w:pPr>
                            <w:spacing w:line="720" w:lineRule="exact"/>
                            <w:rPr>
                              <w:b/>
                              <w:sz w:val="20"/>
                            </w:rPr>
                          </w:pPr>
                          <w:r>
                            <w:rPr>
                              <w:b/>
                              <w:sz w:val="20"/>
                            </w:rPr>
                            <w:t>H</w:t>
                          </w:r>
                        </w:p>
                        <w:p w:rsidR="00584187" w:rsidRDefault="00584187">
                          <w:pPr>
                            <w:spacing w:line="720" w:lineRule="exact"/>
                            <w:rPr>
                              <w:b/>
                              <w:sz w:val="20"/>
                            </w:rPr>
                          </w:pPr>
                          <w:r>
                            <w:rPr>
                              <w:b/>
                              <w:sz w:val="20"/>
                            </w:rPr>
                            <w:t>I</w:t>
                          </w:r>
                        </w:p>
                        <w:p w:rsidR="00584187" w:rsidRDefault="00584187">
                          <w:pPr>
                            <w:spacing w:line="720" w:lineRule="exact"/>
                            <w:rPr>
                              <w:b/>
                              <w:sz w:val="20"/>
                            </w:rPr>
                          </w:pPr>
                          <w:r>
                            <w:rPr>
                              <w:b/>
                              <w:sz w:val="20"/>
                            </w:rPr>
                            <w:t>J</w:t>
                          </w:r>
                        </w:p>
                        <w:p w:rsidR="00584187" w:rsidRDefault="00584187">
                          <w:pPr>
                            <w:spacing w:line="720" w:lineRule="exact"/>
                            <w:rPr>
                              <w:b/>
                              <w:sz w:val="20"/>
                            </w:rPr>
                          </w:pPr>
                          <w:r>
                            <w:rPr>
                              <w:b/>
                              <w:sz w:val="20"/>
                            </w:rPr>
                            <w:t>K</w:t>
                          </w:r>
                        </w:p>
                        <w:p w:rsidR="00584187" w:rsidRDefault="00584187">
                          <w:pPr>
                            <w:spacing w:line="720" w:lineRule="exact"/>
                            <w:rPr>
                              <w:b/>
                              <w:sz w:val="20"/>
                            </w:rPr>
                          </w:pPr>
                          <w:r>
                            <w:rPr>
                              <w:b/>
                              <w:sz w:val="20"/>
                            </w:rPr>
                            <w:t>L</w:t>
                          </w:r>
                        </w:p>
                        <w:p w:rsidR="00584187" w:rsidRDefault="00584187">
                          <w:pPr>
                            <w:spacing w:line="720" w:lineRule="exact"/>
                            <w:rPr>
                              <w:b/>
                              <w:sz w:val="20"/>
                            </w:rPr>
                          </w:pPr>
                          <w:r>
                            <w:rPr>
                              <w:b/>
                              <w:sz w:val="20"/>
                            </w:rPr>
                            <w:t>M</w:t>
                          </w:r>
                        </w:p>
                        <w:p w:rsidR="00584187" w:rsidRDefault="00584187">
                          <w:pPr>
                            <w:spacing w:line="720" w:lineRule="exact"/>
                            <w:rPr>
                              <w:b/>
                              <w:sz w:val="20"/>
                            </w:rPr>
                          </w:pPr>
                          <w:r>
                            <w:rPr>
                              <w:b/>
                              <w:sz w:val="20"/>
                            </w:rPr>
                            <w:t>N</w:t>
                          </w:r>
                        </w:p>
                        <w:p w:rsidR="00584187" w:rsidRDefault="00584187">
                          <w:pPr>
                            <w:spacing w:line="720" w:lineRule="exact"/>
                            <w:rPr>
                              <w:b/>
                              <w:sz w:val="20"/>
                            </w:rPr>
                          </w:pPr>
                          <w:r>
                            <w:rPr>
                              <w:b/>
                              <w:sz w:val="20"/>
                            </w:rPr>
                            <w:t>O</w:t>
                          </w:r>
                        </w:p>
                        <w:p w:rsidR="00584187" w:rsidRDefault="00584187">
                          <w:pPr>
                            <w:spacing w:line="720" w:lineRule="exact"/>
                            <w:rPr>
                              <w:b/>
                              <w:sz w:val="20"/>
                            </w:rPr>
                          </w:pPr>
                          <w:r>
                            <w:rPr>
                              <w:b/>
                              <w:sz w:val="20"/>
                            </w:rPr>
                            <w:t>P</w:t>
                          </w:r>
                        </w:p>
                        <w:p w:rsidR="00584187" w:rsidRDefault="00584187">
                          <w:pPr>
                            <w:spacing w:line="720" w:lineRule="exact"/>
                            <w:rPr>
                              <w:b/>
                              <w:sz w:val="20"/>
                            </w:rPr>
                          </w:pPr>
                          <w:r>
                            <w:rPr>
                              <w:b/>
                              <w:sz w:val="20"/>
                            </w:rPr>
                            <w:t>Q</w:t>
                          </w:r>
                        </w:p>
                        <w:p w:rsidR="00584187" w:rsidRDefault="00584187">
                          <w:pPr>
                            <w:spacing w:line="720" w:lineRule="exact"/>
                            <w:rPr>
                              <w:b/>
                              <w:sz w:val="20"/>
                            </w:rPr>
                          </w:pPr>
                          <w:r>
                            <w:rPr>
                              <w:b/>
                              <w:sz w:val="20"/>
                            </w:rPr>
                            <w:t>R</w:t>
                          </w:r>
                        </w:p>
                        <w:p w:rsidR="00584187" w:rsidRDefault="00584187">
                          <w:pPr>
                            <w:spacing w:line="720" w:lineRule="exact"/>
                            <w:rPr>
                              <w:b/>
                              <w:sz w:val="20"/>
                            </w:rPr>
                          </w:pPr>
                          <w:r>
                            <w:rPr>
                              <w:b/>
                              <w:sz w:val="20"/>
                            </w:rPr>
                            <w:t>S</w:t>
                          </w:r>
                        </w:p>
                        <w:p w:rsidR="00584187" w:rsidRDefault="00584187">
                          <w:pPr>
                            <w:spacing w:line="720" w:lineRule="exact"/>
                            <w:rPr>
                              <w:b/>
                              <w:sz w:val="20"/>
                            </w:rPr>
                          </w:pPr>
                          <w:r>
                            <w:rPr>
                              <w:b/>
                              <w:sz w:val="20"/>
                            </w:rPr>
                            <w:t>T</w:t>
                          </w:r>
                        </w:p>
                        <w:p w:rsidR="00584187" w:rsidRDefault="00584187">
                          <w:pPr>
                            <w:spacing w:line="720" w:lineRule="exact"/>
                            <w:rPr>
                              <w:b/>
                              <w:sz w:val="20"/>
                            </w:rPr>
                          </w:pPr>
                          <w:r>
                            <w:rPr>
                              <w:b/>
                              <w:sz w:val="20"/>
                            </w:rPr>
                            <w:t>U</w:t>
                          </w:r>
                        </w:p>
                        <w:p w:rsidR="00584187" w:rsidRDefault="00584187">
                          <w:pPr>
                            <w:spacing w:line="720" w:lineRule="exact"/>
                            <w:rPr>
                              <w:b/>
                              <w:sz w:val="20"/>
                            </w:rPr>
                          </w:pPr>
                          <w:r>
                            <w:rPr>
                              <w:b/>
                              <w:sz w:val="20"/>
                            </w:rPr>
                            <w:t>V</w:t>
                          </w:r>
                        </w:p>
                        <w:p w:rsidR="00584187" w:rsidRDefault="00584187">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56.7pt;margin-top:5.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" o:allowincell="f" stroked="f" strokeweight="0">
              <v:textbox inset="0,0,0,0">
                <w:txbxContent>
                  <w:p w:rsidR="00584187" w:rsidRDefault="00584187">
                    <w:pPr>
                      <w:spacing w:line="720" w:lineRule="exact"/>
                      <w:rPr>
                        <w:b/>
                        <w:sz w:val="20"/>
                      </w:rPr>
                    </w:pPr>
                    <w:r>
                      <w:rPr>
                        <w:b/>
                        <w:sz w:val="20"/>
                      </w:rPr>
                      <w:t>A</w:t>
                    </w:r>
                  </w:p>
                  <w:p w:rsidR="00584187" w:rsidRDefault="00584187">
                    <w:pPr>
                      <w:spacing w:line="720" w:lineRule="exact"/>
                      <w:rPr>
                        <w:b/>
                        <w:sz w:val="20"/>
                      </w:rPr>
                    </w:pPr>
                    <w:r>
                      <w:rPr>
                        <w:b/>
                        <w:sz w:val="20"/>
                      </w:rPr>
                      <w:t>B</w:t>
                    </w:r>
                  </w:p>
                  <w:p w:rsidR="00584187" w:rsidRDefault="00584187">
                    <w:pPr>
                      <w:spacing w:line="720" w:lineRule="exact"/>
                      <w:rPr>
                        <w:b/>
                        <w:sz w:val="20"/>
                      </w:rPr>
                    </w:pPr>
                    <w:r>
                      <w:rPr>
                        <w:b/>
                        <w:sz w:val="20"/>
                      </w:rPr>
                      <w:t>C</w:t>
                    </w:r>
                  </w:p>
                  <w:p w:rsidR="00584187" w:rsidRDefault="00584187">
                    <w:pPr>
                      <w:spacing w:line="720" w:lineRule="exact"/>
                      <w:rPr>
                        <w:b/>
                        <w:sz w:val="20"/>
                      </w:rPr>
                    </w:pPr>
                    <w:r>
                      <w:rPr>
                        <w:b/>
                        <w:sz w:val="20"/>
                      </w:rPr>
                      <w:t>D</w:t>
                    </w:r>
                  </w:p>
                  <w:p w:rsidR="00584187" w:rsidRDefault="00584187">
                    <w:pPr>
                      <w:spacing w:line="720" w:lineRule="exact"/>
                      <w:rPr>
                        <w:b/>
                        <w:sz w:val="20"/>
                      </w:rPr>
                    </w:pPr>
                    <w:r>
                      <w:rPr>
                        <w:b/>
                        <w:sz w:val="20"/>
                      </w:rPr>
                      <w:t>E</w:t>
                    </w:r>
                  </w:p>
                  <w:p w:rsidR="00584187" w:rsidRDefault="00584187">
                    <w:pPr>
                      <w:pStyle w:val="Heading3"/>
                      <w:spacing w:line="720" w:lineRule="exact"/>
                      <w:jc w:val="left"/>
                    </w:pPr>
                    <w:r>
                      <w:t>F</w:t>
                    </w:r>
                  </w:p>
                  <w:p w:rsidR="00584187" w:rsidRDefault="00584187">
                    <w:pPr>
                      <w:spacing w:line="720" w:lineRule="exact"/>
                      <w:rPr>
                        <w:b/>
                        <w:sz w:val="20"/>
                      </w:rPr>
                    </w:pPr>
                    <w:r>
                      <w:rPr>
                        <w:b/>
                        <w:sz w:val="20"/>
                      </w:rPr>
                      <w:t>G</w:t>
                    </w:r>
                  </w:p>
                  <w:p w:rsidR="00584187" w:rsidRDefault="00584187">
                    <w:pPr>
                      <w:spacing w:line="720" w:lineRule="exact"/>
                      <w:rPr>
                        <w:b/>
                        <w:sz w:val="20"/>
                      </w:rPr>
                    </w:pPr>
                    <w:r>
                      <w:rPr>
                        <w:b/>
                        <w:sz w:val="20"/>
                      </w:rPr>
                      <w:t>H</w:t>
                    </w:r>
                  </w:p>
                  <w:p w:rsidR="00584187" w:rsidRDefault="00584187">
                    <w:pPr>
                      <w:spacing w:line="720" w:lineRule="exact"/>
                      <w:rPr>
                        <w:b/>
                        <w:sz w:val="20"/>
                      </w:rPr>
                    </w:pPr>
                    <w:r>
                      <w:rPr>
                        <w:b/>
                        <w:sz w:val="20"/>
                      </w:rPr>
                      <w:t>I</w:t>
                    </w:r>
                  </w:p>
                  <w:p w:rsidR="00584187" w:rsidRDefault="00584187">
                    <w:pPr>
                      <w:spacing w:line="720" w:lineRule="exact"/>
                      <w:rPr>
                        <w:b/>
                        <w:sz w:val="20"/>
                      </w:rPr>
                    </w:pPr>
                    <w:r>
                      <w:rPr>
                        <w:b/>
                        <w:sz w:val="20"/>
                      </w:rPr>
                      <w:t>J</w:t>
                    </w:r>
                  </w:p>
                  <w:p w:rsidR="00584187" w:rsidRDefault="00584187">
                    <w:pPr>
                      <w:spacing w:line="720" w:lineRule="exact"/>
                      <w:rPr>
                        <w:b/>
                        <w:sz w:val="20"/>
                      </w:rPr>
                    </w:pPr>
                    <w:r>
                      <w:rPr>
                        <w:b/>
                        <w:sz w:val="20"/>
                      </w:rPr>
                      <w:t>K</w:t>
                    </w:r>
                  </w:p>
                  <w:p w:rsidR="00584187" w:rsidRDefault="00584187">
                    <w:pPr>
                      <w:spacing w:line="720" w:lineRule="exact"/>
                      <w:rPr>
                        <w:b/>
                        <w:sz w:val="20"/>
                      </w:rPr>
                    </w:pPr>
                    <w:r>
                      <w:rPr>
                        <w:b/>
                        <w:sz w:val="20"/>
                      </w:rPr>
                      <w:t>L</w:t>
                    </w:r>
                  </w:p>
                  <w:p w:rsidR="00584187" w:rsidRDefault="00584187">
                    <w:pPr>
                      <w:spacing w:line="720" w:lineRule="exact"/>
                      <w:rPr>
                        <w:b/>
                        <w:sz w:val="20"/>
                      </w:rPr>
                    </w:pPr>
                    <w:r>
                      <w:rPr>
                        <w:b/>
                        <w:sz w:val="20"/>
                      </w:rPr>
                      <w:t>M</w:t>
                    </w:r>
                  </w:p>
                  <w:p w:rsidR="00584187" w:rsidRDefault="00584187">
                    <w:pPr>
                      <w:spacing w:line="720" w:lineRule="exact"/>
                      <w:rPr>
                        <w:b/>
                        <w:sz w:val="20"/>
                      </w:rPr>
                    </w:pPr>
                    <w:r>
                      <w:rPr>
                        <w:b/>
                        <w:sz w:val="20"/>
                      </w:rPr>
                      <w:t>N</w:t>
                    </w:r>
                  </w:p>
                  <w:p w:rsidR="00584187" w:rsidRDefault="00584187">
                    <w:pPr>
                      <w:spacing w:line="720" w:lineRule="exact"/>
                      <w:rPr>
                        <w:b/>
                        <w:sz w:val="20"/>
                      </w:rPr>
                    </w:pPr>
                    <w:r>
                      <w:rPr>
                        <w:b/>
                        <w:sz w:val="20"/>
                      </w:rPr>
                      <w:t>O</w:t>
                    </w:r>
                  </w:p>
                  <w:p w:rsidR="00584187" w:rsidRDefault="00584187">
                    <w:pPr>
                      <w:spacing w:line="720" w:lineRule="exact"/>
                      <w:rPr>
                        <w:b/>
                        <w:sz w:val="20"/>
                      </w:rPr>
                    </w:pPr>
                    <w:r>
                      <w:rPr>
                        <w:b/>
                        <w:sz w:val="20"/>
                      </w:rPr>
                      <w:t>P</w:t>
                    </w:r>
                  </w:p>
                  <w:p w:rsidR="00584187" w:rsidRDefault="00584187">
                    <w:pPr>
                      <w:spacing w:line="720" w:lineRule="exact"/>
                      <w:rPr>
                        <w:b/>
                        <w:sz w:val="20"/>
                      </w:rPr>
                    </w:pPr>
                    <w:r>
                      <w:rPr>
                        <w:b/>
                        <w:sz w:val="20"/>
                      </w:rPr>
                      <w:t>Q</w:t>
                    </w:r>
                  </w:p>
                  <w:p w:rsidR="00584187" w:rsidRDefault="00584187">
                    <w:pPr>
                      <w:spacing w:line="720" w:lineRule="exact"/>
                      <w:rPr>
                        <w:b/>
                        <w:sz w:val="20"/>
                      </w:rPr>
                    </w:pPr>
                    <w:r>
                      <w:rPr>
                        <w:b/>
                        <w:sz w:val="20"/>
                      </w:rPr>
                      <w:t>R</w:t>
                    </w:r>
                  </w:p>
                  <w:p w:rsidR="00584187" w:rsidRDefault="00584187">
                    <w:pPr>
                      <w:spacing w:line="720" w:lineRule="exact"/>
                      <w:rPr>
                        <w:b/>
                        <w:sz w:val="20"/>
                      </w:rPr>
                    </w:pPr>
                    <w:r>
                      <w:rPr>
                        <w:b/>
                        <w:sz w:val="20"/>
                      </w:rPr>
                      <w:t>S</w:t>
                    </w:r>
                  </w:p>
                  <w:p w:rsidR="00584187" w:rsidRDefault="00584187">
                    <w:pPr>
                      <w:spacing w:line="720" w:lineRule="exact"/>
                      <w:rPr>
                        <w:b/>
                        <w:sz w:val="20"/>
                      </w:rPr>
                    </w:pPr>
                    <w:r>
                      <w:rPr>
                        <w:b/>
                        <w:sz w:val="20"/>
                      </w:rPr>
                      <w:t>T</w:t>
                    </w:r>
                  </w:p>
                  <w:p w:rsidR="00584187" w:rsidRDefault="00584187">
                    <w:pPr>
                      <w:spacing w:line="720" w:lineRule="exact"/>
                      <w:rPr>
                        <w:b/>
                        <w:sz w:val="20"/>
                      </w:rPr>
                    </w:pPr>
                    <w:r>
                      <w:rPr>
                        <w:b/>
                        <w:sz w:val="20"/>
                      </w:rPr>
                      <w:t>U</w:t>
                    </w:r>
                  </w:p>
                  <w:p w:rsidR="00584187" w:rsidRDefault="00584187">
                    <w:pPr>
                      <w:spacing w:line="720" w:lineRule="exact"/>
                      <w:rPr>
                        <w:b/>
                        <w:sz w:val="20"/>
                      </w:rPr>
                    </w:pPr>
                    <w:r>
                      <w:rPr>
                        <w:b/>
                        <w:sz w:val="20"/>
                      </w:rPr>
                      <w:t>V</w:t>
                    </w:r>
                  </w:p>
                  <w:p w:rsidR="00584187" w:rsidRDefault="00584187">
                    <w:pPr>
                      <w:spacing w:line="720" w:lineRule="exact"/>
                      <w:rPr>
                        <w:b/>
                        <w:sz w:val="20"/>
                      </w:rPr>
                    </w:pPr>
                  </w:p>
                </w:txbxContent>
              </v:textbox>
            </v:rect>
          </w:pict>
        </mc:Fallback>
      </mc:AlternateConten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4852AC">
      <w:rPr>
        <w:rStyle w:val="PageNumber"/>
        <w:noProof/>
      </w:rPr>
      <w:t>21</w:t>
    </w:r>
    <w:r>
      <w:rPr>
        <w:rStyle w:val="PageNumber"/>
      </w:rPr>
      <w:fldChar w:fldCharType="end"/>
    </w:r>
    <w:r>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187" w:rsidRDefault="00584187">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column">
                <wp:posOffset>5850890</wp:posOffset>
              </wp:positionH>
              <wp:positionV relativeFrom="paragraph">
                <wp:posOffset>71755</wp:posOffset>
              </wp:positionV>
              <wp:extent cx="342900" cy="10150475"/>
              <wp:effectExtent l="254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84187" w:rsidRDefault="00584187">
                          <w:pPr>
                            <w:spacing w:line="720" w:lineRule="exact"/>
                            <w:jc w:val="right"/>
                            <w:rPr>
                              <w:b/>
                              <w:sz w:val="20"/>
                            </w:rPr>
                          </w:pPr>
                          <w:r>
                            <w:rPr>
                              <w:b/>
                              <w:sz w:val="20"/>
                            </w:rPr>
                            <w:t>A</w:t>
                          </w:r>
                        </w:p>
                        <w:p w:rsidR="00584187" w:rsidRDefault="00584187">
                          <w:pPr>
                            <w:spacing w:line="720" w:lineRule="exact"/>
                            <w:jc w:val="right"/>
                            <w:rPr>
                              <w:b/>
                              <w:sz w:val="20"/>
                            </w:rPr>
                          </w:pPr>
                          <w:r>
                            <w:rPr>
                              <w:b/>
                              <w:sz w:val="20"/>
                            </w:rPr>
                            <w:t>B</w:t>
                          </w:r>
                        </w:p>
                        <w:p w:rsidR="00584187" w:rsidRDefault="00584187">
                          <w:pPr>
                            <w:spacing w:line="720" w:lineRule="exact"/>
                            <w:jc w:val="right"/>
                            <w:rPr>
                              <w:b/>
                              <w:sz w:val="20"/>
                            </w:rPr>
                          </w:pPr>
                          <w:r>
                            <w:rPr>
                              <w:b/>
                              <w:sz w:val="20"/>
                            </w:rPr>
                            <w:t>C</w:t>
                          </w:r>
                        </w:p>
                        <w:p w:rsidR="00584187" w:rsidRDefault="00584187">
                          <w:pPr>
                            <w:spacing w:line="720" w:lineRule="exact"/>
                            <w:jc w:val="right"/>
                            <w:rPr>
                              <w:b/>
                              <w:sz w:val="20"/>
                            </w:rPr>
                          </w:pPr>
                          <w:r>
                            <w:rPr>
                              <w:b/>
                              <w:sz w:val="20"/>
                            </w:rPr>
                            <w:t>D</w:t>
                          </w:r>
                        </w:p>
                        <w:p w:rsidR="00584187" w:rsidRDefault="00584187">
                          <w:pPr>
                            <w:spacing w:line="720" w:lineRule="exact"/>
                            <w:jc w:val="right"/>
                            <w:rPr>
                              <w:b/>
                              <w:sz w:val="20"/>
                            </w:rPr>
                          </w:pPr>
                          <w:r>
                            <w:rPr>
                              <w:b/>
                              <w:sz w:val="20"/>
                            </w:rPr>
                            <w:t>E</w:t>
                          </w:r>
                        </w:p>
                        <w:p w:rsidR="00584187" w:rsidRDefault="00584187">
                          <w:pPr>
                            <w:pStyle w:val="Heading3"/>
                            <w:spacing w:line="720" w:lineRule="exact"/>
                            <w:jc w:val="right"/>
                          </w:pPr>
                          <w:r>
                            <w:t>F</w:t>
                          </w:r>
                        </w:p>
                        <w:p w:rsidR="00584187" w:rsidRDefault="00584187">
                          <w:pPr>
                            <w:spacing w:line="720" w:lineRule="exact"/>
                            <w:jc w:val="right"/>
                            <w:rPr>
                              <w:b/>
                              <w:sz w:val="20"/>
                            </w:rPr>
                          </w:pPr>
                          <w:r>
                            <w:rPr>
                              <w:b/>
                              <w:sz w:val="20"/>
                            </w:rPr>
                            <w:t>G</w:t>
                          </w:r>
                        </w:p>
                        <w:p w:rsidR="00584187" w:rsidRDefault="00584187">
                          <w:pPr>
                            <w:spacing w:line="720" w:lineRule="exact"/>
                            <w:jc w:val="right"/>
                            <w:rPr>
                              <w:b/>
                              <w:sz w:val="20"/>
                            </w:rPr>
                          </w:pPr>
                          <w:r>
                            <w:rPr>
                              <w:b/>
                              <w:sz w:val="20"/>
                            </w:rPr>
                            <w:t>H</w:t>
                          </w:r>
                        </w:p>
                        <w:p w:rsidR="00584187" w:rsidRDefault="00584187">
                          <w:pPr>
                            <w:spacing w:line="720" w:lineRule="exact"/>
                            <w:jc w:val="right"/>
                            <w:rPr>
                              <w:b/>
                              <w:sz w:val="20"/>
                            </w:rPr>
                          </w:pPr>
                          <w:r>
                            <w:rPr>
                              <w:b/>
                              <w:sz w:val="20"/>
                            </w:rPr>
                            <w:t>I</w:t>
                          </w:r>
                        </w:p>
                        <w:p w:rsidR="00584187" w:rsidRDefault="00584187">
                          <w:pPr>
                            <w:spacing w:line="720" w:lineRule="exact"/>
                            <w:jc w:val="right"/>
                            <w:rPr>
                              <w:b/>
                              <w:sz w:val="20"/>
                            </w:rPr>
                          </w:pPr>
                          <w:r>
                            <w:rPr>
                              <w:b/>
                              <w:sz w:val="20"/>
                            </w:rPr>
                            <w:t>J</w:t>
                          </w:r>
                        </w:p>
                        <w:p w:rsidR="00584187" w:rsidRDefault="00584187">
                          <w:pPr>
                            <w:spacing w:line="720" w:lineRule="exact"/>
                            <w:jc w:val="right"/>
                            <w:rPr>
                              <w:b/>
                              <w:sz w:val="20"/>
                            </w:rPr>
                          </w:pPr>
                          <w:r>
                            <w:rPr>
                              <w:b/>
                              <w:sz w:val="20"/>
                            </w:rPr>
                            <w:t>K</w:t>
                          </w:r>
                        </w:p>
                        <w:p w:rsidR="00584187" w:rsidRDefault="00584187">
                          <w:pPr>
                            <w:spacing w:line="720" w:lineRule="exact"/>
                            <w:jc w:val="right"/>
                            <w:rPr>
                              <w:b/>
                              <w:sz w:val="20"/>
                            </w:rPr>
                          </w:pPr>
                          <w:r>
                            <w:rPr>
                              <w:b/>
                              <w:sz w:val="20"/>
                            </w:rPr>
                            <w:t>L</w:t>
                          </w:r>
                        </w:p>
                        <w:p w:rsidR="00584187" w:rsidRDefault="00584187">
                          <w:pPr>
                            <w:spacing w:line="720" w:lineRule="exact"/>
                            <w:jc w:val="right"/>
                            <w:rPr>
                              <w:b/>
                              <w:sz w:val="20"/>
                            </w:rPr>
                          </w:pPr>
                          <w:r>
                            <w:rPr>
                              <w:b/>
                              <w:sz w:val="20"/>
                            </w:rPr>
                            <w:t>M</w:t>
                          </w:r>
                        </w:p>
                        <w:p w:rsidR="00584187" w:rsidRDefault="00584187">
                          <w:pPr>
                            <w:spacing w:line="720" w:lineRule="exact"/>
                            <w:jc w:val="right"/>
                            <w:rPr>
                              <w:b/>
                              <w:sz w:val="20"/>
                            </w:rPr>
                          </w:pPr>
                          <w:r>
                            <w:rPr>
                              <w:b/>
                              <w:sz w:val="20"/>
                            </w:rPr>
                            <w:t>N</w:t>
                          </w:r>
                        </w:p>
                        <w:p w:rsidR="00584187" w:rsidRDefault="00584187">
                          <w:pPr>
                            <w:spacing w:line="720" w:lineRule="exact"/>
                            <w:jc w:val="right"/>
                            <w:rPr>
                              <w:b/>
                              <w:sz w:val="20"/>
                            </w:rPr>
                          </w:pPr>
                          <w:r>
                            <w:rPr>
                              <w:b/>
                              <w:sz w:val="20"/>
                            </w:rPr>
                            <w:t>O</w:t>
                          </w:r>
                        </w:p>
                        <w:p w:rsidR="00584187" w:rsidRDefault="00584187">
                          <w:pPr>
                            <w:spacing w:line="720" w:lineRule="exact"/>
                            <w:jc w:val="right"/>
                            <w:rPr>
                              <w:b/>
                              <w:sz w:val="20"/>
                            </w:rPr>
                          </w:pPr>
                          <w:r>
                            <w:rPr>
                              <w:b/>
                              <w:sz w:val="20"/>
                            </w:rPr>
                            <w:t>P</w:t>
                          </w:r>
                        </w:p>
                        <w:p w:rsidR="00584187" w:rsidRDefault="00584187">
                          <w:pPr>
                            <w:spacing w:line="720" w:lineRule="exact"/>
                            <w:jc w:val="right"/>
                            <w:rPr>
                              <w:b/>
                              <w:sz w:val="20"/>
                            </w:rPr>
                          </w:pPr>
                          <w:r>
                            <w:rPr>
                              <w:b/>
                              <w:sz w:val="20"/>
                            </w:rPr>
                            <w:t>Q</w:t>
                          </w:r>
                        </w:p>
                        <w:p w:rsidR="00584187" w:rsidRDefault="00584187">
                          <w:pPr>
                            <w:spacing w:line="720" w:lineRule="exact"/>
                            <w:jc w:val="right"/>
                            <w:rPr>
                              <w:b/>
                              <w:sz w:val="20"/>
                            </w:rPr>
                          </w:pPr>
                          <w:r>
                            <w:rPr>
                              <w:b/>
                              <w:sz w:val="20"/>
                            </w:rPr>
                            <w:t>R</w:t>
                          </w:r>
                        </w:p>
                        <w:p w:rsidR="00584187" w:rsidRDefault="00584187">
                          <w:pPr>
                            <w:spacing w:line="720" w:lineRule="exact"/>
                            <w:jc w:val="right"/>
                            <w:rPr>
                              <w:b/>
                              <w:sz w:val="20"/>
                            </w:rPr>
                          </w:pPr>
                          <w:r>
                            <w:rPr>
                              <w:b/>
                              <w:sz w:val="20"/>
                            </w:rPr>
                            <w:t>S</w:t>
                          </w:r>
                        </w:p>
                        <w:p w:rsidR="00584187" w:rsidRDefault="00584187">
                          <w:pPr>
                            <w:spacing w:line="720" w:lineRule="exact"/>
                            <w:jc w:val="right"/>
                            <w:rPr>
                              <w:b/>
                              <w:sz w:val="20"/>
                            </w:rPr>
                          </w:pPr>
                          <w:r>
                            <w:rPr>
                              <w:b/>
                              <w:sz w:val="20"/>
                            </w:rPr>
                            <w:t>T</w:t>
                          </w:r>
                        </w:p>
                        <w:p w:rsidR="00584187" w:rsidRDefault="00584187">
                          <w:pPr>
                            <w:spacing w:line="720" w:lineRule="exact"/>
                            <w:jc w:val="right"/>
                            <w:rPr>
                              <w:b/>
                              <w:sz w:val="20"/>
                            </w:rPr>
                          </w:pPr>
                          <w:r>
                            <w:rPr>
                              <w:b/>
                              <w:sz w:val="20"/>
                            </w:rPr>
                            <w:t>U</w:t>
                          </w:r>
                        </w:p>
                        <w:p w:rsidR="00584187" w:rsidRDefault="00584187">
                          <w:pPr>
                            <w:spacing w:line="720" w:lineRule="exact"/>
                            <w:jc w:val="right"/>
                            <w:rPr>
                              <w:b/>
                              <w:sz w:val="20"/>
                            </w:rPr>
                          </w:pPr>
                          <w:r>
                            <w:rPr>
                              <w:b/>
                              <w:sz w:val="20"/>
                            </w:rPr>
                            <w:t>V</w:t>
                          </w:r>
                        </w:p>
                        <w:p w:rsidR="00584187" w:rsidRDefault="00584187">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60.7pt;margin-top:5.6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" o:allowincell="f" stroked="f" strokeweight="0">
              <v:textbox inset="0,0,0,0">
                <w:txbxContent>
                  <w:p w:rsidR="00584187" w:rsidRDefault="00584187">
                    <w:pPr>
                      <w:spacing w:line="720" w:lineRule="exact"/>
                      <w:jc w:val="right"/>
                      <w:rPr>
                        <w:b/>
                        <w:sz w:val="20"/>
                      </w:rPr>
                    </w:pPr>
                    <w:r>
                      <w:rPr>
                        <w:b/>
                        <w:sz w:val="20"/>
                      </w:rPr>
                      <w:t>A</w:t>
                    </w:r>
                  </w:p>
                  <w:p w:rsidR="00584187" w:rsidRDefault="00584187">
                    <w:pPr>
                      <w:spacing w:line="720" w:lineRule="exact"/>
                      <w:jc w:val="right"/>
                      <w:rPr>
                        <w:b/>
                        <w:sz w:val="20"/>
                      </w:rPr>
                    </w:pPr>
                    <w:r>
                      <w:rPr>
                        <w:b/>
                        <w:sz w:val="20"/>
                      </w:rPr>
                      <w:t>B</w:t>
                    </w:r>
                  </w:p>
                  <w:p w:rsidR="00584187" w:rsidRDefault="00584187">
                    <w:pPr>
                      <w:spacing w:line="720" w:lineRule="exact"/>
                      <w:jc w:val="right"/>
                      <w:rPr>
                        <w:b/>
                        <w:sz w:val="20"/>
                      </w:rPr>
                    </w:pPr>
                    <w:r>
                      <w:rPr>
                        <w:b/>
                        <w:sz w:val="20"/>
                      </w:rPr>
                      <w:t>C</w:t>
                    </w:r>
                  </w:p>
                  <w:p w:rsidR="00584187" w:rsidRDefault="00584187">
                    <w:pPr>
                      <w:spacing w:line="720" w:lineRule="exact"/>
                      <w:jc w:val="right"/>
                      <w:rPr>
                        <w:b/>
                        <w:sz w:val="20"/>
                      </w:rPr>
                    </w:pPr>
                    <w:r>
                      <w:rPr>
                        <w:b/>
                        <w:sz w:val="20"/>
                      </w:rPr>
                      <w:t>D</w:t>
                    </w:r>
                  </w:p>
                  <w:p w:rsidR="00584187" w:rsidRDefault="00584187">
                    <w:pPr>
                      <w:spacing w:line="720" w:lineRule="exact"/>
                      <w:jc w:val="right"/>
                      <w:rPr>
                        <w:b/>
                        <w:sz w:val="20"/>
                      </w:rPr>
                    </w:pPr>
                    <w:r>
                      <w:rPr>
                        <w:b/>
                        <w:sz w:val="20"/>
                      </w:rPr>
                      <w:t>E</w:t>
                    </w:r>
                  </w:p>
                  <w:p w:rsidR="00584187" w:rsidRDefault="00584187">
                    <w:pPr>
                      <w:pStyle w:val="Heading3"/>
                      <w:spacing w:line="720" w:lineRule="exact"/>
                      <w:jc w:val="right"/>
                    </w:pPr>
                    <w:r>
                      <w:t>F</w:t>
                    </w:r>
                  </w:p>
                  <w:p w:rsidR="00584187" w:rsidRDefault="00584187">
                    <w:pPr>
                      <w:spacing w:line="720" w:lineRule="exact"/>
                      <w:jc w:val="right"/>
                      <w:rPr>
                        <w:b/>
                        <w:sz w:val="20"/>
                      </w:rPr>
                    </w:pPr>
                    <w:r>
                      <w:rPr>
                        <w:b/>
                        <w:sz w:val="20"/>
                      </w:rPr>
                      <w:t>G</w:t>
                    </w:r>
                  </w:p>
                  <w:p w:rsidR="00584187" w:rsidRDefault="00584187">
                    <w:pPr>
                      <w:spacing w:line="720" w:lineRule="exact"/>
                      <w:jc w:val="right"/>
                      <w:rPr>
                        <w:b/>
                        <w:sz w:val="20"/>
                      </w:rPr>
                    </w:pPr>
                    <w:r>
                      <w:rPr>
                        <w:b/>
                        <w:sz w:val="20"/>
                      </w:rPr>
                      <w:t>H</w:t>
                    </w:r>
                  </w:p>
                  <w:p w:rsidR="00584187" w:rsidRDefault="00584187">
                    <w:pPr>
                      <w:spacing w:line="720" w:lineRule="exact"/>
                      <w:jc w:val="right"/>
                      <w:rPr>
                        <w:b/>
                        <w:sz w:val="20"/>
                      </w:rPr>
                    </w:pPr>
                    <w:r>
                      <w:rPr>
                        <w:b/>
                        <w:sz w:val="20"/>
                      </w:rPr>
                      <w:t>I</w:t>
                    </w:r>
                  </w:p>
                  <w:p w:rsidR="00584187" w:rsidRDefault="00584187">
                    <w:pPr>
                      <w:spacing w:line="720" w:lineRule="exact"/>
                      <w:jc w:val="right"/>
                      <w:rPr>
                        <w:b/>
                        <w:sz w:val="20"/>
                      </w:rPr>
                    </w:pPr>
                    <w:r>
                      <w:rPr>
                        <w:b/>
                        <w:sz w:val="20"/>
                      </w:rPr>
                      <w:t>J</w:t>
                    </w:r>
                  </w:p>
                  <w:p w:rsidR="00584187" w:rsidRDefault="00584187">
                    <w:pPr>
                      <w:spacing w:line="720" w:lineRule="exact"/>
                      <w:jc w:val="right"/>
                      <w:rPr>
                        <w:b/>
                        <w:sz w:val="20"/>
                      </w:rPr>
                    </w:pPr>
                    <w:r>
                      <w:rPr>
                        <w:b/>
                        <w:sz w:val="20"/>
                      </w:rPr>
                      <w:t>K</w:t>
                    </w:r>
                  </w:p>
                  <w:p w:rsidR="00584187" w:rsidRDefault="00584187">
                    <w:pPr>
                      <w:spacing w:line="720" w:lineRule="exact"/>
                      <w:jc w:val="right"/>
                      <w:rPr>
                        <w:b/>
                        <w:sz w:val="20"/>
                      </w:rPr>
                    </w:pPr>
                    <w:r>
                      <w:rPr>
                        <w:b/>
                        <w:sz w:val="20"/>
                      </w:rPr>
                      <w:t>L</w:t>
                    </w:r>
                  </w:p>
                  <w:p w:rsidR="00584187" w:rsidRDefault="00584187">
                    <w:pPr>
                      <w:spacing w:line="720" w:lineRule="exact"/>
                      <w:jc w:val="right"/>
                      <w:rPr>
                        <w:b/>
                        <w:sz w:val="20"/>
                      </w:rPr>
                    </w:pPr>
                    <w:r>
                      <w:rPr>
                        <w:b/>
                        <w:sz w:val="20"/>
                      </w:rPr>
                      <w:t>M</w:t>
                    </w:r>
                  </w:p>
                  <w:p w:rsidR="00584187" w:rsidRDefault="00584187">
                    <w:pPr>
                      <w:spacing w:line="720" w:lineRule="exact"/>
                      <w:jc w:val="right"/>
                      <w:rPr>
                        <w:b/>
                        <w:sz w:val="20"/>
                      </w:rPr>
                    </w:pPr>
                    <w:r>
                      <w:rPr>
                        <w:b/>
                        <w:sz w:val="20"/>
                      </w:rPr>
                      <w:t>N</w:t>
                    </w:r>
                  </w:p>
                  <w:p w:rsidR="00584187" w:rsidRDefault="00584187">
                    <w:pPr>
                      <w:spacing w:line="720" w:lineRule="exact"/>
                      <w:jc w:val="right"/>
                      <w:rPr>
                        <w:b/>
                        <w:sz w:val="20"/>
                      </w:rPr>
                    </w:pPr>
                    <w:r>
                      <w:rPr>
                        <w:b/>
                        <w:sz w:val="20"/>
                      </w:rPr>
                      <w:t>O</w:t>
                    </w:r>
                  </w:p>
                  <w:p w:rsidR="00584187" w:rsidRDefault="00584187">
                    <w:pPr>
                      <w:spacing w:line="720" w:lineRule="exact"/>
                      <w:jc w:val="right"/>
                      <w:rPr>
                        <w:b/>
                        <w:sz w:val="20"/>
                      </w:rPr>
                    </w:pPr>
                    <w:r>
                      <w:rPr>
                        <w:b/>
                        <w:sz w:val="20"/>
                      </w:rPr>
                      <w:t>P</w:t>
                    </w:r>
                  </w:p>
                  <w:p w:rsidR="00584187" w:rsidRDefault="00584187">
                    <w:pPr>
                      <w:spacing w:line="720" w:lineRule="exact"/>
                      <w:jc w:val="right"/>
                      <w:rPr>
                        <w:b/>
                        <w:sz w:val="20"/>
                      </w:rPr>
                    </w:pPr>
                    <w:r>
                      <w:rPr>
                        <w:b/>
                        <w:sz w:val="20"/>
                      </w:rPr>
                      <w:t>Q</w:t>
                    </w:r>
                  </w:p>
                  <w:p w:rsidR="00584187" w:rsidRDefault="00584187">
                    <w:pPr>
                      <w:spacing w:line="720" w:lineRule="exact"/>
                      <w:jc w:val="right"/>
                      <w:rPr>
                        <w:b/>
                        <w:sz w:val="20"/>
                      </w:rPr>
                    </w:pPr>
                    <w:r>
                      <w:rPr>
                        <w:b/>
                        <w:sz w:val="20"/>
                      </w:rPr>
                      <w:t>R</w:t>
                    </w:r>
                  </w:p>
                  <w:p w:rsidR="00584187" w:rsidRDefault="00584187">
                    <w:pPr>
                      <w:spacing w:line="720" w:lineRule="exact"/>
                      <w:jc w:val="right"/>
                      <w:rPr>
                        <w:b/>
                        <w:sz w:val="20"/>
                      </w:rPr>
                    </w:pPr>
                    <w:r>
                      <w:rPr>
                        <w:b/>
                        <w:sz w:val="20"/>
                      </w:rPr>
                      <w:t>S</w:t>
                    </w:r>
                  </w:p>
                  <w:p w:rsidR="00584187" w:rsidRDefault="00584187">
                    <w:pPr>
                      <w:spacing w:line="720" w:lineRule="exact"/>
                      <w:jc w:val="right"/>
                      <w:rPr>
                        <w:b/>
                        <w:sz w:val="20"/>
                      </w:rPr>
                    </w:pPr>
                    <w:r>
                      <w:rPr>
                        <w:b/>
                        <w:sz w:val="20"/>
                      </w:rPr>
                      <w:t>T</w:t>
                    </w:r>
                  </w:p>
                  <w:p w:rsidR="00584187" w:rsidRDefault="00584187">
                    <w:pPr>
                      <w:spacing w:line="720" w:lineRule="exact"/>
                      <w:jc w:val="right"/>
                      <w:rPr>
                        <w:b/>
                        <w:sz w:val="20"/>
                      </w:rPr>
                    </w:pPr>
                    <w:r>
                      <w:rPr>
                        <w:b/>
                        <w:sz w:val="20"/>
                      </w:rPr>
                      <w:t>U</w:t>
                    </w:r>
                  </w:p>
                  <w:p w:rsidR="00584187" w:rsidRDefault="00584187">
                    <w:pPr>
                      <w:spacing w:line="720" w:lineRule="exact"/>
                      <w:jc w:val="right"/>
                      <w:rPr>
                        <w:b/>
                        <w:sz w:val="20"/>
                      </w:rPr>
                    </w:pPr>
                    <w:r>
                      <w:rPr>
                        <w:b/>
                        <w:sz w:val="20"/>
                      </w:rPr>
                      <w:t>V</w:t>
                    </w:r>
                  </w:p>
                  <w:p w:rsidR="00584187" w:rsidRDefault="00584187">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8240" behindDoc="0" locked="0" layoutInCell="0" allowOverlap="1">
              <wp:simplePos x="0" y="0"/>
              <wp:positionH relativeFrom="column">
                <wp:posOffset>-720090</wp:posOffset>
              </wp:positionH>
              <wp:positionV relativeFrom="paragraph">
                <wp:posOffset>71755</wp:posOffset>
              </wp:positionV>
              <wp:extent cx="342900" cy="10150475"/>
              <wp:effectExtent l="381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84187" w:rsidRDefault="00584187">
                          <w:pPr>
                            <w:spacing w:line="720" w:lineRule="exact"/>
                            <w:rPr>
                              <w:b/>
                              <w:sz w:val="20"/>
                            </w:rPr>
                          </w:pPr>
                          <w:r>
                            <w:rPr>
                              <w:b/>
                              <w:sz w:val="20"/>
                            </w:rPr>
                            <w:t>A</w:t>
                          </w:r>
                        </w:p>
                        <w:p w:rsidR="00584187" w:rsidRDefault="00584187">
                          <w:pPr>
                            <w:spacing w:line="720" w:lineRule="exact"/>
                            <w:rPr>
                              <w:b/>
                              <w:sz w:val="20"/>
                            </w:rPr>
                          </w:pPr>
                          <w:r>
                            <w:rPr>
                              <w:b/>
                              <w:sz w:val="20"/>
                            </w:rPr>
                            <w:t>B</w:t>
                          </w:r>
                        </w:p>
                        <w:p w:rsidR="00584187" w:rsidRDefault="00584187">
                          <w:pPr>
                            <w:spacing w:line="720" w:lineRule="exact"/>
                            <w:rPr>
                              <w:b/>
                              <w:sz w:val="20"/>
                            </w:rPr>
                          </w:pPr>
                          <w:r>
                            <w:rPr>
                              <w:b/>
                              <w:sz w:val="20"/>
                            </w:rPr>
                            <w:t>C</w:t>
                          </w:r>
                        </w:p>
                        <w:p w:rsidR="00584187" w:rsidRDefault="00584187">
                          <w:pPr>
                            <w:spacing w:line="720" w:lineRule="exact"/>
                            <w:rPr>
                              <w:b/>
                              <w:sz w:val="20"/>
                            </w:rPr>
                          </w:pPr>
                          <w:r>
                            <w:rPr>
                              <w:b/>
                              <w:sz w:val="20"/>
                            </w:rPr>
                            <w:t>D</w:t>
                          </w:r>
                        </w:p>
                        <w:p w:rsidR="00584187" w:rsidRDefault="00584187">
                          <w:pPr>
                            <w:spacing w:line="720" w:lineRule="exact"/>
                            <w:rPr>
                              <w:b/>
                              <w:sz w:val="20"/>
                            </w:rPr>
                          </w:pPr>
                          <w:r>
                            <w:rPr>
                              <w:b/>
                              <w:sz w:val="20"/>
                            </w:rPr>
                            <w:t>E</w:t>
                          </w:r>
                        </w:p>
                        <w:p w:rsidR="00584187" w:rsidRDefault="00584187">
                          <w:pPr>
                            <w:pStyle w:val="Heading3"/>
                            <w:spacing w:line="720" w:lineRule="exact"/>
                            <w:jc w:val="left"/>
                          </w:pPr>
                          <w:r>
                            <w:t>F</w:t>
                          </w:r>
                        </w:p>
                        <w:p w:rsidR="00584187" w:rsidRDefault="00584187">
                          <w:pPr>
                            <w:spacing w:line="720" w:lineRule="exact"/>
                            <w:rPr>
                              <w:b/>
                              <w:sz w:val="20"/>
                            </w:rPr>
                          </w:pPr>
                          <w:r>
                            <w:rPr>
                              <w:b/>
                              <w:sz w:val="20"/>
                            </w:rPr>
                            <w:t>G</w:t>
                          </w:r>
                        </w:p>
                        <w:p w:rsidR="00584187" w:rsidRDefault="00584187">
                          <w:pPr>
                            <w:spacing w:line="720" w:lineRule="exact"/>
                            <w:rPr>
                              <w:b/>
                              <w:sz w:val="20"/>
                            </w:rPr>
                          </w:pPr>
                          <w:r>
                            <w:rPr>
                              <w:b/>
                              <w:sz w:val="20"/>
                            </w:rPr>
                            <w:t>H</w:t>
                          </w:r>
                        </w:p>
                        <w:p w:rsidR="00584187" w:rsidRDefault="00584187">
                          <w:pPr>
                            <w:spacing w:line="720" w:lineRule="exact"/>
                            <w:rPr>
                              <w:b/>
                              <w:sz w:val="20"/>
                            </w:rPr>
                          </w:pPr>
                          <w:r>
                            <w:rPr>
                              <w:b/>
                              <w:sz w:val="20"/>
                            </w:rPr>
                            <w:t>I</w:t>
                          </w:r>
                        </w:p>
                        <w:p w:rsidR="00584187" w:rsidRDefault="00584187">
                          <w:pPr>
                            <w:spacing w:line="720" w:lineRule="exact"/>
                            <w:rPr>
                              <w:b/>
                              <w:sz w:val="20"/>
                            </w:rPr>
                          </w:pPr>
                          <w:r>
                            <w:rPr>
                              <w:b/>
                              <w:sz w:val="20"/>
                            </w:rPr>
                            <w:t>J</w:t>
                          </w:r>
                        </w:p>
                        <w:p w:rsidR="00584187" w:rsidRDefault="00584187">
                          <w:pPr>
                            <w:spacing w:line="720" w:lineRule="exact"/>
                            <w:rPr>
                              <w:b/>
                              <w:sz w:val="20"/>
                            </w:rPr>
                          </w:pPr>
                          <w:r>
                            <w:rPr>
                              <w:b/>
                              <w:sz w:val="20"/>
                            </w:rPr>
                            <w:t>K</w:t>
                          </w:r>
                        </w:p>
                        <w:p w:rsidR="00584187" w:rsidRDefault="00584187">
                          <w:pPr>
                            <w:spacing w:line="720" w:lineRule="exact"/>
                            <w:rPr>
                              <w:b/>
                              <w:sz w:val="20"/>
                            </w:rPr>
                          </w:pPr>
                          <w:r>
                            <w:rPr>
                              <w:b/>
                              <w:sz w:val="20"/>
                            </w:rPr>
                            <w:t>L</w:t>
                          </w:r>
                        </w:p>
                        <w:p w:rsidR="00584187" w:rsidRDefault="00584187">
                          <w:pPr>
                            <w:spacing w:line="720" w:lineRule="exact"/>
                            <w:rPr>
                              <w:b/>
                              <w:sz w:val="20"/>
                            </w:rPr>
                          </w:pPr>
                          <w:r>
                            <w:rPr>
                              <w:b/>
                              <w:sz w:val="20"/>
                            </w:rPr>
                            <w:t>M</w:t>
                          </w:r>
                        </w:p>
                        <w:p w:rsidR="00584187" w:rsidRDefault="00584187">
                          <w:pPr>
                            <w:spacing w:line="720" w:lineRule="exact"/>
                            <w:rPr>
                              <w:b/>
                              <w:sz w:val="20"/>
                            </w:rPr>
                          </w:pPr>
                          <w:r>
                            <w:rPr>
                              <w:b/>
                              <w:sz w:val="20"/>
                            </w:rPr>
                            <w:t>N</w:t>
                          </w:r>
                        </w:p>
                        <w:p w:rsidR="00584187" w:rsidRDefault="00584187">
                          <w:pPr>
                            <w:spacing w:line="720" w:lineRule="exact"/>
                            <w:rPr>
                              <w:b/>
                              <w:sz w:val="20"/>
                            </w:rPr>
                          </w:pPr>
                          <w:r>
                            <w:rPr>
                              <w:b/>
                              <w:sz w:val="20"/>
                            </w:rPr>
                            <w:t>O</w:t>
                          </w:r>
                        </w:p>
                        <w:p w:rsidR="00584187" w:rsidRDefault="00584187">
                          <w:pPr>
                            <w:spacing w:line="720" w:lineRule="exact"/>
                            <w:rPr>
                              <w:b/>
                              <w:sz w:val="20"/>
                            </w:rPr>
                          </w:pPr>
                          <w:r>
                            <w:rPr>
                              <w:b/>
                              <w:sz w:val="20"/>
                            </w:rPr>
                            <w:t>P</w:t>
                          </w:r>
                        </w:p>
                        <w:p w:rsidR="00584187" w:rsidRDefault="00584187">
                          <w:pPr>
                            <w:spacing w:line="720" w:lineRule="exact"/>
                            <w:rPr>
                              <w:b/>
                              <w:sz w:val="20"/>
                            </w:rPr>
                          </w:pPr>
                          <w:r>
                            <w:rPr>
                              <w:b/>
                              <w:sz w:val="20"/>
                            </w:rPr>
                            <w:t>Q</w:t>
                          </w:r>
                        </w:p>
                        <w:p w:rsidR="00584187" w:rsidRDefault="00584187">
                          <w:pPr>
                            <w:spacing w:line="720" w:lineRule="exact"/>
                            <w:rPr>
                              <w:b/>
                              <w:sz w:val="20"/>
                            </w:rPr>
                          </w:pPr>
                          <w:r>
                            <w:rPr>
                              <w:b/>
                              <w:sz w:val="20"/>
                            </w:rPr>
                            <w:t>R</w:t>
                          </w:r>
                        </w:p>
                        <w:p w:rsidR="00584187" w:rsidRDefault="00584187">
                          <w:pPr>
                            <w:spacing w:line="720" w:lineRule="exact"/>
                            <w:rPr>
                              <w:b/>
                              <w:sz w:val="20"/>
                            </w:rPr>
                          </w:pPr>
                          <w:r>
                            <w:rPr>
                              <w:b/>
                              <w:sz w:val="20"/>
                            </w:rPr>
                            <w:t>S</w:t>
                          </w:r>
                        </w:p>
                        <w:p w:rsidR="00584187" w:rsidRDefault="00584187">
                          <w:pPr>
                            <w:spacing w:line="720" w:lineRule="exact"/>
                            <w:rPr>
                              <w:b/>
                              <w:sz w:val="20"/>
                            </w:rPr>
                          </w:pPr>
                          <w:r>
                            <w:rPr>
                              <w:b/>
                              <w:sz w:val="20"/>
                            </w:rPr>
                            <w:t>T</w:t>
                          </w:r>
                        </w:p>
                        <w:p w:rsidR="00584187" w:rsidRDefault="00584187">
                          <w:pPr>
                            <w:spacing w:line="720" w:lineRule="exact"/>
                            <w:rPr>
                              <w:b/>
                              <w:sz w:val="20"/>
                            </w:rPr>
                          </w:pPr>
                          <w:r>
                            <w:rPr>
                              <w:b/>
                              <w:sz w:val="20"/>
                            </w:rPr>
                            <w:t>U</w:t>
                          </w:r>
                        </w:p>
                        <w:p w:rsidR="00584187" w:rsidRDefault="00584187">
                          <w:pPr>
                            <w:spacing w:line="720" w:lineRule="exact"/>
                            <w:rPr>
                              <w:b/>
                              <w:sz w:val="20"/>
                            </w:rPr>
                          </w:pPr>
                          <w:r>
                            <w:rPr>
                              <w:b/>
                              <w:sz w:val="20"/>
                            </w:rPr>
                            <w:t>V</w:t>
                          </w:r>
                        </w:p>
                        <w:p w:rsidR="00584187" w:rsidRDefault="00584187">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56.7pt;margin-top:5.6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" o:allowincell="f" stroked="f" strokeweight="0">
              <v:textbox inset="0,0,0,0">
                <w:txbxContent>
                  <w:p w:rsidR="00584187" w:rsidRDefault="00584187">
                    <w:pPr>
                      <w:spacing w:line="720" w:lineRule="exact"/>
                      <w:rPr>
                        <w:b/>
                        <w:sz w:val="20"/>
                      </w:rPr>
                    </w:pPr>
                    <w:r>
                      <w:rPr>
                        <w:b/>
                        <w:sz w:val="20"/>
                      </w:rPr>
                      <w:t>A</w:t>
                    </w:r>
                  </w:p>
                  <w:p w:rsidR="00584187" w:rsidRDefault="00584187">
                    <w:pPr>
                      <w:spacing w:line="720" w:lineRule="exact"/>
                      <w:rPr>
                        <w:b/>
                        <w:sz w:val="20"/>
                      </w:rPr>
                    </w:pPr>
                    <w:r>
                      <w:rPr>
                        <w:b/>
                        <w:sz w:val="20"/>
                      </w:rPr>
                      <w:t>B</w:t>
                    </w:r>
                  </w:p>
                  <w:p w:rsidR="00584187" w:rsidRDefault="00584187">
                    <w:pPr>
                      <w:spacing w:line="720" w:lineRule="exact"/>
                      <w:rPr>
                        <w:b/>
                        <w:sz w:val="20"/>
                      </w:rPr>
                    </w:pPr>
                    <w:r>
                      <w:rPr>
                        <w:b/>
                        <w:sz w:val="20"/>
                      </w:rPr>
                      <w:t>C</w:t>
                    </w:r>
                  </w:p>
                  <w:p w:rsidR="00584187" w:rsidRDefault="00584187">
                    <w:pPr>
                      <w:spacing w:line="720" w:lineRule="exact"/>
                      <w:rPr>
                        <w:b/>
                        <w:sz w:val="20"/>
                      </w:rPr>
                    </w:pPr>
                    <w:r>
                      <w:rPr>
                        <w:b/>
                        <w:sz w:val="20"/>
                      </w:rPr>
                      <w:t>D</w:t>
                    </w:r>
                  </w:p>
                  <w:p w:rsidR="00584187" w:rsidRDefault="00584187">
                    <w:pPr>
                      <w:spacing w:line="720" w:lineRule="exact"/>
                      <w:rPr>
                        <w:b/>
                        <w:sz w:val="20"/>
                      </w:rPr>
                    </w:pPr>
                    <w:r>
                      <w:rPr>
                        <w:b/>
                        <w:sz w:val="20"/>
                      </w:rPr>
                      <w:t>E</w:t>
                    </w:r>
                  </w:p>
                  <w:p w:rsidR="00584187" w:rsidRDefault="00584187">
                    <w:pPr>
                      <w:pStyle w:val="Heading3"/>
                      <w:spacing w:line="720" w:lineRule="exact"/>
                      <w:jc w:val="left"/>
                    </w:pPr>
                    <w:r>
                      <w:t>F</w:t>
                    </w:r>
                  </w:p>
                  <w:p w:rsidR="00584187" w:rsidRDefault="00584187">
                    <w:pPr>
                      <w:spacing w:line="720" w:lineRule="exact"/>
                      <w:rPr>
                        <w:b/>
                        <w:sz w:val="20"/>
                      </w:rPr>
                    </w:pPr>
                    <w:r>
                      <w:rPr>
                        <w:b/>
                        <w:sz w:val="20"/>
                      </w:rPr>
                      <w:t>G</w:t>
                    </w:r>
                  </w:p>
                  <w:p w:rsidR="00584187" w:rsidRDefault="00584187">
                    <w:pPr>
                      <w:spacing w:line="720" w:lineRule="exact"/>
                      <w:rPr>
                        <w:b/>
                        <w:sz w:val="20"/>
                      </w:rPr>
                    </w:pPr>
                    <w:r>
                      <w:rPr>
                        <w:b/>
                        <w:sz w:val="20"/>
                      </w:rPr>
                      <w:t>H</w:t>
                    </w:r>
                  </w:p>
                  <w:p w:rsidR="00584187" w:rsidRDefault="00584187">
                    <w:pPr>
                      <w:spacing w:line="720" w:lineRule="exact"/>
                      <w:rPr>
                        <w:b/>
                        <w:sz w:val="20"/>
                      </w:rPr>
                    </w:pPr>
                    <w:r>
                      <w:rPr>
                        <w:b/>
                        <w:sz w:val="20"/>
                      </w:rPr>
                      <w:t>I</w:t>
                    </w:r>
                  </w:p>
                  <w:p w:rsidR="00584187" w:rsidRDefault="00584187">
                    <w:pPr>
                      <w:spacing w:line="720" w:lineRule="exact"/>
                      <w:rPr>
                        <w:b/>
                        <w:sz w:val="20"/>
                      </w:rPr>
                    </w:pPr>
                    <w:r>
                      <w:rPr>
                        <w:b/>
                        <w:sz w:val="20"/>
                      </w:rPr>
                      <w:t>J</w:t>
                    </w:r>
                  </w:p>
                  <w:p w:rsidR="00584187" w:rsidRDefault="00584187">
                    <w:pPr>
                      <w:spacing w:line="720" w:lineRule="exact"/>
                      <w:rPr>
                        <w:b/>
                        <w:sz w:val="20"/>
                      </w:rPr>
                    </w:pPr>
                    <w:r>
                      <w:rPr>
                        <w:b/>
                        <w:sz w:val="20"/>
                      </w:rPr>
                      <w:t>K</w:t>
                    </w:r>
                  </w:p>
                  <w:p w:rsidR="00584187" w:rsidRDefault="00584187">
                    <w:pPr>
                      <w:spacing w:line="720" w:lineRule="exact"/>
                      <w:rPr>
                        <w:b/>
                        <w:sz w:val="20"/>
                      </w:rPr>
                    </w:pPr>
                    <w:r>
                      <w:rPr>
                        <w:b/>
                        <w:sz w:val="20"/>
                      </w:rPr>
                      <w:t>L</w:t>
                    </w:r>
                  </w:p>
                  <w:p w:rsidR="00584187" w:rsidRDefault="00584187">
                    <w:pPr>
                      <w:spacing w:line="720" w:lineRule="exact"/>
                      <w:rPr>
                        <w:b/>
                        <w:sz w:val="20"/>
                      </w:rPr>
                    </w:pPr>
                    <w:r>
                      <w:rPr>
                        <w:b/>
                        <w:sz w:val="20"/>
                      </w:rPr>
                      <w:t>M</w:t>
                    </w:r>
                  </w:p>
                  <w:p w:rsidR="00584187" w:rsidRDefault="00584187">
                    <w:pPr>
                      <w:spacing w:line="720" w:lineRule="exact"/>
                      <w:rPr>
                        <w:b/>
                        <w:sz w:val="20"/>
                      </w:rPr>
                    </w:pPr>
                    <w:r>
                      <w:rPr>
                        <w:b/>
                        <w:sz w:val="20"/>
                      </w:rPr>
                      <w:t>N</w:t>
                    </w:r>
                  </w:p>
                  <w:p w:rsidR="00584187" w:rsidRDefault="00584187">
                    <w:pPr>
                      <w:spacing w:line="720" w:lineRule="exact"/>
                      <w:rPr>
                        <w:b/>
                        <w:sz w:val="20"/>
                      </w:rPr>
                    </w:pPr>
                    <w:r>
                      <w:rPr>
                        <w:b/>
                        <w:sz w:val="20"/>
                      </w:rPr>
                      <w:t>O</w:t>
                    </w:r>
                  </w:p>
                  <w:p w:rsidR="00584187" w:rsidRDefault="00584187">
                    <w:pPr>
                      <w:spacing w:line="720" w:lineRule="exact"/>
                      <w:rPr>
                        <w:b/>
                        <w:sz w:val="20"/>
                      </w:rPr>
                    </w:pPr>
                    <w:r>
                      <w:rPr>
                        <w:b/>
                        <w:sz w:val="20"/>
                      </w:rPr>
                      <w:t>P</w:t>
                    </w:r>
                  </w:p>
                  <w:p w:rsidR="00584187" w:rsidRDefault="00584187">
                    <w:pPr>
                      <w:spacing w:line="720" w:lineRule="exact"/>
                      <w:rPr>
                        <w:b/>
                        <w:sz w:val="20"/>
                      </w:rPr>
                    </w:pPr>
                    <w:r>
                      <w:rPr>
                        <w:b/>
                        <w:sz w:val="20"/>
                      </w:rPr>
                      <w:t>Q</w:t>
                    </w:r>
                  </w:p>
                  <w:p w:rsidR="00584187" w:rsidRDefault="00584187">
                    <w:pPr>
                      <w:spacing w:line="720" w:lineRule="exact"/>
                      <w:rPr>
                        <w:b/>
                        <w:sz w:val="20"/>
                      </w:rPr>
                    </w:pPr>
                    <w:r>
                      <w:rPr>
                        <w:b/>
                        <w:sz w:val="20"/>
                      </w:rPr>
                      <w:t>R</w:t>
                    </w:r>
                  </w:p>
                  <w:p w:rsidR="00584187" w:rsidRDefault="00584187">
                    <w:pPr>
                      <w:spacing w:line="720" w:lineRule="exact"/>
                      <w:rPr>
                        <w:b/>
                        <w:sz w:val="20"/>
                      </w:rPr>
                    </w:pPr>
                    <w:r>
                      <w:rPr>
                        <w:b/>
                        <w:sz w:val="20"/>
                      </w:rPr>
                      <w:t>S</w:t>
                    </w:r>
                  </w:p>
                  <w:p w:rsidR="00584187" w:rsidRDefault="00584187">
                    <w:pPr>
                      <w:spacing w:line="720" w:lineRule="exact"/>
                      <w:rPr>
                        <w:b/>
                        <w:sz w:val="20"/>
                      </w:rPr>
                    </w:pPr>
                    <w:r>
                      <w:rPr>
                        <w:b/>
                        <w:sz w:val="20"/>
                      </w:rPr>
                      <w:t>T</w:t>
                    </w:r>
                  </w:p>
                  <w:p w:rsidR="00584187" w:rsidRDefault="00584187">
                    <w:pPr>
                      <w:spacing w:line="720" w:lineRule="exact"/>
                      <w:rPr>
                        <w:b/>
                        <w:sz w:val="20"/>
                      </w:rPr>
                    </w:pPr>
                    <w:r>
                      <w:rPr>
                        <w:b/>
                        <w:sz w:val="20"/>
                      </w:rPr>
                      <w:t>U</w:t>
                    </w:r>
                  </w:p>
                  <w:p w:rsidR="00584187" w:rsidRDefault="00584187">
                    <w:pPr>
                      <w:spacing w:line="720" w:lineRule="exact"/>
                      <w:rPr>
                        <w:b/>
                        <w:sz w:val="20"/>
                      </w:rPr>
                    </w:pPr>
                    <w:r>
                      <w:rPr>
                        <w:b/>
                        <w:sz w:val="20"/>
                      </w:rPr>
                      <w:t>V</w:t>
                    </w:r>
                  </w:p>
                  <w:p w:rsidR="00584187" w:rsidRDefault="00584187">
                    <w:pPr>
                      <w:spacing w:line="720" w:lineRule="exact"/>
                      <w:rPr>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B57"/>
    <w:multiLevelType w:val="hybridMultilevel"/>
    <w:tmpl w:val="8EE6B9EE"/>
    <w:lvl w:ilvl="0" w:tplc="826A9CE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E3A75"/>
    <w:multiLevelType w:val="hybridMultilevel"/>
    <w:tmpl w:val="EF123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9E2"/>
    <w:multiLevelType w:val="multilevel"/>
    <w:tmpl w:val="C8C00258"/>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9732426"/>
    <w:multiLevelType w:val="hybridMultilevel"/>
    <w:tmpl w:val="C62066E0"/>
    <w:lvl w:ilvl="0" w:tplc="A2144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524F7"/>
    <w:multiLevelType w:val="hybridMultilevel"/>
    <w:tmpl w:val="05608022"/>
    <w:lvl w:ilvl="0" w:tplc="A12EF218">
      <w:numFmt w:val="bullet"/>
      <w:lvlText w:val="-"/>
      <w:lvlJc w:val="left"/>
      <w:pPr>
        <w:ind w:left="1800" w:hanging="360"/>
      </w:pPr>
      <w:rPr>
        <w:rFonts w:ascii="Times New Roman" w:eastAsia="宋体"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4EC5278"/>
    <w:multiLevelType w:val="hybridMultilevel"/>
    <w:tmpl w:val="4D508050"/>
    <w:lvl w:ilvl="0" w:tplc="F1CA98F8">
      <w:start w:val="1"/>
      <w:numFmt w:val="decimal"/>
      <w:lvlText w:val="%1."/>
      <w:lvlJc w:val="left"/>
      <w:pPr>
        <w:ind w:left="360" w:hanging="360"/>
      </w:pPr>
      <w:rPr>
        <w:rFonts w:hint="default"/>
        <w:b w:val="0"/>
        <w:i w:val="0"/>
      </w:rPr>
    </w:lvl>
    <w:lvl w:ilvl="1" w:tplc="01A2DBC0">
      <w:start w:val="1"/>
      <w:numFmt w:val="lowerLetter"/>
      <w:lvlText w:val="(%2)"/>
      <w:lvlJc w:val="left"/>
      <w:pPr>
        <w:ind w:left="1080" w:hanging="360"/>
      </w:pPr>
      <w:rPr>
        <w:rFonts w:hint="eastAsia"/>
        <w:b w:val="0"/>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FB7655"/>
    <w:multiLevelType w:val="hybridMultilevel"/>
    <w:tmpl w:val="DE6C8736"/>
    <w:lvl w:ilvl="0" w:tplc="ABD0DF8A">
      <w:start w:val="1"/>
      <w:numFmt w:val="decimal"/>
      <w:lvlText w:val="%1."/>
      <w:lvlJc w:val="left"/>
      <w:pPr>
        <w:ind w:left="2160" w:hanging="360"/>
      </w:pPr>
      <w:rPr>
        <w:color w:val="auto"/>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F3615AC"/>
    <w:multiLevelType w:val="hybridMultilevel"/>
    <w:tmpl w:val="5EA4316E"/>
    <w:lvl w:ilvl="0" w:tplc="E898BD58">
      <w:start w:val="1"/>
      <w:numFmt w:val="upperLetter"/>
      <w:lvlText w:val="%1."/>
      <w:lvlJc w:val="left"/>
      <w:pPr>
        <w:ind w:left="720" w:hanging="360"/>
      </w:pPr>
      <w:rPr>
        <w:rFonts w:eastAsia="宋体"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B399E"/>
    <w:multiLevelType w:val="hybridMultilevel"/>
    <w:tmpl w:val="DD5C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2C2CC6"/>
    <w:multiLevelType w:val="hybridMultilevel"/>
    <w:tmpl w:val="CFDA8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2056E"/>
    <w:multiLevelType w:val="hybridMultilevel"/>
    <w:tmpl w:val="2CDEA95C"/>
    <w:lvl w:ilvl="0" w:tplc="B9DCD8D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621747"/>
    <w:multiLevelType w:val="hybridMultilevel"/>
    <w:tmpl w:val="7F78AAD4"/>
    <w:lvl w:ilvl="0" w:tplc="56685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CB4BA4"/>
    <w:multiLevelType w:val="hybridMultilevel"/>
    <w:tmpl w:val="E14EE944"/>
    <w:lvl w:ilvl="0" w:tplc="B6684CFC">
      <w:start w:val="1"/>
      <w:numFmt w:val="upperLetter"/>
      <w:lvlText w:val="%1."/>
      <w:lvlJc w:val="left"/>
      <w:pPr>
        <w:ind w:left="720" w:hanging="360"/>
      </w:pPr>
      <w:rPr>
        <w:rFonts w:eastAsia="宋体"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469AB"/>
    <w:multiLevelType w:val="singleLevel"/>
    <w:tmpl w:val="A77A8EE4"/>
    <w:lvl w:ilvl="0">
      <w:start w:val="1"/>
      <w:numFmt w:val="decimal"/>
      <w:pStyle w:val="para"/>
      <w:lvlText w:val="%1."/>
      <w:lvlJc w:val="left"/>
      <w:pPr>
        <w:tabs>
          <w:tab w:val="num" w:pos="360"/>
        </w:tabs>
        <w:ind w:left="0" w:firstLine="0"/>
      </w:pPr>
      <w:rPr>
        <w:rFonts w:hint="eastAsia"/>
      </w:rPr>
    </w:lvl>
  </w:abstractNum>
  <w:abstractNum w:abstractNumId="15" w15:restartNumberingAfterBreak="0">
    <w:nsid w:val="2D303A41"/>
    <w:multiLevelType w:val="hybridMultilevel"/>
    <w:tmpl w:val="69DEF228"/>
    <w:lvl w:ilvl="0" w:tplc="8102B3F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E91C8A"/>
    <w:multiLevelType w:val="hybridMultilevel"/>
    <w:tmpl w:val="A3BC052C"/>
    <w:lvl w:ilvl="0" w:tplc="1416F85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D3222"/>
    <w:multiLevelType w:val="hybridMultilevel"/>
    <w:tmpl w:val="E51849C2"/>
    <w:lvl w:ilvl="0" w:tplc="C76AA75C">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9" w15:restartNumberingAfterBreak="0">
    <w:nsid w:val="3FB364CA"/>
    <w:multiLevelType w:val="hybridMultilevel"/>
    <w:tmpl w:val="D0C6EF48"/>
    <w:lvl w:ilvl="0" w:tplc="EF58C5FC">
      <w:numFmt w:val="bullet"/>
      <w:lvlText w:val="-"/>
      <w:lvlJc w:val="left"/>
      <w:pPr>
        <w:ind w:left="4545" w:hanging="360"/>
      </w:pPr>
      <w:rPr>
        <w:rFonts w:ascii="Times New Roman" w:eastAsia="宋体"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20" w15:restartNumberingAfterBreak="0">
    <w:nsid w:val="47D5004D"/>
    <w:multiLevelType w:val="hybridMultilevel"/>
    <w:tmpl w:val="E51849C2"/>
    <w:lvl w:ilvl="0" w:tplc="C76AA75C">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1" w15:restartNumberingAfterBreak="0">
    <w:nsid w:val="50843016"/>
    <w:multiLevelType w:val="multilevel"/>
    <w:tmpl w:val="DA28EB8C"/>
    <w:lvl w:ilvl="0">
      <w:start w:val="1"/>
      <w:numFmt w:val="decimal"/>
      <w:pStyle w:val="bw"/>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1A84F16"/>
    <w:multiLevelType w:val="hybridMultilevel"/>
    <w:tmpl w:val="F246FEF2"/>
    <w:lvl w:ilvl="0" w:tplc="256E6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A7101A"/>
    <w:multiLevelType w:val="hybridMultilevel"/>
    <w:tmpl w:val="5D38819E"/>
    <w:lvl w:ilvl="0" w:tplc="A6EAC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FD2BE1"/>
    <w:multiLevelType w:val="hybridMultilevel"/>
    <w:tmpl w:val="0D8631E2"/>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13E0C"/>
    <w:multiLevelType w:val="hybridMultilevel"/>
    <w:tmpl w:val="064AC0A8"/>
    <w:lvl w:ilvl="0" w:tplc="E56ABFF0">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B991F8C"/>
    <w:multiLevelType w:val="hybridMultilevel"/>
    <w:tmpl w:val="E8DA8C34"/>
    <w:lvl w:ilvl="0" w:tplc="35B83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D522A80"/>
    <w:multiLevelType w:val="hybridMultilevel"/>
    <w:tmpl w:val="4D147A28"/>
    <w:lvl w:ilvl="0" w:tplc="49E65354">
      <w:start w:val="1"/>
      <w:numFmt w:val="decimal"/>
      <w:pStyle w:val="Final"/>
      <w:lvlText w:val="%1."/>
      <w:lvlJc w:val="left"/>
      <w:pPr>
        <w:ind w:left="360" w:hanging="360"/>
      </w:pPr>
      <w:rPr>
        <w:rFonts w:ascii="t" w:hAnsi="t" w:hint="default"/>
        <w:b w:val="0"/>
        <w:i w:val="0"/>
        <w:sz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AD5BEE"/>
    <w:multiLevelType w:val="hybridMultilevel"/>
    <w:tmpl w:val="77744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84227C"/>
    <w:multiLevelType w:val="hybridMultilevel"/>
    <w:tmpl w:val="07C4580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4B4697"/>
    <w:multiLevelType w:val="hybridMultilevel"/>
    <w:tmpl w:val="C6A8D6A6"/>
    <w:lvl w:ilvl="0" w:tplc="1EB2FAB6">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A11F97"/>
    <w:multiLevelType w:val="hybridMultilevel"/>
    <w:tmpl w:val="0A4A3CF8"/>
    <w:lvl w:ilvl="0" w:tplc="5EE600B0">
      <w:start w:val="1"/>
      <w:numFmt w:val="decimal"/>
      <w:lvlText w:val="%1."/>
      <w:lvlJc w:val="left"/>
      <w:pPr>
        <w:ind w:left="720" w:hanging="360"/>
      </w:pPr>
      <w:rPr>
        <w:rFonts w:hint="default"/>
        <w:i w:val="0"/>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2816C1"/>
    <w:multiLevelType w:val="hybridMultilevel"/>
    <w:tmpl w:val="C964B2CA"/>
    <w:lvl w:ilvl="0" w:tplc="5FB8974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9"/>
  </w:num>
  <w:num w:numId="3">
    <w:abstractNumId w:val="29"/>
  </w:num>
  <w:num w:numId="4">
    <w:abstractNumId w:val="27"/>
  </w:num>
  <w:num w:numId="5">
    <w:abstractNumId w:val="31"/>
  </w:num>
  <w:num w:numId="6">
    <w:abstractNumId w:val="4"/>
  </w:num>
  <w:num w:numId="7">
    <w:abstractNumId w:val="0"/>
  </w:num>
  <w:num w:numId="8">
    <w:abstractNumId w:val="19"/>
  </w:num>
  <w:num w:numId="9">
    <w:abstractNumId w:val="15"/>
  </w:num>
  <w:num w:numId="10">
    <w:abstractNumId w:val="14"/>
  </w:num>
  <w:num w:numId="11">
    <w:abstractNumId w:val="25"/>
  </w:num>
  <w:num w:numId="12">
    <w:abstractNumId w:val="32"/>
  </w:num>
  <w:num w:numId="13">
    <w:abstractNumId w:val="12"/>
  </w:num>
  <w:num w:numId="14">
    <w:abstractNumId w:val="10"/>
  </w:num>
  <w:num w:numId="15">
    <w:abstractNumId w:val="17"/>
  </w:num>
  <w:num w:numId="16">
    <w:abstractNumId w:val="2"/>
  </w:num>
  <w:num w:numId="17">
    <w:abstractNumId w:val="21"/>
  </w:num>
  <w:num w:numId="18">
    <w:abstractNumId w:val="8"/>
  </w:num>
  <w:num w:numId="19">
    <w:abstractNumId w:val="11"/>
  </w:num>
  <w:num w:numId="20">
    <w:abstractNumId w:val="3"/>
  </w:num>
  <w:num w:numId="21">
    <w:abstractNumId w:val="5"/>
  </w:num>
  <w:num w:numId="22">
    <w:abstractNumId w:val="27"/>
  </w:num>
  <w:num w:numId="23">
    <w:abstractNumId w:val="27"/>
  </w:num>
  <w:num w:numId="24">
    <w:abstractNumId w:val="27"/>
  </w:num>
  <w:num w:numId="25">
    <w:abstractNumId w:val="27"/>
  </w:num>
  <w:num w:numId="26">
    <w:abstractNumId w:val="27"/>
  </w:num>
  <w:num w:numId="27">
    <w:abstractNumId w:val="6"/>
  </w:num>
  <w:num w:numId="28">
    <w:abstractNumId w:val="28"/>
  </w:num>
  <w:num w:numId="29">
    <w:abstractNumId w:val="1"/>
  </w:num>
  <w:num w:numId="30">
    <w:abstractNumId w:val="22"/>
  </w:num>
  <w:num w:numId="31">
    <w:abstractNumId w:val="7"/>
  </w:num>
  <w:num w:numId="32">
    <w:abstractNumId w:val="13"/>
  </w:num>
  <w:num w:numId="33">
    <w:abstractNumId w:val="30"/>
  </w:num>
  <w:num w:numId="34">
    <w:abstractNumId w:val="24"/>
  </w:num>
  <w:num w:numId="35">
    <w:abstractNumId w:val="23"/>
  </w:num>
  <w:num w:numId="36">
    <w:abstractNumId w:val="26"/>
  </w:num>
  <w:num w:numId="37">
    <w:abstractNumId w:val="33"/>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39"/>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8C"/>
    <w:rsid w:val="00001D99"/>
    <w:rsid w:val="00002811"/>
    <w:rsid w:val="00002F50"/>
    <w:rsid w:val="00005EAB"/>
    <w:rsid w:val="00006746"/>
    <w:rsid w:val="000100B6"/>
    <w:rsid w:val="000100BD"/>
    <w:rsid w:val="00013DA2"/>
    <w:rsid w:val="00016232"/>
    <w:rsid w:val="000175E0"/>
    <w:rsid w:val="000201DA"/>
    <w:rsid w:val="00020539"/>
    <w:rsid w:val="000208BC"/>
    <w:rsid w:val="0002271C"/>
    <w:rsid w:val="00022F39"/>
    <w:rsid w:val="000230B3"/>
    <w:rsid w:val="000230F6"/>
    <w:rsid w:val="00023421"/>
    <w:rsid w:val="00027560"/>
    <w:rsid w:val="00030366"/>
    <w:rsid w:val="00031FCE"/>
    <w:rsid w:val="0003438D"/>
    <w:rsid w:val="00034CBC"/>
    <w:rsid w:val="00035500"/>
    <w:rsid w:val="000401D9"/>
    <w:rsid w:val="00041053"/>
    <w:rsid w:val="00041472"/>
    <w:rsid w:val="000452F7"/>
    <w:rsid w:val="00045AEC"/>
    <w:rsid w:val="00045F9D"/>
    <w:rsid w:val="000471C3"/>
    <w:rsid w:val="00050153"/>
    <w:rsid w:val="000510FF"/>
    <w:rsid w:val="000516D4"/>
    <w:rsid w:val="00051727"/>
    <w:rsid w:val="0005287E"/>
    <w:rsid w:val="00052E54"/>
    <w:rsid w:val="00055451"/>
    <w:rsid w:val="00055BEB"/>
    <w:rsid w:val="00056157"/>
    <w:rsid w:val="0006071C"/>
    <w:rsid w:val="00060C55"/>
    <w:rsid w:val="00061E08"/>
    <w:rsid w:val="0006363E"/>
    <w:rsid w:val="0006454E"/>
    <w:rsid w:val="00065FFD"/>
    <w:rsid w:val="00067065"/>
    <w:rsid w:val="00067ECE"/>
    <w:rsid w:val="00073A22"/>
    <w:rsid w:val="00073EB3"/>
    <w:rsid w:val="00077612"/>
    <w:rsid w:val="00077D1A"/>
    <w:rsid w:val="000800A9"/>
    <w:rsid w:val="0008072E"/>
    <w:rsid w:val="000825E3"/>
    <w:rsid w:val="0008310D"/>
    <w:rsid w:val="0008612D"/>
    <w:rsid w:val="00087CAF"/>
    <w:rsid w:val="00094633"/>
    <w:rsid w:val="00095106"/>
    <w:rsid w:val="00095F98"/>
    <w:rsid w:val="000A1F2F"/>
    <w:rsid w:val="000A2523"/>
    <w:rsid w:val="000A330D"/>
    <w:rsid w:val="000A3B26"/>
    <w:rsid w:val="000A3BA8"/>
    <w:rsid w:val="000A467B"/>
    <w:rsid w:val="000A61CA"/>
    <w:rsid w:val="000A675C"/>
    <w:rsid w:val="000B0990"/>
    <w:rsid w:val="000B3AC0"/>
    <w:rsid w:val="000B3C65"/>
    <w:rsid w:val="000B4320"/>
    <w:rsid w:val="000B6155"/>
    <w:rsid w:val="000B66BF"/>
    <w:rsid w:val="000B7905"/>
    <w:rsid w:val="000C2A26"/>
    <w:rsid w:val="000C2A7C"/>
    <w:rsid w:val="000C5BA0"/>
    <w:rsid w:val="000C7788"/>
    <w:rsid w:val="000D22BD"/>
    <w:rsid w:val="000D6544"/>
    <w:rsid w:val="000D7275"/>
    <w:rsid w:val="000E0984"/>
    <w:rsid w:val="000E1AE2"/>
    <w:rsid w:val="000E5C66"/>
    <w:rsid w:val="000E6911"/>
    <w:rsid w:val="000E7455"/>
    <w:rsid w:val="000F1F4A"/>
    <w:rsid w:val="000F38E1"/>
    <w:rsid w:val="000F51B9"/>
    <w:rsid w:val="000F5BD8"/>
    <w:rsid w:val="000F74CF"/>
    <w:rsid w:val="000F7A84"/>
    <w:rsid w:val="001003C3"/>
    <w:rsid w:val="0010119C"/>
    <w:rsid w:val="00101276"/>
    <w:rsid w:val="00102ECD"/>
    <w:rsid w:val="001060AA"/>
    <w:rsid w:val="00110800"/>
    <w:rsid w:val="0011083E"/>
    <w:rsid w:val="00111FD8"/>
    <w:rsid w:val="001121AB"/>
    <w:rsid w:val="00112865"/>
    <w:rsid w:val="0011367B"/>
    <w:rsid w:val="00114CD5"/>
    <w:rsid w:val="001214B3"/>
    <w:rsid w:val="00126159"/>
    <w:rsid w:val="00126BD2"/>
    <w:rsid w:val="001310F7"/>
    <w:rsid w:val="0013209C"/>
    <w:rsid w:val="0013230D"/>
    <w:rsid w:val="001360C2"/>
    <w:rsid w:val="00140322"/>
    <w:rsid w:val="0014070C"/>
    <w:rsid w:val="00140872"/>
    <w:rsid w:val="00143DA4"/>
    <w:rsid w:val="001466CC"/>
    <w:rsid w:val="00151786"/>
    <w:rsid w:val="001518E7"/>
    <w:rsid w:val="00152484"/>
    <w:rsid w:val="001539DD"/>
    <w:rsid w:val="00153F23"/>
    <w:rsid w:val="00154BA8"/>
    <w:rsid w:val="00157056"/>
    <w:rsid w:val="00160F1C"/>
    <w:rsid w:val="001621E2"/>
    <w:rsid w:val="0016237C"/>
    <w:rsid w:val="001639EE"/>
    <w:rsid w:val="001661CB"/>
    <w:rsid w:val="00170866"/>
    <w:rsid w:val="00171910"/>
    <w:rsid w:val="00171F9F"/>
    <w:rsid w:val="00175C04"/>
    <w:rsid w:val="00175D29"/>
    <w:rsid w:val="0017677D"/>
    <w:rsid w:val="00177204"/>
    <w:rsid w:val="00180E99"/>
    <w:rsid w:val="00181B24"/>
    <w:rsid w:val="00182104"/>
    <w:rsid w:val="00182D7A"/>
    <w:rsid w:val="001835B3"/>
    <w:rsid w:val="00183C9D"/>
    <w:rsid w:val="001846FE"/>
    <w:rsid w:val="00184B1B"/>
    <w:rsid w:val="00184B8C"/>
    <w:rsid w:val="00185893"/>
    <w:rsid w:val="00186E5D"/>
    <w:rsid w:val="00187327"/>
    <w:rsid w:val="00190C2C"/>
    <w:rsid w:val="00192458"/>
    <w:rsid w:val="00193A6C"/>
    <w:rsid w:val="00193C36"/>
    <w:rsid w:val="001940B2"/>
    <w:rsid w:val="001941B8"/>
    <w:rsid w:val="00197AB6"/>
    <w:rsid w:val="001A09B5"/>
    <w:rsid w:val="001A0E3C"/>
    <w:rsid w:val="001A2DE0"/>
    <w:rsid w:val="001A3022"/>
    <w:rsid w:val="001A4689"/>
    <w:rsid w:val="001A4CCC"/>
    <w:rsid w:val="001A6296"/>
    <w:rsid w:val="001A7355"/>
    <w:rsid w:val="001A7764"/>
    <w:rsid w:val="001B07FD"/>
    <w:rsid w:val="001B23BF"/>
    <w:rsid w:val="001B3D4F"/>
    <w:rsid w:val="001B47B4"/>
    <w:rsid w:val="001B4B15"/>
    <w:rsid w:val="001B5218"/>
    <w:rsid w:val="001C12D3"/>
    <w:rsid w:val="001C326F"/>
    <w:rsid w:val="001C43D0"/>
    <w:rsid w:val="001C5DE3"/>
    <w:rsid w:val="001C7F74"/>
    <w:rsid w:val="001D1A41"/>
    <w:rsid w:val="001D2646"/>
    <w:rsid w:val="001D43D9"/>
    <w:rsid w:val="001D5908"/>
    <w:rsid w:val="001D5BAD"/>
    <w:rsid w:val="001D5E0F"/>
    <w:rsid w:val="001D6680"/>
    <w:rsid w:val="001D7559"/>
    <w:rsid w:val="001D7CA1"/>
    <w:rsid w:val="001D7D48"/>
    <w:rsid w:val="001E079E"/>
    <w:rsid w:val="001E457B"/>
    <w:rsid w:val="001E4D68"/>
    <w:rsid w:val="001E5464"/>
    <w:rsid w:val="001E5A88"/>
    <w:rsid w:val="001E6387"/>
    <w:rsid w:val="001F2B3B"/>
    <w:rsid w:val="001F2CC7"/>
    <w:rsid w:val="001F427E"/>
    <w:rsid w:val="001F5DF8"/>
    <w:rsid w:val="001F69E4"/>
    <w:rsid w:val="001F6B97"/>
    <w:rsid w:val="001F6FAB"/>
    <w:rsid w:val="00201199"/>
    <w:rsid w:val="00202EA5"/>
    <w:rsid w:val="00203BBE"/>
    <w:rsid w:val="00205684"/>
    <w:rsid w:val="00206B33"/>
    <w:rsid w:val="00207F79"/>
    <w:rsid w:val="00210708"/>
    <w:rsid w:val="00210FE1"/>
    <w:rsid w:val="00210FFB"/>
    <w:rsid w:val="00211007"/>
    <w:rsid w:val="002116B3"/>
    <w:rsid w:val="00212770"/>
    <w:rsid w:val="00214D17"/>
    <w:rsid w:val="0021550F"/>
    <w:rsid w:val="0021571D"/>
    <w:rsid w:val="0021616E"/>
    <w:rsid w:val="00220364"/>
    <w:rsid w:val="00222705"/>
    <w:rsid w:val="002231DD"/>
    <w:rsid w:val="00224ADF"/>
    <w:rsid w:val="0022704D"/>
    <w:rsid w:val="002274EF"/>
    <w:rsid w:val="00227755"/>
    <w:rsid w:val="00227AC2"/>
    <w:rsid w:val="002305D6"/>
    <w:rsid w:val="00231E17"/>
    <w:rsid w:val="00233A70"/>
    <w:rsid w:val="00233F2B"/>
    <w:rsid w:val="0023430F"/>
    <w:rsid w:val="0023473F"/>
    <w:rsid w:val="002347B6"/>
    <w:rsid w:val="00234E7E"/>
    <w:rsid w:val="00237624"/>
    <w:rsid w:val="002376DA"/>
    <w:rsid w:val="002402C1"/>
    <w:rsid w:val="0024057C"/>
    <w:rsid w:val="00240953"/>
    <w:rsid w:val="00241CAC"/>
    <w:rsid w:val="00243953"/>
    <w:rsid w:val="00243CDB"/>
    <w:rsid w:val="0024466F"/>
    <w:rsid w:val="00245646"/>
    <w:rsid w:val="00246904"/>
    <w:rsid w:val="00246B2C"/>
    <w:rsid w:val="00247CC3"/>
    <w:rsid w:val="00252641"/>
    <w:rsid w:val="002530A2"/>
    <w:rsid w:val="002540BE"/>
    <w:rsid w:val="00255788"/>
    <w:rsid w:val="00257818"/>
    <w:rsid w:val="0026033A"/>
    <w:rsid w:val="002611BF"/>
    <w:rsid w:val="002620C7"/>
    <w:rsid w:val="002622A1"/>
    <w:rsid w:val="00262460"/>
    <w:rsid w:val="00262E68"/>
    <w:rsid w:val="002632CA"/>
    <w:rsid w:val="002641A8"/>
    <w:rsid w:val="00264856"/>
    <w:rsid w:val="00265C6E"/>
    <w:rsid w:val="0026647F"/>
    <w:rsid w:val="00266BAA"/>
    <w:rsid w:val="00271092"/>
    <w:rsid w:val="0027127F"/>
    <w:rsid w:val="00271952"/>
    <w:rsid w:val="00272096"/>
    <w:rsid w:val="00274E14"/>
    <w:rsid w:val="002804C2"/>
    <w:rsid w:val="00281845"/>
    <w:rsid w:val="00283830"/>
    <w:rsid w:val="002839AF"/>
    <w:rsid w:val="00285C86"/>
    <w:rsid w:val="00287421"/>
    <w:rsid w:val="00287BA7"/>
    <w:rsid w:val="00290C85"/>
    <w:rsid w:val="00290EBE"/>
    <w:rsid w:val="00291C4D"/>
    <w:rsid w:val="00294601"/>
    <w:rsid w:val="0029716F"/>
    <w:rsid w:val="00297D56"/>
    <w:rsid w:val="002A057D"/>
    <w:rsid w:val="002A09B7"/>
    <w:rsid w:val="002A1528"/>
    <w:rsid w:val="002A186B"/>
    <w:rsid w:val="002A1B2C"/>
    <w:rsid w:val="002A4003"/>
    <w:rsid w:val="002A531C"/>
    <w:rsid w:val="002A63EE"/>
    <w:rsid w:val="002A7547"/>
    <w:rsid w:val="002A7B9D"/>
    <w:rsid w:val="002B1921"/>
    <w:rsid w:val="002B20DE"/>
    <w:rsid w:val="002B36DF"/>
    <w:rsid w:val="002B7AEC"/>
    <w:rsid w:val="002C0134"/>
    <w:rsid w:val="002C2A1B"/>
    <w:rsid w:val="002C318E"/>
    <w:rsid w:val="002C5D15"/>
    <w:rsid w:val="002D303F"/>
    <w:rsid w:val="002D6C63"/>
    <w:rsid w:val="002D6FEC"/>
    <w:rsid w:val="002E0B34"/>
    <w:rsid w:val="002E1875"/>
    <w:rsid w:val="002E2AF4"/>
    <w:rsid w:val="002E4289"/>
    <w:rsid w:val="002E65A0"/>
    <w:rsid w:val="002F0CB7"/>
    <w:rsid w:val="002F12D7"/>
    <w:rsid w:val="002F3944"/>
    <w:rsid w:val="002F564B"/>
    <w:rsid w:val="002F5987"/>
    <w:rsid w:val="002F7425"/>
    <w:rsid w:val="003019B0"/>
    <w:rsid w:val="003032FF"/>
    <w:rsid w:val="00305CDD"/>
    <w:rsid w:val="00312070"/>
    <w:rsid w:val="00315490"/>
    <w:rsid w:val="0031559B"/>
    <w:rsid w:val="003204E7"/>
    <w:rsid w:val="00320FE2"/>
    <w:rsid w:val="003215DB"/>
    <w:rsid w:val="003221BD"/>
    <w:rsid w:val="003244DC"/>
    <w:rsid w:val="00324791"/>
    <w:rsid w:val="003262A4"/>
    <w:rsid w:val="00327791"/>
    <w:rsid w:val="00327CBD"/>
    <w:rsid w:val="00331BF4"/>
    <w:rsid w:val="003321AD"/>
    <w:rsid w:val="00332893"/>
    <w:rsid w:val="00332E67"/>
    <w:rsid w:val="00334DED"/>
    <w:rsid w:val="00334EE7"/>
    <w:rsid w:val="00335A1B"/>
    <w:rsid w:val="00336F3E"/>
    <w:rsid w:val="00340065"/>
    <w:rsid w:val="00342E86"/>
    <w:rsid w:val="00342E8E"/>
    <w:rsid w:val="00345824"/>
    <w:rsid w:val="003500B6"/>
    <w:rsid w:val="00350639"/>
    <w:rsid w:val="0035184D"/>
    <w:rsid w:val="00351C3E"/>
    <w:rsid w:val="00351D7E"/>
    <w:rsid w:val="00351E71"/>
    <w:rsid w:val="00352CFE"/>
    <w:rsid w:val="00353F7D"/>
    <w:rsid w:val="003541FB"/>
    <w:rsid w:val="00355090"/>
    <w:rsid w:val="00355E75"/>
    <w:rsid w:val="003600EC"/>
    <w:rsid w:val="0036139F"/>
    <w:rsid w:val="0036435F"/>
    <w:rsid w:val="00364695"/>
    <w:rsid w:val="00366355"/>
    <w:rsid w:val="00366D8B"/>
    <w:rsid w:val="00370381"/>
    <w:rsid w:val="003708C8"/>
    <w:rsid w:val="00370A08"/>
    <w:rsid w:val="00373775"/>
    <w:rsid w:val="003754EA"/>
    <w:rsid w:val="00376299"/>
    <w:rsid w:val="00376629"/>
    <w:rsid w:val="00376675"/>
    <w:rsid w:val="0037761B"/>
    <w:rsid w:val="0038075B"/>
    <w:rsid w:val="00380C73"/>
    <w:rsid w:val="00381141"/>
    <w:rsid w:val="00381DFC"/>
    <w:rsid w:val="00384C56"/>
    <w:rsid w:val="00384EB1"/>
    <w:rsid w:val="003853DC"/>
    <w:rsid w:val="003906D7"/>
    <w:rsid w:val="00390F9E"/>
    <w:rsid w:val="003919CA"/>
    <w:rsid w:val="00391BF1"/>
    <w:rsid w:val="003946BF"/>
    <w:rsid w:val="00396F3D"/>
    <w:rsid w:val="003A1CEA"/>
    <w:rsid w:val="003A203F"/>
    <w:rsid w:val="003A290E"/>
    <w:rsid w:val="003A300E"/>
    <w:rsid w:val="003A4392"/>
    <w:rsid w:val="003A4B4D"/>
    <w:rsid w:val="003A4E7A"/>
    <w:rsid w:val="003A5E3A"/>
    <w:rsid w:val="003A7A34"/>
    <w:rsid w:val="003B126E"/>
    <w:rsid w:val="003B1B4D"/>
    <w:rsid w:val="003B3327"/>
    <w:rsid w:val="003B45FC"/>
    <w:rsid w:val="003B633F"/>
    <w:rsid w:val="003B6868"/>
    <w:rsid w:val="003C0B4A"/>
    <w:rsid w:val="003C2317"/>
    <w:rsid w:val="003C57B2"/>
    <w:rsid w:val="003C7454"/>
    <w:rsid w:val="003C746E"/>
    <w:rsid w:val="003D067C"/>
    <w:rsid w:val="003D3659"/>
    <w:rsid w:val="003D43B5"/>
    <w:rsid w:val="003E08F6"/>
    <w:rsid w:val="003E092E"/>
    <w:rsid w:val="003E67B3"/>
    <w:rsid w:val="003E6CF8"/>
    <w:rsid w:val="003E7934"/>
    <w:rsid w:val="003F2F40"/>
    <w:rsid w:val="003F36F6"/>
    <w:rsid w:val="003F3CD5"/>
    <w:rsid w:val="003F6C9B"/>
    <w:rsid w:val="00403188"/>
    <w:rsid w:val="0040449A"/>
    <w:rsid w:val="00404E04"/>
    <w:rsid w:val="0040520B"/>
    <w:rsid w:val="004066DE"/>
    <w:rsid w:val="00411BE4"/>
    <w:rsid w:val="004121C2"/>
    <w:rsid w:val="00412BBD"/>
    <w:rsid w:val="0041542D"/>
    <w:rsid w:val="00417BB2"/>
    <w:rsid w:val="00420712"/>
    <w:rsid w:val="00420CA4"/>
    <w:rsid w:val="004217F5"/>
    <w:rsid w:val="0042324C"/>
    <w:rsid w:val="00423A60"/>
    <w:rsid w:val="00423AD7"/>
    <w:rsid w:val="0042480A"/>
    <w:rsid w:val="0042726E"/>
    <w:rsid w:val="00427BAE"/>
    <w:rsid w:val="00432D87"/>
    <w:rsid w:val="00433935"/>
    <w:rsid w:val="00435BE1"/>
    <w:rsid w:val="004375A0"/>
    <w:rsid w:val="0043799C"/>
    <w:rsid w:val="00437B4D"/>
    <w:rsid w:val="00441090"/>
    <w:rsid w:val="00443221"/>
    <w:rsid w:val="00444B3F"/>
    <w:rsid w:val="00447680"/>
    <w:rsid w:val="004478B3"/>
    <w:rsid w:val="0045078E"/>
    <w:rsid w:val="0045353C"/>
    <w:rsid w:val="004559F5"/>
    <w:rsid w:val="00456A9D"/>
    <w:rsid w:val="00457D2A"/>
    <w:rsid w:val="00460F18"/>
    <w:rsid w:val="00461917"/>
    <w:rsid w:val="004626AE"/>
    <w:rsid w:val="00462F91"/>
    <w:rsid w:val="004638A2"/>
    <w:rsid w:val="0046570D"/>
    <w:rsid w:val="004675BD"/>
    <w:rsid w:val="004676E4"/>
    <w:rsid w:val="00467F48"/>
    <w:rsid w:val="00471375"/>
    <w:rsid w:val="00473389"/>
    <w:rsid w:val="00473FC2"/>
    <w:rsid w:val="00474FBE"/>
    <w:rsid w:val="004753BB"/>
    <w:rsid w:val="00480326"/>
    <w:rsid w:val="00481512"/>
    <w:rsid w:val="004852AC"/>
    <w:rsid w:val="00486116"/>
    <w:rsid w:val="004901F0"/>
    <w:rsid w:val="00491A61"/>
    <w:rsid w:val="00491FFF"/>
    <w:rsid w:val="00495EF2"/>
    <w:rsid w:val="00497176"/>
    <w:rsid w:val="004979B0"/>
    <w:rsid w:val="004A2A92"/>
    <w:rsid w:val="004A396C"/>
    <w:rsid w:val="004A71CE"/>
    <w:rsid w:val="004B27D2"/>
    <w:rsid w:val="004B4D50"/>
    <w:rsid w:val="004B5352"/>
    <w:rsid w:val="004B6CF4"/>
    <w:rsid w:val="004C0A4C"/>
    <w:rsid w:val="004C22B1"/>
    <w:rsid w:val="004C2446"/>
    <w:rsid w:val="004C5890"/>
    <w:rsid w:val="004C7452"/>
    <w:rsid w:val="004D155B"/>
    <w:rsid w:val="004D1E91"/>
    <w:rsid w:val="004D2690"/>
    <w:rsid w:val="004D2960"/>
    <w:rsid w:val="004D3C56"/>
    <w:rsid w:val="004D4036"/>
    <w:rsid w:val="004D6414"/>
    <w:rsid w:val="004D7780"/>
    <w:rsid w:val="004E08D7"/>
    <w:rsid w:val="004E0DB6"/>
    <w:rsid w:val="004E1586"/>
    <w:rsid w:val="004E1C48"/>
    <w:rsid w:val="004F0E2E"/>
    <w:rsid w:val="004F1B09"/>
    <w:rsid w:val="004F3E7F"/>
    <w:rsid w:val="004F425B"/>
    <w:rsid w:val="004F49A6"/>
    <w:rsid w:val="004F626D"/>
    <w:rsid w:val="004F64B4"/>
    <w:rsid w:val="004F7DC9"/>
    <w:rsid w:val="00501088"/>
    <w:rsid w:val="00501E5A"/>
    <w:rsid w:val="00506213"/>
    <w:rsid w:val="00510647"/>
    <w:rsid w:val="005113F5"/>
    <w:rsid w:val="00514166"/>
    <w:rsid w:val="00515465"/>
    <w:rsid w:val="00520301"/>
    <w:rsid w:val="005207BE"/>
    <w:rsid w:val="00521922"/>
    <w:rsid w:val="00524289"/>
    <w:rsid w:val="00524414"/>
    <w:rsid w:val="00524630"/>
    <w:rsid w:val="00526F03"/>
    <w:rsid w:val="00526F04"/>
    <w:rsid w:val="0052733D"/>
    <w:rsid w:val="005325C3"/>
    <w:rsid w:val="00537325"/>
    <w:rsid w:val="0053737C"/>
    <w:rsid w:val="005379FC"/>
    <w:rsid w:val="00547CE3"/>
    <w:rsid w:val="00551ACE"/>
    <w:rsid w:val="00551BDA"/>
    <w:rsid w:val="00555E22"/>
    <w:rsid w:val="00557279"/>
    <w:rsid w:val="00561F94"/>
    <w:rsid w:val="00562B6D"/>
    <w:rsid w:val="00565CC7"/>
    <w:rsid w:val="00567008"/>
    <w:rsid w:val="005678A7"/>
    <w:rsid w:val="00572253"/>
    <w:rsid w:val="0057276E"/>
    <w:rsid w:val="00572966"/>
    <w:rsid w:val="00575B67"/>
    <w:rsid w:val="00575CC9"/>
    <w:rsid w:val="00576DEA"/>
    <w:rsid w:val="0058280E"/>
    <w:rsid w:val="00583C57"/>
    <w:rsid w:val="00584187"/>
    <w:rsid w:val="00585242"/>
    <w:rsid w:val="0058723B"/>
    <w:rsid w:val="0058781C"/>
    <w:rsid w:val="00593FE2"/>
    <w:rsid w:val="005942F6"/>
    <w:rsid w:val="00594ADA"/>
    <w:rsid w:val="005974E9"/>
    <w:rsid w:val="005A3C1C"/>
    <w:rsid w:val="005A6607"/>
    <w:rsid w:val="005B2165"/>
    <w:rsid w:val="005B4295"/>
    <w:rsid w:val="005B5811"/>
    <w:rsid w:val="005B6635"/>
    <w:rsid w:val="005C1948"/>
    <w:rsid w:val="005C3632"/>
    <w:rsid w:val="005C3D24"/>
    <w:rsid w:val="005C46BA"/>
    <w:rsid w:val="005C5168"/>
    <w:rsid w:val="005C56F9"/>
    <w:rsid w:val="005C68A1"/>
    <w:rsid w:val="005C68E6"/>
    <w:rsid w:val="005C6A89"/>
    <w:rsid w:val="005D43AE"/>
    <w:rsid w:val="005D5991"/>
    <w:rsid w:val="005D5E67"/>
    <w:rsid w:val="005D6489"/>
    <w:rsid w:val="005E2EA0"/>
    <w:rsid w:val="005E6772"/>
    <w:rsid w:val="005E71C3"/>
    <w:rsid w:val="005F1475"/>
    <w:rsid w:val="005F30C2"/>
    <w:rsid w:val="00601EB2"/>
    <w:rsid w:val="006037BD"/>
    <w:rsid w:val="00604850"/>
    <w:rsid w:val="00604918"/>
    <w:rsid w:val="00605DA9"/>
    <w:rsid w:val="00605E24"/>
    <w:rsid w:val="006149F6"/>
    <w:rsid w:val="00614D7C"/>
    <w:rsid w:val="00615123"/>
    <w:rsid w:val="006152CE"/>
    <w:rsid w:val="006174EE"/>
    <w:rsid w:val="00617ED3"/>
    <w:rsid w:val="00620FD4"/>
    <w:rsid w:val="00620FF1"/>
    <w:rsid w:val="00622BA0"/>
    <w:rsid w:val="006245F9"/>
    <w:rsid w:val="00627FA4"/>
    <w:rsid w:val="006300AC"/>
    <w:rsid w:val="006318A5"/>
    <w:rsid w:val="00632A9D"/>
    <w:rsid w:val="00633AB0"/>
    <w:rsid w:val="00634919"/>
    <w:rsid w:val="00635649"/>
    <w:rsid w:val="00644677"/>
    <w:rsid w:val="00646E2B"/>
    <w:rsid w:val="00650B6B"/>
    <w:rsid w:val="00650E9E"/>
    <w:rsid w:val="0065341D"/>
    <w:rsid w:val="006569AA"/>
    <w:rsid w:val="0066178F"/>
    <w:rsid w:val="00661AEE"/>
    <w:rsid w:val="00662563"/>
    <w:rsid w:val="00662D55"/>
    <w:rsid w:val="00667E97"/>
    <w:rsid w:val="00670720"/>
    <w:rsid w:val="00670C4B"/>
    <w:rsid w:val="0067202A"/>
    <w:rsid w:val="00672ACF"/>
    <w:rsid w:val="00674901"/>
    <w:rsid w:val="00680343"/>
    <w:rsid w:val="006803A8"/>
    <w:rsid w:val="00681E0F"/>
    <w:rsid w:val="0068376C"/>
    <w:rsid w:val="00683C31"/>
    <w:rsid w:val="0068676D"/>
    <w:rsid w:val="00690867"/>
    <w:rsid w:val="006909FA"/>
    <w:rsid w:val="006925A3"/>
    <w:rsid w:val="00697096"/>
    <w:rsid w:val="006A16D3"/>
    <w:rsid w:val="006A1FBB"/>
    <w:rsid w:val="006A3361"/>
    <w:rsid w:val="006A3CCB"/>
    <w:rsid w:val="006A4B3E"/>
    <w:rsid w:val="006A569D"/>
    <w:rsid w:val="006A7909"/>
    <w:rsid w:val="006B04BC"/>
    <w:rsid w:val="006B179A"/>
    <w:rsid w:val="006B2E59"/>
    <w:rsid w:val="006B3700"/>
    <w:rsid w:val="006B52BD"/>
    <w:rsid w:val="006B5374"/>
    <w:rsid w:val="006B5D3E"/>
    <w:rsid w:val="006B62F6"/>
    <w:rsid w:val="006B7CE4"/>
    <w:rsid w:val="006C1098"/>
    <w:rsid w:val="006C1399"/>
    <w:rsid w:val="006C282B"/>
    <w:rsid w:val="006C2ABD"/>
    <w:rsid w:val="006C7609"/>
    <w:rsid w:val="006C79F7"/>
    <w:rsid w:val="006D206A"/>
    <w:rsid w:val="006D39CC"/>
    <w:rsid w:val="006D4CEA"/>
    <w:rsid w:val="006D6D12"/>
    <w:rsid w:val="006E18F9"/>
    <w:rsid w:val="006E24D3"/>
    <w:rsid w:val="006E3B08"/>
    <w:rsid w:val="006E42D5"/>
    <w:rsid w:val="006F08F5"/>
    <w:rsid w:val="006F0DB1"/>
    <w:rsid w:val="006F28E4"/>
    <w:rsid w:val="006F51E3"/>
    <w:rsid w:val="006F7785"/>
    <w:rsid w:val="00701376"/>
    <w:rsid w:val="0070137A"/>
    <w:rsid w:val="00702B97"/>
    <w:rsid w:val="007038A1"/>
    <w:rsid w:val="007051E8"/>
    <w:rsid w:val="00706183"/>
    <w:rsid w:val="00706781"/>
    <w:rsid w:val="007069A6"/>
    <w:rsid w:val="00707B67"/>
    <w:rsid w:val="00711712"/>
    <w:rsid w:val="00712278"/>
    <w:rsid w:val="00712A5F"/>
    <w:rsid w:val="00713A3D"/>
    <w:rsid w:val="00715385"/>
    <w:rsid w:val="0071543F"/>
    <w:rsid w:val="00716F23"/>
    <w:rsid w:val="007259D5"/>
    <w:rsid w:val="00730A1D"/>
    <w:rsid w:val="00732FEE"/>
    <w:rsid w:val="007348F4"/>
    <w:rsid w:val="007349A9"/>
    <w:rsid w:val="00734ADB"/>
    <w:rsid w:val="007361D7"/>
    <w:rsid w:val="00736992"/>
    <w:rsid w:val="00736C89"/>
    <w:rsid w:val="00740333"/>
    <w:rsid w:val="00741488"/>
    <w:rsid w:val="0074176B"/>
    <w:rsid w:val="00742B20"/>
    <w:rsid w:val="00747B12"/>
    <w:rsid w:val="00754108"/>
    <w:rsid w:val="00754114"/>
    <w:rsid w:val="00754354"/>
    <w:rsid w:val="00754FDD"/>
    <w:rsid w:val="007604D5"/>
    <w:rsid w:val="007613CC"/>
    <w:rsid w:val="00762D0F"/>
    <w:rsid w:val="00763661"/>
    <w:rsid w:val="0076549C"/>
    <w:rsid w:val="00766547"/>
    <w:rsid w:val="00767093"/>
    <w:rsid w:val="0076717F"/>
    <w:rsid w:val="00771558"/>
    <w:rsid w:val="00773156"/>
    <w:rsid w:val="00775198"/>
    <w:rsid w:val="0077586A"/>
    <w:rsid w:val="00776AA1"/>
    <w:rsid w:val="0077729E"/>
    <w:rsid w:val="0077781D"/>
    <w:rsid w:val="00777A57"/>
    <w:rsid w:val="007815F8"/>
    <w:rsid w:val="00782051"/>
    <w:rsid w:val="007829A7"/>
    <w:rsid w:val="00785B26"/>
    <w:rsid w:val="0078600C"/>
    <w:rsid w:val="007913B2"/>
    <w:rsid w:val="007917E8"/>
    <w:rsid w:val="007920BC"/>
    <w:rsid w:val="007927AF"/>
    <w:rsid w:val="00792E95"/>
    <w:rsid w:val="00793CD2"/>
    <w:rsid w:val="00794915"/>
    <w:rsid w:val="007952EA"/>
    <w:rsid w:val="00797FF4"/>
    <w:rsid w:val="007A0785"/>
    <w:rsid w:val="007A104F"/>
    <w:rsid w:val="007A24C2"/>
    <w:rsid w:val="007A43DB"/>
    <w:rsid w:val="007A479F"/>
    <w:rsid w:val="007A4C36"/>
    <w:rsid w:val="007A5919"/>
    <w:rsid w:val="007A637B"/>
    <w:rsid w:val="007A7DA5"/>
    <w:rsid w:val="007B087F"/>
    <w:rsid w:val="007B2AB4"/>
    <w:rsid w:val="007B45CB"/>
    <w:rsid w:val="007B5A34"/>
    <w:rsid w:val="007B62F9"/>
    <w:rsid w:val="007B6935"/>
    <w:rsid w:val="007B7057"/>
    <w:rsid w:val="007C229C"/>
    <w:rsid w:val="007C2AF3"/>
    <w:rsid w:val="007C2EB7"/>
    <w:rsid w:val="007C38F0"/>
    <w:rsid w:val="007C5786"/>
    <w:rsid w:val="007C688B"/>
    <w:rsid w:val="007C6EF4"/>
    <w:rsid w:val="007D0E78"/>
    <w:rsid w:val="007D19A9"/>
    <w:rsid w:val="007D1D23"/>
    <w:rsid w:val="007D2A9D"/>
    <w:rsid w:val="007D2C0E"/>
    <w:rsid w:val="007D3060"/>
    <w:rsid w:val="007D370B"/>
    <w:rsid w:val="007D3FF9"/>
    <w:rsid w:val="007D4653"/>
    <w:rsid w:val="007E0132"/>
    <w:rsid w:val="007E0257"/>
    <w:rsid w:val="007E3B3C"/>
    <w:rsid w:val="007E3CCA"/>
    <w:rsid w:val="007E42CB"/>
    <w:rsid w:val="007E5D69"/>
    <w:rsid w:val="007E655B"/>
    <w:rsid w:val="007E7BFE"/>
    <w:rsid w:val="007F0517"/>
    <w:rsid w:val="007F0AE6"/>
    <w:rsid w:val="007F18B9"/>
    <w:rsid w:val="007F333F"/>
    <w:rsid w:val="007F387A"/>
    <w:rsid w:val="007F3DC4"/>
    <w:rsid w:val="007F4251"/>
    <w:rsid w:val="007F75FD"/>
    <w:rsid w:val="007F78D7"/>
    <w:rsid w:val="007F7EFF"/>
    <w:rsid w:val="00802086"/>
    <w:rsid w:val="00803388"/>
    <w:rsid w:val="00804094"/>
    <w:rsid w:val="00804AF5"/>
    <w:rsid w:val="008110A8"/>
    <w:rsid w:val="0081189B"/>
    <w:rsid w:val="00811C16"/>
    <w:rsid w:val="0081445E"/>
    <w:rsid w:val="00814C5B"/>
    <w:rsid w:val="008158BC"/>
    <w:rsid w:val="00817B39"/>
    <w:rsid w:val="00822675"/>
    <w:rsid w:val="0082573A"/>
    <w:rsid w:val="008267F0"/>
    <w:rsid w:val="00826E27"/>
    <w:rsid w:val="00832E12"/>
    <w:rsid w:val="0083391F"/>
    <w:rsid w:val="0083776B"/>
    <w:rsid w:val="00837777"/>
    <w:rsid w:val="00837C66"/>
    <w:rsid w:val="00840347"/>
    <w:rsid w:val="00842437"/>
    <w:rsid w:val="00843987"/>
    <w:rsid w:val="0084563E"/>
    <w:rsid w:val="0084567B"/>
    <w:rsid w:val="00845696"/>
    <w:rsid w:val="008461EE"/>
    <w:rsid w:val="008465D8"/>
    <w:rsid w:val="00847FF3"/>
    <w:rsid w:val="00856EB1"/>
    <w:rsid w:val="00857C21"/>
    <w:rsid w:val="008600C1"/>
    <w:rsid w:val="00860287"/>
    <w:rsid w:val="00860AFE"/>
    <w:rsid w:val="00862622"/>
    <w:rsid w:val="00863E15"/>
    <w:rsid w:val="008643A1"/>
    <w:rsid w:val="00865CD1"/>
    <w:rsid w:val="00866D21"/>
    <w:rsid w:val="00867B95"/>
    <w:rsid w:val="00871C6B"/>
    <w:rsid w:val="00872439"/>
    <w:rsid w:val="0087387D"/>
    <w:rsid w:val="00873F5A"/>
    <w:rsid w:val="00874239"/>
    <w:rsid w:val="00875497"/>
    <w:rsid w:val="008755BA"/>
    <w:rsid w:val="00876BBB"/>
    <w:rsid w:val="00881F59"/>
    <w:rsid w:val="00882250"/>
    <w:rsid w:val="00884001"/>
    <w:rsid w:val="00884969"/>
    <w:rsid w:val="00885EFB"/>
    <w:rsid w:val="00886D17"/>
    <w:rsid w:val="00887CB7"/>
    <w:rsid w:val="00891CC3"/>
    <w:rsid w:val="00892E33"/>
    <w:rsid w:val="00893D8E"/>
    <w:rsid w:val="0089495F"/>
    <w:rsid w:val="00895852"/>
    <w:rsid w:val="00895F64"/>
    <w:rsid w:val="00896004"/>
    <w:rsid w:val="0089604D"/>
    <w:rsid w:val="00896D83"/>
    <w:rsid w:val="008A0942"/>
    <w:rsid w:val="008A235F"/>
    <w:rsid w:val="008A4294"/>
    <w:rsid w:val="008A4343"/>
    <w:rsid w:val="008A47BB"/>
    <w:rsid w:val="008A6952"/>
    <w:rsid w:val="008A73CA"/>
    <w:rsid w:val="008A7F5C"/>
    <w:rsid w:val="008B220E"/>
    <w:rsid w:val="008B3B43"/>
    <w:rsid w:val="008B45C0"/>
    <w:rsid w:val="008B525E"/>
    <w:rsid w:val="008B5A3B"/>
    <w:rsid w:val="008C0AD6"/>
    <w:rsid w:val="008C5566"/>
    <w:rsid w:val="008C5FE1"/>
    <w:rsid w:val="008D06B5"/>
    <w:rsid w:val="008D1E0D"/>
    <w:rsid w:val="008D38E6"/>
    <w:rsid w:val="008D57A2"/>
    <w:rsid w:val="008D6759"/>
    <w:rsid w:val="008E038B"/>
    <w:rsid w:val="008E1241"/>
    <w:rsid w:val="008E133B"/>
    <w:rsid w:val="008E18E3"/>
    <w:rsid w:val="008E29BD"/>
    <w:rsid w:val="008E31D1"/>
    <w:rsid w:val="008E655A"/>
    <w:rsid w:val="008E6D45"/>
    <w:rsid w:val="008E7D9A"/>
    <w:rsid w:val="008F3FCD"/>
    <w:rsid w:val="008F581E"/>
    <w:rsid w:val="008F62EC"/>
    <w:rsid w:val="008F6568"/>
    <w:rsid w:val="008F7FDD"/>
    <w:rsid w:val="00900D63"/>
    <w:rsid w:val="009014C8"/>
    <w:rsid w:val="00902237"/>
    <w:rsid w:val="009041E4"/>
    <w:rsid w:val="0090624A"/>
    <w:rsid w:val="00907569"/>
    <w:rsid w:val="00910051"/>
    <w:rsid w:val="00910135"/>
    <w:rsid w:val="00911B9F"/>
    <w:rsid w:val="00911D0E"/>
    <w:rsid w:val="0091226F"/>
    <w:rsid w:val="00913C49"/>
    <w:rsid w:val="009159D8"/>
    <w:rsid w:val="00917F89"/>
    <w:rsid w:val="00921B78"/>
    <w:rsid w:val="00922505"/>
    <w:rsid w:val="00922A45"/>
    <w:rsid w:val="009275E1"/>
    <w:rsid w:val="009276EF"/>
    <w:rsid w:val="00935530"/>
    <w:rsid w:val="00935C3F"/>
    <w:rsid w:val="009361C6"/>
    <w:rsid w:val="009364EE"/>
    <w:rsid w:val="00937C8F"/>
    <w:rsid w:val="009402EF"/>
    <w:rsid w:val="009416A3"/>
    <w:rsid w:val="00946F38"/>
    <w:rsid w:val="009513FD"/>
    <w:rsid w:val="00951792"/>
    <w:rsid w:val="00960201"/>
    <w:rsid w:val="009611AB"/>
    <w:rsid w:val="00962049"/>
    <w:rsid w:val="00962665"/>
    <w:rsid w:val="009636C0"/>
    <w:rsid w:val="00965630"/>
    <w:rsid w:val="009662FF"/>
    <w:rsid w:val="00970DC3"/>
    <w:rsid w:val="00971062"/>
    <w:rsid w:val="00971562"/>
    <w:rsid w:val="00972039"/>
    <w:rsid w:val="00974C12"/>
    <w:rsid w:val="00975411"/>
    <w:rsid w:val="00975BEC"/>
    <w:rsid w:val="00976D0B"/>
    <w:rsid w:val="00980FB0"/>
    <w:rsid w:val="00982C6B"/>
    <w:rsid w:val="0098419A"/>
    <w:rsid w:val="00985DEF"/>
    <w:rsid w:val="00987A0B"/>
    <w:rsid w:val="00990EE9"/>
    <w:rsid w:val="00991B0C"/>
    <w:rsid w:val="00991DA2"/>
    <w:rsid w:val="00992EC2"/>
    <w:rsid w:val="00993FD1"/>
    <w:rsid w:val="009940A1"/>
    <w:rsid w:val="0099687A"/>
    <w:rsid w:val="00997D79"/>
    <w:rsid w:val="009A15AB"/>
    <w:rsid w:val="009A28C1"/>
    <w:rsid w:val="009A32E8"/>
    <w:rsid w:val="009A3CC2"/>
    <w:rsid w:val="009A407B"/>
    <w:rsid w:val="009A525C"/>
    <w:rsid w:val="009A5569"/>
    <w:rsid w:val="009A5A7A"/>
    <w:rsid w:val="009A5E04"/>
    <w:rsid w:val="009A7229"/>
    <w:rsid w:val="009B1FD0"/>
    <w:rsid w:val="009B301E"/>
    <w:rsid w:val="009B467E"/>
    <w:rsid w:val="009B4F76"/>
    <w:rsid w:val="009B57DC"/>
    <w:rsid w:val="009B5D2A"/>
    <w:rsid w:val="009B7769"/>
    <w:rsid w:val="009B7981"/>
    <w:rsid w:val="009C02B9"/>
    <w:rsid w:val="009C0E5E"/>
    <w:rsid w:val="009C2161"/>
    <w:rsid w:val="009C2B6B"/>
    <w:rsid w:val="009C2D8E"/>
    <w:rsid w:val="009C3000"/>
    <w:rsid w:val="009C46FB"/>
    <w:rsid w:val="009C4CFD"/>
    <w:rsid w:val="009C5EB9"/>
    <w:rsid w:val="009D0BA7"/>
    <w:rsid w:val="009D26C1"/>
    <w:rsid w:val="009D2A94"/>
    <w:rsid w:val="009D31CA"/>
    <w:rsid w:val="009D364C"/>
    <w:rsid w:val="009D450C"/>
    <w:rsid w:val="009D6561"/>
    <w:rsid w:val="009D6587"/>
    <w:rsid w:val="009D77B6"/>
    <w:rsid w:val="009E04DB"/>
    <w:rsid w:val="009E0E13"/>
    <w:rsid w:val="009E15A5"/>
    <w:rsid w:val="009E1C96"/>
    <w:rsid w:val="009E29C4"/>
    <w:rsid w:val="009E2BDB"/>
    <w:rsid w:val="009E2D22"/>
    <w:rsid w:val="009E3B7C"/>
    <w:rsid w:val="009E3DD8"/>
    <w:rsid w:val="009E5009"/>
    <w:rsid w:val="009E5848"/>
    <w:rsid w:val="009E7070"/>
    <w:rsid w:val="009F26B8"/>
    <w:rsid w:val="009F40FA"/>
    <w:rsid w:val="009F412E"/>
    <w:rsid w:val="009F50E4"/>
    <w:rsid w:val="009F6996"/>
    <w:rsid w:val="009F6CF1"/>
    <w:rsid w:val="00A00C62"/>
    <w:rsid w:val="00A0196D"/>
    <w:rsid w:val="00A0219F"/>
    <w:rsid w:val="00A02D17"/>
    <w:rsid w:val="00A03447"/>
    <w:rsid w:val="00A03C9A"/>
    <w:rsid w:val="00A04218"/>
    <w:rsid w:val="00A11E5F"/>
    <w:rsid w:val="00A16937"/>
    <w:rsid w:val="00A16BAF"/>
    <w:rsid w:val="00A20F3A"/>
    <w:rsid w:val="00A20FDF"/>
    <w:rsid w:val="00A213E2"/>
    <w:rsid w:val="00A21AB4"/>
    <w:rsid w:val="00A23523"/>
    <w:rsid w:val="00A247A3"/>
    <w:rsid w:val="00A24880"/>
    <w:rsid w:val="00A2698B"/>
    <w:rsid w:val="00A26ED6"/>
    <w:rsid w:val="00A26FCE"/>
    <w:rsid w:val="00A30791"/>
    <w:rsid w:val="00A3147D"/>
    <w:rsid w:val="00A3233F"/>
    <w:rsid w:val="00A32E18"/>
    <w:rsid w:val="00A32E34"/>
    <w:rsid w:val="00A3302C"/>
    <w:rsid w:val="00A33F3C"/>
    <w:rsid w:val="00A34041"/>
    <w:rsid w:val="00A35841"/>
    <w:rsid w:val="00A41E6F"/>
    <w:rsid w:val="00A42D23"/>
    <w:rsid w:val="00A43D30"/>
    <w:rsid w:val="00A45EB1"/>
    <w:rsid w:val="00A500F4"/>
    <w:rsid w:val="00A503C9"/>
    <w:rsid w:val="00A52BA0"/>
    <w:rsid w:val="00A52C65"/>
    <w:rsid w:val="00A5779A"/>
    <w:rsid w:val="00A60511"/>
    <w:rsid w:val="00A62803"/>
    <w:rsid w:val="00A62DA5"/>
    <w:rsid w:val="00A63D6B"/>
    <w:rsid w:val="00A64201"/>
    <w:rsid w:val="00A65B68"/>
    <w:rsid w:val="00A66CCE"/>
    <w:rsid w:val="00A6713F"/>
    <w:rsid w:val="00A678C1"/>
    <w:rsid w:val="00A717C4"/>
    <w:rsid w:val="00A734AA"/>
    <w:rsid w:val="00A75F48"/>
    <w:rsid w:val="00A76B98"/>
    <w:rsid w:val="00A7708D"/>
    <w:rsid w:val="00A771F7"/>
    <w:rsid w:val="00A77392"/>
    <w:rsid w:val="00A8028E"/>
    <w:rsid w:val="00A8039E"/>
    <w:rsid w:val="00A80A50"/>
    <w:rsid w:val="00A81DAA"/>
    <w:rsid w:val="00A83CC1"/>
    <w:rsid w:val="00A83E25"/>
    <w:rsid w:val="00A850B4"/>
    <w:rsid w:val="00A853A3"/>
    <w:rsid w:val="00A861B1"/>
    <w:rsid w:val="00A87521"/>
    <w:rsid w:val="00A9021C"/>
    <w:rsid w:val="00A90A44"/>
    <w:rsid w:val="00A92FD5"/>
    <w:rsid w:val="00A94E7A"/>
    <w:rsid w:val="00A95C5A"/>
    <w:rsid w:val="00A97DBF"/>
    <w:rsid w:val="00AA0482"/>
    <w:rsid w:val="00AA05AE"/>
    <w:rsid w:val="00AA1432"/>
    <w:rsid w:val="00AA40BA"/>
    <w:rsid w:val="00AA41C4"/>
    <w:rsid w:val="00AA50C8"/>
    <w:rsid w:val="00AA6ABD"/>
    <w:rsid w:val="00AA6F77"/>
    <w:rsid w:val="00AB179B"/>
    <w:rsid w:val="00AB6572"/>
    <w:rsid w:val="00AB69ED"/>
    <w:rsid w:val="00AB6BA7"/>
    <w:rsid w:val="00AC3956"/>
    <w:rsid w:val="00AC4D6D"/>
    <w:rsid w:val="00AC5860"/>
    <w:rsid w:val="00AC6ADD"/>
    <w:rsid w:val="00AC7DA2"/>
    <w:rsid w:val="00AD0C3F"/>
    <w:rsid w:val="00AD19A4"/>
    <w:rsid w:val="00AD19E5"/>
    <w:rsid w:val="00AD23A1"/>
    <w:rsid w:val="00AD406F"/>
    <w:rsid w:val="00AD7EA5"/>
    <w:rsid w:val="00AE0E75"/>
    <w:rsid w:val="00AE12B4"/>
    <w:rsid w:val="00AE15BA"/>
    <w:rsid w:val="00AE18A3"/>
    <w:rsid w:val="00AE3EC6"/>
    <w:rsid w:val="00AE4A07"/>
    <w:rsid w:val="00AE5A84"/>
    <w:rsid w:val="00AE5E58"/>
    <w:rsid w:val="00AE620B"/>
    <w:rsid w:val="00AE64C6"/>
    <w:rsid w:val="00AE654C"/>
    <w:rsid w:val="00AE6900"/>
    <w:rsid w:val="00AF0986"/>
    <w:rsid w:val="00AF10ED"/>
    <w:rsid w:val="00AF443B"/>
    <w:rsid w:val="00AF6429"/>
    <w:rsid w:val="00B01158"/>
    <w:rsid w:val="00B02BDC"/>
    <w:rsid w:val="00B04030"/>
    <w:rsid w:val="00B05512"/>
    <w:rsid w:val="00B11330"/>
    <w:rsid w:val="00B113C4"/>
    <w:rsid w:val="00B12C6A"/>
    <w:rsid w:val="00B12FA2"/>
    <w:rsid w:val="00B12FEA"/>
    <w:rsid w:val="00B1443E"/>
    <w:rsid w:val="00B14B49"/>
    <w:rsid w:val="00B15CB3"/>
    <w:rsid w:val="00B26D06"/>
    <w:rsid w:val="00B2711F"/>
    <w:rsid w:val="00B318D1"/>
    <w:rsid w:val="00B32AC9"/>
    <w:rsid w:val="00B32E2B"/>
    <w:rsid w:val="00B357A9"/>
    <w:rsid w:val="00B37BA3"/>
    <w:rsid w:val="00B420E9"/>
    <w:rsid w:val="00B422E6"/>
    <w:rsid w:val="00B43F5E"/>
    <w:rsid w:val="00B44CEA"/>
    <w:rsid w:val="00B4546B"/>
    <w:rsid w:val="00B4563F"/>
    <w:rsid w:val="00B46241"/>
    <w:rsid w:val="00B464D9"/>
    <w:rsid w:val="00B46F81"/>
    <w:rsid w:val="00B5018E"/>
    <w:rsid w:val="00B5097E"/>
    <w:rsid w:val="00B50DA0"/>
    <w:rsid w:val="00B51245"/>
    <w:rsid w:val="00B51FE7"/>
    <w:rsid w:val="00B566CC"/>
    <w:rsid w:val="00B56770"/>
    <w:rsid w:val="00B56D84"/>
    <w:rsid w:val="00B577BB"/>
    <w:rsid w:val="00B602A2"/>
    <w:rsid w:val="00B602E9"/>
    <w:rsid w:val="00B6030F"/>
    <w:rsid w:val="00B61B4F"/>
    <w:rsid w:val="00B63536"/>
    <w:rsid w:val="00B63FC6"/>
    <w:rsid w:val="00B65EE5"/>
    <w:rsid w:val="00B65FE9"/>
    <w:rsid w:val="00B66128"/>
    <w:rsid w:val="00B665AB"/>
    <w:rsid w:val="00B667F0"/>
    <w:rsid w:val="00B67EB5"/>
    <w:rsid w:val="00B71B82"/>
    <w:rsid w:val="00B71E93"/>
    <w:rsid w:val="00B735D0"/>
    <w:rsid w:val="00B75E25"/>
    <w:rsid w:val="00B7728E"/>
    <w:rsid w:val="00B81EAE"/>
    <w:rsid w:val="00B8472D"/>
    <w:rsid w:val="00B8536A"/>
    <w:rsid w:val="00B853E0"/>
    <w:rsid w:val="00B867DC"/>
    <w:rsid w:val="00B86ED4"/>
    <w:rsid w:val="00B87767"/>
    <w:rsid w:val="00B91512"/>
    <w:rsid w:val="00B92577"/>
    <w:rsid w:val="00B9603F"/>
    <w:rsid w:val="00B96C7C"/>
    <w:rsid w:val="00B96DB6"/>
    <w:rsid w:val="00BA0AAF"/>
    <w:rsid w:val="00BA6BDB"/>
    <w:rsid w:val="00BA6CD6"/>
    <w:rsid w:val="00BA70E1"/>
    <w:rsid w:val="00BA72BD"/>
    <w:rsid w:val="00BA7325"/>
    <w:rsid w:val="00BB0237"/>
    <w:rsid w:val="00BB17B5"/>
    <w:rsid w:val="00BB21C4"/>
    <w:rsid w:val="00BB6221"/>
    <w:rsid w:val="00BB6343"/>
    <w:rsid w:val="00BC0D75"/>
    <w:rsid w:val="00BC1CF7"/>
    <w:rsid w:val="00BC2231"/>
    <w:rsid w:val="00BC2D9D"/>
    <w:rsid w:val="00BC3EE9"/>
    <w:rsid w:val="00BD0CD8"/>
    <w:rsid w:val="00BD10FD"/>
    <w:rsid w:val="00BD1677"/>
    <w:rsid w:val="00BD1F66"/>
    <w:rsid w:val="00BD3348"/>
    <w:rsid w:val="00BD4338"/>
    <w:rsid w:val="00BD4F11"/>
    <w:rsid w:val="00BD6E0F"/>
    <w:rsid w:val="00BD7DF5"/>
    <w:rsid w:val="00BE142F"/>
    <w:rsid w:val="00BE1A28"/>
    <w:rsid w:val="00BE5FA0"/>
    <w:rsid w:val="00BE6231"/>
    <w:rsid w:val="00BE6B29"/>
    <w:rsid w:val="00BF1AFB"/>
    <w:rsid w:val="00BF4B9B"/>
    <w:rsid w:val="00BF4EDF"/>
    <w:rsid w:val="00BF5F32"/>
    <w:rsid w:val="00BF7164"/>
    <w:rsid w:val="00C0115D"/>
    <w:rsid w:val="00C0424E"/>
    <w:rsid w:val="00C05610"/>
    <w:rsid w:val="00C073D9"/>
    <w:rsid w:val="00C10CE0"/>
    <w:rsid w:val="00C122ED"/>
    <w:rsid w:val="00C1272D"/>
    <w:rsid w:val="00C13016"/>
    <w:rsid w:val="00C1361F"/>
    <w:rsid w:val="00C153B3"/>
    <w:rsid w:val="00C15798"/>
    <w:rsid w:val="00C16CF0"/>
    <w:rsid w:val="00C170B4"/>
    <w:rsid w:val="00C21ABD"/>
    <w:rsid w:val="00C23D82"/>
    <w:rsid w:val="00C25592"/>
    <w:rsid w:val="00C2562A"/>
    <w:rsid w:val="00C27CDE"/>
    <w:rsid w:val="00C30C33"/>
    <w:rsid w:val="00C31D6B"/>
    <w:rsid w:val="00C330EF"/>
    <w:rsid w:val="00C3325E"/>
    <w:rsid w:val="00C337C4"/>
    <w:rsid w:val="00C368F4"/>
    <w:rsid w:val="00C36CCE"/>
    <w:rsid w:val="00C3731F"/>
    <w:rsid w:val="00C4114A"/>
    <w:rsid w:val="00C41805"/>
    <w:rsid w:val="00C41ED2"/>
    <w:rsid w:val="00C42631"/>
    <w:rsid w:val="00C4307E"/>
    <w:rsid w:val="00C4374B"/>
    <w:rsid w:val="00C478E9"/>
    <w:rsid w:val="00C508E2"/>
    <w:rsid w:val="00C50C20"/>
    <w:rsid w:val="00C50D70"/>
    <w:rsid w:val="00C510BC"/>
    <w:rsid w:val="00C54C25"/>
    <w:rsid w:val="00C57701"/>
    <w:rsid w:val="00C57BB5"/>
    <w:rsid w:val="00C57C22"/>
    <w:rsid w:val="00C601AB"/>
    <w:rsid w:val="00C6376E"/>
    <w:rsid w:val="00C6593F"/>
    <w:rsid w:val="00C672A5"/>
    <w:rsid w:val="00C67C2C"/>
    <w:rsid w:val="00C706C8"/>
    <w:rsid w:val="00C71205"/>
    <w:rsid w:val="00C75EA8"/>
    <w:rsid w:val="00C801CA"/>
    <w:rsid w:val="00C824EC"/>
    <w:rsid w:val="00C86F89"/>
    <w:rsid w:val="00C903BF"/>
    <w:rsid w:val="00C91EA1"/>
    <w:rsid w:val="00C9214F"/>
    <w:rsid w:val="00C947ED"/>
    <w:rsid w:val="00C95D34"/>
    <w:rsid w:val="00C964AC"/>
    <w:rsid w:val="00CA128A"/>
    <w:rsid w:val="00CA1F5E"/>
    <w:rsid w:val="00CA37DD"/>
    <w:rsid w:val="00CA40C4"/>
    <w:rsid w:val="00CA63FA"/>
    <w:rsid w:val="00CA701D"/>
    <w:rsid w:val="00CB11DC"/>
    <w:rsid w:val="00CB207E"/>
    <w:rsid w:val="00CB31B9"/>
    <w:rsid w:val="00CB3363"/>
    <w:rsid w:val="00CB453F"/>
    <w:rsid w:val="00CB48F0"/>
    <w:rsid w:val="00CB669C"/>
    <w:rsid w:val="00CB6E3B"/>
    <w:rsid w:val="00CB7528"/>
    <w:rsid w:val="00CC0094"/>
    <w:rsid w:val="00CC0ED9"/>
    <w:rsid w:val="00CC3499"/>
    <w:rsid w:val="00CC4539"/>
    <w:rsid w:val="00CC4ADD"/>
    <w:rsid w:val="00CC7372"/>
    <w:rsid w:val="00CC7D77"/>
    <w:rsid w:val="00CD065A"/>
    <w:rsid w:val="00CD6F4C"/>
    <w:rsid w:val="00CD772B"/>
    <w:rsid w:val="00CD77EC"/>
    <w:rsid w:val="00CE4C12"/>
    <w:rsid w:val="00CE6BAF"/>
    <w:rsid w:val="00CF0DCB"/>
    <w:rsid w:val="00CF0F7B"/>
    <w:rsid w:val="00D00EAC"/>
    <w:rsid w:val="00D030EF"/>
    <w:rsid w:val="00D07278"/>
    <w:rsid w:val="00D07B8B"/>
    <w:rsid w:val="00D124D3"/>
    <w:rsid w:val="00D13527"/>
    <w:rsid w:val="00D13D15"/>
    <w:rsid w:val="00D15CD1"/>
    <w:rsid w:val="00D163BF"/>
    <w:rsid w:val="00D17E62"/>
    <w:rsid w:val="00D21855"/>
    <w:rsid w:val="00D21A1F"/>
    <w:rsid w:val="00D23EA4"/>
    <w:rsid w:val="00D243D0"/>
    <w:rsid w:val="00D2455E"/>
    <w:rsid w:val="00D245EC"/>
    <w:rsid w:val="00D24C66"/>
    <w:rsid w:val="00D306CE"/>
    <w:rsid w:val="00D34AB3"/>
    <w:rsid w:val="00D34D16"/>
    <w:rsid w:val="00D365BC"/>
    <w:rsid w:val="00D36A1E"/>
    <w:rsid w:val="00D44E4A"/>
    <w:rsid w:val="00D459F4"/>
    <w:rsid w:val="00D46C2E"/>
    <w:rsid w:val="00D51BE1"/>
    <w:rsid w:val="00D528F3"/>
    <w:rsid w:val="00D531FF"/>
    <w:rsid w:val="00D54C1E"/>
    <w:rsid w:val="00D55A55"/>
    <w:rsid w:val="00D572D2"/>
    <w:rsid w:val="00D60F8C"/>
    <w:rsid w:val="00D6323F"/>
    <w:rsid w:val="00D638A9"/>
    <w:rsid w:val="00D639E4"/>
    <w:rsid w:val="00D63B49"/>
    <w:rsid w:val="00D640FC"/>
    <w:rsid w:val="00D65416"/>
    <w:rsid w:val="00D668A8"/>
    <w:rsid w:val="00D74524"/>
    <w:rsid w:val="00D75582"/>
    <w:rsid w:val="00D80A13"/>
    <w:rsid w:val="00D847CA"/>
    <w:rsid w:val="00D86399"/>
    <w:rsid w:val="00D907C7"/>
    <w:rsid w:val="00D92C6D"/>
    <w:rsid w:val="00D936ED"/>
    <w:rsid w:val="00D94C80"/>
    <w:rsid w:val="00D95B77"/>
    <w:rsid w:val="00D96077"/>
    <w:rsid w:val="00D96226"/>
    <w:rsid w:val="00DA030F"/>
    <w:rsid w:val="00DA2B26"/>
    <w:rsid w:val="00DA5096"/>
    <w:rsid w:val="00DA5D28"/>
    <w:rsid w:val="00DA78FB"/>
    <w:rsid w:val="00DA7FFC"/>
    <w:rsid w:val="00DB1ABD"/>
    <w:rsid w:val="00DB25CD"/>
    <w:rsid w:val="00DB333D"/>
    <w:rsid w:val="00DB64CF"/>
    <w:rsid w:val="00DC01E8"/>
    <w:rsid w:val="00DC0B58"/>
    <w:rsid w:val="00DC15A5"/>
    <w:rsid w:val="00DC1B57"/>
    <w:rsid w:val="00DC1BD6"/>
    <w:rsid w:val="00DC4E0D"/>
    <w:rsid w:val="00DC54D7"/>
    <w:rsid w:val="00DC5AB1"/>
    <w:rsid w:val="00DC649D"/>
    <w:rsid w:val="00DC6E29"/>
    <w:rsid w:val="00DC7C09"/>
    <w:rsid w:val="00DD032F"/>
    <w:rsid w:val="00DD1924"/>
    <w:rsid w:val="00DD23AD"/>
    <w:rsid w:val="00DD40BE"/>
    <w:rsid w:val="00DE0557"/>
    <w:rsid w:val="00DE229B"/>
    <w:rsid w:val="00DE2E28"/>
    <w:rsid w:val="00DE35F4"/>
    <w:rsid w:val="00DE430F"/>
    <w:rsid w:val="00DE494C"/>
    <w:rsid w:val="00DE6F42"/>
    <w:rsid w:val="00DF1603"/>
    <w:rsid w:val="00DF34B7"/>
    <w:rsid w:val="00DF5918"/>
    <w:rsid w:val="00DF683D"/>
    <w:rsid w:val="00DF7C09"/>
    <w:rsid w:val="00E01D22"/>
    <w:rsid w:val="00E0370D"/>
    <w:rsid w:val="00E05C41"/>
    <w:rsid w:val="00E05D98"/>
    <w:rsid w:val="00E070E7"/>
    <w:rsid w:val="00E07631"/>
    <w:rsid w:val="00E07659"/>
    <w:rsid w:val="00E077FE"/>
    <w:rsid w:val="00E0784E"/>
    <w:rsid w:val="00E1166C"/>
    <w:rsid w:val="00E175D9"/>
    <w:rsid w:val="00E23617"/>
    <w:rsid w:val="00E2415F"/>
    <w:rsid w:val="00E254D1"/>
    <w:rsid w:val="00E25F3C"/>
    <w:rsid w:val="00E26489"/>
    <w:rsid w:val="00E26C73"/>
    <w:rsid w:val="00E3101B"/>
    <w:rsid w:val="00E33D17"/>
    <w:rsid w:val="00E34911"/>
    <w:rsid w:val="00E35514"/>
    <w:rsid w:val="00E358C5"/>
    <w:rsid w:val="00E36A6D"/>
    <w:rsid w:val="00E40586"/>
    <w:rsid w:val="00E410C0"/>
    <w:rsid w:val="00E45AD2"/>
    <w:rsid w:val="00E46419"/>
    <w:rsid w:val="00E501A0"/>
    <w:rsid w:val="00E51E3A"/>
    <w:rsid w:val="00E54DC6"/>
    <w:rsid w:val="00E5590C"/>
    <w:rsid w:val="00E56C40"/>
    <w:rsid w:val="00E56F7A"/>
    <w:rsid w:val="00E57C68"/>
    <w:rsid w:val="00E60C69"/>
    <w:rsid w:val="00E62B54"/>
    <w:rsid w:val="00E64111"/>
    <w:rsid w:val="00E648BA"/>
    <w:rsid w:val="00E64BEE"/>
    <w:rsid w:val="00E64E13"/>
    <w:rsid w:val="00E66F6E"/>
    <w:rsid w:val="00E674E9"/>
    <w:rsid w:val="00E71287"/>
    <w:rsid w:val="00E72465"/>
    <w:rsid w:val="00E7412D"/>
    <w:rsid w:val="00E74369"/>
    <w:rsid w:val="00E75F4A"/>
    <w:rsid w:val="00E7622D"/>
    <w:rsid w:val="00E76F12"/>
    <w:rsid w:val="00E77C3C"/>
    <w:rsid w:val="00E80B03"/>
    <w:rsid w:val="00E81F0B"/>
    <w:rsid w:val="00E82F44"/>
    <w:rsid w:val="00E83D13"/>
    <w:rsid w:val="00E84107"/>
    <w:rsid w:val="00E84A0F"/>
    <w:rsid w:val="00E86D95"/>
    <w:rsid w:val="00E8785A"/>
    <w:rsid w:val="00E90571"/>
    <w:rsid w:val="00E9299D"/>
    <w:rsid w:val="00E94F51"/>
    <w:rsid w:val="00EA0253"/>
    <w:rsid w:val="00EA258C"/>
    <w:rsid w:val="00EA346E"/>
    <w:rsid w:val="00EA36FA"/>
    <w:rsid w:val="00EA416F"/>
    <w:rsid w:val="00EA43DF"/>
    <w:rsid w:val="00EA4FB7"/>
    <w:rsid w:val="00EA692C"/>
    <w:rsid w:val="00EA6DFF"/>
    <w:rsid w:val="00EA723A"/>
    <w:rsid w:val="00EA7BDA"/>
    <w:rsid w:val="00EB0468"/>
    <w:rsid w:val="00EB0B62"/>
    <w:rsid w:val="00EB10DB"/>
    <w:rsid w:val="00EB250C"/>
    <w:rsid w:val="00EB36C6"/>
    <w:rsid w:val="00EB370B"/>
    <w:rsid w:val="00EB3CF2"/>
    <w:rsid w:val="00EB3E63"/>
    <w:rsid w:val="00EB41FA"/>
    <w:rsid w:val="00EB4B8A"/>
    <w:rsid w:val="00EC1C27"/>
    <w:rsid w:val="00EC2322"/>
    <w:rsid w:val="00EC299F"/>
    <w:rsid w:val="00EC5ADB"/>
    <w:rsid w:val="00ED5E63"/>
    <w:rsid w:val="00ED6A96"/>
    <w:rsid w:val="00ED7405"/>
    <w:rsid w:val="00EE068A"/>
    <w:rsid w:val="00EE0B3F"/>
    <w:rsid w:val="00EE3DE9"/>
    <w:rsid w:val="00EF0086"/>
    <w:rsid w:val="00EF4020"/>
    <w:rsid w:val="00EF5A26"/>
    <w:rsid w:val="00EF7408"/>
    <w:rsid w:val="00F0075A"/>
    <w:rsid w:val="00F022DA"/>
    <w:rsid w:val="00F06E41"/>
    <w:rsid w:val="00F074BA"/>
    <w:rsid w:val="00F10971"/>
    <w:rsid w:val="00F10A70"/>
    <w:rsid w:val="00F10EA2"/>
    <w:rsid w:val="00F1288C"/>
    <w:rsid w:val="00F149D3"/>
    <w:rsid w:val="00F159C6"/>
    <w:rsid w:val="00F15A13"/>
    <w:rsid w:val="00F25A7C"/>
    <w:rsid w:val="00F25E43"/>
    <w:rsid w:val="00F27728"/>
    <w:rsid w:val="00F27DEF"/>
    <w:rsid w:val="00F3162A"/>
    <w:rsid w:val="00F31656"/>
    <w:rsid w:val="00F325AA"/>
    <w:rsid w:val="00F3413D"/>
    <w:rsid w:val="00F35396"/>
    <w:rsid w:val="00F37482"/>
    <w:rsid w:val="00F408D0"/>
    <w:rsid w:val="00F4144C"/>
    <w:rsid w:val="00F43A64"/>
    <w:rsid w:val="00F43C66"/>
    <w:rsid w:val="00F4403C"/>
    <w:rsid w:val="00F4474C"/>
    <w:rsid w:val="00F44DC3"/>
    <w:rsid w:val="00F508EB"/>
    <w:rsid w:val="00F50AE0"/>
    <w:rsid w:val="00F53AF3"/>
    <w:rsid w:val="00F53B8E"/>
    <w:rsid w:val="00F5471A"/>
    <w:rsid w:val="00F5586E"/>
    <w:rsid w:val="00F56571"/>
    <w:rsid w:val="00F6122E"/>
    <w:rsid w:val="00F6186A"/>
    <w:rsid w:val="00F62F5C"/>
    <w:rsid w:val="00F64528"/>
    <w:rsid w:val="00F659C5"/>
    <w:rsid w:val="00F70656"/>
    <w:rsid w:val="00F709A6"/>
    <w:rsid w:val="00F728F3"/>
    <w:rsid w:val="00F72D1E"/>
    <w:rsid w:val="00F73A28"/>
    <w:rsid w:val="00F740AE"/>
    <w:rsid w:val="00F75991"/>
    <w:rsid w:val="00F77106"/>
    <w:rsid w:val="00F805D8"/>
    <w:rsid w:val="00F80CB9"/>
    <w:rsid w:val="00F824C3"/>
    <w:rsid w:val="00F82731"/>
    <w:rsid w:val="00F82BE2"/>
    <w:rsid w:val="00F85017"/>
    <w:rsid w:val="00F85081"/>
    <w:rsid w:val="00F87109"/>
    <w:rsid w:val="00F92001"/>
    <w:rsid w:val="00F921CB"/>
    <w:rsid w:val="00F965A5"/>
    <w:rsid w:val="00F977A4"/>
    <w:rsid w:val="00FA1373"/>
    <w:rsid w:val="00FA19BC"/>
    <w:rsid w:val="00FA591C"/>
    <w:rsid w:val="00FA5D54"/>
    <w:rsid w:val="00FA5E0D"/>
    <w:rsid w:val="00FA6137"/>
    <w:rsid w:val="00FA7DB7"/>
    <w:rsid w:val="00FB00FE"/>
    <w:rsid w:val="00FB2045"/>
    <w:rsid w:val="00FB7359"/>
    <w:rsid w:val="00FB79DE"/>
    <w:rsid w:val="00FB7B27"/>
    <w:rsid w:val="00FB7E04"/>
    <w:rsid w:val="00FC13A8"/>
    <w:rsid w:val="00FC5BAB"/>
    <w:rsid w:val="00FC6B43"/>
    <w:rsid w:val="00FC76C9"/>
    <w:rsid w:val="00FC7916"/>
    <w:rsid w:val="00FC7B17"/>
    <w:rsid w:val="00FC7DAA"/>
    <w:rsid w:val="00FD03C9"/>
    <w:rsid w:val="00FD048F"/>
    <w:rsid w:val="00FD164E"/>
    <w:rsid w:val="00FD2B1A"/>
    <w:rsid w:val="00FD2E6C"/>
    <w:rsid w:val="00FE0E8B"/>
    <w:rsid w:val="00FE0F81"/>
    <w:rsid w:val="00FE19C7"/>
    <w:rsid w:val="00FE3ECB"/>
    <w:rsid w:val="00FE425E"/>
    <w:rsid w:val="00FE45DB"/>
    <w:rsid w:val="00FE48C0"/>
    <w:rsid w:val="00FE5B29"/>
    <w:rsid w:val="00FE6BF2"/>
    <w:rsid w:val="00FE7043"/>
    <w:rsid w:val="00FF077B"/>
    <w:rsid w:val="00FF089D"/>
    <w:rsid w:val="00FF31FA"/>
    <w:rsid w:val="00FF6439"/>
    <w:rsid w:val="00FF7ADB"/>
    <w:rsid w:val="00FF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583F7"/>
  <w15:docId w15:val="{BC5DFD89-F3E4-4F35-9184-E0CEC443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9D"/>
    <w:pPr>
      <w:tabs>
        <w:tab w:val="left" w:pos="1440"/>
        <w:tab w:val="center" w:pos="4234"/>
        <w:tab w:val="right" w:pos="8453"/>
      </w:tabs>
      <w:snapToGrid w:val="0"/>
    </w:pPr>
    <w:rPr>
      <w:sz w:val="28"/>
      <w:lang w:val="en-GB"/>
    </w:rPr>
  </w:style>
  <w:style w:type="paragraph" w:styleId="Heading2">
    <w:name w:val="heading 2"/>
    <w:basedOn w:val="Normal"/>
    <w:next w:val="Normal"/>
    <w:qFormat/>
    <w:rsid w:val="007917E8"/>
    <w:pPr>
      <w:keepNext/>
      <w:outlineLvl w:val="1"/>
    </w:pPr>
    <w:rPr>
      <w:b/>
      <w:sz w:val="20"/>
      <w:lang w:val="en-US"/>
    </w:rPr>
  </w:style>
  <w:style w:type="paragraph" w:styleId="Heading3">
    <w:name w:val="heading 3"/>
    <w:basedOn w:val="Normal"/>
    <w:next w:val="Normal"/>
    <w:qFormat/>
    <w:rsid w:val="007917E8"/>
    <w:pPr>
      <w:keepNext/>
      <w:jc w:val="center"/>
      <w:outlineLvl w:val="2"/>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17E8"/>
    <w:pPr>
      <w:tabs>
        <w:tab w:val="center" w:pos="4153"/>
        <w:tab w:val="right" w:pos="8306"/>
      </w:tabs>
    </w:pPr>
  </w:style>
  <w:style w:type="paragraph" w:styleId="Footer">
    <w:name w:val="footer"/>
    <w:basedOn w:val="Normal"/>
    <w:rsid w:val="00A34041"/>
    <w:pPr>
      <w:tabs>
        <w:tab w:val="center" w:pos="4153"/>
        <w:tab w:val="right" w:pos="8306"/>
      </w:tabs>
      <w:jc w:val="both"/>
    </w:pPr>
    <w:rPr>
      <w:sz w:val="20"/>
    </w:rPr>
  </w:style>
  <w:style w:type="character" w:styleId="PageNumber">
    <w:name w:val="page number"/>
    <w:basedOn w:val="DefaultParagraphFont"/>
    <w:rsid w:val="007917E8"/>
  </w:style>
  <w:style w:type="paragraph" w:customStyle="1" w:styleId="Final">
    <w:name w:val="Final"/>
    <w:basedOn w:val="Normal"/>
    <w:qFormat/>
    <w:rsid w:val="00F325AA"/>
    <w:pPr>
      <w:numPr>
        <w:numId w:val="4"/>
      </w:numPr>
      <w:spacing w:before="360" w:after="80" w:line="360" w:lineRule="auto"/>
      <w:jc w:val="both"/>
    </w:pPr>
  </w:style>
  <w:style w:type="character" w:styleId="FootnoteReference">
    <w:name w:val="footnote reference"/>
    <w:basedOn w:val="DefaultParagraphFont"/>
    <w:uiPriority w:val="99"/>
    <w:rsid w:val="00A34041"/>
    <w:rPr>
      <w:sz w:val="28"/>
      <w:vertAlign w:val="superscript"/>
    </w:rPr>
  </w:style>
  <w:style w:type="paragraph" w:styleId="FootnoteText">
    <w:name w:val="footnote text"/>
    <w:basedOn w:val="Normal"/>
    <w:link w:val="FootnoteTextChar"/>
    <w:uiPriority w:val="99"/>
    <w:rsid w:val="00A34041"/>
    <w:pPr>
      <w:tabs>
        <w:tab w:val="center" w:pos="3946"/>
      </w:tabs>
      <w:spacing w:after="60"/>
      <w:ind w:left="360" w:hanging="360"/>
      <w:jc w:val="both"/>
    </w:pPr>
  </w:style>
  <w:style w:type="character" w:customStyle="1" w:styleId="FootnoteTextChar">
    <w:name w:val="Footnote Text Char"/>
    <w:basedOn w:val="DefaultParagraphFont"/>
    <w:link w:val="FootnoteText"/>
    <w:uiPriority w:val="99"/>
    <w:rsid w:val="00A34041"/>
    <w:rPr>
      <w:rFonts w:eastAsia="宋体"/>
      <w:sz w:val="24"/>
    </w:rPr>
  </w:style>
  <w:style w:type="paragraph" w:customStyle="1" w:styleId="H-1">
    <w:name w:val="H-1"/>
    <w:basedOn w:val="Normal"/>
    <w:rsid w:val="00A34041"/>
    <w:pPr>
      <w:keepNext/>
      <w:tabs>
        <w:tab w:val="center" w:pos="3946"/>
      </w:tabs>
      <w:spacing w:before="360"/>
      <w:jc w:val="both"/>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jc w:val="both"/>
    </w:pPr>
    <w:rPr>
      <w:kern w:val="2"/>
    </w:rPr>
  </w:style>
  <w:style w:type="paragraph" w:customStyle="1" w:styleId="hspace">
    <w:name w:val="hspace"/>
    <w:basedOn w:val="Normal"/>
    <w:rsid w:val="00A34041"/>
    <w:pPr>
      <w:spacing w:line="200" w:lineRule="exact"/>
      <w:jc w:val="both"/>
    </w:pPr>
  </w:style>
  <w:style w:type="paragraph" w:customStyle="1" w:styleId="Quotation">
    <w:name w:val="Quotation"/>
    <w:basedOn w:val="Normal"/>
    <w:rsid w:val="00DA030F"/>
    <w:pPr>
      <w:tabs>
        <w:tab w:val="clear" w:pos="4234"/>
        <w:tab w:val="left" w:pos="2016"/>
        <w:tab w:val="left" w:pos="2448"/>
        <w:tab w:val="center" w:pos="3946"/>
      </w:tabs>
      <w:spacing w:before="160" w:after="80"/>
      <w:ind w:left="1440" w:right="720"/>
      <w:jc w:val="both"/>
    </w:pPr>
    <w:rPr>
      <w:kern w:val="2"/>
      <w:sz w:val="24"/>
    </w:rPr>
  </w:style>
  <w:style w:type="paragraph" w:customStyle="1" w:styleId="para">
    <w:name w:val="para"/>
    <w:rsid w:val="00B01158"/>
    <w:pPr>
      <w:numPr>
        <w:numId w:val="10"/>
      </w:numPr>
      <w:tabs>
        <w:tab w:val="clear" w:pos="360"/>
        <w:tab w:val="num" w:pos="1397"/>
      </w:tabs>
      <w:snapToGrid w:val="0"/>
      <w:spacing w:before="480" w:line="360" w:lineRule="auto"/>
      <w:jc w:val="both"/>
    </w:pPr>
    <w:rPr>
      <w:sz w:val="28"/>
    </w:rPr>
  </w:style>
  <w:style w:type="paragraph" w:customStyle="1" w:styleId="normal2">
    <w:name w:val="normal2"/>
    <w:basedOn w:val="Normal"/>
    <w:rsid w:val="00B01158"/>
    <w:pPr>
      <w:tabs>
        <w:tab w:val="clear" w:pos="4234"/>
        <w:tab w:val="clear" w:pos="8453"/>
        <w:tab w:val="left" w:pos="1411"/>
        <w:tab w:val="center" w:pos="4320"/>
        <w:tab w:val="right" w:pos="9072"/>
      </w:tabs>
      <w:overflowPunct w:val="0"/>
      <w:autoSpaceDE w:val="0"/>
      <w:autoSpaceDN w:val="0"/>
      <w:spacing w:line="360" w:lineRule="auto"/>
      <w:jc w:val="center"/>
    </w:pPr>
    <w:rPr>
      <w:rFonts w:eastAsia="MingLiU"/>
      <w:caps/>
    </w:rPr>
  </w:style>
  <w:style w:type="paragraph" w:styleId="NormalWeb">
    <w:name w:val="Normal (Web)"/>
    <w:basedOn w:val="Normal"/>
    <w:uiPriority w:val="99"/>
    <w:unhideWhenUsed/>
    <w:rsid w:val="00262E68"/>
    <w:pPr>
      <w:tabs>
        <w:tab w:val="clear" w:pos="1440"/>
        <w:tab w:val="clear" w:pos="4234"/>
        <w:tab w:val="clear" w:pos="8453"/>
      </w:tabs>
      <w:snapToGrid/>
      <w:spacing w:before="100" w:beforeAutospacing="1" w:after="100" w:afterAutospacing="1"/>
    </w:pPr>
    <w:rPr>
      <w:rFonts w:eastAsia="Times New Roman"/>
      <w:sz w:val="24"/>
      <w:szCs w:val="24"/>
      <w:lang w:val="en-US"/>
    </w:rPr>
  </w:style>
  <w:style w:type="character" w:styleId="Emphasis">
    <w:name w:val="Emphasis"/>
    <w:basedOn w:val="DefaultParagraphFont"/>
    <w:uiPriority w:val="20"/>
    <w:qFormat/>
    <w:rsid w:val="00262E68"/>
    <w:rPr>
      <w:i/>
      <w:iCs/>
    </w:rPr>
  </w:style>
  <w:style w:type="character" w:styleId="Strong">
    <w:name w:val="Strong"/>
    <w:basedOn w:val="DefaultParagraphFont"/>
    <w:uiPriority w:val="22"/>
    <w:qFormat/>
    <w:rsid w:val="00262E68"/>
    <w:rPr>
      <w:b/>
      <w:bCs/>
    </w:rPr>
  </w:style>
  <w:style w:type="character" w:customStyle="1" w:styleId="HeaderChar">
    <w:name w:val="Header Char"/>
    <w:basedOn w:val="DefaultParagraphFont"/>
    <w:link w:val="Header"/>
    <w:rsid w:val="0005287E"/>
    <w:rPr>
      <w:sz w:val="28"/>
      <w:lang w:val="en-GB"/>
    </w:rPr>
  </w:style>
  <w:style w:type="paragraph" w:customStyle="1" w:styleId="normal1">
    <w:name w:val="normal1"/>
    <w:basedOn w:val="Normal"/>
    <w:rsid w:val="00E070E7"/>
    <w:pPr>
      <w:tabs>
        <w:tab w:val="clear" w:pos="1440"/>
        <w:tab w:val="clear" w:pos="4234"/>
        <w:tab w:val="clear" w:pos="8453"/>
        <w:tab w:val="left" w:pos="1411"/>
      </w:tabs>
      <w:kinsoku w:val="0"/>
      <w:overflowPunct w:val="0"/>
      <w:autoSpaceDE w:val="0"/>
      <w:autoSpaceDN w:val="0"/>
      <w:adjustRightInd w:val="0"/>
      <w:jc w:val="center"/>
    </w:pPr>
    <w:rPr>
      <w:rFonts w:eastAsia="MingLiU"/>
      <w:snapToGrid w:val="0"/>
    </w:rPr>
  </w:style>
  <w:style w:type="paragraph" w:customStyle="1" w:styleId="ar-draft">
    <w:name w:val="ar-draft"/>
    <w:basedOn w:val="Normal"/>
    <w:rsid w:val="00E070E7"/>
    <w:pPr>
      <w:numPr>
        <w:numId w:val="16"/>
      </w:numPr>
      <w:tabs>
        <w:tab w:val="clear" w:pos="4234"/>
        <w:tab w:val="clear" w:pos="8453"/>
      </w:tabs>
      <w:spacing w:before="360" w:line="360" w:lineRule="auto"/>
      <w:jc w:val="both"/>
    </w:pPr>
    <w:rPr>
      <w:rFonts w:eastAsia="MingLiU"/>
    </w:rPr>
  </w:style>
  <w:style w:type="paragraph" w:styleId="ListParagraph">
    <w:name w:val="List Paragraph"/>
    <w:basedOn w:val="Normal"/>
    <w:uiPriority w:val="34"/>
    <w:qFormat/>
    <w:rsid w:val="00B735D0"/>
    <w:pPr>
      <w:tabs>
        <w:tab w:val="clear" w:pos="1440"/>
        <w:tab w:val="clear" w:pos="4234"/>
        <w:tab w:val="clear" w:pos="8453"/>
      </w:tabs>
      <w:kinsoku w:val="0"/>
      <w:overflowPunct w:val="0"/>
      <w:autoSpaceDE w:val="0"/>
      <w:autoSpaceDN w:val="0"/>
      <w:adjustRightInd w:val="0"/>
      <w:ind w:leftChars="200" w:left="480"/>
      <w:jc w:val="both"/>
    </w:pPr>
    <w:rPr>
      <w:rFonts w:eastAsia="MingLiU"/>
      <w:b/>
      <w:snapToGrid w:val="0"/>
      <w:sz w:val="20"/>
    </w:rPr>
  </w:style>
  <w:style w:type="paragraph" w:customStyle="1" w:styleId="bw">
    <w:name w:val="bw"/>
    <w:rsid w:val="0003438D"/>
    <w:pPr>
      <w:numPr>
        <w:numId w:val="17"/>
      </w:numPr>
      <w:tabs>
        <w:tab w:val="left" w:pos="1440"/>
        <w:tab w:val="center" w:pos="4234"/>
        <w:tab w:val="right" w:pos="8453"/>
      </w:tabs>
      <w:snapToGrid w:val="0"/>
      <w:spacing w:before="360" w:after="80" w:line="360" w:lineRule="auto"/>
      <w:jc w:val="both"/>
    </w:pPr>
    <w:rPr>
      <w:sz w:val="28"/>
      <w:lang w:val="en-GB"/>
    </w:rPr>
  </w:style>
  <w:style w:type="paragraph" w:styleId="BalloonText">
    <w:name w:val="Balloon Text"/>
    <w:basedOn w:val="Normal"/>
    <w:link w:val="BalloonTextChar"/>
    <w:semiHidden/>
    <w:unhideWhenUsed/>
    <w:rsid w:val="00DB1ABD"/>
    <w:rPr>
      <w:rFonts w:ascii="Segoe UI" w:hAnsi="Segoe UI" w:cs="Segoe UI"/>
      <w:sz w:val="18"/>
      <w:szCs w:val="18"/>
    </w:rPr>
  </w:style>
  <w:style w:type="character" w:customStyle="1" w:styleId="BalloonTextChar">
    <w:name w:val="Balloon Text Char"/>
    <w:basedOn w:val="DefaultParagraphFont"/>
    <w:link w:val="BalloonText"/>
    <w:semiHidden/>
    <w:rsid w:val="00DB1ABD"/>
    <w:rPr>
      <w:rFonts w:ascii="Segoe UI" w:hAnsi="Segoe UI" w:cs="Segoe UI"/>
      <w:sz w:val="18"/>
      <w:szCs w:val="18"/>
      <w:lang w:val="en-GB"/>
    </w:rPr>
  </w:style>
  <w:style w:type="paragraph" w:styleId="Date">
    <w:name w:val="Date"/>
    <w:basedOn w:val="Normal"/>
    <w:next w:val="Normal"/>
    <w:link w:val="DateChar"/>
    <w:rsid w:val="00913C49"/>
  </w:style>
  <w:style w:type="character" w:customStyle="1" w:styleId="DateChar">
    <w:name w:val="Date Char"/>
    <w:basedOn w:val="DefaultParagraphFont"/>
    <w:link w:val="Date"/>
    <w:rsid w:val="00913C49"/>
    <w:rPr>
      <w:sz w:val="28"/>
      <w:lang w:val="en-GB"/>
    </w:rPr>
  </w:style>
  <w:style w:type="character" w:styleId="Hyperlink">
    <w:name w:val="Hyperlink"/>
    <w:basedOn w:val="DefaultParagraphFont"/>
    <w:uiPriority w:val="99"/>
    <w:semiHidden/>
    <w:unhideWhenUsed/>
    <w:rsid w:val="00AE4A07"/>
    <w:rPr>
      <w:b w:val="0"/>
      <w:bCs w:val="0"/>
      <w:strike w:val="0"/>
      <w:dstrike w:val="0"/>
      <w:color w:val="3290BC"/>
      <w:u w:val="none"/>
      <w:effect w:val="none"/>
    </w:rPr>
  </w:style>
  <w:style w:type="character" w:customStyle="1" w:styleId="case-para-label">
    <w:name w:val="case-para-label"/>
    <w:basedOn w:val="DefaultParagraphFont"/>
    <w:rsid w:val="00AE4A07"/>
  </w:style>
  <w:style w:type="table" w:styleId="TableGrid">
    <w:name w:val="Table Grid"/>
    <w:basedOn w:val="TableNormal"/>
    <w:rsid w:val="00DE2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733998">
      <w:bodyDiv w:val="1"/>
      <w:marLeft w:val="0"/>
      <w:marRight w:val="0"/>
      <w:marTop w:val="0"/>
      <w:marBottom w:val="0"/>
      <w:divBdr>
        <w:top w:val="none" w:sz="0" w:space="0" w:color="auto"/>
        <w:left w:val="none" w:sz="0" w:space="0" w:color="auto"/>
        <w:bottom w:val="none" w:sz="0" w:space="0" w:color="auto"/>
        <w:right w:val="none" w:sz="0" w:space="0" w:color="auto"/>
      </w:divBdr>
      <w:divsChild>
        <w:div w:id="2051950324">
          <w:marLeft w:val="225"/>
          <w:marRight w:val="225"/>
          <w:marTop w:val="150"/>
          <w:marBottom w:val="450"/>
          <w:divBdr>
            <w:top w:val="none" w:sz="0" w:space="0" w:color="auto"/>
            <w:left w:val="none" w:sz="0" w:space="0" w:color="auto"/>
            <w:bottom w:val="none" w:sz="0" w:space="0" w:color="auto"/>
            <w:right w:val="none" w:sz="0" w:space="0" w:color="auto"/>
          </w:divBdr>
          <w:divsChild>
            <w:div w:id="1662080096">
              <w:marLeft w:val="30"/>
              <w:marRight w:val="0"/>
              <w:marTop w:val="0"/>
              <w:marBottom w:val="0"/>
              <w:divBdr>
                <w:top w:val="none" w:sz="0" w:space="0" w:color="auto"/>
                <w:left w:val="single" w:sz="6" w:space="0" w:color="CCCCCC"/>
                <w:bottom w:val="single" w:sz="6" w:space="0" w:color="CCCCCC"/>
                <w:right w:val="single" w:sz="6" w:space="0" w:color="CCCCCC"/>
              </w:divBdr>
              <w:divsChild>
                <w:div w:id="389884920">
                  <w:marLeft w:val="0"/>
                  <w:marRight w:val="0"/>
                  <w:marTop w:val="0"/>
                  <w:marBottom w:val="0"/>
                  <w:divBdr>
                    <w:top w:val="none" w:sz="0" w:space="0" w:color="auto"/>
                    <w:left w:val="none" w:sz="0" w:space="0" w:color="auto"/>
                    <w:bottom w:val="none" w:sz="0" w:space="0" w:color="auto"/>
                    <w:right w:val="none" w:sz="0" w:space="0" w:color="auto"/>
                  </w:divBdr>
                  <w:divsChild>
                    <w:div w:id="143209376">
                      <w:marLeft w:val="0"/>
                      <w:marRight w:val="0"/>
                      <w:marTop w:val="150"/>
                      <w:marBottom w:val="0"/>
                      <w:divBdr>
                        <w:top w:val="none" w:sz="0" w:space="0" w:color="auto"/>
                        <w:left w:val="none" w:sz="0" w:space="0" w:color="auto"/>
                        <w:bottom w:val="none" w:sz="0" w:space="0" w:color="auto"/>
                        <w:right w:val="none" w:sz="0" w:space="0" w:color="auto"/>
                      </w:divBdr>
                      <w:divsChild>
                        <w:div w:id="1702436639">
                          <w:marLeft w:val="0"/>
                          <w:marRight w:val="0"/>
                          <w:marTop w:val="0"/>
                          <w:marBottom w:val="0"/>
                          <w:divBdr>
                            <w:top w:val="none" w:sz="0" w:space="0" w:color="auto"/>
                            <w:left w:val="none" w:sz="0" w:space="0" w:color="auto"/>
                            <w:bottom w:val="none" w:sz="0" w:space="0" w:color="auto"/>
                            <w:right w:val="none" w:sz="0" w:space="0" w:color="auto"/>
                          </w:divBdr>
                          <w:divsChild>
                            <w:div w:id="1618566263">
                              <w:marLeft w:val="0"/>
                              <w:marRight w:val="0"/>
                              <w:marTop w:val="0"/>
                              <w:marBottom w:val="0"/>
                              <w:divBdr>
                                <w:top w:val="single" w:sz="6" w:space="0" w:color="F0F0F0"/>
                                <w:left w:val="single" w:sz="6" w:space="15" w:color="F0F0F0"/>
                                <w:bottom w:val="single" w:sz="6" w:space="15" w:color="F0F0F0"/>
                                <w:right w:val="single" w:sz="6" w:space="15" w:color="F0F0F0"/>
                              </w:divBdr>
                              <w:divsChild>
                                <w:div w:id="78721877">
                                  <w:marLeft w:val="0"/>
                                  <w:marRight w:val="0"/>
                                  <w:marTop w:val="0"/>
                                  <w:marBottom w:val="0"/>
                                  <w:divBdr>
                                    <w:top w:val="none" w:sz="0" w:space="0" w:color="auto"/>
                                    <w:left w:val="none" w:sz="0" w:space="0" w:color="auto"/>
                                    <w:bottom w:val="none" w:sz="0" w:space="0" w:color="auto"/>
                                    <w:right w:val="none" w:sz="0" w:space="0" w:color="auto"/>
                                  </w:divBdr>
                                  <w:divsChild>
                                    <w:div w:id="12806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249732">
      <w:bodyDiv w:val="1"/>
      <w:marLeft w:val="0"/>
      <w:marRight w:val="0"/>
      <w:marTop w:val="0"/>
      <w:marBottom w:val="0"/>
      <w:divBdr>
        <w:top w:val="none" w:sz="0" w:space="0" w:color="auto"/>
        <w:left w:val="none" w:sz="0" w:space="0" w:color="auto"/>
        <w:bottom w:val="none" w:sz="0" w:space="0" w:color="auto"/>
        <w:right w:val="none" w:sz="0" w:space="0" w:color="auto"/>
      </w:divBdr>
    </w:div>
    <w:div w:id="1200314531">
      <w:bodyDiv w:val="1"/>
      <w:marLeft w:val="0"/>
      <w:marRight w:val="0"/>
      <w:marTop w:val="0"/>
      <w:marBottom w:val="0"/>
      <w:divBdr>
        <w:top w:val="none" w:sz="0" w:space="0" w:color="auto"/>
        <w:left w:val="none" w:sz="0" w:space="0" w:color="auto"/>
        <w:bottom w:val="none" w:sz="0" w:space="0" w:color="auto"/>
        <w:right w:val="none" w:sz="0" w:space="0" w:color="auto"/>
      </w:divBdr>
      <w:divsChild>
        <w:div w:id="183240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0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88436">
      <w:bodyDiv w:val="1"/>
      <w:marLeft w:val="0"/>
      <w:marRight w:val="0"/>
      <w:marTop w:val="0"/>
      <w:marBottom w:val="0"/>
      <w:divBdr>
        <w:top w:val="none" w:sz="0" w:space="0" w:color="auto"/>
        <w:left w:val="none" w:sz="0" w:space="0" w:color="auto"/>
        <w:bottom w:val="none" w:sz="0" w:space="0" w:color="auto"/>
        <w:right w:val="none" w:sz="0" w:space="0" w:color="auto"/>
      </w:divBdr>
      <w:divsChild>
        <w:div w:id="2128429754">
          <w:marLeft w:val="225"/>
          <w:marRight w:val="225"/>
          <w:marTop w:val="150"/>
          <w:marBottom w:val="450"/>
          <w:divBdr>
            <w:top w:val="none" w:sz="0" w:space="0" w:color="auto"/>
            <w:left w:val="none" w:sz="0" w:space="0" w:color="auto"/>
            <w:bottom w:val="none" w:sz="0" w:space="0" w:color="auto"/>
            <w:right w:val="none" w:sz="0" w:space="0" w:color="auto"/>
          </w:divBdr>
          <w:divsChild>
            <w:div w:id="1936668983">
              <w:marLeft w:val="30"/>
              <w:marRight w:val="0"/>
              <w:marTop w:val="0"/>
              <w:marBottom w:val="0"/>
              <w:divBdr>
                <w:top w:val="none" w:sz="0" w:space="0" w:color="auto"/>
                <w:left w:val="single" w:sz="6" w:space="0" w:color="CCCCCC"/>
                <w:bottom w:val="single" w:sz="6" w:space="0" w:color="CCCCCC"/>
                <w:right w:val="single" w:sz="6" w:space="0" w:color="CCCCCC"/>
              </w:divBdr>
              <w:divsChild>
                <w:div w:id="130709529">
                  <w:marLeft w:val="0"/>
                  <w:marRight w:val="0"/>
                  <w:marTop w:val="0"/>
                  <w:marBottom w:val="0"/>
                  <w:divBdr>
                    <w:top w:val="none" w:sz="0" w:space="0" w:color="auto"/>
                    <w:left w:val="none" w:sz="0" w:space="0" w:color="auto"/>
                    <w:bottom w:val="none" w:sz="0" w:space="0" w:color="auto"/>
                    <w:right w:val="none" w:sz="0" w:space="0" w:color="auto"/>
                  </w:divBdr>
                  <w:divsChild>
                    <w:div w:id="276526145">
                      <w:marLeft w:val="0"/>
                      <w:marRight w:val="0"/>
                      <w:marTop w:val="150"/>
                      <w:marBottom w:val="0"/>
                      <w:divBdr>
                        <w:top w:val="none" w:sz="0" w:space="0" w:color="auto"/>
                        <w:left w:val="none" w:sz="0" w:space="0" w:color="auto"/>
                        <w:bottom w:val="none" w:sz="0" w:space="0" w:color="auto"/>
                        <w:right w:val="none" w:sz="0" w:space="0" w:color="auto"/>
                      </w:divBdr>
                      <w:divsChild>
                        <w:div w:id="211119162">
                          <w:marLeft w:val="0"/>
                          <w:marRight w:val="0"/>
                          <w:marTop w:val="0"/>
                          <w:marBottom w:val="0"/>
                          <w:divBdr>
                            <w:top w:val="none" w:sz="0" w:space="0" w:color="auto"/>
                            <w:left w:val="none" w:sz="0" w:space="0" w:color="auto"/>
                            <w:bottom w:val="none" w:sz="0" w:space="0" w:color="auto"/>
                            <w:right w:val="none" w:sz="0" w:space="0" w:color="auto"/>
                          </w:divBdr>
                          <w:divsChild>
                            <w:div w:id="1961493524">
                              <w:marLeft w:val="0"/>
                              <w:marRight w:val="0"/>
                              <w:marTop w:val="0"/>
                              <w:marBottom w:val="0"/>
                              <w:divBdr>
                                <w:top w:val="single" w:sz="6" w:space="0" w:color="F0F0F0"/>
                                <w:left w:val="single" w:sz="6" w:space="15" w:color="F0F0F0"/>
                                <w:bottom w:val="single" w:sz="6" w:space="15" w:color="F0F0F0"/>
                                <w:right w:val="single" w:sz="6" w:space="15" w:color="F0F0F0"/>
                              </w:divBdr>
                              <w:divsChild>
                                <w:div w:id="181021308">
                                  <w:marLeft w:val="0"/>
                                  <w:marRight w:val="0"/>
                                  <w:marTop w:val="0"/>
                                  <w:marBottom w:val="0"/>
                                  <w:divBdr>
                                    <w:top w:val="none" w:sz="0" w:space="0" w:color="auto"/>
                                    <w:left w:val="none" w:sz="0" w:space="0" w:color="auto"/>
                                    <w:bottom w:val="none" w:sz="0" w:space="0" w:color="auto"/>
                                    <w:right w:val="none" w:sz="0" w:space="0" w:color="auto"/>
                                  </w:divBdr>
                                  <w:divsChild>
                                    <w:div w:id="10800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7DE84-9052-45B8-9546-D400E710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JUDGE.DOT</Template>
  <TotalTime>1421</TotalTime>
  <Pages>31</Pages>
  <Words>7650</Words>
  <Characters>43610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51158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creator>hc_trans_05</dc:creator>
  <cp:lastModifiedBy>Windows User</cp:lastModifiedBy>
  <cp:revision>232</cp:revision>
  <cp:lastPrinted>2020-11-13T06:54:00Z</cp:lastPrinted>
  <dcterms:created xsi:type="dcterms:W3CDTF">2020-11-02T10:07:00Z</dcterms:created>
  <dcterms:modified xsi:type="dcterms:W3CDTF">2020-11-13T06:54:00Z</dcterms:modified>
</cp:coreProperties>
</file>