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5975" w:rsidRPr="009F12D9" w:rsidRDefault="00815975" w:rsidP="00815975">
      <w:pPr>
        <w:pStyle w:val="normal1"/>
        <w:spacing w:line="240" w:lineRule="auto"/>
        <w:jc w:val="right"/>
        <w:rPr>
          <w:rFonts w:eastAsia="宋体"/>
          <w:b w:val="0"/>
          <w:caps w:val="0"/>
          <w:lang w:val="en-US" w:eastAsia="zh-TW"/>
        </w:rPr>
      </w:pPr>
      <w:bookmarkStart w:id="0" w:name="_GoBack"/>
      <w:bookmarkEnd w:id="0"/>
      <w:r w:rsidRPr="009F12D9">
        <w:rPr>
          <w:rFonts w:eastAsia="宋体"/>
          <w:b w:val="0"/>
          <w:szCs w:val="28"/>
          <w:lang w:eastAsia="zh-TW"/>
        </w:rPr>
        <w:tab/>
      </w:r>
      <w:r w:rsidR="008F64A1" w:rsidRPr="009F12D9">
        <w:rPr>
          <w:rFonts w:eastAsia="宋体"/>
          <w:b w:val="0"/>
          <w:caps w:val="0"/>
          <w:lang w:val="en-US" w:eastAsia="zh-TW"/>
        </w:rPr>
        <w:t>CA</w:t>
      </w:r>
      <w:r w:rsidR="0031044E" w:rsidRPr="009F12D9">
        <w:rPr>
          <w:rFonts w:eastAsia="宋体"/>
          <w:b w:val="0"/>
          <w:caps w:val="0"/>
          <w:lang w:val="en-US" w:eastAsia="zh-TW"/>
        </w:rPr>
        <w:t>AR</w:t>
      </w:r>
      <w:r w:rsidR="008F64A1" w:rsidRPr="009F12D9">
        <w:rPr>
          <w:rFonts w:eastAsia="宋体"/>
          <w:b w:val="0"/>
          <w:caps w:val="0"/>
          <w:lang w:val="en-US" w:eastAsia="zh-TW"/>
        </w:rPr>
        <w:t xml:space="preserve"> </w:t>
      </w:r>
      <w:r w:rsidR="005724B4" w:rsidRPr="009F12D9">
        <w:rPr>
          <w:rFonts w:eastAsia="宋体"/>
          <w:b w:val="0"/>
          <w:caps w:val="0"/>
          <w:lang w:val="en-US" w:eastAsia="zh-TW"/>
        </w:rPr>
        <w:t>4</w:t>
      </w:r>
      <w:r w:rsidR="00742864" w:rsidRPr="009F12D9">
        <w:rPr>
          <w:rFonts w:eastAsia="宋体"/>
          <w:b w:val="0"/>
          <w:caps w:val="0"/>
          <w:lang w:val="en-US" w:eastAsia="zh-TW"/>
        </w:rPr>
        <w:t>/20</w:t>
      </w:r>
      <w:r w:rsidR="0031044E" w:rsidRPr="009F12D9">
        <w:rPr>
          <w:rFonts w:eastAsia="宋体"/>
          <w:b w:val="0"/>
          <w:caps w:val="0"/>
          <w:lang w:val="en-US" w:eastAsia="zh-TW"/>
        </w:rPr>
        <w:t>20</w:t>
      </w:r>
    </w:p>
    <w:p w:rsidR="00815975" w:rsidRPr="009F12D9" w:rsidRDefault="006C5763" w:rsidP="00815975">
      <w:pPr>
        <w:pStyle w:val="normal1"/>
        <w:spacing w:line="240" w:lineRule="auto"/>
        <w:jc w:val="right"/>
        <w:rPr>
          <w:rFonts w:eastAsia="宋体"/>
          <w:b w:val="0"/>
          <w:caps w:val="0"/>
          <w:lang w:val="en-US" w:eastAsia="zh-TW"/>
        </w:rPr>
      </w:pPr>
      <w:r w:rsidRPr="006C5763">
        <w:rPr>
          <w:rFonts w:eastAsia="宋体"/>
          <w:b w:val="0"/>
          <w:caps w:val="0"/>
          <w:lang w:val="en-US" w:eastAsia="zh-TW"/>
        </w:rPr>
        <w:t>[2020] HKCA 990</w:t>
      </w:r>
    </w:p>
    <w:p w:rsidR="00815975" w:rsidRPr="009F12D9" w:rsidRDefault="00815975" w:rsidP="00815975">
      <w:pPr>
        <w:pStyle w:val="normal1"/>
        <w:jc w:val="right"/>
        <w:rPr>
          <w:rFonts w:eastAsia="宋体"/>
          <w:b w:val="0"/>
          <w:caps w:val="0"/>
          <w:lang w:val="en-US" w:eastAsia="zh-TW"/>
        </w:rPr>
      </w:pPr>
    </w:p>
    <w:p w:rsidR="00FB493A" w:rsidRPr="009F12D9" w:rsidRDefault="00ED1EF5" w:rsidP="00A20613">
      <w:pPr>
        <w:pStyle w:val="Draft"/>
        <w:tabs>
          <w:tab w:val="clear" w:pos="1440"/>
          <w:tab w:val="clear" w:pos="9072"/>
        </w:tabs>
        <w:overflowPunct w:val="0"/>
        <w:spacing w:after="20" w:line="240" w:lineRule="auto"/>
        <w:ind w:right="-547"/>
        <w:jc w:val="both"/>
        <w:rPr>
          <w:b/>
          <w:lang w:eastAsia="zh-TW"/>
        </w:rPr>
      </w:pPr>
      <w:r w:rsidRPr="009F12D9">
        <w:rPr>
          <w:b/>
          <w:lang w:eastAsia="zh-TW"/>
        </w:rPr>
        <w:tab/>
      </w:r>
      <w:r w:rsidR="00FB493A" w:rsidRPr="009F12D9">
        <w:rPr>
          <w:b/>
          <w:lang w:eastAsia="zh-TW"/>
        </w:rPr>
        <w:t>香港特別行政區</w:t>
      </w:r>
    </w:p>
    <w:p w:rsidR="00FB493A" w:rsidRPr="009F12D9" w:rsidRDefault="00ED1EF5" w:rsidP="00A20613">
      <w:pPr>
        <w:pStyle w:val="Draft"/>
        <w:tabs>
          <w:tab w:val="clear" w:pos="1440"/>
          <w:tab w:val="clear" w:pos="9072"/>
          <w:tab w:val="right" w:pos="9000"/>
        </w:tabs>
        <w:overflowPunct w:val="0"/>
        <w:spacing w:after="20" w:line="240" w:lineRule="auto"/>
        <w:ind w:right="-547"/>
        <w:jc w:val="both"/>
        <w:rPr>
          <w:b/>
          <w:lang w:eastAsia="zh-TW"/>
        </w:rPr>
      </w:pPr>
      <w:r w:rsidRPr="009F12D9">
        <w:rPr>
          <w:b/>
          <w:lang w:eastAsia="zh-TW"/>
        </w:rPr>
        <w:tab/>
      </w:r>
      <w:r w:rsidR="00FB493A" w:rsidRPr="009F12D9">
        <w:rPr>
          <w:b/>
          <w:lang w:eastAsia="zh-TW"/>
        </w:rPr>
        <w:t>高等法院</w:t>
      </w:r>
      <w:r w:rsidR="00553023" w:rsidRPr="009F12D9">
        <w:rPr>
          <w:b/>
          <w:lang w:eastAsia="zh-TW"/>
        </w:rPr>
        <w:t>上訴</w:t>
      </w:r>
      <w:r w:rsidR="00FB493A" w:rsidRPr="009F12D9">
        <w:rPr>
          <w:b/>
          <w:lang w:eastAsia="zh-TW"/>
        </w:rPr>
        <w:t>法庭</w:t>
      </w:r>
    </w:p>
    <w:p w:rsidR="00ED1EF5" w:rsidRPr="009F12D9" w:rsidRDefault="00ED1EF5" w:rsidP="00A20613">
      <w:pPr>
        <w:tabs>
          <w:tab w:val="clear" w:pos="1440"/>
          <w:tab w:val="right" w:pos="8820"/>
        </w:tabs>
        <w:overflowPunct w:val="0"/>
        <w:spacing w:after="20"/>
        <w:jc w:val="both"/>
        <w:rPr>
          <w:lang w:eastAsia="zh-TW"/>
        </w:rPr>
      </w:pPr>
      <w:r w:rsidRPr="009F12D9">
        <w:rPr>
          <w:lang w:eastAsia="zh-TW"/>
        </w:rPr>
        <w:tab/>
      </w:r>
      <w:r w:rsidR="00553023" w:rsidRPr="009F12D9">
        <w:rPr>
          <w:lang w:eastAsia="zh-TW"/>
        </w:rPr>
        <w:t>刑</w:t>
      </w:r>
      <w:r w:rsidRPr="009F12D9">
        <w:rPr>
          <w:lang w:eastAsia="zh-TW"/>
        </w:rPr>
        <w:t>事司法管轄權</w:t>
      </w:r>
    </w:p>
    <w:p w:rsidR="00553023" w:rsidRPr="009F12D9" w:rsidRDefault="00553023" w:rsidP="00A20613">
      <w:pPr>
        <w:tabs>
          <w:tab w:val="clear" w:pos="1440"/>
          <w:tab w:val="right" w:pos="8820"/>
        </w:tabs>
        <w:overflowPunct w:val="0"/>
        <w:spacing w:after="20"/>
        <w:jc w:val="both"/>
        <w:rPr>
          <w:lang w:eastAsia="zh-TW"/>
        </w:rPr>
      </w:pPr>
      <w:r w:rsidRPr="009F12D9">
        <w:rPr>
          <w:lang w:eastAsia="zh-TW"/>
        </w:rPr>
        <w:tab/>
      </w:r>
      <w:r w:rsidR="0031044E" w:rsidRPr="009F12D9">
        <w:rPr>
          <w:lang w:eastAsia="zh-TW"/>
        </w:rPr>
        <w:t>覆核申請</w:t>
      </w:r>
    </w:p>
    <w:p w:rsidR="00553023" w:rsidRPr="009F12D9" w:rsidRDefault="00553023" w:rsidP="00A20613">
      <w:pPr>
        <w:tabs>
          <w:tab w:val="clear" w:pos="1440"/>
          <w:tab w:val="right" w:pos="8820"/>
        </w:tabs>
        <w:overflowPunct w:val="0"/>
        <w:spacing w:after="20"/>
        <w:jc w:val="both"/>
        <w:rPr>
          <w:lang w:eastAsia="zh-TW"/>
        </w:rPr>
      </w:pPr>
      <w:r w:rsidRPr="009F12D9">
        <w:rPr>
          <w:lang w:eastAsia="zh-TW"/>
        </w:rPr>
        <w:tab/>
      </w:r>
      <w:r w:rsidR="0031044E" w:rsidRPr="009F12D9">
        <w:rPr>
          <w:lang w:eastAsia="zh-TW"/>
        </w:rPr>
        <w:t>覆核申請案件</w:t>
      </w:r>
      <w:r w:rsidRPr="009F12D9">
        <w:rPr>
          <w:lang w:eastAsia="zh-TW"/>
        </w:rPr>
        <w:t>20</w:t>
      </w:r>
      <w:r w:rsidR="0031044E" w:rsidRPr="009F12D9">
        <w:rPr>
          <w:lang w:eastAsia="zh-TW"/>
        </w:rPr>
        <w:t>20</w:t>
      </w:r>
      <w:r w:rsidRPr="009F12D9">
        <w:rPr>
          <w:lang w:eastAsia="zh-TW"/>
        </w:rPr>
        <w:t>年第</w:t>
      </w:r>
      <w:r w:rsidR="005724B4" w:rsidRPr="009F12D9">
        <w:rPr>
          <w:lang w:eastAsia="zh-TW"/>
        </w:rPr>
        <w:t>4</w:t>
      </w:r>
      <w:r w:rsidRPr="009F12D9">
        <w:rPr>
          <w:lang w:eastAsia="zh-TW"/>
        </w:rPr>
        <w:t>號</w:t>
      </w:r>
    </w:p>
    <w:p w:rsidR="00553023" w:rsidRPr="009F12D9" w:rsidRDefault="00553023" w:rsidP="00A20613">
      <w:pPr>
        <w:tabs>
          <w:tab w:val="clear" w:pos="1440"/>
          <w:tab w:val="right" w:pos="8820"/>
        </w:tabs>
        <w:overflowPunct w:val="0"/>
        <w:spacing w:after="20"/>
        <w:jc w:val="both"/>
        <w:rPr>
          <w:lang w:eastAsia="zh-TW"/>
        </w:rPr>
      </w:pPr>
      <w:r w:rsidRPr="009F12D9">
        <w:rPr>
          <w:lang w:eastAsia="zh-TW"/>
        </w:rPr>
        <w:tab/>
        <w:t>(</w:t>
      </w:r>
      <w:r w:rsidR="004454EE" w:rsidRPr="009F12D9">
        <w:rPr>
          <w:lang w:eastAsia="zh-TW"/>
        </w:rPr>
        <w:t>原</w:t>
      </w:r>
      <w:r w:rsidR="005724B4" w:rsidRPr="009F12D9">
        <w:rPr>
          <w:lang w:eastAsia="zh-HK"/>
        </w:rPr>
        <w:t>東區</w:t>
      </w:r>
      <w:r w:rsidR="0031044E" w:rsidRPr="009F12D9">
        <w:rPr>
          <w:lang w:eastAsia="zh-TW"/>
        </w:rPr>
        <w:t>裁判法院刑事</w:t>
      </w:r>
      <w:r w:rsidR="009F6CFC" w:rsidRPr="009F12D9">
        <w:rPr>
          <w:lang w:eastAsia="zh-TW"/>
        </w:rPr>
        <w:t>案件</w:t>
      </w:r>
      <w:r w:rsidR="00FB448F" w:rsidRPr="009F12D9">
        <w:rPr>
          <w:lang w:eastAsia="zh-TW"/>
        </w:rPr>
        <w:fldChar w:fldCharType="begin"/>
      </w:r>
      <w:r w:rsidR="004454EE" w:rsidRPr="009F12D9">
        <w:rPr>
          <w:lang w:eastAsia="zh-TW"/>
        </w:rPr>
        <w:instrText xml:space="preserve">  </w:instrText>
      </w:r>
      <w:r w:rsidR="00FB448F" w:rsidRPr="009F12D9">
        <w:rPr>
          <w:lang w:eastAsia="zh-TW"/>
        </w:rPr>
        <w:fldChar w:fldCharType="end"/>
      </w:r>
      <w:r w:rsidR="004454EE" w:rsidRPr="009F12D9">
        <w:rPr>
          <w:lang w:eastAsia="zh-TW"/>
        </w:rPr>
        <w:t>20</w:t>
      </w:r>
      <w:r w:rsidR="00B01AC6" w:rsidRPr="009F12D9">
        <w:rPr>
          <w:lang w:eastAsia="zh-TW"/>
        </w:rPr>
        <w:t>1</w:t>
      </w:r>
      <w:r w:rsidR="0031044E" w:rsidRPr="009F12D9">
        <w:rPr>
          <w:lang w:eastAsia="zh-TW"/>
        </w:rPr>
        <w:t>9</w:t>
      </w:r>
      <w:r w:rsidR="00FB448F" w:rsidRPr="009F12D9">
        <w:rPr>
          <w:lang w:eastAsia="zh-TW"/>
        </w:rPr>
        <w:fldChar w:fldCharType="begin"/>
      </w:r>
      <w:r w:rsidR="004454EE" w:rsidRPr="009F12D9">
        <w:rPr>
          <w:lang w:eastAsia="zh-TW"/>
        </w:rPr>
        <w:instrText xml:space="preserve">  </w:instrText>
      </w:r>
      <w:r w:rsidR="00FB448F" w:rsidRPr="009F12D9">
        <w:rPr>
          <w:lang w:eastAsia="zh-TW"/>
        </w:rPr>
        <w:fldChar w:fldCharType="end"/>
      </w:r>
      <w:r w:rsidR="00FB448F" w:rsidRPr="009F12D9">
        <w:rPr>
          <w:lang w:eastAsia="zh-TW"/>
        </w:rPr>
        <w:fldChar w:fldCharType="begin"/>
      </w:r>
      <w:r w:rsidR="004454EE" w:rsidRPr="009F12D9">
        <w:rPr>
          <w:lang w:eastAsia="zh-TW"/>
        </w:rPr>
        <w:instrText xml:space="preserve">  </w:instrText>
      </w:r>
      <w:r w:rsidR="00FB448F" w:rsidRPr="009F12D9">
        <w:rPr>
          <w:lang w:eastAsia="zh-TW"/>
        </w:rPr>
        <w:fldChar w:fldCharType="end"/>
      </w:r>
      <w:r w:rsidR="004454EE" w:rsidRPr="009F12D9">
        <w:rPr>
          <w:lang w:eastAsia="zh-TW"/>
        </w:rPr>
        <w:t>年第</w:t>
      </w:r>
      <w:r w:rsidR="005724B4" w:rsidRPr="009F12D9">
        <w:rPr>
          <w:lang w:eastAsia="zh-TW"/>
        </w:rPr>
        <w:t>2461</w:t>
      </w:r>
      <w:r w:rsidR="00B01AC6" w:rsidRPr="009F12D9">
        <w:rPr>
          <w:lang w:eastAsia="zh-HK"/>
        </w:rPr>
        <w:t>號</w:t>
      </w:r>
      <w:r w:rsidRPr="009F12D9">
        <w:rPr>
          <w:lang w:eastAsia="zh-TW"/>
        </w:rPr>
        <w:t>)</w:t>
      </w:r>
    </w:p>
    <w:p w:rsidR="00ED1EF5" w:rsidRPr="009F12D9" w:rsidRDefault="00553023" w:rsidP="005104E1">
      <w:pPr>
        <w:spacing w:before="60" w:after="20" w:line="360" w:lineRule="auto"/>
        <w:jc w:val="both"/>
        <w:rPr>
          <w:lang w:eastAsia="zh-TW"/>
        </w:rPr>
      </w:pPr>
      <w:r w:rsidRPr="009F12D9">
        <w:rPr>
          <w:bCs/>
          <w:spacing w:val="20"/>
          <w:lang w:eastAsia="zh-TW"/>
        </w:rPr>
        <w:tab/>
      </w:r>
      <w:r w:rsidR="00ED1EF5" w:rsidRPr="009F12D9">
        <w:rPr>
          <w:lang w:eastAsia="zh-TW"/>
        </w:rPr>
        <w:tab/>
        <w:t>__________________</w:t>
      </w:r>
    </w:p>
    <w:p w:rsidR="00ED1EF5" w:rsidRPr="009F12D9" w:rsidRDefault="00ED1EF5" w:rsidP="00A20613">
      <w:pPr>
        <w:tabs>
          <w:tab w:val="clear" w:pos="1440"/>
          <w:tab w:val="right" w:pos="8820"/>
        </w:tabs>
        <w:overflowPunct w:val="0"/>
        <w:spacing w:after="20"/>
        <w:rPr>
          <w:lang w:eastAsia="zh-TW"/>
        </w:rPr>
      </w:pPr>
    </w:p>
    <w:p w:rsidR="00900CF8" w:rsidRPr="009F12D9" w:rsidRDefault="0031044E" w:rsidP="00A20613">
      <w:pPr>
        <w:tabs>
          <w:tab w:val="clear" w:pos="1440"/>
          <w:tab w:val="left" w:pos="2970"/>
          <w:tab w:val="right" w:pos="8295"/>
        </w:tabs>
        <w:overflowPunct w:val="0"/>
        <w:adjustRightInd w:val="0"/>
        <w:spacing w:after="20"/>
        <w:ind w:left="1714" w:hanging="1714"/>
        <w:rPr>
          <w:caps/>
          <w:lang w:eastAsia="zh-TW"/>
        </w:rPr>
      </w:pPr>
      <w:r w:rsidRPr="009F12D9">
        <w:rPr>
          <w:lang w:eastAsia="zh-HK"/>
        </w:rPr>
        <w:t>申請人</w:t>
      </w:r>
      <w:r w:rsidR="00FB493A" w:rsidRPr="009F12D9">
        <w:rPr>
          <w:lang w:eastAsia="zh-TW"/>
        </w:rPr>
        <w:tab/>
      </w:r>
      <w:r w:rsidR="00FB493A" w:rsidRPr="009F12D9">
        <w:rPr>
          <w:lang w:eastAsia="zh-TW"/>
        </w:rPr>
        <w:tab/>
      </w:r>
      <w:r w:rsidR="00C36629" w:rsidRPr="009F12D9">
        <w:rPr>
          <w:caps/>
          <w:lang w:eastAsia="zh-TW"/>
        </w:rPr>
        <w:tab/>
      </w:r>
      <w:r w:rsidR="009F6CFC" w:rsidRPr="009F12D9">
        <w:rPr>
          <w:caps/>
          <w:lang w:eastAsia="zh-HK"/>
        </w:rPr>
        <w:t>律政司司長</w:t>
      </w:r>
    </w:p>
    <w:p w:rsidR="00FB493A" w:rsidRPr="009F12D9" w:rsidRDefault="00FB493A" w:rsidP="00A20613">
      <w:pPr>
        <w:pStyle w:val="hspace"/>
        <w:overflowPunct w:val="0"/>
        <w:spacing w:after="20" w:line="240" w:lineRule="auto"/>
        <w:rPr>
          <w:lang w:eastAsia="zh-TW"/>
        </w:rPr>
      </w:pPr>
    </w:p>
    <w:p w:rsidR="00FB493A" w:rsidRPr="009F12D9" w:rsidRDefault="001210E0" w:rsidP="00A20613">
      <w:pPr>
        <w:overflowPunct w:val="0"/>
        <w:spacing w:after="20"/>
        <w:rPr>
          <w:lang w:eastAsia="zh-TW"/>
        </w:rPr>
      </w:pPr>
      <w:r w:rsidRPr="009F12D9">
        <w:rPr>
          <w:lang w:eastAsia="zh-TW"/>
        </w:rPr>
        <w:tab/>
      </w:r>
      <w:r w:rsidRPr="009F12D9">
        <w:rPr>
          <w:lang w:eastAsia="zh-TW"/>
        </w:rPr>
        <w:tab/>
      </w:r>
      <w:r w:rsidR="009F6CFC" w:rsidRPr="009F12D9">
        <w:rPr>
          <w:lang w:eastAsia="zh-HK"/>
        </w:rPr>
        <w:t>訴</w:t>
      </w:r>
    </w:p>
    <w:p w:rsidR="00FB493A" w:rsidRPr="009F12D9" w:rsidRDefault="00FB493A" w:rsidP="00A20613">
      <w:pPr>
        <w:pStyle w:val="hspace"/>
        <w:overflowPunct w:val="0"/>
        <w:spacing w:after="20" w:line="240" w:lineRule="auto"/>
        <w:rPr>
          <w:lang w:eastAsia="zh-TW"/>
        </w:rPr>
      </w:pPr>
    </w:p>
    <w:p w:rsidR="008A1C01" w:rsidRPr="009F12D9" w:rsidRDefault="0031044E" w:rsidP="008A1C01">
      <w:pPr>
        <w:tabs>
          <w:tab w:val="clear" w:pos="1440"/>
        </w:tabs>
        <w:spacing w:before="60" w:after="60"/>
        <w:rPr>
          <w:lang w:eastAsia="zh-TW"/>
        </w:rPr>
      </w:pPr>
      <w:r w:rsidRPr="009F12D9">
        <w:rPr>
          <w:lang w:eastAsia="zh-TW"/>
        </w:rPr>
        <w:t>答辯人</w:t>
      </w:r>
      <w:r w:rsidR="008A1C01" w:rsidRPr="009F12D9">
        <w:rPr>
          <w:lang w:eastAsia="zh-TW"/>
        </w:rPr>
        <w:tab/>
      </w:r>
      <w:r w:rsidR="005724B4" w:rsidRPr="009F12D9">
        <w:rPr>
          <w:caps/>
          <w:lang w:eastAsia="zh-HK"/>
        </w:rPr>
        <w:t>CHUNG Ka ho (</w:t>
      </w:r>
      <w:r w:rsidR="005724B4" w:rsidRPr="009F12D9">
        <w:rPr>
          <w:caps/>
          <w:lang w:eastAsia="zh-HK"/>
        </w:rPr>
        <w:t>鍾嘉豪</w:t>
      </w:r>
      <w:r w:rsidR="005724B4" w:rsidRPr="009F12D9">
        <w:rPr>
          <w:caps/>
          <w:lang w:eastAsia="zh-HK"/>
        </w:rPr>
        <w:t>)</w:t>
      </w:r>
    </w:p>
    <w:p w:rsidR="00ED1EF5" w:rsidRPr="009F12D9" w:rsidRDefault="00ED1EF5" w:rsidP="000B56BD">
      <w:pPr>
        <w:tabs>
          <w:tab w:val="clear" w:pos="1440"/>
          <w:tab w:val="right" w:pos="8820"/>
        </w:tabs>
        <w:overflowPunct w:val="0"/>
        <w:spacing w:before="240" w:after="20"/>
        <w:jc w:val="both"/>
        <w:rPr>
          <w:lang w:eastAsia="zh-TW"/>
        </w:rPr>
      </w:pPr>
      <w:r w:rsidRPr="009F12D9">
        <w:rPr>
          <w:lang w:eastAsia="zh-TW"/>
        </w:rPr>
        <w:tab/>
        <w:t>__________________</w:t>
      </w:r>
    </w:p>
    <w:p w:rsidR="00FB493A" w:rsidRPr="009F12D9" w:rsidRDefault="00FB493A" w:rsidP="00BE027D">
      <w:pPr>
        <w:pStyle w:val="hspace"/>
        <w:overflowPunct w:val="0"/>
        <w:spacing w:after="20" w:line="360" w:lineRule="auto"/>
        <w:rPr>
          <w:lang w:eastAsia="zh-TW"/>
        </w:rPr>
      </w:pPr>
    </w:p>
    <w:p w:rsidR="006920AD" w:rsidRPr="009F12D9" w:rsidRDefault="00081A04" w:rsidP="00D51DFB">
      <w:pPr>
        <w:shd w:val="clear" w:color="auto" w:fill="FFFFFF"/>
        <w:tabs>
          <w:tab w:val="clear" w:pos="1440"/>
          <w:tab w:val="clear" w:pos="4320"/>
          <w:tab w:val="clear" w:pos="9072"/>
        </w:tabs>
        <w:snapToGrid/>
        <w:spacing w:after="40"/>
        <w:ind w:left="1800" w:hanging="1710"/>
        <w:rPr>
          <w:szCs w:val="28"/>
          <w:lang w:eastAsia="zh-TW"/>
        </w:rPr>
      </w:pPr>
      <w:r w:rsidRPr="009F12D9">
        <w:rPr>
          <w:szCs w:val="28"/>
          <w:lang w:eastAsia="zh-TW"/>
        </w:rPr>
        <w:t>主審法官：</w:t>
      </w:r>
      <w:r w:rsidRPr="009F12D9">
        <w:rPr>
          <w:szCs w:val="28"/>
          <w:lang w:eastAsia="zh-TW"/>
        </w:rPr>
        <w:tab/>
      </w:r>
      <w:r w:rsidR="006920AD" w:rsidRPr="009F12D9">
        <w:rPr>
          <w:szCs w:val="28"/>
          <w:lang w:eastAsia="zh-TW"/>
        </w:rPr>
        <w:t>高等法院</w:t>
      </w:r>
      <w:r w:rsidR="0031044E" w:rsidRPr="009F12D9">
        <w:rPr>
          <w:szCs w:val="28"/>
          <w:lang w:eastAsia="zh-HK"/>
        </w:rPr>
        <w:t>首席法官</w:t>
      </w:r>
      <w:r w:rsidR="0031044E" w:rsidRPr="009F12D9">
        <w:rPr>
          <w:szCs w:val="28"/>
          <w:lang w:eastAsia="zh-TW"/>
        </w:rPr>
        <w:t>潘兆初</w:t>
      </w:r>
    </w:p>
    <w:p w:rsidR="00081A04" w:rsidRPr="009F12D9" w:rsidRDefault="006920AD" w:rsidP="006920AD">
      <w:pPr>
        <w:shd w:val="clear" w:color="auto" w:fill="FFFFFF"/>
        <w:tabs>
          <w:tab w:val="clear" w:pos="1440"/>
          <w:tab w:val="clear" w:pos="4320"/>
          <w:tab w:val="clear" w:pos="9072"/>
        </w:tabs>
        <w:snapToGrid/>
        <w:spacing w:after="40"/>
        <w:ind w:left="1800" w:hanging="1710"/>
        <w:rPr>
          <w:szCs w:val="28"/>
          <w:lang w:eastAsia="zh-HK"/>
        </w:rPr>
      </w:pPr>
      <w:r w:rsidRPr="009F12D9">
        <w:rPr>
          <w:szCs w:val="28"/>
          <w:lang w:eastAsia="zh-TW"/>
        </w:rPr>
        <w:tab/>
      </w:r>
      <w:r w:rsidR="00742864" w:rsidRPr="009F12D9">
        <w:rPr>
          <w:szCs w:val="28"/>
          <w:lang w:eastAsia="zh-TW"/>
        </w:rPr>
        <w:t>高等法院</w:t>
      </w:r>
      <w:r w:rsidR="00742864" w:rsidRPr="009F12D9">
        <w:rPr>
          <w:szCs w:val="28"/>
          <w:lang w:eastAsia="zh-HK"/>
        </w:rPr>
        <w:t>上訴法</w:t>
      </w:r>
      <w:r w:rsidR="00742864" w:rsidRPr="009F12D9">
        <w:rPr>
          <w:szCs w:val="28"/>
          <w:lang w:eastAsia="zh-TW"/>
        </w:rPr>
        <w:t>庭法官</w:t>
      </w:r>
      <w:r w:rsidR="00742864" w:rsidRPr="009F12D9">
        <w:rPr>
          <w:szCs w:val="28"/>
          <w:lang w:eastAsia="zh-HK"/>
        </w:rPr>
        <w:t>彭偉昌</w:t>
      </w:r>
    </w:p>
    <w:p w:rsidR="006920AD" w:rsidRPr="009F12D9" w:rsidRDefault="006920AD" w:rsidP="006920AD">
      <w:pPr>
        <w:shd w:val="clear" w:color="auto" w:fill="FFFFFF"/>
        <w:tabs>
          <w:tab w:val="clear" w:pos="1440"/>
          <w:tab w:val="clear" w:pos="4320"/>
          <w:tab w:val="clear" w:pos="9072"/>
        </w:tabs>
        <w:snapToGrid/>
        <w:spacing w:after="40"/>
        <w:ind w:left="1800" w:hanging="1710"/>
        <w:rPr>
          <w:szCs w:val="28"/>
          <w:lang w:eastAsia="zh-HK"/>
        </w:rPr>
      </w:pPr>
      <w:r w:rsidRPr="009F12D9">
        <w:rPr>
          <w:szCs w:val="28"/>
          <w:lang w:eastAsia="zh-HK"/>
        </w:rPr>
        <w:tab/>
      </w:r>
      <w:r w:rsidRPr="009F12D9">
        <w:rPr>
          <w:szCs w:val="28"/>
          <w:lang w:eastAsia="zh-TW"/>
        </w:rPr>
        <w:t>高等法院原</w:t>
      </w:r>
      <w:proofErr w:type="gramStart"/>
      <w:r w:rsidRPr="009F12D9">
        <w:rPr>
          <w:szCs w:val="28"/>
          <w:lang w:eastAsia="zh-TW"/>
        </w:rPr>
        <w:t>訟</w:t>
      </w:r>
      <w:proofErr w:type="gramEnd"/>
      <w:r w:rsidRPr="009F12D9">
        <w:rPr>
          <w:szCs w:val="28"/>
          <w:lang w:eastAsia="zh-TW"/>
        </w:rPr>
        <w:t>法庭法官</w:t>
      </w:r>
      <w:r w:rsidR="005724B4" w:rsidRPr="009F12D9">
        <w:rPr>
          <w:szCs w:val="28"/>
          <w:lang w:eastAsia="zh-HK"/>
        </w:rPr>
        <w:t>潘敏琦</w:t>
      </w:r>
    </w:p>
    <w:p w:rsidR="00081A04" w:rsidRPr="009F12D9" w:rsidRDefault="00081A04" w:rsidP="00D51DFB">
      <w:pPr>
        <w:overflowPunct w:val="0"/>
        <w:spacing w:after="40"/>
        <w:ind w:left="1800" w:hanging="1710"/>
        <w:rPr>
          <w:lang w:eastAsia="zh-TW"/>
        </w:rPr>
      </w:pPr>
      <w:r w:rsidRPr="009F12D9">
        <w:rPr>
          <w:lang w:eastAsia="zh-TW"/>
        </w:rPr>
        <w:t>聆訊日期：</w:t>
      </w:r>
      <w:r w:rsidR="00D51DFB" w:rsidRPr="009F12D9">
        <w:rPr>
          <w:lang w:eastAsia="zh-TW"/>
        </w:rPr>
        <w:tab/>
      </w:r>
      <w:r w:rsidR="00CB20BE" w:rsidRPr="009F12D9">
        <w:rPr>
          <w:lang w:eastAsia="zh-TW"/>
        </w:rPr>
        <w:t>20</w:t>
      </w:r>
      <w:r w:rsidR="00B613C8" w:rsidRPr="009F12D9">
        <w:rPr>
          <w:lang w:eastAsia="zh-TW"/>
        </w:rPr>
        <w:t>20</w:t>
      </w:r>
      <w:r w:rsidR="00CB20BE" w:rsidRPr="009F12D9">
        <w:rPr>
          <w:lang w:eastAsia="zh-TW"/>
        </w:rPr>
        <w:t>年</w:t>
      </w:r>
      <w:r w:rsidR="0031044E" w:rsidRPr="009F12D9">
        <w:rPr>
          <w:lang w:eastAsia="zh-TW"/>
        </w:rPr>
        <w:t>1</w:t>
      </w:r>
      <w:r w:rsidR="005724B4" w:rsidRPr="009F12D9">
        <w:rPr>
          <w:lang w:eastAsia="zh-TW"/>
        </w:rPr>
        <w:t>1</w:t>
      </w:r>
      <w:r w:rsidRPr="009F12D9">
        <w:rPr>
          <w:lang w:eastAsia="zh-TW"/>
        </w:rPr>
        <w:t>月</w:t>
      </w:r>
      <w:r w:rsidR="005724B4" w:rsidRPr="009F12D9">
        <w:rPr>
          <w:lang w:eastAsia="zh-TW"/>
        </w:rPr>
        <w:t>19</w:t>
      </w:r>
      <w:r w:rsidRPr="009F12D9">
        <w:rPr>
          <w:lang w:eastAsia="zh-TW"/>
        </w:rPr>
        <w:t>日</w:t>
      </w:r>
    </w:p>
    <w:p w:rsidR="00081A04" w:rsidRPr="009F12D9" w:rsidRDefault="00081A04" w:rsidP="00D51DFB">
      <w:pPr>
        <w:overflowPunct w:val="0"/>
        <w:spacing w:after="40"/>
        <w:ind w:left="1800" w:hanging="1710"/>
        <w:rPr>
          <w:lang w:eastAsia="zh-TW"/>
        </w:rPr>
      </w:pPr>
      <w:r w:rsidRPr="009F12D9">
        <w:rPr>
          <w:lang w:eastAsia="zh-TW"/>
        </w:rPr>
        <w:t>判案日期：</w:t>
      </w:r>
      <w:r w:rsidRPr="009F12D9">
        <w:rPr>
          <w:lang w:eastAsia="zh-TW"/>
        </w:rPr>
        <w:tab/>
        <w:t>20</w:t>
      </w:r>
      <w:r w:rsidR="00B613C8" w:rsidRPr="009F12D9">
        <w:rPr>
          <w:lang w:eastAsia="zh-TW"/>
        </w:rPr>
        <w:t>20</w:t>
      </w:r>
      <w:r w:rsidRPr="009F12D9">
        <w:rPr>
          <w:lang w:eastAsia="zh-TW"/>
        </w:rPr>
        <w:t>年</w:t>
      </w:r>
      <w:r w:rsidR="0031044E" w:rsidRPr="009F12D9">
        <w:rPr>
          <w:lang w:eastAsia="zh-TW"/>
        </w:rPr>
        <w:t>1</w:t>
      </w:r>
      <w:r w:rsidR="00BA6071" w:rsidRPr="009F12D9">
        <w:rPr>
          <w:lang w:eastAsia="zh-TW"/>
        </w:rPr>
        <w:t>1</w:t>
      </w:r>
      <w:r w:rsidRPr="009F12D9">
        <w:rPr>
          <w:lang w:eastAsia="zh-TW"/>
        </w:rPr>
        <w:t>月</w:t>
      </w:r>
      <w:r w:rsidR="006D4262" w:rsidRPr="009F12D9">
        <w:rPr>
          <w:lang w:eastAsia="zh-TW"/>
        </w:rPr>
        <w:t>19</w:t>
      </w:r>
      <w:r w:rsidRPr="009F12D9">
        <w:rPr>
          <w:lang w:eastAsia="zh-TW"/>
        </w:rPr>
        <w:t>日</w:t>
      </w:r>
    </w:p>
    <w:p w:rsidR="00D51DFB" w:rsidRPr="009F12D9" w:rsidRDefault="001E1F5E" w:rsidP="00D51DFB">
      <w:pPr>
        <w:overflowPunct w:val="0"/>
        <w:spacing w:after="40"/>
        <w:ind w:left="1800" w:hanging="1710"/>
        <w:rPr>
          <w:lang w:eastAsia="zh-TW"/>
        </w:rPr>
      </w:pPr>
      <w:r w:rsidRPr="009F12D9">
        <w:rPr>
          <w:lang w:eastAsia="zh-TW"/>
        </w:rPr>
        <w:t>判案</w:t>
      </w:r>
      <w:r w:rsidR="006D4262" w:rsidRPr="009F12D9">
        <w:rPr>
          <w:lang w:eastAsia="zh-HK"/>
        </w:rPr>
        <w:t>理由</w:t>
      </w:r>
      <w:r w:rsidRPr="009F12D9">
        <w:rPr>
          <w:lang w:eastAsia="zh-TW"/>
        </w:rPr>
        <w:t>書日期</w:t>
      </w:r>
      <w:r w:rsidR="00D51DFB" w:rsidRPr="009F12D9">
        <w:rPr>
          <w:lang w:eastAsia="zh-TW"/>
        </w:rPr>
        <w:t>：</w:t>
      </w:r>
      <w:r w:rsidR="00D51DFB" w:rsidRPr="00FA70A6">
        <w:rPr>
          <w:lang w:eastAsia="zh-TW"/>
        </w:rPr>
        <w:t>20</w:t>
      </w:r>
      <w:r w:rsidR="00B613C8" w:rsidRPr="00FA70A6">
        <w:rPr>
          <w:lang w:eastAsia="zh-TW"/>
        </w:rPr>
        <w:t>20</w:t>
      </w:r>
      <w:r w:rsidR="00D51DFB" w:rsidRPr="00FA70A6">
        <w:rPr>
          <w:lang w:eastAsia="zh-TW"/>
        </w:rPr>
        <w:t>年</w:t>
      </w:r>
      <w:r w:rsidR="002F7AE4" w:rsidRPr="00FA70A6">
        <w:rPr>
          <w:lang w:eastAsia="zh-TW"/>
        </w:rPr>
        <w:t>12</w:t>
      </w:r>
      <w:r w:rsidR="009D5D35" w:rsidRPr="00FA70A6">
        <w:rPr>
          <w:lang w:eastAsia="zh-HK"/>
        </w:rPr>
        <w:t>月</w:t>
      </w:r>
      <w:r w:rsidR="00FA70A6" w:rsidRPr="00FA70A6">
        <w:rPr>
          <w:rFonts w:eastAsiaTheme="minorEastAsia"/>
          <w:lang w:eastAsia="zh-TW"/>
        </w:rPr>
        <w:t>3</w:t>
      </w:r>
      <w:r w:rsidR="00D51DFB" w:rsidRPr="00FA70A6">
        <w:rPr>
          <w:lang w:eastAsia="zh-TW"/>
        </w:rPr>
        <w:t>日</w:t>
      </w:r>
    </w:p>
    <w:p w:rsidR="00A20613" w:rsidRPr="009F12D9" w:rsidRDefault="00A20613" w:rsidP="00BE027D">
      <w:pPr>
        <w:pStyle w:val="Final"/>
        <w:overflowPunct w:val="0"/>
        <w:spacing w:after="0"/>
        <w:rPr>
          <w:lang w:eastAsia="zh-TW"/>
        </w:rPr>
      </w:pPr>
    </w:p>
    <w:p w:rsidR="001F1B75" w:rsidRPr="009F12D9" w:rsidRDefault="00045BCF" w:rsidP="00A20613">
      <w:pPr>
        <w:pStyle w:val="Final"/>
        <w:overflowPunct w:val="0"/>
        <w:spacing w:after="0" w:line="240" w:lineRule="auto"/>
        <w:jc w:val="center"/>
        <w:rPr>
          <w:b/>
          <w:spacing w:val="30"/>
          <w:u w:val="single"/>
          <w:lang w:eastAsia="zh-TW"/>
        </w:rPr>
      </w:pPr>
      <w:r w:rsidRPr="009F12D9">
        <w:rPr>
          <w:b/>
          <w:spacing w:val="30"/>
          <w:u w:val="single"/>
          <w:lang w:eastAsia="zh-TW"/>
        </w:rPr>
        <w:t>判案</w:t>
      </w:r>
      <w:r w:rsidR="006D4262" w:rsidRPr="009F12D9">
        <w:rPr>
          <w:b/>
          <w:spacing w:val="30"/>
          <w:u w:val="single"/>
          <w:lang w:eastAsia="zh-TW"/>
        </w:rPr>
        <w:t>理由</w:t>
      </w:r>
      <w:r w:rsidRPr="009F12D9">
        <w:rPr>
          <w:b/>
          <w:u w:val="single"/>
          <w:lang w:eastAsia="zh-TW"/>
        </w:rPr>
        <w:t>書</w:t>
      </w:r>
    </w:p>
    <w:p w:rsidR="009206C3" w:rsidRPr="009F12D9" w:rsidRDefault="009206C3" w:rsidP="00BE027D">
      <w:pPr>
        <w:pStyle w:val="Final"/>
        <w:overflowPunct w:val="0"/>
        <w:spacing w:after="0"/>
        <w:rPr>
          <w:b/>
          <w:u w:val="single"/>
          <w:lang w:eastAsia="zh-TW"/>
        </w:rPr>
      </w:pPr>
    </w:p>
    <w:p w:rsidR="009B04F9" w:rsidRPr="009F12D9" w:rsidRDefault="009206C3" w:rsidP="00081A04">
      <w:pPr>
        <w:pStyle w:val="Final"/>
        <w:spacing w:after="480" w:line="240" w:lineRule="auto"/>
        <w:rPr>
          <w:lang w:eastAsia="zh-TW"/>
        </w:rPr>
      </w:pPr>
      <w:r w:rsidRPr="009F12D9">
        <w:rPr>
          <w:lang w:eastAsia="zh-TW"/>
        </w:rPr>
        <w:t>上訴</w:t>
      </w:r>
      <w:r w:rsidR="009B04F9" w:rsidRPr="009F12D9">
        <w:rPr>
          <w:lang w:eastAsia="zh-TW"/>
        </w:rPr>
        <w:t>法庭法官</w:t>
      </w:r>
      <w:r w:rsidR="00197D56" w:rsidRPr="009F12D9">
        <w:rPr>
          <w:lang w:eastAsia="zh-TW"/>
        </w:rPr>
        <w:t>彭偉昌</w:t>
      </w:r>
      <w:r w:rsidR="009B04F9" w:rsidRPr="009F12D9">
        <w:rPr>
          <w:lang w:eastAsia="zh-TW"/>
        </w:rPr>
        <w:t>頒發</w:t>
      </w:r>
      <w:r w:rsidR="00081A04" w:rsidRPr="009F12D9">
        <w:rPr>
          <w:szCs w:val="28"/>
          <w:lang w:eastAsia="zh-TW"/>
        </w:rPr>
        <w:t>上訴</w:t>
      </w:r>
      <w:r w:rsidR="007E04D8" w:rsidRPr="009F12D9">
        <w:rPr>
          <w:szCs w:val="28"/>
          <w:lang w:eastAsia="zh-TW"/>
        </w:rPr>
        <w:t>法</w:t>
      </w:r>
      <w:r w:rsidR="00081A04" w:rsidRPr="009F12D9">
        <w:rPr>
          <w:szCs w:val="28"/>
          <w:lang w:eastAsia="zh-TW"/>
        </w:rPr>
        <w:t>庭判案</w:t>
      </w:r>
      <w:r w:rsidR="00517C7A" w:rsidRPr="00517C7A">
        <w:rPr>
          <w:rFonts w:ascii="宋体" w:hAnsi="宋体" w:hint="eastAsia"/>
          <w:szCs w:val="28"/>
          <w:lang w:eastAsia="zh-HK"/>
        </w:rPr>
        <w:t>理由</w:t>
      </w:r>
      <w:r w:rsidR="009B04F9" w:rsidRPr="00517C7A">
        <w:rPr>
          <w:rFonts w:ascii="宋体" w:hAnsi="宋体"/>
          <w:lang w:eastAsia="zh-TW"/>
        </w:rPr>
        <w:t>書</w:t>
      </w:r>
      <w:r w:rsidR="009B04F9" w:rsidRPr="009F12D9">
        <w:rPr>
          <w:lang w:eastAsia="zh-TW"/>
        </w:rPr>
        <w:t>：</w:t>
      </w:r>
    </w:p>
    <w:p w:rsidR="009F6CFC" w:rsidRPr="009F12D9" w:rsidRDefault="00BA6071" w:rsidP="00BA6071">
      <w:pPr>
        <w:pStyle w:val="Final"/>
        <w:keepNext/>
        <w:tabs>
          <w:tab w:val="clear" w:pos="1440"/>
          <w:tab w:val="clear" w:pos="4320"/>
          <w:tab w:val="clear" w:pos="9072"/>
          <w:tab w:val="left" w:pos="720"/>
          <w:tab w:val="center" w:pos="4234"/>
          <w:tab w:val="right" w:pos="8453"/>
        </w:tabs>
        <w:spacing w:after="360"/>
        <w:rPr>
          <w:i/>
          <w:szCs w:val="28"/>
          <w:lang w:eastAsia="zh-TW"/>
        </w:rPr>
      </w:pPr>
      <w:r w:rsidRPr="009F12D9">
        <w:rPr>
          <w:i/>
        </w:rPr>
        <w:t>A.</w:t>
      </w:r>
      <w:r w:rsidRPr="009F12D9">
        <w:rPr>
          <w:i/>
        </w:rPr>
        <w:tab/>
      </w:r>
      <w:r w:rsidRPr="009F12D9">
        <w:rPr>
          <w:i/>
          <w:lang w:eastAsia="zh-TW"/>
        </w:rPr>
        <w:t>引言</w:t>
      </w:r>
    </w:p>
    <w:p w:rsidR="009F6CFC" w:rsidRPr="009F12D9" w:rsidRDefault="005724B4" w:rsidP="00CD6A9E">
      <w:pPr>
        <w:pStyle w:val="ar-heading1"/>
        <w:keepNext w:val="0"/>
        <w:widowControl w:val="0"/>
        <w:numPr>
          <w:ilvl w:val="0"/>
          <w:numId w:val="5"/>
        </w:numPr>
        <w:spacing w:before="0" w:after="520"/>
        <w:ind w:firstLine="0"/>
        <w:jc w:val="both"/>
        <w:rPr>
          <w:rFonts w:ascii="Times New Roman" w:hAnsi="Times New Roman"/>
          <w:i w:val="0"/>
          <w:szCs w:val="28"/>
          <w:lang w:eastAsia="zh-TW"/>
        </w:rPr>
      </w:pPr>
      <w:r w:rsidRPr="009F12D9">
        <w:rPr>
          <w:rFonts w:ascii="Times New Roman" w:hAnsi="Times New Roman"/>
          <w:i w:val="0"/>
          <w:lang w:eastAsia="zh-TW"/>
        </w:rPr>
        <w:t>2020</w:t>
      </w:r>
      <w:r w:rsidRPr="009F12D9">
        <w:rPr>
          <w:rFonts w:ascii="Times New Roman" w:hAnsi="Times New Roman"/>
          <w:i w:val="0"/>
          <w:lang w:eastAsia="zh-TW"/>
        </w:rPr>
        <w:t>年</w:t>
      </w:r>
      <w:r w:rsidRPr="009F12D9">
        <w:rPr>
          <w:rFonts w:ascii="Times New Roman" w:hAnsi="Times New Roman"/>
          <w:i w:val="0"/>
          <w:lang w:eastAsia="zh-TW"/>
        </w:rPr>
        <w:t>6</w:t>
      </w:r>
      <w:r w:rsidRPr="009F12D9">
        <w:rPr>
          <w:rFonts w:ascii="Times New Roman" w:hAnsi="Times New Roman"/>
          <w:i w:val="0"/>
          <w:lang w:eastAsia="zh-TW"/>
        </w:rPr>
        <w:t>月</w:t>
      </w:r>
      <w:r w:rsidRPr="009F12D9">
        <w:rPr>
          <w:rFonts w:ascii="Times New Roman" w:hAnsi="Times New Roman"/>
          <w:i w:val="0"/>
          <w:lang w:eastAsia="zh-TW"/>
        </w:rPr>
        <w:t>4</w:t>
      </w:r>
      <w:r w:rsidRPr="009F12D9">
        <w:rPr>
          <w:rFonts w:ascii="Times New Roman" w:hAnsi="Times New Roman"/>
          <w:i w:val="0"/>
          <w:lang w:eastAsia="zh-TW"/>
        </w:rPr>
        <w:t>日，答辯人在認罪後被裁定一項</w:t>
      </w:r>
      <w:r w:rsidRPr="009F12D9">
        <w:rPr>
          <w:rFonts w:ascii="Times New Roman" w:hAnsi="Times New Roman"/>
          <w:i w:val="0"/>
          <w:lang w:eastAsia="zh-TW"/>
        </w:rPr>
        <w:t>‘</w:t>
      </w:r>
      <w:r w:rsidRPr="009F12D9">
        <w:rPr>
          <w:rFonts w:ascii="Times New Roman" w:hAnsi="Times New Roman"/>
          <w:i w:val="0"/>
          <w:lang w:eastAsia="zh-TW"/>
        </w:rPr>
        <w:t>參</w:t>
      </w:r>
      <w:r w:rsidRPr="009F12D9">
        <w:rPr>
          <w:rFonts w:ascii="Times New Roman" w:hAnsi="Times New Roman"/>
          <w:i w:val="0"/>
          <w:lang w:eastAsia="zh-HK"/>
        </w:rPr>
        <w:t>與非法</w:t>
      </w:r>
      <w:r w:rsidRPr="009F12D9">
        <w:rPr>
          <w:rFonts w:ascii="Times New Roman" w:hAnsi="Times New Roman"/>
          <w:i w:val="0"/>
          <w:lang w:eastAsia="zh-HK"/>
        </w:rPr>
        <w:lastRenderedPageBreak/>
        <w:t>集結</w:t>
      </w:r>
      <w:r w:rsidRPr="009F12D9">
        <w:rPr>
          <w:rFonts w:ascii="Times New Roman" w:hAnsi="Times New Roman"/>
          <w:i w:val="0"/>
          <w:lang w:eastAsia="zh-TW"/>
        </w:rPr>
        <w:t>’</w:t>
      </w:r>
      <w:r w:rsidRPr="009F12D9">
        <w:rPr>
          <w:rFonts w:ascii="Times New Roman" w:hAnsi="Times New Roman"/>
          <w:i w:val="0"/>
          <w:lang w:eastAsia="zh-TW"/>
        </w:rPr>
        <w:t>罪成立</w:t>
      </w:r>
      <w:r w:rsidRPr="009F12D9">
        <w:rPr>
          <w:rStyle w:val="FootnoteReference"/>
          <w:i w:val="0"/>
        </w:rPr>
        <w:footnoteReference w:id="1"/>
      </w:r>
      <w:r w:rsidRPr="009F12D9">
        <w:rPr>
          <w:rFonts w:ascii="Times New Roman" w:hAnsi="Times New Roman"/>
          <w:i w:val="0"/>
          <w:lang w:eastAsia="zh-TW"/>
        </w:rPr>
        <w:t>，獲控方撤回控罪書中的另一</w:t>
      </w:r>
      <w:r w:rsidRPr="009F12D9">
        <w:rPr>
          <w:rFonts w:ascii="Times New Roman" w:hAnsi="Times New Roman"/>
          <w:i w:val="0"/>
          <w:lang w:eastAsia="zh-HK"/>
        </w:rPr>
        <w:t>控</w:t>
      </w:r>
      <w:r w:rsidRPr="009F12D9">
        <w:rPr>
          <w:rFonts w:ascii="Times New Roman" w:hAnsi="Times New Roman"/>
          <w:i w:val="0"/>
          <w:lang w:eastAsia="zh-TW"/>
        </w:rPr>
        <w:t>罪</w:t>
      </w:r>
      <w:r w:rsidRPr="009F12D9">
        <w:rPr>
          <w:rFonts w:ascii="Times New Roman" w:hAnsi="Times New Roman"/>
          <w:i w:val="0"/>
          <w:lang w:eastAsia="zh-TW"/>
        </w:rPr>
        <w:t>‘</w:t>
      </w:r>
      <w:r w:rsidRPr="009F12D9">
        <w:rPr>
          <w:rFonts w:ascii="Times New Roman" w:hAnsi="Times New Roman"/>
          <w:i w:val="0"/>
          <w:lang w:eastAsia="zh-HK"/>
        </w:rPr>
        <w:t>管有攻</w:t>
      </w:r>
      <w:r w:rsidRPr="009F12D9">
        <w:rPr>
          <w:rFonts w:ascii="Times New Roman" w:hAnsi="Times New Roman"/>
          <w:i w:val="0"/>
          <w:lang w:eastAsia="zh-TW"/>
        </w:rPr>
        <w:t>擊</w:t>
      </w:r>
      <w:r w:rsidRPr="009F12D9">
        <w:rPr>
          <w:rFonts w:ascii="Times New Roman" w:hAnsi="Times New Roman"/>
          <w:i w:val="0"/>
          <w:lang w:eastAsia="zh-HK"/>
        </w:rPr>
        <w:t>性</w:t>
      </w:r>
      <w:r w:rsidRPr="009F12D9">
        <w:rPr>
          <w:rFonts w:ascii="Times New Roman" w:hAnsi="Times New Roman"/>
          <w:i w:val="0"/>
          <w:lang w:eastAsia="zh-TW"/>
        </w:rPr>
        <w:t>武</w:t>
      </w:r>
      <w:r w:rsidRPr="009F12D9">
        <w:rPr>
          <w:rFonts w:ascii="Times New Roman" w:hAnsi="Times New Roman"/>
          <w:i w:val="0"/>
          <w:lang w:eastAsia="zh-HK"/>
        </w:rPr>
        <w:t>器</w:t>
      </w:r>
      <w:r w:rsidRPr="009F12D9">
        <w:rPr>
          <w:rFonts w:ascii="Times New Roman" w:hAnsi="Times New Roman"/>
          <w:i w:val="0"/>
          <w:lang w:eastAsia="zh-TW"/>
        </w:rPr>
        <w:t>’</w:t>
      </w:r>
      <w:r w:rsidRPr="009F12D9">
        <w:rPr>
          <w:rStyle w:val="FootnoteReference"/>
          <w:i w:val="0"/>
        </w:rPr>
        <w:footnoteReference w:id="2"/>
      </w:r>
      <w:r w:rsidRPr="009F12D9">
        <w:rPr>
          <w:rFonts w:ascii="Times New Roman" w:hAnsi="Times New Roman"/>
          <w:i w:val="0"/>
          <w:lang w:eastAsia="zh-TW"/>
        </w:rPr>
        <w:t>。同日，原審裁判官（</w:t>
      </w:r>
      <w:r w:rsidRPr="009F12D9">
        <w:rPr>
          <w:rFonts w:ascii="Times New Roman" w:hAnsi="Times New Roman"/>
          <w:i w:val="0"/>
          <w:lang w:eastAsia="zh-HK"/>
        </w:rPr>
        <w:t>何俊堯</w:t>
      </w:r>
      <w:r w:rsidRPr="009F12D9">
        <w:rPr>
          <w:rFonts w:ascii="Times New Roman" w:hAnsi="Times New Roman"/>
          <w:i w:val="0"/>
          <w:lang w:eastAsia="zh-TW"/>
        </w:rPr>
        <w:t>裁判官）在聽畢</w:t>
      </w:r>
      <w:r w:rsidRPr="009F12D9">
        <w:rPr>
          <w:rFonts w:ascii="Times New Roman" w:hAnsi="Times New Roman"/>
          <w:i w:val="0"/>
          <w:lang w:eastAsia="zh-HK"/>
        </w:rPr>
        <w:t>辯方</w:t>
      </w:r>
      <w:r w:rsidRPr="009F12D9">
        <w:rPr>
          <w:rFonts w:ascii="Times New Roman" w:hAnsi="Times New Roman"/>
          <w:i w:val="0"/>
          <w:lang w:eastAsia="zh-TW"/>
        </w:rPr>
        <w:t>的求</w:t>
      </w:r>
      <w:r w:rsidRPr="009F12D9">
        <w:rPr>
          <w:rFonts w:ascii="Times New Roman" w:hAnsi="Times New Roman"/>
          <w:i w:val="0"/>
          <w:lang w:eastAsia="zh-HK"/>
        </w:rPr>
        <w:t>情後下</w:t>
      </w:r>
      <w:r w:rsidRPr="009F12D9">
        <w:rPr>
          <w:rFonts w:ascii="Times New Roman" w:hAnsi="Times New Roman"/>
          <w:i w:val="0"/>
          <w:lang w:eastAsia="zh-TW"/>
        </w:rPr>
        <w:t>令</w:t>
      </w:r>
      <w:r w:rsidRPr="009F12D9">
        <w:rPr>
          <w:rFonts w:ascii="Times New Roman" w:hAnsi="Times New Roman"/>
          <w:i w:val="0"/>
          <w:lang w:eastAsia="zh-HK"/>
        </w:rPr>
        <w:t>索</w:t>
      </w:r>
      <w:r w:rsidRPr="009F12D9">
        <w:rPr>
          <w:rFonts w:ascii="Times New Roman" w:hAnsi="Times New Roman"/>
          <w:i w:val="0"/>
          <w:lang w:eastAsia="zh-TW"/>
        </w:rPr>
        <w:t>取答辯人的</w:t>
      </w:r>
      <w:r w:rsidRPr="009F12D9">
        <w:rPr>
          <w:rFonts w:ascii="Times New Roman" w:hAnsi="Times New Roman"/>
          <w:i w:val="0"/>
          <w:lang w:eastAsia="zh-HK"/>
        </w:rPr>
        <w:t>社</w:t>
      </w:r>
      <w:r w:rsidRPr="009F12D9">
        <w:rPr>
          <w:rFonts w:ascii="Times New Roman" w:hAnsi="Times New Roman"/>
          <w:i w:val="0"/>
          <w:lang w:eastAsia="zh-TW"/>
        </w:rPr>
        <w:t>會</w:t>
      </w:r>
      <w:r w:rsidRPr="009F12D9">
        <w:rPr>
          <w:rFonts w:ascii="Times New Roman" w:hAnsi="Times New Roman"/>
          <w:i w:val="0"/>
          <w:lang w:eastAsia="zh-HK"/>
        </w:rPr>
        <w:t>服</w:t>
      </w:r>
      <w:r w:rsidRPr="009F12D9">
        <w:rPr>
          <w:rFonts w:ascii="Times New Roman" w:hAnsi="Times New Roman"/>
          <w:i w:val="0"/>
          <w:lang w:eastAsia="zh-TW"/>
        </w:rPr>
        <w:t>務</w:t>
      </w:r>
      <w:r w:rsidRPr="009F12D9">
        <w:rPr>
          <w:rFonts w:ascii="Times New Roman" w:hAnsi="Times New Roman"/>
          <w:i w:val="0"/>
          <w:lang w:eastAsia="zh-HK"/>
        </w:rPr>
        <w:t>令報</w:t>
      </w:r>
      <w:r w:rsidRPr="009F12D9">
        <w:rPr>
          <w:rFonts w:ascii="Times New Roman" w:hAnsi="Times New Roman"/>
          <w:i w:val="0"/>
          <w:lang w:eastAsia="zh-TW"/>
        </w:rPr>
        <w:t>告。</w:t>
      </w:r>
      <w:r w:rsidRPr="009F12D9">
        <w:rPr>
          <w:rFonts w:ascii="Times New Roman" w:hAnsi="Times New Roman"/>
          <w:i w:val="0"/>
          <w:lang w:eastAsia="zh-TW"/>
        </w:rPr>
        <w:t>2020</w:t>
      </w:r>
      <w:r w:rsidRPr="009F12D9">
        <w:rPr>
          <w:rFonts w:ascii="Times New Roman" w:hAnsi="Times New Roman"/>
          <w:i w:val="0"/>
          <w:lang w:eastAsia="zh-TW"/>
        </w:rPr>
        <w:t>年</w:t>
      </w:r>
      <w:r w:rsidRPr="009F12D9">
        <w:rPr>
          <w:rFonts w:ascii="Times New Roman" w:hAnsi="Times New Roman"/>
          <w:i w:val="0"/>
          <w:lang w:eastAsia="zh-TW"/>
        </w:rPr>
        <w:t>6</w:t>
      </w:r>
      <w:r w:rsidRPr="009F12D9">
        <w:rPr>
          <w:rFonts w:ascii="Times New Roman" w:hAnsi="Times New Roman"/>
          <w:i w:val="0"/>
          <w:lang w:eastAsia="zh-TW"/>
        </w:rPr>
        <w:t>月</w:t>
      </w:r>
      <w:r w:rsidRPr="009F12D9">
        <w:rPr>
          <w:rFonts w:ascii="Times New Roman" w:hAnsi="Times New Roman"/>
          <w:i w:val="0"/>
          <w:lang w:eastAsia="zh-TW"/>
        </w:rPr>
        <w:t>18</w:t>
      </w:r>
      <w:r w:rsidRPr="009F12D9">
        <w:rPr>
          <w:rFonts w:ascii="Times New Roman" w:hAnsi="Times New Roman"/>
          <w:i w:val="0"/>
          <w:lang w:eastAsia="zh-TW"/>
        </w:rPr>
        <w:t>日，原審裁判官接納報告中的建議</w:t>
      </w:r>
      <w:r w:rsidRPr="009F12D9">
        <w:rPr>
          <w:rStyle w:val="FootnoteReference"/>
          <w:i w:val="0"/>
        </w:rPr>
        <w:footnoteReference w:id="3"/>
      </w:r>
      <w:r w:rsidRPr="009F12D9">
        <w:rPr>
          <w:rFonts w:ascii="Times New Roman" w:hAnsi="Times New Roman"/>
          <w:i w:val="0"/>
          <w:lang w:eastAsia="zh-TW"/>
        </w:rPr>
        <w:t>，判處答辯人</w:t>
      </w:r>
      <w:r w:rsidRPr="009F12D9">
        <w:rPr>
          <w:rFonts w:ascii="Times New Roman" w:hAnsi="Times New Roman"/>
          <w:i w:val="0"/>
          <w:lang w:eastAsia="zh-HK"/>
        </w:rPr>
        <w:t>社</w:t>
      </w:r>
      <w:r w:rsidRPr="009F12D9">
        <w:rPr>
          <w:rFonts w:ascii="Times New Roman" w:hAnsi="Times New Roman"/>
          <w:i w:val="0"/>
          <w:lang w:eastAsia="zh-TW"/>
        </w:rPr>
        <w:t>會</w:t>
      </w:r>
      <w:r w:rsidRPr="009F12D9">
        <w:rPr>
          <w:rFonts w:ascii="Times New Roman" w:hAnsi="Times New Roman"/>
          <w:i w:val="0"/>
          <w:lang w:eastAsia="zh-HK"/>
        </w:rPr>
        <w:t>服</w:t>
      </w:r>
      <w:r w:rsidRPr="009F12D9">
        <w:rPr>
          <w:rFonts w:ascii="Times New Roman" w:hAnsi="Times New Roman"/>
          <w:i w:val="0"/>
          <w:lang w:eastAsia="zh-TW"/>
        </w:rPr>
        <w:t>務</w:t>
      </w:r>
      <w:r w:rsidRPr="009F12D9">
        <w:rPr>
          <w:rFonts w:ascii="Times New Roman" w:hAnsi="Times New Roman"/>
          <w:i w:val="0"/>
          <w:lang w:eastAsia="zh-TW"/>
        </w:rPr>
        <w:t>120</w:t>
      </w:r>
      <w:r w:rsidRPr="009F12D9">
        <w:rPr>
          <w:rFonts w:ascii="Times New Roman" w:hAnsi="Times New Roman"/>
          <w:i w:val="0"/>
          <w:lang w:eastAsia="zh-TW"/>
        </w:rPr>
        <w:t>小時</w:t>
      </w:r>
      <w:r w:rsidR="009F6CFC" w:rsidRPr="009F12D9">
        <w:rPr>
          <w:rFonts w:ascii="Times New Roman" w:hAnsi="Times New Roman"/>
          <w:i w:val="0"/>
          <w:szCs w:val="28"/>
          <w:lang w:eastAsia="zh-TW"/>
        </w:rPr>
        <w:t>。</w:t>
      </w:r>
    </w:p>
    <w:p w:rsidR="009F6CFC" w:rsidRPr="009F12D9" w:rsidRDefault="005724B4" w:rsidP="009F6CFC">
      <w:pPr>
        <w:pStyle w:val="ar-heading1"/>
        <w:keepNext w:val="0"/>
        <w:numPr>
          <w:ilvl w:val="0"/>
          <w:numId w:val="5"/>
        </w:numPr>
        <w:spacing w:before="0" w:after="520"/>
        <w:ind w:firstLine="0"/>
        <w:jc w:val="both"/>
        <w:rPr>
          <w:rFonts w:ascii="Times New Roman" w:hAnsi="Times New Roman"/>
          <w:i w:val="0"/>
          <w:szCs w:val="28"/>
          <w:lang w:eastAsia="zh-TW"/>
        </w:rPr>
      </w:pPr>
      <w:r w:rsidRPr="009F12D9">
        <w:rPr>
          <w:rFonts w:ascii="Times New Roman" w:hAnsi="Times New Roman"/>
          <w:i w:val="0"/>
          <w:lang w:eastAsia="zh-TW"/>
        </w:rPr>
        <w:t>申請人不滿有關的</w:t>
      </w:r>
      <w:r w:rsidRPr="009F12D9">
        <w:rPr>
          <w:rFonts w:ascii="Times New Roman" w:hAnsi="Times New Roman"/>
          <w:i w:val="0"/>
          <w:lang w:eastAsia="zh-HK"/>
        </w:rPr>
        <w:t>判</w:t>
      </w:r>
      <w:r w:rsidRPr="009F12D9">
        <w:rPr>
          <w:rFonts w:ascii="Times New Roman" w:hAnsi="Times New Roman"/>
          <w:i w:val="0"/>
          <w:lang w:eastAsia="zh-TW"/>
        </w:rPr>
        <w:t>刑，認為是原則有錯及明顯過輕，因此根據香港法例第</w:t>
      </w:r>
      <w:r w:rsidRPr="009F12D9">
        <w:rPr>
          <w:rFonts w:ascii="Times New Roman" w:hAnsi="Times New Roman"/>
          <w:i w:val="0"/>
          <w:lang w:eastAsia="zh-TW"/>
        </w:rPr>
        <w:t>221</w:t>
      </w:r>
      <w:r w:rsidRPr="009F12D9">
        <w:rPr>
          <w:rFonts w:ascii="Times New Roman" w:hAnsi="Times New Roman"/>
          <w:i w:val="0"/>
          <w:lang w:eastAsia="zh-TW"/>
        </w:rPr>
        <w:t>章《刑事訴訟程序條例》第</w:t>
      </w:r>
      <w:r w:rsidRPr="009F12D9">
        <w:rPr>
          <w:rFonts w:ascii="Times New Roman" w:hAnsi="Times New Roman"/>
          <w:i w:val="0"/>
          <w:lang w:eastAsia="zh-TW"/>
        </w:rPr>
        <w:t>81A</w:t>
      </w:r>
      <w:proofErr w:type="gramStart"/>
      <w:r w:rsidRPr="009F12D9">
        <w:rPr>
          <w:rFonts w:ascii="Times New Roman" w:hAnsi="Times New Roman"/>
          <w:i w:val="0"/>
          <w:lang w:eastAsia="zh-TW"/>
        </w:rPr>
        <w:t>條向上訴</w:t>
      </w:r>
      <w:proofErr w:type="gramEnd"/>
      <w:r w:rsidRPr="009F12D9">
        <w:rPr>
          <w:rFonts w:ascii="Times New Roman" w:hAnsi="Times New Roman"/>
          <w:i w:val="0"/>
          <w:lang w:eastAsia="zh-TW"/>
        </w:rPr>
        <w:t>法庭申請許可，要求覆核。</w:t>
      </w:r>
      <w:r w:rsidRPr="009F12D9">
        <w:rPr>
          <w:rFonts w:ascii="Times New Roman" w:hAnsi="Times New Roman"/>
          <w:i w:val="0"/>
        </w:rPr>
        <w:t>申請在</w:t>
      </w:r>
      <w:r w:rsidRPr="009F12D9">
        <w:rPr>
          <w:rFonts w:ascii="Times New Roman" w:hAnsi="Times New Roman"/>
          <w:i w:val="0"/>
          <w:lang w:eastAsia="zh-TW"/>
        </w:rPr>
        <w:t>2020</w:t>
      </w:r>
      <w:r w:rsidRPr="009F12D9">
        <w:rPr>
          <w:rFonts w:ascii="Times New Roman" w:hAnsi="Times New Roman"/>
          <w:i w:val="0"/>
          <w:lang w:eastAsia="zh-TW"/>
        </w:rPr>
        <w:t>年</w:t>
      </w:r>
      <w:r w:rsidRPr="009F12D9">
        <w:rPr>
          <w:rFonts w:ascii="Times New Roman" w:hAnsi="Times New Roman"/>
          <w:i w:val="0"/>
        </w:rPr>
        <w:t>7</w:t>
      </w:r>
      <w:r w:rsidRPr="009F12D9">
        <w:rPr>
          <w:rFonts w:ascii="Times New Roman" w:hAnsi="Times New Roman"/>
          <w:i w:val="0"/>
          <w:lang w:eastAsia="zh-TW"/>
        </w:rPr>
        <w:t>月</w:t>
      </w:r>
      <w:r w:rsidRPr="009F12D9">
        <w:rPr>
          <w:rFonts w:ascii="Times New Roman" w:hAnsi="Times New Roman"/>
          <w:i w:val="0"/>
        </w:rPr>
        <w:t>6</w:t>
      </w:r>
      <w:r w:rsidRPr="009F12D9">
        <w:rPr>
          <w:rFonts w:ascii="Times New Roman" w:hAnsi="Times New Roman"/>
          <w:i w:val="0"/>
          <w:lang w:eastAsia="zh-TW"/>
        </w:rPr>
        <w:t>日獲批</w:t>
      </w:r>
      <w:r w:rsidR="009F6CFC" w:rsidRPr="009F12D9">
        <w:rPr>
          <w:rFonts w:ascii="Times New Roman" w:hAnsi="Times New Roman"/>
          <w:i w:val="0"/>
          <w:szCs w:val="28"/>
          <w:lang w:eastAsia="zh-TW"/>
        </w:rPr>
        <w:t>。</w:t>
      </w:r>
    </w:p>
    <w:p w:rsidR="00787AE2" w:rsidRPr="009F12D9" w:rsidRDefault="005724B4" w:rsidP="00DD5CE6">
      <w:pPr>
        <w:pStyle w:val="ar-heading1"/>
        <w:keepNext w:val="0"/>
        <w:numPr>
          <w:ilvl w:val="0"/>
          <w:numId w:val="5"/>
        </w:numPr>
        <w:spacing w:before="0" w:after="520"/>
        <w:ind w:firstLine="0"/>
        <w:jc w:val="both"/>
        <w:rPr>
          <w:rFonts w:ascii="Times New Roman" w:hAnsi="Times New Roman"/>
          <w:i w:val="0"/>
          <w:szCs w:val="28"/>
          <w:lang w:eastAsia="zh-TW"/>
        </w:rPr>
      </w:pPr>
      <w:r w:rsidRPr="009F12D9">
        <w:rPr>
          <w:rFonts w:ascii="Times New Roman" w:hAnsi="Times New Roman"/>
          <w:i w:val="0"/>
          <w:lang w:eastAsia="zh-TW"/>
        </w:rPr>
        <w:t>2020</w:t>
      </w:r>
      <w:r w:rsidRPr="009F12D9">
        <w:rPr>
          <w:rFonts w:ascii="Times New Roman" w:hAnsi="Times New Roman"/>
          <w:i w:val="0"/>
          <w:lang w:eastAsia="zh-TW"/>
        </w:rPr>
        <w:t>年</w:t>
      </w:r>
      <w:r w:rsidRPr="009F12D9">
        <w:rPr>
          <w:rFonts w:ascii="Times New Roman" w:hAnsi="Times New Roman"/>
          <w:i w:val="0"/>
          <w:lang w:eastAsia="zh-TW"/>
        </w:rPr>
        <w:t>11</w:t>
      </w:r>
      <w:r w:rsidRPr="009F12D9">
        <w:rPr>
          <w:rFonts w:ascii="Times New Roman" w:hAnsi="Times New Roman"/>
          <w:i w:val="0"/>
          <w:lang w:eastAsia="zh-TW"/>
        </w:rPr>
        <w:t>月</w:t>
      </w:r>
      <w:r w:rsidRPr="009F12D9">
        <w:rPr>
          <w:rFonts w:ascii="Times New Roman" w:hAnsi="Times New Roman"/>
          <w:i w:val="0"/>
          <w:lang w:eastAsia="zh-TW"/>
        </w:rPr>
        <w:t>19</w:t>
      </w:r>
      <w:r w:rsidRPr="009F12D9">
        <w:rPr>
          <w:rFonts w:ascii="Times New Roman" w:hAnsi="Times New Roman"/>
          <w:i w:val="0"/>
          <w:lang w:eastAsia="zh-TW"/>
        </w:rPr>
        <w:t>日，經過</w:t>
      </w:r>
      <w:r w:rsidRPr="009F12D9">
        <w:rPr>
          <w:rFonts w:ascii="Times New Roman" w:hAnsi="Times New Roman"/>
          <w:i w:val="0"/>
          <w:lang w:eastAsia="zh-HK"/>
        </w:rPr>
        <w:t>正</w:t>
      </w:r>
      <w:r w:rsidRPr="009F12D9">
        <w:rPr>
          <w:rFonts w:ascii="Times New Roman" w:hAnsi="Times New Roman"/>
          <w:i w:val="0"/>
          <w:lang w:eastAsia="zh-TW"/>
        </w:rPr>
        <w:t>式的聆訊之後，本庭裁定申請人的覆核理據成立，並即時改判答辯人入獄</w:t>
      </w:r>
      <w:r w:rsidRPr="009F12D9">
        <w:rPr>
          <w:rFonts w:ascii="Times New Roman" w:hAnsi="Times New Roman"/>
          <w:i w:val="0"/>
          <w:lang w:eastAsia="zh-TW"/>
        </w:rPr>
        <w:t>3</w:t>
      </w:r>
      <w:r w:rsidRPr="009F12D9">
        <w:rPr>
          <w:rFonts w:ascii="Times New Roman" w:hAnsi="Times New Roman"/>
          <w:i w:val="0"/>
          <w:lang w:eastAsia="zh-TW"/>
        </w:rPr>
        <w:t>個月。本庭現頒布書面理由如下</w:t>
      </w:r>
      <w:r w:rsidR="00F714C8" w:rsidRPr="009F12D9">
        <w:rPr>
          <w:rFonts w:ascii="Times New Roman" w:hAnsi="Times New Roman"/>
          <w:i w:val="0"/>
          <w:szCs w:val="28"/>
          <w:lang w:eastAsia="zh-TW"/>
        </w:rPr>
        <w:t>。</w:t>
      </w:r>
    </w:p>
    <w:p w:rsidR="00350A05" w:rsidRPr="009F12D9" w:rsidRDefault="005724B4" w:rsidP="00BA6071">
      <w:pPr>
        <w:pStyle w:val="Final"/>
        <w:keepNext/>
        <w:tabs>
          <w:tab w:val="clear" w:pos="1440"/>
          <w:tab w:val="clear" w:pos="4320"/>
          <w:tab w:val="clear" w:pos="9072"/>
          <w:tab w:val="left" w:pos="720"/>
          <w:tab w:val="center" w:pos="4234"/>
          <w:tab w:val="right" w:pos="8453"/>
        </w:tabs>
        <w:spacing w:after="360"/>
        <w:rPr>
          <w:i/>
        </w:rPr>
      </w:pPr>
      <w:r w:rsidRPr="009F12D9">
        <w:rPr>
          <w:i/>
        </w:rPr>
        <w:t xml:space="preserve">B. </w:t>
      </w:r>
      <w:r w:rsidRPr="009F12D9">
        <w:rPr>
          <w:i/>
        </w:rPr>
        <w:tab/>
      </w:r>
      <w:r w:rsidRPr="009F12D9">
        <w:rPr>
          <w:i/>
        </w:rPr>
        <w:t>控罪與案情</w:t>
      </w:r>
    </w:p>
    <w:p w:rsidR="009F6CFC" w:rsidRPr="009F12D9" w:rsidRDefault="005724B4" w:rsidP="00CD6A9E">
      <w:pPr>
        <w:pStyle w:val="ar-heading1"/>
        <w:keepNext w:val="0"/>
        <w:widowControl w:val="0"/>
        <w:numPr>
          <w:ilvl w:val="0"/>
          <w:numId w:val="5"/>
        </w:numPr>
        <w:spacing w:before="0" w:after="520"/>
        <w:ind w:firstLine="0"/>
        <w:jc w:val="both"/>
        <w:rPr>
          <w:rFonts w:ascii="Times New Roman" w:hAnsi="Times New Roman"/>
          <w:i w:val="0"/>
          <w:lang w:val="en-US" w:eastAsia="zh-TW"/>
        </w:rPr>
      </w:pPr>
      <w:proofErr w:type="gramStart"/>
      <w:r w:rsidRPr="009F12D9">
        <w:rPr>
          <w:rFonts w:ascii="Times New Roman" w:hAnsi="Times New Roman"/>
          <w:i w:val="0"/>
          <w:lang w:eastAsia="zh-TW"/>
        </w:rPr>
        <w:t>控罪指答辯</w:t>
      </w:r>
      <w:proofErr w:type="gramEnd"/>
      <w:r w:rsidRPr="009F12D9">
        <w:rPr>
          <w:rFonts w:ascii="Times New Roman" w:hAnsi="Times New Roman"/>
          <w:i w:val="0"/>
          <w:lang w:eastAsia="zh-TW"/>
        </w:rPr>
        <w:t>人在香港</w:t>
      </w:r>
      <w:r w:rsidRPr="009F12D9">
        <w:rPr>
          <w:rFonts w:ascii="Times New Roman" w:hAnsi="Times New Roman"/>
          <w:i w:val="0"/>
          <w:lang w:eastAsia="zh-HK"/>
        </w:rPr>
        <w:t>中環</w:t>
      </w:r>
      <w:proofErr w:type="gramStart"/>
      <w:r w:rsidRPr="009F12D9">
        <w:rPr>
          <w:rFonts w:ascii="Times New Roman" w:hAnsi="Times New Roman"/>
          <w:i w:val="0"/>
          <w:lang w:eastAsia="zh-HK"/>
        </w:rPr>
        <w:t>擺花街</w:t>
      </w:r>
      <w:proofErr w:type="gramEnd"/>
      <w:r w:rsidRPr="009F12D9">
        <w:rPr>
          <w:rFonts w:ascii="Times New Roman" w:hAnsi="Times New Roman"/>
          <w:i w:val="0"/>
          <w:lang w:eastAsia="zh-TW"/>
        </w:rPr>
        <w:t>9</w:t>
      </w:r>
      <w:r w:rsidRPr="009F12D9">
        <w:rPr>
          <w:rFonts w:ascii="Times New Roman" w:hAnsi="Times New Roman"/>
          <w:i w:val="0"/>
          <w:lang w:eastAsia="zh-HK"/>
        </w:rPr>
        <w:t>至</w:t>
      </w:r>
      <w:r w:rsidRPr="009F12D9">
        <w:rPr>
          <w:rFonts w:ascii="Times New Roman" w:hAnsi="Times New Roman"/>
          <w:i w:val="0"/>
          <w:lang w:eastAsia="zh-TW"/>
        </w:rPr>
        <w:t>13</w:t>
      </w:r>
      <w:r w:rsidRPr="009F12D9">
        <w:rPr>
          <w:rFonts w:ascii="Times New Roman" w:hAnsi="Times New Roman"/>
          <w:i w:val="0"/>
          <w:lang w:eastAsia="zh-HK"/>
        </w:rPr>
        <w:t>號</w:t>
      </w:r>
      <w:r w:rsidRPr="009F12D9">
        <w:rPr>
          <w:rFonts w:ascii="Times New Roman" w:hAnsi="Times New Roman"/>
          <w:i w:val="0"/>
          <w:lang w:eastAsia="zh-TW"/>
        </w:rPr>
        <w:t>外</w:t>
      </w:r>
      <w:r w:rsidRPr="009F12D9">
        <w:rPr>
          <w:rFonts w:ascii="Times New Roman" w:hAnsi="Times New Roman"/>
          <w:i w:val="0"/>
          <w:lang w:eastAsia="zh-HK"/>
        </w:rPr>
        <w:t>連同其</w:t>
      </w:r>
      <w:r w:rsidRPr="009F12D9">
        <w:rPr>
          <w:rFonts w:ascii="Times New Roman" w:hAnsi="Times New Roman"/>
          <w:i w:val="0"/>
          <w:lang w:eastAsia="zh-TW"/>
        </w:rPr>
        <w:t>他</w:t>
      </w:r>
      <w:r w:rsidRPr="009F12D9">
        <w:rPr>
          <w:rFonts w:ascii="Times New Roman" w:hAnsi="Times New Roman"/>
          <w:i w:val="0"/>
          <w:lang w:eastAsia="zh-HK"/>
        </w:rPr>
        <w:t>身</w:t>
      </w:r>
      <w:r w:rsidRPr="009F12D9">
        <w:rPr>
          <w:rFonts w:ascii="Times New Roman" w:hAnsi="Times New Roman"/>
          <w:i w:val="0"/>
          <w:lang w:eastAsia="zh-TW"/>
        </w:rPr>
        <w:t>分</w:t>
      </w:r>
      <w:r w:rsidRPr="009F12D9">
        <w:rPr>
          <w:rFonts w:ascii="Times New Roman" w:hAnsi="Times New Roman"/>
          <w:i w:val="0"/>
          <w:lang w:eastAsia="zh-HK"/>
        </w:rPr>
        <w:t>不詳的人</w:t>
      </w:r>
      <w:r w:rsidRPr="009F12D9">
        <w:rPr>
          <w:rFonts w:ascii="Times New Roman" w:hAnsi="Times New Roman"/>
          <w:i w:val="0"/>
          <w:lang w:eastAsia="zh-TW"/>
        </w:rPr>
        <w:t>參</w:t>
      </w:r>
      <w:r w:rsidRPr="009F12D9">
        <w:rPr>
          <w:rFonts w:ascii="Times New Roman" w:hAnsi="Times New Roman"/>
          <w:i w:val="0"/>
          <w:lang w:eastAsia="zh-HK"/>
        </w:rPr>
        <w:t>與非法集結</w:t>
      </w:r>
      <w:r w:rsidRPr="009F12D9">
        <w:rPr>
          <w:rFonts w:ascii="Times New Roman" w:hAnsi="Times New Roman"/>
          <w:i w:val="0"/>
          <w:lang w:eastAsia="zh-TW"/>
        </w:rPr>
        <w:t>，犯案日期是</w:t>
      </w:r>
      <w:r w:rsidRPr="009F12D9">
        <w:rPr>
          <w:rFonts w:ascii="Times New Roman" w:hAnsi="Times New Roman"/>
          <w:i w:val="0"/>
          <w:lang w:eastAsia="zh-TW"/>
        </w:rPr>
        <w:t>2019</w:t>
      </w:r>
      <w:r w:rsidRPr="009F12D9">
        <w:rPr>
          <w:rFonts w:ascii="Times New Roman" w:hAnsi="Times New Roman"/>
          <w:i w:val="0"/>
          <w:lang w:eastAsia="zh-TW"/>
        </w:rPr>
        <w:t>年</w:t>
      </w:r>
      <w:r w:rsidRPr="009F12D9">
        <w:rPr>
          <w:rFonts w:ascii="Times New Roman" w:hAnsi="Times New Roman"/>
          <w:i w:val="0"/>
          <w:lang w:eastAsia="zh-TW"/>
        </w:rPr>
        <w:t>10</w:t>
      </w:r>
      <w:r w:rsidRPr="009F12D9">
        <w:rPr>
          <w:rFonts w:ascii="Times New Roman" w:hAnsi="Times New Roman"/>
          <w:i w:val="0"/>
          <w:lang w:eastAsia="zh-TW"/>
        </w:rPr>
        <w:t>月</w:t>
      </w:r>
      <w:r w:rsidRPr="009F12D9">
        <w:rPr>
          <w:rFonts w:ascii="Times New Roman" w:hAnsi="Times New Roman"/>
          <w:i w:val="0"/>
          <w:lang w:eastAsia="zh-TW"/>
        </w:rPr>
        <w:t>31</w:t>
      </w:r>
      <w:r w:rsidRPr="009F12D9">
        <w:rPr>
          <w:rFonts w:ascii="Times New Roman" w:hAnsi="Times New Roman"/>
          <w:i w:val="0"/>
          <w:lang w:eastAsia="zh-TW"/>
        </w:rPr>
        <w:t>日（即</w:t>
      </w:r>
      <w:r w:rsidR="00935465" w:rsidRPr="009F12D9">
        <w:rPr>
          <w:rFonts w:ascii="Times New Roman" w:hAnsi="Times New Roman"/>
          <w:i w:val="0"/>
          <w:lang w:val="en-US" w:eastAsia="zh-HK"/>
        </w:rPr>
        <w:t>去年</w:t>
      </w:r>
      <w:r w:rsidRPr="009F12D9">
        <w:rPr>
          <w:rFonts w:ascii="Times New Roman" w:hAnsi="Times New Roman"/>
          <w:i w:val="0"/>
          <w:lang w:eastAsia="zh-TW"/>
        </w:rPr>
        <w:t>的萬聖節當日）</w:t>
      </w:r>
      <w:r w:rsidR="009F6CFC" w:rsidRPr="009F12D9">
        <w:rPr>
          <w:rFonts w:ascii="Times New Roman" w:hAnsi="Times New Roman"/>
          <w:i w:val="0"/>
          <w:szCs w:val="28"/>
          <w:lang w:eastAsia="zh-TW"/>
        </w:rPr>
        <w:t>。</w:t>
      </w:r>
    </w:p>
    <w:p w:rsidR="005724B4" w:rsidRPr="009F12D9" w:rsidRDefault="005724B4" w:rsidP="005724B4">
      <w:pPr>
        <w:pStyle w:val="ar-heading1"/>
        <w:keepNext w:val="0"/>
        <w:numPr>
          <w:ilvl w:val="0"/>
          <w:numId w:val="5"/>
        </w:numPr>
        <w:spacing w:before="0" w:after="520"/>
        <w:ind w:firstLine="0"/>
        <w:jc w:val="both"/>
        <w:rPr>
          <w:rFonts w:ascii="Times New Roman" w:hAnsi="Times New Roman"/>
          <w:i w:val="0"/>
          <w:lang w:val="en-US" w:eastAsia="zh-TW"/>
        </w:rPr>
      </w:pPr>
      <w:r w:rsidRPr="009F12D9">
        <w:rPr>
          <w:rFonts w:ascii="Times New Roman" w:hAnsi="Times New Roman"/>
          <w:i w:val="0"/>
          <w:lang w:eastAsia="zh-TW"/>
        </w:rPr>
        <w:t>以下</w:t>
      </w:r>
      <w:proofErr w:type="gramStart"/>
      <w:r w:rsidRPr="009F12D9">
        <w:rPr>
          <w:rFonts w:ascii="Times New Roman" w:hAnsi="Times New Roman"/>
          <w:i w:val="0"/>
          <w:lang w:eastAsia="zh-TW"/>
        </w:rPr>
        <w:t>是控辯</w:t>
      </w:r>
      <w:proofErr w:type="gramEnd"/>
      <w:r w:rsidRPr="009F12D9">
        <w:rPr>
          <w:rFonts w:ascii="Times New Roman" w:hAnsi="Times New Roman"/>
          <w:i w:val="0"/>
          <w:lang w:eastAsia="zh-TW"/>
        </w:rPr>
        <w:t>雙方同意的案情</w:t>
      </w:r>
      <w:r w:rsidRPr="009F12D9">
        <w:rPr>
          <w:rFonts w:ascii="Times New Roman" w:hAnsi="Times New Roman"/>
          <w:i w:val="0"/>
          <w:szCs w:val="28"/>
          <w:lang w:eastAsia="zh-TW"/>
        </w:rPr>
        <w:t>。</w:t>
      </w:r>
    </w:p>
    <w:p w:rsidR="005724B4" w:rsidRPr="009F12D9" w:rsidRDefault="005724B4" w:rsidP="005724B4">
      <w:pPr>
        <w:pStyle w:val="ar-heading1"/>
        <w:keepNext w:val="0"/>
        <w:numPr>
          <w:ilvl w:val="0"/>
          <w:numId w:val="5"/>
        </w:numPr>
        <w:spacing w:before="0" w:after="520"/>
        <w:ind w:firstLine="0"/>
        <w:jc w:val="both"/>
        <w:rPr>
          <w:rFonts w:ascii="Times New Roman" w:hAnsi="Times New Roman"/>
          <w:i w:val="0"/>
          <w:lang w:val="en-US" w:eastAsia="zh-TW"/>
        </w:rPr>
      </w:pPr>
      <w:r w:rsidRPr="009F12D9">
        <w:rPr>
          <w:rFonts w:ascii="Times New Roman" w:hAnsi="Times New Roman"/>
          <w:i w:val="0"/>
          <w:lang w:eastAsia="zh-TW"/>
        </w:rPr>
        <w:lastRenderedPageBreak/>
        <w:t>案發</w:t>
      </w:r>
      <w:r w:rsidRPr="009F12D9">
        <w:rPr>
          <w:rFonts w:ascii="Times New Roman" w:hAnsi="Times New Roman"/>
          <w:i w:val="0"/>
          <w:lang w:eastAsia="zh-HK"/>
        </w:rPr>
        <w:t>當</w:t>
      </w:r>
      <w:r w:rsidRPr="009F12D9">
        <w:rPr>
          <w:rFonts w:ascii="Times New Roman" w:hAnsi="Times New Roman"/>
          <w:i w:val="0"/>
          <w:lang w:eastAsia="zh-TW"/>
        </w:rPr>
        <w:t>天</w:t>
      </w:r>
      <w:r w:rsidRPr="009F12D9">
        <w:rPr>
          <w:rFonts w:ascii="Times New Roman" w:hAnsi="Times New Roman"/>
          <w:i w:val="0"/>
          <w:lang w:eastAsia="zh-HK"/>
        </w:rPr>
        <w:t>晚</w:t>
      </w:r>
      <w:r w:rsidRPr="009F12D9">
        <w:rPr>
          <w:rFonts w:ascii="Times New Roman" w:hAnsi="Times New Roman"/>
          <w:i w:val="0"/>
          <w:lang w:eastAsia="zh-TW"/>
        </w:rPr>
        <w:t>上</w:t>
      </w:r>
      <w:r w:rsidRPr="009F12D9">
        <w:rPr>
          <w:rFonts w:ascii="Times New Roman" w:hAnsi="Times New Roman"/>
          <w:i w:val="0"/>
          <w:lang w:eastAsia="zh-HK"/>
        </w:rPr>
        <w:t>約</w:t>
      </w:r>
      <w:r w:rsidRPr="009F12D9">
        <w:rPr>
          <w:rFonts w:ascii="Times New Roman" w:hAnsi="Times New Roman"/>
          <w:i w:val="0"/>
          <w:lang w:eastAsia="zh-TW"/>
        </w:rPr>
        <w:t>10</w:t>
      </w:r>
      <w:r w:rsidRPr="009F12D9">
        <w:rPr>
          <w:rFonts w:ascii="Times New Roman" w:hAnsi="Times New Roman"/>
          <w:i w:val="0"/>
          <w:lang w:eastAsia="zh-HK"/>
        </w:rPr>
        <w:t>時</w:t>
      </w:r>
      <w:r w:rsidRPr="009F12D9">
        <w:rPr>
          <w:rFonts w:ascii="Times New Roman" w:hAnsi="Times New Roman"/>
          <w:i w:val="0"/>
          <w:lang w:eastAsia="zh-TW"/>
        </w:rPr>
        <w:t>30</w:t>
      </w:r>
      <w:r w:rsidRPr="009F12D9">
        <w:rPr>
          <w:rFonts w:ascii="Times New Roman" w:hAnsi="Times New Roman"/>
          <w:i w:val="0"/>
          <w:lang w:eastAsia="zh-HK"/>
        </w:rPr>
        <w:t>分</w:t>
      </w:r>
      <w:r w:rsidRPr="009F12D9">
        <w:rPr>
          <w:rFonts w:ascii="Times New Roman" w:hAnsi="Times New Roman"/>
          <w:i w:val="0"/>
          <w:lang w:eastAsia="zh-TW"/>
        </w:rPr>
        <w:t>，</w:t>
      </w:r>
      <w:r w:rsidRPr="009F12D9">
        <w:rPr>
          <w:rFonts w:ascii="Times New Roman" w:hAnsi="Times New Roman"/>
          <w:i w:val="0"/>
          <w:lang w:eastAsia="zh-HK"/>
        </w:rPr>
        <w:t>大約</w:t>
      </w:r>
      <w:r w:rsidRPr="009F12D9">
        <w:rPr>
          <w:rFonts w:ascii="Times New Roman" w:hAnsi="Times New Roman"/>
          <w:i w:val="0"/>
          <w:lang w:eastAsia="zh-TW"/>
        </w:rPr>
        <w:t>四</w:t>
      </w:r>
      <w:r w:rsidRPr="009F12D9">
        <w:rPr>
          <w:rFonts w:ascii="Times New Roman" w:hAnsi="Times New Roman"/>
          <w:i w:val="0"/>
          <w:lang w:eastAsia="zh-HK"/>
        </w:rPr>
        <w:t>至五百</w:t>
      </w:r>
      <w:r w:rsidRPr="009F12D9">
        <w:rPr>
          <w:rFonts w:ascii="Times New Roman" w:hAnsi="Times New Roman"/>
          <w:i w:val="0"/>
          <w:lang w:eastAsia="zh-TW"/>
        </w:rPr>
        <w:t>名</w:t>
      </w:r>
      <w:r w:rsidRPr="009F12D9">
        <w:rPr>
          <w:rFonts w:ascii="Times New Roman" w:hAnsi="Times New Roman"/>
          <w:i w:val="0"/>
          <w:lang w:eastAsia="zh-HK"/>
        </w:rPr>
        <w:t>示</w:t>
      </w:r>
      <w:r w:rsidRPr="009F12D9">
        <w:rPr>
          <w:rFonts w:ascii="Times New Roman" w:hAnsi="Times New Roman"/>
          <w:i w:val="0"/>
          <w:lang w:eastAsia="zh-TW"/>
        </w:rPr>
        <w:t>威</w:t>
      </w:r>
      <w:r w:rsidRPr="009F12D9">
        <w:rPr>
          <w:rFonts w:ascii="Times New Roman" w:hAnsi="Times New Roman"/>
          <w:i w:val="0"/>
          <w:lang w:eastAsia="zh-HK"/>
        </w:rPr>
        <w:t>者在</w:t>
      </w:r>
      <w:r w:rsidRPr="009F12D9">
        <w:rPr>
          <w:rFonts w:ascii="Times New Roman" w:hAnsi="Times New Roman"/>
          <w:i w:val="0"/>
          <w:lang w:eastAsia="zh-TW"/>
        </w:rPr>
        <w:t>案發地點參與</w:t>
      </w:r>
      <w:r w:rsidRPr="009F12D9">
        <w:rPr>
          <w:rFonts w:ascii="Times New Roman" w:hAnsi="Times New Roman"/>
          <w:i w:val="0"/>
          <w:lang w:eastAsia="zh-HK"/>
        </w:rPr>
        <w:t>一個未經批</w:t>
      </w:r>
      <w:r w:rsidRPr="009F12D9">
        <w:rPr>
          <w:rFonts w:ascii="Times New Roman" w:hAnsi="Times New Roman"/>
          <w:i w:val="0"/>
          <w:lang w:eastAsia="zh-TW"/>
        </w:rPr>
        <w:t>准</w:t>
      </w:r>
      <w:r w:rsidRPr="009F12D9">
        <w:rPr>
          <w:rFonts w:ascii="Times New Roman" w:hAnsi="Times New Roman"/>
          <w:i w:val="0"/>
          <w:lang w:eastAsia="zh-HK"/>
        </w:rPr>
        <w:t>的</w:t>
      </w:r>
      <w:r w:rsidRPr="009F12D9">
        <w:rPr>
          <w:rFonts w:ascii="Times New Roman" w:hAnsi="Times New Roman"/>
          <w:i w:val="0"/>
          <w:lang w:eastAsia="zh-TW"/>
        </w:rPr>
        <w:t>集結，並堵塞</w:t>
      </w:r>
      <w:r w:rsidRPr="009F12D9">
        <w:rPr>
          <w:rFonts w:ascii="Times New Roman" w:hAnsi="Times New Roman"/>
          <w:i w:val="0"/>
          <w:lang w:eastAsia="zh-HK"/>
        </w:rPr>
        <w:t>該</w:t>
      </w:r>
      <w:r w:rsidRPr="009F12D9">
        <w:rPr>
          <w:rFonts w:ascii="Times New Roman" w:hAnsi="Times New Roman"/>
          <w:i w:val="0"/>
          <w:lang w:eastAsia="zh-TW"/>
        </w:rPr>
        <w:t>處</w:t>
      </w:r>
      <w:r w:rsidRPr="009F12D9">
        <w:rPr>
          <w:rFonts w:ascii="Times New Roman" w:hAnsi="Times New Roman"/>
          <w:i w:val="0"/>
          <w:lang w:eastAsia="zh-HK"/>
        </w:rPr>
        <w:t>的馬路</w:t>
      </w:r>
      <w:r w:rsidRPr="009F12D9">
        <w:rPr>
          <w:rFonts w:ascii="Times New Roman" w:hAnsi="Times New Roman"/>
          <w:i w:val="0"/>
          <w:lang w:eastAsia="zh-TW"/>
        </w:rPr>
        <w:t>，</w:t>
      </w:r>
      <w:r w:rsidRPr="009F12D9">
        <w:rPr>
          <w:rFonts w:ascii="Times New Roman" w:hAnsi="Times New Roman"/>
          <w:i w:val="0"/>
          <w:lang w:eastAsia="zh-HK"/>
        </w:rPr>
        <w:t>警方</w:t>
      </w:r>
      <w:r w:rsidRPr="009F12D9">
        <w:rPr>
          <w:rFonts w:ascii="Times New Roman" w:hAnsi="Times New Roman"/>
          <w:i w:val="0"/>
          <w:lang w:eastAsia="zh-TW"/>
        </w:rPr>
        <w:t>於是</w:t>
      </w:r>
      <w:r w:rsidRPr="009F12D9">
        <w:rPr>
          <w:rFonts w:ascii="Times New Roman" w:hAnsi="Times New Roman"/>
          <w:i w:val="0"/>
          <w:lang w:eastAsia="zh-HK"/>
        </w:rPr>
        <w:t>到場展</w:t>
      </w:r>
      <w:r w:rsidRPr="009F12D9">
        <w:rPr>
          <w:rFonts w:ascii="Times New Roman" w:hAnsi="Times New Roman"/>
          <w:i w:val="0"/>
          <w:lang w:eastAsia="zh-TW"/>
        </w:rPr>
        <w:t>開</w:t>
      </w:r>
      <w:r w:rsidRPr="009F12D9">
        <w:rPr>
          <w:rFonts w:ascii="Times New Roman" w:hAnsi="Times New Roman"/>
          <w:i w:val="0"/>
          <w:lang w:eastAsia="zh-HK"/>
        </w:rPr>
        <w:t>行</w:t>
      </w:r>
      <w:r w:rsidRPr="009F12D9">
        <w:rPr>
          <w:rFonts w:ascii="Times New Roman" w:hAnsi="Times New Roman"/>
          <w:i w:val="0"/>
          <w:lang w:eastAsia="zh-TW"/>
        </w:rPr>
        <w:t>動</w:t>
      </w:r>
      <w:r w:rsidRPr="009F12D9">
        <w:rPr>
          <w:rFonts w:ascii="Times New Roman" w:hAnsi="Times New Roman"/>
          <w:i w:val="0"/>
          <w:szCs w:val="28"/>
          <w:lang w:eastAsia="zh-TW"/>
        </w:rPr>
        <w:t>。</w:t>
      </w:r>
    </w:p>
    <w:p w:rsidR="005724B4" w:rsidRPr="009F12D9" w:rsidRDefault="005724B4" w:rsidP="005724B4">
      <w:pPr>
        <w:pStyle w:val="ar-heading1"/>
        <w:keepNext w:val="0"/>
        <w:numPr>
          <w:ilvl w:val="0"/>
          <w:numId w:val="5"/>
        </w:numPr>
        <w:spacing w:before="0" w:after="520"/>
        <w:ind w:firstLine="0"/>
        <w:jc w:val="both"/>
        <w:rPr>
          <w:rFonts w:ascii="Times New Roman" w:hAnsi="Times New Roman"/>
          <w:i w:val="0"/>
          <w:lang w:val="en-US" w:eastAsia="zh-TW"/>
        </w:rPr>
      </w:pPr>
      <w:r w:rsidRPr="009F12D9">
        <w:rPr>
          <w:rFonts w:ascii="Times New Roman" w:hAnsi="Times New Roman"/>
          <w:i w:val="0"/>
          <w:lang w:eastAsia="zh-TW"/>
        </w:rPr>
        <w:t>警方</w:t>
      </w:r>
      <w:r w:rsidRPr="009F12D9">
        <w:rPr>
          <w:rFonts w:ascii="Times New Roman" w:hAnsi="Times New Roman"/>
          <w:i w:val="0"/>
          <w:lang w:eastAsia="zh-HK"/>
        </w:rPr>
        <w:t>在</w:t>
      </w:r>
      <w:proofErr w:type="gramStart"/>
      <w:r w:rsidRPr="009F12D9">
        <w:rPr>
          <w:rFonts w:ascii="Times New Roman" w:hAnsi="Times New Roman"/>
          <w:i w:val="0"/>
          <w:lang w:eastAsia="zh-HK"/>
        </w:rPr>
        <w:t>擺花街</w:t>
      </w:r>
      <w:r w:rsidRPr="009F12D9">
        <w:rPr>
          <w:rFonts w:ascii="Times New Roman" w:hAnsi="Times New Roman"/>
          <w:i w:val="0"/>
          <w:lang w:eastAsia="zh-TW"/>
        </w:rPr>
        <w:t>朝</w:t>
      </w:r>
      <w:r w:rsidRPr="009F12D9">
        <w:rPr>
          <w:rFonts w:ascii="Times New Roman" w:hAnsi="Times New Roman"/>
          <w:i w:val="0"/>
          <w:lang w:eastAsia="zh-HK"/>
        </w:rPr>
        <w:t>結志</w:t>
      </w:r>
      <w:proofErr w:type="gramEnd"/>
      <w:r w:rsidRPr="009F12D9">
        <w:rPr>
          <w:rFonts w:ascii="Times New Roman" w:hAnsi="Times New Roman"/>
          <w:i w:val="0"/>
          <w:lang w:eastAsia="zh-HK"/>
        </w:rPr>
        <w:t>街</w:t>
      </w:r>
      <w:r w:rsidRPr="009F12D9">
        <w:rPr>
          <w:rFonts w:ascii="Times New Roman" w:hAnsi="Times New Roman"/>
          <w:i w:val="0"/>
          <w:lang w:eastAsia="zh-TW"/>
        </w:rPr>
        <w:t>方向設立</w:t>
      </w:r>
      <w:r w:rsidRPr="009F12D9">
        <w:rPr>
          <w:rFonts w:ascii="Times New Roman" w:hAnsi="Times New Roman"/>
          <w:i w:val="0"/>
          <w:lang w:eastAsia="zh-HK"/>
        </w:rPr>
        <w:t>防線</w:t>
      </w:r>
      <w:r w:rsidRPr="009F12D9">
        <w:rPr>
          <w:rFonts w:ascii="Times New Roman" w:hAnsi="Times New Roman"/>
          <w:i w:val="0"/>
          <w:lang w:eastAsia="zh-TW"/>
        </w:rPr>
        <w:t>，</w:t>
      </w:r>
      <w:r w:rsidRPr="009F12D9">
        <w:rPr>
          <w:rFonts w:ascii="Times New Roman" w:hAnsi="Times New Roman"/>
          <w:i w:val="0"/>
          <w:lang w:eastAsia="zh-HK"/>
        </w:rPr>
        <w:t>距</w:t>
      </w:r>
      <w:r w:rsidRPr="009F12D9">
        <w:rPr>
          <w:rFonts w:ascii="Times New Roman" w:hAnsi="Times New Roman"/>
          <w:i w:val="0"/>
          <w:lang w:eastAsia="zh-TW"/>
        </w:rPr>
        <w:t>離處於地勢較高位置的</w:t>
      </w:r>
      <w:r w:rsidRPr="009F12D9">
        <w:rPr>
          <w:rFonts w:ascii="Times New Roman" w:hAnsi="Times New Roman"/>
          <w:i w:val="0"/>
          <w:lang w:eastAsia="zh-HK"/>
        </w:rPr>
        <w:t>示</w:t>
      </w:r>
      <w:r w:rsidRPr="009F12D9">
        <w:rPr>
          <w:rFonts w:ascii="Times New Roman" w:hAnsi="Times New Roman"/>
          <w:i w:val="0"/>
          <w:lang w:eastAsia="zh-TW"/>
        </w:rPr>
        <w:t>威人群</w:t>
      </w:r>
      <w:r w:rsidRPr="009F12D9">
        <w:rPr>
          <w:rFonts w:ascii="Times New Roman" w:hAnsi="Times New Roman"/>
          <w:i w:val="0"/>
          <w:lang w:eastAsia="zh-HK"/>
        </w:rPr>
        <w:t>約</w:t>
      </w:r>
      <w:r w:rsidRPr="009F12D9">
        <w:rPr>
          <w:rFonts w:ascii="Times New Roman" w:hAnsi="Times New Roman"/>
          <w:i w:val="0"/>
          <w:lang w:eastAsia="zh-TW"/>
        </w:rPr>
        <w:t>30</w:t>
      </w:r>
      <w:r w:rsidRPr="009F12D9">
        <w:rPr>
          <w:rFonts w:ascii="Times New Roman" w:hAnsi="Times New Roman"/>
          <w:i w:val="0"/>
          <w:lang w:eastAsia="zh-HK"/>
        </w:rPr>
        <w:t>米</w:t>
      </w:r>
      <w:r w:rsidRPr="009F12D9">
        <w:rPr>
          <w:rFonts w:ascii="Times New Roman" w:hAnsi="Times New Roman"/>
          <w:i w:val="0"/>
          <w:lang w:eastAsia="zh-TW"/>
        </w:rPr>
        <w:t>。當時</w:t>
      </w:r>
      <w:r w:rsidRPr="009F12D9">
        <w:rPr>
          <w:rFonts w:ascii="Times New Roman" w:hAnsi="Times New Roman"/>
          <w:i w:val="0"/>
          <w:lang w:eastAsia="zh-HK"/>
        </w:rPr>
        <w:t>示</w:t>
      </w:r>
      <w:r w:rsidRPr="009F12D9">
        <w:rPr>
          <w:rFonts w:ascii="Times New Roman" w:hAnsi="Times New Roman"/>
          <w:i w:val="0"/>
          <w:lang w:eastAsia="zh-TW"/>
        </w:rPr>
        <w:t>威</w:t>
      </w:r>
      <w:r w:rsidRPr="009F12D9">
        <w:rPr>
          <w:rFonts w:ascii="Times New Roman" w:hAnsi="Times New Roman"/>
          <w:i w:val="0"/>
          <w:lang w:eastAsia="zh-HK"/>
        </w:rPr>
        <w:t>者</w:t>
      </w:r>
      <w:r w:rsidRPr="009F12D9">
        <w:rPr>
          <w:rFonts w:ascii="Times New Roman" w:hAnsi="Times New Roman"/>
          <w:i w:val="0"/>
          <w:lang w:eastAsia="zh-TW"/>
        </w:rPr>
        <w:t>大部分身穿深色衣服，用</w:t>
      </w:r>
      <w:r w:rsidRPr="009F12D9">
        <w:rPr>
          <w:rFonts w:ascii="Times New Roman" w:hAnsi="Times New Roman"/>
          <w:i w:val="0"/>
          <w:lang w:eastAsia="zh-HK"/>
        </w:rPr>
        <w:t>面具</w:t>
      </w:r>
      <w:r w:rsidRPr="009F12D9">
        <w:rPr>
          <w:rFonts w:ascii="Times New Roman" w:hAnsi="Times New Roman"/>
          <w:i w:val="0"/>
          <w:lang w:eastAsia="zh-TW"/>
        </w:rPr>
        <w:t>或圍巾等物遮蓋面部，和手</w:t>
      </w:r>
      <w:r w:rsidRPr="009F12D9">
        <w:rPr>
          <w:rFonts w:ascii="Times New Roman" w:hAnsi="Times New Roman"/>
          <w:i w:val="0"/>
          <w:lang w:eastAsia="zh-HK"/>
        </w:rPr>
        <w:t>舉</w:t>
      </w:r>
      <w:r w:rsidRPr="009F12D9">
        <w:rPr>
          <w:rFonts w:ascii="Times New Roman" w:hAnsi="Times New Roman"/>
          <w:i w:val="0"/>
          <w:lang w:eastAsia="zh-TW"/>
        </w:rPr>
        <w:t>預先</w:t>
      </w:r>
      <w:r w:rsidRPr="009F12D9">
        <w:rPr>
          <w:rFonts w:ascii="Times New Roman" w:hAnsi="Times New Roman"/>
          <w:i w:val="0"/>
          <w:lang w:eastAsia="zh-HK"/>
        </w:rPr>
        <w:t>印</w:t>
      </w:r>
      <w:r w:rsidRPr="009F12D9">
        <w:rPr>
          <w:rFonts w:ascii="Times New Roman" w:hAnsi="Times New Roman"/>
          <w:i w:val="0"/>
          <w:lang w:eastAsia="zh-TW"/>
        </w:rPr>
        <w:t>製的</w:t>
      </w:r>
      <w:r w:rsidRPr="009F12D9">
        <w:rPr>
          <w:rFonts w:ascii="Times New Roman" w:hAnsi="Times New Roman"/>
          <w:i w:val="0"/>
          <w:lang w:eastAsia="zh-HK"/>
        </w:rPr>
        <w:t>標</w:t>
      </w:r>
      <w:r w:rsidRPr="009F12D9">
        <w:rPr>
          <w:rFonts w:ascii="Times New Roman" w:hAnsi="Times New Roman"/>
          <w:i w:val="0"/>
          <w:lang w:eastAsia="zh-TW"/>
        </w:rPr>
        <w:t>語。他們不斷做手勢，叫口號，以粗言辱罵，和用</w:t>
      </w:r>
      <w:r w:rsidRPr="009F12D9">
        <w:rPr>
          <w:rFonts w:ascii="Times New Roman" w:hAnsi="Times New Roman"/>
          <w:i w:val="0"/>
          <w:lang w:eastAsia="zh-HK"/>
        </w:rPr>
        <w:t>鐳</w:t>
      </w:r>
      <w:r w:rsidRPr="009F12D9">
        <w:rPr>
          <w:rFonts w:ascii="Times New Roman" w:hAnsi="Times New Roman"/>
          <w:i w:val="0"/>
          <w:lang w:eastAsia="zh-TW"/>
        </w:rPr>
        <w:t>射</w:t>
      </w:r>
      <w:r w:rsidRPr="009F12D9">
        <w:rPr>
          <w:rFonts w:ascii="Times New Roman" w:hAnsi="Times New Roman"/>
          <w:i w:val="0"/>
          <w:lang w:eastAsia="zh-HK"/>
        </w:rPr>
        <w:t>光</w:t>
      </w:r>
      <w:r w:rsidRPr="009F12D9">
        <w:rPr>
          <w:rFonts w:ascii="Times New Roman" w:hAnsi="Times New Roman"/>
          <w:i w:val="0"/>
          <w:lang w:eastAsia="zh-TW"/>
        </w:rPr>
        <w:t>照射</w:t>
      </w:r>
      <w:r w:rsidRPr="009F12D9">
        <w:rPr>
          <w:rFonts w:ascii="Times New Roman" w:hAnsi="Times New Roman"/>
          <w:i w:val="0"/>
          <w:lang w:eastAsia="zh-HK"/>
        </w:rPr>
        <w:t>警</w:t>
      </w:r>
      <w:r w:rsidRPr="009F12D9">
        <w:rPr>
          <w:rFonts w:ascii="Times New Roman" w:hAnsi="Times New Roman"/>
          <w:i w:val="0"/>
          <w:lang w:eastAsia="zh-TW"/>
        </w:rPr>
        <w:t>方。</w:t>
      </w:r>
      <w:r w:rsidRPr="009F12D9">
        <w:rPr>
          <w:rFonts w:ascii="Times New Roman" w:hAnsi="Times New Roman"/>
          <w:i w:val="0"/>
          <w:lang w:eastAsia="zh-HK"/>
        </w:rPr>
        <w:t>部</w:t>
      </w:r>
      <w:r w:rsidRPr="009F12D9">
        <w:rPr>
          <w:rFonts w:ascii="Times New Roman" w:hAnsi="Times New Roman"/>
          <w:i w:val="0"/>
          <w:lang w:eastAsia="zh-TW"/>
        </w:rPr>
        <w:t>分</w:t>
      </w:r>
      <w:r w:rsidRPr="009F12D9">
        <w:rPr>
          <w:rFonts w:ascii="Times New Roman" w:hAnsi="Times New Roman"/>
          <w:i w:val="0"/>
          <w:lang w:eastAsia="zh-HK"/>
        </w:rPr>
        <w:t>示</w:t>
      </w:r>
      <w:r w:rsidRPr="009F12D9">
        <w:rPr>
          <w:rFonts w:ascii="Times New Roman" w:hAnsi="Times New Roman"/>
          <w:i w:val="0"/>
          <w:lang w:eastAsia="zh-TW"/>
        </w:rPr>
        <w:t>威</w:t>
      </w:r>
      <w:r w:rsidRPr="009F12D9">
        <w:rPr>
          <w:rFonts w:ascii="Times New Roman" w:hAnsi="Times New Roman"/>
          <w:i w:val="0"/>
          <w:lang w:eastAsia="zh-HK"/>
        </w:rPr>
        <w:t>者更</w:t>
      </w:r>
      <w:r w:rsidRPr="009F12D9">
        <w:rPr>
          <w:rFonts w:ascii="Times New Roman" w:hAnsi="Times New Roman"/>
          <w:i w:val="0"/>
          <w:lang w:eastAsia="zh-TW"/>
        </w:rPr>
        <w:t>以</w:t>
      </w:r>
      <w:r w:rsidRPr="009F12D9">
        <w:rPr>
          <w:rFonts w:ascii="Times New Roman" w:hAnsi="Times New Roman"/>
          <w:i w:val="0"/>
          <w:lang w:eastAsia="zh-HK"/>
        </w:rPr>
        <w:t>雜</w:t>
      </w:r>
      <w:r w:rsidRPr="009F12D9">
        <w:rPr>
          <w:rFonts w:ascii="Times New Roman" w:hAnsi="Times New Roman"/>
          <w:i w:val="0"/>
          <w:lang w:eastAsia="zh-TW"/>
        </w:rPr>
        <w:t>物</w:t>
      </w:r>
      <w:r w:rsidRPr="009F12D9">
        <w:rPr>
          <w:rFonts w:ascii="Times New Roman" w:hAnsi="Times New Roman"/>
          <w:i w:val="0"/>
          <w:lang w:eastAsia="zh-HK"/>
        </w:rPr>
        <w:t>堵塞</w:t>
      </w:r>
      <w:r w:rsidRPr="009F12D9">
        <w:rPr>
          <w:rFonts w:ascii="Times New Roman" w:hAnsi="Times New Roman"/>
          <w:i w:val="0"/>
          <w:lang w:eastAsia="zh-TW"/>
        </w:rPr>
        <w:t>馬路</w:t>
      </w:r>
      <w:r w:rsidRPr="009F12D9">
        <w:rPr>
          <w:rFonts w:ascii="Times New Roman" w:hAnsi="Times New Roman"/>
          <w:i w:val="0"/>
          <w:szCs w:val="28"/>
          <w:lang w:eastAsia="zh-TW"/>
        </w:rPr>
        <w:t>。</w:t>
      </w:r>
    </w:p>
    <w:p w:rsidR="005724B4" w:rsidRPr="009F12D9" w:rsidRDefault="005724B4" w:rsidP="005724B4">
      <w:pPr>
        <w:pStyle w:val="ar-heading1"/>
        <w:keepNext w:val="0"/>
        <w:numPr>
          <w:ilvl w:val="0"/>
          <w:numId w:val="5"/>
        </w:numPr>
        <w:spacing w:before="0" w:after="520"/>
        <w:ind w:firstLine="0"/>
        <w:jc w:val="both"/>
        <w:rPr>
          <w:rFonts w:ascii="Times New Roman" w:hAnsi="Times New Roman"/>
          <w:i w:val="0"/>
          <w:lang w:val="en-US" w:eastAsia="zh-TW"/>
        </w:rPr>
      </w:pPr>
      <w:r w:rsidRPr="009F12D9">
        <w:rPr>
          <w:rFonts w:ascii="Times New Roman" w:hAnsi="Times New Roman"/>
          <w:i w:val="0"/>
          <w:lang w:eastAsia="zh-TW"/>
        </w:rPr>
        <w:t>同日晚上</w:t>
      </w:r>
      <w:r w:rsidRPr="009F12D9">
        <w:rPr>
          <w:rFonts w:ascii="Times New Roman" w:hAnsi="Times New Roman"/>
          <w:i w:val="0"/>
          <w:lang w:eastAsia="zh-TW"/>
        </w:rPr>
        <w:t>10</w:t>
      </w:r>
      <w:r w:rsidRPr="009F12D9">
        <w:rPr>
          <w:rFonts w:ascii="Times New Roman" w:hAnsi="Times New Roman"/>
          <w:i w:val="0"/>
          <w:lang w:eastAsia="zh-HK"/>
        </w:rPr>
        <w:t>時</w:t>
      </w:r>
      <w:r w:rsidRPr="009F12D9">
        <w:rPr>
          <w:rFonts w:ascii="Times New Roman" w:hAnsi="Times New Roman"/>
          <w:i w:val="0"/>
          <w:lang w:eastAsia="zh-TW"/>
        </w:rPr>
        <w:t>49</w:t>
      </w:r>
      <w:r w:rsidRPr="009F12D9">
        <w:rPr>
          <w:rFonts w:ascii="Times New Roman" w:hAnsi="Times New Roman"/>
          <w:i w:val="0"/>
          <w:lang w:eastAsia="zh-HK"/>
        </w:rPr>
        <w:t>分至</w:t>
      </w:r>
      <w:r w:rsidRPr="009F12D9">
        <w:rPr>
          <w:rFonts w:ascii="Times New Roman" w:hAnsi="Times New Roman"/>
          <w:i w:val="0"/>
          <w:lang w:eastAsia="zh-TW"/>
        </w:rPr>
        <w:t>10</w:t>
      </w:r>
      <w:r w:rsidRPr="009F12D9">
        <w:rPr>
          <w:rFonts w:ascii="Times New Roman" w:hAnsi="Times New Roman"/>
          <w:i w:val="0"/>
          <w:lang w:eastAsia="zh-HK"/>
        </w:rPr>
        <w:t>時</w:t>
      </w:r>
      <w:r w:rsidRPr="009F12D9">
        <w:rPr>
          <w:rFonts w:ascii="Times New Roman" w:hAnsi="Times New Roman"/>
          <w:i w:val="0"/>
          <w:lang w:eastAsia="zh-TW"/>
        </w:rPr>
        <w:t>54</w:t>
      </w:r>
      <w:r w:rsidRPr="009F12D9">
        <w:rPr>
          <w:rFonts w:ascii="Times New Roman" w:hAnsi="Times New Roman"/>
          <w:i w:val="0"/>
          <w:lang w:eastAsia="zh-HK"/>
        </w:rPr>
        <w:t>分</w:t>
      </w:r>
      <w:r w:rsidRPr="009F12D9">
        <w:rPr>
          <w:rFonts w:ascii="Times New Roman" w:hAnsi="Times New Roman"/>
          <w:i w:val="0"/>
          <w:lang w:eastAsia="zh-TW"/>
        </w:rPr>
        <w:t>，</w:t>
      </w:r>
      <w:r w:rsidRPr="009F12D9">
        <w:rPr>
          <w:rFonts w:ascii="Times New Roman" w:hAnsi="Times New Roman"/>
          <w:i w:val="0"/>
          <w:lang w:eastAsia="zh-HK"/>
        </w:rPr>
        <w:t>一</w:t>
      </w:r>
      <w:r w:rsidRPr="009F12D9">
        <w:rPr>
          <w:rFonts w:ascii="Times New Roman" w:hAnsi="Times New Roman"/>
          <w:i w:val="0"/>
          <w:lang w:eastAsia="zh-TW"/>
        </w:rPr>
        <w:t>名</w:t>
      </w:r>
      <w:r w:rsidRPr="009F12D9">
        <w:rPr>
          <w:rFonts w:ascii="Times New Roman" w:hAnsi="Times New Roman"/>
          <w:i w:val="0"/>
          <w:lang w:eastAsia="zh-HK"/>
        </w:rPr>
        <w:t>督</w:t>
      </w:r>
      <w:r w:rsidRPr="009F12D9">
        <w:rPr>
          <w:rFonts w:ascii="Times New Roman" w:hAnsi="Times New Roman"/>
          <w:i w:val="0"/>
          <w:lang w:eastAsia="zh-TW"/>
        </w:rPr>
        <w:t>察三度以揚聲器</w:t>
      </w:r>
      <w:r w:rsidRPr="009F12D9">
        <w:rPr>
          <w:rFonts w:ascii="Times New Roman" w:hAnsi="Times New Roman"/>
          <w:i w:val="0"/>
          <w:lang w:eastAsia="zh-HK"/>
        </w:rPr>
        <w:t>向示</w:t>
      </w:r>
      <w:r w:rsidRPr="009F12D9">
        <w:rPr>
          <w:rFonts w:ascii="Times New Roman" w:hAnsi="Times New Roman"/>
          <w:i w:val="0"/>
          <w:lang w:eastAsia="zh-TW"/>
        </w:rPr>
        <w:t>威</w:t>
      </w:r>
      <w:r w:rsidRPr="009F12D9">
        <w:rPr>
          <w:rFonts w:ascii="Times New Roman" w:hAnsi="Times New Roman"/>
          <w:i w:val="0"/>
          <w:lang w:eastAsia="zh-HK"/>
        </w:rPr>
        <w:t>者</w:t>
      </w:r>
      <w:r w:rsidRPr="009F12D9">
        <w:rPr>
          <w:rFonts w:ascii="Times New Roman" w:hAnsi="Times New Roman"/>
          <w:i w:val="0"/>
          <w:lang w:eastAsia="zh-TW"/>
        </w:rPr>
        <w:t>發出</w:t>
      </w:r>
      <w:r w:rsidRPr="009F12D9">
        <w:rPr>
          <w:rFonts w:ascii="Times New Roman" w:hAnsi="Times New Roman"/>
          <w:i w:val="0"/>
          <w:lang w:eastAsia="zh-HK"/>
        </w:rPr>
        <w:t>警</w:t>
      </w:r>
      <w:r w:rsidRPr="009F12D9">
        <w:rPr>
          <w:rFonts w:ascii="Times New Roman" w:hAnsi="Times New Roman"/>
          <w:i w:val="0"/>
          <w:lang w:eastAsia="zh-TW"/>
        </w:rPr>
        <w:t>告，</w:t>
      </w:r>
      <w:r w:rsidRPr="009F12D9">
        <w:rPr>
          <w:rFonts w:ascii="Times New Roman" w:hAnsi="Times New Roman"/>
          <w:i w:val="0"/>
          <w:lang w:eastAsia="zh-HK"/>
        </w:rPr>
        <w:t>指他</w:t>
      </w:r>
      <w:r w:rsidRPr="009F12D9">
        <w:rPr>
          <w:rFonts w:ascii="Times New Roman" w:hAnsi="Times New Roman"/>
          <w:i w:val="0"/>
          <w:lang w:eastAsia="zh-TW"/>
        </w:rPr>
        <w:t>們</w:t>
      </w:r>
      <w:r w:rsidRPr="009F12D9">
        <w:rPr>
          <w:rFonts w:ascii="Times New Roman" w:hAnsi="Times New Roman"/>
          <w:i w:val="0"/>
          <w:lang w:eastAsia="zh-HK"/>
        </w:rPr>
        <w:t>正</w:t>
      </w:r>
      <w:r w:rsidRPr="009F12D9">
        <w:rPr>
          <w:rFonts w:ascii="Times New Roman" w:hAnsi="Times New Roman"/>
          <w:i w:val="0"/>
          <w:lang w:eastAsia="zh-TW"/>
        </w:rPr>
        <w:t>在參</w:t>
      </w:r>
      <w:r w:rsidRPr="009F12D9">
        <w:rPr>
          <w:rFonts w:ascii="Times New Roman" w:hAnsi="Times New Roman"/>
          <w:i w:val="0"/>
          <w:lang w:eastAsia="zh-HK"/>
        </w:rPr>
        <w:t>與非法集結</w:t>
      </w:r>
      <w:r w:rsidR="00594E04" w:rsidRPr="009F12D9">
        <w:rPr>
          <w:rFonts w:ascii="Times New Roman" w:hAnsi="Times New Roman"/>
          <w:i w:val="0"/>
          <w:lang w:eastAsia="zh-TW"/>
        </w:rPr>
        <w:t>，和違反</w:t>
      </w:r>
      <w:r w:rsidR="00594E04" w:rsidRPr="009F12D9">
        <w:rPr>
          <w:rFonts w:ascii="Times New Roman" w:eastAsia="PMingLiU" w:hAnsi="Times New Roman" w:hint="eastAsia"/>
          <w:i w:val="0"/>
          <w:lang w:val="en-US" w:eastAsia="zh-HK"/>
        </w:rPr>
        <w:t>《</w:t>
      </w:r>
      <w:r w:rsidR="00CA123F">
        <w:rPr>
          <w:i w:val="0"/>
          <w:lang w:val="en" w:eastAsia="zh-TW"/>
        </w:rPr>
        <w:t>禁止蒙面規例</w:t>
      </w:r>
      <w:r w:rsidR="00067172" w:rsidRPr="009F12D9">
        <w:rPr>
          <w:rFonts w:hint="eastAsia"/>
          <w:i w:val="0"/>
          <w:lang w:val="en" w:eastAsia="zh-HK"/>
        </w:rPr>
        <w:t>》</w:t>
      </w:r>
      <w:r w:rsidRPr="009F12D9">
        <w:rPr>
          <w:rStyle w:val="FootnoteReference"/>
          <w:i w:val="0"/>
          <w:lang w:val="en"/>
        </w:rPr>
        <w:footnoteReference w:id="4"/>
      </w:r>
      <w:r w:rsidRPr="009F12D9">
        <w:rPr>
          <w:rFonts w:ascii="Times New Roman" w:hAnsi="Times New Roman"/>
          <w:i w:val="0"/>
          <w:lang w:eastAsia="zh-TW"/>
        </w:rPr>
        <w:t>。</w:t>
      </w:r>
      <w:r w:rsidRPr="009F12D9">
        <w:rPr>
          <w:rFonts w:ascii="Times New Roman" w:hAnsi="Times New Roman"/>
          <w:i w:val="0"/>
          <w:lang w:eastAsia="zh-HK"/>
        </w:rPr>
        <w:t>警方亦向示</w:t>
      </w:r>
      <w:r w:rsidRPr="009F12D9">
        <w:rPr>
          <w:rFonts w:ascii="Times New Roman" w:hAnsi="Times New Roman"/>
          <w:i w:val="0"/>
          <w:lang w:eastAsia="zh-TW"/>
        </w:rPr>
        <w:t>威</w:t>
      </w:r>
      <w:r w:rsidRPr="009F12D9">
        <w:rPr>
          <w:rFonts w:ascii="Times New Roman" w:hAnsi="Times New Roman"/>
          <w:i w:val="0"/>
          <w:lang w:eastAsia="zh-HK"/>
        </w:rPr>
        <w:t>者展</w:t>
      </w:r>
      <w:r w:rsidRPr="009F12D9">
        <w:rPr>
          <w:rFonts w:ascii="Times New Roman" w:hAnsi="Times New Roman"/>
          <w:i w:val="0"/>
          <w:lang w:eastAsia="zh-TW"/>
        </w:rPr>
        <w:t>示旗幟，警告</w:t>
      </w:r>
      <w:r w:rsidRPr="009F12D9">
        <w:rPr>
          <w:rFonts w:ascii="Times New Roman" w:hAnsi="Times New Roman"/>
          <w:i w:val="0"/>
          <w:lang w:eastAsia="zh-HK"/>
        </w:rPr>
        <w:t>他</w:t>
      </w:r>
      <w:r w:rsidRPr="009F12D9">
        <w:rPr>
          <w:rFonts w:ascii="Times New Roman" w:hAnsi="Times New Roman"/>
          <w:i w:val="0"/>
          <w:lang w:eastAsia="zh-TW"/>
        </w:rPr>
        <w:t>們要</w:t>
      </w:r>
      <w:r w:rsidRPr="009F12D9">
        <w:rPr>
          <w:rFonts w:ascii="Times New Roman" w:hAnsi="Times New Roman"/>
          <w:i w:val="0"/>
          <w:lang w:eastAsia="zh-HK"/>
        </w:rPr>
        <w:t>立</w:t>
      </w:r>
      <w:r w:rsidRPr="009F12D9">
        <w:rPr>
          <w:rFonts w:ascii="Times New Roman" w:hAnsi="Times New Roman"/>
          <w:i w:val="0"/>
          <w:lang w:eastAsia="zh-TW"/>
        </w:rPr>
        <w:t>即散去和</w:t>
      </w:r>
      <w:r w:rsidRPr="009F12D9">
        <w:rPr>
          <w:rFonts w:ascii="Times New Roman" w:hAnsi="Times New Roman"/>
          <w:i w:val="0"/>
          <w:lang w:eastAsia="zh-HK"/>
        </w:rPr>
        <w:t>脫下面</w:t>
      </w:r>
      <w:r w:rsidRPr="009F12D9">
        <w:rPr>
          <w:rFonts w:ascii="Times New Roman" w:hAnsi="Times New Roman"/>
          <w:i w:val="0"/>
          <w:lang w:eastAsia="zh-TW"/>
        </w:rPr>
        <w:t>部遮蓋物</w:t>
      </w:r>
      <w:r w:rsidRPr="009F12D9">
        <w:rPr>
          <w:rFonts w:ascii="Times New Roman" w:hAnsi="Times New Roman"/>
          <w:i w:val="0"/>
          <w:szCs w:val="28"/>
          <w:lang w:eastAsia="zh-TW"/>
        </w:rPr>
        <w:t>。</w:t>
      </w:r>
    </w:p>
    <w:p w:rsidR="005724B4" w:rsidRPr="009F12D9" w:rsidRDefault="005724B4" w:rsidP="005724B4">
      <w:pPr>
        <w:pStyle w:val="ar-heading1"/>
        <w:keepNext w:val="0"/>
        <w:numPr>
          <w:ilvl w:val="0"/>
          <w:numId w:val="5"/>
        </w:numPr>
        <w:spacing w:before="0" w:after="520"/>
        <w:ind w:firstLine="0"/>
        <w:jc w:val="both"/>
        <w:rPr>
          <w:rFonts w:ascii="Times New Roman" w:hAnsi="Times New Roman"/>
          <w:i w:val="0"/>
          <w:lang w:val="en-US" w:eastAsia="zh-TW"/>
        </w:rPr>
      </w:pPr>
      <w:r w:rsidRPr="009F12D9">
        <w:rPr>
          <w:rFonts w:ascii="Times New Roman" w:hAnsi="Times New Roman"/>
          <w:i w:val="0"/>
          <w:lang w:eastAsia="zh-TW"/>
        </w:rPr>
        <w:t>在雙方</w:t>
      </w:r>
      <w:r w:rsidRPr="009F12D9">
        <w:rPr>
          <w:rFonts w:ascii="Times New Roman" w:hAnsi="Times New Roman"/>
          <w:i w:val="0"/>
          <w:lang w:eastAsia="zh-HK"/>
        </w:rPr>
        <w:t>對</w:t>
      </w:r>
      <w:r w:rsidRPr="009F12D9">
        <w:rPr>
          <w:rFonts w:ascii="Times New Roman" w:hAnsi="Times New Roman"/>
          <w:i w:val="0"/>
          <w:lang w:eastAsia="zh-TW"/>
        </w:rPr>
        <w:t>峙</w:t>
      </w:r>
      <w:proofErr w:type="gramStart"/>
      <w:r w:rsidRPr="009F12D9">
        <w:rPr>
          <w:rFonts w:ascii="Times New Roman" w:hAnsi="Times New Roman"/>
          <w:i w:val="0"/>
          <w:lang w:eastAsia="zh-TW"/>
        </w:rPr>
        <w:t>期間，</w:t>
      </w:r>
      <w:proofErr w:type="gramEnd"/>
      <w:r w:rsidRPr="009F12D9">
        <w:rPr>
          <w:rFonts w:ascii="Times New Roman" w:hAnsi="Times New Roman"/>
          <w:i w:val="0"/>
          <w:lang w:eastAsia="zh-TW"/>
        </w:rPr>
        <w:t>答辯人被發現</w:t>
      </w:r>
      <w:r w:rsidRPr="009F12D9">
        <w:rPr>
          <w:rFonts w:ascii="Times New Roman" w:hAnsi="Times New Roman"/>
          <w:i w:val="0"/>
          <w:lang w:eastAsia="zh-HK"/>
        </w:rPr>
        <w:t>站在</w:t>
      </w:r>
      <w:r w:rsidRPr="009F12D9">
        <w:rPr>
          <w:rFonts w:ascii="Times New Roman" w:hAnsi="Times New Roman"/>
          <w:i w:val="0"/>
          <w:lang w:eastAsia="zh-TW"/>
        </w:rPr>
        <w:t>示威人群的最前排。</w:t>
      </w:r>
      <w:r w:rsidRPr="009F12D9">
        <w:rPr>
          <w:rFonts w:ascii="Times New Roman" w:hAnsi="Times New Roman"/>
          <w:i w:val="0"/>
          <w:lang w:eastAsia="zh-HK"/>
        </w:rPr>
        <w:t>他</w:t>
      </w:r>
      <w:r w:rsidRPr="009F12D9">
        <w:rPr>
          <w:rFonts w:ascii="Times New Roman" w:hAnsi="Times New Roman"/>
          <w:i w:val="0"/>
          <w:lang w:eastAsia="zh-TW"/>
        </w:rPr>
        <w:t>頭戴</w:t>
      </w:r>
      <w:r w:rsidRPr="009F12D9">
        <w:rPr>
          <w:rFonts w:ascii="Times New Roman" w:hAnsi="Times New Roman"/>
          <w:i w:val="0"/>
          <w:lang w:eastAsia="zh-HK"/>
        </w:rPr>
        <w:t>黑</w:t>
      </w:r>
      <w:r w:rsidRPr="009F12D9">
        <w:rPr>
          <w:rFonts w:ascii="Times New Roman" w:hAnsi="Times New Roman"/>
          <w:i w:val="0"/>
          <w:lang w:eastAsia="zh-TW"/>
        </w:rPr>
        <w:t>色</w:t>
      </w:r>
      <w:r w:rsidRPr="009F12D9">
        <w:rPr>
          <w:rFonts w:ascii="Times New Roman" w:hAnsi="Times New Roman"/>
          <w:i w:val="0"/>
          <w:lang w:eastAsia="zh-HK"/>
        </w:rPr>
        <w:t>鴨</w:t>
      </w:r>
      <w:r w:rsidRPr="009F12D9">
        <w:rPr>
          <w:rFonts w:ascii="Times New Roman" w:hAnsi="Times New Roman"/>
          <w:i w:val="0"/>
          <w:lang w:eastAsia="zh-TW"/>
        </w:rPr>
        <w:t>舌帽，以藍白色</w:t>
      </w:r>
      <w:r w:rsidRPr="009F12D9">
        <w:rPr>
          <w:rFonts w:ascii="Times New Roman" w:hAnsi="Times New Roman"/>
          <w:i w:val="0"/>
          <w:lang w:eastAsia="zh-HK"/>
        </w:rPr>
        <w:t>圍</w:t>
      </w:r>
      <w:r w:rsidRPr="009F12D9">
        <w:rPr>
          <w:rFonts w:ascii="Times New Roman" w:hAnsi="Times New Roman"/>
          <w:i w:val="0"/>
          <w:lang w:eastAsia="zh-TW"/>
        </w:rPr>
        <w:t>巾</w:t>
      </w:r>
      <w:r w:rsidRPr="009F12D9">
        <w:rPr>
          <w:rFonts w:ascii="Times New Roman" w:hAnsi="Times New Roman"/>
          <w:i w:val="0"/>
          <w:lang w:eastAsia="zh-HK"/>
        </w:rPr>
        <w:t>遮</w:t>
      </w:r>
      <w:r w:rsidRPr="009F12D9">
        <w:rPr>
          <w:rFonts w:ascii="Times New Roman" w:hAnsi="Times New Roman"/>
          <w:i w:val="0"/>
          <w:lang w:eastAsia="zh-TW"/>
        </w:rPr>
        <w:t>蓋</w:t>
      </w:r>
      <w:r w:rsidRPr="009F12D9">
        <w:rPr>
          <w:rFonts w:ascii="Times New Roman" w:hAnsi="Times New Roman"/>
          <w:i w:val="0"/>
          <w:lang w:eastAsia="zh-HK"/>
        </w:rPr>
        <w:t>口鼻</w:t>
      </w:r>
      <w:r w:rsidRPr="009F12D9">
        <w:rPr>
          <w:rFonts w:ascii="Times New Roman" w:hAnsi="Times New Roman"/>
          <w:i w:val="0"/>
          <w:lang w:eastAsia="zh-TW"/>
        </w:rPr>
        <w:t>，身</w:t>
      </w:r>
      <w:r w:rsidRPr="009F12D9">
        <w:rPr>
          <w:rFonts w:ascii="Times New Roman" w:hAnsi="Times New Roman"/>
          <w:i w:val="0"/>
          <w:lang w:eastAsia="zh-HK"/>
        </w:rPr>
        <w:t>穿深</w:t>
      </w:r>
      <w:r w:rsidRPr="009F12D9">
        <w:rPr>
          <w:rFonts w:ascii="Times New Roman" w:hAnsi="Times New Roman"/>
          <w:i w:val="0"/>
          <w:lang w:eastAsia="zh-TW"/>
        </w:rPr>
        <w:t>色長</w:t>
      </w:r>
      <w:r w:rsidRPr="009F12D9">
        <w:rPr>
          <w:rFonts w:ascii="Times New Roman" w:hAnsi="Times New Roman"/>
          <w:i w:val="0"/>
          <w:lang w:eastAsia="zh-HK"/>
        </w:rPr>
        <w:t>袖</w:t>
      </w:r>
      <w:r w:rsidRPr="009F12D9">
        <w:rPr>
          <w:rFonts w:ascii="Times New Roman" w:hAnsi="Times New Roman"/>
          <w:i w:val="0"/>
          <w:lang w:eastAsia="zh-TW"/>
        </w:rPr>
        <w:t>上衣及長</w:t>
      </w:r>
      <w:r w:rsidRPr="009F12D9">
        <w:rPr>
          <w:rFonts w:ascii="Times New Roman" w:hAnsi="Times New Roman"/>
          <w:i w:val="0"/>
          <w:lang w:eastAsia="zh-HK"/>
        </w:rPr>
        <w:t>褲</w:t>
      </w:r>
      <w:r w:rsidRPr="009F12D9">
        <w:rPr>
          <w:rFonts w:ascii="Times New Roman" w:hAnsi="Times New Roman"/>
          <w:i w:val="0"/>
          <w:lang w:eastAsia="zh-TW"/>
        </w:rPr>
        <w:t>，腳踏</w:t>
      </w:r>
      <w:r w:rsidRPr="009F12D9">
        <w:rPr>
          <w:rFonts w:ascii="Times New Roman" w:hAnsi="Times New Roman"/>
          <w:i w:val="0"/>
          <w:lang w:eastAsia="zh-HK"/>
        </w:rPr>
        <w:t>黑</w:t>
      </w:r>
      <w:r w:rsidRPr="009F12D9">
        <w:rPr>
          <w:rFonts w:ascii="Times New Roman" w:hAnsi="Times New Roman"/>
          <w:i w:val="0"/>
          <w:lang w:eastAsia="zh-TW"/>
        </w:rPr>
        <w:t>色球鞋，背</w:t>
      </w:r>
      <w:r w:rsidRPr="009F12D9">
        <w:rPr>
          <w:rFonts w:ascii="Times New Roman" w:hAnsi="Times New Roman"/>
          <w:i w:val="0"/>
          <w:lang w:eastAsia="zh-HK"/>
        </w:rPr>
        <w:t>黑</w:t>
      </w:r>
      <w:r w:rsidRPr="009F12D9">
        <w:rPr>
          <w:rFonts w:ascii="Times New Roman" w:hAnsi="Times New Roman"/>
          <w:i w:val="0"/>
          <w:lang w:eastAsia="zh-TW"/>
        </w:rPr>
        <w:t>色</w:t>
      </w:r>
      <w:r w:rsidRPr="009F12D9">
        <w:rPr>
          <w:rFonts w:ascii="Times New Roman" w:hAnsi="Times New Roman"/>
          <w:i w:val="0"/>
          <w:lang w:eastAsia="zh-HK"/>
        </w:rPr>
        <w:t>背</w:t>
      </w:r>
      <w:r w:rsidRPr="009F12D9">
        <w:rPr>
          <w:rFonts w:ascii="Times New Roman" w:hAnsi="Times New Roman"/>
          <w:i w:val="0"/>
          <w:lang w:eastAsia="zh-TW"/>
        </w:rPr>
        <w:t>囊。錄影</w:t>
      </w:r>
      <w:proofErr w:type="gramStart"/>
      <w:r w:rsidRPr="009F12D9">
        <w:rPr>
          <w:rFonts w:ascii="Times New Roman" w:hAnsi="Times New Roman"/>
          <w:i w:val="0"/>
          <w:lang w:eastAsia="zh-TW"/>
        </w:rPr>
        <w:t>的截圖還</w:t>
      </w:r>
      <w:proofErr w:type="gramEnd"/>
      <w:r w:rsidRPr="009F12D9">
        <w:rPr>
          <w:rFonts w:ascii="Times New Roman" w:hAnsi="Times New Roman"/>
          <w:i w:val="0"/>
          <w:lang w:eastAsia="zh-TW"/>
        </w:rPr>
        <w:t>顯示</w:t>
      </w:r>
      <w:r w:rsidR="003210D5" w:rsidRPr="009F12D9">
        <w:rPr>
          <w:rFonts w:ascii="Times New Roman" w:hAnsi="Times New Roman"/>
          <w:i w:val="0"/>
          <w:lang w:val="en-US" w:eastAsia="zh-TW"/>
        </w:rPr>
        <w:t>（</w:t>
      </w:r>
      <w:r w:rsidR="003210D5" w:rsidRPr="009F12D9">
        <w:rPr>
          <w:rFonts w:ascii="Times New Roman" w:hAnsi="Times New Roman"/>
          <w:i w:val="0"/>
          <w:lang w:val="en-US" w:eastAsia="zh-HK"/>
        </w:rPr>
        <w:t>見下文</w:t>
      </w:r>
      <w:r w:rsidR="00067172" w:rsidRPr="009F12D9">
        <w:rPr>
          <w:rFonts w:ascii="Times New Roman" w:hAnsi="Times New Roman"/>
          <w:i w:val="0"/>
          <w:lang w:val="en-US" w:eastAsia="zh-HK"/>
        </w:rPr>
        <w:t>第</w:t>
      </w:r>
      <w:r w:rsidR="00067172" w:rsidRPr="009F12D9">
        <w:rPr>
          <w:rFonts w:ascii="Times New Roman" w:hAnsi="Times New Roman"/>
          <w:i w:val="0"/>
          <w:lang w:val="en-US" w:eastAsia="zh-TW"/>
        </w:rPr>
        <w:t>13</w:t>
      </w:r>
      <w:r w:rsidR="00067172" w:rsidRPr="009F12D9">
        <w:rPr>
          <w:rFonts w:ascii="Times New Roman" w:hAnsi="Times New Roman"/>
          <w:i w:val="0"/>
          <w:lang w:val="en-US" w:eastAsia="zh-HK"/>
        </w:rPr>
        <w:t>段</w:t>
      </w:r>
      <w:r w:rsidR="003210D5" w:rsidRPr="009F12D9">
        <w:rPr>
          <w:rFonts w:ascii="Times New Roman" w:hAnsi="Times New Roman"/>
          <w:i w:val="0"/>
          <w:lang w:val="en-US" w:eastAsia="zh-TW"/>
        </w:rPr>
        <w:t>）</w:t>
      </w:r>
      <w:r w:rsidRPr="009F12D9">
        <w:rPr>
          <w:rFonts w:ascii="Times New Roman" w:hAnsi="Times New Roman"/>
          <w:i w:val="0"/>
          <w:lang w:eastAsia="zh-TW"/>
        </w:rPr>
        <w:t>，申請人戴眼鏡，但額頭</w:t>
      </w:r>
      <w:r w:rsidRPr="009F12D9">
        <w:rPr>
          <w:rFonts w:ascii="Times New Roman" w:hAnsi="Times New Roman"/>
          <w:i w:val="0"/>
          <w:lang w:eastAsia="zh-HK"/>
        </w:rPr>
        <w:t>上</w:t>
      </w:r>
      <w:r w:rsidRPr="009F12D9">
        <w:rPr>
          <w:rFonts w:ascii="Times New Roman" w:hAnsi="Times New Roman"/>
          <w:i w:val="0"/>
          <w:lang w:eastAsia="zh-TW"/>
        </w:rPr>
        <w:t>也</w:t>
      </w:r>
      <w:r w:rsidRPr="009F12D9">
        <w:rPr>
          <w:rFonts w:ascii="Times New Roman" w:hAnsi="Times New Roman"/>
          <w:i w:val="0"/>
          <w:lang w:eastAsia="zh-HK"/>
        </w:rPr>
        <w:t>掛著一副蛙鏡</w:t>
      </w:r>
      <w:r w:rsidRPr="009F12D9">
        <w:rPr>
          <w:rFonts w:ascii="Times New Roman" w:hAnsi="Times New Roman"/>
          <w:i w:val="0"/>
          <w:szCs w:val="28"/>
          <w:lang w:eastAsia="zh-TW"/>
        </w:rPr>
        <w:t>。</w:t>
      </w:r>
    </w:p>
    <w:p w:rsidR="005724B4" w:rsidRPr="009F12D9" w:rsidRDefault="005724B4" w:rsidP="005724B4">
      <w:pPr>
        <w:pStyle w:val="ar-heading1"/>
        <w:keepNext w:val="0"/>
        <w:numPr>
          <w:ilvl w:val="0"/>
          <w:numId w:val="5"/>
        </w:numPr>
        <w:spacing w:before="0" w:after="520"/>
        <w:ind w:firstLine="0"/>
        <w:jc w:val="both"/>
        <w:rPr>
          <w:rFonts w:ascii="Times New Roman" w:hAnsi="Times New Roman"/>
          <w:i w:val="0"/>
          <w:lang w:val="en-US" w:eastAsia="zh-TW"/>
        </w:rPr>
      </w:pPr>
      <w:r w:rsidRPr="009F12D9">
        <w:rPr>
          <w:rFonts w:ascii="Times New Roman" w:hAnsi="Times New Roman"/>
          <w:i w:val="0"/>
          <w:lang w:eastAsia="zh-HK"/>
        </w:rPr>
        <w:lastRenderedPageBreak/>
        <w:t>在對</w:t>
      </w:r>
      <w:r w:rsidRPr="009F12D9">
        <w:rPr>
          <w:rFonts w:ascii="Times New Roman" w:hAnsi="Times New Roman"/>
          <w:i w:val="0"/>
          <w:lang w:eastAsia="zh-TW"/>
        </w:rPr>
        <w:t>峙</w:t>
      </w:r>
      <w:r w:rsidRPr="009F12D9">
        <w:rPr>
          <w:rFonts w:ascii="Times New Roman" w:hAnsi="Times New Roman"/>
          <w:i w:val="0"/>
          <w:lang w:eastAsia="zh-HK"/>
        </w:rPr>
        <w:t>過</w:t>
      </w:r>
      <w:r w:rsidRPr="009F12D9">
        <w:rPr>
          <w:rFonts w:ascii="Times New Roman" w:hAnsi="Times New Roman"/>
          <w:i w:val="0"/>
          <w:lang w:eastAsia="zh-TW"/>
        </w:rPr>
        <w:t>程當</w:t>
      </w:r>
      <w:r w:rsidRPr="009F12D9">
        <w:rPr>
          <w:rFonts w:ascii="Times New Roman" w:hAnsi="Times New Roman"/>
          <w:i w:val="0"/>
          <w:lang w:eastAsia="zh-HK"/>
        </w:rPr>
        <w:t>中</w:t>
      </w:r>
      <w:r w:rsidRPr="009F12D9">
        <w:rPr>
          <w:rFonts w:ascii="Times New Roman" w:hAnsi="Times New Roman"/>
          <w:i w:val="0"/>
          <w:lang w:eastAsia="zh-TW"/>
        </w:rPr>
        <w:t>，答辯人曾一度離開示威人群，從</w:t>
      </w:r>
      <w:r w:rsidRPr="009F12D9">
        <w:rPr>
          <w:rFonts w:ascii="Times New Roman" w:hAnsi="Times New Roman"/>
          <w:i w:val="0"/>
          <w:lang w:eastAsia="zh-HK"/>
        </w:rPr>
        <w:t>路</w:t>
      </w:r>
      <w:r w:rsidRPr="009F12D9">
        <w:rPr>
          <w:rFonts w:ascii="Times New Roman" w:hAnsi="Times New Roman"/>
          <w:i w:val="0"/>
          <w:lang w:eastAsia="zh-TW"/>
        </w:rPr>
        <w:t>旁</w:t>
      </w:r>
      <w:r w:rsidRPr="009F12D9">
        <w:rPr>
          <w:rFonts w:ascii="Times New Roman" w:hAnsi="Times New Roman"/>
          <w:i w:val="0"/>
          <w:lang w:eastAsia="zh-HK"/>
        </w:rPr>
        <w:t>拾</w:t>
      </w:r>
      <w:r w:rsidRPr="009F12D9">
        <w:rPr>
          <w:rFonts w:ascii="Times New Roman" w:hAnsi="Times New Roman"/>
          <w:i w:val="0"/>
          <w:lang w:eastAsia="zh-TW"/>
        </w:rPr>
        <w:t>起</w:t>
      </w:r>
      <w:r w:rsidRPr="009F12D9">
        <w:rPr>
          <w:rFonts w:ascii="Times New Roman" w:hAnsi="Times New Roman"/>
          <w:i w:val="0"/>
          <w:lang w:eastAsia="zh-HK"/>
        </w:rPr>
        <w:t>兩個麻包袋</w:t>
      </w:r>
      <w:r w:rsidRPr="009F12D9">
        <w:rPr>
          <w:rFonts w:ascii="Times New Roman" w:hAnsi="Times New Roman"/>
          <w:i w:val="0"/>
          <w:lang w:eastAsia="zh-TW"/>
        </w:rPr>
        <w:t>，然後把</w:t>
      </w:r>
      <w:proofErr w:type="gramStart"/>
      <w:r w:rsidRPr="009F12D9">
        <w:rPr>
          <w:rFonts w:ascii="Times New Roman" w:hAnsi="Times New Roman"/>
          <w:i w:val="0"/>
          <w:lang w:eastAsia="zh-TW"/>
        </w:rPr>
        <w:t>麻包袋扔到</w:t>
      </w:r>
      <w:proofErr w:type="gramEnd"/>
      <w:r w:rsidRPr="009F12D9">
        <w:rPr>
          <w:rFonts w:ascii="Times New Roman" w:hAnsi="Times New Roman"/>
          <w:i w:val="0"/>
          <w:lang w:eastAsia="zh-HK"/>
        </w:rPr>
        <w:t>示</w:t>
      </w:r>
      <w:r w:rsidRPr="009F12D9">
        <w:rPr>
          <w:rFonts w:ascii="Times New Roman" w:hAnsi="Times New Roman"/>
          <w:i w:val="0"/>
          <w:lang w:eastAsia="zh-TW"/>
        </w:rPr>
        <w:t>威人群前面幾</w:t>
      </w:r>
      <w:r w:rsidRPr="009F12D9">
        <w:rPr>
          <w:rFonts w:ascii="Times New Roman" w:hAnsi="Times New Roman"/>
          <w:i w:val="0"/>
          <w:lang w:eastAsia="zh-HK"/>
        </w:rPr>
        <w:t>米的</w:t>
      </w:r>
      <w:r w:rsidRPr="009F12D9">
        <w:rPr>
          <w:rFonts w:ascii="Times New Roman" w:hAnsi="Times New Roman"/>
          <w:i w:val="0"/>
          <w:lang w:eastAsia="zh-TW"/>
        </w:rPr>
        <w:t>馬路中心。答辯人接著</w:t>
      </w:r>
      <w:r w:rsidRPr="009F12D9">
        <w:rPr>
          <w:rFonts w:ascii="Times New Roman" w:hAnsi="Times New Roman"/>
          <w:i w:val="0"/>
          <w:lang w:eastAsia="zh-HK"/>
        </w:rPr>
        <w:t>退回</w:t>
      </w:r>
      <w:r w:rsidRPr="009F12D9">
        <w:rPr>
          <w:rFonts w:ascii="Times New Roman" w:hAnsi="Times New Roman"/>
          <w:i w:val="0"/>
          <w:lang w:eastAsia="zh-TW"/>
        </w:rPr>
        <w:t>到示威者的行列</w:t>
      </w:r>
      <w:r w:rsidRPr="009F12D9">
        <w:rPr>
          <w:rFonts w:ascii="Times New Roman" w:hAnsi="Times New Roman"/>
          <w:i w:val="0"/>
          <w:szCs w:val="28"/>
          <w:lang w:eastAsia="zh-TW"/>
        </w:rPr>
        <w:t>。</w:t>
      </w:r>
    </w:p>
    <w:p w:rsidR="005724B4" w:rsidRPr="009F12D9" w:rsidRDefault="005724B4" w:rsidP="005724B4">
      <w:pPr>
        <w:pStyle w:val="ar-heading1"/>
        <w:keepNext w:val="0"/>
        <w:numPr>
          <w:ilvl w:val="0"/>
          <w:numId w:val="5"/>
        </w:numPr>
        <w:spacing w:before="0" w:after="520"/>
        <w:ind w:firstLine="0"/>
        <w:jc w:val="both"/>
        <w:rPr>
          <w:rFonts w:ascii="Times New Roman" w:hAnsi="Times New Roman"/>
          <w:i w:val="0"/>
          <w:lang w:val="en-US" w:eastAsia="zh-TW"/>
        </w:rPr>
      </w:pPr>
      <w:r w:rsidRPr="009F12D9">
        <w:rPr>
          <w:rFonts w:ascii="Times New Roman" w:hAnsi="Times New Roman"/>
          <w:i w:val="0"/>
          <w:lang w:eastAsia="zh-TW"/>
        </w:rPr>
        <w:t>由於示威者不理警告，拒絕散去，</w:t>
      </w:r>
      <w:r w:rsidRPr="009F12D9">
        <w:rPr>
          <w:rFonts w:ascii="Times New Roman" w:hAnsi="Times New Roman"/>
          <w:i w:val="0"/>
          <w:lang w:eastAsia="zh-HK"/>
        </w:rPr>
        <w:t>繼</w:t>
      </w:r>
      <w:r w:rsidRPr="009F12D9">
        <w:rPr>
          <w:rFonts w:ascii="Times New Roman" w:hAnsi="Times New Roman"/>
          <w:i w:val="0"/>
          <w:lang w:eastAsia="zh-TW"/>
        </w:rPr>
        <w:t>續</w:t>
      </w:r>
      <w:r w:rsidRPr="009F12D9">
        <w:rPr>
          <w:rFonts w:ascii="Times New Roman" w:hAnsi="Times New Roman"/>
          <w:i w:val="0"/>
          <w:lang w:eastAsia="zh-HK"/>
        </w:rPr>
        <w:t>佔</w:t>
      </w:r>
      <w:r w:rsidRPr="009F12D9">
        <w:rPr>
          <w:rFonts w:ascii="Times New Roman" w:hAnsi="Times New Roman"/>
          <w:i w:val="0"/>
          <w:lang w:eastAsia="zh-TW"/>
        </w:rPr>
        <w:t>據</w:t>
      </w:r>
      <w:r w:rsidRPr="009F12D9">
        <w:rPr>
          <w:rFonts w:ascii="Times New Roman" w:hAnsi="Times New Roman"/>
          <w:i w:val="0"/>
          <w:lang w:eastAsia="zh-HK"/>
        </w:rPr>
        <w:t>馬路</w:t>
      </w:r>
      <w:r w:rsidRPr="009F12D9">
        <w:rPr>
          <w:rFonts w:ascii="Times New Roman" w:hAnsi="Times New Roman"/>
          <w:i w:val="0"/>
          <w:lang w:eastAsia="zh-TW"/>
        </w:rPr>
        <w:t>和不停</w:t>
      </w:r>
      <w:r w:rsidRPr="009F12D9">
        <w:rPr>
          <w:rFonts w:ascii="Times New Roman" w:hAnsi="Times New Roman"/>
          <w:i w:val="0"/>
          <w:lang w:eastAsia="zh-HK"/>
        </w:rPr>
        <w:t>高叫口</w:t>
      </w:r>
      <w:r w:rsidRPr="009F12D9">
        <w:rPr>
          <w:rFonts w:ascii="Times New Roman" w:hAnsi="Times New Roman"/>
          <w:i w:val="0"/>
          <w:lang w:eastAsia="zh-TW"/>
        </w:rPr>
        <w:t>號，警方遂於同日晚上</w:t>
      </w:r>
      <w:r w:rsidRPr="009F12D9">
        <w:rPr>
          <w:rFonts w:ascii="Times New Roman" w:hAnsi="Times New Roman"/>
          <w:i w:val="0"/>
          <w:lang w:eastAsia="zh-TW"/>
        </w:rPr>
        <w:t>10</w:t>
      </w:r>
      <w:r w:rsidRPr="009F12D9">
        <w:rPr>
          <w:rFonts w:ascii="Times New Roman" w:hAnsi="Times New Roman"/>
          <w:i w:val="0"/>
          <w:lang w:eastAsia="zh-HK"/>
        </w:rPr>
        <w:t>時</w:t>
      </w:r>
      <w:r w:rsidRPr="009F12D9">
        <w:rPr>
          <w:rFonts w:ascii="Times New Roman" w:hAnsi="Times New Roman"/>
          <w:i w:val="0"/>
          <w:lang w:eastAsia="zh-TW"/>
        </w:rPr>
        <w:t>55</w:t>
      </w:r>
      <w:r w:rsidRPr="009F12D9">
        <w:rPr>
          <w:rFonts w:ascii="Times New Roman" w:hAnsi="Times New Roman"/>
          <w:i w:val="0"/>
          <w:lang w:eastAsia="zh-HK"/>
        </w:rPr>
        <w:t>分</w:t>
      </w:r>
      <w:proofErr w:type="gramStart"/>
      <w:r w:rsidRPr="009F12D9">
        <w:rPr>
          <w:rFonts w:ascii="Times New Roman" w:hAnsi="Times New Roman"/>
          <w:i w:val="0"/>
          <w:lang w:eastAsia="zh-TW"/>
        </w:rPr>
        <w:t>向</w:t>
      </w:r>
      <w:r w:rsidRPr="009F12D9">
        <w:rPr>
          <w:rFonts w:ascii="Times New Roman" w:hAnsi="Times New Roman"/>
          <w:i w:val="0"/>
          <w:lang w:eastAsia="zh-HK"/>
        </w:rPr>
        <w:t>結志</w:t>
      </w:r>
      <w:proofErr w:type="gramEnd"/>
      <w:r w:rsidRPr="009F12D9">
        <w:rPr>
          <w:rFonts w:ascii="Times New Roman" w:hAnsi="Times New Roman"/>
          <w:i w:val="0"/>
          <w:lang w:eastAsia="zh-HK"/>
        </w:rPr>
        <w:t>街</w:t>
      </w:r>
      <w:r w:rsidRPr="009F12D9">
        <w:rPr>
          <w:rFonts w:ascii="Times New Roman" w:hAnsi="Times New Roman"/>
          <w:i w:val="0"/>
          <w:lang w:eastAsia="zh-TW"/>
        </w:rPr>
        <w:t>推進。</w:t>
      </w:r>
      <w:r w:rsidRPr="009F12D9">
        <w:rPr>
          <w:rFonts w:ascii="Times New Roman" w:hAnsi="Times New Roman"/>
          <w:i w:val="0"/>
          <w:lang w:eastAsia="zh-HK"/>
        </w:rPr>
        <w:t>示</w:t>
      </w:r>
      <w:r w:rsidRPr="009F12D9">
        <w:rPr>
          <w:rFonts w:ascii="Times New Roman" w:hAnsi="Times New Roman"/>
          <w:i w:val="0"/>
          <w:lang w:eastAsia="zh-TW"/>
        </w:rPr>
        <w:t>威</w:t>
      </w:r>
      <w:r w:rsidRPr="009F12D9">
        <w:rPr>
          <w:rFonts w:ascii="Times New Roman" w:hAnsi="Times New Roman"/>
          <w:i w:val="0"/>
          <w:lang w:eastAsia="zh-HK"/>
        </w:rPr>
        <w:t>者轉身逃</w:t>
      </w:r>
      <w:r w:rsidRPr="009F12D9">
        <w:rPr>
          <w:rFonts w:ascii="Times New Roman" w:hAnsi="Times New Roman"/>
          <w:i w:val="0"/>
          <w:lang w:eastAsia="zh-TW"/>
        </w:rPr>
        <w:t>跑，但答辯人卻被制伏和拘捕</w:t>
      </w:r>
      <w:r w:rsidRPr="009F12D9">
        <w:rPr>
          <w:rFonts w:ascii="Times New Roman" w:hAnsi="Times New Roman"/>
          <w:i w:val="0"/>
          <w:szCs w:val="28"/>
          <w:lang w:eastAsia="zh-TW"/>
        </w:rPr>
        <w:t>。</w:t>
      </w:r>
    </w:p>
    <w:p w:rsidR="005724B4" w:rsidRPr="009F12D9" w:rsidRDefault="00BB5AEB" w:rsidP="005724B4">
      <w:pPr>
        <w:pStyle w:val="ar-heading1"/>
        <w:keepNext w:val="0"/>
        <w:numPr>
          <w:ilvl w:val="0"/>
          <w:numId w:val="5"/>
        </w:numPr>
        <w:spacing w:before="0" w:after="520"/>
        <w:ind w:firstLine="0"/>
        <w:jc w:val="both"/>
        <w:rPr>
          <w:rFonts w:ascii="Times New Roman" w:hAnsi="Times New Roman"/>
          <w:i w:val="0"/>
          <w:lang w:val="en-US" w:eastAsia="zh-TW"/>
        </w:rPr>
      </w:pPr>
      <w:r w:rsidRPr="009F12D9">
        <w:rPr>
          <w:rFonts w:ascii="Times New Roman" w:hAnsi="Times New Roman"/>
          <w:i w:val="0"/>
          <w:lang w:eastAsia="zh-HK"/>
        </w:rPr>
        <w:t>警</w:t>
      </w:r>
      <w:r w:rsidRPr="009F12D9">
        <w:rPr>
          <w:rFonts w:ascii="Times New Roman" w:hAnsi="Times New Roman"/>
          <w:i w:val="0"/>
          <w:lang w:eastAsia="zh-TW"/>
        </w:rPr>
        <w:t>方從答辯人</w:t>
      </w:r>
      <w:r w:rsidRPr="009F12D9">
        <w:rPr>
          <w:rFonts w:ascii="Times New Roman" w:hAnsi="Times New Roman"/>
          <w:i w:val="0"/>
          <w:lang w:eastAsia="zh-HK"/>
        </w:rPr>
        <w:t>的背</w:t>
      </w:r>
      <w:r w:rsidRPr="009F12D9">
        <w:rPr>
          <w:rFonts w:ascii="Times New Roman" w:hAnsi="Times New Roman"/>
          <w:i w:val="0"/>
          <w:lang w:eastAsia="zh-TW"/>
        </w:rPr>
        <w:t>囊搜出</w:t>
      </w:r>
      <w:r w:rsidRPr="009F12D9">
        <w:rPr>
          <w:rFonts w:ascii="Times New Roman" w:hAnsi="Times New Roman"/>
          <w:i w:val="0"/>
          <w:lang w:eastAsia="zh-HK"/>
        </w:rPr>
        <w:t>一頂黑</w:t>
      </w:r>
      <w:r w:rsidRPr="009F12D9">
        <w:rPr>
          <w:rFonts w:ascii="Times New Roman" w:hAnsi="Times New Roman"/>
          <w:i w:val="0"/>
          <w:lang w:eastAsia="zh-TW"/>
        </w:rPr>
        <w:t>色</w:t>
      </w:r>
      <w:r w:rsidRPr="009F12D9">
        <w:rPr>
          <w:rFonts w:ascii="Times New Roman" w:hAnsi="Times New Roman"/>
          <w:i w:val="0"/>
          <w:lang w:eastAsia="zh-HK"/>
        </w:rPr>
        <w:t>鴨</w:t>
      </w:r>
      <w:r w:rsidRPr="009F12D9">
        <w:rPr>
          <w:rFonts w:ascii="Times New Roman" w:hAnsi="Times New Roman"/>
          <w:i w:val="0"/>
          <w:lang w:eastAsia="zh-TW"/>
        </w:rPr>
        <w:t>舌帽、</w:t>
      </w:r>
      <w:r w:rsidRPr="009F12D9">
        <w:rPr>
          <w:rFonts w:ascii="Times New Roman" w:hAnsi="Times New Roman"/>
          <w:i w:val="0"/>
          <w:lang w:eastAsia="zh-HK"/>
        </w:rPr>
        <w:t>一副蛙鏡、兩對手套</w:t>
      </w:r>
      <w:r w:rsidRPr="009F12D9">
        <w:rPr>
          <w:rFonts w:ascii="Times New Roman" w:hAnsi="Times New Roman"/>
          <w:i w:val="0"/>
          <w:lang w:eastAsia="zh-TW"/>
        </w:rPr>
        <w:t>、</w:t>
      </w:r>
      <w:r w:rsidRPr="009F12D9">
        <w:rPr>
          <w:rFonts w:ascii="Times New Roman" w:hAnsi="Times New Roman"/>
          <w:i w:val="0"/>
          <w:lang w:eastAsia="zh-HK"/>
        </w:rPr>
        <w:t>兩條圍</w:t>
      </w:r>
      <w:r w:rsidRPr="009F12D9">
        <w:rPr>
          <w:rFonts w:ascii="Times New Roman" w:hAnsi="Times New Roman"/>
          <w:i w:val="0"/>
          <w:lang w:eastAsia="zh-TW"/>
        </w:rPr>
        <w:t>巾，和一根長</w:t>
      </w:r>
      <w:r w:rsidRPr="009F12D9">
        <w:rPr>
          <w:rFonts w:ascii="Times New Roman" w:hAnsi="Times New Roman"/>
          <w:i w:val="0"/>
          <w:lang w:eastAsia="zh-TW"/>
        </w:rPr>
        <w:t>120</w:t>
      </w:r>
      <w:r w:rsidRPr="009F12D9">
        <w:rPr>
          <w:rFonts w:ascii="Times New Roman" w:hAnsi="Times New Roman"/>
          <w:i w:val="0"/>
          <w:lang w:eastAsia="zh-HK"/>
        </w:rPr>
        <w:t>厘</w:t>
      </w:r>
      <w:r w:rsidRPr="009F12D9">
        <w:rPr>
          <w:rFonts w:ascii="Times New Roman" w:hAnsi="Times New Roman"/>
          <w:i w:val="0"/>
          <w:lang w:eastAsia="zh-TW"/>
        </w:rPr>
        <w:t>米的</w:t>
      </w:r>
      <w:r w:rsidRPr="009F12D9">
        <w:rPr>
          <w:rFonts w:ascii="Times New Roman" w:hAnsi="Times New Roman"/>
          <w:i w:val="0"/>
          <w:lang w:eastAsia="zh-HK"/>
        </w:rPr>
        <w:t>可組</w:t>
      </w:r>
      <w:r w:rsidRPr="009F12D9">
        <w:rPr>
          <w:rFonts w:ascii="Times New Roman" w:hAnsi="Times New Roman"/>
          <w:i w:val="0"/>
          <w:lang w:eastAsia="zh-TW"/>
        </w:rPr>
        <w:t>合</w:t>
      </w:r>
      <w:r w:rsidRPr="009F12D9">
        <w:rPr>
          <w:rFonts w:ascii="Times New Roman" w:hAnsi="Times New Roman"/>
          <w:i w:val="0"/>
          <w:lang w:eastAsia="zh-HK"/>
        </w:rPr>
        <w:t>木棍</w:t>
      </w:r>
      <w:r w:rsidRPr="009F12D9">
        <w:rPr>
          <w:rFonts w:ascii="Times New Roman" w:hAnsi="Times New Roman"/>
          <w:i w:val="0"/>
          <w:lang w:eastAsia="zh-TW"/>
        </w:rPr>
        <w:t>。該木棍</w:t>
      </w:r>
      <w:proofErr w:type="gramStart"/>
      <w:r w:rsidRPr="009F12D9">
        <w:rPr>
          <w:rFonts w:ascii="Times New Roman" w:hAnsi="Times New Roman"/>
          <w:i w:val="0"/>
          <w:lang w:eastAsia="zh-TW"/>
        </w:rPr>
        <w:t>就是原</w:t>
      </w:r>
      <w:r w:rsidRPr="009F12D9">
        <w:rPr>
          <w:rFonts w:ascii="Times New Roman" w:hAnsi="Times New Roman"/>
          <w:i w:val="0"/>
          <w:lang w:eastAsia="zh-HK"/>
        </w:rPr>
        <w:t>管有</w:t>
      </w:r>
      <w:proofErr w:type="gramEnd"/>
      <w:r w:rsidRPr="009F12D9">
        <w:rPr>
          <w:rFonts w:ascii="Times New Roman" w:hAnsi="Times New Roman"/>
          <w:i w:val="0"/>
          <w:lang w:eastAsia="zh-HK"/>
        </w:rPr>
        <w:t>攻</w:t>
      </w:r>
      <w:r w:rsidRPr="009F12D9">
        <w:rPr>
          <w:rFonts w:ascii="Times New Roman" w:hAnsi="Times New Roman"/>
          <w:i w:val="0"/>
          <w:lang w:eastAsia="zh-TW"/>
        </w:rPr>
        <w:t>擊</w:t>
      </w:r>
      <w:r w:rsidRPr="009F12D9">
        <w:rPr>
          <w:rFonts w:ascii="Times New Roman" w:hAnsi="Times New Roman"/>
          <w:i w:val="0"/>
          <w:lang w:eastAsia="zh-HK"/>
        </w:rPr>
        <w:t>性</w:t>
      </w:r>
      <w:r w:rsidRPr="009F12D9">
        <w:rPr>
          <w:rFonts w:ascii="Times New Roman" w:hAnsi="Times New Roman"/>
          <w:i w:val="0"/>
          <w:lang w:eastAsia="zh-TW"/>
        </w:rPr>
        <w:t>武</w:t>
      </w:r>
      <w:r w:rsidRPr="009F12D9">
        <w:rPr>
          <w:rFonts w:ascii="Times New Roman" w:hAnsi="Times New Roman"/>
          <w:i w:val="0"/>
          <w:lang w:eastAsia="zh-HK"/>
        </w:rPr>
        <w:t>器</w:t>
      </w:r>
      <w:r w:rsidRPr="009F12D9">
        <w:rPr>
          <w:rFonts w:ascii="Times New Roman" w:hAnsi="Times New Roman"/>
          <w:i w:val="0"/>
          <w:lang w:eastAsia="zh-TW"/>
        </w:rPr>
        <w:t>罪的標的。答辯人</w:t>
      </w:r>
      <w:r w:rsidRPr="009F12D9">
        <w:rPr>
          <w:rFonts w:ascii="Times New Roman" w:hAnsi="Times New Roman"/>
          <w:i w:val="0"/>
          <w:lang w:eastAsia="zh-HK"/>
        </w:rPr>
        <w:t>在</w:t>
      </w:r>
      <w:r w:rsidRPr="009F12D9">
        <w:rPr>
          <w:rFonts w:ascii="Times New Roman" w:hAnsi="Times New Roman"/>
          <w:i w:val="0"/>
          <w:lang w:eastAsia="zh-TW"/>
        </w:rPr>
        <w:t>警</w:t>
      </w:r>
      <w:proofErr w:type="gramStart"/>
      <w:r w:rsidRPr="009F12D9">
        <w:rPr>
          <w:rFonts w:ascii="Times New Roman" w:hAnsi="Times New Roman"/>
          <w:i w:val="0"/>
          <w:lang w:eastAsia="zh-TW"/>
        </w:rPr>
        <w:t>誡</w:t>
      </w:r>
      <w:proofErr w:type="gramEnd"/>
      <w:r w:rsidRPr="009F12D9">
        <w:rPr>
          <w:rFonts w:ascii="Times New Roman" w:hAnsi="Times New Roman"/>
          <w:i w:val="0"/>
          <w:lang w:eastAsia="zh-TW"/>
        </w:rPr>
        <w:t>下保持緘默</w:t>
      </w:r>
      <w:r w:rsidR="005724B4" w:rsidRPr="009F12D9">
        <w:rPr>
          <w:rFonts w:ascii="Times New Roman" w:hAnsi="Times New Roman"/>
          <w:i w:val="0"/>
          <w:szCs w:val="28"/>
          <w:lang w:eastAsia="zh-TW"/>
        </w:rPr>
        <w:t>。</w:t>
      </w:r>
    </w:p>
    <w:p w:rsidR="00BB5AEB" w:rsidRPr="009F12D9" w:rsidRDefault="00BB5AEB" w:rsidP="00BB5AEB">
      <w:pPr>
        <w:pStyle w:val="Final"/>
        <w:keepNext/>
        <w:tabs>
          <w:tab w:val="clear" w:pos="1440"/>
          <w:tab w:val="clear" w:pos="4320"/>
          <w:tab w:val="clear" w:pos="9072"/>
          <w:tab w:val="left" w:pos="720"/>
          <w:tab w:val="center" w:pos="4234"/>
          <w:tab w:val="right" w:pos="8453"/>
        </w:tabs>
        <w:spacing w:after="360"/>
        <w:rPr>
          <w:i/>
          <w:lang w:eastAsia="zh-TW"/>
        </w:rPr>
      </w:pPr>
      <w:r w:rsidRPr="009F12D9">
        <w:rPr>
          <w:i/>
          <w:lang w:eastAsia="zh-TW"/>
        </w:rPr>
        <w:t xml:space="preserve">C. </w:t>
      </w:r>
      <w:r w:rsidRPr="009F12D9">
        <w:rPr>
          <w:i/>
          <w:lang w:eastAsia="zh-TW"/>
        </w:rPr>
        <w:tab/>
      </w:r>
      <w:r w:rsidRPr="009F12D9">
        <w:rPr>
          <w:i/>
          <w:lang w:eastAsia="zh-TW"/>
        </w:rPr>
        <w:t>現場錄影和相關截圖</w:t>
      </w:r>
    </w:p>
    <w:p w:rsidR="005724B4" w:rsidRPr="009F12D9" w:rsidRDefault="00BB5AEB" w:rsidP="005724B4">
      <w:pPr>
        <w:pStyle w:val="ar-heading1"/>
        <w:keepNext w:val="0"/>
        <w:numPr>
          <w:ilvl w:val="0"/>
          <w:numId w:val="5"/>
        </w:numPr>
        <w:spacing w:before="0" w:after="520"/>
        <w:ind w:firstLine="0"/>
        <w:jc w:val="both"/>
        <w:rPr>
          <w:rFonts w:ascii="Times New Roman" w:hAnsi="Times New Roman"/>
          <w:i w:val="0"/>
          <w:lang w:val="en-US" w:eastAsia="zh-TW"/>
        </w:rPr>
      </w:pPr>
      <w:r w:rsidRPr="009F12D9">
        <w:rPr>
          <w:rFonts w:ascii="Times New Roman" w:hAnsi="Times New Roman"/>
          <w:i w:val="0"/>
          <w:lang w:eastAsia="zh-TW"/>
        </w:rPr>
        <w:t>除了同意事實之外，</w:t>
      </w:r>
      <w:proofErr w:type="gramStart"/>
      <w:r w:rsidRPr="009F12D9">
        <w:rPr>
          <w:rFonts w:ascii="Times New Roman" w:hAnsi="Times New Roman"/>
          <w:i w:val="0"/>
          <w:lang w:eastAsia="zh-TW"/>
        </w:rPr>
        <w:t>控辯雙方</w:t>
      </w:r>
      <w:proofErr w:type="gramEnd"/>
      <w:r w:rsidRPr="009F12D9">
        <w:rPr>
          <w:rFonts w:ascii="Times New Roman" w:hAnsi="Times New Roman"/>
          <w:i w:val="0"/>
          <w:lang w:eastAsia="zh-TW"/>
        </w:rPr>
        <w:t>還向法庭呈遞了案發時的錄影片段和相關截圖</w:t>
      </w:r>
      <w:r w:rsidRPr="009F12D9">
        <w:rPr>
          <w:rStyle w:val="FootnoteReference"/>
          <w:i w:val="0"/>
        </w:rPr>
        <w:footnoteReference w:id="5"/>
      </w:r>
      <w:r w:rsidRPr="009F12D9">
        <w:rPr>
          <w:rFonts w:ascii="Times New Roman" w:hAnsi="Times New Roman"/>
          <w:i w:val="0"/>
          <w:lang w:eastAsia="zh-TW"/>
        </w:rPr>
        <w:t>。部分錄影片段在庭上播放</w:t>
      </w:r>
      <w:r w:rsidRPr="009F12D9">
        <w:rPr>
          <w:rStyle w:val="FootnoteReference"/>
          <w:i w:val="0"/>
        </w:rPr>
        <w:footnoteReference w:id="6"/>
      </w:r>
      <w:r w:rsidR="005724B4" w:rsidRPr="009F12D9">
        <w:rPr>
          <w:rFonts w:ascii="Times New Roman" w:hAnsi="Times New Roman"/>
          <w:i w:val="0"/>
          <w:szCs w:val="28"/>
          <w:lang w:eastAsia="zh-TW"/>
        </w:rPr>
        <w:t>。</w:t>
      </w:r>
    </w:p>
    <w:p w:rsidR="005724B4" w:rsidRPr="009F12D9" w:rsidRDefault="00BB5AEB" w:rsidP="005724B4">
      <w:pPr>
        <w:pStyle w:val="ar-heading1"/>
        <w:keepNext w:val="0"/>
        <w:numPr>
          <w:ilvl w:val="0"/>
          <w:numId w:val="5"/>
        </w:numPr>
        <w:spacing w:before="0" w:after="520"/>
        <w:ind w:firstLine="0"/>
        <w:jc w:val="both"/>
        <w:rPr>
          <w:rFonts w:ascii="Times New Roman" w:hAnsi="Times New Roman"/>
          <w:i w:val="0"/>
          <w:lang w:val="en-US" w:eastAsia="zh-TW"/>
        </w:rPr>
      </w:pPr>
      <w:r w:rsidRPr="009F12D9">
        <w:rPr>
          <w:rFonts w:ascii="Times New Roman" w:hAnsi="Times New Roman"/>
          <w:i w:val="0"/>
          <w:lang w:eastAsia="zh-TW"/>
        </w:rPr>
        <w:t>原審裁判官</w:t>
      </w:r>
      <w:r w:rsidRPr="009F12D9">
        <w:rPr>
          <w:rFonts w:ascii="Times New Roman" w:hAnsi="Times New Roman"/>
          <w:i w:val="0"/>
          <w:lang w:eastAsia="zh-HK"/>
        </w:rPr>
        <w:t>在</w:t>
      </w:r>
      <w:r w:rsidRPr="009F12D9">
        <w:rPr>
          <w:rFonts w:ascii="Times New Roman" w:hAnsi="Times New Roman"/>
          <w:i w:val="0"/>
          <w:lang w:eastAsia="zh-TW"/>
        </w:rPr>
        <w:t>看過錄影後主動和</w:t>
      </w:r>
      <w:proofErr w:type="gramStart"/>
      <w:r w:rsidRPr="009F12D9">
        <w:rPr>
          <w:rFonts w:ascii="Times New Roman" w:hAnsi="Times New Roman"/>
          <w:i w:val="0"/>
          <w:lang w:eastAsia="zh-TW"/>
        </w:rPr>
        <w:t>控方</w:t>
      </w:r>
      <w:proofErr w:type="gramEnd"/>
      <w:r w:rsidRPr="009F12D9">
        <w:rPr>
          <w:rFonts w:ascii="Times New Roman" w:hAnsi="Times New Roman"/>
          <w:i w:val="0"/>
          <w:lang w:eastAsia="zh-HK"/>
        </w:rPr>
        <w:t>確</w:t>
      </w:r>
      <w:r w:rsidRPr="009F12D9">
        <w:rPr>
          <w:rFonts w:ascii="Times New Roman" w:hAnsi="Times New Roman"/>
          <w:i w:val="0"/>
          <w:lang w:eastAsia="zh-TW"/>
        </w:rPr>
        <w:t>認：「</w:t>
      </w:r>
      <w:r w:rsidRPr="009F12D9">
        <w:rPr>
          <w:rFonts w:ascii="Times New Roman" w:hAnsi="Times New Roman"/>
          <w:i w:val="0"/>
          <w:lang w:eastAsia="zh-HK"/>
        </w:rPr>
        <w:t>極</w:t>
      </w:r>
      <w:r w:rsidRPr="009F12D9">
        <w:rPr>
          <w:rFonts w:ascii="Times New Roman" w:hAnsi="Times New Roman"/>
          <w:i w:val="0"/>
          <w:lang w:eastAsia="zh-TW"/>
        </w:rPr>
        <w:t>度</w:t>
      </w:r>
      <w:r w:rsidRPr="009F12D9">
        <w:rPr>
          <w:rFonts w:ascii="Times New Roman" w:hAnsi="Times New Roman"/>
          <w:i w:val="0"/>
          <w:lang w:eastAsia="zh-HK"/>
        </w:rPr>
        <w:t>暴</w:t>
      </w:r>
      <w:r w:rsidRPr="009F12D9">
        <w:rPr>
          <w:rFonts w:ascii="Times New Roman" w:hAnsi="Times New Roman"/>
          <w:i w:val="0"/>
          <w:lang w:eastAsia="zh-TW"/>
        </w:rPr>
        <w:t>力</w:t>
      </w:r>
      <w:r w:rsidRPr="009F12D9">
        <w:rPr>
          <w:rFonts w:ascii="Times New Roman" w:hAnsi="Times New Roman"/>
          <w:i w:val="0"/>
          <w:lang w:eastAsia="zh-HK"/>
        </w:rPr>
        <w:t>嘅情</w:t>
      </w:r>
      <w:r w:rsidRPr="009F12D9">
        <w:rPr>
          <w:rFonts w:ascii="Times New Roman" w:hAnsi="Times New Roman"/>
          <w:i w:val="0"/>
          <w:lang w:eastAsia="zh-TW"/>
        </w:rPr>
        <w:t>況</w:t>
      </w:r>
      <w:r w:rsidRPr="009F12D9">
        <w:rPr>
          <w:rFonts w:ascii="Times New Roman" w:hAnsi="Times New Roman"/>
          <w:i w:val="0"/>
          <w:lang w:eastAsia="zh-HK"/>
        </w:rPr>
        <w:t>喺呢</w:t>
      </w:r>
      <w:proofErr w:type="gramStart"/>
      <w:r w:rsidRPr="009F12D9">
        <w:rPr>
          <w:rFonts w:ascii="Times New Roman" w:hAnsi="Times New Roman"/>
          <w:i w:val="0"/>
          <w:lang w:eastAsia="zh-HK"/>
        </w:rPr>
        <w:t>個</w:t>
      </w:r>
      <w:proofErr w:type="gramEnd"/>
      <w:r w:rsidRPr="009F12D9">
        <w:rPr>
          <w:rFonts w:ascii="Times New Roman" w:hAnsi="Times New Roman"/>
          <w:i w:val="0"/>
          <w:lang w:eastAsia="zh-HK"/>
        </w:rPr>
        <w:t>案</w:t>
      </w:r>
      <w:r w:rsidRPr="009F12D9">
        <w:rPr>
          <w:rFonts w:ascii="Times New Roman" w:hAnsi="Times New Roman"/>
          <w:i w:val="0"/>
          <w:lang w:eastAsia="zh-TW"/>
        </w:rPr>
        <w:t>件</w:t>
      </w:r>
      <w:r w:rsidRPr="009F12D9">
        <w:rPr>
          <w:rFonts w:ascii="Times New Roman" w:hAnsi="Times New Roman"/>
          <w:i w:val="0"/>
          <w:lang w:eastAsia="zh-HK"/>
        </w:rPr>
        <w:t>唔</w:t>
      </w:r>
      <w:r w:rsidRPr="009F12D9">
        <w:rPr>
          <w:rFonts w:ascii="Times New Roman" w:hAnsi="Times New Roman"/>
          <w:i w:val="0"/>
          <w:lang w:eastAsia="zh-TW"/>
        </w:rPr>
        <w:t>適用」、「</w:t>
      </w:r>
      <w:r w:rsidRPr="009F12D9">
        <w:rPr>
          <w:rFonts w:ascii="Times New Roman" w:hAnsi="Times New Roman"/>
          <w:i w:val="0"/>
          <w:lang w:eastAsia="zh-HK"/>
        </w:rPr>
        <w:t>啲集結者係相</w:t>
      </w:r>
      <w:r w:rsidRPr="009F12D9">
        <w:rPr>
          <w:rFonts w:ascii="Times New Roman" w:hAnsi="Times New Roman"/>
          <w:i w:val="0"/>
          <w:lang w:eastAsia="zh-TW"/>
        </w:rPr>
        <w:t>對</w:t>
      </w:r>
      <w:r w:rsidRPr="009F12D9">
        <w:rPr>
          <w:rFonts w:ascii="Times New Roman" w:hAnsi="Times New Roman"/>
          <w:i w:val="0"/>
          <w:lang w:eastAsia="zh-HK"/>
        </w:rPr>
        <w:t>克</w:t>
      </w:r>
      <w:r w:rsidRPr="009F12D9">
        <w:rPr>
          <w:rFonts w:ascii="Times New Roman" w:hAnsi="Times New Roman"/>
          <w:i w:val="0"/>
          <w:lang w:eastAsia="zh-TW"/>
        </w:rPr>
        <w:t>制」，和「</w:t>
      </w:r>
      <w:r w:rsidRPr="009F12D9">
        <w:rPr>
          <w:rFonts w:ascii="Times New Roman" w:hAnsi="Times New Roman"/>
          <w:i w:val="0"/>
          <w:lang w:eastAsia="zh-HK"/>
        </w:rPr>
        <w:t>被捕</w:t>
      </w:r>
      <w:r w:rsidRPr="009F12D9">
        <w:rPr>
          <w:rFonts w:ascii="Times New Roman" w:hAnsi="Times New Roman"/>
          <w:i w:val="0"/>
          <w:lang w:eastAsia="zh-TW"/>
        </w:rPr>
        <w:t xml:space="preserve"> </w:t>
      </w:r>
      <w:r w:rsidRPr="009F12D9">
        <w:rPr>
          <w:rFonts w:ascii="Times New Roman" w:hAnsi="Times New Roman"/>
          <w:i w:val="0"/>
          <w:lang w:eastAsia="zh-TW"/>
        </w:rPr>
        <w:lastRenderedPageBreak/>
        <w:t>[</w:t>
      </w:r>
      <w:r w:rsidRPr="009F12D9">
        <w:rPr>
          <w:rFonts w:ascii="Times New Roman" w:hAnsi="Times New Roman"/>
          <w:i w:val="0"/>
          <w:lang w:eastAsia="zh-TW"/>
        </w:rPr>
        <w:t>之後</w:t>
      </w:r>
      <w:r w:rsidRPr="009F12D9">
        <w:rPr>
          <w:rFonts w:ascii="Times New Roman" w:hAnsi="Times New Roman"/>
          <w:i w:val="0"/>
          <w:lang w:eastAsia="zh-TW"/>
        </w:rPr>
        <w:t xml:space="preserve">] </w:t>
      </w:r>
      <w:r w:rsidRPr="009F12D9">
        <w:rPr>
          <w:rFonts w:ascii="Times New Roman" w:hAnsi="Times New Roman"/>
          <w:i w:val="0"/>
          <w:lang w:eastAsia="zh-HK"/>
        </w:rPr>
        <w:t>被</w:t>
      </w:r>
      <w:r w:rsidRPr="009F12D9">
        <w:rPr>
          <w:rFonts w:ascii="Times New Roman" w:hAnsi="Times New Roman"/>
          <w:i w:val="0"/>
          <w:lang w:eastAsia="zh-TW"/>
        </w:rPr>
        <w:t>告</w:t>
      </w:r>
      <w:r w:rsidRPr="009F12D9">
        <w:rPr>
          <w:rFonts w:ascii="Times New Roman" w:hAnsi="Times New Roman"/>
          <w:i w:val="0"/>
          <w:lang w:eastAsia="zh-HK"/>
        </w:rPr>
        <w:t>人</w:t>
      </w:r>
      <w:proofErr w:type="gramStart"/>
      <w:r w:rsidRPr="009F12D9">
        <w:rPr>
          <w:rFonts w:ascii="Times New Roman" w:hAnsi="Times New Roman"/>
          <w:i w:val="0"/>
          <w:lang w:eastAsia="zh-HK"/>
        </w:rPr>
        <w:t>冇</w:t>
      </w:r>
      <w:proofErr w:type="gramEnd"/>
      <w:r w:rsidRPr="009F12D9">
        <w:rPr>
          <w:rFonts w:ascii="Times New Roman" w:hAnsi="Times New Roman"/>
          <w:i w:val="0"/>
          <w:lang w:eastAsia="zh-HK"/>
        </w:rPr>
        <w:t>任</w:t>
      </w:r>
      <w:r w:rsidRPr="009F12D9">
        <w:rPr>
          <w:rFonts w:ascii="Times New Roman" w:hAnsi="Times New Roman"/>
          <w:i w:val="0"/>
          <w:lang w:eastAsia="zh-TW"/>
        </w:rPr>
        <w:t>何</w:t>
      </w:r>
      <w:r w:rsidRPr="009F12D9">
        <w:rPr>
          <w:rFonts w:ascii="Times New Roman" w:hAnsi="Times New Roman"/>
          <w:i w:val="0"/>
          <w:lang w:eastAsia="zh-HK"/>
        </w:rPr>
        <w:t>掙</w:t>
      </w:r>
      <w:r w:rsidRPr="009F12D9">
        <w:rPr>
          <w:rFonts w:ascii="Times New Roman" w:hAnsi="Times New Roman"/>
          <w:i w:val="0"/>
          <w:lang w:eastAsia="zh-TW"/>
        </w:rPr>
        <w:t>扎</w:t>
      </w:r>
      <w:r w:rsidRPr="009F12D9">
        <w:rPr>
          <w:rFonts w:ascii="Times New Roman" w:hAnsi="Times New Roman"/>
          <w:i w:val="0"/>
          <w:lang w:eastAsia="zh-TW"/>
        </w:rPr>
        <w:t xml:space="preserve"> [</w:t>
      </w:r>
      <w:r w:rsidRPr="009F12D9">
        <w:rPr>
          <w:rFonts w:ascii="Times New Roman" w:hAnsi="Times New Roman"/>
          <w:i w:val="0"/>
          <w:lang w:eastAsia="zh-TW"/>
        </w:rPr>
        <w:t>和</w:t>
      </w:r>
      <w:r w:rsidRPr="009F12D9">
        <w:rPr>
          <w:rFonts w:ascii="Times New Roman" w:hAnsi="Times New Roman"/>
          <w:i w:val="0"/>
          <w:lang w:eastAsia="zh-TW"/>
        </w:rPr>
        <w:t xml:space="preserve">] </w:t>
      </w:r>
      <w:r w:rsidRPr="009F12D9">
        <w:rPr>
          <w:rFonts w:ascii="Times New Roman" w:hAnsi="Times New Roman"/>
          <w:i w:val="0"/>
          <w:lang w:eastAsia="zh-HK"/>
        </w:rPr>
        <w:t>反</w:t>
      </w:r>
      <w:r w:rsidRPr="009F12D9">
        <w:rPr>
          <w:rFonts w:ascii="Times New Roman" w:hAnsi="Times New Roman"/>
          <w:i w:val="0"/>
          <w:lang w:eastAsia="zh-TW"/>
        </w:rPr>
        <w:t>抗」。</w:t>
      </w:r>
      <w:r w:rsidRPr="009F12D9">
        <w:rPr>
          <w:rFonts w:ascii="Times New Roman" w:hAnsi="Times New Roman"/>
          <w:i w:val="0"/>
        </w:rPr>
        <w:t>控方外聘律師</w:t>
      </w:r>
      <w:r w:rsidRPr="009F12D9">
        <w:rPr>
          <w:rFonts w:ascii="Times New Roman" w:hAnsi="Times New Roman"/>
          <w:i w:val="0"/>
          <w:lang w:eastAsia="zh-HK"/>
        </w:rPr>
        <w:t>表</w:t>
      </w:r>
      <w:r w:rsidRPr="009F12D9">
        <w:rPr>
          <w:rFonts w:ascii="Times New Roman" w:hAnsi="Times New Roman"/>
          <w:i w:val="0"/>
          <w:lang w:eastAsia="zh-TW"/>
        </w:rPr>
        <w:t>示</w:t>
      </w:r>
      <w:r w:rsidRPr="009F12D9">
        <w:rPr>
          <w:rFonts w:ascii="Times New Roman" w:hAnsi="Times New Roman"/>
          <w:i w:val="0"/>
        </w:rPr>
        <w:t>「</w:t>
      </w:r>
      <w:r w:rsidRPr="009F12D9">
        <w:rPr>
          <w:rFonts w:ascii="Times New Roman" w:hAnsi="Times New Roman"/>
          <w:i w:val="0"/>
          <w:lang w:eastAsia="zh-HK"/>
        </w:rPr>
        <w:t>同</w:t>
      </w:r>
      <w:r w:rsidRPr="009F12D9">
        <w:rPr>
          <w:rFonts w:ascii="Times New Roman" w:hAnsi="Times New Roman"/>
          <w:i w:val="0"/>
          <w:lang w:eastAsia="zh-TW"/>
        </w:rPr>
        <w:t>意</w:t>
      </w:r>
      <w:r w:rsidRPr="009F12D9">
        <w:rPr>
          <w:rFonts w:ascii="Times New Roman" w:hAnsi="Times New Roman"/>
          <w:i w:val="0"/>
        </w:rPr>
        <w:t>」</w:t>
      </w:r>
      <w:r w:rsidRPr="009F12D9">
        <w:rPr>
          <w:rStyle w:val="FootnoteReference"/>
          <w:i w:val="0"/>
        </w:rPr>
        <w:footnoteReference w:id="7"/>
      </w:r>
      <w:r w:rsidR="005724B4" w:rsidRPr="009F12D9">
        <w:rPr>
          <w:rFonts w:ascii="Times New Roman" w:hAnsi="Times New Roman"/>
          <w:i w:val="0"/>
          <w:szCs w:val="28"/>
          <w:lang w:eastAsia="zh-TW"/>
        </w:rPr>
        <w:t>。</w:t>
      </w:r>
    </w:p>
    <w:p w:rsidR="005724B4" w:rsidRPr="009F12D9" w:rsidRDefault="00BB5AEB" w:rsidP="00FE2C85">
      <w:pPr>
        <w:pStyle w:val="ar-heading1"/>
        <w:keepNext w:val="0"/>
        <w:numPr>
          <w:ilvl w:val="0"/>
          <w:numId w:val="5"/>
        </w:numPr>
        <w:spacing w:before="0" w:after="520"/>
        <w:jc w:val="both"/>
        <w:rPr>
          <w:rFonts w:ascii="Times New Roman" w:hAnsi="Times New Roman"/>
          <w:i w:val="0"/>
          <w:lang w:val="en-US" w:eastAsia="zh-TW"/>
        </w:rPr>
      </w:pPr>
      <w:r w:rsidRPr="009F12D9">
        <w:rPr>
          <w:rFonts w:ascii="Times New Roman" w:hAnsi="Times New Roman"/>
          <w:i w:val="0"/>
        </w:rPr>
        <w:t>原審裁判官在辯方求情時也提到，示威者手持的</w:t>
      </w:r>
      <w:proofErr w:type="gramStart"/>
      <w:r w:rsidRPr="009F12D9">
        <w:rPr>
          <w:rFonts w:ascii="Times New Roman" w:hAnsi="Times New Roman"/>
          <w:i w:val="0"/>
        </w:rPr>
        <w:t>標</w:t>
      </w:r>
      <w:proofErr w:type="gramEnd"/>
      <w:r w:rsidRPr="009F12D9">
        <w:rPr>
          <w:rFonts w:ascii="Times New Roman" w:hAnsi="Times New Roman"/>
          <w:i w:val="0"/>
        </w:rPr>
        <w:t>語，</w:t>
      </w:r>
      <w:proofErr w:type="gramStart"/>
      <w:r w:rsidRPr="009F12D9">
        <w:rPr>
          <w:rFonts w:ascii="Times New Roman" w:hAnsi="Times New Roman"/>
          <w:i w:val="0"/>
        </w:rPr>
        <w:t>內</w:t>
      </w:r>
      <w:proofErr w:type="gramEnd"/>
      <w:r w:rsidRPr="009F12D9">
        <w:rPr>
          <w:rFonts w:ascii="Times New Roman" w:hAnsi="Times New Roman"/>
          <w:i w:val="0"/>
        </w:rPr>
        <w:t>容「係包括呼籲</w:t>
      </w:r>
      <w:proofErr w:type="gramStart"/>
      <w:r w:rsidRPr="009F12D9">
        <w:rPr>
          <w:rFonts w:ascii="Times New Roman" w:hAnsi="Times New Roman"/>
          <w:i w:val="0"/>
        </w:rPr>
        <w:t>啲</w:t>
      </w:r>
      <w:proofErr w:type="gramEnd"/>
      <w:r w:rsidRPr="009F12D9">
        <w:rPr>
          <w:rFonts w:ascii="Times New Roman" w:hAnsi="Times New Roman"/>
          <w:i w:val="0"/>
        </w:rPr>
        <w:t>人</w:t>
      </w:r>
      <w:r w:rsidRPr="009F12D9">
        <w:rPr>
          <w:rFonts w:ascii="Times New Roman" w:hAnsi="Times New Roman"/>
          <w:i w:val="0"/>
        </w:rPr>
        <w:t>11</w:t>
      </w:r>
      <w:r w:rsidRPr="009F12D9">
        <w:rPr>
          <w:rFonts w:ascii="Times New Roman" w:hAnsi="Times New Roman"/>
          <w:i w:val="0"/>
        </w:rPr>
        <w:t>月</w:t>
      </w:r>
      <w:r w:rsidRPr="009F12D9">
        <w:rPr>
          <w:rFonts w:ascii="Times New Roman" w:hAnsi="Times New Roman"/>
          <w:i w:val="0"/>
        </w:rPr>
        <w:t>2</w:t>
      </w:r>
      <w:r w:rsidRPr="009F12D9">
        <w:rPr>
          <w:rFonts w:ascii="Times New Roman" w:hAnsi="Times New Roman"/>
          <w:i w:val="0"/>
        </w:rPr>
        <w:t>號去遊行」，而辯方則指口號</w:t>
      </w:r>
      <w:proofErr w:type="gramStart"/>
      <w:r w:rsidRPr="009F12D9">
        <w:rPr>
          <w:rFonts w:ascii="Times New Roman" w:hAnsi="Times New Roman"/>
          <w:i w:val="0"/>
        </w:rPr>
        <w:t>為</w:t>
      </w:r>
      <w:proofErr w:type="gramEnd"/>
      <w:r w:rsidRPr="009F12D9">
        <w:rPr>
          <w:rFonts w:ascii="Times New Roman" w:hAnsi="Times New Roman"/>
          <w:i w:val="0"/>
        </w:rPr>
        <w:t>「</w:t>
      </w:r>
      <w:r w:rsidRPr="009F12D9">
        <w:rPr>
          <w:rFonts w:ascii="Times New Roman" w:hAnsi="Times New Roman"/>
          <w:i w:val="0"/>
        </w:rPr>
        <w:t>fight for freedom</w:t>
      </w:r>
      <w:r w:rsidRPr="009F12D9">
        <w:rPr>
          <w:rFonts w:ascii="Times New Roman" w:hAnsi="Times New Roman"/>
          <w:i w:val="0"/>
        </w:rPr>
        <w:t>等等」</w:t>
      </w:r>
      <w:r w:rsidRPr="009F12D9">
        <w:rPr>
          <w:rStyle w:val="FootnoteReference"/>
          <w:i w:val="0"/>
        </w:rPr>
        <w:footnoteReference w:id="8"/>
      </w:r>
      <w:r w:rsidRPr="009F12D9">
        <w:rPr>
          <w:rFonts w:ascii="Times New Roman" w:hAnsi="Times New Roman"/>
          <w:i w:val="0"/>
        </w:rPr>
        <w:t>。</w:t>
      </w:r>
      <w:r w:rsidRPr="009F12D9">
        <w:rPr>
          <w:rFonts w:ascii="Times New Roman" w:hAnsi="Times New Roman"/>
          <w:i w:val="0"/>
          <w:lang w:eastAsia="zh-TW"/>
        </w:rPr>
        <w:t>至於錄影顯示的其他情況，例如是示威者所戴的面具（很多是所謂的</w:t>
      </w:r>
      <w:r w:rsidRPr="009F12D9">
        <w:rPr>
          <w:rFonts w:ascii="Times New Roman" w:hAnsi="Times New Roman"/>
          <w:i w:val="0"/>
          <w:lang w:eastAsia="zh-TW"/>
        </w:rPr>
        <w:t>‘</w:t>
      </w:r>
      <w:r w:rsidR="00FE2C85" w:rsidRPr="009F12D9">
        <w:rPr>
          <w:rFonts w:ascii="Times New Roman" w:hAnsi="Times New Roman" w:hint="eastAsia"/>
          <w:i w:val="0"/>
          <w:lang w:eastAsia="zh-TW"/>
        </w:rPr>
        <w:t>V</w:t>
      </w:r>
      <w:r w:rsidR="00FE2C85" w:rsidRPr="009F12D9">
        <w:rPr>
          <w:rFonts w:ascii="Times New Roman" w:hAnsi="Times New Roman" w:hint="eastAsia"/>
          <w:i w:val="0"/>
          <w:lang w:eastAsia="zh-TW"/>
        </w:rPr>
        <w:t>煞面具</w:t>
      </w:r>
      <w:r w:rsidRPr="009F12D9">
        <w:rPr>
          <w:rFonts w:ascii="Times New Roman" w:hAnsi="Times New Roman"/>
          <w:i w:val="0"/>
          <w:lang w:eastAsia="zh-TW"/>
        </w:rPr>
        <w:t>’</w:t>
      </w:r>
      <w:r w:rsidRPr="009F12D9">
        <w:rPr>
          <w:rFonts w:ascii="Times New Roman" w:hAnsi="Times New Roman"/>
          <w:i w:val="0"/>
          <w:lang w:eastAsia="zh-TW"/>
        </w:rPr>
        <w:t>），原審裁判官和辯方都沒有觸及</w:t>
      </w:r>
      <w:r w:rsidR="005724B4" w:rsidRPr="009F12D9">
        <w:rPr>
          <w:rFonts w:ascii="Times New Roman" w:hAnsi="Times New Roman"/>
          <w:i w:val="0"/>
          <w:szCs w:val="28"/>
          <w:lang w:eastAsia="zh-TW"/>
        </w:rPr>
        <w:t>。</w:t>
      </w:r>
    </w:p>
    <w:p w:rsidR="00BB5AEB" w:rsidRPr="009F12D9" w:rsidRDefault="00BB5AEB" w:rsidP="00BB5AEB">
      <w:pPr>
        <w:pStyle w:val="Final"/>
        <w:keepNext/>
        <w:tabs>
          <w:tab w:val="clear" w:pos="1440"/>
          <w:tab w:val="clear" w:pos="4320"/>
          <w:tab w:val="clear" w:pos="9072"/>
          <w:tab w:val="left" w:pos="720"/>
          <w:tab w:val="center" w:pos="4234"/>
          <w:tab w:val="right" w:pos="8453"/>
        </w:tabs>
        <w:spacing w:after="360"/>
        <w:rPr>
          <w:i/>
        </w:rPr>
      </w:pPr>
      <w:r w:rsidRPr="009F12D9">
        <w:rPr>
          <w:i/>
        </w:rPr>
        <w:t>D</w:t>
      </w:r>
      <w:r w:rsidRPr="009F12D9">
        <w:rPr>
          <w:i/>
          <w:lang w:eastAsia="zh-TW"/>
        </w:rPr>
        <w:t xml:space="preserve">. </w:t>
      </w:r>
      <w:r w:rsidRPr="009F12D9">
        <w:rPr>
          <w:i/>
          <w:lang w:eastAsia="zh-TW"/>
        </w:rPr>
        <w:tab/>
      </w:r>
      <w:r w:rsidRPr="009F12D9">
        <w:rPr>
          <w:i/>
          <w:lang w:eastAsia="zh-TW"/>
        </w:rPr>
        <w:t>答辯人背景及求情</w:t>
      </w:r>
    </w:p>
    <w:p w:rsidR="005724B4" w:rsidRPr="009F12D9" w:rsidRDefault="00BB5AEB" w:rsidP="005724B4">
      <w:pPr>
        <w:pStyle w:val="ar-heading1"/>
        <w:keepNext w:val="0"/>
        <w:numPr>
          <w:ilvl w:val="0"/>
          <w:numId w:val="5"/>
        </w:numPr>
        <w:spacing w:before="0" w:after="520"/>
        <w:ind w:firstLine="0"/>
        <w:jc w:val="both"/>
        <w:rPr>
          <w:rFonts w:ascii="Times New Roman" w:hAnsi="Times New Roman"/>
          <w:i w:val="0"/>
          <w:lang w:val="en-US" w:eastAsia="zh-TW"/>
        </w:rPr>
      </w:pPr>
      <w:r w:rsidRPr="009F12D9">
        <w:rPr>
          <w:rFonts w:ascii="Times New Roman" w:hAnsi="Times New Roman"/>
          <w:i w:val="0"/>
          <w:lang w:eastAsia="zh-TW"/>
        </w:rPr>
        <w:t>案發時答辯人</w:t>
      </w:r>
      <w:r w:rsidRPr="009F12D9">
        <w:rPr>
          <w:rFonts w:ascii="Times New Roman" w:hAnsi="Times New Roman"/>
          <w:i w:val="0"/>
          <w:lang w:eastAsia="zh-TW"/>
        </w:rPr>
        <w:t>24</w:t>
      </w:r>
      <w:r w:rsidRPr="009F12D9">
        <w:rPr>
          <w:rFonts w:ascii="Times New Roman" w:hAnsi="Times New Roman"/>
          <w:i w:val="0"/>
          <w:lang w:eastAsia="zh-TW"/>
        </w:rPr>
        <w:t>歲，</w:t>
      </w:r>
      <w:r w:rsidRPr="009F12D9">
        <w:rPr>
          <w:rFonts w:ascii="Times New Roman" w:hAnsi="Times New Roman"/>
          <w:i w:val="0"/>
          <w:lang w:eastAsia="zh-HK"/>
        </w:rPr>
        <w:t>未</w:t>
      </w:r>
      <w:r w:rsidRPr="009F12D9">
        <w:rPr>
          <w:rFonts w:ascii="Times New Roman" w:hAnsi="Times New Roman"/>
          <w:i w:val="0"/>
          <w:lang w:eastAsia="zh-TW"/>
        </w:rPr>
        <w:t>婚，</w:t>
      </w:r>
      <w:r w:rsidRPr="009F12D9">
        <w:rPr>
          <w:rFonts w:ascii="Times New Roman" w:hAnsi="Times New Roman"/>
          <w:i w:val="0"/>
          <w:lang w:eastAsia="zh-HK"/>
        </w:rPr>
        <w:t>在</w:t>
      </w:r>
      <w:r w:rsidRPr="009F12D9">
        <w:rPr>
          <w:rFonts w:ascii="Times New Roman" w:hAnsi="Times New Roman"/>
          <w:i w:val="0"/>
          <w:lang w:eastAsia="zh-TW"/>
        </w:rPr>
        <w:t>某</w:t>
      </w:r>
      <w:r w:rsidRPr="009F12D9">
        <w:rPr>
          <w:rFonts w:ascii="Times New Roman" w:hAnsi="Times New Roman"/>
          <w:i w:val="0"/>
          <w:lang w:eastAsia="zh-HK"/>
        </w:rPr>
        <w:t>酒</w:t>
      </w:r>
      <w:r w:rsidRPr="009F12D9">
        <w:rPr>
          <w:rFonts w:ascii="Times New Roman" w:hAnsi="Times New Roman"/>
          <w:i w:val="0"/>
          <w:lang w:eastAsia="zh-TW"/>
        </w:rPr>
        <w:t>店</w:t>
      </w:r>
      <w:r w:rsidRPr="009F12D9">
        <w:rPr>
          <w:rFonts w:ascii="Times New Roman" w:hAnsi="Times New Roman"/>
          <w:i w:val="0"/>
          <w:lang w:eastAsia="zh-HK"/>
        </w:rPr>
        <w:t>的餐</w:t>
      </w:r>
      <w:r w:rsidRPr="009F12D9">
        <w:rPr>
          <w:rFonts w:ascii="Times New Roman" w:hAnsi="Times New Roman"/>
          <w:i w:val="0"/>
          <w:lang w:eastAsia="zh-TW"/>
        </w:rPr>
        <w:t>飲</w:t>
      </w:r>
      <w:r w:rsidRPr="009F12D9">
        <w:rPr>
          <w:rFonts w:ascii="Times New Roman" w:hAnsi="Times New Roman"/>
          <w:i w:val="0"/>
          <w:lang w:eastAsia="zh-HK"/>
        </w:rPr>
        <w:t>部</w:t>
      </w:r>
      <w:r w:rsidRPr="009F12D9">
        <w:rPr>
          <w:rFonts w:ascii="Times New Roman" w:hAnsi="Times New Roman"/>
          <w:i w:val="0"/>
          <w:lang w:eastAsia="zh-TW"/>
        </w:rPr>
        <w:t>任職</w:t>
      </w:r>
      <w:proofErr w:type="gramStart"/>
      <w:r w:rsidRPr="009F12D9">
        <w:rPr>
          <w:rFonts w:ascii="Times New Roman" w:hAnsi="Times New Roman"/>
          <w:i w:val="0"/>
          <w:lang w:eastAsia="zh-HK"/>
        </w:rPr>
        <w:t>侍</w:t>
      </w:r>
      <w:proofErr w:type="gramEnd"/>
      <w:r w:rsidRPr="009F12D9">
        <w:rPr>
          <w:rFonts w:ascii="Times New Roman" w:hAnsi="Times New Roman"/>
          <w:i w:val="0"/>
          <w:lang w:eastAsia="zh-HK"/>
        </w:rPr>
        <w:t>應</w:t>
      </w:r>
      <w:r w:rsidRPr="009F12D9">
        <w:rPr>
          <w:rFonts w:ascii="Times New Roman" w:hAnsi="Times New Roman"/>
          <w:i w:val="0"/>
          <w:lang w:eastAsia="zh-TW"/>
        </w:rPr>
        <w:t>。</w:t>
      </w:r>
      <w:r w:rsidRPr="009F12D9">
        <w:rPr>
          <w:rFonts w:ascii="Times New Roman" w:hAnsi="Times New Roman"/>
          <w:i w:val="0"/>
          <w:lang w:eastAsia="zh-HK"/>
        </w:rPr>
        <w:t>他在</w:t>
      </w:r>
      <w:r w:rsidRPr="009F12D9">
        <w:rPr>
          <w:rFonts w:ascii="Times New Roman" w:hAnsi="Times New Roman"/>
          <w:i w:val="0"/>
          <w:lang w:eastAsia="zh-TW"/>
        </w:rPr>
        <w:t>本案之前沒有</w:t>
      </w:r>
      <w:r w:rsidRPr="009F12D9">
        <w:rPr>
          <w:rFonts w:ascii="Times New Roman" w:hAnsi="Times New Roman"/>
          <w:i w:val="0"/>
          <w:lang w:eastAsia="zh-HK"/>
        </w:rPr>
        <w:t>前</w:t>
      </w:r>
      <w:r w:rsidRPr="009F12D9">
        <w:rPr>
          <w:rFonts w:ascii="Times New Roman" w:hAnsi="Times New Roman"/>
          <w:i w:val="0"/>
          <w:lang w:eastAsia="zh-TW"/>
        </w:rPr>
        <w:t>科</w:t>
      </w:r>
      <w:r w:rsidR="005724B4" w:rsidRPr="009F12D9">
        <w:rPr>
          <w:rFonts w:ascii="Times New Roman" w:hAnsi="Times New Roman"/>
          <w:i w:val="0"/>
          <w:szCs w:val="28"/>
          <w:lang w:eastAsia="zh-TW"/>
        </w:rPr>
        <w:t>。</w:t>
      </w:r>
    </w:p>
    <w:p w:rsidR="005724B4" w:rsidRPr="009F12D9" w:rsidRDefault="00BB5AEB" w:rsidP="005724B4">
      <w:pPr>
        <w:pStyle w:val="ar-heading1"/>
        <w:keepNext w:val="0"/>
        <w:numPr>
          <w:ilvl w:val="0"/>
          <w:numId w:val="5"/>
        </w:numPr>
        <w:spacing w:before="0" w:after="520"/>
        <w:ind w:firstLine="0"/>
        <w:jc w:val="both"/>
        <w:rPr>
          <w:rFonts w:ascii="Times New Roman" w:hAnsi="Times New Roman"/>
          <w:i w:val="0"/>
          <w:lang w:val="en-US" w:eastAsia="zh-TW"/>
        </w:rPr>
      </w:pPr>
      <w:r w:rsidRPr="009F12D9">
        <w:rPr>
          <w:rFonts w:ascii="Times New Roman" w:hAnsi="Times New Roman"/>
          <w:i w:val="0"/>
          <w:lang w:eastAsia="zh-HK"/>
        </w:rPr>
        <w:t>辯方</w:t>
      </w:r>
      <w:r w:rsidRPr="009F12D9">
        <w:rPr>
          <w:rFonts w:ascii="Times New Roman" w:hAnsi="Times New Roman"/>
          <w:i w:val="0"/>
          <w:lang w:eastAsia="zh-TW"/>
        </w:rPr>
        <w:t>在求情時力稱本案的非法集會「和平」，絕大部分示威者都只是在舉標語和做手勢，而且標語和口號都「</w:t>
      </w:r>
      <w:proofErr w:type="gramStart"/>
      <w:r w:rsidRPr="009F12D9">
        <w:rPr>
          <w:rFonts w:ascii="Times New Roman" w:hAnsi="Times New Roman"/>
          <w:i w:val="0"/>
          <w:lang w:eastAsia="zh-TW"/>
        </w:rPr>
        <w:t>唔係話</w:t>
      </w:r>
      <w:proofErr w:type="gramEnd"/>
      <w:r w:rsidRPr="009F12D9">
        <w:rPr>
          <w:rFonts w:ascii="Times New Roman" w:hAnsi="Times New Roman"/>
          <w:i w:val="0"/>
          <w:lang w:eastAsia="zh-TW"/>
        </w:rPr>
        <w:t>好</w:t>
      </w:r>
      <w:r w:rsidRPr="009F12D9">
        <w:rPr>
          <w:rFonts w:ascii="Times New Roman" w:hAnsi="Times New Roman"/>
          <w:i w:val="0"/>
          <w:lang w:eastAsia="zh-HK"/>
        </w:rPr>
        <w:t>挑</w:t>
      </w:r>
      <w:r w:rsidRPr="009F12D9">
        <w:rPr>
          <w:rFonts w:ascii="Times New Roman" w:hAnsi="Times New Roman"/>
          <w:i w:val="0"/>
          <w:lang w:eastAsia="zh-TW"/>
        </w:rPr>
        <w:t>釁性</w:t>
      </w:r>
      <w:r w:rsidRPr="009F12D9">
        <w:rPr>
          <w:rFonts w:ascii="Times New Roman" w:hAnsi="Times New Roman"/>
          <w:i w:val="0"/>
          <w:lang w:eastAsia="zh-TW"/>
        </w:rPr>
        <w:t xml:space="preserve"> [</w:t>
      </w:r>
      <w:r w:rsidRPr="009F12D9">
        <w:rPr>
          <w:rFonts w:ascii="Times New Roman" w:hAnsi="Times New Roman"/>
          <w:i w:val="0"/>
          <w:lang w:eastAsia="zh-TW"/>
        </w:rPr>
        <w:t>和</w:t>
      </w:r>
      <w:r w:rsidRPr="009F12D9">
        <w:rPr>
          <w:rFonts w:ascii="Times New Roman" w:hAnsi="Times New Roman"/>
          <w:i w:val="0"/>
          <w:lang w:eastAsia="zh-TW"/>
        </w:rPr>
        <w:t xml:space="preserve">] </w:t>
      </w:r>
      <w:r w:rsidRPr="009F12D9">
        <w:rPr>
          <w:rFonts w:ascii="Times New Roman" w:hAnsi="Times New Roman"/>
          <w:i w:val="0"/>
          <w:lang w:eastAsia="zh-TW"/>
        </w:rPr>
        <w:t>侮辱性」，整個過程沒有「好</w:t>
      </w:r>
      <w:proofErr w:type="gramStart"/>
      <w:r w:rsidRPr="009F12D9">
        <w:rPr>
          <w:rFonts w:ascii="Times New Roman" w:hAnsi="Times New Roman"/>
          <w:i w:val="0"/>
          <w:lang w:eastAsia="zh-HK"/>
        </w:rPr>
        <w:t>血</w:t>
      </w:r>
      <w:r w:rsidRPr="009F12D9">
        <w:rPr>
          <w:rFonts w:ascii="Times New Roman" w:hAnsi="Times New Roman"/>
          <w:i w:val="0"/>
          <w:lang w:eastAsia="zh-TW"/>
        </w:rPr>
        <w:t>腥</w:t>
      </w:r>
      <w:r w:rsidRPr="009F12D9">
        <w:rPr>
          <w:rFonts w:ascii="Times New Roman" w:hAnsi="Times New Roman"/>
          <w:i w:val="0"/>
          <w:lang w:eastAsia="zh-HK"/>
        </w:rPr>
        <w:t>嘅</w:t>
      </w:r>
      <w:proofErr w:type="gramEnd"/>
      <w:r w:rsidRPr="009F12D9">
        <w:rPr>
          <w:rFonts w:ascii="Times New Roman" w:hAnsi="Times New Roman"/>
          <w:i w:val="0"/>
          <w:lang w:eastAsia="zh-HK"/>
        </w:rPr>
        <w:t>畫</w:t>
      </w:r>
      <w:r w:rsidRPr="009F12D9">
        <w:rPr>
          <w:rFonts w:ascii="Times New Roman" w:hAnsi="Times New Roman"/>
          <w:i w:val="0"/>
          <w:lang w:eastAsia="zh-TW"/>
        </w:rPr>
        <w:t>面」。辯方強調，示威者「基本上」都沒有武器，錄影沒有拍到有人衝擊警方而警方也確實沒有人受傷。辯方承認，案發時香港「有不同</w:t>
      </w:r>
      <w:r w:rsidRPr="009F12D9">
        <w:rPr>
          <w:rFonts w:ascii="Times New Roman" w:hAnsi="Times New Roman"/>
          <w:i w:val="0"/>
          <w:lang w:eastAsia="zh-HK"/>
        </w:rPr>
        <w:t>嘅</w:t>
      </w:r>
      <w:r w:rsidRPr="009F12D9">
        <w:rPr>
          <w:rFonts w:ascii="Times New Roman" w:hAnsi="Times New Roman"/>
          <w:i w:val="0"/>
          <w:lang w:eastAsia="zh-TW"/>
        </w:rPr>
        <w:t>社會事件」，</w:t>
      </w:r>
      <w:proofErr w:type="gramStart"/>
      <w:r w:rsidRPr="009F12D9">
        <w:rPr>
          <w:rFonts w:ascii="Times New Roman" w:hAnsi="Times New Roman"/>
          <w:i w:val="0"/>
          <w:lang w:eastAsia="zh-TW"/>
        </w:rPr>
        <w:t>但力指</w:t>
      </w:r>
      <w:proofErr w:type="gramEnd"/>
      <w:r w:rsidRPr="009F12D9">
        <w:rPr>
          <w:rFonts w:ascii="Times New Roman" w:hAnsi="Times New Roman"/>
          <w:i w:val="0"/>
          <w:lang w:eastAsia="zh-TW"/>
        </w:rPr>
        <w:t>「每一日每</w:t>
      </w:r>
      <w:proofErr w:type="gramStart"/>
      <w:r w:rsidRPr="009F12D9">
        <w:rPr>
          <w:rFonts w:ascii="Times New Roman" w:hAnsi="Times New Roman"/>
          <w:i w:val="0"/>
          <w:lang w:eastAsia="zh-TW"/>
        </w:rPr>
        <w:t>一個鐘數每</w:t>
      </w:r>
      <w:proofErr w:type="gramEnd"/>
      <w:r w:rsidRPr="009F12D9">
        <w:rPr>
          <w:rFonts w:ascii="Times New Roman" w:hAnsi="Times New Roman"/>
          <w:i w:val="0"/>
          <w:lang w:eastAsia="zh-TW"/>
        </w:rPr>
        <w:t>一個地點</w:t>
      </w:r>
      <w:r w:rsidRPr="009F12D9">
        <w:rPr>
          <w:rFonts w:ascii="Times New Roman" w:hAnsi="Times New Roman"/>
          <w:i w:val="0"/>
          <w:lang w:eastAsia="zh-HK"/>
        </w:rPr>
        <w:t>嘅</w:t>
      </w:r>
      <w:r w:rsidRPr="009F12D9">
        <w:rPr>
          <w:rFonts w:ascii="Times New Roman" w:hAnsi="Times New Roman"/>
          <w:i w:val="0"/>
          <w:lang w:eastAsia="zh-TW"/>
        </w:rPr>
        <w:t>集結都應該分開去</w:t>
      </w:r>
      <w:proofErr w:type="gramStart"/>
      <w:r w:rsidRPr="009F12D9">
        <w:rPr>
          <w:rFonts w:ascii="Times New Roman" w:hAnsi="Times New Roman"/>
          <w:i w:val="0"/>
          <w:lang w:eastAsia="zh-TW"/>
        </w:rPr>
        <w:t>睇</w:t>
      </w:r>
      <w:proofErr w:type="gramEnd"/>
      <w:r w:rsidRPr="009F12D9">
        <w:rPr>
          <w:rFonts w:ascii="Times New Roman" w:hAnsi="Times New Roman"/>
          <w:i w:val="0"/>
          <w:lang w:eastAsia="zh-TW"/>
        </w:rPr>
        <w:t>」</w:t>
      </w:r>
      <w:r w:rsidRPr="009F12D9">
        <w:rPr>
          <w:rStyle w:val="FootnoteReference"/>
          <w:i w:val="0"/>
        </w:rPr>
        <w:footnoteReference w:id="9"/>
      </w:r>
      <w:r w:rsidR="005724B4" w:rsidRPr="009F12D9">
        <w:rPr>
          <w:rFonts w:ascii="Times New Roman" w:hAnsi="Times New Roman"/>
          <w:i w:val="0"/>
          <w:szCs w:val="28"/>
          <w:lang w:eastAsia="zh-TW"/>
        </w:rPr>
        <w:t>。</w:t>
      </w:r>
    </w:p>
    <w:p w:rsidR="005724B4" w:rsidRPr="009F12D9" w:rsidRDefault="00BB5AEB" w:rsidP="005724B4">
      <w:pPr>
        <w:pStyle w:val="ar-heading1"/>
        <w:keepNext w:val="0"/>
        <w:numPr>
          <w:ilvl w:val="0"/>
          <w:numId w:val="5"/>
        </w:numPr>
        <w:spacing w:before="0" w:after="520"/>
        <w:ind w:firstLine="0"/>
        <w:jc w:val="both"/>
        <w:rPr>
          <w:rFonts w:ascii="Times New Roman" w:hAnsi="Times New Roman"/>
          <w:i w:val="0"/>
          <w:lang w:val="en-US" w:eastAsia="zh-TW"/>
        </w:rPr>
      </w:pPr>
      <w:r w:rsidRPr="009F12D9">
        <w:rPr>
          <w:rFonts w:ascii="Times New Roman" w:hAnsi="Times New Roman"/>
          <w:i w:val="0"/>
          <w:lang w:eastAsia="zh-TW"/>
        </w:rPr>
        <w:lastRenderedPageBreak/>
        <w:t>辯方強調，答辯人</w:t>
      </w:r>
      <w:r w:rsidRPr="009F12D9">
        <w:rPr>
          <w:rFonts w:ascii="Times New Roman" w:hAnsi="Times New Roman"/>
          <w:i w:val="0"/>
          <w:lang w:eastAsia="zh-HK"/>
        </w:rPr>
        <w:t>大部分時</w:t>
      </w:r>
      <w:r w:rsidRPr="009F12D9">
        <w:rPr>
          <w:rFonts w:ascii="Times New Roman" w:hAnsi="Times New Roman"/>
          <w:i w:val="0"/>
          <w:lang w:eastAsia="zh-TW"/>
        </w:rPr>
        <w:t>間站在人群當中。儘管</w:t>
      </w:r>
      <w:proofErr w:type="gramStart"/>
      <w:r w:rsidRPr="009F12D9">
        <w:rPr>
          <w:rFonts w:ascii="Times New Roman" w:hAnsi="Times New Roman"/>
          <w:i w:val="0"/>
          <w:lang w:eastAsia="zh-TW"/>
        </w:rPr>
        <w:t>他扔過</w:t>
      </w:r>
      <w:r w:rsidRPr="009F12D9">
        <w:rPr>
          <w:rFonts w:ascii="Times New Roman" w:hAnsi="Times New Roman"/>
          <w:i w:val="0"/>
          <w:lang w:eastAsia="zh-HK"/>
        </w:rPr>
        <w:t>沙</w:t>
      </w:r>
      <w:r w:rsidRPr="009F12D9">
        <w:rPr>
          <w:rFonts w:ascii="Times New Roman" w:hAnsi="Times New Roman"/>
          <w:i w:val="0"/>
          <w:lang w:eastAsia="zh-TW"/>
        </w:rPr>
        <w:t>包</w:t>
      </w:r>
      <w:proofErr w:type="gramEnd"/>
      <w:r w:rsidRPr="009F12D9">
        <w:rPr>
          <w:rFonts w:ascii="Times New Roman" w:hAnsi="Times New Roman"/>
          <w:i w:val="0"/>
          <w:lang w:eastAsia="zh-TW"/>
        </w:rPr>
        <w:t>，但一定是力度很輕而</w:t>
      </w:r>
      <w:proofErr w:type="gramStart"/>
      <w:r w:rsidRPr="009F12D9">
        <w:rPr>
          <w:rFonts w:ascii="Times New Roman" w:hAnsi="Times New Roman"/>
          <w:i w:val="0"/>
          <w:lang w:eastAsia="zh-TW"/>
        </w:rPr>
        <w:t>不是想扔到</w:t>
      </w:r>
      <w:proofErr w:type="gramEnd"/>
      <w:r w:rsidRPr="009F12D9">
        <w:rPr>
          <w:rFonts w:ascii="Times New Roman" w:hAnsi="Times New Roman"/>
          <w:i w:val="0"/>
          <w:lang w:eastAsia="zh-TW"/>
        </w:rPr>
        <w:t>警察的防線，因為沙包最終也只是落在答辯人「</w:t>
      </w:r>
      <w:proofErr w:type="gramStart"/>
      <w:r w:rsidRPr="009F12D9">
        <w:rPr>
          <w:rFonts w:ascii="Times New Roman" w:hAnsi="Times New Roman"/>
          <w:i w:val="0"/>
          <w:lang w:eastAsia="zh-TW"/>
        </w:rPr>
        <w:t>幾個身位</w:t>
      </w:r>
      <w:proofErr w:type="gramEnd"/>
      <w:r w:rsidRPr="009F12D9">
        <w:rPr>
          <w:rFonts w:ascii="Times New Roman" w:hAnsi="Times New Roman"/>
          <w:i w:val="0"/>
          <w:lang w:eastAsia="zh-TW"/>
        </w:rPr>
        <w:t>」以外的地方。辯方還說，答辯人</w:t>
      </w:r>
      <w:proofErr w:type="gramStart"/>
      <w:r w:rsidRPr="009F12D9">
        <w:rPr>
          <w:rFonts w:ascii="Times New Roman" w:hAnsi="Times New Roman"/>
          <w:i w:val="0"/>
          <w:lang w:eastAsia="zh-TW"/>
        </w:rPr>
        <w:t>在扔罷</w:t>
      </w:r>
      <w:proofErr w:type="gramEnd"/>
      <w:r w:rsidRPr="009F12D9">
        <w:rPr>
          <w:rFonts w:ascii="Times New Roman" w:hAnsi="Times New Roman"/>
          <w:i w:val="0"/>
          <w:lang w:eastAsia="zh-HK"/>
        </w:rPr>
        <w:t>沙</w:t>
      </w:r>
      <w:r w:rsidR="003210D5" w:rsidRPr="009F12D9">
        <w:rPr>
          <w:rFonts w:ascii="Times New Roman" w:hAnsi="Times New Roman"/>
          <w:i w:val="0"/>
          <w:lang w:eastAsia="zh-HK"/>
        </w:rPr>
        <w:t>包</w:t>
      </w:r>
      <w:r w:rsidRPr="009F12D9">
        <w:rPr>
          <w:rFonts w:ascii="Times New Roman" w:hAnsi="Times New Roman"/>
          <w:i w:val="0"/>
          <w:lang w:eastAsia="zh-TW"/>
        </w:rPr>
        <w:t>之後即站回原處，「</w:t>
      </w:r>
      <w:proofErr w:type="gramStart"/>
      <w:r w:rsidRPr="009F12D9">
        <w:rPr>
          <w:rFonts w:ascii="Times New Roman" w:hAnsi="Times New Roman"/>
          <w:i w:val="0"/>
          <w:lang w:eastAsia="zh-TW"/>
        </w:rPr>
        <w:t>唔知做乜</w:t>
      </w:r>
      <w:proofErr w:type="gramEnd"/>
      <w:r w:rsidRPr="009F12D9">
        <w:rPr>
          <w:rFonts w:ascii="Times New Roman" w:hAnsi="Times New Roman"/>
          <w:i w:val="0"/>
          <w:lang w:eastAsia="zh-TW"/>
        </w:rPr>
        <w:t>」，顯然是沒有打算要</w:t>
      </w:r>
      <w:r w:rsidRPr="009F12D9">
        <w:rPr>
          <w:rFonts w:ascii="Times New Roman" w:hAnsi="Times New Roman"/>
          <w:i w:val="0"/>
          <w:lang w:eastAsia="zh-HK"/>
        </w:rPr>
        <w:t>襲</w:t>
      </w:r>
      <w:r w:rsidRPr="009F12D9">
        <w:rPr>
          <w:rFonts w:ascii="Times New Roman" w:hAnsi="Times New Roman"/>
          <w:i w:val="0"/>
          <w:lang w:eastAsia="zh-TW"/>
        </w:rPr>
        <w:t>擊防線上的</w:t>
      </w:r>
      <w:r w:rsidRPr="009F12D9">
        <w:rPr>
          <w:rFonts w:ascii="Times New Roman" w:hAnsi="Times New Roman"/>
          <w:i w:val="0"/>
          <w:lang w:eastAsia="zh-HK"/>
        </w:rPr>
        <w:t>警</w:t>
      </w:r>
      <w:r w:rsidRPr="009F12D9">
        <w:rPr>
          <w:rFonts w:ascii="Times New Roman" w:hAnsi="Times New Roman"/>
          <w:i w:val="0"/>
          <w:lang w:eastAsia="zh-TW"/>
        </w:rPr>
        <w:t>察。辯方強調，答辯人在被捕後沒有掙扎而控方已就搜出的可組合木棍撤控</w:t>
      </w:r>
      <w:r w:rsidRPr="009F12D9">
        <w:rPr>
          <w:rStyle w:val="FootnoteReference"/>
          <w:i w:val="0"/>
        </w:rPr>
        <w:footnoteReference w:id="10"/>
      </w:r>
      <w:r w:rsidR="005724B4" w:rsidRPr="009F12D9">
        <w:rPr>
          <w:rFonts w:ascii="Times New Roman" w:hAnsi="Times New Roman"/>
          <w:i w:val="0"/>
          <w:szCs w:val="28"/>
          <w:lang w:eastAsia="zh-TW"/>
        </w:rPr>
        <w:t>。</w:t>
      </w:r>
    </w:p>
    <w:p w:rsidR="005724B4" w:rsidRPr="009F12D9" w:rsidRDefault="00BB5AEB" w:rsidP="005724B4">
      <w:pPr>
        <w:pStyle w:val="ar-heading1"/>
        <w:keepNext w:val="0"/>
        <w:numPr>
          <w:ilvl w:val="0"/>
          <w:numId w:val="5"/>
        </w:numPr>
        <w:spacing w:before="0" w:after="520"/>
        <w:ind w:firstLine="0"/>
        <w:jc w:val="both"/>
        <w:rPr>
          <w:rFonts w:ascii="Times New Roman" w:hAnsi="Times New Roman"/>
          <w:i w:val="0"/>
          <w:lang w:val="en-US" w:eastAsia="zh-TW"/>
        </w:rPr>
      </w:pPr>
      <w:r w:rsidRPr="009F12D9">
        <w:rPr>
          <w:rFonts w:ascii="Times New Roman" w:hAnsi="Times New Roman"/>
          <w:i w:val="0"/>
          <w:lang w:eastAsia="zh-HK"/>
        </w:rPr>
        <w:t>辯方</w:t>
      </w:r>
      <w:r w:rsidRPr="009F12D9">
        <w:rPr>
          <w:rFonts w:ascii="Times New Roman" w:hAnsi="Times New Roman"/>
          <w:i w:val="0"/>
          <w:szCs w:val="28"/>
          <w:lang w:eastAsia="zh-TW"/>
        </w:rPr>
        <w:t>援引上訴法庭在</w:t>
      </w:r>
      <w:r w:rsidRPr="009F12D9">
        <w:rPr>
          <w:rFonts w:ascii="Times New Roman" w:hAnsi="Times New Roman"/>
          <w:szCs w:val="28"/>
          <w:lang w:eastAsia="zh-TW"/>
        </w:rPr>
        <w:t>黃之鋒</w:t>
      </w:r>
      <w:r w:rsidRPr="009F12D9">
        <w:rPr>
          <w:rFonts w:ascii="Times New Roman" w:hAnsi="Times New Roman"/>
          <w:i w:val="0"/>
          <w:szCs w:val="28"/>
          <w:lang w:eastAsia="zh-TW"/>
        </w:rPr>
        <w:t xml:space="preserve"> </w:t>
      </w:r>
      <w:r w:rsidRPr="009F12D9">
        <w:rPr>
          <w:rFonts w:ascii="Times New Roman" w:hAnsi="Times New Roman"/>
          <w:i w:val="0"/>
          <w:szCs w:val="28"/>
          <w:lang w:eastAsia="zh-HK"/>
        </w:rPr>
        <w:t>案</w:t>
      </w:r>
      <w:r w:rsidRPr="009F12D9">
        <w:rPr>
          <w:rFonts w:ascii="Times New Roman" w:hAnsi="Times New Roman"/>
          <w:i w:val="0"/>
          <w:szCs w:val="28"/>
          <w:lang w:eastAsia="zh-TW"/>
        </w:rPr>
        <w:t>提出而其後又獲得終審法庭認可的一個觀察</w:t>
      </w:r>
      <w:r w:rsidRPr="009F12D9">
        <w:rPr>
          <w:rStyle w:val="FootnoteReference"/>
          <w:i w:val="0"/>
          <w:szCs w:val="28"/>
          <w:lang w:eastAsia="zh-HK"/>
        </w:rPr>
        <w:footnoteReference w:id="11"/>
      </w:r>
      <w:r w:rsidRPr="009F12D9">
        <w:rPr>
          <w:rFonts w:ascii="Times New Roman" w:hAnsi="Times New Roman"/>
          <w:i w:val="0"/>
          <w:szCs w:val="28"/>
          <w:lang w:eastAsia="zh-TW"/>
        </w:rPr>
        <w:t>，即縱使是涉及暴力的非法集結，但如果案情相對輕微，則法庭在判刑時可按比例增加被告個人情況、犯案動機，以及</w:t>
      </w:r>
      <w:r w:rsidRPr="009F12D9">
        <w:rPr>
          <w:i w:val="0"/>
          <w:szCs w:val="28"/>
          <w:lang w:eastAsia="zh-TW"/>
        </w:rPr>
        <w:t>更</w:t>
      </w:r>
      <w:r w:rsidR="00613FD2" w:rsidRPr="009F12D9">
        <w:rPr>
          <w:rFonts w:hint="eastAsia"/>
          <w:i w:val="0"/>
          <w:szCs w:val="28"/>
          <w:lang w:eastAsia="zh-HK"/>
        </w:rPr>
        <w:t>生</w:t>
      </w:r>
      <w:r w:rsidRPr="009F12D9">
        <w:rPr>
          <w:rFonts w:ascii="Times New Roman" w:hAnsi="Times New Roman"/>
          <w:i w:val="0"/>
          <w:szCs w:val="28"/>
          <w:lang w:eastAsia="zh-TW"/>
        </w:rPr>
        <w:t>等判刑元素的比重，同時又</w:t>
      </w:r>
      <w:proofErr w:type="gramStart"/>
      <w:r w:rsidRPr="009F12D9">
        <w:rPr>
          <w:rFonts w:ascii="Times New Roman" w:hAnsi="Times New Roman"/>
          <w:i w:val="0"/>
          <w:szCs w:val="28"/>
          <w:lang w:eastAsia="zh-TW"/>
        </w:rPr>
        <w:t>下調阻嚇</w:t>
      </w:r>
      <w:proofErr w:type="gramEnd"/>
      <w:r w:rsidRPr="009F12D9">
        <w:rPr>
          <w:rFonts w:ascii="Times New Roman" w:hAnsi="Times New Roman"/>
          <w:i w:val="0"/>
          <w:szCs w:val="28"/>
          <w:lang w:eastAsia="zh-TW"/>
        </w:rPr>
        <w:t>這個判刑元素的比重</w:t>
      </w:r>
      <w:r w:rsidRPr="009F12D9">
        <w:rPr>
          <w:rStyle w:val="FootnoteReference"/>
          <w:i w:val="0"/>
          <w:szCs w:val="28"/>
          <w:lang w:eastAsia="zh-TW"/>
        </w:rPr>
        <w:footnoteReference w:id="12"/>
      </w:r>
      <w:r w:rsidR="005724B4" w:rsidRPr="009F12D9">
        <w:rPr>
          <w:rFonts w:ascii="Times New Roman" w:hAnsi="Times New Roman"/>
          <w:i w:val="0"/>
          <w:szCs w:val="28"/>
          <w:lang w:eastAsia="zh-TW"/>
        </w:rPr>
        <w:t>。</w:t>
      </w:r>
    </w:p>
    <w:p w:rsidR="005724B4" w:rsidRPr="009F12D9" w:rsidRDefault="00BB5AEB" w:rsidP="005724B4">
      <w:pPr>
        <w:pStyle w:val="ar-heading1"/>
        <w:keepNext w:val="0"/>
        <w:numPr>
          <w:ilvl w:val="0"/>
          <w:numId w:val="5"/>
        </w:numPr>
        <w:spacing w:before="0" w:after="520"/>
        <w:ind w:firstLine="0"/>
        <w:jc w:val="both"/>
        <w:rPr>
          <w:rFonts w:ascii="Times New Roman" w:hAnsi="Times New Roman"/>
          <w:i w:val="0"/>
          <w:lang w:val="en-US" w:eastAsia="zh-TW"/>
        </w:rPr>
      </w:pPr>
      <w:r w:rsidRPr="009F12D9">
        <w:rPr>
          <w:rFonts w:ascii="Times New Roman" w:hAnsi="Times New Roman"/>
          <w:i w:val="0"/>
          <w:lang w:eastAsia="zh-TW"/>
        </w:rPr>
        <w:t>辯方指出，答辯人完全符合判處社會服務令的條件</w:t>
      </w:r>
      <w:r w:rsidRPr="009F12D9">
        <w:rPr>
          <w:rStyle w:val="FootnoteReference"/>
          <w:i w:val="0"/>
        </w:rPr>
        <w:footnoteReference w:id="13"/>
      </w:r>
      <w:r w:rsidR="005724B4" w:rsidRPr="009F12D9">
        <w:rPr>
          <w:rFonts w:ascii="Times New Roman" w:hAnsi="Times New Roman"/>
          <w:i w:val="0"/>
          <w:szCs w:val="28"/>
          <w:lang w:eastAsia="zh-TW"/>
        </w:rPr>
        <w:t>。</w:t>
      </w:r>
    </w:p>
    <w:p w:rsidR="005724B4" w:rsidRPr="009F12D9" w:rsidRDefault="00BB5AEB" w:rsidP="005724B4">
      <w:pPr>
        <w:pStyle w:val="ar-heading1"/>
        <w:keepNext w:val="0"/>
        <w:numPr>
          <w:ilvl w:val="0"/>
          <w:numId w:val="5"/>
        </w:numPr>
        <w:spacing w:before="0" w:after="520"/>
        <w:ind w:firstLine="0"/>
        <w:jc w:val="both"/>
        <w:rPr>
          <w:rFonts w:ascii="Times New Roman" w:hAnsi="Times New Roman"/>
          <w:i w:val="0"/>
          <w:lang w:val="en-US" w:eastAsia="zh-TW"/>
        </w:rPr>
      </w:pPr>
      <w:r w:rsidRPr="009F12D9">
        <w:rPr>
          <w:rFonts w:ascii="Times New Roman" w:hAnsi="Times New Roman"/>
          <w:i w:val="0"/>
          <w:lang w:eastAsia="zh-HK"/>
        </w:rPr>
        <w:t>辯方</w:t>
      </w:r>
      <w:r w:rsidRPr="009F12D9">
        <w:rPr>
          <w:rFonts w:ascii="Times New Roman" w:hAnsi="Times New Roman"/>
          <w:i w:val="0"/>
          <w:szCs w:val="28"/>
          <w:lang w:eastAsia="zh-HK"/>
        </w:rPr>
        <w:t>呈上</w:t>
      </w:r>
      <w:r w:rsidRPr="009F12D9">
        <w:rPr>
          <w:rFonts w:ascii="Times New Roman" w:hAnsi="Times New Roman"/>
          <w:i w:val="0"/>
          <w:lang w:eastAsia="zh-TW"/>
        </w:rPr>
        <w:t>答辯人本人以及</w:t>
      </w:r>
      <w:r w:rsidRPr="009F12D9">
        <w:rPr>
          <w:rFonts w:ascii="Times New Roman" w:hAnsi="Times New Roman"/>
          <w:i w:val="0"/>
          <w:lang w:eastAsia="zh-HK"/>
        </w:rPr>
        <w:t>他</w:t>
      </w:r>
      <w:r w:rsidRPr="009F12D9">
        <w:rPr>
          <w:rFonts w:ascii="Times New Roman" w:hAnsi="Times New Roman"/>
          <w:i w:val="0"/>
          <w:lang w:eastAsia="zh-TW"/>
        </w:rPr>
        <w:t>母親和兄長所寫</w:t>
      </w:r>
      <w:r w:rsidRPr="009F12D9">
        <w:rPr>
          <w:rFonts w:ascii="Times New Roman" w:hAnsi="Times New Roman"/>
          <w:i w:val="0"/>
          <w:lang w:eastAsia="zh-HK"/>
        </w:rPr>
        <w:t>的</w:t>
      </w:r>
      <w:r w:rsidRPr="009F12D9">
        <w:rPr>
          <w:rFonts w:ascii="Times New Roman" w:hAnsi="Times New Roman"/>
          <w:i w:val="0"/>
          <w:lang w:eastAsia="zh-TW"/>
        </w:rPr>
        <w:t>求</w:t>
      </w:r>
      <w:r w:rsidRPr="009F12D9">
        <w:rPr>
          <w:rFonts w:ascii="Times New Roman" w:hAnsi="Times New Roman"/>
          <w:i w:val="0"/>
          <w:lang w:eastAsia="zh-HK"/>
        </w:rPr>
        <w:t>情信</w:t>
      </w:r>
      <w:r w:rsidRPr="009F12D9">
        <w:rPr>
          <w:rFonts w:ascii="Times New Roman" w:hAnsi="Times New Roman"/>
          <w:i w:val="0"/>
          <w:lang w:eastAsia="zh-TW"/>
        </w:rPr>
        <w:t>。答辯人在</w:t>
      </w:r>
      <w:r w:rsidRPr="009F12D9">
        <w:rPr>
          <w:rFonts w:ascii="Times New Roman" w:hAnsi="Times New Roman"/>
          <w:i w:val="0"/>
          <w:lang w:eastAsia="zh-HK"/>
        </w:rPr>
        <w:t>信中</w:t>
      </w:r>
      <w:r w:rsidRPr="009F12D9">
        <w:rPr>
          <w:rFonts w:ascii="Times New Roman" w:hAnsi="Times New Roman"/>
          <w:i w:val="0"/>
          <w:lang w:eastAsia="zh-TW"/>
        </w:rPr>
        <w:t>多次</w:t>
      </w:r>
      <w:r w:rsidRPr="009F12D9">
        <w:rPr>
          <w:rFonts w:ascii="Times New Roman" w:hAnsi="Times New Roman"/>
          <w:i w:val="0"/>
          <w:lang w:eastAsia="zh-HK"/>
        </w:rPr>
        <w:t>提到</w:t>
      </w:r>
      <w:r w:rsidRPr="009F12D9">
        <w:rPr>
          <w:rFonts w:ascii="Times New Roman" w:hAnsi="Times New Roman"/>
          <w:i w:val="0"/>
          <w:lang w:eastAsia="zh-TW"/>
        </w:rPr>
        <w:t>自己有「助人為樂」及「熱愛香港」和「幫助這座城市」的心，但明言已學懂需要以「增值自己」為前提，所以報讀了一個樹木管理課程</w:t>
      </w:r>
      <w:r w:rsidRPr="009F12D9">
        <w:rPr>
          <w:rStyle w:val="FootnoteReference"/>
          <w:i w:val="0"/>
          <w:lang w:eastAsia="zh-HK"/>
        </w:rPr>
        <w:footnoteReference w:id="14"/>
      </w:r>
      <w:r w:rsidR="005724B4" w:rsidRPr="009F12D9">
        <w:rPr>
          <w:rFonts w:ascii="Times New Roman" w:hAnsi="Times New Roman"/>
          <w:i w:val="0"/>
          <w:szCs w:val="28"/>
          <w:lang w:eastAsia="zh-TW"/>
        </w:rPr>
        <w:t>。</w:t>
      </w:r>
    </w:p>
    <w:p w:rsidR="00BB5AEB" w:rsidRPr="009F12D9" w:rsidRDefault="00BB5AEB" w:rsidP="00BB5AEB">
      <w:pPr>
        <w:pStyle w:val="Final"/>
        <w:keepNext/>
        <w:tabs>
          <w:tab w:val="clear" w:pos="1440"/>
          <w:tab w:val="clear" w:pos="4320"/>
          <w:tab w:val="clear" w:pos="9072"/>
          <w:tab w:val="left" w:pos="720"/>
          <w:tab w:val="center" w:pos="4234"/>
          <w:tab w:val="right" w:pos="8453"/>
        </w:tabs>
        <w:spacing w:after="360"/>
        <w:rPr>
          <w:i/>
        </w:rPr>
      </w:pPr>
      <w:r w:rsidRPr="009F12D9">
        <w:rPr>
          <w:i/>
          <w:iCs/>
          <w:lang w:val="en-GB"/>
        </w:rPr>
        <w:lastRenderedPageBreak/>
        <w:t>E</w:t>
      </w:r>
      <w:r w:rsidRPr="009F12D9">
        <w:rPr>
          <w:i/>
          <w:iCs/>
          <w:lang w:val="en-GB" w:eastAsia="zh-TW"/>
        </w:rPr>
        <w:t>.</w:t>
      </w:r>
      <w:r w:rsidRPr="009F12D9">
        <w:rPr>
          <w:i/>
          <w:lang w:val="en-GB" w:eastAsia="zh-TW"/>
        </w:rPr>
        <w:t xml:space="preserve"> </w:t>
      </w:r>
      <w:r w:rsidRPr="009F12D9">
        <w:rPr>
          <w:i/>
          <w:lang w:val="en-GB" w:eastAsia="zh-TW"/>
        </w:rPr>
        <w:tab/>
      </w:r>
      <w:r w:rsidRPr="009F12D9">
        <w:rPr>
          <w:i/>
          <w:iCs/>
          <w:lang w:val="en-GB" w:eastAsia="zh-TW"/>
        </w:rPr>
        <w:t>原審判刑</w:t>
      </w:r>
    </w:p>
    <w:p w:rsidR="005724B4" w:rsidRPr="009F12D9" w:rsidRDefault="00BB5AEB" w:rsidP="005724B4">
      <w:pPr>
        <w:pStyle w:val="ar-heading1"/>
        <w:keepNext w:val="0"/>
        <w:numPr>
          <w:ilvl w:val="0"/>
          <w:numId w:val="5"/>
        </w:numPr>
        <w:spacing w:before="0" w:after="520"/>
        <w:ind w:firstLine="0"/>
        <w:jc w:val="both"/>
        <w:rPr>
          <w:rFonts w:ascii="Times New Roman" w:hAnsi="Times New Roman"/>
          <w:i w:val="0"/>
          <w:lang w:val="en-US" w:eastAsia="zh-TW"/>
        </w:rPr>
      </w:pPr>
      <w:r w:rsidRPr="009F12D9">
        <w:rPr>
          <w:rFonts w:ascii="Times New Roman" w:hAnsi="Times New Roman"/>
          <w:i w:val="0"/>
          <w:lang w:eastAsia="zh-TW"/>
        </w:rPr>
        <w:t>原審裁判官在首次聆訊當中已表明，他認為本案的非法集結「</w:t>
      </w:r>
      <w:r w:rsidRPr="009F12D9">
        <w:rPr>
          <w:rFonts w:ascii="Times New Roman" w:hAnsi="Times New Roman"/>
          <w:i w:val="0"/>
          <w:lang w:eastAsia="zh-HK"/>
        </w:rPr>
        <w:t>比</w:t>
      </w:r>
      <w:r w:rsidRPr="009F12D9">
        <w:rPr>
          <w:rFonts w:ascii="Times New Roman" w:hAnsi="Times New Roman"/>
          <w:i w:val="0"/>
          <w:lang w:eastAsia="zh-TW"/>
        </w:rPr>
        <w:t>較</w:t>
      </w:r>
      <w:r w:rsidRPr="009F12D9">
        <w:rPr>
          <w:rFonts w:ascii="Times New Roman" w:hAnsi="Times New Roman"/>
          <w:i w:val="0"/>
          <w:lang w:eastAsia="zh-HK"/>
        </w:rPr>
        <w:t>溫</w:t>
      </w:r>
      <w:r w:rsidRPr="009F12D9">
        <w:rPr>
          <w:rFonts w:ascii="Times New Roman" w:hAnsi="Times New Roman"/>
          <w:i w:val="0"/>
          <w:lang w:eastAsia="zh-TW"/>
        </w:rPr>
        <w:t>和」，甚至是「</w:t>
      </w:r>
      <w:r w:rsidRPr="009F12D9">
        <w:rPr>
          <w:rFonts w:ascii="Times New Roman" w:hAnsi="Times New Roman"/>
          <w:i w:val="0"/>
          <w:lang w:eastAsia="zh-HK"/>
        </w:rPr>
        <w:t>和</w:t>
      </w:r>
      <w:r w:rsidRPr="009F12D9">
        <w:rPr>
          <w:rFonts w:ascii="Times New Roman" w:hAnsi="Times New Roman"/>
          <w:i w:val="0"/>
          <w:lang w:eastAsia="zh-TW"/>
        </w:rPr>
        <w:t>平」，而且答辯人本身的行為也不是「非常暴力」或「意圖傷害他人」，所以認為可考慮判處答辯人社會服務令</w:t>
      </w:r>
      <w:r w:rsidRPr="009F12D9">
        <w:rPr>
          <w:rStyle w:val="FootnoteReference"/>
          <w:i w:val="0"/>
        </w:rPr>
        <w:footnoteReference w:id="15"/>
      </w:r>
      <w:r w:rsidR="005724B4" w:rsidRPr="009F12D9">
        <w:rPr>
          <w:rFonts w:ascii="Times New Roman" w:hAnsi="Times New Roman"/>
          <w:i w:val="0"/>
          <w:szCs w:val="28"/>
          <w:lang w:eastAsia="zh-TW"/>
        </w:rPr>
        <w:t>。</w:t>
      </w:r>
    </w:p>
    <w:p w:rsidR="009F6CFC" w:rsidRPr="009F12D9" w:rsidRDefault="00BB5AEB" w:rsidP="009F6CFC">
      <w:pPr>
        <w:pStyle w:val="ar-heading1"/>
        <w:keepNext w:val="0"/>
        <w:widowControl w:val="0"/>
        <w:numPr>
          <w:ilvl w:val="0"/>
          <w:numId w:val="5"/>
        </w:numPr>
        <w:ind w:firstLine="0"/>
        <w:jc w:val="both"/>
        <w:rPr>
          <w:rFonts w:ascii="Times New Roman" w:hAnsi="Times New Roman"/>
          <w:i w:val="0"/>
          <w:lang w:val="en-US" w:eastAsia="zh-TW"/>
        </w:rPr>
      </w:pPr>
      <w:r w:rsidRPr="009F12D9">
        <w:rPr>
          <w:rFonts w:ascii="Times New Roman" w:hAnsi="Times New Roman"/>
          <w:i w:val="0"/>
          <w:lang w:eastAsia="zh-TW"/>
        </w:rPr>
        <w:t>在正式判刑當日，原審裁判官再次提到</w:t>
      </w:r>
      <w:r w:rsidRPr="009F12D9">
        <w:rPr>
          <w:rFonts w:ascii="Times New Roman" w:hAnsi="Times New Roman"/>
          <w:szCs w:val="28"/>
          <w:lang w:eastAsia="zh-TW"/>
        </w:rPr>
        <w:t>黃之鋒</w:t>
      </w:r>
      <w:r w:rsidRPr="009F12D9">
        <w:rPr>
          <w:rFonts w:ascii="Times New Roman" w:hAnsi="Times New Roman"/>
          <w:i w:val="0"/>
          <w:szCs w:val="28"/>
          <w:lang w:eastAsia="zh-TW"/>
        </w:rPr>
        <w:t>一案，</w:t>
      </w:r>
      <w:r w:rsidRPr="009F12D9">
        <w:rPr>
          <w:rFonts w:ascii="Times New Roman" w:hAnsi="Times New Roman"/>
          <w:i w:val="0"/>
          <w:lang w:eastAsia="zh-TW"/>
        </w:rPr>
        <w:t>重點和辯方在求情時強調的完全一樣（見上文第</w:t>
      </w:r>
      <w:r w:rsidRPr="009F12D9">
        <w:rPr>
          <w:rFonts w:ascii="Times New Roman" w:hAnsi="Times New Roman"/>
          <w:i w:val="0"/>
          <w:lang w:eastAsia="zh-TW"/>
        </w:rPr>
        <w:t>19</w:t>
      </w:r>
      <w:r w:rsidRPr="009F12D9">
        <w:rPr>
          <w:rFonts w:ascii="Times New Roman" w:hAnsi="Times New Roman"/>
          <w:i w:val="0"/>
          <w:lang w:eastAsia="zh-TW"/>
        </w:rPr>
        <w:t>段）</w:t>
      </w:r>
      <w:r w:rsidRPr="009F12D9">
        <w:rPr>
          <w:rStyle w:val="FootnoteReference"/>
          <w:i w:val="0"/>
          <w:szCs w:val="28"/>
        </w:rPr>
        <w:footnoteReference w:id="16"/>
      </w:r>
      <w:r w:rsidRPr="009F12D9">
        <w:rPr>
          <w:rFonts w:ascii="Times New Roman" w:hAnsi="Times New Roman"/>
          <w:i w:val="0"/>
          <w:lang w:eastAsia="zh-TW"/>
        </w:rPr>
        <w:t>。此外他亦重申了本案可被視作情節較輕的理由</w:t>
      </w:r>
      <w:r w:rsidRPr="009F12D9">
        <w:rPr>
          <w:rStyle w:val="FootnoteReference"/>
          <w:i w:val="0"/>
        </w:rPr>
        <w:footnoteReference w:id="17"/>
      </w:r>
      <w:r w:rsidR="009F6CFC" w:rsidRPr="009F12D9">
        <w:rPr>
          <w:rFonts w:ascii="Times New Roman" w:hAnsi="Times New Roman"/>
          <w:i w:val="0"/>
          <w:lang w:val="en-US" w:eastAsia="zh-TW"/>
        </w:rPr>
        <w:t>：</w:t>
      </w:r>
    </w:p>
    <w:p w:rsidR="009F6CFC" w:rsidRPr="009F12D9" w:rsidRDefault="009F6CFC" w:rsidP="009F6CFC">
      <w:pPr>
        <w:pStyle w:val="Quotation"/>
        <w:tabs>
          <w:tab w:val="left" w:pos="720"/>
        </w:tabs>
        <w:spacing w:after="520"/>
        <w:ind w:left="720" w:right="662" w:hanging="360"/>
        <w:rPr>
          <w:spacing w:val="6"/>
          <w:lang w:eastAsia="zh-HK"/>
        </w:rPr>
      </w:pPr>
      <w:r w:rsidRPr="009F12D9">
        <w:rPr>
          <w:spacing w:val="6"/>
          <w:lang w:eastAsia="zh-TW"/>
        </w:rPr>
        <w:t>「</w:t>
      </w:r>
      <w:r w:rsidRPr="009F12D9">
        <w:rPr>
          <w:spacing w:val="6"/>
          <w:lang w:eastAsia="zh-TW"/>
        </w:rPr>
        <w:tab/>
      </w:r>
      <w:r w:rsidR="00E7609B" w:rsidRPr="009F12D9">
        <w:rPr>
          <w:szCs w:val="24"/>
          <w:lang w:eastAsia="zh-HK"/>
        </w:rPr>
        <w:t>喺本案</w:t>
      </w:r>
      <w:r w:rsidR="00E7609B" w:rsidRPr="009F12D9">
        <w:rPr>
          <w:szCs w:val="24"/>
          <w:lang w:eastAsia="zh-TW"/>
        </w:rPr>
        <w:t xml:space="preserve"> … </w:t>
      </w:r>
      <w:r w:rsidR="00E7609B" w:rsidRPr="009F12D9">
        <w:rPr>
          <w:szCs w:val="24"/>
          <w:lang w:eastAsia="zh-HK"/>
        </w:rPr>
        <w:t>雖</w:t>
      </w:r>
      <w:r w:rsidR="00E7609B" w:rsidRPr="009F12D9">
        <w:rPr>
          <w:szCs w:val="24"/>
          <w:lang w:eastAsia="zh-TW"/>
        </w:rPr>
        <w:t>然</w:t>
      </w:r>
      <w:r w:rsidR="00E7609B" w:rsidRPr="009F12D9">
        <w:rPr>
          <w:szCs w:val="24"/>
          <w:lang w:eastAsia="zh-TW"/>
        </w:rPr>
        <w:t xml:space="preserve"> … </w:t>
      </w:r>
      <w:r w:rsidR="00CA123F">
        <w:rPr>
          <w:rFonts w:hint="eastAsia"/>
          <w:szCs w:val="24"/>
          <w:lang w:eastAsia="zh-TW"/>
        </w:rPr>
        <w:t>牽</w:t>
      </w:r>
      <w:r w:rsidR="00E7609B" w:rsidRPr="009F12D9">
        <w:rPr>
          <w:szCs w:val="24"/>
          <w:lang w:eastAsia="zh-TW"/>
        </w:rPr>
        <w:t>涉咗</w:t>
      </w:r>
      <w:r w:rsidR="00E7609B" w:rsidRPr="009F12D9">
        <w:rPr>
          <w:szCs w:val="24"/>
          <w:lang w:eastAsia="zh-HK"/>
        </w:rPr>
        <w:t>約</w:t>
      </w:r>
      <w:r w:rsidR="00E7609B" w:rsidRPr="009F12D9">
        <w:rPr>
          <w:szCs w:val="24"/>
          <w:lang w:eastAsia="zh-TW"/>
        </w:rPr>
        <w:t>四</w:t>
      </w:r>
      <w:r w:rsidR="00E7609B" w:rsidRPr="009F12D9">
        <w:rPr>
          <w:szCs w:val="24"/>
          <w:lang w:eastAsia="zh-HK"/>
        </w:rPr>
        <w:t>百至五百人</w:t>
      </w:r>
      <w:r w:rsidR="00E7609B" w:rsidRPr="009F12D9">
        <w:rPr>
          <w:szCs w:val="24"/>
          <w:lang w:eastAsia="zh-TW"/>
        </w:rPr>
        <w:t>，</w:t>
      </w:r>
      <w:proofErr w:type="gramStart"/>
      <w:r w:rsidR="00E7609B" w:rsidRPr="009F12D9">
        <w:rPr>
          <w:szCs w:val="24"/>
          <w:lang w:eastAsia="zh-HK"/>
        </w:rPr>
        <w:t>規模唔算小</w:t>
      </w:r>
      <w:proofErr w:type="gramEnd"/>
      <w:r w:rsidR="00E7609B" w:rsidRPr="009F12D9">
        <w:rPr>
          <w:szCs w:val="24"/>
          <w:lang w:eastAsia="zh-TW"/>
        </w:rPr>
        <w:t>，</w:t>
      </w:r>
      <w:r w:rsidR="00E7609B" w:rsidRPr="009F12D9">
        <w:rPr>
          <w:szCs w:val="24"/>
          <w:lang w:eastAsia="zh-HK"/>
        </w:rPr>
        <w:t>但係</w:t>
      </w:r>
      <w:r w:rsidR="00E7609B" w:rsidRPr="009F12D9">
        <w:rPr>
          <w:szCs w:val="24"/>
          <w:lang w:eastAsia="zh-TW"/>
        </w:rPr>
        <w:t xml:space="preserve"> … </w:t>
      </w:r>
      <w:r w:rsidR="00E7609B" w:rsidRPr="009F12D9">
        <w:rPr>
          <w:szCs w:val="24"/>
          <w:lang w:eastAsia="zh-HK"/>
        </w:rPr>
        <w:t>呢啲</w:t>
      </w:r>
      <w:r w:rsidR="00E7609B" w:rsidRPr="009F12D9">
        <w:rPr>
          <w:szCs w:val="24"/>
          <w:lang w:eastAsia="zh-TW"/>
        </w:rPr>
        <w:t>集結</w:t>
      </w:r>
      <w:r w:rsidR="00E7609B" w:rsidRPr="009F12D9">
        <w:rPr>
          <w:szCs w:val="24"/>
          <w:lang w:eastAsia="zh-HK"/>
        </w:rPr>
        <w:t>者</w:t>
      </w:r>
      <w:r w:rsidR="00E7609B" w:rsidRPr="009F12D9">
        <w:rPr>
          <w:szCs w:val="24"/>
          <w:lang w:eastAsia="zh-TW"/>
        </w:rPr>
        <w:t xml:space="preserve"> … </w:t>
      </w:r>
      <w:proofErr w:type="gramStart"/>
      <w:r w:rsidR="00E7609B" w:rsidRPr="009F12D9">
        <w:rPr>
          <w:szCs w:val="24"/>
          <w:lang w:eastAsia="zh-HK"/>
        </w:rPr>
        <w:t>都只係作出</w:t>
      </w:r>
      <w:proofErr w:type="gramEnd"/>
      <w:r w:rsidR="00E7609B" w:rsidRPr="009F12D9">
        <w:rPr>
          <w:szCs w:val="24"/>
          <w:lang w:eastAsia="zh-HK"/>
        </w:rPr>
        <w:t>咗</w:t>
      </w:r>
      <w:r w:rsidR="00E7609B" w:rsidRPr="009F12D9">
        <w:rPr>
          <w:szCs w:val="24"/>
          <w:lang w:eastAsia="zh-TW"/>
        </w:rPr>
        <w:t>呼喊</w:t>
      </w:r>
      <w:r w:rsidR="00E7609B" w:rsidRPr="009F12D9">
        <w:rPr>
          <w:szCs w:val="24"/>
          <w:lang w:eastAsia="zh-HK"/>
        </w:rPr>
        <w:t>口</w:t>
      </w:r>
      <w:r w:rsidR="00E7609B" w:rsidRPr="009F12D9">
        <w:rPr>
          <w:szCs w:val="24"/>
          <w:lang w:eastAsia="zh-TW"/>
        </w:rPr>
        <w:t>號</w:t>
      </w:r>
      <w:r w:rsidR="00E7609B" w:rsidRPr="009F12D9">
        <w:rPr>
          <w:szCs w:val="24"/>
          <w:lang w:eastAsia="zh-HK"/>
        </w:rPr>
        <w:t>呀</w:t>
      </w:r>
      <w:r w:rsidR="00E7609B" w:rsidRPr="009F12D9">
        <w:rPr>
          <w:szCs w:val="24"/>
          <w:lang w:eastAsia="zh-TW"/>
        </w:rPr>
        <w:t>，</w:t>
      </w:r>
      <w:r w:rsidR="00E7609B" w:rsidRPr="009F12D9">
        <w:rPr>
          <w:szCs w:val="24"/>
          <w:lang w:eastAsia="zh-HK"/>
        </w:rPr>
        <w:t>手</w:t>
      </w:r>
      <w:r w:rsidR="00E7609B" w:rsidRPr="009F12D9">
        <w:rPr>
          <w:szCs w:val="24"/>
          <w:lang w:eastAsia="zh-TW"/>
        </w:rPr>
        <w:t>勢</w:t>
      </w:r>
      <w:r w:rsidR="00E7609B" w:rsidRPr="009F12D9">
        <w:rPr>
          <w:szCs w:val="24"/>
          <w:lang w:eastAsia="zh-HK"/>
        </w:rPr>
        <w:t>呀</w:t>
      </w:r>
      <w:r w:rsidR="00E7609B" w:rsidRPr="009F12D9">
        <w:rPr>
          <w:szCs w:val="24"/>
          <w:lang w:eastAsia="zh-TW"/>
        </w:rPr>
        <w:t>，將</w:t>
      </w:r>
      <w:r w:rsidR="00E7609B" w:rsidRPr="009F12D9">
        <w:rPr>
          <w:szCs w:val="24"/>
          <w:lang w:eastAsia="zh-HK"/>
        </w:rPr>
        <w:t>鐳</w:t>
      </w:r>
      <w:r w:rsidR="00E7609B" w:rsidRPr="009F12D9">
        <w:rPr>
          <w:szCs w:val="24"/>
          <w:lang w:eastAsia="zh-TW"/>
        </w:rPr>
        <w:t>射</w:t>
      </w:r>
      <w:r w:rsidR="00E7609B" w:rsidRPr="009F12D9">
        <w:rPr>
          <w:szCs w:val="24"/>
          <w:lang w:eastAsia="zh-HK"/>
        </w:rPr>
        <w:t>光指向警</w:t>
      </w:r>
      <w:r w:rsidR="00E7609B" w:rsidRPr="009F12D9">
        <w:rPr>
          <w:szCs w:val="24"/>
          <w:lang w:eastAsia="zh-TW"/>
        </w:rPr>
        <w:t>員</w:t>
      </w:r>
      <w:r w:rsidR="00E7609B" w:rsidRPr="009F12D9">
        <w:rPr>
          <w:szCs w:val="24"/>
          <w:lang w:eastAsia="zh-HK"/>
        </w:rPr>
        <w:t>等等呢啲相對溫</w:t>
      </w:r>
      <w:r w:rsidR="00E7609B" w:rsidRPr="009F12D9">
        <w:rPr>
          <w:szCs w:val="24"/>
          <w:lang w:eastAsia="zh-TW"/>
        </w:rPr>
        <w:t>和</w:t>
      </w:r>
      <w:r w:rsidR="00E7609B" w:rsidRPr="009F12D9">
        <w:rPr>
          <w:szCs w:val="24"/>
          <w:lang w:eastAsia="zh-HK"/>
        </w:rPr>
        <w:t>嘅行</w:t>
      </w:r>
      <w:r w:rsidR="00E7609B" w:rsidRPr="009F12D9">
        <w:rPr>
          <w:szCs w:val="24"/>
          <w:lang w:eastAsia="zh-TW"/>
        </w:rPr>
        <w:t>為。</w:t>
      </w:r>
      <w:r w:rsidR="00E7609B" w:rsidRPr="009F12D9">
        <w:rPr>
          <w:szCs w:val="24"/>
          <w:lang w:eastAsia="zh-HK"/>
        </w:rPr>
        <w:t>更</w:t>
      </w:r>
      <w:r w:rsidR="00E7609B" w:rsidRPr="009F12D9">
        <w:rPr>
          <w:szCs w:val="24"/>
          <w:lang w:eastAsia="zh-TW"/>
        </w:rPr>
        <w:t>加</w:t>
      </w:r>
      <w:r w:rsidR="00E7609B" w:rsidRPr="009F12D9">
        <w:rPr>
          <w:szCs w:val="24"/>
          <w:lang w:eastAsia="zh-HK"/>
        </w:rPr>
        <w:t>重</w:t>
      </w:r>
      <w:r w:rsidR="00E7609B" w:rsidRPr="009F12D9">
        <w:rPr>
          <w:szCs w:val="24"/>
          <w:lang w:eastAsia="zh-TW"/>
        </w:rPr>
        <w:t>要</w:t>
      </w:r>
      <w:r w:rsidR="00E7609B" w:rsidRPr="009F12D9">
        <w:rPr>
          <w:szCs w:val="24"/>
          <w:lang w:eastAsia="zh-HK"/>
        </w:rPr>
        <w:t>嘅</w:t>
      </w:r>
      <w:proofErr w:type="gramStart"/>
      <w:r w:rsidR="00E7609B" w:rsidRPr="009F12D9">
        <w:rPr>
          <w:szCs w:val="24"/>
          <w:lang w:eastAsia="zh-HK"/>
        </w:rPr>
        <w:t>就係</w:t>
      </w:r>
      <w:r w:rsidR="00E7609B" w:rsidRPr="009F12D9">
        <w:rPr>
          <w:szCs w:val="24"/>
          <w:lang w:eastAsia="zh-TW"/>
        </w:rPr>
        <w:t>，</w:t>
      </w:r>
      <w:r w:rsidR="00E7609B" w:rsidRPr="009F12D9">
        <w:rPr>
          <w:szCs w:val="24"/>
          <w:lang w:eastAsia="zh-HK"/>
        </w:rPr>
        <w:t>正如控</w:t>
      </w:r>
      <w:proofErr w:type="gramEnd"/>
      <w:r w:rsidR="00E7609B" w:rsidRPr="009F12D9">
        <w:rPr>
          <w:szCs w:val="24"/>
          <w:lang w:eastAsia="zh-HK"/>
        </w:rPr>
        <w:t>方喺較早時</w:t>
      </w:r>
      <w:r w:rsidR="00E7609B" w:rsidRPr="009F12D9">
        <w:rPr>
          <w:szCs w:val="24"/>
          <w:lang w:eastAsia="zh-TW"/>
        </w:rPr>
        <w:t xml:space="preserve"> … </w:t>
      </w:r>
      <w:r w:rsidR="00E7609B" w:rsidRPr="009F12D9">
        <w:rPr>
          <w:szCs w:val="24"/>
          <w:lang w:eastAsia="zh-HK"/>
        </w:rPr>
        <w:t>確</w:t>
      </w:r>
      <w:r w:rsidR="00E7609B" w:rsidRPr="009F12D9">
        <w:rPr>
          <w:szCs w:val="24"/>
          <w:lang w:eastAsia="zh-TW"/>
        </w:rPr>
        <w:t>認</w:t>
      </w:r>
      <w:r w:rsidR="00E7609B" w:rsidRPr="009F12D9">
        <w:rPr>
          <w:szCs w:val="24"/>
          <w:lang w:eastAsia="zh-HK"/>
        </w:rPr>
        <w:t>過</w:t>
      </w:r>
      <w:r w:rsidR="00E7609B" w:rsidRPr="009F12D9">
        <w:rPr>
          <w:szCs w:val="24"/>
          <w:lang w:eastAsia="zh-TW"/>
        </w:rPr>
        <w:t>，</w:t>
      </w:r>
      <w:r w:rsidR="00E7609B" w:rsidRPr="009F12D9">
        <w:rPr>
          <w:szCs w:val="24"/>
          <w:lang w:eastAsia="zh-HK"/>
        </w:rPr>
        <w:t>本案並唔涉及上訴庭</w:t>
      </w:r>
      <w:proofErr w:type="gramStart"/>
      <w:r w:rsidR="00E7609B" w:rsidRPr="009F12D9">
        <w:rPr>
          <w:szCs w:val="24"/>
          <w:lang w:eastAsia="zh-HK"/>
        </w:rPr>
        <w:t>所指</w:t>
      </w:r>
      <w:r w:rsidR="00CA123F">
        <w:rPr>
          <w:rFonts w:hint="eastAsia"/>
          <w:szCs w:val="24"/>
          <w:lang w:eastAsia="zh-TW"/>
        </w:rPr>
        <w:t>及</w:t>
      </w:r>
      <w:proofErr w:type="gramEnd"/>
      <w:r w:rsidR="00E7609B" w:rsidRPr="009F12D9">
        <w:rPr>
          <w:szCs w:val="24"/>
          <w:lang w:eastAsia="zh-HK"/>
        </w:rPr>
        <w:t>嘅</w:t>
      </w:r>
      <w:proofErr w:type="gramStart"/>
      <w:r w:rsidR="00E7609B" w:rsidRPr="009F12D9">
        <w:rPr>
          <w:szCs w:val="24"/>
          <w:lang w:eastAsia="zh-HK"/>
        </w:rPr>
        <w:t>一</w:t>
      </w:r>
      <w:proofErr w:type="gramEnd"/>
      <w:r w:rsidR="00E7609B" w:rsidRPr="009F12D9">
        <w:rPr>
          <w:szCs w:val="24"/>
          <w:lang w:eastAsia="zh-HK"/>
        </w:rPr>
        <w:t>啲暴</w:t>
      </w:r>
      <w:r w:rsidR="00E7609B" w:rsidRPr="009F12D9">
        <w:rPr>
          <w:szCs w:val="24"/>
          <w:lang w:eastAsia="zh-TW"/>
        </w:rPr>
        <w:t>力</w:t>
      </w:r>
      <w:r w:rsidR="00E7609B" w:rsidRPr="009F12D9">
        <w:rPr>
          <w:szCs w:val="24"/>
          <w:lang w:eastAsia="zh-HK"/>
        </w:rPr>
        <w:t>嘅行</w:t>
      </w:r>
      <w:r w:rsidR="00E7609B" w:rsidRPr="009F12D9">
        <w:rPr>
          <w:szCs w:val="24"/>
          <w:lang w:eastAsia="zh-TW"/>
        </w:rPr>
        <w:t>為，</w:t>
      </w:r>
      <w:r w:rsidR="00E7609B" w:rsidRPr="009F12D9">
        <w:rPr>
          <w:szCs w:val="24"/>
          <w:lang w:eastAsia="zh-HK"/>
        </w:rPr>
        <w:t>而本</w:t>
      </w:r>
      <w:proofErr w:type="gramStart"/>
      <w:r w:rsidR="00E7609B" w:rsidRPr="009F12D9">
        <w:rPr>
          <w:szCs w:val="24"/>
          <w:lang w:eastAsia="zh-HK"/>
        </w:rPr>
        <w:t>席亦都睇唔到</w:t>
      </w:r>
      <w:proofErr w:type="gramEnd"/>
      <w:r w:rsidR="00E7609B" w:rsidRPr="009F12D9">
        <w:rPr>
          <w:szCs w:val="24"/>
          <w:lang w:eastAsia="zh-TW"/>
        </w:rPr>
        <w:t xml:space="preserve"> … </w:t>
      </w:r>
      <w:r w:rsidR="00E7609B" w:rsidRPr="009F12D9">
        <w:rPr>
          <w:szCs w:val="24"/>
          <w:lang w:eastAsia="zh-HK"/>
        </w:rPr>
        <w:t>有任</w:t>
      </w:r>
      <w:r w:rsidR="00E7609B" w:rsidRPr="009F12D9">
        <w:rPr>
          <w:szCs w:val="24"/>
          <w:lang w:eastAsia="zh-TW"/>
        </w:rPr>
        <w:t>何</w:t>
      </w:r>
      <w:r w:rsidR="00E7609B" w:rsidRPr="009F12D9">
        <w:rPr>
          <w:szCs w:val="24"/>
          <w:lang w:eastAsia="zh-HK"/>
        </w:rPr>
        <w:t>人因</w:t>
      </w:r>
      <w:r w:rsidR="00E7609B" w:rsidRPr="009F12D9">
        <w:rPr>
          <w:szCs w:val="24"/>
          <w:lang w:eastAsia="zh-TW"/>
        </w:rPr>
        <w:t>為今</w:t>
      </w:r>
      <w:r w:rsidR="00E7609B" w:rsidRPr="009F12D9">
        <w:rPr>
          <w:szCs w:val="24"/>
          <w:lang w:eastAsia="zh-HK"/>
        </w:rPr>
        <w:t>次嘅</w:t>
      </w:r>
      <w:r w:rsidR="00E7609B" w:rsidRPr="009F12D9">
        <w:rPr>
          <w:szCs w:val="24"/>
          <w:lang w:eastAsia="zh-TW"/>
        </w:rPr>
        <w:t>非法集結</w:t>
      </w:r>
      <w:r w:rsidR="00E7609B" w:rsidRPr="009F12D9">
        <w:rPr>
          <w:szCs w:val="24"/>
          <w:lang w:eastAsia="zh-HK"/>
        </w:rPr>
        <w:t>而係</w:t>
      </w:r>
      <w:r w:rsidR="00E7609B" w:rsidRPr="009F12D9">
        <w:rPr>
          <w:szCs w:val="24"/>
          <w:lang w:eastAsia="zh-TW"/>
        </w:rPr>
        <w:t>受</w:t>
      </w:r>
      <w:r w:rsidR="00E7609B" w:rsidRPr="009F12D9">
        <w:rPr>
          <w:szCs w:val="24"/>
          <w:lang w:eastAsia="zh-HK"/>
        </w:rPr>
        <w:t>傷</w:t>
      </w:r>
      <w:r w:rsidR="00E7609B" w:rsidRPr="009F12D9">
        <w:rPr>
          <w:szCs w:val="24"/>
          <w:lang w:eastAsia="zh-TW"/>
        </w:rPr>
        <w:t>，</w:t>
      </w:r>
      <w:r w:rsidR="00E7609B" w:rsidRPr="009F12D9">
        <w:rPr>
          <w:szCs w:val="24"/>
          <w:lang w:eastAsia="zh-HK"/>
        </w:rPr>
        <w:t>亦都</w:t>
      </w:r>
      <w:proofErr w:type="gramStart"/>
      <w:r w:rsidR="00E7609B" w:rsidRPr="009F12D9">
        <w:rPr>
          <w:szCs w:val="24"/>
          <w:lang w:eastAsia="zh-HK"/>
        </w:rPr>
        <w:t>冇</w:t>
      </w:r>
      <w:proofErr w:type="gramEnd"/>
      <w:r w:rsidR="00E7609B" w:rsidRPr="009F12D9">
        <w:rPr>
          <w:szCs w:val="24"/>
          <w:lang w:eastAsia="zh-HK"/>
        </w:rPr>
        <w:t>任</w:t>
      </w:r>
      <w:r w:rsidR="00E7609B" w:rsidRPr="009F12D9">
        <w:rPr>
          <w:szCs w:val="24"/>
          <w:lang w:eastAsia="zh-TW"/>
        </w:rPr>
        <w:t>何</w:t>
      </w:r>
      <w:r w:rsidR="00E7609B" w:rsidRPr="009F12D9">
        <w:rPr>
          <w:szCs w:val="24"/>
          <w:lang w:eastAsia="zh-HK"/>
        </w:rPr>
        <w:t>財</w:t>
      </w:r>
      <w:r w:rsidR="00E7609B" w:rsidRPr="009F12D9">
        <w:rPr>
          <w:szCs w:val="24"/>
          <w:lang w:eastAsia="zh-TW"/>
        </w:rPr>
        <w:t>產</w:t>
      </w:r>
      <w:r w:rsidR="00E7609B" w:rsidRPr="009F12D9">
        <w:rPr>
          <w:szCs w:val="24"/>
          <w:lang w:eastAsia="zh-HK"/>
        </w:rPr>
        <w:t>係因此遭</w:t>
      </w:r>
      <w:r w:rsidR="00E7609B" w:rsidRPr="009F12D9">
        <w:rPr>
          <w:szCs w:val="24"/>
          <w:lang w:eastAsia="zh-TW"/>
        </w:rPr>
        <w:t>到</w:t>
      </w:r>
      <w:r w:rsidR="00E7609B" w:rsidRPr="009F12D9">
        <w:rPr>
          <w:szCs w:val="24"/>
          <w:lang w:eastAsia="zh-HK"/>
        </w:rPr>
        <w:t>破</w:t>
      </w:r>
      <w:r w:rsidR="00E7609B" w:rsidRPr="009F12D9">
        <w:rPr>
          <w:szCs w:val="24"/>
          <w:lang w:eastAsia="zh-TW"/>
        </w:rPr>
        <w:t>壞</w:t>
      </w:r>
      <w:r w:rsidR="00E7609B" w:rsidRPr="009F12D9">
        <w:rPr>
          <w:szCs w:val="24"/>
          <w:lang w:eastAsia="zh-HK"/>
        </w:rPr>
        <w:t>嘅</w:t>
      </w:r>
      <w:r w:rsidR="00E7609B" w:rsidRPr="009F12D9">
        <w:rPr>
          <w:szCs w:val="24"/>
          <w:lang w:eastAsia="zh-TW"/>
        </w:rPr>
        <w:t>。</w:t>
      </w:r>
      <w:r w:rsidRPr="009F12D9">
        <w:rPr>
          <w:spacing w:val="6"/>
          <w:lang w:eastAsia="zh-TW"/>
        </w:rPr>
        <w:t>」</w:t>
      </w:r>
    </w:p>
    <w:p w:rsidR="00BB5AEB" w:rsidRPr="009F12D9" w:rsidRDefault="00E7609B" w:rsidP="00BB5AEB">
      <w:pPr>
        <w:pStyle w:val="ar-heading1"/>
        <w:keepNext w:val="0"/>
        <w:widowControl w:val="0"/>
        <w:numPr>
          <w:ilvl w:val="0"/>
          <w:numId w:val="5"/>
        </w:numPr>
        <w:ind w:firstLine="0"/>
        <w:jc w:val="both"/>
        <w:rPr>
          <w:rFonts w:ascii="Times New Roman" w:hAnsi="Times New Roman"/>
          <w:i w:val="0"/>
          <w:lang w:val="en-US" w:eastAsia="zh-TW"/>
        </w:rPr>
      </w:pPr>
      <w:r w:rsidRPr="009F12D9">
        <w:rPr>
          <w:rFonts w:ascii="Times New Roman" w:hAnsi="Times New Roman"/>
          <w:i w:val="0"/>
          <w:lang w:eastAsia="zh-TW"/>
        </w:rPr>
        <w:t>他解釋他何以認為社會服務令是最適合本案的刑罰</w:t>
      </w:r>
      <w:r w:rsidRPr="009F12D9">
        <w:rPr>
          <w:rStyle w:val="FootnoteReference"/>
          <w:i w:val="0"/>
          <w:szCs w:val="28"/>
        </w:rPr>
        <w:footnoteReference w:id="18"/>
      </w:r>
      <w:r w:rsidR="00BB5AEB" w:rsidRPr="009F12D9">
        <w:rPr>
          <w:rFonts w:ascii="Times New Roman" w:hAnsi="Times New Roman"/>
          <w:i w:val="0"/>
          <w:lang w:val="en-US" w:eastAsia="zh-TW"/>
        </w:rPr>
        <w:t>：</w:t>
      </w:r>
    </w:p>
    <w:p w:rsidR="00BB5AEB" w:rsidRPr="009F12D9" w:rsidRDefault="00BB5AEB" w:rsidP="00BB5AEB">
      <w:pPr>
        <w:pStyle w:val="Quotation"/>
        <w:tabs>
          <w:tab w:val="left" w:pos="720"/>
        </w:tabs>
        <w:spacing w:after="520"/>
        <w:ind w:left="720" w:right="662" w:hanging="360"/>
        <w:rPr>
          <w:spacing w:val="6"/>
          <w:lang w:eastAsia="zh-HK"/>
        </w:rPr>
      </w:pPr>
      <w:r w:rsidRPr="009F12D9">
        <w:rPr>
          <w:spacing w:val="6"/>
          <w:lang w:eastAsia="zh-TW"/>
        </w:rPr>
        <w:t>「</w:t>
      </w:r>
      <w:r w:rsidRPr="009F12D9">
        <w:rPr>
          <w:spacing w:val="6"/>
          <w:lang w:eastAsia="zh-TW"/>
        </w:rPr>
        <w:tab/>
      </w:r>
      <w:r w:rsidR="00E7609B" w:rsidRPr="009F12D9">
        <w:rPr>
          <w:szCs w:val="24"/>
          <w:lang w:val="en-GB" w:eastAsia="zh-TW"/>
        </w:rPr>
        <w:t xml:space="preserve">… </w:t>
      </w:r>
      <w:r w:rsidR="00E7609B" w:rsidRPr="009F12D9">
        <w:rPr>
          <w:szCs w:val="24"/>
          <w:lang w:val="en-GB" w:eastAsia="zh-HK"/>
        </w:rPr>
        <w:t>本案</w:t>
      </w:r>
      <w:r w:rsidR="00E7609B" w:rsidRPr="009F12D9">
        <w:rPr>
          <w:szCs w:val="24"/>
          <w:lang w:eastAsia="zh-HK"/>
        </w:rPr>
        <w:t>嘅案</w:t>
      </w:r>
      <w:r w:rsidR="00E7609B" w:rsidRPr="009F12D9">
        <w:rPr>
          <w:szCs w:val="24"/>
          <w:lang w:eastAsia="zh-TW"/>
        </w:rPr>
        <w:t>情</w:t>
      </w:r>
      <w:r w:rsidR="00E7609B" w:rsidRPr="009F12D9">
        <w:rPr>
          <w:szCs w:val="24"/>
          <w:lang w:eastAsia="zh-TW"/>
        </w:rPr>
        <w:t xml:space="preserve"> … </w:t>
      </w:r>
      <w:r w:rsidR="00E7609B" w:rsidRPr="009F12D9">
        <w:rPr>
          <w:szCs w:val="24"/>
          <w:lang w:eastAsia="zh-HK"/>
        </w:rPr>
        <w:t>本席認</w:t>
      </w:r>
      <w:r w:rsidR="00E7609B" w:rsidRPr="009F12D9">
        <w:rPr>
          <w:szCs w:val="24"/>
          <w:lang w:eastAsia="zh-TW"/>
        </w:rPr>
        <w:t>為</w:t>
      </w:r>
      <w:r w:rsidR="00E7609B" w:rsidRPr="009F12D9">
        <w:rPr>
          <w:szCs w:val="24"/>
          <w:lang w:eastAsia="zh-HK"/>
        </w:rPr>
        <w:t>較</w:t>
      </w:r>
      <w:r w:rsidR="00E7609B" w:rsidRPr="009F12D9">
        <w:rPr>
          <w:szCs w:val="24"/>
          <w:lang w:eastAsia="zh-TW"/>
        </w:rPr>
        <w:t>為</w:t>
      </w:r>
      <w:r w:rsidR="00E7609B" w:rsidRPr="009F12D9">
        <w:rPr>
          <w:szCs w:val="24"/>
          <w:lang w:eastAsia="zh-HK"/>
        </w:rPr>
        <w:t>接</w:t>
      </w:r>
      <w:r w:rsidR="00E7609B" w:rsidRPr="009F12D9">
        <w:rPr>
          <w:szCs w:val="24"/>
          <w:lang w:eastAsia="zh-TW"/>
        </w:rPr>
        <w:t>近</w:t>
      </w:r>
      <w:r w:rsidR="00E7609B" w:rsidRPr="009F12D9">
        <w:rPr>
          <w:szCs w:val="24"/>
          <w:lang w:eastAsia="zh-HK"/>
        </w:rPr>
        <w:t>上訴庭所提到嘅相對輕</w:t>
      </w:r>
      <w:r w:rsidR="00E7609B" w:rsidRPr="009F12D9">
        <w:rPr>
          <w:szCs w:val="24"/>
          <w:lang w:eastAsia="zh-TW"/>
        </w:rPr>
        <w:t>微</w:t>
      </w:r>
      <w:r w:rsidR="00E7609B" w:rsidRPr="009F12D9">
        <w:rPr>
          <w:szCs w:val="24"/>
          <w:lang w:eastAsia="zh-HK"/>
        </w:rPr>
        <w:t>嘅嗰一端</w:t>
      </w:r>
      <w:r w:rsidR="00E7609B" w:rsidRPr="009F12D9">
        <w:rPr>
          <w:szCs w:val="24"/>
          <w:lang w:eastAsia="zh-TW"/>
        </w:rPr>
        <w:t xml:space="preserve"> …</w:t>
      </w:r>
      <w:r w:rsidR="00E7609B" w:rsidRPr="009F12D9">
        <w:rPr>
          <w:szCs w:val="24"/>
          <w:lang w:eastAsia="zh-TW"/>
        </w:rPr>
        <w:t>。</w:t>
      </w:r>
      <w:r w:rsidR="00E7609B" w:rsidRPr="009F12D9">
        <w:rPr>
          <w:szCs w:val="24"/>
          <w:lang w:eastAsia="zh-HK"/>
        </w:rPr>
        <w:t>因</w:t>
      </w:r>
      <w:r w:rsidR="00E7609B" w:rsidRPr="009F12D9">
        <w:rPr>
          <w:szCs w:val="24"/>
          <w:lang w:eastAsia="zh-TW"/>
        </w:rPr>
        <w:t>此</w:t>
      </w:r>
      <w:r w:rsidR="00E7609B" w:rsidRPr="009F12D9">
        <w:rPr>
          <w:szCs w:val="24"/>
          <w:lang w:eastAsia="zh-TW"/>
        </w:rPr>
        <w:t xml:space="preserve"> … </w:t>
      </w:r>
      <w:r w:rsidR="00E7609B" w:rsidRPr="009F12D9">
        <w:rPr>
          <w:szCs w:val="24"/>
          <w:lang w:eastAsia="zh-HK"/>
        </w:rPr>
        <w:t>法</w:t>
      </w:r>
      <w:r w:rsidR="00E7609B" w:rsidRPr="009F12D9">
        <w:rPr>
          <w:szCs w:val="24"/>
          <w:lang w:eastAsia="zh-TW"/>
        </w:rPr>
        <w:t>庭能夠</w:t>
      </w:r>
      <w:proofErr w:type="gramStart"/>
      <w:r w:rsidR="00E7609B" w:rsidRPr="009F12D9">
        <w:rPr>
          <w:szCs w:val="24"/>
          <w:lang w:eastAsia="zh-HK"/>
        </w:rPr>
        <w:t>畀</w:t>
      </w:r>
      <w:proofErr w:type="gramEnd"/>
      <w:r w:rsidR="00E7609B" w:rsidRPr="009F12D9">
        <w:rPr>
          <w:szCs w:val="24"/>
          <w:lang w:eastAsia="zh-HK"/>
        </w:rPr>
        <w:t>犯</w:t>
      </w:r>
      <w:r w:rsidR="00E7609B" w:rsidRPr="009F12D9">
        <w:rPr>
          <w:szCs w:val="24"/>
          <w:lang w:eastAsia="zh-TW"/>
        </w:rPr>
        <w:t>案</w:t>
      </w:r>
      <w:r w:rsidR="00E7609B" w:rsidRPr="009F12D9">
        <w:rPr>
          <w:szCs w:val="24"/>
          <w:lang w:eastAsia="zh-HK"/>
        </w:rPr>
        <w:t>者個人情</w:t>
      </w:r>
      <w:r w:rsidR="00E7609B" w:rsidRPr="009F12D9">
        <w:rPr>
          <w:szCs w:val="24"/>
          <w:lang w:eastAsia="zh-TW"/>
        </w:rPr>
        <w:t>況、</w:t>
      </w:r>
      <w:r w:rsidR="00E7609B" w:rsidRPr="009F12D9">
        <w:rPr>
          <w:szCs w:val="24"/>
          <w:lang w:eastAsia="zh-HK"/>
        </w:rPr>
        <w:t>犯</w:t>
      </w:r>
      <w:r w:rsidR="00E7609B" w:rsidRPr="009F12D9">
        <w:rPr>
          <w:szCs w:val="24"/>
          <w:lang w:eastAsia="zh-TW"/>
        </w:rPr>
        <w:t>案</w:t>
      </w:r>
      <w:r w:rsidR="00E7609B" w:rsidRPr="009F12D9">
        <w:rPr>
          <w:szCs w:val="24"/>
          <w:lang w:eastAsia="zh-HK"/>
        </w:rPr>
        <w:t>動</w:t>
      </w:r>
      <w:r w:rsidR="00E7609B" w:rsidRPr="009F12D9">
        <w:rPr>
          <w:szCs w:val="24"/>
          <w:lang w:eastAsia="zh-TW"/>
        </w:rPr>
        <w:t>機或</w:t>
      </w:r>
      <w:r w:rsidR="00E7609B" w:rsidRPr="009F12D9">
        <w:rPr>
          <w:szCs w:val="24"/>
          <w:lang w:eastAsia="zh-HK"/>
        </w:rPr>
        <w:t>原</w:t>
      </w:r>
      <w:r w:rsidR="00E7609B" w:rsidRPr="009F12D9">
        <w:rPr>
          <w:szCs w:val="24"/>
          <w:lang w:eastAsia="zh-TW"/>
        </w:rPr>
        <w:t>因，</w:t>
      </w:r>
      <w:proofErr w:type="gramStart"/>
      <w:r w:rsidR="00E7609B" w:rsidRPr="009F12D9">
        <w:rPr>
          <w:szCs w:val="24"/>
          <w:lang w:eastAsia="zh-HK"/>
        </w:rPr>
        <w:t>同埋更生</w:t>
      </w:r>
      <w:proofErr w:type="gramEnd"/>
      <w:r w:rsidR="00E7609B" w:rsidRPr="009F12D9">
        <w:rPr>
          <w:szCs w:val="24"/>
          <w:lang w:eastAsia="zh-HK"/>
        </w:rPr>
        <w:t>呢啲判</w:t>
      </w:r>
      <w:r w:rsidR="00E7609B" w:rsidRPr="009F12D9">
        <w:rPr>
          <w:szCs w:val="24"/>
          <w:lang w:eastAsia="zh-TW"/>
        </w:rPr>
        <w:t>刑</w:t>
      </w:r>
      <w:r w:rsidR="00CA123F">
        <w:rPr>
          <w:rFonts w:hint="eastAsia"/>
          <w:szCs w:val="24"/>
          <w:lang w:eastAsia="zh-TW"/>
        </w:rPr>
        <w:t>元</w:t>
      </w:r>
      <w:r w:rsidR="00E7609B" w:rsidRPr="009F12D9">
        <w:rPr>
          <w:szCs w:val="24"/>
          <w:lang w:eastAsia="zh-HK"/>
        </w:rPr>
        <w:t>素嘅比重</w:t>
      </w:r>
      <w:r w:rsidR="00E7609B" w:rsidRPr="009F12D9">
        <w:rPr>
          <w:szCs w:val="24"/>
          <w:lang w:eastAsia="zh-TW"/>
        </w:rPr>
        <w:t xml:space="preserve"> …</w:t>
      </w:r>
      <w:r w:rsidR="00E7609B" w:rsidRPr="009F12D9">
        <w:rPr>
          <w:szCs w:val="24"/>
          <w:lang w:eastAsia="zh-HK"/>
        </w:rPr>
        <w:t xml:space="preserve"> </w:t>
      </w:r>
      <w:r w:rsidR="00E7609B" w:rsidRPr="009F12D9">
        <w:rPr>
          <w:szCs w:val="24"/>
          <w:lang w:eastAsia="zh-HK"/>
        </w:rPr>
        <w:t>就可</w:t>
      </w:r>
      <w:r w:rsidR="00E7609B" w:rsidRPr="009F12D9">
        <w:rPr>
          <w:szCs w:val="24"/>
          <w:lang w:eastAsia="zh-TW"/>
        </w:rPr>
        <w:t>以</w:t>
      </w:r>
      <w:r w:rsidR="00E7609B" w:rsidRPr="009F12D9">
        <w:rPr>
          <w:szCs w:val="24"/>
          <w:lang w:eastAsia="zh-HK"/>
        </w:rPr>
        <w:t>相稱地</w:t>
      </w:r>
      <w:r w:rsidR="00E7609B" w:rsidRPr="009F12D9">
        <w:rPr>
          <w:szCs w:val="24"/>
          <w:lang w:eastAsia="zh-TW"/>
        </w:rPr>
        <w:t>加多。</w:t>
      </w:r>
      <w:r w:rsidR="00E7609B" w:rsidRPr="009F12D9">
        <w:rPr>
          <w:szCs w:val="24"/>
          <w:lang w:eastAsia="zh-HK"/>
        </w:rPr>
        <w:t>當</w:t>
      </w:r>
      <w:r w:rsidR="00E7609B" w:rsidRPr="009F12D9">
        <w:rPr>
          <w:szCs w:val="24"/>
          <w:lang w:eastAsia="zh-TW"/>
        </w:rPr>
        <w:t>然，</w:t>
      </w:r>
      <w:proofErr w:type="gramStart"/>
      <w:r w:rsidR="00E7609B" w:rsidRPr="009F12D9">
        <w:rPr>
          <w:szCs w:val="24"/>
          <w:lang w:eastAsia="zh-HK"/>
        </w:rPr>
        <w:t>上訴</w:t>
      </w:r>
      <w:r w:rsidR="00E7609B" w:rsidRPr="009F12D9">
        <w:rPr>
          <w:szCs w:val="24"/>
          <w:lang w:eastAsia="zh-TW"/>
        </w:rPr>
        <w:t>庭</w:t>
      </w:r>
      <w:r w:rsidR="00E7609B" w:rsidRPr="009F12D9">
        <w:rPr>
          <w:szCs w:val="24"/>
          <w:lang w:eastAsia="zh-HK"/>
        </w:rPr>
        <w:t>亦都</w:t>
      </w:r>
      <w:proofErr w:type="gramEnd"/>
      <w:r w:rsidR="00E7609B" w:rsidRPr="009F12D9">
        <w:rPr>
          <w:szCs w:val="24"/>
          <w:lang w:eastAsia="zh-HK"/>
        </w:rPr>
        <w:t>強</w:t>
      </w:r>
      <w:r w:rsidR="00E7609B" w:rsidRPr="009F12D9">
        <w:rPr>
          <w:szCs w:val="24"/>
          <w:lang w:eastAsia="zh-TW"/>
        </w:rPr>
        <w:t>調，</w:t>
      </w:r>
      <w:r w:rsidR="00E7609B" w:rsidRPr="009F12D9">
        <w:rPr>
          <w:szCs w:val="24"/>
          <w:lang w:eastAsia="zh-HK"/>
        </w:rPr>
        <w:t>一般而言</w:t>
      </w:r>
      <w:r w:rsidR="00E7609B" w:rsidRPr="009F12D9">
        <w:rPr>
          <w:szCs w:val="24"/>
          <w:lang w:eastAsia="zh-TW"/>
        </w:rPr>
        <w:t>，</w:t>
      </w:r>
      <w:r w:rsidR="00E7609B" w:rsidRPr="009F12D9">
        <w:rPr>
          <w:szCs w:val="24"/>
          <w:lang w:eastAsia="zh-HK"/>
        </w:rPr>
        <w:t>就</w:t>
      </w:r>
      <w:r w:rsidR="00E7609B" w:rsidRPr="009F12D9">
        <w:rPr>
          <w:szCs w:val="24"/>
          <w:lang w:eastAsia="zh-TW"/>
        </w:rPr>
        <w:t>算</w:t>
      </w:r>
      <w:r w:rsidR="00E7609B" w:rsidRPr="009F12D9">
        <w:rPr>
          <w:szCs w:val="24"/>
          <w:lang w:eastAsia="zh-TW"/>
        </w:rPr>
        <w:t xml:space="preserve"> … </w:t>
      </w:r>
      <w:r w:rsidR="00E7609B" w:rsidRPr="009F12D9">
        <w:rPr>
          <w:szCs w:val="24"/>
          <w:lang w:eastAsia="zh-HK"/>
        </w:rPr>
        <w:t>犯</w:t>
      </w:r>
      <w:r w:rsidR="00CA123F">
        <w:rPr>
          <w:rFonts w:hint="eastAsia"/>
          <w:szCs w:val="24"/>
          <w:lang w:eastAsia="zh-TW"/>
        </w:rPr>
        <w:t>案</w:t>
      </w:r>
      <w:r w:rsidR="00E7609B" w:rsidRPr="009F12D9">
        <w:rPr>
          <w:szCs w:val="24"/>
          <w:lang w:eastAsia="zh-HK"/>
        </w:rPr>
        <w:t>情</w:t>
      </w:r>
      <w:r w:rsidR="00E7609B" w:rsidRPr="009F12D9">
        <w:rPr>
          <w:szCs w:val="24"/>
          <w:lang w:eastAsia="zh-TW"/>
        </w:rPr>
        <w:t>節</w:t>
      </w:r>
      <w:r w:rsidR="00E7609B" w:rsidRPr="009F12D9">
        <w:rPr>
          <w:szCs w:val="24"/>
          <w:lang w:eastAsia="zh-HK"/>
        </w:rPr>
        <w:t>唔係</w:t>
      </w:r>
      <w:proofErr w:type="gramStart"/>
      <w:r w:rsidR="00E7609B" w:rsidRPr="009F12D9">
        <w:rPr>
          <w:szCs w:val="24"/>
          <w:lang w:eastAsia="zh-HK"/>
        </w:rPr>
        <w:t>咁</w:t>
      </w:r>
      <w:proofErr w:type="gramEnd"/>
      <w:r w:rsidR="00E7609B" w:rsidRPr="009F12D9">
        <w:rPr>
          <w:szCs w:val="24"/>
          <w:lang w:eastAsia="zh-HK"/>
        </w:rPr>
        <w:t>嚴</w:t>
      </w:r>
      <w:r w:rsidR="00E7609B" w:rsidRPr="009F12D9">
        <w:rPr>
          <w:szCs w:val="24"/>
          <w:lang w:eastAsia="zh-TW"/>
        </w:rPr>
        <w:t>重，</w:t>
      </w:r>
      <w:r w:rsidR="00E7609B" w:rsidRPr="009F12D9">
        <w:rPr>
          <w:szCs w:val="24"/>
          <w:lang w:eastAsia="zh-HK"/>
        </w:rPr>
        <w:t>但係法</w:t>
      </w:r>
      <w:r w:rsidR="00E7609B" w:rsidRPr="009F12D9">
        <w:rPr>
          <w:szCs w:val="24"/>
          <w:lang w:eastAsia="zh-TW"/>
        </w:rPr>
        <w:t>庭</w:t>
      </w:r>
      <w:r w:rsidR="00E7609B" w:rsidRPr="009F12D9">
        <w:rPr>
          <w:szCs w:val="24"/>
          <w:lang w:eastAsia="zh-HK"/>
        </w:rPr>
        <w:t>仍</w:t>
      </w:r>
      <w:r w:rsidR="00E7609B" w:rsidRPr="009F12D9">
        <w:rPr>
          <w:szCs w:val="24"/>
          <w:lang w:eastAsia="zh-TW"/>
        </w:rPr>
        <w:t>然</w:t>
      </w:r>
      <w:r w:rsidR="00E7609B" w:rsidRPr="009F12D9">
        <w:rPr>
          <w:szCs w:val="24"/>
          <w:lang w:eastAsia="zh-HK"/>
        </w:rPr>
        <w:t>要確</w:t>
      </w:r>
      <w:r w:rsidR="00E7609B" w:rsidRPr="009F12D9">
        <w:rPr>
          <w:szCs w:val="24"/>
          <w:lang w:eastAsia="zh-TW"/>
        </w:rPr>
        <w:t>保</w:t>
      </w:r>
      <w:r w:rsidR="00E7609B" w:rsidRPr="009F12D9">
        <w:rPr>
          <w:szCs w:val="24"/>
          <w:lang w:eastAsia="zh-HK"/>
        </w:rPr>
        <w:t>公共秩</w:t>
      </w:r>
      <w:r w:rsidR="00E7609B" w:rsidRPr="009F12D9">
        <w:rPr>
          <w:szCs w:val="24"/>
          <w:lang w:eastAsia="zh-TW"/>
        </w:rPr>
        <w:t>序</w:t>
      </w:r>
      <w:r w:rsidR="00E7609B" w:rsidRPr="009F12D9">
        <w:rPr>
          <w:szCs w:val="24"/>
          <w:lang w:eastAsia="zh-HK"/>
        </w:rPr>
        <w:t>要得</w:t>
      </w:r>
      <w:r w:rsidR="00E7609B" w:rsidRPr="009F12D9">
        <w:rPr>
          <w:szCs w:val="24"/>
          <w:lang w:eastAsia="zh-TW"/>
        </w:rPr>
        <w:t>到</w:t>
      </w:r>
      <w:r w:rsidR="00E7609B" w:rsidRPr="009F12D9">
        <w:rPr>
          <w:szCs w:val="24"/>
          <w:lang w:eastAsia="zh-HK"/>
        </w:rPr>
        <w:t>有效維</w:t>
      </w:r>
      <w:r w:rsidR="00E7609B" w:rsidRPr="009F12D9">
        <w:rPr>
          <w:szCs w:val="24"/>
          <w:lang w:eastAsia="zh-TW"/>
        </w:rPr>
        <w:t>護，</w:t>
      </w:r>
      <w:r w:rsidR="00E7609B" w:rsidRPr="009F12D9">
        <w:rPr>
          <w:szCs w:val="24"/>
          <w:lang w:eastAsia="zh-HK"/>
        </w:rPr>
        <w:t>所</w:t>
      </w:r>
      <w:r w:rsidR="00E7609B" w:rsidRPr="009F12D9">
        <w:rPr>
          <w:szCs w:val="24"/>
          <w:lang w:eastAsia="zh-TW"/>
        </w:rPr>
        <w:t>以</w:t>
      </w:r>
      <w:r w:rsidR="00E7609B" w:rsidRPr="009F12D9">
        <w:rPr>
          <w:szCs w:val="24"/>
          <w:lang w:eastAsia="zh-HK"/>
        </w:rPr>
        <w:t>判</w:t>
      </w:r>
      <w:r w:rsidR="00E7609B" w:rsidRPr="009F12D9">
        <w:rPr>
          <w:szCs w:val="24"/>
          <w:lang w:eastAsia="zh-TW"/>
        </w:rPr>
        <w:t>刑</w:t>
      </w:r>
      <w:r w:rsidR="00E7609B" w:rsidRPr="009F12D9">
        <w:rPr>
          <w:szCs w:val="24"/>
          <w:lang w:eastAsia="zh-HK"/>
        </w:rPr>
        <w:t>仍</w:t>
      </w:r>
      <w:r w:rsidR="00E7609B" w:rsidRPr="009F12D9">
        <w:rPr>
          <w:szCs w:val="24"/>
          <w:lang w:eastAsia="zh-TW"/>
        </w:rPr>
        <w:t>然</w:t>
      </w:r>
      <w:r w:rsidR="00E7609B" w:rsidRPr="009F12D9">
        <w:rPr>
          <w:szCs w:val="24"/>
          <w:lang w:eastAsia="zh-HK"/>
        </w:rPr>
        <w:t>需</w:t>
      </w:r>
      <w:r w:rsidR="00E7609B" w:rsidRPr="009F12D9">
        <w:rPr>
          <w:szCs w:val="24"/>
          <w:lang w:eastAsia="zh-TW"/>
        </w:rPr>
        <w:t>要</w:t>
      </w:r>
      <w:r w:rsidR="00E7609B" w:rsidRPr="009F12D9">
        <w:rPr>
          <w:szCs w:val="24"/>
          <w:lang w:eastAsia="zh-HK"/>
        </w:rPr>
        <w:t>具</w:t>
      </w:r>
      <w:r w:rsidR="00E7609B" w:rsidRPr="009F12D9">
        <w:rPr>
          <w:szCs w:val="24"/>
          <w:lang w:eastAsia="zh-TW"/>
        </w:rPr>
        <w:t>備</w:t>
      </w:r>
      <w:r w:rsidR="00E7609B" w:rsidRPr="009F12D9">
        <w:rPr>
          <w:szCs w:val="24"/>
          <w:lang w:eastAsia="zh-HK"/>
        </w:rPr>
        <w:t>相稱嘅阻嚇</w:t>
      </w:r>
      <w:r w:rsidR="00E7609B" w:rsidRPr="009F12D9">
        <w:rPr>
          <w:szCs w:val="24"/>
          <w:lang w:eastAsia="zh-TW"/>
        </w:rPr>
        <w:t xml:space="preserve"> …</w:t>
      </w:r>
      <w:r w:rsidR="00E7609B" w:rsidRPr="009F12D9">
        <w:rPr>
          <w:szCs w:val="24"/>
          <w:lang w:eastAsia="zh-TW"/>
        </w:rPr>
        <w:t>。</w:t>
      </w:r>
      <w:r w:rsidR="00E7609B" w:rsidRPr="009F12D9">
        <w:rPr>
          <w:szCs w:val="24"/>
          <w:lang w:eastAsia="zh-HK"/>
        </w:rPr>
        <w:t>由此</w:t>
      </w:r>
      <w:r w:rsidR="00E7609B" w:rsidRPr="009F12D9">
        <w:rPr>
          <w:szCs w:val="24"/>
          <w:lang w:val="en-GB" w:eastAsia="zh-TW"/>
        </w:rPr>
        <w:t>考</w:t>
      </w:r>
      <w:r w:rsidR="00E7609B" w:rsidRPr="009F12D9">
        <w:rPr>
          <w:szCs w:val="24"/>
          <w:lang w:val="en-GB" w:eastAsia="zh-HK"/>
        </w:rPr>
        <w:t>慮</w:t>
      </w:r>
      <w:r w:rsidR="00E7609B" w:rsidRPr="009F12D9">
        <w:rPr>
          <w:szCs w:val="24"/>
          <w:lang w:eastAsia="zh-TW"/>
        </w:rPr>
        <w:t>，</w:t>
      </w:r>
      <w:r w:rsidR="00E7609B" w:rsidRPr="009F12D9">
        <w:rPr>
          <w:szCs w:val="24"/>
          <w:lang w:eastAsia="zh-HK"/>
        </w:rPr>
        <w:t>若</w:t>
      </w:r>
      <w:r w:rsidR="00E7609B" w:rsidRPr="009F12D9">
        <w:rPr>
          <w:szCs w:val="24"/>
          <w:lang w:eastAsia="zh-TW"/>
        </w:rPr>
        <w:t>果</w:t>
      </w:r>
      <w:r w:rsidR="00E7609B" w:rsidRPr="009F12D9">
        <w:rPr>
          <w:szCs w:val="24"/>
          <w:lang w:eastAsia="zh-HK"/>
        </w:rPr>
        <w:t>案</w:t>
      </w:r>
      <w:r w:rsidR="00E7609B" w:rsidRPr="009F12D9">
        <w:rPr>
          <w:szCs w:val="24"/>
          <w:lang w:eastAsia="zh-TW"/>
        </w:rPr>
        <w:t>件</w:t>
      </w:r>
      <w:r w:rsidR="00E7609B" w:rsidRPr="009F12D9">
        <w:rPr>
          <w:szCs w:val="24"/>
          <w:lang w:eastAsia="zh-HK"/>
        </w:rPr>
        <w:t>存</w:t>
      </w:r>
      <w:r w:rsidR="00E7609B" w:rsidRPr="009F12D9">
        <w:rPr>
          <w:szCs w:val="24"/>
          <w:lang w:eastAsia="zh-TW"/>
        </w:rPr>
        <w:t>在</w:t>
      </w:r>
      <w:r w:rsidR="00E7609B" w:rsidRPr="009F12D9">
        <w:rPr>
          <w:i/>
          <w:szCs w:val="24"/>
          <w:lang w:eastAsia="zh-TW"/>
        </w:rPr>
        <w:t>Brown</w:t>
      </w:r>
      <w:r w:rsidR="00E7609B" w:rsidRPr="009F12D9">
        <w:rPr>
          <w:szCs w:val="24"/>
          <w:lang w:eastAsia="zh-HK"/>
        </w:rPr>
        <w:t>一案所</w:t>
      </w:r>
      <w:r w:rsidR="00E7609B" w:rsidRPr="009F12D9">
        <w:rPr>
          <w:szCs w:val="24"/>
          <w:lang w:eastAsia="zh-TW"/>
        </w:rPr>
        <w:t>有</w:t>
      </w:r>
      <w:r w:rsidR="00E7609B" w:rsidRPr="009F12D9">
        <w:rPr>
          <w:szCs w:val="24"/>
          <w:lang w:eastAsia="zh-HK"/>
        </w:rPr>
        <w:t>嘅六個條</w:t>
      </w:r>
      <w:r w:rsidR="00E7609B" w:rsidRPr="009F12D9">
        <w:rPr>
          <w:szCs w:val="24"/>
          <w:lang w:eastAsia="zh-TW"/>
        </w:rPr>
        <w:t>件，或</w:t>
      </w:r>
      <w:r w:rsidR="00E7609B" w:rsidRPr="009F12D9">
        <w:rPr>
          <w:szCs w:val="24"/>
          <w:lang w:eastAsia="zh-HK"/>
        </w:rPr>
        <w:t>者案</w:t>
      </w:r>
      <w:r w:rsidR="00E7609B" w:rsidRPr="009F12D9">
        <w:rPr>
          <w:szCs w:val="24"/>
          <w:lang w:eastAsia="zh-TW"/>
        </w:rPr>
        <w:t>情適</w:t>
      </w:r>
      <w:r w:rsidR="00E7609B" w:rsidRPr="009F12D9">
        <w:rPr>
          <w:szCs w:val="24"/>
          <w:lang w:eastAsia="zh-HK"/>
        </w:rPr>
        <w:t>合</w:t>
      </w:r>
      <w:r w:rsidR="00E7609B" w:rsidRPr="009F12D9">
        <w:rPr>
          <w:szCs w:val="24"/>
          <w:lang w:eastAsia="zh-TW"/>
        </w:rPr>
        <w:t xml:space="preserve"> … </w:t>
      </w:r>
      <w:r w:rsidR="00E7609B" w:rsidRPr="009F12D9">
        <w:rPr>
          <w:szCs w:val="24"/>
          <w:lang w:eastAsia="zh-HK"/>
        </w:rPr>
        <w:t>社</w:t>
      </w:r>
      <w:r w:rsidR="00E7609B" w:rsidRPr="009F12D9">
        <w:rPr>
          <w:szCs w:val="24"/>
          <w:lang w:eastAsia="zh-TW"/>
        </w:rPr>
        <w:t>會</w:t>
      </w:r>
      <w:r w:rsidR="00E7609B" w:rsidRPr="009F12D9">
        <w:rPr>
          <w:szCs w:val="24"/>
          <w:lang w:eastAsia="zh-HK"/>
        </w:rPr>
        <w:t>服</w:t>
      </w:r>
      <w:r w:rsidR="00E7609B" w:rsidRPr="009F12D9">
        <w:rPr>
          <w:szCs w:val="24"/>
          <w:lang w:eastAsia="zh-TW"/>
        </w:rPr>
        <w:t>務</w:t>
      </w:r>
      <w:r w:rsidR="00E7609B" w:rsidRPr="009F12D9">
        <w:rPr>
          <w:szCs w:val="24"/>
          <w:lang w:eastAsia="zh-HK"/>
        </w:rPr>
        <w:t>令可</w:t>
      </w:r>
      <w:r w:rsidR="00E7609B" w:rsidRPr="009F12D9">
        <w:rPr>
          <w:szCs w:val="24"/>
          <w:lang w:eastAsia="zh-TW"/>
        </w:rPr>
        <w:t>以</w:t>
      </w:r>
      <w:r w:rsidR="00E7609B" w:rsidRPr="009F12D9">
        <w:rPr>
          <w:szCs w:val="24"/>
          <w:lang w:eastAsia="zh-HK"/>
        </w:rPr>
        <w:t>係一個恰</w:t>
      </w:r>
      <w:r w:rsidR="00E7609B" w:rsidRPr="009F12D9">
        <w:rPr>
          <w:szCs w:val="24"/>
          <w:lang w:eastAsia="zh-TW"/>
        </w:rPr>
        <w:t>當</w:t>
      </w:r>
      <w:r w:rsidR="00E7609B" w:rsidRPr="009F12D9">
        <w:rPr>
          <w:szCs w:val="24"/>
          <w:lang w:eastAsia="zh-HK"/>
        </w:rPr>
        <w:t>嘅判</w:t>
      </w:r>
      <w:r w:rsidR="00E7609B" w:rsidRPr="009F12D9">
        <w:rPr>
          <w:szCs w:val="24"/>
          <w:lang w:eastAsia="zh-TW"/>
        </w:rPr>
        <w:t>刑</w:t>
      </w:r>
      <w:r w:rsidR="00E7609B" w:rsidRPr="009F12D9">
        <w:rPr>
          <w:szCs w:val="24"/>
          <w:lang w:eastAsia="zh-HK"/>
        </w:rPr>
        <w:t>選項</w:t>
      </w:r>
      <w:r w:rsidR="00E7609B" w:rsidRPr="009F12D9">
        <w:rPr>
          <w:szCs w:val="24"/>
          <w:lang w:eastAsia="zh-TW"/>
        </w:rPr>
        <w:t>，</w:t>
      </w:r>
      <w:r w:rsidR="00E7609B" w:rsidRPr="009F12D9">
        <w:rPr>
          <w:szCs w:val="24"/>
          <w:lang w:eastAsia="zh-HK"/>
        </w:rPr>
        <w:t>因</w:t>
      </w:r>
      <w:r w:rsidR="00E7609B" w:rsidRPr="009F12D9">
        <w:rPr>
          <w:szCs w:val="24"/>
          <w:lang w:eastAsia="zh-TW"/>
        </w:rPr>
        <w:t>為</w:t>
      </w:r>
      <w:proofErr w:type="gramStart"/>
      <w:r w:rsidR="00E7609B" w:rsidRPr="009F12D9">
        <w:rPr>
          <w:szCs w:val="24"/>
          <w:lang w:eastAsia="zh-HK"/>
        </w:rPr>
        <w:t>社</w:t>
      </w:r>
      <w:r w:rsidR="00E7609B" w:rsidRPr="009F12D9">
        <w:rPr>
          <w:szCs w:val="24"/>
          <w:lang w:eastAsia="zh-TW"/>
        </w:rPr>
        <w:t>會</w:t>
      </w:r>
      <w:r w:rsidR="00E7609B" w:rsidRPr="009F12D9">
        <w:rPr>
          <w:szCs w:val="24"/>
          <w:lang w:eastAsia="zh-HK"/>
        </w:rPr>
        <w:t>服</w:t>
      </w:r>
      <w:r w:rsidR="00E7609B" w:rsidRPr="009F12D9">
        <w:rPr>
          <w:szCs w:val="24"/>
          <w:lang w:eastAsia="zh-TW"/>
        </w:rPr>
        <w:t>務</w:t>
      </w:r>
      <w:r w:rsidR="00E7609B" w:rsidRPr="009F12D9">
        <w:rPr>
          <w:szCs w:val="24"/>
          <w:lang w:eastAsia="zh-HK"/>
        </w:rPr>
        <w:t>令係包</w:t>
      </w:r>
      <w:r w:rsidR="00E7609B" w:rsidRPr="009F12D9">
        <w:rPr>
          <w:szCs w:val="24"/>
          <w:lang w:eastAsia="zh-TW"/>
        </w:rPr>
        <w:t>含</w:t>
      </w:r>
      <w:proofErr w:type="gramEnd"/>
      <w:r w:rsidR="00E7609B" w:rsidRPr="009F12D9">
        <w:rPr>
          <w:szCs w:val="24"/>
          <w:lang w:eastAsia="zh-HK"/>
        </w:rPr>
        <w:t>咗懲</w:t>
      </w:r>
      <w:r w:rsidR="00E7609B" w:rsidRPr="009F12D9">
        <w:rPr>
          <w:szCs w:val="24"/>
          <w:lang w:eastAsia="zh-TW"/>
        </w:rPr>
        <w:t>罰</w:t>
      </w:r>
      <w:r w:rsidR="00E7609B" w:rsidRPr="009F12D9">
        <w:rPr>
          <w:szCs w:val="24"/>
          <w:lang w:eastAsia="zh-HK"/>
        </w:rPr>
        <w:t>嘅元</w:t>
      </w:r>
      <w:r w:rsidR="00E7609B" w:rsidRPr="009F12D9">
        <w:rPr>
          <w:szCs w:val="24"/>
          <w:lang w:eastAsia="zh-TW"/>
        </w:rPr>
        <w:t>素，</w:t>
      </w:r>
      <w:r w:rsidR="00E7609B" w:rsidRPr="009F12D9">
        <w:rPr>
          <w:szCs w:val="24"/>
          <w:lang w:eastAsia="zh-HK"/>
        </w:rPr>
        <w:t>可</w:t>
      </w:r>
      <w:r w:rsidR="00E7609B" w:rsidRPr="009F12D9">
        <w:rPr>
          <w:szCs w:val="24"/>
          <w:lang w:eastAsia="zh-TW"/>
        </w:rPr>
        <w:t>以</w:t>
      </w:r>
      <w:r w:rsidR="00E7609B" w:rsidRPr="009F12D9">
        <w:rPr>
          <w:szCs w:val="24"/>
          <w:lang w:eastAsia="zh-HK"/>
        </w:rPr>
        <w:t>視</w:t>
      </w:r>
      <w:r w:rsidR="00E7609B" w:rsidRPr="009F12D9">
        <w:rPr>
          <w:szCs w:val="24"/>
          <w:lang w:eastAsia="zh-TW"/>
        </w:rPr>
        <w:t>為</w:t>
      </w:r>
      <w:r w:rsidR="00E7609B" w:rsidRPr="009F12D9">
        <w:rPr>
          <w:szCs w:val="24"/>
          <w:lang w:eastAsia="zh-HK"/>
        </w:rPr>
        <w:t>具相稱嘅</w:t>
      </w:r>
      <w:proofErr w:type="gramStart"/>
      <w:r w:rsidR="00E7609B" w:rsidRPr="009F12D9">
        <w:rPr>
          <w:szCs w:val="24"/>
          <w:lang w:eastAsia="zh-HK"/>
        </w:rPr>
        <w:t>阻嚇</w:t>
      </w:r>
      <w:r w:rsidR="00E7609B" w:rsidRPr="009F12D9">
        <w:rPr>
          <w:szCs w:val="24"/>
          <w:lang w:eastAsia="zh-TW"/>
        </w:rPr>
        <w:t>力</w:t>
      </w:r>
      <w:proofErr w:type="gramEnd"/>
      <w:r w:rsidR="00E7609B" w:rsidRPr="009F12D9">
        <w:rPr>
          <w:szCs w:val="24"/>
          <w:lang w:eastAsia="zh-TW"/>
        </w:rPr>
        <w:t>。</w:t>
      </w:r>
      <w:proofErr w:type="gramStart"/>
      <w:r w:rsidR="00E7609B" w:rsidRPr="009F12D9">
        <w:rPr>
          <w:szCs w:val="24"/>
          <w:lang w:eastAsia="zh-HK"/>
        </w:rPr>
        <w:t>佢</w:t>
      </w:r>
      <w:proofErr w:type="gramEnd"/>
      <w:r w:rsidR="00E7609B" w:rsidRPr="009F12D9">
        <w:rPr>
          <w:szCs w:val="24"/>
          <w:lang w:eastAsia="zh-HK"/>
        </w:rPr>
        <w:t>嘅更生嘅元</w:t>
      </w:r>
      <w:r w:rsidR="00E7609B" w:rsidRPr="009F12D9">
        <w:rPr>
          <w:szCs w:val="24"/>
          <w:lang w:eastAsia="zh-TW"/>
        </w:rPr>
        <w:t>素</w:t>
      </w:r>
      <w:r w:rsidR="00E7609B" w:rsidRPr="009F12D9">
        <w:rPr>
          <w:szCs w:val="24"/>
          <w:lang w:eastAsia="zh-HK"/>
        </w:rPr>
        <w:t>呢</w:t>
      </w:r>
      <w:r w:rsidR="00E7609B" w:rsidRPr="009F12D9">
        <w:rPr>
          <w:szCs w:val="24"/>
          <w:lang w:eastAsia="zh-TW"/>
        </w:rPr>
        <w:t>，</w:t>
      </w:r>
      <w:r w:rsidR="00E7609B" w:rsidRPr="009F12D9">
        <w:rPr>
          <w:szCs w:val="24"/>
          <w:lang w:eastAsia="zh-HK"/>
        </w:rPr>
        <w:t>亦都可</w:t>
      </w:r>
      <w:r w:rsidR="00E7609B" w:rsidRPr="009F12D9">
        <w:rPr>
          <w:szCs w:val="24"/>
          <w:lang w:eastAsia="zh-TW"/>
        </w:rPr>
        <w:t>以</w:t>
      </w:r>
      <w:r w:rsidR="00E7609B" w:rsidRPr="009F12D9">
        <w:rPr>
          <w:szCs w:val="24"/>
          <w:lang w:eastAsia="zh-HK"/>
        </w:rPr>
        <w:t>幫</w:t>
      </w:r>
      <w:r w:rsidR="00E7609B" w:rsidRPr="009F12D9">
        <w:rPr>
          <w:szCs w:val="24"/>
          <w:lang w:eastAsia="zh-TW"/>
        </w:rPr>
        <w:t>助</w:t>
      </w:r>
      <w:r w:rsidR="00E7609B" w:rsidRPr="009F12D9">
        <w:rPr>
          <w:szCs w:val="24"/>
          <w:lang w:eastAsia="zh-HK"/>
        </w:rPr>
        <w:t>犯</w:t>
      </w:r>
      <w:r w:rsidR="00E7609B" w:rsidRPr="009F12D9">
        <w:rPr>
          <w:szCs w:val="24"/>
          <w:lang w:eastAsia="zh-TW"/>
        </w:rPr>
        <w:t>罪</w:t>
      </w:r>
      <w:r w:rsidR="00E7609B" w:rsidRPr="009F12D9">
        <w:rPr>
          <w:szCs w:val="24"/>
          <w:lang w:eastAsia="zh-HK"/>
        </w:rPr>
        <w:t>者</w:t>
      </w:r>
      <w:r w:rsidR="00E7609B" w:rsidRPr="009F12D9">
        <w:rPr>
          <w:szCs w:val="24"/>
          <w:lang w:eastAsia="zh-TW"/>
        </w:rPr>
        <w:t>，</w:t>
      </w:r>
      <w:proofErr w:type="gramStart"/>
      <w:r w:rsidR="00E7609B" w:rsidRPr="009F12D9">
        <w:rPr>
          <w:szCs w:val="24"/>
          <w:lang w:eastAsia="zh-HK"/>
        </w:rPr>
        <w:t>特</w:t>
      </w:r>
      <w:r w:rsidR="00E7609B" w:rsidRPr="009F12D9">
        <w:rPr>
          <w:szCs w:val="24"/>
          <w:lang w:eastAsia="zh-TW"/>
        </w:rPr>
        <w:t>別</w:t>
      </w:r>
      <w:proofErr w:type="gramEnd"/>
      <w:r w:rsidR="00E7609B" w:rsidRPr="009F12D9">
        <w:rPr>
          <w:szCs w:val="24"/>
          <w:lang w:eastAsia="zh-HK"/>
        </w:rPr>
        <w:t>係</w:t>
      </w:r>
      <w:r w:rsidR="00E7609B" w:rsidRPr="009F12D9">
        <w:rPr>
          <w:szCs w:val="24"/>
          <w:lang w:eastAsia="zh-TW"/>
        </w:rPr>
        <w:t>年</w:t>
      </w:r>
      <w:r w:rsidR="00E7609B" w:rsidRPr="009F12D9">
        <w:rPr>
          <w:szCs w:val="24"/>
          <w:lang w:eastAsia="zh-HK"/>
        </w:rPr>
        <w:t>輕嘅犯</w:t>
      </w:r>
      <w:r w:rsidR="00E7609B" w:rsidRPr="009F12D9">
        <w:rPr>
          <w:szCs w:val="24"/>
          <w:lang w:eastAsia="zh-TW"/>
        </w:rPr>
        <w:t>罪</w:t>
      </w:r>
      <w:r w:rsidR="00E7609B" w:rsidRPr="009F12D9">
        <w:rPr>
          <w:szCs w:val="24"/>
          <w:lang w:eastAsia="zh-HK"/>
        </w:rPr>
        <w:t>者更生</w:t>
      </w:r>
      <w:r w:rsidR="00E7609B" w:rsidRPr="009F12D9">
        <w:rPr>
          <w:szCs w:val="24"/>
          <w:lang w:eastAsia="zh-TW"/>
        </w:rPr>
        <w:t>。</w:t>
      </w:r>
      <w:proofErr w:type="gramStart"/>
      <w:r w:rsidR="00E7609B" w:rsidRPr="009F12D9">
        <w:rPr>
          <w:szCs w:val="24"/>
          <w:lang w:eastAsia="zh-HK"/>
        </w:rPr>
        <w:t>上訴庭亦都</w:t>
      </w:r>
      <w:proofErr w:type="gramEnd"/>
      <w:r w:rsidR="00E7609B" w:rsidRPr="009F12D9">
        <w:rPr>
          <w:szCs w:val="24"/>
          <w:lang w:eastAsia="zh-HK"/>
        </w:rPr>
        <w:t>重申</w:t>
      </w:r>
      <w:r w:rsidR="00E7609B" w:rsidRPr="009F12D9">
        <w:rPr>
          <w:szCs w:val="24"/>
          <w:lang w:eastAsia="zh-TW"/>
        </w:rPr>
        <w:t>，</w:t>
      </w:r>
      <w:proofErr w:type="gramStart"/>
      <w:r w:rsidR="00E7609B" w:rsidRPr="009F12D9">
        <w:rPr>
          <w:szCs w:val="24"/>
          <w:lang w:eastAsia="zh-HK"/>
        </w:rPr>
        <w:t>社</w:t>
      </w:r>
      <w:r w:rsidR="00E7609B" w:rsidRPr="009F12D9">
        <w:rPr>
          <w:szCs w:val="24"/>
          <w:lang w:eastAsia="zh-TW"/>
        </w:rPr>
        <w:t>會</w:t>
      </w:r>
      <w:r w:rsidR="00E7609B" w:rsidRPr="009F12D9">
        <w:rPr>
          <w:szCs w:val="24"/>
          <w:lang w:eastAsia="zh-HK"/>
        </w:rPr>
        <w:t>服</w:t>
      </w:r>
      <w:r w:rsidR="00E7609B" w:rsidRPr="009F12D9">
        <w:rPr>
          <w:szCs w:val="24"/>
          <w:lang w:eastAsia="zh-TW"/>
        </w:rPr>
        <w:t>務</w:t>
      </w:r>
      <w:r w:rsidR="00E7609B" w:rsidRPr="009F12D9">
        <w:rPr>
          <w:szCs w:val="24"/>
          <w:lang w:eastAsia="zh-HK"/>
        </w:rPr>
        <w:t>令係同時</w:t>
      </w:r>
      <w:proofErr w:type="gramEnd"/>
      <w:r w:rsidR="00E7609B" w:rsidRPr="009F12D9">
        <w:rPr>
          <w:szCs w:val="24"/>
          <w:lang w:eastAsia="zh-HK"/>
        </w:rPr>
        <w:t>具</w:t>
      </w:r>
      <w:proofErr w:type="gramStart"/>
      <w:r w:rsidR="00E7609B" w:rsidRPr="009F12D9">
        <w:rPr>
          <w:szCs w:val="24"/>
          <w:lang w:eastAsia="zh-HK"/>
        </w:rPr>
        <w:t>懲</w:t>
      </w:r>
      <w:r w:rsidR="00E7609B" w:rsidRPr="009F12D9">
        <w:rPr>
          <w:szCs w:val="24"/>
          <w:lang w:eastAsia="zh-TW"/>
        </w:rPr>
        <w:t>罰</w:t>
      </w:r>
      <w:r w:rsidR="00E7609B" w:rsidRPr="009F12D9">
        <w:rPr>
          <w:szCs w:val="24"/>
          <w:lang w:eastAsia="zh-HK"/>
        </w:rPr>
        <w:t>同埋</w:t>
      </w:r>
      <w:r w:rsidR="00E7609B" w:rsidRPr="009F12D9">
        <w:rPr>
          <w:szCs w:val="24"/>
          <w:lang w:eastAsia="zh-HK"/>
        </w:rPr>
        <w:lastRenderedPageBreak/>
        <w:t>更生</w:t>
      </w:r>
      <w:proofErr w:type="gramEnd"/>
      <w:r w:rsidR="00E7609B" w:rsidRPr="009F12D9">
        <w:rPr>
          <w:szCs w:val="24"/>
          <w:lang w:eastAsia="zh-HK"/>
        </w:rPr>
        <w:t>兩個判</w:t>
      </w:r>
      <w:r w:rsidR="00E7609B" w:rsidRPr="009F12D9">
        <w:rPr>
          <w:szCs w:val="24"/>
          <w:lang w:eastAsia="zh-TW"/>
        </w:rPr>
        <w:t>刑</w:t>
      </w:r>
      <w:r w:rsidR="00E7609B" w:rsidRPr="009F12D9">
        <w:rPr>
          <w:szCs w:val="24"/>
          <w:lang w:eastAsia="zh-HK"/>
        </w:rPr>
        <w:t>因</w:t>
      </w:r>
      <w:r w:rsidR="00E7609B" w:rsidRPr="009F12D9">
        <w:rPr>
          <w:szCs w:val="24"/>
          <w:lang w:eastAsia="zh-TW"/>
        </w:rPr>
        <w:t>素，</w:t>
      </w:r>
      <w:proofErr w:type="gramStart"/>
      <w:r w:rsidR="00E7609B" w:rsidRPr="009F12D9">
        <w:rPr>
          <w:szCs w:val="24"/>
          <w:lang w:eastAsia="zh-HK"/>
        </w:rPr>
        <w:t>咁</w:t>
      </w:r>
      <w:proofErr w:type="gramEnd"/>
      <w:r w:rsidR="00E7609B" w:rsidRPr="009F12D9">
        <w:rPr>
          <w:szCs w:val="24"/>
          <w:lang w:eastAsia="zh-HK"/>
        </w:rPr>
        <w:t>本身</w:t>
      </w:r>
      <w:proofErr w:type="gramStart"/>
      <w:r w:rsidR="00E7609B" w:rsidRPr="009F12D9">
        <w:rPr>
          <w:szCs w:val="24"/>
          <w:lang w:eastAsia="zh-HK"/>
        </w:rPr>
        <w:t>唔係一項係輕</w:t>
      </w:r>
      <w:proofErr w:type="gramEnd"/>
      <w:r w:rsidR="00E7609B" w:rsidRPr="009F12D9">
        <w:rPr>
          <w:szCs w:val="24"/>
          <w:lang w:eastAsia="zh-HK"/>
        </w:rPr>
        <w:t>嘅</w:t>
      </w:r>
      <w:r w:rsidR="00E7609B" w:rsidRPr="009F12D9">
        <w:rPr>
          <w:szCs w:val="24"/>
          <w:lang w:eastAsia="zh-TW"/>
        </w:rPr>
        <w:t xml:space="preserve"> … </w:t>
      </w:r>
      <w:r w:rsidR="00E7609B" w:rsidRPr="009F12D9">
        <w:rPr>
          <w:szCs w:val="24"/>
          <w:lang w:eastAsia="zh-HK"/>
        </w:rPr>
        <w:t>刑</w:t>
      </w:r>
      <w:r w:rsidR="00E7609B" w:rsidRPr="009F12D9">
        <w:rPr>
          <w:szCs w:val="24"/>
          <w:lang w:eastAsia="zh-TW"/>
        </w:rPr>
        <w:t>罰</w:t>
      </w:r>
      <w:r w:rsidR="00E7609B" w:rsidRPr="009F12D9">
        <w:rPr>
          <w:szCs w:val="24"/>
          <w:lang w:eastAsia="zh-HK"/>
        </w:rPr>
        <w:t>嚟嘅</w:t>
      </w:r>
      <w:r w:rsidR="00E7609B" w:rsidRPr="009F12D9">
        <w:rPr>
          <w:szCs w:val="24"/>
          <w:lang w:eastAsia="zh-TW"/>
        </w:rPr>
        <w:t>。</w:t>
      </w:r>
      <w:r w:rsidR="00E7609B" w:rsidRPr="009F12D9">
        <w:rPr>
          <w:szCs w:val="24"/>
          <w:lang w:eastAsia="zh-HK"/>
        </w:rPr>
        <w:t>另</w:t>
      </w:r>
      <w:r w:rsidR="00E7609B" w:rsidRPr="009F12D9">
        <w:rPr>
          <w:szCs w:val="24"/>
          <w:lang w:eastAsia="zh-TW"/>
        </w:rPr>
        <w:t>外</w:t>
      </w:r>
      <w:proofErr w:type="gramStart"/>
      <w:r w:rsidR="00E7609B" w:rsidRPr="009F12D9">
        <w:rPr>
          <w:szCs w:val="24"/>
          <w:lang w:eastAsia="zh-HK"/>
        </w:rPr>
        <w:t>喇</w:t>
      </w:r>
      <w:proofErr w:type="gramEnd"/>
      <w:r w:rsidR="00E7609B" w:rsidRPr="009F12D9">
        <w:rPr>
          <w:szCs w:val="24"/>
          <w:lang w:eastAsia="zh-TW"/>
        </w:rPr>
        <w:t>，</w:t>
      </w:r>
      <w:proofErr w:type="gramStart"/>
      <w:r w:rsidR="00E7609B" w:rsidRPr="009F12D9">
        <w:rPr>
          <w:szCs w:val="24"/>
          <w:lang w:eastAsia="zh-HK"/>
        </w:rPr>
        <w:t>社</w:t>
      </w:r>
      <w:r w:rsidR="00E7609B" w:rsidRPr="009F12D9">
        <w:rPr>
          <w:szCs w:val="24"/>
          <w:lang w:eastAsia="zh-TW"/>
        </w:rPr>
        <w:t>會</w:t>
      </w:r>
      <w:r w:rsidR="00E7609B" w:rsidRPr="009F12D9">
        <w:rPr>
          <w:szCs w:val="24"/>
          <w:lang w:eastAsia="zh-HK"/>
        </w:rPr>
        <w:t>服</w:t>
      </w:r>
      <w:r w:rsidR="00E7609B" w:rsidRPr="009F12D9">
        <w:rPr>
          <w:szCs w:val="24"/>
          <w:lang w:eastAsia="zh-TW"/>
        </w:rPr>
        <w:t>務</w:t>
      </w:r>
      <w:r w:rsidR="00E7609B" w:rsidRPr="009F12D9">
        <w:rPr>
          <w:szCs w:val="24"/>
          <w:lang w:eastAsia="zh-HK"/>
        </w:rPr>
        <w:t>令亦都</w:t>
      </w:r>
      <w:proofErr w:type="gramEnd"/>
      <w:r w:rsidR="00E7609B" w:rsidRPr="009F12D9">
        <w:rPr>
          <w:szCs w:val="24"/>
          <w:lang w:eastAsia="zh-HK"/>
        </w:rPr>
        <w:t>有補</w:t>
      </w:r>
      <w:r w:rsidR="00E7609B" w:rsidRPr="009F12D9">
        <w:rPr>
          <w:szCs w:val="24"/>
          <w:lang w:eastAsia="zh-TW"/>
        </w:rPr>
        <w:t>救</w:t>
      </w:r>
      <w:r w:rsidR="00E7609B" w:rsidRPr="009F12D9">
        <w:rPr>
          <w:szCs w:val="24"/>
          <w:lang w:eastAsia="zh-HK"/>
        </w:rPr>
        <w:t>嘅成份</w:t>
      </w:r>
      <w:r w:rsidR="00E7609B" w:rsidRPr="009F12D9">
        <w:rPr>
          <w:szCs w:val="24"/>
          <w:lang w:eastAsia="zh-TW"/>
        </w:rPr>
        <w:t>，</w:t>
      </w:r>
      <w:r w:rsidR="00E7609B" w:rsidRPr="009F12D9">
        <w:rPr>
          <w:szCs w:val="24"/>
          <w:lang w:eastAsia="zh-HK"/>
        </w:rPr>
        <w:t>犯</w:t>
      </w:r>
      <w:r w:rsidR="00E7609B" w:rsidRPr="009F12D9">
        <w:rPr>
          <w:szCs w:val="24"/>
          <w:lang w:eastAsia="zh-TW"/>
        </w:rPr>
        <w:t>罪</w:t>
      </w:r>
      <w:r w:rsidR="00E7609B" w:rsidRPr="009F12D9">
        <w:rPr>
          <w:szCs w:val="24"/>
          <w:lang w:eastAsia="zh-HK"/>
        </w:rPr>
        <w:t>者係通</w:t>
      </w:r>
      <w:r w:rsidR="00E7609B" w:rsidRPr="009F12D9">
        <w:rPr>
          <w:szCs w:val="24"/>
          <w:lang w:eastAsia="zh-TW"/>
        </w:rPr>
        <w:t>過</w:t>
      </w:r>
      <w:r w:rsidR="00E7609B" w:rsidRPr="009F12D9">
        <w:rPr>
          <w:szCs w:val="24"/>
          <w:lang w:eastAsia="zh-HK"/>
        </w:rPr>
        <w:t>無薪嘅工</w:t>
      </w:r>
      <w:r w:rsidR="00E7609B" w:rsidRPr="009F12D9">
        <w:rPr>
          <w:szCs w:val="24"/>
          <w:lang w:eastAsia="zh-TW"/>
        </w:rPr>
        <w:t>作，</w:t>
      </w:r>
      <w:r w:rsidR="00E7609B" w:rsidRPr="009F12D9">
        <w:rPr>
          <w:szCs w:val="24"/>
          <w:lang w:eastAsia="zh-HK"/>
        </w:rPr>
        <w:t>對社</w:t>
      </w:r>
      <w:r w:rsidR="00E7609B" w:rsidRPr="009F12D9">
        <w:rPr>
          <w:szCs w:val="24"/>
          <w:lang w:eastAsia="zh-TW"/>
        </w:rPr>
        <w:t>會</w:t>
      </w:r>
      <w:r w:rsidR="00E7609B" w:rsidRPr="009F12D9">
        <w:rPr>
          <w:szCs w:val="24"/>
          <w:lang w:eastAsia="zh-HK"/>
        </w:rPr>
        <w:t>作出貢</w:t>
      </w:r>
      <w:r w:rsidR="00E7609B" w:rsidRPr="009F12D9">
        <w:rPr>
          <w:szCs w:val="24"/>
          <w:lang w:eastAsia="zh-TW"/>
        </w:rPr>
        <w:t>獻，</w:t>
      </w:r>
      <w:r w:rsidR="00E7609B" w:rsidRPr="009F12D9">
        <w:rPr>
          <w:szCs w:val="24"/>
          <w:lang w:eastAsia="zh-HK"/>
        </w:rPr>
        <w:t>從</w:t>
      </w:r>
      <w:r w:rsidR="00E7609B" w:rsidRPr="009F12D9">
        <w:rPr>
          <w:szCs w:val="24"/>
          <w:lang w:eastAsia="zh-TW"/>
        </w:rPr>
        <w:t>而</w:t>
      </w:r>
      <w:r w:rsidR="00E7609B" w:rsidRPr="009F12D9">
        <w:rPr>
          <w:szCs w:val="24"/>
          <w:lang w:eastAsia="zh-HK"/>
        </w:rPr>
        <w:t>令到</w:t>
      </w:r>
      <w:proofErr w:type="gramStart"/>
      <w:r w:rsidR="00E7609B" w:rsidRPr="009F12D9">
        <w:rPr>
          <w:szCs w:val="24"/>
          <w:lang w:eastAsia="zh-HK"/>
        </w:rPr>
        <w:t>佢</w:t>
      </w:r>
      <w:proofErr w:type="gramEnd"/>
      <w:r w:rsidR="00E7609B" w:rsidRPr="009F12D9">
        <w:rPr>
          <w:szCs w:val="24"/>
          <w:lang w:eastAsia="zh-HK"/>
        </w:rPr>
        <w:t>造</w:t>
      </w:r>
      <w:r w:rsidR="00E7609B" w:rsidRPr="009F12D9">
        <w:rPr>
          <w:szCs w:val="24"/>
          <w:lang w:eastAsia="zh-TW"/>
        </w:rPr>
        <w:t>成</w:t>
      </w:r>
      <w:r w:rsidR="00E7609B" w:rsidRPr="009F12D9">
        <w:rPr>
          <w:szCs w:val="24"/>
          <w:lang w:eastAsia="zh-HK"/>
        </w:rPr>
        <w:t>嘅破</w:t>
      </w:r>
      <w:r w:rsidR="00E7609B" w:rsidRPr="009F12D9">
        <w:rPr>
          <w:szCs w:val="24"/>
          <w:lang w:eastAsia="zh-TW"/>
        </w:rPr>
        <w:t>壞</w:t>
      </w:r>
      <w:r w:rsidR="00E7609B" w:rsidRPr="009F12D9">
        <w:rPr>
          <w:szCs w:val="24"/>
          <w:lang w:eastAsia="zh-HK"/>
        </w:rPr>
        <w:t>影</w:t>
      </w:r>
      <w:r w:rsidR="00E7609B" w:rsidRPr="009F12D9">
        <w:rPr>
          <w:szCs w:val="24"/>
          <w:lang w:eastAsia="zh-TW"/>
        </w:rPr>
        <w:t>響</w:t>
      </w:r>
      <w:r w:rsidR="00E7609B" w:rsidRPr="009F12D9">
        <w:rPr>
          <w:szCs w:val="24"/>
          <w:lang w:eastAsia="zh-HK"/>
        </w:rPr>
        <w:t>嘅</w:t>
      </w:r>
      <w:r w:rsidR="00E7609B" w:rsidRPr="009F12D9">
        <w:rPr>
          <w:szCs w:val="24"/>
          <w:lang w:eastAsia="zh-TW"/>
        </w:rPr>
        <w:t>,</w:t>
      </w:r>
      <w:r w:rsidR="00E7609B" w:rsidRPr="009F12D9">
        <w:rPr>
          <w:szCs w:val="24"/>
          <w:lang w:eastAsia="zh-HK"/>
        </w:rPr>
        <w:t xml:space="preserve"> </w:t>
      </w:r>
      <w:r w:rsidR="00E7609B" w:rsidRPr="009F12D9">
        <w:rPr>
          <w:szCs w:val="24"/>
          <w:lang w:eastAsia="zh-HK"/>
        </w:rPr>
        <w:t>即係嗰啲社</w:t>
      </w:r>
      <w:r w:rsidR="00E7609B" w:rsidRPr="009F12D9">
        <w:rPr>
          <w:szCs w:val="24"/>
          <w:lang w:eastAsia="zh-TW"/>
        </w:rPr>
        <w:t>會</w:t>
      </w:r>
      <w:r w:rsidR="00E7609B" w:rsidRPr="009F12D9">
        <w:rPr>
          <w:szCs w:val="24"/>
          <w:lang w:eastAsia="zh-HK"/>
        </w:rPr>
        <w:t>大眾呢</w:t>
      </w:r>
      <w:r w:rsidR="00E7609B" w:rsidRPr="009F12D9">
        <w:rPr>
          <w:szCs w:val="24"/>
          <w:lang w:eastAsia="zh-TW"/>
        </w:rPr>
        <w:t>,</w:t>
      </w:r>
      <w:r w:rsidR="00E7609B" w:rsidRPr="009F12D9">
        <w:rPr>
          <w:szCs w:val="24"/>
          <w:lang w:eastAsia="zh-HK"/>
        </w:rPr>
        <w:t xml:space="preserve"> </w:t>
      </w:r>
      <w:r w:rsidR="00E7609B" w:rsidRPr="009F12D9">
        <w:rPr>
          <w:szCs w:val="24"/>
          <w:lang w:eastAsia="zh-HK"/>
        </w:rPr>
        <w:t>係</w:t>
      </w:r>
      <w:r w:rsidR="00E7609B" w:rsidRPr="009F12D9">
        <w:rPr>
          <w:szCs w:val="24"/>
          <w:lang w:eastAsia="zh-TW"/>
        </w:rPr>
        <w:t>受</w:t>
      </w:r>
      <w:r w:rsidR="00E7609B" w:rsidRPr="009F12D9">
        <w:rPr>
          <w:szCs w:val="24"/>
          <w:lang w:eastAsia="zh-HK"/>
        </w:rPr>
        <w:t>惠嘅</w:t>
      </w:r>
      <w:r w:rsidR="00E7609B" w:rsidRPr="009F12D9">
        <w:rPr>
          <w:szCs w:val="24"/>
          <w:lang w:eastAsia="zh-TW"/>
        </w:rPr>
        <w:t>。</w:t>
      </w:r>
      <w:r w:rsidRPr="009F12D9">
        <w:rPr>
          <w:spacing w:val="6"/>
          <w:lang w:eastAsia="zh-TW"/>
        </w:rPr>
        <w:t>」</w:t>
      </w:r>
    </w:p>
    <w:p w:rsidR="00BB5AEB" w:rsidRPr="009F12D9" w:rsidRDefault="00E7609B" w:rsidP="00BB5AEB">
      <w:pPr>
        <w:pStyle w:val="ar-heading1"/>
        <w:keepNext w:val="0"/>
        <w:numPr>
          <w:ilvl w:val="0"/>
          <w:numId w:val="5"/>
        </w:numPr>
        <w:spacing w:before="0" w:after="520"/>
        <w:ind w:firstLine="0"/>
        <w:jc w:val="both"/>
        <w:rPr>
          <w:rFonts w:ascii="Times New Roman" w:hAnsi="Times New Roman"/>
          <w:i w:val="0"/>
          <w:lang w:val="en-US" w:eastAsia="zh-TW"/>
        </w:rPr>
      </w:pPr>
      <w:r w:rsidRPr="009F12D9">
        <w:rPr>
          <w:rFonts w:ascii="Times New Roman" w:hAnsi="Times New Roman"/>
          <w:i w:val="0"/>
          <w:lang w:eastAsia="zh-TW"/>
        </w:rPr>
        <w:t>原審裁判官強調，有關答辯人的</w:t>
      </w:r>
      <w:r w:rsidRPr="009F12D9">
        <w:rPr>
          <w:rFonts w:ascii="Times New Roman" w:hAnsi="Times New Roman"/>
          <w:i w:val="0"/>
          <w:lang w:eastAsia="zh-HK"/>
        </w:rPr>
        <w:t>報</w:t>
      </w:r>
      <w:r w:rsidRPr="009F12D9">
        <w:rPr>
          <w:rFonts w:ascii="Times New Roman" w:hAnsi="Times New Roman"/>
          <w:i w:val="0"/>
          <w:lang w:eastAsia="zh-TW"/>
        </w:rPr>
        <w:t>告，內容正面。他指答辯人背景良好，只是犯案時沒有想清楚後果，經過這次法律程序之後則上了寶貴的一課</w:t>
      </w:r>
      <w:r w:rsidRPr="009F12D9">
        <w:rPr>
          <w:rStyle w:val="FootnoteReference"/>
          <w:i w:val="0"/>
        </w:rPr>
        <w:footnoteReference w:id="19"/>
      </w:r>
      <w:r w:rsidR="00BB5AEB" w:rsidRPr="009F12D9">
        <w:rPr>
          <w:rFonts w:ascii="Times New Roman" w:hAnsi="Times New Roman"/>
          <w:i w:val="0"/>
          <w:szCs w:val="28"/>
          <w:lang w:eastAsia="zh-TW"/>
        </w:rPr>
        <w:t>。</w:t>
      </w:r>
    </w:p>
    <w:p w:rsidR="009F6CFC" w:rsidRPr="009F12D9" w:rsidRDefault="00E7609B" w:rsidP="00BA6071">
      <w:pPr>
        <w:pStyle w:val="Final"/>
        <w:keepNext/>
        <w:tabs>
          <w:tab w:val="clear" w:pos="1440"/>
          <w:tab w:val="clear" w:pos="4320"/>
          <w:tab w:val="clear" w:pos="9072"/>
          <w:tab w:val="left" w:pos="720"/>
          <w:tab w:val="center" w:pos="4234"/>
          <w:tab w:val="right" w:pos="8453"/>
        </w:tabs>
        <w:spacing w:after="360"/>
        <w:rPr>
          <w:i/>
        </w:rPr>
      </w:pPr>
      <w:r w:rsidRPr="009F12D9">
        <w:rPr>
          <w:i/>
        </w:rPr>
        <w:t>F</w:t>
      </w:r>
      <w:r w:rsidRPr="009F12D9">
        <w:rPr>
          <w:i/>
          <w:lang w:eastAsia="zh-TW"/>
        </w:rPr>
        <w:t xml:space="preserve">. </w:t>
      </w:r>
      <w:r w:rsidRPr="009F12D9">
        <w:rPr>
          <w:i/>
          <w:lang w:eastAsia="zh-TW"/>
        </w:rPr>
        <w:tab/>
      </w:r>
      <w:r w:rsidRPr="009F12D9">
        <w:rPr>
          <w:i/>
          <w:lang w:eastAsia="zh-TW"/>
        </w:rPr>
        <w:t>覆核理由</w:t>
      </w:r>
    </w:p>
    <w:p w:rsidR="009F6CFC" w:rsidRPr="009F12D9" w:rsidRDefault="00E7609B" w:rsidP="009F6CFC">
      <w:pPr>
        <w:pStyle w:val="ar-heading1"/>
        <w:keepNext w:val="0"/>
        <w:numPr>
          <w:ilvl w:val="0"/>
          <w:numId w:val="5"/>
        </w:numPr>
        <w:spacing w:before="0" w:after="520"/>
        <w:ind w:firstLine="0"/>
        <w:jc w:val="both"/>
        <w:rPr>
          <w:rFonts w:ascii="Times New Roman" w:hAnsi="Times New Roman"/>
          <w:i w:val="0"/>
          <w:lang w:val="en-US" w:eastAsia="zh-TW"/>
        </w:rPr>
      </w:pPr>
      <w:r w:rsidRPr="009F12D9">
        <w:rPr>
          <w:rFonts w:ascii="Times New Roman" w:hAnsi="Times New Roman"/>
          <w:i w:val="0"/>
          <w:szCs w:val="28"/>
          <w:lang w:eastAsia="zh-TW"/>
        </w:rPr>
        <w:t>申請人由高級檢控官</w:t>
      </w:r>
      <w:r w:rsidRPr="009F12D9">
        <w:rPr>
          <w:rFonts w:ascii="Times New Roman" w:hAnsi="Times New Roman"/>
          <w:i w:val="0"/>
          <w:szCs w:val="28"/>
          <w:lang w:eastAsia="zh-HK"/>
        </w:rPr>
        <w:t>劉德偉</w:t>
      </w:r>
      <w:r w:rsidRPr="009F12D9">
        <w:rPr>
          <w:rFonts w:ascii="Times New Roman" w:hAnsi="Times New Roman"/>
          <w:i w:val="0"/>
          <w:szCs w:val="28"/>
          <w:lang w:eastAsia="zh-TW"/>
        </w:rPr>
        <w:t>大律師代表</w:t>
      </w:r>
      <w:r w:rsidRPr="009F12D9">
        <w:rPr>
          <w:rFonts w:ascii="Times New Roman" w:hAnsi="Times New Roman"/>
          <w:i w:val="0"/>
          <w:lang w:eastAsia="zh-TW"/>
        </w:rPr>
        <w:t>。以下是本庭根據申請人的書面申請，以及劉大律師的書面和口述陳詞所整合而成的覆核理由</w:t>
      </w:r>
      <w:proofErr w:type="gramStart"/>
      <w:r w:rsidRPr="009F12D9">
        <w:rPr>
          <w:rFonts w:ascii="Times New Roman" w:hAnsi="Times New Roman"/>
          <w:i w:val="0"/>
          <w:lang w:eastAsia="zh-TW"/>
        </w:rPr>
        <w:t>撮</w:t>
      </w:r>
      <w:proofErr w:type="gramEnd"/>
      <w:r w:rsidRPr="009F12D9">
        <w:rPr>
          <w:rFonts w:ascii="Times New Roman" w:hAnsi="Times New Roman"/>
          <w:i w:val="0"/>
          <w:lang w:eastAsia="zh-TW"/>
        </w:rPr>
        <w:t>要</w:t>
      </w:r>
      <w:r w:rsidR="009F6CFC" w:rsidRPr="009F12D9">
        <w:rPr>
          <w:rFonts w:ascii="Times New Roman" w:hAnsi="Times New Roman"/>
          <w:i w:val="0"/>
          <w:szCs w:val="28"/>
          <w:lang w:eastAsia="zh-TW"/>
        </w:rPr>
        <w:t>。</w:t>
      </w:r>
    </w:p>
    <w:p w:rsidR="009F6CFC" w:rsidRPr="009F12D9" w:rsidRDefault="00E7609B" w:rsidP="00BA6071">
      <w:pPr>
        <w:pStyle w:val="Final"/>
        <w:keepNext/>
        <w:tabs>
          <w:tab w:val="clear" w:pos="1440"/>
          <w:tab w:val="clear" w:pos="4320"/>
          <w:tab w:val="clear" w:pos="9072"/>
          <w:tab w:val="left" w:pos="720"/>
          <w:tab w:val="center" w:pos="4234"/>
          <w:tab w:val="right" w:pos="8453"/>
        </w:tabs>
        <w:spacing w:after="360"/>
        <w:ind w:left="720" w:hanging="720"/>
        <w:rPr>
          <w:i/>
          <w:lang w:eastAsia="zh-TW"/>
        </w:rPr>
      </w:pPr>
      <w:r w:rsidRPr="009F12D9">
        <w:rPr>
          <w:i/>
          <w:lang w:eastAsia="zh-TW"/>
        </w:rPr>
        <w:t>F.1</w:t>
      </w:r>
      <w:r w:rsidRPr="009F12D9">
        <w:rPr>
          <w:i/>
          <w:lang w:eastAsia="zh-TW"/>
        </w:rPr>
        <w:tab/>
      </w:r>
      <w:r w:rsidRPr="009F12D9">
        <w:rPr>
          <w:i/>
          <w:lang w:eastAsia="zh-TW"/>
        </w:rPr>
        <w:t>理據一：</w:t>
      </w:r>
      <w:r w:rsidRPr="009F12D9">
        <w:rPr>
          <w:i/>
          <w:lang w:val="en-GB" w:eastAsia="zh-TW"/>
        </w:rPr>
        <w:t>原審裁判官</w:t>
      </w:r>
      <w:r w:rsidRPr="009F12D9">
        <w:rPr>
          <w:i/>
          <w:lang w:val="en-GB" w:eastAsia="zh-HK"/>
        </w:rPr>
        <w:t>低估了本</w:t>
      </w:r>
      <w:r w:rsidRPr="009F12D9">
        <w:rPr>
          <w:i/>
          <w:lang w:val="en-GB" w:eastAsia="zh-TW"/>
        </w:rPr>
        <w:t>案</w:t>
      </w:r>
      <w:r w:rsidRPr="009F12D9">
        <w:rPr>
          <w:i/>
          <w:lang w:val="en-GB" w:eastAsia="zh-HK"/>
        </w:rPr>
        <w:t>的嚴</w:t>
      </w:r>
      <w:r w:rsidRPr="009F12D9">
        <w:rPr>
          <w:i/>
          <w:lang w:val="en-GB" w:eastAsia="zh-TW"/>
        </w:rPr>
        <w:t>重</w:t>
      </w:r>
      <w:r w:rsidRPr="009F12D9">
        <w:rPr>
          <w:i/>
          <w:lang w:val="en-GB" w:eastAsia="zh-HK"/>
        </w:rPr>
        <w:t>性</w:t>
      </w:r>
      <w:r w:rsidRPr="009F12D9">
        <w:rPr>
          <w:i/>
          <w:lang w:val="en-GB" w:eastAsia="zh-TW"/>
        </w:rPr>
        <w:t>,</w:t>
      </w:r>
      <w:r w:rsidRPr="009F12D9">
        <w:rPr>
          <w:i/>
          <w:lang w:val="en-GB" w:eastAsia="zh-HK"/>
        </w:rPr>
        <w:t xml:space="preserve"> </w:t>
      </w:r>
      <w:r w:rsidRPr="009F12D9">
        <w:rPr>
          <w:i/>
          <w:lang w:val="en-GB" w:eastAsia="zh-HK"/>
        </w:rPr>
        <w:t>未有就懲罰和阻嚇兩方</w:t>
      </w:r>
      <w:r w:rsidRPr="009F12D9">
        <w:rPr>
          <w:i/>
          <w:lang w:val="en-GB" w:eastAsia="zh-TW"/>
        </w:rPr>
        <w:t>面</w:t>
      </w:r>
      <w:r w:rsidRPr="009F12D9">
        <w:rPr>
          <w:i/>
          <w:lang w:val="en-GB" w:eastAsia="zh-HK"/>
        </w:rPr>
        <w:t>給予充</w:t>
      </w:r>
      <w:r w:rsidRPr="009F12D9">
        <w:rPr>
          <w:i/>
          <w:lang w:val="en-GB" w:eastAsia="zh-TW"/>
        </w:rPr>
        <w:t>分</w:t>
      </w:r>
      <w:r w:rsidRPr="009F12D9">
        <w:rPr>
          <w:i/>
          <w:lang w:val="en-GB" w:eastAsia="zh-HK"/>
        </w:rPr>
        <w:t>比重</w:t>
      </w:r>
      <w:r w:rsidRPr="009F12D9">
        <w:rPr>
          <w:i/>
          <w:szCs w:val="28"/>
          <w:lang w:eastAsia="zh-TW"/>
        </w:rPr>
        <w:t>。</w:t>
      </w:r>
    </w:p>
    <w:p w:rsidR="00350A05" w:rsidRPr="009F12D9" w:rsidRDefault="00E7609B" w:rsidP="00350A05">
      <w:pPr>
        <w:pStyle w:val="ar-heading1"/>
        <w:keepNext w:val="0"/>
        <w:numPr>
          <w:ilvl w:val="0"/>
          <w:numId w:val="5"/>
        </w:numPr>
        <w:spacing w:before="0" w:after="520"/>
        <w:ind w:firstLine="0"/>
        <w:jc w:val="both"/>
        <w:rPr>
          <w:rFonts w:ascii="Times New Roman" w:hAnsi="Times New Roman"/>
          <w:i w:val="0"/>
          <w:lang w:val="en-US" w:eastAsia="zh-TW"/>
        </w:rPr>
      </w:pPr>
      <w:r w:rsidRPr="009F12D9">
        <w:rPr>
          <w:rFonts w:ascii="Times New Roman" w:hAnsi="Times New Roman"/>
          <w:i w:val="0"/>
          <w:szCs w:val="28"/>
          <w:lang w:eastAsia="zh-TW"/>
        </w:rPr>
        <w:t>參與</w:t>
      </w:r>
      <w:r w:rsidRPr="009F12D9">
        <w:rPr>
          <w:rFonts w:ascii="Times New Roman" w:hAnsi="Times New Roman"/>
          <w:i w:val="0"/>
          <w:lang w:eastAsia="zh-HK"/>
        </w:rPr>
        <w:t>非法集結</w:t>
      </w:r>
      <w:r w:rsidRPr="009F12D9">
        <w:rPr>
          <w:rFonts w:ascii="Times New Roman" w:hAnsi="Times New Roman"/>
          <w:i w:val="0"/>
          <w:lang w:eastAsia="zh-TW"/>
        </w:rPr>
        <w:t>的控訴</w:t>
      </w:r>
      <w:r w:rsidRPr="009F12D9">
        <w:rPr>
          <w:rFonts w:ascii="Times New Roman" w:hAnsi="Times New Roman"/>
          <w:i w:val="0"/>
          <w:lang w:eastAsia="zh-HK"/>
        </w:rPr>
        <w:t>要旨</w:t>
      </w:r>
      <w:r w:rsidRPr="009F12D9">
        <w:rPr>
          <w:rFonts w:ascii="Times New Roman" w:hAnsi="Times New Roman"/>
          <w:i w:val="0"/>
          <w:lang w:eastAsia="zh-TW"/>
        </w:rPr>
        <w:t>（</w:t>
      </w:r>
      <w:r w:rsidRPr="009F12D9">
        <w:rPr>
          <w:rFonts w:ascii="Times New Roman" w:hAnsi="Times New Roman"/>
          <w:i w:val="0"/>
          <w:lang w:eastAsia="zh-TW"/>
        </w:rPr>
        <w:t>gravamen</w:t>
      </w:r>
      <w:r w:rsidRPr="009F12D9">
        <w:rPr>
          <w:rFonts w:ascii="Times New Roman" w:hAnsi="Times New Roman"/>
          <w:i w:val="0"/>
          <w:lang w:eastAsia="zh-TW"/>
        </w:rPr>
        <w:t>）</w:t>
      </w:r>
      <w:r w:rsidRPr="009F12D9">
        <w:rPr>
          <w:rFonts w:ascii="Times New Roman" w:hAnsi="Times New Roman"/>
          <w:i w:val="0"/>
          <w:szCs w:val="28"/>
          <w:lang w:eastAsia="zh-TW"/>
        </w:rPr>
        <w:t>，是參與者人數</w:t>
      </w:r>
      <w:proofErr w:type="gramStart"/>
      <w:r w:rsidRPr="009F12D9">
        <w:rPr>
          <w:rFonts w:ascii="Times New Roman" w:hAnsi="Times New Roman"/>
          <w:i w:val="0"/>
          <w:szCs w:val="28"/>
          <w:lang w:eastAsia="zh-TW"/>
        </w:rPr>
        <w:t>眾多，</w:t>
      </w:r>
      <w:proofErr w:type="gramEnd"/>
      <w:r w:rsidRPr="009F12D9">
        <w:rPr>
          <w:rFonts w:ascii="Times New Roman" w:hAnsi="Times New Roman"/>
          <w:i w:val="0"/>
          <w:szCs w:val="28"/>
          <w:lang w:eastAsia="zh-TW"/>
        </w:rPr>
        <w:t>和參與者</w:t>
      </w:r>
      <w:proofErr w:type="gramStart"/>
      <w:r w:rsidRPr="009F12D9">
        <w:rPr>
          <w:rFonts w:ascii="Times New Roman" w:hAnsi="Times New Roman"/>
          <w:i w:val="0"/>
          <w:szCs w:val="28"/>
          <w:lang w:eastAsia="zh-TW"/>
        </w:rPr>
        <w:t>恃著</w:t>
      </w:r>
      <w:proofErr w:type="gramEnd"/>
      <w:r w:rsidRPr="009F12D9">
        <w:rPr>
          <w:rFonts w:ascii="Times New Roman" w:hAnsi="Times New Roman"/>
          <w:i w:val="0"/>
          <w:szCs w:val="28"/>
          <w:lang w:eastAsia="zh-TW"/>
        </w:rPr>
        <w:t>人多勢眾來達到他們的共同目的。對於這個情況所構成的公共秩序威脅，以及它的嚴重性和嚴重性的原因，英國和香港的案例已有各種分析和討論</w:t>
      </w:r>
      <w:r w:rsidRPr="009F12D9">
        <w:rPr>
          <w:rStyle w:val="FootnoteReference"/>
          <w:i w:val="0"/>
          <w:szCs w:val="28"/>
        </w:rPr>
        <w:footnoteReference w:id="20"/>
      </w:r>
      <w:r w:rsidR="00350A05" w:rsidRPr="009F12D9">
        <w:rPr>
          <w:rFonts w:ascii="Times New Roman" w:hAnsi="Times New Roman"/>
          <w:i w:val="0"/>
          <w:szCs w:val="28"/>
          <w:lang w:eastAsia="zh-TW"/>
        </w:rPr>
        <w:t>。</w:t>
      </w:r>
    </w:p>
    <w:p w:rsidR="009B233F" w:rsidRPr="009F12D9" w:rsidRDefault="00E7609B" w:rsidP="009B233F">
      <w:pPr>
        <w:pStyle w:val="ar-heading1"/>
        <w:keepNext w:val="0"/>
        <w:numPr>
          <w:ilvl w:val="0"/>
          <w:numId w:val="5"/>
        </w:numPr>
        <w:spacing w:before="0" w:after="520"/>
        <w:ind w:firstLine="0"/>
        <w:jc w:val="both"/>
        <w:rPr>
          <w:rFonts w:ascii="Times New Roman" w:hAnsi="Times New Roman"/>
          <w:i w:val="0"/>
          <w:lang w:val="en-US" w:eastAsia="zh-TW"/>
        </w:rPr>
      </w:pPr>
      <w:r w:rsidRPr="009F12D9">
        <w:rPr>
          <w:rFonts w:ascii="Times New Roman" w:hAnsi="Times New Roman"/>
          <w:i w:val="0"/>
          <w:szCs w:val="28"/>
          <w:lang w:eastAsia="zh-TW"/>
        </w:rPr>
        <w:lastRenderedPageBreak/>
        <w:t>作為控罪，參與非法集結是針對上述威脅的一項預防措施。</w:t>
      </w:r>
      <w:r w:rsidR="00CD3E8D" w:rsidRPr="009F12D9">
        <w:rPr>
          <w:rFonts w:hint="eastAsia"/>
          <w:i w:val="0"/>
          <w:szCs w:val="28"/>
          <w:lang w:eastAsia="zh-HK"/>
        </w:rPr>
        <w:t>訂</w:t>
      </w:r>
      <w:r w:rsidRPr="009F12D9">
        <w:rPr>
          <w:i w:val="0"/>
          <w:szCs w:val="28"/>
          <w:lang w:eastAsia="zh-TW"/>
        </w:rPr>
        <w:t>立</w:t>
      </w:r>
      <w:r w:rsidRPr="009F12D9">
        <w:rPr>
          <w:rFonts w:ascii="Times New Roman" w:hAnsi="Times New Roman"/>
          <w:i w:val="0"/>
          <w:szCs w:val="28"/>
          <w:lang w:eastAsia="zh-TW"/>
        </w:rPr>
        <w:t>這項控罪，可以把社會安寧的破壞，制止於萌芽階段。這點香港的案例也有指出</w:t>
      </w:r>
      <w:r w:rsidRPr="009F12D9">
        <w:rPr>
          <w:rStyle w:val="FootnoteReference"/>
          <w:i w:val="0"/>
          <w:szCs w:val="28"/>
        </w:rPr>
        <w:footnoteReference w:id="21"/>
      </w:r>
      <w:r w:rsidR="009B233F" w:rsidRPr="009F12D9">
        <w:rPr>
          <w:rFonts w:ascii="Times New Roman" w:hAnsi="Times New Roman"/>
          <w:i w:val="0"/>
          <w:szCs w:val="28"/>
          <w:lang w:eastAsia="zh-TW"/>
        </w:rPr>
        <w:t>。</w:t>
      </w:r>
    </w:p>
    <w:p w:rsidR="009F6CFC" w:rsidRPr="009F12D9" w:rsidRDefault="00E7609B" w:rsidP="009F6CFC">
      <w:pPr>
        <w:pStyle w:val="ar-heading1"/>
        <w:keepNext w:val="0"/>
        <w:numPr>
          <w:ilvl w:val="0"/>
          <w:numId w:val="5"/>
        </w:numPr>
        <w:spacing w:before="0" w:after="520"/>
        <w:ind w:firstLine="0"/>
        <w:jc w:val="both"/>
        <w:rPr>
          <w:rFonts w:ascii="Times New Roman" w:hAnsi="Times New Roman"/>
          <w:i w:val="0"/>
          <w:lang w:val="en-US" w:eastAsia="zh-TW"/>
        </w:rPr>
      </w:pPr>
      <w:r w:rsidRPr="009F12D9">
        <w:rPr>
          <w:rFonts w:ascii="Times New Roman" w:hAnsi="Times New Roman"/>
          <w:i w:val="0"/>
          <w:szCs w:val="28"/>
          <w:lang w:eastAsia="zh-TW"/>
        </w:rPr>
        <w:t>在</w:t>
      </w:r>
      <w:r w:rsidRPr="009F12D9">
        <w:rPr>
          <w:rFonts w:ascii="Times New Roman" w:hAnsi="Times New Roman"/>
          <w:szCs w:val="28"/>
          <w:lang w:eastAsia="zh-TW"/>
        </w:rPr>
        <w:t>黃之鋒</w:t>
      </w:r>
      <w:r w:rsidRPr="009F12D9">
        <w:rPr>
          <w:rFonts w:ascii="Times New Roman" w:hAnsi="Times New Roman"/>
          <w:i w:val="0"/>
          <w:szCs w:val="28"/>
          <w:lang w:eastAsia="zh-TW"/>
        </w:rPr>
        <w:t xml:space="preserve"> </w:t>
      </w:r>
      <w:r w:rsidRPr="009F12D9">
        <w:rPr>
          <w:rFonts w:ascii="Times New Roman" w:hAnsi="Times New Roman"/>
          <w:i w:val="0"/>
          <w:szCs w:val="28"/>
          <w:lang w:eastAsia="zh-TW"/>
        </w:rPr>
        <w:t>案</w:t>
      </w:r>
      <w:r w:rsidRPr="009F12D9">
        <w:rPr>
          <w:rStyle w:val="FootnoteReference"/>
          <w:i w:val="0"/>
          <w:szCs w:val="28"/>
        </w:rPr>
        <w:footnoteReference w:id="22"/>
      </w:r>
      <w:r w:rsidRPr="009F12D9">
        <w:rPr>
          <w:rFonts w:ascii="Times New Roman" w:hAnsi="Times New Roman"/>
          <w:i w:val="0"/>
          <w:szCs w:val="28"/>
          <w:lang w:eastAsia="zh-TW"/>
        </w:rPr>
        <w:t>，上訴法庭扼要地回顧了上文提到的案例。此外上訴法庭也因應參與非法集結的控訴要旨，和</w:t>
      </w:r>
      <w:r w:rsidR="00CD3E8D" w:rsidRPr="009F12D9">
        <w:rPr>
          <w:rFonts w:hint="eastAsia"/>
          <w:i w:val="0"/>
          <w:szCs w:val="28"/>
          <w:lang w:eastAsia="zh-HK"/>
        </w:rPr>
        <w:t>訂</w:t>
      </w:r>
      <w:r w:rsidR="00CD3E8D" w:rsidRPr="009F12D9">
        <w:rPr>
          <w:i w:val="0"/>
          <w:szCs w:val="28"/>
          <w:lang w:eastAsia="zh-TW"/>
        </w:rPr>
        <w:t>立</w:t>
      </w:r>
      <w:r w:rsidRPr="009F12D9">
        <w:rPr>
          <w:rFonts w:ascii="Times New Roman" w:hAnsi="Times New Roman"/>
          <w:i w:val="0"/>
          <w:szCs w:val="28"/>
          <w:lang w:eastAsia="zh-TW"/>
        </w:rPr>
        <w:t>相應控罪的理由，鄭重地指出了懲罰和</w:t>
      </w:r>
      <w:proofErr w:type="gramStart"/>
      <w:r w:rsidRPr="009F12D9">
        <w:rPr>
          <w:rFonts w:ascii="Times New Roman" w:hAnsi="Times New Roman"/>
          <w:i w:val="0"/>
          <w:szCs w:val="28"/>
          <w:lang w:eastAsia="zh-TW"/>
        </w:rPr>
        <w:t>阻嚇</w:t>
      </w:r>
      <w:proofErr w:type="gramEnd"/>
      <w:r w:rsidRPr="009F12D9">
        <w:rPr>
          <w:rFonts w:ascii="Times New Roman" w:hAnsi="Times New Roman"/>
          <w:i w:val="0"/>
          <w:szCs w:val="28"/>
          <w:lang w:eastAsia="zh-TW"/>
        </w:rPr>
        <w:t>兩項判刑元素的重要。上訴法庭指出，判罰參與非法集結，須以維護公共秩序為大前</w:t>
      </w:r>
      <w:r w:rsidR="00CA123F">
        <w:rPr>
          <w:rFonts w:ascii="Times New Roman" w:hAnsi="Times New Roman" w:hint="eastAsia"/>
          <w:i w:val="0"/>
          <w:szCs w:val="28"/>
          <w:lang w:eastAsia="zh-TW"/>
        </w:rPr>
        <w:t>提</w:t>
      </w:r>
      <w:r w:rsidR="009F6CFC" w:rsidRPr="009F12D9">
        <w:rPr>
          <w:rFonts w:ascii="Times New Roman" w:hAnsi="Times New Roman"/>
          <w:i w:val="0"/>
          <w:szCs w:val="28"/>
          <w:lang w:eastAsia="zh-TW"/>
        </w:rPr>
        <w:t>。</w:t>
      </w:r>
    </w:p>
    <w:p w:rsidR="009F6CFC" w:rsidRPr="009F12D9" w:rsidRDefault="00E7609B" w:rsidP="009F6CFC">
      <w:pPr>
        <w:pStyle w:val="ar-heading1"/>
        <w:keepNext w:val="0"/>
        <w:numPr>
          <w:ilvl w:val="0"/>
          <w:numId w:val="5"/>
        </w:numPr>
        <w:spacing w:before="0" w:after="520"/>
        <w:ind w:firstLine="0"/>
        <w:jc w:val="both"/>
        <w:rPr>
          <w:rFonts w:ascii="Times New Roman" w:hAnsi="Times New Roman"/>
          <w:i w:val="0"/>
          <w:lang w:val="en-US" w:eastAsia="zh-TW"/>
        </w:rPr>
      </w:pPr>
      <w:r w:rsidRPr="009F12D9">
        <w:rPr>
          <w:rFonts w:ascii="Times New Roman" w:hAnsi="Times New Roman"/>
          <w:i w:val="0"/>
          <w:szCs w:val="28"/>
          <w:lang w:eastAsia="zh-TW"/>
        </w:rPr>
        <w:t>當然，上訴法庭也表示，個別的判刑元素應獲得多少比重，要視乎案件的實際情況。但若然情節嚴重，例如是涉及暴力和</w:t>
      </w:r>
      <w:proofErr w:type="gramStart"/>
      <w:r w:rsidRPr="009F12D9">
        <w:rPr>
          <w:rFonts w:ascii="Times New Roman" w:hAnsi="Times New Roman"/>
          <w:i w:val="0"/>
          <w:szCs w:val="28"/>
          <w:lang w:eastAsia="zh-TW"/>
        </w:rPr>
        <w:t>臚</w:t>
      </w:r>
      <w:proofErr w:type="gramEnd"/>
      <w:r w:rsidRPr="009F12D9">
        <w:rPr>
          <w:rFonts w:ascii="Times New Roman" w:hAnsi="Times New Roman"/>
          <w:i w:val="0"/>
          <w:szCs w:val="28"/>
          <w:lang w:eastAsia="zh-TW"/>
        </w:rPr>
        <w:t>列於判詞中的一系列因素</w:t>
      </w:r>
      <w:r w:rsidRPr="009F12D9">
        <w:rPr>
          <w:rStyle w:val="FootnoteReference"/>
          <w:i w:val="0"/>
          <w:szCs w:val="28"/>
        </w:rPr>
        <w:footnoteReference w:id="23"/>
      </w:r>
      <w:r w:rsidRPr="009F12D9">
        <w:rPr>
          <w:rFonts w:ascii="Times New Roman" w:hAnsi="Times New Roman"/>
          <w:i w:val="0"/>
          <w:szCs w:val="28"/>
          <w:lang w:eastAsia="zh-TW"/>
        </w:rPr>
        <w:t>，則懲罰和</w:t>
      </w:r>
      <w:proofErr w:type="gramStart"/>
      <w:r w:rsidRPr="009F12D9">
        <w:rPr>
          <w:rFonts w:ascii="Times New Roman" w:hAnsi="Times New Roman"/>
          <w:i w:val="0"/>
          <w:szCs w:val="28"/>
          <w:lang w:eastAsia="zh-TW"/>
        </w:rPr>
        <w:t>阻嚇</w:t>
      </w:r>
      <w:proofErr w:type="gramEnd"/>
      <w:r w:rsidRPr="009F12D9">
        <w:rPr>
          <w:rFonts w:ascii="Times New Roman" w:hAnsi="Times New Roman"/>
          <w:i w:val="0"/>
          <w:szCs w:val="28"/>
          <w:lang w:eastAsia="zh-TW"/>
        </w:rPr>
        <w:t>的元素還是應該最具份量</w:t>
      </w:r>
      <w:r w:rsidR="009F6CFC" w:rsidRPr="009F12D9">
        <w:rPr>
          <w:rFonts w:ascii="Times New Roman" w:hAnsi="Times New Roman"/>
          <w:i w:val="0"/>
          <w:szCs w:val="28"/>
          <w:lang w:eastAsia="zh-TW"/>
        </w:rPr>
        <w:t>。</w:t>
      </w:r>
    </w:p>
    <w:p w:rsidR="009F6CFC" w:rsidRPr="009F12D9" w:rsidRDefault="00E7609B" w:rsidP="009F6CFC">
      <w:pPr>
        <w:pStyle w:val="ar-heading1"/>
        <w:keepNext w:val="0"/>
        <w:numPr>
          <w:ilvl w:val="0"/>
          <w:numId w:val="5"/>
        </w:numPr>
        <w:spacing w:before="0" w:after="520"/>
        <w:ind w:firstLine="0"/>
        <w:jc w:val="both"/>
        <w:rPr>
          <w:rFonts w:ascii="Times New Roman" w:hAnsi="Times New Roman"/>
          <w:i w:val="0"/>
          <w:lang w:val="en-US" w:eastAsia="zh-TW"/>
        </w:rPr>
      </w:pPr>
      <w:r w:rsidRPr="009F12D9">
        <w:rPr>
          <w:rFonts w:ascii="Times New Roman" w:hAnsi="Times New Roman"/>
          <w:i w:val="0"/>
          <w:szCs w:val="28"/>
          <w:lang w:eastAsia="zh-TW"/>
        </w:rPr>
        <w:t>儘管原審裁判官聲稱自己謹記上訴法庭在</w:t>
      </w:r>
      <w:r w:rsidRPr="009F12D9">
        <w:rPr>
          <w:rFonts w:ascii="Times New Roman" w:hAnsi="Times New Roman"/>
          <w:szCs w:val="28"/>
          <w:lang w:eastAsia="zh-TW"/>
        </w:rPr>
        <w:t>黃之鋒</w:t>
      </w:r>
      <w:r w:rsidRPr="009F12D9">
        <w:rPr>
          <w:rFonts w:ascii="Times New Roman" w:hAnsi="Times New Roman"/>
          <w:i w:val="0"/>
          <w:szCs w:val="28"/>
          <w:lang w:eastAsia="zh-TW"/>
        </w:rPr>
        <w:t xml:space="preserve"> </w:t>
      </w:r>
      <w:r w:rsidRPr="009F12D9">
        <w:rPr>
          <w:rFonts w:ascii="Times New Roman" w:hAnsi="Times New Roman"/>
          <w:i w:val="0"/>
          <w:szCs w:val="28"/>
          <w:lang w:eastAsia="zh-TW"/>
        </w:rPr>
        <w:t>案的判決，但實際上卻沒有按照該案和該案所提到的案例，全面及妥善地衡量本案的嚴重性。被他忽略的情節包括：涉案非法集結的規模其實相當龐大，人數遠</w:t>
      </w:r>
      <w:proofErr w:type="gramStart"/>
      <w:r w:rsidRPr="009F12D9">
        <w:rPr>
          <w:rFonts w:ascii="Times New Roman" w:hAnsi="Times New Roman"/>
          <w:i w:val="0"/>
          <w:szCs w:val="28"/>
          <w:lang w:eastAsia="zh-TW"/>
        </w:rPr>
        <w:t>超在場警務</w:t>
      </w:r>
      <w:proofErr w:type="gramEnd"/>
      <w:r w:rsidRPr="009F12D9">
        <w:rPr>
          <w:rFonts w:ascii="Times New Roman" w:hAnsi="Times New Roman"/>
          <w:i w:val="0"/>
          <w:szCs w:val="28"/>
          <w:lang w:eastAsia="zh-TW"/>
        </w:rPr>
        <w:t>人員的數目；示威者聚集在狹窄的街道，兩旁都是建築物，</w:t>
      </w:r>
      <w:proofErr w:type="gramStart"/>
      <w:r w:rsidRPr="009F12D9">
        <w:rPr>
          <w:rFonts w:ascii="Times New Roman" w:hAnsi="Times New Roman"/>
          <w:i w:val="0"/>
          <w:szCs w:val="28"/>
          <w:lang w:eastAsia="zh-TW"/>
        </w:rPr>
        <w:t>對在場人士</w:t>
      </w:r>
      <w:proofErr w:type="gramEnd"/>
      <w:r w:rsidRPr="009F12D9">
        <w:rPr>
          <w:rFonts w:ascii="Times New Roman" w:hAnsi="Times New Roman"/>
          <w:i w:val="0"/>
          <w:szCs w:val="28"/>
          <w:lang w:eastAsia="zh-TW"/>
        </w:rPr>
        <w:t>的人身安全造成重大威脅；根據他們的衣著和裝備，示威者和答辯人都是有計劃和有預謀地參與其中；示威者和答辯人的行為極具挑釁性，令現場的情緒越發高漲；</w:t>
      </w:r>
      <w:r w:rsidRPr="009F12D9">
        <w:rPr>
          <w:rFonts w:ascii="Times New Roman" w:hAnsi="Times New Roman"/>
          <w:i w:val="0"/>
          <w:szCs w:val="28"/>
          <w:lang w:eastAsia="zh-TW"/>
        </w:rPr>
        <w:lastRenderedPageBreak/>
        <w:t>他們拒絕聽從警方要他們散去的命令，讓</w:t>
      </w:r>
      <w:r w:rsidRPr="009F12D9">
        <w:rPr>
          <w:rFonts w:ascii="Times New Roman" w:hAnsi="Times New Roman"/>
          <w:i w:val="0"/>
          <w:lang w:eastAsia="zh-HK"/>
        </w:rPr>
        <w:t>對</w:t>
      </w:r>
      <w:r w:rsidRPr="009F12D9">
        <w:rPr>
          <w:rFonts w:ascii="Times New Roman" w:hAnsi="Times New Roman"/>
          <w:i w:val="0"/>
          <w:lang w:eastAsia="zh-TW"/>
        </w:rPr>
        <w:t>峙持續二十五</w:t>
      </w:r>
      <w:r w:rsidRPr="009F12D9">
        <w:rPr>
          <w:rFonts w:ascii="Times New Roman" w:hAnsi="Times New Roman"/>
          <w:i w:val="0"/>
          <w:szCs w:val="28"/>
          <w:lang w:eastAsia="zh-TW"/>
        </w:rPr>
        <w:t>分鐘，令發生暴力衝突的風險升級</w:t>
      </w:r>
      <w:r w:rsidR="009F6CFC" w:rsidRPr="009F12D9">
        <w:rPr>
          <w:rFonts w:ascii="Times New Roman" w:hAnsi="Times New Roman"/>
          <w:i w:val="0"/>
          <w:szCs w:val="28"/>
          <w:lang w:eastAsia="zh-TW"/>
        </w:rPr>
        <w:t>。</w:t>
      </w:r>
    </w:p>
    <w:p w:rsidR="009F6CFC" w:rsidRPr="009F12D9" w:rsidRDefault="00E7609B" w:rsidP="009F6CFC">
      <w:pPr>
        <w:pStyle w:val="ar-heading1"/>
        <w:keepNext w:val="0"/>
        <w:numPr>
          <w:ilvl w:val="0"/>
          <w:numId w:val="5"/>
        </w:numPr>
        <w:spacing w:before="0" w:after="520"/>
        <w:ind w:firstLine="0"/>
        <w:jc w:val="both"/>
        <w:rPr>
          <w:rFonts w:ascii="Times New Roman" w:hAnsi="Times New Roman"/>
          <w:i w:val="0"/>
          <w:lang w:val="en-US" w:eastAsia="zh-TW"/>
        </w:rPr>
      </w:pPr>
      <w:r w:rsidRPr="009F12D9">
        <w:rPr>
          <w:rFonts w:ascii="Times New Roman" w:hAnsi="Times New Roman"/>
          <w:i w:val="0"/>
          <w:szCs w:val="28"/>
          <w:lang w:eastAsia="zh-TW"/>
        </w:rPr>
        <w:t>根據最近期的案例</w:t>
      </w:r>
      <w:r w:rsidRPr="009F12D9">
        <w:rPr>
          <w:rFonts w:ascii="Times New Roman" w:hAnsi="Times New Roman"/>
          <w:szCs w:val="28"/>
          <w:lang w:eastAsia="zh-TW"/>
        </w:rPr>
        <w:t>Leung Kwok Hung (No 2)</w:t>
      </w:r>
      <w:r w:rsidRPr="009F12D9">
        <w:rPr>
          <w:rFonts w:ascii="Times New Roman" w:hAnsi="Times New Roman"/>
          <w:i w:val="0"/>
          <w:szCs w:val="28"/>
          <w:lang w:eastAsia="zh-TW"/>
        </w:rPr>
        <w:t xml:space="preserve"> </w:t>
      </w:r>
      <w:proofErr w:type="gramStart"/>
      <w:r w:rsidRPr="009F12D9">
        <w:rPr>
          <w:rFonts w:ascii="Times New Roman" w:hAnsi="Times New Roman"/>
          <w:i w:val="0"/>
          <w:szCs w:val="28"/>
          <w:lang w:eastAsia="zh-TW"/>
        </w:rPr>
        <w:t>（</w:t>
      </w:r>
      <w:proofErr w:type="gramEnd"/>
      <w:r w:rsidRPr="009F12D9">
        <w:rPr>
          <w:rFonts w:ascii="Times New Roman" w:hAnsi="Times New Roman"/>
          <w:i w:val="0"/>
          <w:szCs w:val="28"/>
          <w:lang w:eastAsia="zh-TW"/>
        </w:rPr>
        <w:t>判案書日期：</w:t>
      </w:r>
      <w:r w:rsidRPr="009F12D9">
        <w:rPr>
          <w:rFonts w:ascii="Times New Roman" w:hAnsi="Times New Roman"/>
          <w:i w:val="0"/>
          <w:szCs w:val="28"/>
          <w:lang w:eastAsia="zh-TW"/>
        </w:rPr>
        <w:t>2020</w:t>
      </w:r>
      <w:r w:rsidRPr="009F12D9">
        <w:rPr>
          <w:rFonts w:ascii="Times New Roman" w:hAnsi="Times New Roman"/>
          <w:i w:val="0"/>
          <w:szCs w:val="28"/>
          <w:lang w:eastAsia="zh-TW"/>
        </w:rPr>
        <w:t>年</w:t>
      </w:r>
      <w:r w:rsidRPr="009F12D9">
        <w:rPr>
          <w:rFonts w:ascii="Times New Roman" w:hAnsi="Times New Roman"/>
          <w:i w:val="0"/>
          <w:szCs w:val="28"/>
          <w:lang w:eastAsia="zh-TW"/>
        </w:rPr>
        <w:t>4</w:t>
      </w:r>
      <w:r w:rsidRPr="009F12D9">
        <w:rPr>
          <w:rFonts w:ascii="Times New Roman" w:hAnsi="Times New Roman"/>
          <w:i w:val="0"/>
          <w:szCs w:val="28"/>
          <w:lang w:eastAsia="zh-TW"/>
        </w:rPr>
        <w:t>月</w:t>
      </w:r>
      <w:r w:rsidRPr="009F12D9">
        <w:rPr>
          <w:rFonts w:ascii="Times New Roman" w:hAnsi="Times New Roman"/>
          <w:i w:val="0"/>
          <w:szCs w:val="28"/>
          <w:lang w:eastAsia="zh-TW"/>
        </w:rPr>
        <w:t>9</w:t>
      </w:r>
      <w:r w:rsidRPr="009F12D9">
        <w:rPr>
          <w:rFonts w:ascii="Times New Roman" w:hAnsi="Times New Roman"/>
          <w:i w:val="0"/>
          <w:szCs w:val="28"/>
          <w:lang w:eastAsia="zh-TW"/>
        </w:rPr>
        <w:t>日）</w:t>
      </w:r>
      <w:r w:rsidRPr="009F12D9">
        <w:rPr>
          <w:rStyle w:val="FootnoteReference"/>
          <w:i w:val="0"/>
          <w:szCs w:val="28"/>
        </w:rPr>
        <w:footnoteReference w:id="24"/>
      </w:r>
      <w:r w:rsidRPr="009F12D9">
        <w:rPr>
          <w:rFonts w:ascii="Times New Roman" w:hAnsi="Times New Roman"/>
          <w:i w:val="0"/>
          <w:szCs w:val="28"/>
          <w:lang w:eastAsia="zh-TW"/>
        </w:rPr>
        <w:t>：參與非法集結者若蒙面，可隱藏身份，會令他們更大膽和得到更多的互相支持和鼓勵；參與非法集結者被警方警告後拒絕離開，會令原本已經受到威脅的社會安寧進一步惡化。此外，事發時</w:t>
      </w:r>
      <w:r w:rsidR="00462548" w:rsidRPr="009F12D9">
        <w:rPr>
          <w:rFonts w:ascii="Times New Roman" w:eastAsia="PMingLiU" w:hAnsi="Times New Roman" w:hint="eastAsia"/>
          <w:i w:val="0"/>
          <w:lang w:eastAsia="zh-HK"/>
        </w:rPr>
        <w:t>《</w:t>
      </w:r>
      <w:r w:rsidR="00CA123F">
        <w:rPr>
          <w:i w:val="0"/>
          <w:lang w:eastAsia="zh-TW"/>
        </w:rPr>
        <w:t>禁止蒙面規例</w:t>
      </w:r>
      <w:r w:rsidR="00462548" w:rsidRPr="009F12D9">
        <w:rPr>
          <w:rFonts w:ascii="PMingLiU" w:eastAsia="PMingLiU" w:hAnsi="PMingLiU" w:hint="eastAsia"/>
          <w:i w:val="0"/>
          <w:lang w:eastAsia="zh-HK"/>
        </w:rPr>
        <w:t>》</w:t>
      </w:r>
      <w:r w:rsidRPr="009F12D9">
        <w:rPr>
          <w:rFonts w:ascii="Times New Roman" w:hAnsi="Times New Roman"/>
          <w:i w:val="0"/>
          <w:szCs w:val="28"/>
          <w:lang w:eastAsia="zh-TW"/>
        </w:rPr>
        <w:t>剛生效不久，雖然受到司法覆核的挑戰卻仍然是具約束力的法律，但示威者和答辯人卻公然漠視和違反。這都是令案情變得更加嚴重而又被原審裁判官忽略的因素</w:t>
      </w:r>
      <w:r w:rsidR="009F6CFC" w:rsidRPr="009F12D9">
        <w:rPr>
          <w:rFonts w:ascii="Times New Roman" w:hAnsi="Times New Roman"/>
          <w:i w:val="0"/>
          <w:szCs w:val="28"/>
          <w:lang w:eastAsia="zh-TW"/>
        </w:rPr>
        <w:t>。</w:t>
      </w:r>
    </w:p>
    <w:p w:rsidR="00E7609B" w:rsidRPr="009F12D9" w:rsidRDefault="00E7609B" w:rsidP="009F6CFC">
      <w:pPr>
        <w:pStyle w:val="ar-heading1"/>
        <w:keepNext w:val="0"/>
        <w:numPr>
          <w:ilvl w:val="0"/>
          <w:numId w:val="5"/>
        </w:numPr>
        <w:spacing w:before="0" w:after="520"/>
        <w:ind w:firstLine="0"/>
        <w:jc w:val="both"/>
        <w:rPr>
          <w:rFonts w:ascii="Times New Roman" w:hAnsi="Times New Roman"/>
          <w:i w:val="0"/>
          <w:lang w:val="en-US" w:eastAsia="zh-TW"/>
        </w:rPr>
      </w:pPr>
      <w:r w:rsidRPr="009F12D9">
        <w:rPr>
          <w:rFonts w:ascii="Times New Roman" w:hAnsi="Times New Roman"/>
          <w:i w:val="0"/>
          <w:szCs w:val="28"/>
          <w:lang w:eastAsia="zh-TW"/>
        </w:rPr>
        <w:t>原審裁判官指答辯人本人的行為</w:t>
      </w:r>
      <w:r w:rsidRPr="009F12D9">
        <w:rPr>
          <w:rFonts w:ascii="Times New Roman" w:hAnsi="Times New Roman"/>
          <w:i w:val="0"/>
          <w:lang w:eastAsia="zh-TW"/>
        </w:rPr>
        <w:t>不是過於暴力，或意圖傷害他人</w:t>
      </w:r>
      <w:r w:rsidRPr="009F12D9">
        <w:rPr>
          <w:rFonts w:ascii="Times New Roman" w:hAnsi="Times New Roman"/>
          <w:i w:val="0"/>
          <w:szCs w:val="28"/>
          <w:lang w:eastAsia="zh-TW"/>
        </w:rPr>
        <w:t>，是忘記了參與非法集結的控訴要旨。如前述，參與非法集結對公共秩序構成威脅，是因為參與者的共同作為而非個人。</w:t>
      </w:r>
    </w:p>
    <w:p w:rsidR="00E7609B" w:rsidRPr="009F12D9" w:rsidRDefault="00E7609B" w:rsidP="009F6CFC">
      <w:pPr>
        <w:pStyle w:val="ar-heading1"/>
        <w:keepNext w:val="0"/>
        <w:numPr>
          <w:ilvl w:val="0"/>
          <w:numId w:val="5"/>
        </w:numPr>
        <w:spacing w:before="0" w:after="520"/>
        <w:ind w:firstLine="0"/>
        <w:jc w:val="both"/>
        <w:rPr>
          <w:rFonts w:ascii="Times New Roman" w:hAnsi="Times New Roman"/>
          <w:i w:val="0"/>
          <w:lang w:val="en-US" w:eastAsia="zh-TW"/>
        </w:rPr>
      </w:pPr>
      <w:r w:rsidRPr="009F12D9">
        <w:rPr>
          <w:rFonts w:ascii="Times New Roman" w:hAnsi="Times New Roman"/>
          <w:i w:val="0"/>
          <w:szCs w:val="28"/>
          <w:lang w:eastAsia="zh-TW"/>
        </w:rPr>
        <w:t>總括而言，原審裁判官指自己謹記</w:t>
      </w:r>
      <w:r w:rsidRPr="009F12D9">
        <w:rPr>
          <w:rFonts w:ascii="Times New Roman" w:hAnsi="Times New Roman"/>
          <w:szCs w:val="28"/>
          <w:lang w:eastAsia="zh-TW"/>
        </w:rPr>
        <w:t>黃之鋒</w:t>
      </w:r>
      <w:r w:rsidRPr="009F12D9">
        <w:rPr>
          <w:rFonts w:ascii="Times New Roman" w:hAnsi="Times New Roman"/>
          <w:i w:val="0"/>
          <w:szCs w:val="28"/>
          <w:lang w:eastAsia="zh-TW"/>
        </w:rPr>
        <w:t xml:space="preserve"> </w:t>
      </w:r>
      <w:r w:rsidRPr="009F12D9">
        <w:rPr>
          <w:rFonts w:ascii="Times New Roman" w:hAnsi="Times New Roman"/>
          <w:i w:val="0"/>
          <w:szCs w:val="28"/>
          <w:lang w:eastAsia="zh-TW"/>
        </w:rPr>
        <w:t>案所</w:t>
      </w:r>
      <w:proofErr w:type="gramStart"/>
      <w:r w:rsidRPr="009F12D9">
        <w:rPr>
          <w:rFonts w:ascii="Times New Roman" w:hAnsi="Times New Roman"/>
          <w:i w:val="0"/>
          <w:szCs w:val="28"/>
          <w:lang w:eastAsia="zh-TW"/>
        </w:rPr>
        <w:t>釐</w:t>
      </w:r>
      <w:proofErr w:type="gramEnd"/>
      <w:r w:rsidRPr="009F12D9">
        <w:rPr>
          <w:rFonts w:ascii="Times New Roman" w:hAnsi="Times New Roman"/>
          <w:i w:val="0"/>
          <w:szCs w:val="28"/>
          <w:lang w:eastAsia="zh-TW"/>
        </w:rPr>
        <w:t>清的原則，卻因為本案沒有發生肢體衝突和損毀財物而把本案界定為「相對輕微」</w:t>
      </w:r>
      <w:r w:rsidRPr="009F12D9">
        <w:rPr>
          <w:rFonts w:ascii="Times New Roman" w:hAnsi="Times New Roman"/>
          <w:i w:val="0"/>
          <w:lang w:eastAsia="zh-TW"/>
        </w:rPr>
        <w:t>，最終令懲罰和</w:t>
      </w:r>
      <w:proofErr w:type="gramStart"/>
      <w:r w:rsidRPr="009F12D9">
        <w:rPr>
          <w:rFonts w:ascii="Times New Roman" w:hAnsi="Times New Roman"/>
          <w:i w:val="0"/>
          <w:lang w:eastAsia="zh-TW"/>
        </w:rPr>
        <w:t>阻嚇</w:t>
      </w:r>
      <w:proofErr w:type="gramEnd"/>
      <w:r w:rsidRPr="009F12D9">
        <w:rPr>
          <w:rFonts w:ascii="Times New Roman" w:hAnsi="Times New Roman"/>
          <w:i w:val="0"/>
          <w:lang w:eastAsia="zh-TW"/>
        </w:rPr>
        <w:t>兩個元素得不到應有的比重，以致答辯人</w:t>
      </w:r>
      <w:r w:rsidRPr="009F12D9">
        <w:rPr>
          <w:rFonts w:ascii="Times New Roman" w:hAnsi="Times New Roman"/>
          <w:i w:val="0"/>
          <w:szCs w:val="28"/>
          <w:lang w:eastAsia="zh-HK"/>
        </w:rPr>
        <w:t>判</w:t>
      </w:r>
      <w:r w:rsidRPr="009F12D9">
        <w:rPr>
          <w:rFonts w:ascii="Times New Roman" w:hAnsi="Times New Roman"/>
          <w:i w:val="0"/>
          <w:szCs w:val="28"/>
          <w:lang w:eastAsia="zh-TW"/>
        </w:rPr>
        <w:t>刑</w:t>
      </w:r>
      <w:r w:rsidRPr="009F12D9">
        <w:rPr>
          <w:rFonts w:ascii="Times New Roman" w:hAnsi="Times New Roman"/>
          <w:i w:val="0"/>
          <w:lang w:eastAsia="zh-HK"/>
        </w:rPr>
        <w:t>過輕</w:t>
      </w:r>
      <w:r w:rsidRPr="009F12D9">
        <w:rPr>
          <w:rFonts w:ascii="Times New Roman" w:hAnsi="Times New Roman"/>
          <w:i w:val="0"/>
          <w:szCs w:val="28"/>
          <w:lang w:eastAsia="zh-TW"/>
        </w:rPr>
        <w:t>，是對相關原則「口惠而實不致」（</w:t>
      </w:r>
      <w:r w:rsidRPr="009F12D9">
        <w:rPr>
          <w:rFonts w:ascii="Times New Roman" w:hAnsi="Times New Roman"/>
          <w:i w:val="0"/>
          <w:szCs w:val="28"/>
          <w:lang w:eastAsia="zh-TW"/>
        </w:rPr>
        <w:t>pay lip service</w:t>
      </w:r>
      <w:r w:rsidRPr="009F12D9">
        <w:rPr>
          <w:rFonts w:ascii="Times New Roman" w:hAnsi="Times New Roman"/>
          <w:i w:val="0"/>
          <w:szCs w:val="28"/>
          <w:lang w:eastAsia="zh-TW"/>
        </w:rPr>
        <w:t>）。</w:t>
      </w:r>
    </w:p>
    <w:p w:rsidR="007B14B9" w:rsidRPr="009F12D9" w:rsidRDefault="00E7609B" w:rsidP="008C7AD3">
      <w:pPr>
        <w:pStyle w:val="Final"/>
        <w:keepNext/>
        <w:tabs>
          <w:tab w:val="clear" w:pos="1440"/>
          <w:tab w:val="clear" w:pos="4320"/>
          <w:tab w:val="clear" w:pos="9072"/>
          <w:tab w:val="left" w:pos="720"/>
          <w:tab w:val="center" w:pos="4234"/>
          <w:tab w:val="right" w:pos="8453"/>
        </w:tabs>
        <w:spacing w:after="360"/>
        <w:ind w:left="720" w:hanging="720"/>
        <w:rPr>
          <w:i/>
          <w:lang w:eastAsia="zh-TW"/>
        </w:rPr>
      </w:pPr>
      <w:r w:rsidRPr="009F12D9">
        <w:rPr>
          <w:i/>
          <w:lang w:eastAsia="zh-TW"/>
        </w:rPr>
        <w:lastRenderedPageBreak/>
        <w:t xml:space="preserve">F.2 </w:t>
      </w:r>
      <w:r w:rsidRPr="009F12D9">
        <w:rPr>
          <w:i/>
          <w:lang w:eastAsia="zh-TW"/>
        </w:rPr>
        <w:tab/>
      </w:r>
      <w:r w:rsidRPr="009F12D9">
        <w:rPr>
          <w:i/>
          <w:lang w:eastAsia="zh-TW"/>
        </w:rPr>
        <w:t>理據</w:t>
      </w:r>
      <w:r w:rsidRPr="009F12D9">
        <w:rPr>
          <w:i/>
          <w:lang w:eastAsia="zh-HK"/>
        </w:rPr>
        <w:t>二</w:t>
      </w:r>
      <w:r w:rsidRPr="009F12D9">
        <w:rPr>
          <w:i/>
          <w:lang w:eastAsia="zh-TW"/>
        </w:rPr>
        <w:t>：</w:t>
      </w:r>
      <w:r w:rsidRPr="009F12D9">
        <w:rPr>
          <w:i/>
          <w:lang w:val="en-GB" w:eastAsia="zh-TW"/>
        </w:rPr>
        <w:t>原審裁判官</w:t>
      </w:r>
      <w:r w:rsidRPr="009F12D9">
        <w:rPr>
          <w:i/>
          <w:lang w:val="en-GB" w:eastAsia="zh-HK"/>
        </w:rPr>
        <w:t>未有正</w:t>
      </w:r>
      <w:r w:rsidRPr="009F12D9">
        <w:rPr>
          <w:i/>
          <w:lang w:val="en-GB" w:eastAsia="zh-TW"/>
        </w:rPr>
        <w:t>確</w:t>
      </w:r>
      <w:r w:rsidRPr="009F12D9">
        <w:rPr>
          <w:i/>
          <w:lang w:val="en-GB" w:eastAsia="zh-HK"/>
        </w:rPr>
        <w:t>評</w:t>
      </w:r>
      <w:r w:rsidRPr="009F12D9">
        <w:rPr>
          <w:i/>
          <w:lang w:val="en-GB" w:eastAsia="zh-TW"/>
        </w:rPr>
        <w:t>估</w:t>
      </w:r>
      <w:r w:rsidRPr="009F12D9">
        <w:rPr>
          <w:i/>
          <w:szCs w:val="28"/>
          <w:lang w:eastAsia="zh-HK"/>
        </w:rPr>
        <w:t>答</w:t>
      </w:r>
      <w:r w:rsidRPr="009F12D9">
        <w:rPr>
          <w:i/>
          <w:szCs w:val="28"/>
          <w:lang w:eastAsia="zh-TW"/>
        </w:rPr>
        <w:t>辯</w:t>
      </w:r>
      <w:r w:rsidRPr="009F12D9">
        <w:rPr>
          <w:i/>
          <w:szCs w:val="28"/>
          <w:lang w:eastAsia="zh-HK"/>
        </w:rPr>
        <w:t>人的刑</w:t>
      </w:r>
      <w:r w:rsidRPr="009F12D9">
        <w:rPr>
          <w:i/>
          <w:szCs w:val="28"/>
          <w:lang w:eastAsia="zh-TW"/>
        </w:rPr>
        <w:t>責</w:t>
      </w:r>
    </w:p>
    <w:p w:rsidR="009F6CFC" w:rsidRPr="009F12D9" w:rsidRDefault="00E7609B" w:rsidP="009F6CFC">
      <w:pPr>
        <w:pStyle w:val="ar-heading1"/>
        <w:keepNext w:val="0"/>
        <w:numPr>
          <w:ilvl w:val="0"/>
          <w:numId w:val="5"/>
        </w:numPr>
        <w:spacing w:before="0" w:after="520"/>
        <w:ind w:firstLine="0"/>
        <w:jc w:val="both"/>
        <w:rPr>
          <w:rFonts w:ascii="Times New Roman" w:hAnsi="Times New Roman"/>
          <w:i w:val="0"/>
          <w:lang w:val="en-US" w:eastAsia="zh-TW"/>
        </w:rPr>
      </w:pPr>
      <w:r w:rsidRPr="009F12D9">
        <w:rPr>
          <w:rFonts w:ascii="Times New Roman" w:hAnsi="Times New Roman"/>
          <w:i w:val="0"/>
          <w:szCs w:val="28"/>
          <w:lang w:eastAsia="zh-TW"/>
        </w:rPr>
        <w:t>即使先放下參與非法集結的控訴要旨，只討論答辯人的個人行為，</w:t>
      </w:r>
      <w:r w:rsidRPr="009F12D9">
        <w:rPr>
          <w:rFonts w:ascii="Times New Roman" w:hAnsi="Times New Roman"/>
          <w:i w:val="0"/>
          <w:lang w:eastAsia="zh-TW"/>
        </w:rPr>
        <w:t>原審裁判官也嚴重地低估了答辯人</w:t>
      </w:r>
      <w:r w:rsidRPr="009F12D9">
        <w:rPr>
          <w:rFonts w:ascii="Times New Roman" w:hAnsi="Times New Roman"/>
          <w:i w:val="0"/>
          <w:szCs w:val="28"/>
          <w:lang w:eastAsia="zh-HK"/>
        </w:rPr>
        <w:t>的</w:t>
      </w:r>
      <w:r w:rsidRPr="009F12D9">
        <w:rPr>
          <w:rFonts w:ascii="Times New Roman" w:hAnsi="Times New Roman"/>
          <w:i w:val="0"/>
          <w:szCs w:val="28"/>
          <w:lang w:eastAsia="zh-TW"/>
        </w:rPr>
        <w:t>罪責。被原審裁判官忽略的情節</w:t>
      </w:r>
      <w:r w:rsidRPr="009F12D9">
        <w:rPr>
          <w:rFonts w:ascii="Times New Roman" w:hAnsi="Times New Roman"/>
          <w:i w:val="0"/>
          <w:szCs w:val="28"/>
          <w:lang w:eastAsia="zh-HK"/>
        </w:rPr>
        <w:t>包</w:t>
      </w:r>
      <w:r w:rsidRPr="009F12D9">
        <w:rPr>
          <w:rFonts w:ascii="Times New Roman" w:hAnsi="Times New Roman"/>
          <w:i w:val="0"/>
          <w:szCs w:val="28"/>
          <w:lang w:eastAsia="zh-TW"/>
        </w:rPr>
        <w:t>括</w:t>
      </w:r>
      <w:r w:rsidRPr="009F12D9">
        <w:rPr>
          <w:rFonts w:ascii="Times New Roman" w:hAnsi="Times New Roman"/>
          <w:i w:val="0"/>
          <w:lang w:eastAsia="zh-TW"/>
        </w:rPr>
        <w:t>：答辯人</w:t>
      </w:r>
      <w:r w:rsidRPr="009F12D9">
        <w:rPr>
          <w:rFonts w:ascii="Times New Roman" w:hAnsi="Times New Roman"/>
          <w:i w:val="0"/>
          <w:lang w:eastAsia="zh-HK"/>
        </w:rPr>
        <w:t>站在示</w:t>
      </w:r>
      <w:r w:rsidRPr="009F12D9">
        <w:rPr>
          <w:rFonts w:ascii="Times New Roman" w:hAnsi="Times New Roman"/>
          <w:i w:val="0"/>
          <w:lang w:eastAsia="zh-TW"/>
        </w:rPr>
        <w:t>威</w:t>
      </w:r>
      <w:r w:rsidRPr="009F12D9">
        <w:rPr>
          <w:rFonts w:ascii="Times New Roman" w:hAnsi="Times New Roman"/>
          <w:i w:val="0"/>
          <w:lang w:eastAsia="zh-HK"/>
        </w:rPr>
        <w:t>者的最前排</w:t>
      </w:r>
      <w:r w:rsidRPr="009F12D9">
        <w:rPr>
          <w:rFonts w:ascii="Times New Roman" w:hAnsi="Times New Roman"/>
          <w:i w:val="0"/>
          <w:lang w:eastAsia="zh-TW"/>
        </w:rPr>
        <w:t>，</w:t>
      </w:r>
      <w:r w:rsidRPr="009F12D9">
        <w:rPr>
          <w:rFonts w:ascii="Times New Roman" w:hAnsi="Times New Roman"/>
          <w:i w:val="0"/>
          <w:lang w:eastAsia="zh-HK"/>
        </w:rPr>
        <w:t>顯</w:t>
      </w:r>
      <w:r w:rsidRPr="009F12D9">
        <w:rPr>
          <w:rFonts w:ascii="Times New Roman" w:hAnsi="Times New Roman"/>
          <w:i w:val="0"/>
          <w:lang w:eastAsia="zh-TW"/>
        </w:rPr>
        <w:t>示出</w:t>
      </w:r>
      <w:r w:rsidRPr="009F12D9">
        <w:rPr>
          <w:rFonts w:ascii="Times New Roman" w:hAnsi="Times New Roman"/>
          <w:i w:val="0"/>
          <w:lang w:eastAsia="zh-HK"/>
        </w:rPr>
        <w:t>他</w:t>
      </w:r>
      <w:r w:rsidRPr="009F12D9">
        <w:rPr>
          <w:rFonts w:ascii="Times New Roman" w:hAnsi="Times New Roman"/>
          <w:i w:val="0"/>
          <w:lang w:eastAsia="zh-TW"/>
        </w:rPr>
        <w:t>的</w:t>
      </w:r>
      <w:r w:rsidRPr="009F12D9">
        <w:rPr>
          <w:rFonts w:ascii="Times New Roman" w:hAnsi="Times New Roman"/>
          <w:i w:val="0"/>
          <w:lang w:eastAsia="zh-HK"/>
        </w:rPr>
        <w:t>積</w:t>
      </w:r>
      <w:r w:rsidRPr="009F12D9">
        <w:rPr>
          <w:rFonts w:ascii="Times New Roman" w:hAnsi="Times New Roman"/>
          <w:i w:val="0"/>
          <w:lang w:eastAsia="zh-TW"/>
        </w:rPr>
        <w:t>極參</w:t>
      </w:r>
      <w:r w:rsidRPr="009F12D9">
        <w:rPr>
          <w:rFonts w:ascii="Times New Roman" w:hAnsi="Times New Roman"/>
          <w:i w:val="0"/>
          <w:lang w:eastAsia="zh-HK"/>
        </w:rPr>
        <w:t>與</w:t>
      </w:r>
      <w:r w:rsidRPr="009F12D9">
        <w:rPr>
          <w:rFonts w:ascii="Times New Roman" w:hAnsi="Times New Roman"/>
          <w:i w:val="0"/>
          <w:lang w:eastAsia="zh-TW"/>
        </w:rPr>
        <w:t>；答辯人戴帽、蒙面、</w:t>
      </w:r>
      <w:r w:rsidRPr="009F12D9">
        <w:rPr>
          <w:rFonts w:ascii="Times New Roman" w:hAnsi="Times New Roman"/>
          <w:i w:val="0"/>
          <w:lang w:eastAsia="zh-HK"/>
        </w:rPr>
        <w:t>穿深</w:t>
      </w:r>
      <w:r w:rsidRPr="009F12D9">
        <w:rPr>
          <w:rFonts w:ascii="Times New Roman" w:hAnsi="Times New Roman"/>
          <w:i w:val="0"/>
          <w:lang w:eastAsia="zh-TW"/>
        </w:rPr>
        <w:t>色</w:t>
      </w:r>
      <w:r w:rsidRPr="009F12D9">
        <w:rPr>
          <w:rFonts w:ascii="Times New Roman" w:hAnsi="Times New Roman"/>
          <w:i w:val="0"/>
          <w:lang w:eastAsia="zh-HK"/>
        </w:rPr>
        <w:t>衣</w:t>
      </w:r>
      <w:r w:rsidRPr="009F12D9">
        <w:rPr>
          <w:rFonts w:ascii="Times New Roman" w:hAnsi="Times New Roman"/>
          <w:i w:val="0"/>
          <w:lang w:eastAsia="zh-TW"/>
        </w:rPr>
        <w:t>服，可見他是有預謀犯案和一早計劃要隱藏身份；答辯人</w:t>
      </w:r>
      <w:r w:rsidRPr="009F12D9">
        <w:rPr>
          <w:rFonts w:ascii="Times New Roman" w:hAnsi="Times New Roman"/>
          <w:i w:val="0"/>
          <w:lang w:eastAsia="zh-HK"/>
        </w:rPr>
        <w:t>在</w:t>
      </w:r>
      <w:r w:rsidRPr="009F12D9">
        <w:rPr>
          <w:rFonts w:ascii="Times New Roman" w:hAnsi="Times New Roman"/>
          <w:i w:val="0"/>
          <w:lang w:eastAsia="zh-TW"/>
        </w:rPr>
        <w:t>雙方</w:t>
      </w:r>
      <w:r w:rsidRPr="009F12D9">
        <w:rPr>
          <w:rFonts w:ascii="Times New Roman" w:hAnsi="Times New Roman"/>
          <w:i w:val="0"/>
          <w:lang w:eastAsia="zh-HK"/>
        </w:rPr>
        <w:t>對</w:t>
      </w:r>
      <w:r w:rsidRPr="009F12D9">
        <w:rPr>
          <w:rFonts w:ascii="Times New Roman" w:hAnsi="Times New Roman"/>
          <w:i w:val="0"/>
          <w:lang w:eastAsia="zh-TW"/>
        </w:rPr>
        <w:t>峙</w:t>
      </w:r>
      <w:r w:rsidRPr="009F12D9">
        <w:rPr>
          <w:rFonts w:ascii="Times New Roman" w:hAnsi="Times New Roman"/>
          <w:i w:val="0"/>
          <w:lang w:eastAsia="zh-HK"/>
        </w:rPr>
        <w:t>期</w:t>
      </w:r>
      <w:r w:rsidRPr="009F12D9">
        <w:rPr>
          <w:rFonts w:ascii="Times New Roman" w:hAnsi="Times New Roman"/>
          <w:i w:val="0"/>
          <w:lang w:eastAsia="zh-TW"/>
        </w:rPr>
        <w:t>間</w:t>
      </w:r>
      <w:r w:rsidRPr="009F12D9">
        <w:rPr>
          <w:rFonts w:ascii="Times New Roman" w:hAnsi="Times New Roman"/>
          <w:i w:val="0"/>
          <w:lang w:eastAsia="zh-HK"/>
        </w:rPr>
        <w:t>投</w:t>
      </w:r>
      <w:r w:rsidRPr="009F12D9">
        <w:rPr>
          <w:rFonts w:ascii="Times New Roman" w:hAnsi="Times New Roman"/>
          <w:i w:val="0"/>
          <w:lang w:eastAsia="zh-TW"/>
        </w:rPr>
        <w:t>擲</w:t>
      </w:r>
      <w:r w:rsidRPr="009F12D9">
        <w:rPr>
          <w:rFonts w:ascii="Times New Roman" w:hAnsi="Times New Roman"/>
          <w:i w:val="0"/>
          <w:lang w:eastAsia="zh-HK"/>
        </w:rPr>
        <w:t>麻包袋</w:t>
      </w:r>
      <w:r w:rsidRPr="009F12D9">
        <w:rPr>
          <w:rFonts w:ascii="Times New Roman" w:hAnsi="Times New Roman"/>
          <w:i w:val="0"/>
          <w:lang w:eastAsia="zh-TW"/>
        </w:rPr>
        <w:t>，</w:t>
      </w:r>
      <w:r w:rsidRPr="009F12D9">
        <w:rPr>
          <w:rFonts w:ascii="Times New Roman" w:hAnsi="Times New Roman"/>
          <w:i w:val="0"/>
          <w:lang w:eastAsia="zh-HK"/>
        </w:rPr>
        <w:t>是</w:t>
      </w:r>
      <w:r w:rsidRPr="009F12D9">
        <w:rPr>
          <w:rFonts w:ascii="Times New Roman" w:hAnsi="Times New Roman"/>
          <w:i w:val="0"/>
          <w:lang w:eastAsia="zh-TW"/>
        </w:rPr>
        <w:t>極具</w:t>
      </w:r>
      <w:r w:rsidRPr="009F12D9">
        <w:rPr>
          <w:rFonts w:ascii="Times New Roman" w:hAnsi="Times New Roman"/>
          <w:i w:val="0"/>
          <w:lang w:eastAsia="zh-HK"/>
        </w:rPr>
        <w:t>挑</w:t>
      </w:r>
      <w:r w:rsidRPr="009F12D9">
        <w:rPr>
          <w:rFonts w:ascii="Times New Roman" w:hAnsi="Times New Roman"/>
          <w:i w:val="0"/>
          <w:lang w:eastAsia="zh-TW"/>
        </w:rPr>
        <w:t>釁性</w:t>
      </w:r>
      <w:r w:rsidRPr="009F12D9">
        <w:rPr>
          <w:rFonts w:ascii="Times New Roman" w:hAnsi="Times New Roman"/>
          <w:i w:val="0"/>
          <w:lang w:eastAsia="zh-HK"/>
        </w:rPr>
        <w:t>的行</w:t>
      </w:r>
      <w:r w:rsidRPr="009F12D9">
        <w:rPr>
          <w:rFonts w:ascii="Times New Roman" w:hAnsi="Times New Roman"/>
          <w:i w:val="0"/>
          <w:lang w:eastAsia="zh-TW"/>
        </w:rPr>
        <w:t>為</w:t>
      </w:r>
      <w:r w:rsidR="009F6CFC" w:rsidRPr="009F12D9">
        <w:rPr>
          <w:rFonts w:ascii="Times New Roman" w:hAnsi="Times New Roman"/>
          <w:i w:val="0"/>
          <w:szCs w:val="28"/>
          <w:lang w:eastAsia="zh-TW"/>
        </w:rPr>
        <w:t>。</w:t>
      </w:r>
    </w:p>
    <w:p w:rsidR="00E7609B" w:rsidRPr="009F12D9" w:rsidRDefault="00E7609B" w:rsidP="00E7609B">
      <w:pPr>
        <w:pStyle w:val="Final"/>
        <w:keepNext/>
        <w:tabs>
          <w:tab w:val="clear" w:pos="1440"/>
          <w:tab w:val="clear" w:pos="4320"/>
          <w:tab w:val="clear" w:pos="9072"/>
          <w:tab w:val="left" w:pos="720"/>
          <w:tab w:val="center" w:pos="4234"/>
          <w:tab w:val="right" w:pos="8453"/>
        </w:tabs>
        <w:spacing w:after="360"/>
        <w:ind w:left="720" w:hanging="720"/>
        <w:rPr>
          <w:i/>
          <w:lang w:eastAsia="zh-TW"/>
        </w:rPr>
      </w:pPr>
      <w:r w:rsidRPr="009F12D9">
        <w:rPr>
          <w:i/>
          <w:lang w:eastAsia="zh-TW"/>
        </w:rPr>
        <w:t xml:space="preserve">F.3 </w:t>
      </w:r>
      <w:r w:rsidRPr="009F12D9">
        <w:rPr>
          <w:i/>
          <w:lang w:eastAsia="zh-TW"/>
        </w:rPr>
        <w:tab/>
      </w:r>
      <w:r w:rsidRPr="009F12D9">
        <w:rPr>
          <w:i/>
          <w:lang w:eastAsia="zh-TW"/>
        </w:rPr>
        <w:t>理據</w:t>
      </w:r>
      <w:r w:rsidRPr="009F12D9">
        <w:rPr>
          <w:i/>
          <w:lang w:eastAsia="zh-HK"/>
        </w:rPr>
        <w:t>三</w:t>
      </w:r>
      <w:r w:rsidRPr="009F12D9">
        <w:rPr>
          <w:i/>
          <w:lang w:eastAsia="zh-TW"/>
        </w:rPr>
        <w:t>：考慮到整體案情，</w:t>
      </w:r>
      <w:r w:rsidRPr="009F12D9">
        <w:rPr>
          <w:i/>
          <w:lang w:eastAsia="zh-HK"/>
        </w:rPr>
        <w:t>社</w:t>
      </w:r>
      <w:r w:rsidRPr="009F12D9">
        <w:rPr>
          <w:i/>
          <w:lang w:eastAsia="zh-TW"/>
        </w:rPr>
        <w:t>會</w:t>
      </w:r>
      <w:r w:rsidRPr="009F12D9">
        <w:rPr>
          <w:i/>
          <w:lang w:eastAsia="zh-HK"/>
        </w:rPr>
        <w:t>服</w:t>
      </w:r>
      <w:r w:rsidRPr="009F12D9">
        <w:rPr>
          <w:i/>
          <w:lang w:eastAsia="zh-TW"/>
        </w:rPr>
        <w:t>務</w:t>
      </w:r>
      <w:r w:rsidRPr="009F12D9">
        <w:rPr>
          <w:i/>
          <w:lang w:eastAsia="zh-HK"/>
        </w:rPr>
        <w:t>令</w:t>
      </w:r>
      <w:r w:rsidRPr="009F12D9">
        <w:rPr>
          <w:i/>
          <w:lang w:eastAsia="zh-TW"/>
        </w:rPr>
        <w:t>的判刑，實屬原則有錯和明顯</w:t>
      </w:r>
      <w:r w:rsidRPr="009F12D9">
        <w:rPr>
          <w:i/>
          <w:lang w:eastAsia="zh-HK"/>
        </w:rPr>
        <w:t>不足</w:t>
      </w:r>
    </w:p>
    <w:p w:rsidR="009F6CFC" w:rsidRPr="009F12D9" w:rsidRDefault="00E7609B" w:rsidP="009F6CFC">
      <w:pPr>
        <w:pStyle w:val="ar-heading1"/>
        <w:keepNext w:val="0"/>
        <w:numPr>
          <w:ilvl w:val="0"/>
          <w:numId w:val="5"/>
        </w:numPr>
        <w:spacing w:before="0" w:after="520"/>
        <w:ind w:firstLine="0"/>
        <w:jc w:val="both"/>
        <w:rPr>
          <w:rFonts w:ascii="Times New Roman" w:hAnsi="Times New Roman"/>
          <w:i w:val="0"/>
          <w:lang w:val="en-US" w:eastAsia="zh-TW"/>
        </w:rPr>
      </w:pPr>
      <w:r w:rsidRPr="009F12D9">
        <w:rPr>
          <w:rFonts w:ascii="Times New Roman" w:hAnsi="Times New Roman"/>
          <w:i w:val="0"/>
          <w:szCs w:val="28"/>
          <w:lang w:eastAsia="zh-TW"/>
        </w:rPr>
        <w:t>根據案例：除非案中有非常特殊和實為罕見的情況，否則判處明顯要以懲罰和</w:t>
      </w:r>
      <w:proofErr w:type="gramStart"/>
      <w:r w:rsidRPr="009F12D9">
        <w:rPr>
          <w:rFonts w:ascii="Times New Roman" w:hAnsi="Times New Roman"/>
          <w:i w:val="0"/>
          <w:szCs w:val="28"/>
          <w:lang w:eastAsia="zh-TW"/>
        </w:rPr>
        <w:t>阻嚇</w:t>
      </w:r>
      <w:proofErr w:type="gramEnd"/>
      <w:r w:rsidRPr="009F12D9">
        <w:rPr>
          <w:rFonts w:ascii="Times New Roman" w:hAnsi="Times New Roman"/>
          <w:i w:val="0"/>
          <w:szCs w:val="28"/>
          <w:lang w:eastAsia="zh-TW"/>
        </w:rPr>
        <w:t>為主要目的</w:t>
      </w:r>
      <w:proofErr w:type="gramStart"/>
      <w:r w:rsidRPr="009F12D9">
        <w:rPr>
          <w:rFonts w:ascii="Times New Roman" w:hAnsi="Times New Roman"/>
          <w:i w:val="0"/>
          <w:szCs w:val="28"/>
          <w:lang w:eastAsia="zh-TW"/>
        </w:rPr>
        <w:t>的</w:t>
      </w:r>
      <w:proofErr w:type="gramEnd"/>
      <w:r w:rsidRPr="009F12D9">
        <w:rPr>
          <w:rFonts w:ascii="Times New Roman" w:hAnsi="Times New Roman"/>
          <w:i w:val="0"/>
          <w:szCs w:val="28"/>
          <w:lang w:eastAsia="zh-TW"/>
        </w:rPr>
        <w:t>罪行，即時拘禁以外的刑罰都不是合適的刑罰</w:t>
      </w:r>
      <w:r w:rsidRPr="009F12D9">
        <w:rPr>
          <w:rStyle w:val="FootnoteReference"/>
          <w:i w:val="0"/>
          <w:szCs w:val="28"/>
        </w:rPr>
        <w:footnoteReference w:id="25"/>
      </w:r>
      <w:r w:rsidRPr="009F12D9">
        <w:rPr>
          <w:rFonts w:ascii="Times New Roman" w:hAnsi="Times New Roman"/>
          <w:i w:val="0"/>
          <w:szCs w:val="28"/>
          <w:lang w:eastAsia="zh-TW"/>
        </w:rPr>
        <w:t>；即使被告適合，但對於明顯要處以</w:t>
      </w:r>
      <w:proofErr w:type="gramStart"/>
      <w:r w:rsidRPr="009F12D9">
        <w:rPr>
          <w:rFonts w:ascii="Times New Roman" w:hAnsi="Times New Roman"/>
          <w:i w:val="0"/>
          <w:szCs w:val="28"/>
          <w:lang w:eastAsia="zh-TW"/>
        </w:rPr>
        <w:t>阻嚇性刑罰</w:t>
      </w:r>
      <w:proofErr w:type="gramEnd"/>
      <w:r w:rsidRPr="009F12D9">
        <w:rPr>
          <w:rFonts w:ascii="Times New Roman" w:hAnsi="Times New Roman"/>
          <w:i w:val="0"/>
          <w:szCs w:val="28"/>
          <w:lang w:eastAsia="zh-TW"/>
        </w:rPr>
        <w:t>的罪行，法庭一般都不宜判處社會服務令</w:t>
      </w:r>
      <w:r w:rsidRPr="009F12D9">
        <w:rPr>
          <w:rStyle w:val="FootnoteReference"/>
          <w:i w:val="0"/>
          <w:szCs w:val="28"/>
        </w:rPr>
        <w:footnoteReference w:id="26"/>
      </w:r>
      <w:r w:rsidRPr="009F12D9">
        <w:rPr>
          <w:rFonts w:ascii="Times New Roman" w:hAnsi="Times New Roman"/>
          <w:i w:val="0"/>
          <w:szCs w:val="28"/>
          <w:lang w:eastAsia="zh-TW"/>
        </w:rPr>
        <w:t>；品格良好和有悔意，一般都不是不判處</w:t>
      </w:r>
      <w:proofErr w:type="gramStart"/>
      <w:r w:rsidRPr="009F12D9">
        <w:rPr>
          <w:rFonts w:ascii="Times New Roman" w:hAnsi="Times New Roman"/>
          <w:i w:val="0"/>
          <w:szCs w:val="28"/>
          <w:lang w:eastAsia="zh-TW"/>
        </w:rPr>
        <w:t>阻嚇性刑罰</w:t>
      </w:r>
      <w:proofErr w:type="gramEnd"/>
      <w:r w:rsidRPr="009F12D9">
        <w:rPr>
          <w:rFonts w:ascii="Times New Roman" w:hAnsi="Times New Roman"/>
          <w:i w:val="0"/>
          <w:szCs w:val="28"/>
          <w:lang w:eastAsia="zh-TW"/>
        </w:rPr>
        <w:t>的理由</w:t>
      </w:r>
      <w:r w:rsidRPr="009F12D9">
        <w:rPr>
          <w:rStyle w:val="FootnoteReference"/>
          <w:i w:val="0"/>
          <w:szCs w:val="28"/>
        </w:rPr>
        <w:footnoteReference w:id="27"/>
      </w:r>
      <w:r w:rsidRPr="009F12D9">
        <w:rPr>
          <w:rFonts w:ascii="Times New Roman" w:hAnsi="Times New Roman"/>
          <w:i w:val="0"/>
          <w:szCs w:val="28"/>
          <w:lang w:eastAsia="zh-TW"/>
        </w:rPr>
        <w:t>；儘管社會服務令被形容為</w:t>
      </w:r>
      <w:r w:rsidRPr="009F12D9">
        <w:rPr>
          <w:rFonts w:ascii="Times New Roman" w:hAnsi="Times New Roman"/>
          <w:i w:val="0"/>
          <w:lang w:eastAsia="zh-TW"/>
        </w:rPr>
        <w:t>「</w:t>
      </w:r>
      <w:r w:rsidRPr="009F12D9">
        <w:rPr>
          <w:rFonts w:ascii="Times New Roman" w:hAnsi="Times New Roman"/>
          <w:i w:val="0"/>
          <w:lang w:eastAsia="zh-HK"/>
        </w:rPr>
        <w:t>不</w:t>
      </w:r>
      <w:r w:rsidRPr="009F12D9">
        <w:rPr>
          <w:rFonts w:ascii="Times New Roman" w:hAnsi="Times New Roman"/>
          <w:i w:val="0"/>
          <w:lang w:eastAsia="zh-TW"/>
        </w:rPr>
        <w:t>是</w:t>
      </w:r>
      <w:r w:rsidRPr="009F12D9">
        <w:rPr>
          <w:rFonts w:ascii="Times New Roman" w:hAnsi="Times New Roman"/>
          <w:i w:val="0"/>
          <w:lang w:eastAsia="zh-HK"/>
        </w:rPr>
        <w:t>輕的判罰</w:t>
      </w:r>
      <w:r w:rsidRPr="009F12D9">
        <w:rPr>
          <w:rFonts w:ascii="Times New Roman" w:hAnsi="Times New Roman"/>
          <w:i w:val="0"/>
          <w:lang w:eastAsia="zh-TW"/>
        </w:rPr>
        <w:t>」</w:t>
      </w:r>
      <w:r w:rsidRPr="009F12D9">
        <w:rPr>
          <w:rFonts w:ascii="Times New Roman" w:hAnsi="Times New Roman"/>
          <w:i w:val="0"/>
          <w:szCs w:val="28"/>
          <w:lang w:eastAsia="zh-TW"/>
        </w:rPr>
        <w:t>，但它的懲罰性和</w:t>
      </w:r>
      <w:proofErr w:type="gramStart"/>
      <w:r w:rsidRPr="009F12D9">
        <w:rPr>
          <w:rFonts w:ascii="Times New Roman" w:hAnsi="Times New Roman"/>
          <w:i w:val="0"/>
          <w:szCs w:val="28"/>
          <w:lang w:eastAsia="zh-TW"/>
        </w:rPr>
        <w:t>阻嚇</w:t>
      </w:r>
      <w:proofErr w:type="gramEnd"/>
      <w:r w:rsidRPr="009F12D9">
        <w:rPr>
          <w:rFonts w:ascii="Times New Roman" w:hAnsi="Times New Roman"/>
          <w:i w:val="0"/>
          <w:szCs w:val="28"/>
          <w:lang w:eastAsia="zh-TW"/>
        </w:rPr>
        <w:t>力卻確實比即時監禁輕</w:t>
      </w:r>
      <w:r w:rsidRPr="009F12D9">
        <w:rPr>
          <w:rStyle w:val="FootnoteReference"/>
          <w:i w:val="0"/>
          <w:szCs w:val="28"/>
        </w:rPr>
        <w:footnoteReference w:id="28"/>
      </w:r>
      <w:r w:rsidRPr="009F12D9">
        <w:rPr>
          <w:rFonts w:ascii="Times New Roman" w:hAnsi="Times New Roman"/>
          <w:i w:val="0"/>
          <w:szCs w:val="28"/>
          <w:lang w:eastAsia="zh-TW"/>
        </w:rPr>
        <w:t>；就算沒有前科者不應被處以</w:t>
      </w:r>
      <w:proofErr w:type="gramStart"/>
      <w:r w:rsidRPr="009F12D9">
        <w:rPr>
          <w:rFonts w:ascii="Times New Roman" w:hAnsi="Times New Roman"/>
          <w:i w:val="0"/>
          <w:szCs w:val="28"/>
          <w:lang w:eastAsia="zh-TW"/>
        </w:rPr>
        <w:t>阻嚇性刑罰</w:t>
      </w:r>
      <w:proofErr w:type="gramEnd"/>
      <w:r w:rsidRPr="009F12D9">
        <w:rPr>
          <w:rFonts w:ascii="Times New Roman" w:hAnsi="Times New Roman"/>
          <w:i w:val="0"/>
          <w:szCs w:val="28"/>
          <w:lang w:eastAsia="zh-TW"/>
        </w:rPr>
        <w:t>的原則確實存在，這原則也不適用於破壞</w:t>
      </w:r>
      <w:r w:rsidRPr="009F12D9">
        <w:rPr>
          <w:rFonts w:ascii="Times New Roman" w:hAnsi="Times New Roman"/>
          <w:i w:val="0"/>
          <w:lang w:eastAsia="zh-TW"/>
        </w:rPr>
        <w:t>公安秩序</w:t>
      </w:r>
      <w:r w:rsidRPr="009F12D9">
        <w:rPr>
          <w:rFonts w:ascii="Times New Roman" w:hAnsi="Times New Roman"/>
          <w:i w:val="0"/>
          <w:lang w:eastAsia="zh-HK"/>
        </w:rPr>
        <w:t>的</w:t>
      </w:r>
      <w:r w:rsidRPr="009F12D9">
        <w:rPr>
          <w:rFonts w:ascii="Times New Roman" w:hAnsi="Times New Roman"/>
          <w:i w:val="0"/>
          <w:lang w:eastAsia="zh-TW"/>
        </w:rPr>
        <w:t>罪行</w:t>
      </w:r>
      <w:r w:rsidRPr="009F12D9">
        <w:rPr>
          <w:rStyle w:val="FootnoteReference"/>
          <w:i w:val="0"/>
        </w:rPr>
        <w:footnoteReference w:id="29"/>
      </w:r>
      <w:r w:rsidR="009F6CFC" w:rsidRPr="009F12D9">
        <w:rPr>
          <w:rFonts w:ascii="Times New Roman" w:hAnsi="Times New Roman"/>
          <w:i w:val="0"/>
          <w:szCs w:val="28"/>
          <w:lang w:eastAsia="zh-TW"/>
        </w:rPr>
        <w:t>。</w:t>
      </w:r>
    </w:p>
    <w:p w:rsidR="009F6CFC" w:rsidRPr="009F12D9" w:rsidRDefault="00F61EFF" w:rsidP="009F6CFC">
      <w:pPr>
        <w:pStyle w:val="ar-heading1"/>
        <w:keepNext w:val="0"/>
        <w:numPr>
          <w:ilvl w:val="0"/>
          <w:numId w:val="5"/>
        </w:numPr>
        <w:spacing w:before="0" w:after="520"/>
        <w:ind w:firstLine="0"/>
        <w:jc w:val="both"/>
        <w:rPr>
          <w:rFonts w:ascii="Times New Roman" w:hAnsi="Times New Roman"/>
          <w:i w:val="0"/>
          <w:lang w:val="en-US" w:eastAsia="zh-TW"/>
        </w:rPr>
      </w:pPr>
      <w:r w:rsidRPr="009F12D9">
        <w:rPr>
          <w:rFonts w:ascii="Times New Roman" w:hAnsi="Times New Roman"/>
          <w:i w:val="0"/>
          <w:lang w:eastAsia="zh-TW"/>
        </w:rPr>
        <w:lastRenderedPageBreak/>
        <w:t>處理本案，明顯需要以懲罰和</w:t>
      </w:r>
      <w:proofErr w:type="gramStart"/>
      <w:r w:rsidRPr="009F12D9">
        <w:rPr>
          <w:rFonts w:ascii="Times New Roman" w:hAnsi="Times New Roman"/>
          <w:i w:val="0"/>
          <w:lang w:eastAsia="zh-TW"/>
        </w:rPr>
        <w:t>阻嚇</w:t>
      </w:r>
      <w:proofErr w:type="gramEnd"/>
      <w:r w:rsidRPr="009F12D9">
        <w:rPr>
          <w:rFonts w:ascii="Times New Roman" w:hAnsi="Times New Roman"/>
          <w:i w:val="0"/>
          <w:lang w:eastAsia="zh-TW"/>
        </w:rPr>
        <w:t>為主要目的。此外本案也沒有案例所指的</w:t>
      </w:r>
      <w:r w:rsidRPr="009F12D9">
        <w:rPr>
          <w:rFonts w:ascii="Times New Roman" w:hAnsi="Times New Roman"/>
          <w:i w:val="0"/>
          <w:szCs w:val="28"/>
          <w:lang w:eastAsia="zh-TW"/>
        </w:rPr>
        <w:t>特殊和罕有情況</w:t>
      </w:r>
      <w:r w:rsidRPr="009F12D9">
        <w:rPr>
          <w:rFonts w:ascii="Times New Roman" w:hAnsi="Times New Roman"/>
          <w:i w:val="0"/>
          <w:lang w:eastAsia="zh-TW"/>
        </w:rPr>
        <w:t>。在這個</w:t>
      </w:r>
      <w:proofErr w:type="gramStart"/>
      <w:r w:rsidRPr="009F12D9">
        <w:rPr>
          <w:rFonts w:ascii="Times New Roman" w:hAnsi="Times New Roman"/>
          <w:i w:val="0"/>
          <w:lang w:eastAsia="zh-TW"/>
        </w:rPr>
        <w:t>情形下判罰</w:t>
      </w:r>
      <w:proofErr w:type="gramEnd"/>
      <w:r w:rsidRPr="009F12D9">
        <w:rPr>
          <w:rFonts w:ascii="Times New Roman" w:hAnsi="Times New Roman"/>
          <w:i w:val="0"/>
          <w:lang w:eastAsia="zh-TW"/>
        </w:rPr>
        <w:t>社會服務令，實屬原則有錯和明顯</w:t>
      </w:r>
      <w:r w:rsidRPr="009F12D9">
        <w:rPr>
          <w:rFonts w:ascii="Times New Roman" w:hAnsi="Times New Roman"/>
          <w:i w:val="0"/>
          <w:lang w:eastAsia="zh-HK"/>
        </w:rPr>
        <w:t>不足</w:t>
      </w:r>
      <w:r w:rsidR="009F6CFC" w:rsidRPr="009F12D9">
        <w:rPr>
          <w:rFonts w:ascii="Times New Roman" w:hAnsi="Times New Roman"/>
          <w:i w:val="0"/>
          <w:szCs w:val="28"/>
          <w:lang w:eastAsia="zh-TW"/>
        </w:rPr>
        <w:t>。</w:t>
      </w:r>
    </w:p>
    <w:p w:rsidR="00B042D1" w:rsidRPr="009F12D9" w:rsidRDefault="00F61EFF" w:rsidP="008C7AD3">
      <w:pPr>
        <w:pStyle w:val="Final"/>
        <w:keepNext/>
        <w:tabs>
          <w:tab w:val="clear" w:pos="1440"/>
          <w:tab w:val="clear" w:pos="4320"/>
          <w:tab w:val="clear" w:pos="9072"/>
          <w:tab w:val="left" w:pos="720"/>
          <w:tab w:val="center" w:pos="4234"/>
          <w:tab w:val="right" w:pos="8453"/>
        </w:tabs>
        <w:spacing w:after="360"/>
        <w:ind w:left="720" w:hanging="720"/>
        <w:rPr>
          <w:i/>
          <w:lang w:eastAsia="zh-TW"/>
        </w:rPr>
      </w:pPr>
      <w:r w:rsidRPr="009F12D9">
        <w:rPr>
          <w:i/>
        </w:rPr>
        <w:t>G</w:t>
      </w:r>
      <w:r w:rsidRPr="009F12D9">
        <w:rPr>
          <w:i/>
          <w:lang w:eastAsia="zh-TW"/>
        </w:rPr>
        <w:t>.</w:t>
      </w:r>
      <w:r w:rsidRPr="009F12D9">
        <w:rPr>
          <w:i/>
        </w:rPr>
        <w:t xml:space="preserve"> </w:t>
      </w:r>
      <w:r w:rsidRPr="009F12D9">
        <w:rPr>
          <w:i/>
        </w:rPr>
        <w:tab/>
      </w:r>
      <w:r w:rsidRPr="009F12D9">
        <w:rPr>
          <w:i/>
          <w:lang w:eastAsia="zh-HK"/>
        </w:rPr>
        <w:t>答</w:t>
      </w:r>
      <w:r w:rsidRPr="009F12D9">
        <w:rPr>
          <w:i/>
          <w:lang w:eastAsia="zh-TW"/>
        </w:rPr>
        <w:t>辯</w:t>
      </w:r>
      <w:r w:rsidRPr="009F12D9">
        <w:rPr>
          <w:i/>
          <w:lang w:eastAsia="zh-HK"/>
        </w:rPr>
        <w:t>人</w:t>
      </w:r>
      <w:r w:rsidRPr="009F12D9">
        <w:rPr>
          <w:bCs/>
          <w:i/>
          <w:lang w:eastAsia="zh-TW"/>
        </w:rPr>
        <w:t>的</w:t>
      </w:r>
      <w:r w:rsidRPr="009F12D9">
        <w:rPr>
          <w:bCs/>
          <w:i/>
        </w:rPr>
        <w:t>回應</w:t>
      </w:r>
    </w:p>
    <w:p w:rsidR="009B233F" w:rsidRPr="009F12D9" w:rsidRDefault="00F61EFF" w:rsidP="009B233F">
      <w:pPr>
        <w:pStyle w:val="ar-heading1"/>
        <w:keepNext w:val="0"/>
        <w:numPr>
          <w:ilvl w:val="0"/>
          <w:numId w:val="5"/>
        </w:numPr>
        <w:spacing w:before="0" w:after="520"/>
        <w:ind w:firstLine="0"/>
        <w:jc w:val="both"/>
        <w:rPr>
          <w:rFonts w:ascii="Times New Roman" w:hAnsi="Times New Roman"/>
          <w:i w:val="0"/>
          <w:lang w:val="en-US" w:eastAsia="zh-TW"/>
        </w:rPr>
      </w:pPr>
      <w:r w:rsidRPr="009F12D9">
        <w:rPr>
          <w:rFonts w:ascii="Times New Roman" w:hAnsi="Times New Roman"/>
          <w:i w:val="0"/>
          <w:lang w:eastAsia="zh-HK"/>
        </w:rPr>
        <w:t>梁嘉善</w:t>
      </w:r>
      <w:r w:rsidRPr="009F12D9">
        <w:rPr>
          <w:rFonts w:ascii="Times New Roman" w:hAnsi="Times New Roman"/>
          <w:i w:val="0"/>
          <w:lang w:eastAsia="zh-TW"/>
        </w:rPr>
        <w:t>大律師是原審時的辯方大律師，她和</w:t>
      </w:r>
      <w:r w:rsidRPr="009F12D9">
        <w:rPr>
          <w:rFonts w:ascii="Times New Roman" w:hAnsi="Times New Roman"/>
          <w:i w:val="0"/>
          <w:lang w:eastAsia="zh-HK"/>
        </w:rPr>
        <w:t>陳偉彥大律</w:t>
      </w:r>
      <w:r w:rsidRPr="009F12D9">
        <w:rPr>
          <w:rFonts w:ascii="Times New Roman" w:hAnsi="Times New Roman"/>
          <w:i w:val="0"/>
          <w:lang w:eastAsia="zh-TW"/>
        </w:rPr>
        <w:t>師在是次覆核代表答辯人</w:t>
      </w:r>
      <w:r w:rsidR="001A69EB" w:rsidRPr="001A69EB">
        <w:rPr>
          <w:rFonts w:hint="eastAsia"/>
          <w:i w:val="0"/>
          <w:lang w:eastAsia="zh-HK"/>
        </w:rPr>
        <w:t>，但陳大律師未能出席聆</w:t>
      </w:r>
      <w:r w:rsidR="001A69EB" w:rsidRPr="001A69EB">
        <w:rPr>
          <w:rFonts w:hint="eastAsia"/>
          <w:i w:val="0"/>
          <w:lang w:eastAsia="zh-TW"/>
        </w:rPr>
        <w:t>訊</w:t>
      </w:r>
      <w:r w:rsidRPr="009F12D9">
        <w:rPr>
          <w:rFonts w:ascii="Times New Roman" w:hAnsi="Times New Roman"/>
          <w:i w:val="0"/>
          <w:lang w:eastAsia="zh-TW"/>
        </w:rPr>
        <w:t>。答辯人的回應可</w:t>
      </w:r>
      <w:proofErr w:type="gramStart"/>
      <w:r w:rsidRPr="009F12D9">
        <w:rPr>
          <w:rFonts w:ascii="Times New Roman" w:hAnsi="Times New Roman"/>
          <w:i w:val="0"/>
          <w:lang w:eastAsia="zh-TW"/>
        </w:rPr>
        <w:t>撮</w:t>
      </w:r>
      <w:proofErr w:type="gramEnd"/>
      <w:r w:rsidRPr="009F12D9">
        <w:rPr>
          <w:rFonts w:ascii="Times New Roman" w:hAnsi="Times New Roman"/>
          <w:i w:val="0"/>
          <w:lang w:eastAsia="zh-TW"/>
        </w:rPr>
        <w:t>要如下</w:t>
      </w:r>
      <w:r w:rsidR="009B233F" w:rsidRPr="009F12D9">
        <w:rPr>
          <w:rFonts w:ascii="Times New Roman" w:hAnsi="Times New Roman"/>
          <w:i w:val="0"/>
          <w:szCs w:val="28"/>
          <w:lang w:eastAsia="zh-TW"/>
        </w:rPr>
        <w:t>。</w:t>
      </w:r>
    </w:p>
    <w:p w:rsidR="00F61EFF" w:rsidRPr="009F12D9" w:rsidRDefault="00F61EFF" w:rsidP="00F61EFF">
      <w:pPr>
        <w:pStyle w:val="Final"/>
        <w:keepNext/>
        <w:tabs>
          <w:tab w:val="clear" w:pos="1440"/>
          <w:tab w:val="clear" w:pos="4320"/>
          <w:tab w:val="clear" w:pos="9072"/>
          <w:tab w:val="left" w:pos="720"/>
          <w:tab w:val="center" w:pos="4234"/>
          <w:tab w:val="right" w:pos="8453"/>
        </w:tabs>
        <w:spacing w:after="360"/>
        <w:ind w:left="720" w:hanging="720"/>
        <w:rPr>
          <w:i/>
          <w:lang w:eastAsia="zh-TW"/>
        </w:rPr>
      </w:pPr>
      <w:r w:rsidRPr="009F12D9">
        <w:rPr>
          <w:i/>
        </w:rPr>
        <w:t xml:space="preserve">G1. </w:t>
      </w:r>
      <w:r w:rsidRPr="009F12D9">
        <w:rPr>
          <w:i/>
        </w:rPr>
        <w:tab/>
      </w:r>
      <w:r w:rsidRPr="009F12D9">
        <w:rPr>
          <w:i/>
        </w:rPr>
        <w:t>有關覆</w:t>
      </w:r>
      <w:proofErr w:type="gramStart"/>
      <w:r w:rsidRPr="009F12D9">
        <w:rPr>
          <w:i/>
        </w:rPr>
        <w:t>核理由</w:t>
      </w:r>
      <w:proofErr w:type="gramEnd"/>
      <w:r w:rsidRPr="009F12D9">
        <w:rPr>
          <w:i/>
        </w:rPr>
        <w:t>一</w:t>
      </w:r>
    </w:p>
    <w:p w:rsidR="009B233F" w:rsidRPr="009F12D9" w:rsidRDefault="00F61EFF" w:rsidP="009B233F">
      <w:pPr>
        <w:pStyle w:val="ar-heading1"/>
        <w:keepNext w:val="0"/>
        <w:numPr>
          <w:ilvl w:val="0"/>
          <w:numId w:val="5"/>
        </w:numPr>
        <w:spacing w:before="0" w:after="520"/>
        <w:ind w:firstLine="0"/>
        <w:jc w:val="both"/>
        <w:rPr>
          <w:rFonts w:ascii="Times New Roman" w:hAnsi="Times New Roman"/>
          <w:i w:val="0"/>
          <w:lang w:val="en-US" w:eastAsia="zh-TW"/>
        </w:rPr>
      </w:pPr>
      <w:r w:rsidRPr="009F12D9">
        <w:rPr>
          <w:rFonts w:ascii="Times New Roman" w:hAnsi="Times New Roman"/>
          <w:i w:val="0"/>
          <w:lang w:eastAsia="zh-TW"/>
        </w:rPr>
        <w:t>原審裁判官已</w:t>
      </w:r>
      <w:r w:rsidRPr="009F12D9">
        <w:rPr>
          <w:rFonts w:ascii="Times New Roman" w:hAnsi="Times New Roman"/>
          <w:i w:val="0"/>
          <w:lang w:eastAsia="zh-HK"/>
        </w:rPr>
        <w:t>全</w:t>
      </w:r>
      <w:r w:rsidRPr="009F12D9">
        <w:rPr>
          <w:rFonts w:ascii="Times New Roman" w:hAnsi="Times New Roman"/>
          <w:i w:val="0"/>
          <w:lang w:eastAsia="zh-TW"/>
        </w:rPr>
        <w:t>面審視過本案的案情，他扼要地指出案中的關鍵情節，例如是人數和示威者的行為等等。基於這些情節，原審裁判官認定涉案的非法集結「</w:t>
      </w:r>
      <w:r w:rsidRPr="009F12D9">
        <w:rPr>
          <w:rFonts w:ascii="Times New Roman" w:hAnsi="Times New Roman"/>
          <w:i w:val="0"/>
          <w:lang w:eastAsia="zh-HK"/>
        </w:rPr>
        <w:t>溫</w:t>
      </w:r>
      <w:r w:rsidRPr="009F12D9">
        <w:rPr>
          <w:rFonts w:ascii="Times New Roman" w:hAnsi="Times New Roman"/>
          <w:i w:val="0"/>
          <w:lang w:eastAsia="zh-TW"/>
        </w:rPr>
        <w:t>和」和「不涉及暴力」，是他</w:t>
      </w:r>
      <w:proofErr w:type="gramStart"/>
      <w:r w:rsidRPr="009F12D9">
        <w:rPr>
          <w:rFonts w:ascii="Times New Roman" w:hAnsi="Times New Roman"/>
          <w:i w:val="0"/>
          <w:lang w:eastAsia="zh-TW"/>
        </w:rPr>
        <w:t>有權達致</w:t>
      </w:r>
      <w:proofErr w:type="gramEnd"/>
      <w:r w:rsidRPr="009F12D9">
        <w:rPr>
          <w:rFonts w:ascii="Times New Roman" w:hAnsi="Times New Roman"/>
          <w:i w:val="0"/>
          <w:lang w:eastAsia="zh-TW"/>
        </w:rPr>
        <w:t>的結論，而且得到控方的確認。除非這個結論導致判刑明顯不足，否則上訴法庭無權把自己的結論換上並重新判刑</w:t>
      </w:r>
      <w:r w:rsidRPr="009F12D9">
        <w:rPr>
          <w:rStyle w:val="FootnoteReference"/>
          <w:i w:val="0"/>
        </w:rPr>
        <w:footnoteReference w:id="30"/>
      </w:r>
      <w:r w:rsidR="009B233F" w:rsidRPr="009F12D9">
        <w:rPr>
          <w:rFonts w:ascii="Times New Roman" w:hAnsi="Times New Roman"/>
          <w:i w:val="0"/>
          <w:szCs w:val="28"/>
          <w:lang w:eastAsia="zh-TW"/>
        </w:rPr>
        <w:t>。</w:t>
      </w:r>
    </w:p>
    <w:p w:rsidR="009B233F" w:rsidRPr="009F12D9" w:rsidRDefault="00F61EFF" w:rsidP="009B233F">
      <w:pPr>
        <w:pStyle w:val="ar-heading1"/>
        <w:keepNext w:val="0"/>
        <w:numPr>
          <w:ilvl w:val="0"/>
          <w:numId w:val="5"/>
        </w:numPr>
        <w:spacing w:before="0" w:after="520"/>
        <w:ind w:firstLine="0"/>
        <w:jc w:val="both"/>
        <w:rPr>
          <w:rFonts w:ascii="Times New Roman" w:hAnsi="Times New Roman"/>
          <w:i w:val="0"/>
          <w:lang w:val="en-US" w:eastAsia="zh-TW"/>
        </w:rPr>
      </w:pPr>
      <w:r w:rsidRPr="009F12D9">
        <w:rPr>
          <w:rFonts w:ascii="Times New Roman" w:hAnsi="Times New Roman"/>
          <w:i w:val="0"/>
          <w:lang w:eastAsia="zh-TW"/>
        </w:rPr>
        <w:t>上訴法庭在</w:t>
      </w:r>
      <w:r w:rsidRPr="009F12D9">
        <w:rPr>
          <w:rFonts w:ascii="Times New Roman" w:hAnsi="Times New Roman"/>
          <w:lang w:eastAsia="zh-TW"/>
        </w:rPr>
        <w:t>黃之鋒</w:t>
      </w:r>
      <w:r w:rsidRPr="009F12D9">
        <w:rPr>
          <w:rFonts w:ascii="Times New Roman" w:hAnsi="Times New Roman"/>
          <w:i w:val="0"/>
          <w:lang w:eastAsia="zh-TW"/>
        </w:rPr>
        <w:t xml:space="preserve"> </w:t>
      </w:r>
      <w:r w:rsidRPr="009F12D9">
        <w:rPr>
          <w:rFonts w:ascii="Times New Roman" w:hAnsi="Times New Roman"/>
          <w:i w:val="0"/>
          <w:lang w:eastAsia="zh-TW"/>
        </w:rPr>
        <w:t>案定下的原則，只適用於涉及暴力的非法集結，終審法院在處理該案時也沒有超出這個範圍。由於暴力的一般解釋是使用武力襲擊他人或損毀財物，但襲擊他人和損毀財物的情況卻沒有在本案出現，所以</w:t>
      </w:r>
      <w:r w:rsidRPr="009F12D9">
        <w:rPr>
          <w:rFonts w:ascii="Times New Roman" w:hAnsi="Times New Roman"/>
          <w:lang w:eastAsia="zh-TW"/>
        </w:rPr>
        <w:t>黃之鋒</w:t>
      </w:r>
      <w:r w:rsidRPr="009F12D9">
        <w:rPr>
          <w:rFonts w:ascii="Times New Roman" w:hAnsi="Times New Roman"/>
          <w:i w:val="0"/>
          <w:lang w:eastAsia="zh-TW"/>
        </w:rPr>
        <w:t xml:space="preserve"> </w:t>
      </w:r>
      <w:r w:rsidRPr="009F12D9">
        <w:rPr>
          <w:rFonts w:ascii="Times New Roman" w:hAnsi="Times New Roman"/>
          <w:i w:val="0"/>
          <w:lang w:eastAsia="zh-TW"/>
        </w:rPr>
        <w:t>案的原則不適用</w:t>
      </w:r>
      <w:r w:rsidR="009B233F" w:rsidRPr="009F12D9">
        <w:rPr>
          <w:rFonts w:ascii="Times New Roman" w:hAnsi="Times New Roman"/>
          <w:i w:val="0"/>
          <w:szCs w:val="28"/>
          <w:lang w:eastAsia="zh-TW"/>
        </w:rPr>
        <w:t>。</w:t>
      </w:r>
    </w:p>
    <w:p w:rsidR="00B042D1" w:rsidRPr="009F12D9" w:rsidRDefault="00D44878" w:rsidP="00B042D1">
      <w:pPr>
        <w:pStyle w:val="ar-heading1"/>
        <w:keepNext w:val="0"/>
        <w:numPr>
          <w:ilvl w:val="0"/>
          <w:numId w:val="5"/>
        </w:numPr>
        <w:spacing w:before="0" w:after="520"/>
        <w:ind w:firstLine="0"/>
        <w:jc w:val="both"/>
        <w:rPr>
          <w:rFonts w:ascii="Times New Roman" w:hAnsi="Times New Roman"/>
          <w:i w:val="0"/>
          <w:lang w:val="en-US" w:eastAsia="zh-TW"/>
        </w:rPr>
      </w:pPr>
      <w:r w:rsidRPr="009F12D9">
        <w:rPr>
          <w:rFonts w:ascii="Times New Roman" w:hAnsi="Times New Roman"/>
          <w:i w:val="0"/>
          <w:lang w:eastAsia="zh-TW"/>
        </w:rPr>
        <w:lastRenderedPageBreak/>
        <w:t>本案的非法集結，儘管規模較大、參與群眾的情緒高漲，和有人蒙面。但參與者人數眾多和</w:t>
      </w:r>
      <w:proofErr w:type="gramStart"/>
      <w:r w:rsidRPr="009F12D9">
        <w:rPr>
          <w:rFonts w:ascii="Times New Roman" w:hAnsi="Times New Roman"/>
          <w:i w:val="0"/>
          <w:lang w:eastAsia="zh-TW"/>
        </w:rPr>
        <w:t>恃著</w:t>
      </w:r>
      <w:proofErr w:type="gramEnd"/>
      <w:r w:rsidRPr="009F12D9">
        <w:rPr>
          <w:rFonts w:ascii="Times New Roman" w:hAnsi="Times New Roman"/>
          <w:i w:val="0"/>
          <w:lang w:eastAsia="zh-TW"/>
        </w:rPr>
        <w:t>人多勢眾來達致共同目的，是所有非法集結的共通點，亦為公共秩序受威脅的主因，所以光是人多、蒙面和情緒越加高漲本身，</w:t>
      </w:r>
      <w:proofErr w:type="gramStart"/>
      <w:r w:rsidRPr="009F12D9">
        <w:rPr>
          <w:rFonts w:ascii="Times New Roman" w:hAnsi="Times New Roman"/>
          <w:i w:val="0"/>
          <w:lang w:eastAsia="zh-TW"/>
        </w:rPr>
        <w:t>不</w:t>
      </w:r>
      <w:proofErr w:type="gramEnd"/>
      <w:r w:rsidRPr="009F12D9">
        <w:rPr>
          <w:rFonts w:ascii="Times New Roman" w:hAnsi="Times New Roman"/>
          <w:i w:val="0"/>
          <w:lang w:eastAsia="zh-TW"/>
        </w:rPr>
        <w:t>會令某個非法集結變得特別嚴重。</w:t>
      </w:r>
      <w:proofErr w:type="gramStart"/>
      <w:r w:rsidRPr="009F12D9">
        <w:rPr>
          <w:rFonts w:ascii="Times New Roman" w:hAnsi="Times New Roman"/>
          <w:i w:val="0"/>
        </w:rPr>
        <w:t>令非法</w:t>
      </w:r>
      <w:proofErr w:type="gramEnd"/>
      <w:r w:rsidRPr="009F12D9">
        <w:rPr>
          <w:rFonts w:ascii="Times New Roman" w:hAnsi="Times New Roman"/>
          <w:i w:val="0"/>
        </w:rPr>
        <w:t>集結變得特別</w:t>
      </w:r>
      <w:proofErr w:type="gramStart"/>
      <w:r w:rsidRPr="009F12D9">
        <w:rPr>
          <w:rFonts w:ascii="Times New Roman" w:hAnsi="Times New Roman"/>
          <w:i w:val="0"/>
        </w:rPr>
        <w:t>嚴</w:t>
      </w:r>
      <w:proofErr w:type="gramEnd"/>
      <w:r w:rsidRPr="009F12D9">
        <w:rPr>
          <w:rFonts w:ascii="Times New Roman" w:hAnsi="Times New Roman"/>
          <w:i w:val="0"/>
        </w:rPr>
        <w:t>重的是暴力</w:t>
      </w:r>
      <w:r w:rsidR="00B042D1" w:rsidRPr="009F12D9">
        <w:rPr>
          <w:rFonts w:ascii="Times New Roman" w:hAnsi="Times New Roman"/>
          <w:i w:val="0"/>
          <w:szCs w:val="28"/>
          <w:lang w:eastAsia="zh-TW"/>
        </w:rPr>
        <w:t>。</w:t>
      </w:r>
    </w:p>
    <w:p w:rsidR="00B042D1" w:rsidRPr="009F12D9" w:rsidRDefault="00D44878" w:rsidP="00B042D1">
      <w:pPr>
        <w:pStyle w:val="ar-heading1"/>
        <w:keepNext w:val="0"/>
        <w:numPr>
          <w:ilvl w:val="0"/>
          <w:numId w:val="5"/>
        </w:numPr>
        <w:spacing w:before="0" w:after="520"/>
        <w:ind w:firstLine="0"/>
        <w:jc w:val="both"/>
        <w:rPr>
          <w:rFonts w:ascii="Times New Roman" w:hAnsi="Times New Roman"/>
          <w:i w:val="0"/>
          <w:lang w:val="en-US" w:eastAsia="zh-TW"/>
        </w:rPr>
      </w:pPr>
      <w:r w:rsidRPr="009F12D9">
        <w:rPr>
          <w:rFonts w:ascii="Times New Roman" w:hAnsi="Times New Roman"/>
          <w:i w:val="0"/>
          <w:lang w:eastAsia="zh-TW"/>
        </w:rPr>
        <w:t>示威者和警方對峙二十五分鐘而沒有衝擊，或以任何方式使用武力，足見本案不但沒有暴力，而且出現暴力的風險不高，極其量也只</w:t>
      </w:r>
      <w:proofErr w:type="gramStart"/>
      <w:r w:rsidRPr="009F12D9">
        <w:rPr>
          <w:rFonts w:ascii="Times New Roman" w:hAnsi="Times New Roman"/>
          <w:i w:val="0"/>
          <w:lang w:eastAsia="zh-TW"/>
        </w:rPr>
        <w:t>能說是現場</w:t>
      </w:r>
      <w:proofErr w:type="gramEnd"/>
      <w:r w:rsidRPr="009F12D9">
        <w:rPr>
          <w:rFonts w:ascii="Times New Roman" w:hAnsi="Times New Roman"/>
          <w:i w:val="0"/>
          <w:lang w:eastAsia="zh-TW"/>
        </w:rPr>
        <w:t>氣氛緊張</w:t>
      </w:r>
      <w:r w:rsidR="00B042D1" w:rsidRPr="009F12D9">
        <w:rPr>
          <w:rFonts w:ascii="Times New Roman" w:hAnsi="Times New Roman"/>
          <w:i w:val="0"/>
          <w:szCs w:val="28"/>
          <w:lang w:eastAsia="zh-TW"/>
        </w:rPr>
        <w:t>。</w:t>
      </w:r>
    </w:p>
    <w:p w:rsidR="00B042D1" w:rsidRPr="009F12D9" w:rsidRDefault="00D44878" w:rsidP="00B042D1">
      <w:pPr>
        <w:pStyle w:val="ar-heading1"/>
        <w:keepNext w:val="0"/>
        <w:numPr>
          <w:ilvl w:val="0"/>
          <w:numId w:val="5"/>
        </w:numPr>
        <w:spacing w:before="0" w:after="520"/>
        <w:ind w:firstLine="0"/>
        <w:jc w:val="both"/>
        <w:rPr>
          <w:rFonts w:ascii="Times New Roman" w:hAnsi="Times New Roman"/>
          <w:i w:val="0"/>
          <w:lang w:val="en-US" w:eastAsia="zh-TW"/>
        </w:rPr>
      </w:pPr>
      <w:r w:rsidRPr="009F12D9">
        <w:rPr>
          <w:rFonts w:ascii="Times New Roman" w:hAnsi="Times New Roman"/>
          <w:i w:val="0"/>
          <w:lang w:eastAsia="zh-TW"/>
        </w:rPr>
        <w:t>原審裁判官並非沒有因應本案的嚴重程度而對懲罰和</w:t>
      </w:r>
      <w:proofErr w:type="gramStart"/>
      <w:r w:rsidRPr="009F12D9">
        <w:rPr>
          <w:rFonts w:ascii="Times New Roman" w:hAnsi="Times New Roman"/>
          <w:i w:val="0"/>
          <w:lang w:eastAsia="zh-TW"/>
        </w:rPr>
        <w:t>阻嚇</w:t>
      </w:r>
      <w:proofErr w:type="gramEnd"/>
      <w:r w:rsidRPr="009F12D9">
        <w:rPr>
          <w:rFonts w:ascii="Times New Roman" w:hAnsi="Times New Roman"/>
          <w:i w:val="0"/>
          <w:lang w:eastAsia="zh-TW"/>
        </w:rPr>
        <w:t>賦予比重。他清楚指出社會服務令對各項判刑元素的兼顧性，並因為本案不涉及暴力而認定它為最合適本案的刑罰，這完全是他權限之內的事，上訴法庭不能輕易干預</w:t>
      </w:r>
      <w:r w:rsidRPr="009F12D9">
        <w:rPr>
          <w:rStyle w:val="FootnoteReference"/>
          <w:i w:val="0"/>
        </w:rPr>
        <w:footnoteReference w:id="31"/>
      </w:r>
      <w:r w:rsidR="00B042D1" w:rsidRPr="009F12D9">
        <w:rPr>
          <w:rFonts w:ascii="Times New Roman" w:hAnsi="Times New Roman"/>
          <w:i w:val="0"/>
          <w:szCs w:val="28"/>
          <w:lang w:eastAsia="zh-TW"/>
        </w:rPr>
        <w:t>。</w:t>
      </w:r>
    </w:p>
    <w:p w:rsidR="00D44878" w:rsidRPr="009F12D9" w:rsidRDefault="00D44878" w:rsidP="00D44878">
      <w:pPr>
        <w:pStyle w:val="Final"/>
        <w:keepNext/>
        <w:tabs>
          <w:tab w:val="clear" w:pos="1440"/>
          <w:tab w:val="clear" w:pos="4320"/>
          <w:tab w:val="clear" w:pos="9072"/>
          <w:tab w:val="left" w:pos="720"/>
          <w:tab w:val="center" w:pos="4234"/>
          <w:tab w:val="right" w:pos="8453"/>
        </w:tabs>
        <w:spacing w:after="360"/>
        <w:ind w:left="720" w:hanging="720"/>
        <w:rPr>
          <w:i/>
          <w:lang w:eastAsia="zh-TW"/>
        </w:rPr>
      </w:pPr>
      <w:r w:rsidRPr="009F12D9">
        <w:rPr>
          <w:i/>
        </w:rPr>
        <w:t xml:space="preserve">G2. </w:t>
      </w:r>
      <w:r w:rsidRPr="009F12D9">
        <w:rPr>
          <w:i/>
        </w:rPr>
        <w:tab/>
      </w:r>
      <w:r w:rsidRPr="009F12D9">
        <w:rPr>
          <w:i/>
        </w:rPr>
        <w:t>有關覆</w:t>
      </w:r>
      <w:proofErr w:type="gramStart"/>
      <w:r w:rsidRPr="009F12D9">
        <w:rPr>
          <w:i/>
        </w:rPr>
        <w:t>核理由</w:t>
      </w:r>
      <w:proofErr w:type="gramEnd"/>
      <w:r w:rsidRPr="009F12D9">
        <w:rPr>
          <w:i/>
        </w:rPr>
        <w:t>二</w:t>
      </w:r>
    </w:p>
    <w:p w:rsidR="00D44878" w:rsidRPr="009F12D9" w:rsidRDefault="00D44878" w:rsidP="00D44878">
      <w:pPr>
        <w:pStyle w:val="ar-heading1"/>
        <w:keepNext w:val="0"/>
        <w:numPr>
          <w:ilvl w:val="0"/>
          <w:numId w:val="5"/>
        </w:numPr>
        <w:spacing w:before="0" w:after="520"/>
        <w:ind w:firstLine="0"/>
        <w:jc w:val="both"/>
        <w:rPr>
          <w:rFonts w:ascii="Times New Roman" w:hAnsi="Times New Roman"/>
          <w:i w:val="0"/>
          <w:lang w:val="en-US" w:eastAsia="zh-TW"/>
        </w:rPr>
      </w:pPr>
      <w:r w:rsidRPr="009F12D9">
        <w:rPr>
          <w:rFonts w:ascii="Times New Roman" w:hAnsi="Times New Roman"/>
          <w:i w:val="0"/>
          <w:lang w:eastAsia="zh-TW"/>
        </w:rPr>
        <w:t>答辯人的行為不足以大幅提升本案的嚴重性：沙包是他從路旁的建築物料堆隨手拾來的；他沒有瞄準警方防線把沙包扔過去；他沒有藉著投擲沙包暗示或鼓動其他示威者要向前</w:t>
      </w:r>
      <w:proofErr w:type="gramStart"/>
      <w:r w:rsidRPr="009F12D9">
        <w:rPr>
          <w:rFonts w:ascii="Times New Roman" w:hAnsi="Times New Roman"/>
          <w:i w:val="0"/>
          <w:lang w:eastAsia="zh-TW"/>
        </w:rPr>
        <w:t>衝</w:t>
      </w:r>
      <w:proofErr w:type="gramEnd"/>
      <w:r w:rsidRPr="009F12D9">
        <w:rPr>
          <w:rFonts w:ascii="Times New Roman" w:hAnsi="Times New Roman"/>
          <w:i w:val="0"/>
          <w:lang w:eastAsia="zh-TW"/>
        </w:rPr>
        <w:t>，他自己</w:t>
      </w:r>
      <w:proofErr w:type="gramStart"/>
      <w:r w:rsidRPr="009F12D9">
        <w:rPr>
          <w:rFonts w:ascii="Times New Roman" w:hAnsi="Times New Roman"/>
          <w:i w:val="0"/>
          <w:lang w:eastAsia="zh-TW"/>
        </w:rPr>
        <w:t>在扔完</w:t>
      </w:r>
      <w:proofErr w:type="gramEnd"/>
      <w:r w:rsidRPr="009F12D9">
        <w:rPr>
          <w:rFonts w:ascii="Times New Roman" w:hAnsi="Times New Roman"/>
          <w:i w:val="0"/>
          <w:lang w:eastAsia="zh-TW"/>
        </w:rPr>
        <w:t>沙包之後即返回原處；事實上他絕大部分時間都只是站在示威人群當中，在被捕之後也沒有反抗；他可能是有計劃而來，但沒</w:t>
      </w:r>
      <w:r w:rsidRPr="009F12D9">
        <w:rPr>
          <w:rFonts w:ascii="Times New Roman" w:hAnsi="Times New Roman"/>
          <w:i w:val="0"/>
          <w:lang w:eastAsia="zh-TW"/>
        </w:rPr>
        <w:lastRenderedPageBreak/>
        <w:t>有把任何裝備（尤其是可組合的木棍）用作攻擊警方的工具（管有攻擊性武器的控罪已撤控）</w:t>
      </w:r>
      <w:r w:rsidRPr="009F12D9">
        <w:rPr>
          <w:rFonts w:ascii="Times New Roman" w:hAnsi="Times New Roman"/>
          <w:i w:val="0"/>
          <w:szCs w:val="28"/>
          <w:lang w:eastAsia="zh-TW"/>
        </w:rPr>
        <w:t>。</w:t>
      </w:r>
    </w:p>
    <w:p w:rsidR="00D44878" w:rsidRPr="009F12D9" w:rsidRDefault="00D44878" w:rsidP="00D44878">
      <w:pPr>
        <w:pStyle w:val="Final"/>
        <w:keepNext/>
        <w:tabs>
          <w:tab w:val="clear" w:pos="1440"/>
          <w:tab w:val="clear" w:pos="4320"/>
          <w:tab w:val="clear" w:pos="9072"/>
          <w:tab w:val="left" w:pos="720"/>
          <w:tab w:val="center" w:pos="4234"/>
          <w:tab w:val="right" w:pos="8453"/>
        </w:tabs>
        <w:spacing w:after="360"/>
        <w:ind w:left="720" w:hanging="720"/>
        <w:rPr>
          <w:i/>
          <w:lang w:eastAsia="zh-TW"/>
        </w:rPr>
      </w:pPr>
      <w:r w:rsidRPr="009F12D9">
        <w:rPr>
          <w:i/>
        </w:rPr>
        <w:t xml:space="preserve">G3. </w:t>
      </w:r>
      <w:r w:rsidRPr="009F12D9">
        <w:rPr>
          <w:i/>
        </w:rPr>
        <w:t>有關覆</w:t>
      </w:r>
      <w:proofErr w:type="gramStart"/>
      <w:r w:rsidRPr="009F12D9">
        <w:rPr>
          <w:i/>
        </w:rPr>
        <w:t>核理由</w:t>
      </w:r>
      <w:proofErr w:type="gramEnd"/>
      <w:r w:rsidRPr="009F12D9">
        <w:rPr>
          <w:i/>
        </w:rPr>
        <w:t>三</w:t>
      </w:r>
    </w:p>
    <w:p w:rsidR="00D44878" w:rsidRPr="009F12D9" w:rsidRDefault="00D44878" w:rsidP="00D44878">
      <w:pPr>
        <w:pStyle w:val="ar-heading1"/>
        <w:keepNext w:val="0"/>
        <w:numPr>
          <w:ilvl w:val="0"/>
          <w:numId w:val="5"/>
        </w:numPr>
        <w:spacing w:before="0" w:after="520"/>
        <w:ind w:firstLine="0"/>
        <w:jc w:val="both"/>
        <w:rPr>
          <w:rFonts w:ascii="Times New Roman" w:hAnsi="Times New Roman"/>
          <w:i w:val="0"/>
          <w:lang w:val="en-US" w:eastAsia="zh-TW"/>
        </w:rPr>
      </w:pPr>
      <w:r w:rsidRPr="009F12D9">
        <w:rPr>
          <w:rFonts w:ascii="Times New Roman" w:hAnsi="Times New Roman"/>
          <w:i w:val="0"/>
          <w:lang w:eastAsia="zh-TW"/>
        </w:rPr>
        <w:t>案例顯示，就算涉及輕微暴力，例如是短暫擠壓警方防線和</w:t>
      </w:r>
      <w:proofErr w:type="gramStart"/>
      <w:r w:rsidRPr="009F12D9">
        <w:rPr>
          <w:rFonts w:ascii="Times New Roman" w:hAnsi="Times New Roman"/>
          <w:i w:val="0"/>
          <w:lang w:eastAsia="zh-TW"/>
        </w:rPr>
        <w:t>衝</w:t>
      </w:r>
      <w:proofErr w:type="gramEnd"/>
      <w:r w:rsidRPr="009F12D9">
        <w:rPr>
          <w:rFonts w:ascii="Times New Roman" w:hAnsi="Times New Roman"/>
          <w:i w:val="0"/>
          <w:lang w:eastAsia="zh-TW"/>
        </w:rPr>
        <w:t>開閘門警衛等非法集結，都曾經以</w:t>
      </w:r>
      <w:proofErr w:type="gramStart"/>
      <w:r w:rsidRPr="009F12D9">
        <w:rPr>
          <w:rFonts w:ascii="Times New Roman" w:hAnsi="Times New Roman"/>
          <w:i w:val="0"/>
          <w:lang w:eastAsia="zh-TW"/>
        </w:rPr>
        <w:t>社會服務令作判刑</w:t>
      </w:r>
      <w:proofErr w:type="gramEnd"/>
      <w:r w:rsidRPr="009F12D9">
        <w:rPr>
          <w:rStyle w:val="FootnoteReference"/>
          <w:i w:val="0"/>
        </w:rPr>
        <w:footnoteReference w:id="32"/>
      </w:r>
      <w:r w:rsidRPr="009F12D9">
        <w:rPr>
          <w:rFonts w:ascii="Times New Roman" w:hAnsi="Times New Roman"/>
          <w:i w:val="0"/>
          <w:lang w:eastAsia="zh-TW"/>
        </w:rPr>
        <w:t>。在情節輕微的案件，判罰社會服務令，無須有案例所指的特殊和罕有情況。</w:t>
      </w:r>
      <w:r w:rsidRPr="009F12D9">
        <w:rPr>
          <w:rFonts w:ascii="Times New Roman" w:hAnsi="Times New Roman"/>
          <w:i w:val="0"/>
        </w:rPr>
        <w:t>本案就是</w:t>
      </w:r>
      <w:proofErr w:type="gramStart"/>
      <w:r w:rsidRPr="009F12D9">
        <w:rPr>
          <w:rFonts w:ascii="Times New Roman" w:hAnsi="Times New Roman"/>
          <w:i w:val="0"/>
        </w:rPr>
        <w:t>一</w:t>
      </w:r>
      <w:proofErr w:type="gramEnd"/>
      <w:r w:rsidRPr="009F12D9">
        <w:rPr>
          <w:rFonts w:ascii="Times New Roman" w:hAnsi="Times New Roman"/>
          <w:i w:val="0"/>
        </w:rPr>
        <w:t>個例子</w:t>
      </w:r>
      <w:r w:rsidRPr="009F12D9">
        <w:rPr>
          <w:rFonts w:ascii="Times New Roman" w:hAnsi="Times New Roman"/>
          <w:i w:val="0"/>
          <w:szCs w:val="28"/>
          <w:lang w:eastAsia="zh-TW"/>
        </w:rPr>
        <w:t>。</w:t>
      </w:r>
    </w:p>
    <w:p w:rsidR="00D44878" w:rsidRPr="009F12D9" w:rsidRDefault="00D44878" w:rsidP="00D44878">
      <w:pPr>
        <w:pStyle w:val="Final"/>
        <w:keepNext/>
        <w:tabs>
          <w:tab w:val="clear" w:pos="1440"/>
          <w:tab w:val="clear" w:pos="4320"/>
          <w:tab w:val="clear" w:pos="9072"/>
          <w:tab w:val="left" w:pos="720"/>
          <w:tab w:val="center" w:pos="4234"/>
          <w:tab w:val="right" w:pos="8453"/>
        </w:tabs>
        <w:spacing w:after="360"/>
        <w:ind w:left="720" w:hanging="720"/>
        <w:rPr>
          <w:i/>
        </w:rPr>
      </w:pPr>
      <w:r w:rsidRPr="009F12D9">
        <w:rPr>
          <w:i/>
        </w:rPr>
        <w:t xml:space="preserve">G4. </w:t>
      </w:r>
      <w:r w:rsidRPr="009F12D9">
        <w:rPr>
          <w:i/>
        </w:rPr>
        <w:tab/>
      </w:r>
      <w:r w:rsidRPr="009F12D9">
        <w:rPr>
          <w:i/>
        </w:rPr>
        <w:t>答辯人的近況</w:t>
      </w:r>
    </w:p>
    <w:p w:rsidR="00D44878" w:rsidRPr="009F12D9" w:rsidRDefault="00D44878" w:rsidP="00D44878">
      <w:pPr>
        <w:pStyle w:val="ar-heading1"/>
        <w:keepNext w:val="0"/>
        <w:numPr>
          <w:ilvl w:val="0"/>
          <w:numId w:val="5"/>
        </w:numPr>
        <w:spacing w:before="0" w:after="520"/>
        <w:ind w:firstLine="0"/>
        <w:jc w:val="both"/>
        <w:rPr>
          <w:rFonts w:ascii="Times New Roman" w:hAnsi="Times New Roman"/>
          <w:i w:val="0"/>
          <w:lang w:val="en-US" w:eastAsia="zh-TW"/>
        </w:rPr>
      </w:pPr>
      <w:proofErr w:type="gramStart"/>
      <w:r w:rsidRPr="009F12D9">
        <w:rPr>
          <w:rFonts w:ascii="Times New Roman" w:hAnsi="Times New Roman"/>
          <w:i w:val="0"/>
          <w:lang w:eastAsia="zh-TW"/>
        </w:rPr>
        <w:t>本庭從</w:t>
      </w:r>
      <w:r w:rsidR="003210D5" w:rsidRPr="009F12D9">
        <w:rPr>
          <w:rFonts w:ascii="Times New Roman" w:hAnsi="Times New Roman"/>
          <w:i w:val="0"/>
          <w:lang w:eastAsia="zh-HK"/>
        </w:rPr>
        <w:t>梁</w:t>
      </w:r>
      <w:r w:rsidRPr="009F12D9">
        <w:rPr>
          <w:rFonts w:ascii="Times New Roman" w:hAnsi="Times New Roman"/>
          <w:i w:val="0"/>
          <w:lang w:eastAsia="zh-TW"/>
        </w:rPr>
        <w:t>大</w:t>
      </w:r>
      <w:proofErr w:type="gramEnd"/>
      <w:r w:rsidRPr="009F12D9">
        <w:rPr>
          <w:rFonts w:ascii="Times New Roman" w:hAnsi="Times New Roman"/>
          <w:i w:val="0"/>
          <w:lang w:eastAsia="zh-TW"/>
        </w:rPr>
        <w:t>律師得悉，受</w:t>
      </w:r>
      <w:proofErr w:type="gramStart"/>
      <w:r w:rsidRPr="009F12D9">
        <w:rPr>
          <w:rFonts w:ascii="Times New Roman" w:hAnsi="Times New Roman"/>
          <w:i w:val="0"/>
          <w:lang w:eastAsia="zh-HK"/>
        </w:rPr>
        <w:t>新冠</w:t>
      </w:r>
      <w:r w:rsidRPr="009F12D9">
        <w:rPr>
          <w:rFonts w:ascii="Times New Roman" w:hAnsi="Times New Roman"/>
          <w:i w:val="0"/>
          <w:lang w:eastAsia="zh-TW"/>
        </w:rPr>
        <w:t>病毒疫</w:t>
      </w:r>
      <w:proofErr w:type="gramEnd"/>
      <w:r w:rsidRPr="009F12D9">
        <w:rPr>
          <w:rFonts w:ascii="Times New Roman" w:hAnsi="Times New Roman"/>
          <w:i w:val="0"/>
          <w:lang w:eastAsia="zh-HK"/>
        </w:rPr>
        <w:t>情影</w:t>
      </w:r>
      <w:r w:rsidRPr="009F12D9">
        <w:rPr>
          <w:rFonts w:ascii="Times New Roman" w:hAnsi="Times New Roman"/>
          <w:i w:val="0"/>
          <w:lang w:eastAsia="zh-TW"/>
        </w:rPr>
        <w:t>響，答辯人在之前的一段時間內未能獲派</w:t>
      </w:r>
      <w:r w:rsidRPr="009F12D9">
        <w:rPr>
          <w:rFonts w:ascii="Times New Roman" w:hAnsi="Times New Roman"/>
          <w:i w:val="0"/>
          <w:lang w:eastAsia="zh-HK"/>
        </w:rPr>
        <w:t>合</w:t>
      </w:r>
      <w:r w:rsidRPr="009F12D9">
        <w:rPr>
          <w:rFonts w:ascii="Times New Roman" w:hAnsi="Times New Roman"/>
          <w:i w:val="0"/>
          <w:lang w:eastAsia="zh-TW"/>
        </w:rPr>
        <w:t>適</w:t>
      </w:r>
      <w:r w:rsidRPr="009F12D9">
        <w:rPr>
          <w:rFonts w:ascii="Times New Roman" w:hAnsi="Times New Roman"/>
          <w:i w:val="0"/>
          <w:lang w:eastAsia="zh-HK"/>
        </w:rPr>
        <w:t>的工</w:t>
      </w:r>
      <w:r w:rsidRPr="009F12D9">
        <w:rPr>
          <w:rFonts w:ascii="Times New Roman" w:hAnsi="Times New Roman"/>
          <w:i w:val="0"/>
          <w:lang w:eastAsia="zh-TW"/>
        </w:rPr>
        <w:t>作，至覆核聆訊當天則完成</w:t>
      </w:r>
      <w:r w:rsidRPr="009F12D9">
        <w:rPr>
          <w:rFonts w:ascii="Times New Roman" w:hAnsi="Times New Roman"/>
          <w:i w:val="0"/>
          <w:lang w:eastAsia="zh-HK"/>
        </w:rPr>
        <w:t>社</w:t>
      </w:r>
      <w:r w:rsidRPr="009F12D9">
        <w:rPr>
          <w:rFonts w:ascii="Times New Roman" w:hAnsi="Times New Roman"/>
          <w:i w:val="0"/>
          <w:lang w:eastAsia="zh-TW"/>
        </w:rPr>
        <w:t>會</w:t>
      </w:r>
      <w:r w:rsidRPr="009F12D9">
        <w:rPr>
          <w:rFonts w:ascii="Times New Roman" w:hAnsi="Times New Roman"/>
          <w:i w:val="0"/>
          <w:lang w:eastAsia="zh-HK"/>
        </w:rPr>
        <w:t>服</w:t>
      </w:r>
      <w:r w:rsidRPr="009F12D9">
        <w:rPr>
          <w:rFonts w:ascii="Times New Roman" w:hAnsi="Times New Roman"/>
          <w:i w:val="0"/>
          <w:lang w:eastAsia="zh-TW"/>
        </w:rPr>
        <w:t>務</w:t>
      </w:r>
      <w:r w:rsidRPr="009F12D9">
        <w:rPr>
          <w:rFonts w:ascii="Times New Roman" w:hAnsi="Times New Roman"/>
          <w:i w:val="0"/>
          <w:lang w:eastAsia="zh-TW"/>
        </w:rPr>
        <w:t>8</w:t>
      </w:r>
      <w:r w:rsidRPr="009F12D9">
        <w:rPr>
          <w:rFonts w:ascii="Times New Roman" w:hAnsi="Times New Roman"/>
          <w:i w:val="0"/>
          <w:lang w:eastAsia="zh-TW"/>
        </w:rPr>
        <w:t>小時</w:t>
      </w:r>
      <w:r w:rsidRPr="009F12D9">
        <w:rPr>
          <w:rFonts w:ascii="Times New Roman" w:hAnsi="Times New Roman"/>
          <w:i w:val="0"/>
          <w:szCs w:val="28"/>
          <w:lang w:eastAsia="zh-TW"/>
        </w:rPr>
        <w:t>。</w:t>
      </w:r>
    </w:p>
    <w:p w:rsidR="00D44878" w:rsidRPr="009F12D9" w:rsidRDefault="00D44878" w:rsidP="00D44878">
      <w:pPr>
        <w:pStyle w:val="Final"/>
        <w:keepNext/>
        <w:tabs>
          <w:tab w:val="clear" w:pos="1440"/>
          <w:tab w:val="clear" w:pos="4320"/>
          <w:tab w:val="clear" w:pos="9072"/>
          <w:tab w:val="left" w:pos="720"/>
          <w:tab w:val="center" w:pos="4234"/>
          <w:tab w:val="right" w:pos="8453"/>
        </w:tabs>
        <w:spacing w:after="360"/>
        <w:ind w:left="720" w:hanging="720"/>
        <w:rPr>
          <w:i/>
          <w:lang w:eastAsia="zh-TW"/>
        </w:rPr>
      </w:pPr>
      <w:r w:rsidRPr="009F12D9">
        <w:rPr>
          <w:i/>
          <w:lang w:eastAsia="zh-TW"/>
        </w:rPr>
        <w:t xml:space="preserve">H. </w:t>
      </w:r>
      <w:r w:rsidRPr="009F12D9">
        <w:rPr>
          <w:i/>
          <w:lang w:eastAsia="zh-TW"/>
        </w:rPr>
        <w:tab/>
      </w:r>
      <w:r w:rsidRPr="009F12D9">
        <w:rPr>
          <w:i/>
          <w:lang w:eastAsia="zh-TW"/>
        </w:rPr>
        <w:t>討論與分析</w:t>
      </w:r>
    </w:p>
    <w:p w:rsidR="00D44878" w:rsidRPr="009F12D9" w:rsidRDefault="00D44878" w:rsidP="00D44878">
      <w:pPr>
        <w:pStyle w:val="Final"/>
        <w:keepNext/>
        <w:tabs>
          <w:tab w:val="clear" w:pos="1440"/>
          <w:tab w:val="clear" w:pos="4320"/>
          <w:tab w:val="clear" w:pos="9072"/>
          <w:tab w:val="left" w:pos="720"/>
          <w:tab w:val="center" w:pos="4234"/>
          <w:tab w:val="right" w:pos="8453"/>
        </w:tabs>
        <w:spacing w:after="360"/>
        <w:ind w:left="720" w:hanging="720"/>
        <w:rPr>
          <w:rFonts w:eastAsia="PMingLiU"/>
          <w:i/>
          <w:lang w:eastAsia="zh-TW"/>
        </w:rPr>
      </w:pPr>
      <w:r w:rsidRPr="009F12D9">
        <w:rPr>
          <w:i/>
          <w:lang w:eastAsia="zh-TW"/>
        </w:rPr>
        <w:t xml:space="preserve">H1. </w:t>
      </w:r>
      <w:r w:rsidRPr="009F12D9">
        <w:rPr>
          <w:i/>
          <w:lang w:eastAsia="zh-TW"/>
        </w:rPr>
        <w:tab/>
      </w:r>
      <w:r w:rsidR="00911F9C" w:rsidRPr="009F12D9">
        <w:rPr>
          <w:i/>
          <w:lang w:eastAsia="zh-TW"/>
        </w:rPr>
        <w:t>控訴</w:t>
      </w:r>
      <w:r w:rsidR="00911F9C" w:rsidRPr="009F12D9">
        <w:rPr>
          <w:rFonts w:ascii="宋体" w:hAnsi="宋体"/>
          <w:i/>
          <w:lang w:eastAsia="zh-TW"/>
        </w:rPr>
        <w:t>要旨的</w:t>
      </w:r>
      <w:r w:rsidR="00911F9C" w:rsidRPr="009F12D9">
        <w:rPr>
          <w:rFonts w:ascii="宋体" w:hAnsi="宋体" w:hint="eastAsia"/>
          <w:i/>
          <w:lang w:eastAsia="zh-HK"/>
        </w:rPr>
        <w:t>重要性</w:t>
      </w:r>
    </w:p>
    <w:p w:rsidR="00D44878" w:rsidRPr="009F12D9" w:rsidRDefault="00D44878" w:rsidP="00D44878">
      <w:pPr>
        <w:pStyle w:val="ar-heading1"/>
        <w:keepNext w:val="0"/>
        <w:numPr>
          <w:ilvl w:val="0"/>
          <w:numId w:val="5"/>
        </w:numPr>
        <w:spacing w:before="0" w:after="520"/>
        <w:ind w:firstLine="0"/>
        <w:jc w:val="both"/>
        <w:rPr>
          <w:rFonts w:ascii="Times New Roman" w:hAnsi="Times New Roman"/>
          <w:i w:val="0"/>
          <w:lang w:val="en-US" w:eastAsia="zh-TW"/>
        </w:rPr>
      </w:pPr>
      <w:r w:rsidRPr="009F12D9">
        <w:rPr>
          <w:rFonts w:ascii="Times New Roman" w:hAnsi="Times New Roman"/>
          <w:i w:val="0"/>
          <w:lang w:eastAsia="zh-TW"/>
        </w:rPr>
        <w:t>申請人力陳，原審裁判官在判刑時應認真考慮</w:t>
      </w:r>
      <w:r w:rsidR="003210D5" w:rsidRPr="009F12D9">
        <w:rPr>
          <w:rFonts w:ascii="Times New Roman" w:hAnsi="Times New Roman"/>
          <w:i w:val="0"/>
          <w:lang w:eastAsia="zh-HK"/>
        </w:rPr>
        <w:t>有關罪行</w:t>
      </w:r>
      <w:r w:rsidRPr="009F12D9">
        <w:rPr>
          <w:rFonts w:ascii="Times New Roman" w:hAnsi="Times New Roman"/>
          <w:i w:val="0"/>
          <w:lang w:eastAsia="zh-TW"/>
        </w:rPr>
        <w:t>的控訴要旨，是正確的</w:t>
      </w:r>
      <w:r w:rsidRPr="009F12D9">
        <w:rPr>
          <w:rFonts w:ascii="Times New Roman" w:hAnsi="Times New Roman"/>
          <w:i w:val="0"/>
          <w:szCs w:val="28"/>
          <w:lang w:eastAsia="zh-TW"/>
        </w:rPr>
        <w:t>。</w:t>
      </w:r>
    </w:p>
    <w:p w:rsidR="00D44878" w:rsidRPr="009F12D9" w:rsidRDefault="00D44878" w:rsidP="00D44878">
      <w:pPr>
        <w:pStyle w:val="ar-heading1"/>
        <w:keepNext w:val="0"/>
        <w:numPr>
          <w:ilvl w:val="0"/>
          <w:numId w:val="5"/>
        </w:numPr>
        <w:spacing w:before="0" w:after="520"/>
        <w:ind w:firstLine="0"/>
        <w:jc w:val="both"/>
        <w:rPr>
          <w:rFonts w:ascii="Times New Roman" w:hAnsi="Times New Roman"/>
          <w:i w:val="0"/>
          <w:lang w:val="en-US" w:eastAsia="zh-TW"/>
        </w:rPr>
      </w:pPr>
      <w:r w:rsidRPr="009F12D9">
        <w:rPr>
          <w:rFonts w:ascii="Times New Roman" w:hAnsi="Times New Roman"/>
          <w:i w:val="0"/>
          <w:lang w:eastAsia="zh-TW"/>
        </w:rPr>
        <w:lastRenderedPageBreak/>
        <w:t>上訴法庭</w:t>
      </w:r>
      <w:r w:rsidR="00911F9C" w:rsidRPr="009F12D9">
        <w:rPr>
          <w:rFonts w:hint="eastAsia"/>
          <w:i w:val="0"/>
          <w:lang w:eastAsia="zh-HK"/>
        </w:rPr>
        <w:t>法官</w:t>
      </w:r>
      <w:r w:rsidR="00001E74" w:rsidRPr="009F12D9">
        <w:rPr>
          <w:rFonts w:hint="eastAsia"/>
          <w:i w:val="0"/>
          <w:lang w:eastAsia="zh-HK"/>
        </w:rPr>
        <w:t>潘兆初</w:t>
      </w:r>
      <w:r w:rsidR="00001E74" w:rsidRPr="009F12D9">
        <w:rPr>
          <w:rFonts w:hint="eastAsia"/>
          <w:i w:val="0"/>
          <w:lang w:eastAsia="zh-TW"/>
        </w:rPr>
        <w:t>(</w:t>
      </w:r>
      <w:r w:rsidR="00001E74" w:rsidRPr="009F12D9">
        <w:rPr>
          <w:rFonts w:hint="eastAsia"/>
          <w:i w:val="0"/>
          <w:lang w:eastAsia="zh-HK"/>
        </w:rPr>
        <w:t>當時官階</w:t>
      </w:r>
      <w:r w:rsidR="00001E74" w:rsidRPr="009F12D9">
        <w:rPr>
          <w:rFonts w:hint="eastAsia"/>
          <w:i w:val="0"/>
          <w:lang w:eastAsia="zh-TW"/>
        </w:rPr>
        <w:t>)</w:t>
      </w:r>
      <w:r w:rsidRPr="009F12D9">
        <w:rPr>
          <w:rFonts w:ascii="Times New Roman" w:hAnsi="Times New Roman"/>
          <w:i w:val="0"/>
          <w:lang w:eastAsia="zh-TW"/>
        </w:rPr>
        <w:t>在</w:t>
      </w:r>
      <w:r w:rsidRPr="009F12D9">
        <w:rPr>
          <w:rFonts w:ascii="Times New Roman" w:hAnsi="Times New Roman"/>
          <w:lang w:eastAsia="zh-TW"/>
        </w:rPr>
        <w:t>黃之鋒</w:t>
      </w:r>
      <w:r w:rsidRPr="009F12D9">
        <w:rPr>
          <w:rFonts w:ascii="Times New Roman" w:hAnsi="Times New Roman"/>
          <w:i w:val="0"/>
          <w:lang w:eastAsia="zh-TW"/>
        </w:rPr>
        <w:t xml:space="preserve"> </w:t>
      </w:r>
      <w:r w:rsidRPr="009F12D9">
        <w:rPr>
          <w:rFonts w:ascii="Times New Roman" w:hAnsi="Times New Roman"/>
          <w:i w:val="0"/>
          <w:lang w:eastAsia="zh-TW"/>
        </w:rPr>
        <w:t>案的</w:t>
      </w:r>
      <w:r w:rsidRPr="009F12D9">
        <w:rPr>
          <w:rFonts w:ascii="Times New Roman" w:hAnsi="Times New Roman"/>
          <w:i w:val="0"/>
          <w:lang w:eastAsia="zh-TW"/>
        </w:rPr>
        <w:t>H</w:t>
      </w:r>
      <w:r w:rsidRPr="009F12D9">
        <w:rPr>
          <w:rFonts w:ascii="Times New Roman" w:hAnsi="Times New Roman"/>
          <w:i w:val="0"/>
          <w:lang w:eastAsia="zh-TW"/>
        </w:rPr>
        <w:t>部（「判刑原則」）</w:t>
      </w:r>
      <w:proofErr w:type="gramStart"/>
      <w:r w:rsidRPr="009F12D9">
        <w:rPr>
          <w:rFonts w:ascii="Times New Roman" w:hAnsi="Times New Roman"/>
          <w:i w:val="0"/>
          <w:lang w:eastAsia="zh-TW"/>
        </w:rPr>
        <w:t>第</w:t>
      </w:r>
      <w:r w:rsidRPr="009F12D9">
        <w:rPr>
          <w:rFonts w:ascii="Times New Roman" w:hAnsi="Times New Roman"/>
          <w:i w:val="0"/>
          <w:lang w:eastAsia="zh-TW"/>
        </w:rPr>
        <w:t>107</w:t>
      </w:r>
      <w:r w:rsidRPr="009F12D9">
        <w:rPr>
          <w:rFonts w:ascii="Times New Roman" w:hAnsi="Times New Roman"/>
          <w:i w:val="0"/>
          <w:lang w:eastAsia="zh-TW"/>
        </w:rPr>
        <w:t>段說過</w:t>
      </w:r>
      <w:proofErr w:type="gramEnd"/>
      <w:r w:rsidRPr="009F12D9">
        <w:rPr>
          <w:rFonts w:ascii="Times New Roman" w:hAnsi="Times New Roman"/>
          <w:i w:val="0"/>
          <w:lang w:eastAsia="zh-TW"/>
        </w:rPr>
        <w:t>，「在決定某個判刑元素該有多大的比重時，法庭一般來說會考慮案中罪行本身的性質和嚴重性」，指的就是控訴要旨，而且還排在「干犯罪行情節的嚴重性、罪行所引起的後果、犯案者的動機、犯案者的個人情況等因素」的前面</w:t>
      </w:r>
      <w:r w:rsidRPr="009F12D9">
        <w:rPr>
          <w:rFonts w:ascii="Times New Roman" w:hAnsi="Times New Roman"/>
          <w:i w:val="0"/>
          <w:szCs w:val="28"/>
          <w:lang w:eastAsia="zh-TW"/>
        </w:rPr>
        <w:t>。</w:t>
      </w:r>
    </w:p>
    <w:p w:rsidR="00D44878" w:rsidRPr="009F12D9" w:rsidRDefault="00D44878" w:rsidP="00D44878">
      <w:pPr>
        <w:pStyle w:val="ar-heading1"/>
        <w:keepNext w:val="0"/>
        <w:numPr>
          <w:ilvl w:val="0"/>
          <w:numId w:val="5"/>
        </w:numPr>
        <w:spacing w:before="0" w:after="520"/>
        <w:ind w:firstLine="0"/>
        <w:jc w:val="both"/>
        <w:rPr>
          <w:rFonts w:ascii="Times New Roman" w:hAnsi="Times New Roman"/>
          <w:i w:val="0"/>
          <w:lang w:val="en-US" w:eastAsia="zh-TW"/>
        </w:rPr>
      </w:pPr>
      <w:r w:rsidRPr="009F12D9">
        <w:rPr>
          <w:rFonts w:ascii="Times New Roman" w:hAnsi="Times New Roman"/>
          <w:i w:val="0"/>
          <w:lang w:eastAsia="zh-TW"/>
        </w:rPr>
        <w:t>法庭判罰參與非法集結，要</w:t>
      </w:r>
      <w:r w:rsidR="00001E74" w:rsidRPr="009F12D9">
        <w:rPr>
          <w:rFonts w:hint="eastAsia"/>
          <w:i w:val="0"/>
          <w:lang w:eastAsia="zh-HK"/>
        </w:rPr>
        <w:t>充分及全面掌</w:t>
      </w:r>
      <w:r w:rsidR="009D17DE" w:rsidRPr="009F12D9">
        <w:rPr>
          <w:rFonts w:hint="eastAsia"/>
          <w:i w:val="0"/>
          <w:lang w:eastAsia="zh-HK"/>
        </w:rPr>
        <w:t>握</w:t>
      </w:r>
      <w:r w:rsidRPr="009F12D9">
        <w:rPr>
          <w:rFonts w:ascii="Times New Roman" w:hAnsi="Times New Roman"/>
          <w:i w:val="0"/>
          <w:lang w:eastAsia="zh-TW"/>
        </w:rPr>
        <w:t>有關的控訴要旨，原因不但是因為這樣會符合一般判刑原則，而且亦因為這項控罪所針對的公害，往往要比干犯這項控罪的表面行為深遠</w:t>
      </w:r>
      <w:r w:rsidRPr="009F12D9">
        <w:rPr>
          <w:rFonts w:ascii="Times New Roman" w:hAnsi="Times New Roman"/>
          <w:i w:val="0"/>
          <w:szCs w:val="28"/>
          <w:lang w:eastAsia="zh-TW"/>
        </w:rPr>
        <w:t>。</w:t>
      </w:r>
    </w:p>
    <w:p w:rsidR="00D44878" w:rsidRPr="009F12D9" w:rsidRDefault="009D17DE" w:rsidP="00D44878">
      <w:pPr>
        <w:pStyle w:val="ar-heading1"/>
        <w:keepNext w:val="0"/>
        <w:numPr>
          <w:ilvl w:val="0"/>
          <w:numId w:val="5"/>
        </w:numPr>
        <w:spacing w:before="0" w:after="520"/>
        <w:ind w:firstLine="0"/>
        <w:jc w:val="both"/>
        <w:rPr>
          <w:rFonts w:ascii="Times New Roman" w:hAnsi="Times New Roman"/>
          <w:i w:val="0"/>
          <w:lang w:val="en-US" w:eastAsia="zh-TW"/>
        </w:rPr>
      </w:pPr>
      <w:proofErr w:type="gramStart"/>
      <w:r w:rsidRPr="009F12D9">
        <w:rPr>
          <w:rFonts w:hint="eastAsia"/>
          <w:i w:val="0"/>
          <w:lang w:eastAsia="zh-HK"/>
        </w:rPr>
        <w:t>潘</w:t>
      </w:r>
      <w:proofErr w:type="gramEnd"/>
      <w:r w:rsidR="00D44878" w:rsidRPr="009F12D9">
        <w:rPr>
          <w:i w:val="0"/>
          <w:lang w:eastAsia="zh-TW"/>
        </w:rPr>
        <w:t>上</w:t>
      </w:r>
      <w:r w:rsidR="00D44878" w:rsidRPr="009F12D9">
        <w:rPr>
          <w:rFonts w:ascii="Times New Roman" w:hAnsi="Times New Roman"/>
          <w:i w:val="0"/>
          <w:lang w:eastAsia="zh-TW"/>
        </w:rPr>
        <w:t>訴法庭</w:t>
      </w:r>
      <w:r w:rsidRPr="009F12D9">
        <w:rPr>
          <w:rFonts w:hint="eastAsia"/>
          <w:i w:val="0"/>
          <w:lang w:eastAsia="zh-HK"/>
        </w:rPr>
        <w:t>法官</w:t>
      </w:r>
      <w:r w:rsidR="00D44878" w:rsidRPr="009F12D9">
        <w:rPr>
          <w:rFonts w:ascii="Times New Roman" w:hAnsi="Times New Roman"/>
          <w:i w:val="0"/>
          <w:lang w:eastAsia="zh-TW"/>
        </w:rPr>
        <w:t>在</w:t>
      </w:r>
      <w:r w:rsidR="00D44878" w:rsidRPr="009F12D9">
        <w:rPr>
          <w:rFonts w:ascii="Times New Roman" w:hAnsi="Times New Roman"/>
          <w:lang w:eastAsia="zh-TW"/>
        </w:rPr>
        <w:t>黃之鋒</w:t>
      </w:r>
      <w:r w:rsidR="00D44878" w:rsidRPr="009F12D9">
        <w:rPr>
          <w:rFonts w:ascii="Times New Roman" w:hAnsi="Times New Roman"/>
          <w:i w:val="0"/>
          <w:lang w:eastAsia="zh-TW"/>
        </w:rPr>
        <w:t xml:space="preserve"> </w:t>
      </w:r>
      <w:r w:rsidR="00D44878" w:rsidRPr="009F12D9">
        <w:rPr>
          <w:rFonts w:ascii="Times New Roman" w:hAnsi="Times New Roman"/>
          <w:i w:val="0"/>
          <w:lang w:eastAsia="zh-TW"/>
        </w:rPr>
        <w:t>案的</w:t>
      </w:r>
      <w:r w:rsidR="00D44878" w:rsidRPr="009F12D9">
        <w:rPr>
          <w:rFonts w:ascii="Times New Roman" w:hAnsi="Times New Roman"/>
          <w:i w:val="0"/>
          <w:lang w:eastAsia="zh-TW"/>
        </w:rPr>
        <w:t>H.2</w:t>
      </w:r>
      <w:r w:rsidR="00D44878" w:rsidRPr="009F12D9">
        <w:rPr>
          <w:rFonts w:ascii="Times New Roman" w:hAnsi="Times New Roman"/>
          <w:i w:val="0"/>
          <w:lang w:eastAsia="zh-TW"/>
        </w:rPr>
        <w:t>分部指出</w:t>
      </w:r>
      <w:r w:rsidR="00D44878" w:rsidRPr="009F12D9">
        <w:rPr>
          <w:rStyle w:val="FootnoteReference"/>
          <w:i w:val="0"/>
        </w:rPr>
        <w:footnoteReference w:id="33"/>
      </w:r>
      <w:r w:rsidR="00D44878" w:rsidRPr="009F12D9">
        <w:rPr>
          <w:rFonts w:ascii="Times New Roman" w:hAnsi="Times New Roman"/>
          <w:i w:val="0"/>
          <w:lang w:eastAsia="zh-TW"/>
        </w:rPr>
        <w:t>，市民行使「和平集會」的權利，必須與「干擾或威脅干擾公共秩序」及「使用或威脅使用暴力」的行為劃界，不能逾越，否則公共秩序將不能維持，社會將陷入無法無天的狀態，就是有關公害的核心。</w:t>
      </w:r>
      <w:r w:rsidR="00174DE1" w:rsidRPr="009F12D9">
        <w:rPr>
          <w:rFonts w:hint="eastAsia"/>
          <w:i w:val="0"/>
          <w:lang w:eastAsia="zh-HK"/>
        </w:rPr>
        <w:t>潘法官</w:t>
      </w:r>
      <w:r w:rsidR="00D44878" w:rsidRPr="009F12D9">
        <w:rPr>
          <w:rFonts w:ascii="Times New Roman" w:hAnsi="Times New Roman"/>
          <w:i w:val="0"/>
          <w:lang w:eastAsia="zh-TW"/>
        </w:rPr>
        <w:t>再用整個</w:t>
      </w:r>
      <w:r w:rsidR="00D44878" w:rsidRPr="009F12D9">
        <w:rPr>
          <w:rFonts w:ascii="Times New Roman" w:hAnsi="Times New Roman"/>
          <w:i w:val="0"/>
          <w:lang w:eastAsia="zh-TW"/>
        </w:rPr>
        <w:t>H.3</w:t>
      </w:r>
      <w:r w:rsidR="00D44878" w:rsidRPr="009F12D9">
        <w:rPr>
          <w:rFonts w:ascii="Times New Roman" w:hAnsi="Times New Roman"/>
          <w:i w:val="0"/>
          <w:lang w:eastAsia="zh-TW"/>
        </w:rPr>
        <w:t>分部討論參與非法集結的控訴要旨</w:t>
      </w:r>
      <w:r w:rsidR="00D44878" w:rsidRPr="009F12D9">
        <w:rPr>
          <w:rStyle w:val="FootnoteReference"/>
          <w:i w:val="0"/>
        </w:rPr>
        <w:footnoteReference w:id="34"/>
      </w:r>
      <w:r w:rsidR="00D44878" w:rsidRPr="009F12D9">
        <w:rPr>
          <w:rFonts w:ascii="Times New Roman" w:hAnsi="Times New Roman"/>
          <w:i w:val="0"/>
          <w:lang w:eastAsia="zh-TW"/>
        </w:rPr>
        <w:t>，就是要</w:t>
      </w:r>
      <w:r w:rsidR="00174DE1" w:rsidRPr="009F12D9">
        <w:rPr>
          <w:rFonts w:ascii="Times New Roman" w:hAnsi="Times New Roman"/>
          <w:i w:val="0"/>
          <w:lang w:eastAsia="zh-TW"/>
        </w:rPr>
        <w:t>解釋這個罪行的特徵，及這個特徵會如何引致甚至加劇上述的公害。這</w:t>
      </w:r>
      <w:r w:rsidR="00D44878" w:rsidRPr="009F12D9">
        <w:rPr>
          <w:rFonts w:ascii="Times New Roman" w:hAnsi="Times New Roman"/>
          <w:i w:val="0"/>
          <w:lang w:eastAsia="zh-TW"/>
        </w:rPr>
        <w:t>不是光看犯罪行為的表面</w:t>
      </w:r>
      <w:r w:rsidR="00174DE1" w:rsidRPr="009F12D9">
        <w:rPr>
          <w:rFonts w:hint="eastAsia"/>
          <w:i w:val="0"/>
          <w:lang w:eastAsia="zh-HK"/>
        </w:rPr>
        <w:t>就</w:t>
      </w:r>
      <w:r w:rsidR="00D44878" w:rsidRPr="009F12D9">
        <w:rPr>
          <w:i w:val="0"/>
          <w:lang w:eastAsia="zh-TW"/>
        </w:rPr>
        <w:t>可</w:t>
      </w:r>
      <w:r w:rsidR="00D44878" w:rsidRPr="009F12D9">
        <w:rPr>
          <w:rFonts w:ascii="Times New Roman" w:hAnsi="Times New Roman"/>
          <w:i w:val="0"/>
          <w:lang w:eastAsia="zh-TW"/>
        </w:rPr>
        <w:t>以掌握</w:t>
      </w:r>
      <w:r w:rsidR="00D44878" w:rsidRPr="009F12D9">
        <w:rPr>
          <w:rFonts w:ascii="Times New Roman" w:hAnsi="Times New Roman"/>
          <w:i w:val="0"/>
          <w:szCs w:val="28"/>
          <w:lang w:eastAsia="zh-TW"/>
        </w:rPr>
        <w:t>。</w:t>
      </w:r>
    </w:p>
    <w:p w:rsidR="00D44878" w:rsidRPr="009F12D9" w:rsidRDefault="00D44878" w:rsidP="00D44878">
      <w:pPr>
        <w:pStyle w:val="ar-heading1"/>
        <w:keepNext w:val="0"/>
        <w:widowControl w:val="0"/>
        <w:numPr>
          <w:ilvl w:val="0"/>
          <w:numId w:val="5"/>
        </w:numPr>
        <w:ind w:firstLine="0"/>
        <w:jc w:val="both"/>
        <w:rPr>
          <w:rFonts w:ascii="Times New Roman" w:hAnsi="Times New Roman"/>
          <w:i w:val="0"/>
          <w:lang w:val="en-US" w:eastAsia="zh-TW"/>
        </w:rPr>
      </w:pPr>
      <w:r w:rsidRPr="009F12D9">
        <w:rPr>
          <w:i w:val="0"/>
          <w:lang w:eastAsia="zh-TW"/>
        </w:rPr>
        <w:t>為</w:t>
      </w:r>
      <w:r w:rsidR="00174DE1" w:rsidRPr="009F12D9">
        <w:rPr>
          <w:rFonts w:hint="eastAsia"/>
          <w:i w:val="0"/>
          <w:lang w:eastAsia="zh-HK"/>
        </w:rPr>
        <w:t>要</w:t>
      </w:r>
      <w:r w:rsidRPr="009F12D9">
        <w:rPr>
          <w:rFonts w:ascii="Times New Roman" w:hAnsi="Times New Roman"/>
          <w:i w:val="0"/>
          <w:lang w:eastAsia="zh-TW"/>
        </w:rPr>
        <w:t>提醒各有關人員，在同類案件必須認真考慮參與非法集結的控訴要旨，本庭再次把</w:t>
      </w:r>
      <w:r w:rsidRPr="009F12D9">
        <w:rPr>
          <w:rFonts w:ascii="Times New Roman" w:hAnsi="Times New Roman"/>
          <w:i w:val="0"/>
          <w:lang w:eastAsia="zh-TW"/>
        </w:rPr>
        <w:t>H.3</w:t>
      </w:r>
      <w:r w:rsidRPr="009F12D9">
        <w:rPr>
          <w:rFonts w:ascii="Times New Roman" w:hAnsi="Times New Roman"/>
          <w:i w:val="0"/>
          <w:lang w:eastAsia="zh-TW"/>
        </w:rPr>
        <w:t>的最相關部分節錄於下。這部分也是申請人就覆核理由一所援引和依賴的</w:t>
      </w:r>
      <w:r w:rsidRPr="009F12D9">
        <w:rPr>
          <w:rFonts w:ascii="Times New Roman" w:hAnsi="Times New Roman"/>
          <w:i w:val="0"/>
          <w:lang w:val="en-US" w:eastAsia="zh-TW"/>
        </w:rPr>
        <w:t>：</w:t>
      </w:r>
    </w:p>
    <w:p w:rsidR="00D44878" w:rsidRPr="009F12D9" w:rsidRDefault="00D44878" w:rsidP="00D44878">
      <w:pPr>
        <w:pStyle w:val="Quotation"/>
        <w:tabs>
          <w:tab w:val="left" w:pos="720"/>
        </w:tabs>
        <w:ind w:left="720" w:right="662" w:hanging="360"/>
        <w:rPr>
          <w:szCs w:val="24"/>
          <w:lang w:eastAsia="zh-TW"/>
        </w:rPr>
      </w:pPr>
      <w:r w:rsidRPr="009F12D9">
        <w:rPr>
          <w:spacing w:val="6"/>
          <w:lang w:eastAsia="zh-TW"/>
        </w:rPr>
        <w:t>「</w:t>
      </w:r>
      <w:r w:rsidRPr="009F12D9">
        <w:rPr>
          <w:spacing w:val="6"/>
          <w:lang w:eastAsia="zh-TW"/>
        </w:rPr>
        <w:tab/>
        <w:t>123.</w:t>
      </w:r>
      <w:r w:rsidRPr="009F12D9">
        <w:rPr>
          <w:spacing w:val="6"/>
          <w:lang w:eastAsia="zh-TW"/>
        </w:rPr>
        <w:tab/>
      </w:r>
      <w:r w:rsidRPr="009F12D9">
        <w:rPr>
          <w:szCs w:val="28"/>
          <w:lang w:eastAsia="zh-TW"/>
        </w:rPr>
        <w:t>在判刑時，法庭會考慮</w:t>
      </w:r>
      <w:r w:rsidRPr="009F12D9">
        <w:rPr>
          <w:szCs w:val="28"/>
          <w:lang w:eastAsia="zh-HK"/>
        </w:rPr>
        <w:t>犯</w:t>
      </w:r>
      <w:r w:rsidRPr="009F12D9">
        <w:rPr>
          <w:szCs w:val="28"/>
          <w:lang w:eastAsia="zh-TW"/>
        </w:rPr>
        <w:t>案</w:t>
      </w:r>
      <w:r w:rsidRPr="009F12D9">
        <w:rPr>
          <w:szCs w:val="28"/>
          <w:lang w:eastAsia="zh-HK"/>
        </w:rPr>
        <w:t>者被控之</w:t>
      </w:r>
      <w:r w:rsidRPr="009F12D9">
        <w:rPr>
          <w:szCs w:val="28"/>
          <w:lang w:eastAsia="zh-TW"/>
        </w:rPr>
        <w:t>罪行的控訴要旨</w:t>
      </w:r>
      <w:r w:rsidRPr="009F12D9">
        <w:rPr>
          <w:szCs w:val="28"/>
          <w:lang w:eastAsia="zh-TW"/>
        </w:rPr>
        <w:t>(gravamen)</w:t>
      </w:r>
      <w:r w:rsidRPr="009F12D9">
        <w:rPr>
          <w:szCs w:val="28"/>
          <w:lang w:eastAsia="zh-TW"/>
        </w:rPr>
        <w:t>。對於非法集結，罪行的控訴要旨是</w:t>
      </w:r>
      <w:r w:rsidRPr="009F12D9">
        <w:rPr>
          <w:szCs w:val="28"/>
          <w:lang w:eastAsia="zh-HK"/>
        </w:rPr>
        <w:t>參與</w:t>
      </w:r>
      <w:r w:rsidRPr="009F12D9">
        <w:rPr>
          <w:szCs w:val="28"/>
          <w:lang w:eastAsia="zh-TW"/>
        </w:rPr>
        <w:t>者行事時人數</w:t>
      </w:r>
      <w:proofErr w:type="gramStart"/>
      <w:r w:rsidRPr="009F12D9">
        <w:rPr>
          <w:szCs w:val="28"/>
          <w:lang w:eastAsia="zh-TW"/>
        </w:rPr>
        <w:lastRenderedPageBreak/>
        <w:t>眾多，</w:t>
      </w:r>
      <w:proofErr w:type="gramEnd"/>
      <w:r w:rsidRPr="009F12D9">
        <w:rPr>
          <w:szCs w:val="28"/>
          <w:lang w:eastAsia="zh-TW"/>
        </w:rPr>
        <w:t>並利用人多勢眾來達到他們之共同目的：見</w:t>
      </w:r>
      <w:proofErr w:type="spellStart"/>
      <w:r w:rsidRPr="009F12D9">
        <w:rPr>
          <w:i/>
          <w:szCs w:val="28"/>
          <w:lang w:eastAsia="zh-TW"/>
        </w:rPr>
        <w:t>Caird</w:t>
      </w:r>
      <w:proofErr w:type="spellEnd"/>
      <w:r w:rsidRPr="009F12D9">
        <w:rPr>
          <w:szCs w:val="28"/>
          <w:lang w:eastAsia="zh-TW"/>
        </w:rPr>
        <w:t>案，英國上訴法院</w:t>
      </w:r>
      <w:r w:rsidRPr="009F12D9">
        <w:rPr>
          <w:szCs w:val="28"/>
          <w:lang w:eastAsia="zh-TW"/>
        </w:rPr>
        <w:t>Sachs</w:t>
      </w:r>
      <w:r w:rsidRPr="009F12D9">
        <w:rPr>
          <w:szCs w:val="28"/>
          <w:lang w:eastAsia="zh-TW"/>
        </w:rPr>
        <w:t>法官的判詞</w:t>
      </w:r>
      <w:r w:rsidRPr="009F12D9">
        <w:rPr>
          <w:szCs w:val="28"/>
          <w:lang w:eastAsia="zh-HK"/>
        </w:rPr>
        <w:t>第</w:t>
      </w:r>
      <w:r w:rsidRPr="009F12D9">
        <w:rPr>
          <w:szCs w:val="28"/>
          <w:lang w:eastAsia="zh-TW"/>
        </w:rPr>
        <w:t>504-505</w:t>
      </w:r>
      <w:r w:rsidRPr="009F12D9">
        <w:rPr>
          <w:szCs w:val="28"/>
          <w:lang w:eastAsia="zh-HK"/>
        </w:rPr>
        <w:t>頁</w:t>
      </w:r>
      <w:r w:rsidRPr="009F12D9">
        <w:rPr>
          <w:szCs w:val="28"/>
          <w:lang w:eastAsia="zh-TW"/>
        </w:rPr>
        <w:t>。</w:t>
      </w:r>
      <w:proofErr w:type="spellStart"/>
      <w:r w:rsidRPr="009F12D9">
        <w:rPr>
          <w:i/>
          <w:szCs w:val="28"/>
          <w:lang w:eastAsia="zh-HK"/>
        </w:rPr>
        <w:t>Caird</w:t>
      </w:r>
      <w:proofErr w:type="spellEnd"/>
      <w:r w:rsidRPr="009F12D9">
        <w:rPr>
          <w:szCs w:val="28"/>
          <w:lang w:eastAsia="zh-TW"/>
        </w:rPr>
        <w:t>案中的非法集結是普通法</w:t>
      </w:r>
      <w:r w:rsidRPr="009F12D9">
        <w:rPr>
          <w:szCs w:val="28"/>
          <w:lang w:eastAsia="zh-HK"/>
        </w:rPr>
        <w:t>的</w:t>
      </w:r>
      <w:r w:rsidRPr="009F12D9">
        <w:rPr>
          <w:szCs w:val="28"/>
          <w:lang w:eastAsia="zh-TW"/>
        </w:rPr>
        <w:t>罪行，但其控罪要旨和</w:t>
      </w:r>
      <w:r w:rsidRPr="009F12D9">
        <w:rPr>
          <w:lang w:eastAsia="zh-TW"/>
        </w:rPr>
        <w:t>《公安條例》</w:t>
      </w:r>
      <w:r w:rsidRPr="009F12D9">
        <w:rPr>
          <w:szCs w:val="28"/>
          <w:lang w:eastAsia="zh-TW"/>
        </w:rPr>
        <w:t>第</w:t>
      </w:r>
      <w:r w:rsidRPr="009F12D9">
        <w:rPr>
          <w:szCs w:val="28"/>
          <w:lang w:eastAsia="zh-TW"/>
        </w:rPr>
        <w:t>18</w:t>
      </w:r>
      <w:r w:rsidRPr="009F12D9">
        <w:rPr>
          <w:szCs w:val="28"/>
          <w:lang w:eastAsia="zh-TW"/>
        </w:rPr>
        <w:t>條之下法定的非法集結罪行是一樣的：參考</w:t>
      </w:r>
      <w:r w:rsidRPr="009F12D9">
        <w:rPr>
          <w:i/>
          <w:lang w:eastAsia="zh-TW"/>
        </w:rPr>
        <w:t>梁國華</w:t>
      </w:r>
      <w:r w:rsidRPr="009F12D9">
        <w:rPr>
          <w:lang w:eastAsia="zh-TW"/>
        </w:rPr>
        <w:t>案，上訴法庭法官林文瀚（當時官階）的判詞第</w:t>
      </w:r>
      <w:r w:rsidRPr="009F12D9">
        <w:rPr>
          <w:lang w:eastAsia="zh-TW"/>
        </w:rPr>
        <w:t>18-22</w:t>
      </w:r>
      <w:r w:rsidRPr="009F12D9">
        <w:rPr>
          <w:lang w:eastAsia="zh-TW"/>
        </w:rPr>
        <w:t>段</w:t>
      </w:r>
      <w:r w:rsidRPr="009F12D9">
        <w:rPr>
          <w:szCs w:val="24"/>
          <w:lang w:eastAsia="zh-TW"/>
        </w:rPr>
        <w:t>。</w:t>
      </w:r>
    </w:p>
    <w:p w:rsidR="00D44878" w:rsidRPr="009F12D9" w:rsidRDefault="00D44878" w:rsidP="00D44878">
      <w:pPr>
        <w:pStyle w:val="Quotation"/>
        <w:tabs>
          <w:tab w:val="left" w:pos="720"/>
        </w:tabs>
        <w:ind w:left="720" w:right="662" w:hanging="360"/>
        <w:rPr>
          <w:lang w:eastAsia="zh-TW"/>
        </w:rPr>
      </w:pPr>
      <w:r w:rsidRPr="009F12D9">
        <w:rPr>
          <w:szCs w:val="24"/>
          <w:lang w:eastAsia="zh-TW"/>
        </w:rPr>
        <w:tab/>
        <w:t>124.</w:t>
      </w:r>
      <w:r w:rsidRPr="009F12D9">
        <w:rPr>
          <w:szCs w:val="24"/>
          <w:lang w:eastAsia="zh-TW"/>
        </w:rPr>
        <w:tab/>
      </w:r>
      <w:r w:rsidRPr="009F12D9">
        <w:rPr>
          <w:szCs w:val="28"/>
          <w:lang w:eastAsia="zh-TW"/>
        </w:rPr>
        <w:t>在較近期的</w:t>
      </w:r>
      <w:r w:rsidRPr="009F12D9">
        <w:rPr>
          <w:i/>
          <w:szCs w:val="28"/>
          <w:lang w:eastAsia="zh-TW"/>
        </w:rPr>
        <w:t xml:space="preserve">R v Gilmour </w:t>
      </w:r>
      <w:r w:rsidRPr="009F12D9">
        <w:rPr>
          <w:szCs w:val="28"/>
          <w:lang w:eastAsia="zh-TW"/>
        </w:rPr>
        <w:t xml:space="preserve">[2011] EWCA </w:t>
      </w:r>
      <w:proofErr w:type="spellStart"/>
      <w:r w:rsidRPr="009F12D9">
        <w:rPr>
          <w:szCs w:val="28"/>
          <w:lang w:eastAsia="zh-TW"/>
        </w:rPr>
        <w:t>Crim</w:t>
      </w:r>
      <w:proofErr w:type="spellEnd"/>
      <w:r w:rsidRPr="009F12D9">
        <w:rPr>
          <w:szCs w:val="28"/>
          <w:lang w:eastAsia="zh-TW"/>
        </w:rPr>
        <w:t xml:space="preserve"> 2458, </w:t>
      </w:r>
      <w:r w:rsidRPr="009F12D9">
        <w:rPr>
          <w:szCs w:val="28"/>
          <w:lang w:eastAsia="zh-TW"/>
        </w:rPr>
        <w:t>英國上訴法院</w:t>
      </w:r>
      <w:r w:rsidRPr="009F12D9">
        <w:rPr>
          <w:szCs w:val="28"/>
          <w:lang w:eastAsia="zh-TW"/>
        </w:rPr>
        <w:t>Hughes</w:t>
      </w:r>
      <w:r w:rsidRPr="009F12D9">
        <w:rPr>
          <w:szCs w:val="28"/>
          <w:lang w:eastAsia="zh-TW"/>
        </w:rPr>
        <w:t>法官說</w:t>
      </w:r>
      <w:r w:rsidRPr="009F12D9">
        <w:rPr>
          <w:lang w:eastAsia="zh-TW"/>
        </w:rPr>
        <w:t>（意譯）：</w:t>
      </w:r>
    </w:p>
    <w:p w:rsidR="00D44878" w:rsidRPr="009F12D9" w:rsidRDefault="00D44878" w:rsidP="00D44878">
      <w:pPr>
        <w:pStyle w:val="Quotation"/>
        <w:ind w:right="662" w:hanging="360"/>
        <w:rPr>
          <w:szCs w:val="24"/>
          <w:lang w:eastAsia="zh-TW"/>
        </w:rPr>
      </w:pPr>
      <w:r w:rsidRPr="009F12D9">
        <w:rPr>
          <w:lang w:eastAsia="zh-TW"/>
        </w:rPr>
        <w:t>『</w:t>
      </w:r>
      <w:r w:rsidRPr="009F12D9">
        <w:rPr>
          <w:lang w:eastAsia="zh-TW"/>
        </w:rPr>
        <w:tab/>
      </w:r>
      <w:r w:rsidRPr="009F12D9">
        <w:rPr>
          <w:lang w:eastAsia="zh-TW"/>
        </w:rPr>
        <w:tab/>
      </w:r>
      <w:r w:rsidRPr="009F12D9">
        <w:rPr>
          <w:szCs w:val="24"/>
          <w:lang w:eastAsia="zh-TW"/>
        </w:rPr>
        <w:t>集體擾亂秩序定必有一個特點，就是每個個人的行為，無論本身特性為何，都會感染及鼓勵其他人作出類似行為，正就是羣體行動造成的整體效果，令公眾受害。』</w:t>
      </w:r>
    </w:p>
    <w:p w:rsidR="00B66AD2" w:rsidRPr="009F12D9" w:rsidRDefault="00B66AD2" w:rsidP="00B66AD2">
      <w:pPr>
        <w:pStyle w:val="Quotation"/>
        <w:tabs>
          <w:tab w:val="left" w:pos="720"/>
        </w:tabs>
        <w:ind w:left="720" w:right="662" w:hanging="360"/>
        <w:rPr>
          <w:lang w:eastAsia="zh-TW"/>
        </w:rPr>
      </w:pPr>
      <w:r w:rsidRPr="009F12D9">
        <w:rPr>
          <w:szCs w:val="24"/>
          <w:lang w:eastAsia="zh-TW"/>
        </w:rPr>
        <w:tab/>
      </w:r>
      <w:r w:rsidRPr="009F12D9">
        <w:rPr>
          <w:szCs w:val="28"/>
          <w:lang w:eastAsia="zh-TW"/>
        </w:rPr>
        <w:t>在</w:t>
      </w:r>
      <w:r w:rsidRPr="009F12D9">
        <w:rPr>
          <w:i/>
          <w:szCs w:val="28"/>
          <w:lang w:eastAsia="zh-TW"/>
        </w:rPr>
        <w:t>R v</w:t>
      </w:r>
      <w:r w:rsidRPr="009F12D9">
        <w:rPr>
          <w:szCs w:val="28"/>
          <w:lang w:eastAsia="zh-TW"/>
        </w:rPr>
        <w:t xml:space="preserve"> </w:t>
      </w:r>
      <w:proofErr w:type="spellStart"/>
      <w:r w:rsidRPr="009F12D9">
        <w:rPr>
          <w:i/>
          <w:szCs w:val="28"/>
          <w:lang w:eastAsia="zh-TW"/>
        </w:rPr>
        <w:t>Blackshaw</w:t>
      </w:r>
      <w:proofErr w:type="spellEnd"/>
      <w:r w:rsidRPr="009F12D9">
        <w:rPr>
          <w:szCs w:val="28"/>
          <w:lang w:eastAsia="zh-TW"/>
        </w:rPr>
        <w:t xml:space="preserve"> [2011] EWCA </w:t>
      </w:r>
      <w:proofErr w:type="spellStart"/>
      <w:r w:rsidRPr="009F12D9">
        <w:rPr>
          <w:szCs w:val="28"/>
          <w:lang w:eastAsia="zh-TW"/>
        </w:rPr>
        <w:t>Crim</w:t>
      </w:r>
      <w:proofErr w:type="spellEnd"/>
      <w:r w:rsidRPr="009F12D9">
        <w:rPr>
          <w:szCs w:val="28"/>
          <w:lang w:eastAsia="zh-TW"/>
        </w:rPr>
        <w:t xml:space="preserve"> 2312</w:t>
      </w:r>
      <w:r w:rsidRPr="009F12D9">
        <w:rPr>
          <w:szCs w:val="28"/>
          <w:lang w:eastAsia="zh-TW"/>
        </w:rPr>
        <w:t>，英國上訴法院首席法官</w:t>
      </w:r>
      <w:r w:rsidRPr="009F12D9">
        <w:rPr>
          <w:szCs w:val="28"/>
          <w:lang w:eastAsia="zh-TW"/>
        </w:rPr>
        <w:t>Judge</w:t>
      </w:r>
      <w:r w:rsidRPr="009F12D9">
        <w:rPr>
          <w:szCs w:val="28"/>
          <w:lang w:eastAsia="zh-TW"/>
        </w:rPr>
        <w:t>勳爵</w:t>
      </w:r>
      <w:r w:rsidRPr="009F12D9">
        <w:rPr>
          <w:szCs w:val="28"/>
          <w:lang w:eastAsia="zh-HK"/>
        </w:rPr>
        <w:t>亦</w:t>
      </w:r>
      <w:r w:rsidRPr="009F12D9">
        <w:rPr>
          <w:szCs w:val="28"/>
          <w:lang w:eastAsia="zh-TW"/>
        </w:rPr>
        <w:t>有類似的看法，他在判詞第</w:t>
      </w:r>
      <w:r w:rsidRPr="009F12D9">
        <w:rPr>
          <w:szCs w:val="28"/>
          <w:lang w:eastAsia="zh-TW"/>
        </w:rPr>
        <w:t>9</w:t>
      </w:r>
      <w:r w:rsidRPr="009F12D9">
        <w:rPr>
          <w:szCs w:val="28"/>
          <w:lang w:eastAsia="zh-TW"/>
        </w:rPr>
        <w:t>段形容參與暴力非法集會的犯案者的心態時說</w:t>
      </w:r>
      <w:r w:rsidRPr="009F12D9">
        <w:rPr>
          <w:lang w:eastAsia="zh-TW"/>
        </w:rPr>
        <w:t>（意譯）：</w:t>
      </w:r>
    </w:p>
    <w:p w:rsidR="00B66AD2" w:rsidRPr="009F12D9" w:rsidRDefault="00B66AD2" w:rsidP="00D44878">
      <w:pPr>
        <w:pStyle w:val="Quotation"/>
        <w:ind w:right="662" w:hanging="360"/>
        <w:rPr>
          <w:szCs w:val="24"/>
          <w:lang w:eastAsia="zh-TW"/>
        </w:rPr>
      </w:pPr>
      <w:r w:rsidRPr="009F12D9">
        <w:rPr>
          <w:lang w:eastAsia="zh-TW"/>
        </w:rPr>
        <w:t>『</w:t>
      </w:r>
      <w:r w:rsidRPr="009F12D9">
        <w:rPr>
          <w:lang w:eastAsia="zh-TW"/>
        </w:rPr>
        <w:tab/>
      </w:r>
      <w:r w:rsidRPr="009F12D9">
        <w:rPr>
          <w:lang w:eastAsia="zh-TW"/>
        </w:rPr>
        <w:tab/>
      </w:r>
      <w:r w:rsidRPr="009F12D9">
        <w:rPr>
          <w:szCs w:val="24"/>
          <w:lang w:eastAsia="zh-TW"/>
        </w:rPr>
        <w:t>現實是那些犯罪者從他們周圍的其他犯罪者得到支持、安慰及鼓勵。也許，牽涉的人數眾多也會令部分犯罪者相信他們是不受監管的，而其罪行亦不會被偵破的。』</w:t>
      </w:r>
    </w:p>
    <w:p w:rsidR="00D44878" w:rsidRPr="009F12D9" w:rsidRDefault="00D44878" w:rsidP="00D44878">
      <w:pPr>
        <w:pStyle w:val="Quotation"/>
        <w:tabs>
          <w:tab w:val="left" w:pos="720"/>
        </w:tabs>
        <w:ind w:left="720" w:right="662" w:hanging="360"/>
        <w:rPr>
          <w:szCs w:val="24"/>
          <w:lang w:eastAsia="zh-TW"/>
        </w:rPr>
      </w:pPr>
      <w:r w:rsidRPr="009F12D9">
        <w:rPr>
          <w:szCs w:val="24"/>
          <w:lang w:eastAsia="zh-TW"/>
        </w:rPr>
        <w:tab/>
        <w:t>125.</w:t>
      </w:r>
      <w:r w:rsidRPr="009F12D9">
        <w:rPr>
          <w:szCs w:val="24"/>
          <w:lang w:eastAsia="zh-TW"/>
        </w:rPr>
        <w:tab/>
      </w:r>
      <w:r w:rsidR="00B66AD2" w:rsidRPr="009F12D9">
        <w:rPr>
          <w:lang w:eastAsia="zh-TW"/>
        </w:rPr>
        <w:t>雖然</w:t>
      </w:r>
      <w:r w:rsidR="00B66AD2" w:rsidRPr="009F12D9">
        <w:rPr>
          <w:i/>
          <w:lang w:eastAsia="zh-TW"/>
        </w:rPr>
        <w:t>Gilmour</w:t>
      </w:r>
      <w:r w:rsidR="00B66AD2" w:rsidRPr="009F12D9">
        <w:rPr>
          <w:lang w:eastAsia="zh-TW"/>
        </w:rPr>
        <w:t>案</w:t>
      </w:r>
      <w:r w:rsidR="00B66AD2" w:rsidRPr="009F12D9">
        <w:rPr>
          <w:lang w:eastAsia="zh-TW"/>
        </w:rPr>
        <w:t xml:space="preserve"> </w:t>
      </w:r>
      <w:r w:rsidR="00B66AD2" w:rsidRPr="009F12D9">
        <w:rPr>
          <w:lang w:eastAsia="zh-TW"/>
        </w:rPr>
        <w:t>和</w:t>
      </w:r>
      <w:proofErr w:type="spellStart"/>
      <w:r w:rsidR="00B66AD2" w:rsidRPr="009F12D9">
        <w:rPr>
          <w:i/>
          <w:lang w:eastAsia="zh-TW"/>
        </w:rPr>
        <w:t>Blackshaw</w:t>
      </w:r>
      <w:proofErr w:type="spellEnd"/>
      <w:r w:rsidR="00B66AD2" w:rsidRPr="009F12D9">
        <w:rPr>
          <w:lang w:eastAsia="zh-TW"/>
        </w:rPr>
        <w:t>案中的控罪不是非法集結，是其他破壞公共秩序的罪行，但犯案者</w:t>
      </w:r>
      <w:r w:rsidR="00B66AD2" w:rsidRPr="009F12D9">
        <w:rPr>
          <w:szCs w:val="28"/>
          <w:lang w:eastAsia="zh-TW"/>
        </w:rPr>
        <w:t>利用人多勢眾來達到他們之共同目的，是所有集體破壞公共秩序罪行的共通點，所以</w:t>
      </w:r>
      <w:r w:rsidR="00B66AD2" w:rsidRPr="009F12D9">
        <w:rPr>
          <w:szCs w:val="28"/>
          <w:lang w:eastAsia="zh-TW"/>
        </w:rPr>
        <w:t>Hughes</w:t>
      </w:r>
      <w:r w:rsidR="00B66AD2" w:rsidRPr="009F12D9">
        <w:rPr>
          <w:szCs w:val="28"/>
          <w:lang w:eastAsia="zh-TW"/>
        </w:rPr>
        <w:t>法官和</w:t>
      </w:r>
      <w:r w:rsidR="00B66AD2" w:rsidRPr="009F12D9">
        <w:rPr>
          <w:szCs w:val="28"/>
          <w:lang w:eastAsia="zh-TW"/>
        </w:rPr>
        <w:t>Judge</w:t>
      </w:r>
      <w:r w:rsidR="00B66AD2" w:rsidRPr="009F12D9">
        <w:rPr>
          <w:szCs w:val="28"/>
          <w:lang w:eastAsia="zh-TW"/>
        </w:rPr>
        <w:t>勳爵上述評語，對第</w:t>
      </w:r>
      <w:r w:rsidR="00B66AD2" w:rsidRPr="009F12D9">
        <w:rPr>
          <w:szCs w:val="28"/>
          <w:lang w:eastAsia="zh-TW"/>
        </w:rPr>
        <w:t>18</w:t>
      </w:r>
      <w:r w:rsidR="00B66AD2" w:rsidRPr="009F12D9">
        <w:rPr>
          <w:szCs w:val="28"/>
          <w:lang w:eastAsia="zh-TW"/>
        </w:rPr>
        <w:t>條的非法集結同樣適用。</w:t>
      </w:r>
    </w:p>
    <w:p w:rsidR="00D44878" w:rsidRPr="009F12D9" w:rsidRDefault="00D44878" w:rsidP="00D44878">
      <w:pPr>
        <w:pStyle w:val="Quotation"/>
        <w:tabs>
          <w:tab w:val="left" w:pos="720"/>
        </w:tabs>
        <w:ind w:left="720" w:right="662" w:hanging="360"/>
        <w:rPr>
          <w:szCs w:val="24"/>
          <w:lang w:eastAsia="zh-TW"/>
        </w:rPr>
      </w:pPr>
      <w:r w:rsidRPr="009F12D9">
        <w:rPr>
          <w:szCs w:val="24"/>
          <w:lang w:eastAsia="zh-TW"/>
        </w:rPr>
        <w:tab/>
        <w:t>126.</w:t>
      </w:r>
      <w:r w:rsidRPr="009F12D9">
        <w:rPr>
          <w:szCs w:val="24"/>
          <w:lang w:eastAsia="zh-TW"/>
        </w:rPr>
        <w:tab/>
      </w:r>
      <w:r w:rsidR="00B66AD2" w:rsidRPr="009F12D9">
        <w:rPr>
          <w:lang w:eastAsia="zh-TW"/>
        </w:rPr>
        <w:t>再者，經驗告訴我們，當大批示威者聚集時，很大可能會出現情緒高漲甚至激動的情況，而這種情況本身有造成暴力事件的風險。有時，甚至會有以挑起暴力事端為目的之不法之徒在場趁機行事，這方面的風險不容忽視：見</w:t>
      </w:r>
      <w:r w:rsidR="00B66AD2" w:rsidRPr="009F12D9">
        <w:rPr>
          <w:i/>
          <w:lang w:eastAsia="zh-TW"/>
        </w:rPr>
        <w:t>女王</w:t>
      </w:r>
      <w:r w:rsidR="00B66AD2" w:rsidRPr="009F12D9">
        <w:rPr>
          <w:i/>
          <w:lang w:eastAsia="zh-TW"/>
        </w:rPr>
        <w:t xml:space="preserve"> </w:t>
      </w:r>
      <w:r w:rsidR="00B66AD2" w:rsidRPr="009F12D9">
        <w:rPr>
          <w:i/>
          <w:lang w:eastAsia="zh-TW"/>
        </w:rPr>
        <w:t>訴</w:t>
      </w:r>
      <w:r w:rsidR="00B66AD2" w:rsidRPr="009F12D9">
        <w:rPr>
          <w:i/>
          <w:lang w:eastAsia="zh-TW"/>
        </w:rPr>
        <w:t xml:space="preserve"> </w:t>
      </w:r>
      <w:r w:rsidR="00B66AD2" w:rsidRPr="009F12D9">
        <w:rPr>
          <w:i/>
          <w:lang w:eastAsia="zh-TW"/>
        </w:rPr>
        <w:t>陶君行</w:t>
      </w:r>
      <w:r w:rsidR="00B66AD2" w:rsidRPr="009F12D9">
        <w:rPr>
          <w:i/>
          <w:lang w:eastAsia="zh-TW"/>
        </w:rPr>
        <w:t xml:space="preserve"> </w:t>
      </w:r>
      <w:r w:rsidR="00B66AD2" w:rsidRPr="009F12D9">
        <w:rPr>
          <w:lang w:eastAsia="zh-TW"/>
        </w:rPr>
        <w:t xml:space="preserve">[1995] 1 HKCLR 251, </w:t>
      </w:r>
      <w:r w:rsidR="00B66AD2" w:rsidRPr="009F12D9">
        <w:rPr>
          <w:lang w:eastAsia="zh-TW"/>
        </w:rPr>
        <w:t>麥道高法官的判詞第</w:t>
      </w:r>
      <w:r w:rsidR="00B66AD2" w:rsidRPr="009F12D9">
        <w:rPr>
          <w:lang w:eastAsia="zh-TW"/>
        </w:rPr>
        <w:t>257</w:t>
      </w:r>
      <w:r w:rsidR="00B66AD2" w:rsidRPr="009F12D9">
        <w:rPr>
          <w:lang w:eastAsia="zh-TW"/>
        </w:rPr>
        <w:t>頁。因此，</w:t>
      </w:r>
      <w:r w:rsidR="00B66AD2" w:rsidRPr="009F12D9">
        <w:rPr>
          <w:szCs w:val="28"/>
          <w:lang w:eastAsia="zh-TW"/>
        </w:rPr>
        <w:t>第</w:t>
      </w:r>
      <w:r w:rsidR="00B66AD2" w:rsidRPr="009F12D9">
        <w:rPr>
          <w:szCs w:val="28"/>
          <w:lang w:eastAsia="zh-TW"/>
        </w:rPr>
        <w:t>18</w:t>
      </w:r>
      <w:r w:rsidR="00B66AD2" w:rsidRPr="009F12D9">
        <w:rPr>
          <w:szCs w:val="28"/>
          <w:lang w:eastAsia="zh-TW"/>
        </w:rPr>
        <w:t>條的非法集結是必需的預防措施，對社會安寧可能被破壞和破壞社會安寧所引發的嚴重後果防微杜漸：</w:t>
      </w:r>
      <w:r w:rsidR="00B66AD2" w:rsidRPr="009F12D9">
        <w:rPr>
          <w:i/>
          <w:lang w:eastAsia="zh-TW"/>
        </w:rPr>
        <w:t>梁國華</w:t>
      </w:r>
      <w:r w:rsidR="00B66AD2" w:rsidRPr="009F12D9">
        <w:rPr>
          <w:lang w:eastAsia="zh-TW"/>
        </w:rPr>
        <w:t>案，上訴法庭法官林文瀚的判詞第</w:t>
      </w:r>
      <w:r w:rsidR="00B66AD2" w:rsidRPr="009F12D9">
        <w:rPr>
          <w:lang w:eastAsia="zh-TW"/>
        </w:rPr>
        <w:t>40</w:t>
      </w:r>
      <w:r w:rsidR="00B66AD2" w:rsidRPr="009F12D9">
        <w:rPr>
          <w:lang w:eastAsia="zh-TW"/>
        </w:rPr>
        <w:t>段。</w:t>
      </w:r>
    </w:p>
    <w:p w:rsidR="00D44878" w:rsidRPr="009F12D9" w:rsidRDefault="00D44878" w:rsidP="00D44878">
      <w:pPr>
        <w:pStyle w:val="Quotation"/>
        <w:tabs>
          <w:tab w:val="left" w:pos="720"/>
        </w:tabs>
        <w:spacing w:after="520"/>
        <w:ind w:left="720" w:right="662" w:hanging="360"/>
        <w:rPr>
          <w:spacing w:val="6"/>
          <w:lang w:eastAsia="zh-HK"/>
        </w:rPr>
      </w:pPr>
      <w:r w:rsidRPr="009F12D9">
        <w:rPr>
          <w:szCs w:val="24"/>
          <w:lang w:eastAsia="zh-TW"/>
        </w:rPr>
        <w:tab/>
        <w:t>127.</w:t>
      </w:r>
      <w:r w:rsidRPr="009F12D9">
        <w:rPr>
          <w:szCs w:val="24"/>
          <w:lang w:eastAsia="zh-TW"/>
        </w:rPr>
        <w:tab/>
      </w:r>
      <w:r w:rsidR="00B66AD2" w:rsidRPr="009F12D9">
        <w:rPr>
          <w:lang w:eastAsia="zh-TW"/>
        </w:rPr>
        <w:t>在維護公共秩序的大前題下，並且顧</w:t>
      </w:r>
      <w:r w:rsidR="00B66AD2" w:rsidRPr="009F12D9">
        <w:rPr>
          <w:lang w:eastAsia="zh-HK"/>
        </w:rPr>
        <w:t>及</w:t>
      </w:r>
      <w:r w:rsidR="00B66AD2" w:rsidRPr="009F12D9">
        <w:rPr>
          <w:lang w:eastAsia="zh-TW"/>
        </w:rPr>
        <w:t>到非法集結的控罪要旨，法庭在判刑時除了要對犯案者施予合適的</w:t>
      </w:r>
      <w:r w:rsidR="00B66AD2" w:rsidRPr="009F12D9">
        <w:rPr>
          <w:szCs w:val="28"/>
          <w:lang w:eastAsia="zh-TW"/>
        </w:rPr>
        <w:t>懲罰，亦需要</w:t>
      </w:r>
      <w:r w:rsidR="00B66AD2" w:rsidRPr="009F12D9">
        <w:rPr>
          <w:lang w:eastAsia="zh-TW"/>
        </w:rPr>
        <w:t>考慮阻嚇的判刑元素，即判刑不僅要防止犯案者重犯，亦需要</w:t>
      </w:r>
      <w:r w:rsidR="00B66AD2" w:rsidRPr="009F12D9">
        <w:rPr>
          <w:szCs w:val="28"/>
          <w:lang w:eastAsia="zh-TW"/>
        </w:rPr>
        <w:t>以儆效尤，阻嚇其他人不要以身試法，有樣學樣來破壞或擾亂公共秩序。法庭應該給予阻嚇這判刑元素的比重，則視乎案件實際的情況而定。若案情嚴重，法庭需要判處具阻嚇性的刑罰。</w:t>
      </w:r>
      <w:r w:rsidRPr="009F12D9">
        <w:rPr>
          <w:spacing w:val="6"/>
          <w:lang w:eastAsia="zh-TW"/>
        </w:rPr>
        <w:t>」</w:t>
      </w:r>
    </w:p>
    <w:p w:rsidR="00B66AD2" w:rsidRPr="009F12D9" w:rsidRDefault="00B66AD2" w:rsidP="00B66AD2">
      <w:pPr>
        <w:pStyle w:val="Final"/>
        <w:keepNext/>
        <w:tabs>
          <w:tab w:val="clear" w:pos="1440"/>
          <w:tab w:val="clear" w:pos="4320"/>
          <w:tab w:val="clear" w:pos="9072"/>
          <w:tab w:val="left" w:pos="720"/>
          <w:tab w:val="center" w:pos="4234"/>
          <w:tab w:val="right" w:pos="8453"/>
        </w:tabs>
        <w:spacing w:after="360"/>
        <w:ind w:left="720" w:hanging="720"/>
        <w:rPr>
          <w:i/>
          <w:lang w:eastAsia="zh-TW"/>
        </w:rPr>
      </w:pPr>
      <w:r w:rsidRPr="009F12D9">
        <w:rPr>
          <w:i/>
          <w:lang w:eastAsia="zh-TW"/>
        </w:rPr>
        <w:lastRenderedPageBreak/>
        <w:t xml:space="preserve">H2. </w:t>
      </w:r>
      <w:r w:rsidRPr="009F12D9">
        <w:rPr>
          <w:i/>
          <w:lang w:eastAsia="zh-TW"/>
        </w:rPr>
        <w:tab/>
      </w:r>
      <w:r w:rsidRPr="009F12D9">
        <w:rPr>
          <w:i/>
          <w:lang w:eastAsia="zh-TW"/>
        </w:rPr>
        <w:t>確實使用暴力與否的問題</w:t>
      </w:r>
    </w:p>
    <w:p w:rsidR="00D44878" w:rsidRPr="009F12D9" w:rsidRDefault="00B66AD2" w:rsidP="00D44878">
      <w:pPr>
        <w:pStyle w:val="ar-heading1"/>
        <w:keepNext w:val="0"/>
        <w:numPr>
          <w:ilvl w:val="0"/>
          <w:numId w:val="5"/>
        </w:numPr>
        <w:spacing w:before="0" w:after="520"/>
        <w:ind w:firstLine="0"/>
        <w:jc w:val="both"/>
        <w:rPr>
          <w:rFonts w:ascii="Times New Roman" w:hAnsi="Times New Roman"/>
          <w:i w:val="0"/>
          <w:lang w:val="en-US" w:eastAsia="zh-TW"/>
        </w:rPr>
      </w:pPr>
      <w:r w:rsidRPr="009F12D9">
        <w:rPr>
          <w:rFonts w:ascii="Times New Roman" w:hAnsi="Times New Roman"/>
          <w:i w:val="0"/>
          <w:lang w:eastAsia="zh-TW"/>
        </w:rPr>
        <w:t>在</w:t>
      </w:r>
      <w:r w:rsidRPr="009F12D9">
        <w:rPr>
          <w:rFonts w:ascii="Times New Roman" w:hAnsi="Times New Roman"/>
          <w:lang w:eastAsia="zh-TW"/>
        </w:rPr>
        <w:t>黃之鋒</w:t>
      </w:r>
      <w:r w:rsidRPr="009F12D9">
        <w:rPr>
          <w:rFonts w:ascii="Times New Roman" w:hAnsi="Times New Roman"/>
          <w:i w:val="0"/>
          <w:lang w:eastAsia="zh-TW"/>
        </w:rPr>
        <w:t xml:space="preserve"> </w:t>
      </w:r>
      <w:r w:rsidRPr="009F12D9">
        <w:rPr>
          <w:rFonts w:ascii="Times New Roman" w:hAnsi="Times New Roman"/>
          <w:i w:val="0"/>
          <w:lang w:eastAsia="zh-TW"/>
        </w:rPr>
        <w:t>案，</w:t>
      </w:r>
      <w:r w:rsidRPr="009F12D9">
        <w:rPr>
          <w:rFonts w:ascii="Times New Roman" w:hAnsi="Times New Roman"/>
          <w:i w:val="0"/>
          <w:lang w:eastAsia="zh-TW"/>
        </w:rPr>
        <w:t>H.3</w:t>
      </w:r>
      <w:r w:rsidRPr="009F12D9">
        <w:rPr>
          <w:rFonts w:ascii="Times New Roman" w:hAnsi="Times New Roman"/>
          <w:i w:val="0"/>
          <w:lang w:eastAsia="zh-TW"/>
        </w:rPr>
        <w:t>的標題是「非法集結的控罪要旨」。它的內容並不只</w:t>
      </w:r>
      <w:r w:rsidR="003210D5" w:rsidRPr="009F12D9">
        <w:rPr>
          <w:rFonts w:ascii="Times New Roman" w:hAnsi="Times New Roman"/>
          <w:i w:val="0"/>
          <w:lang w:eastAsia="zh-HK"/>
        </w:rPr>
        <w:t>是適用</w:t>
      </w:r>
      <w:r w:rsidRPr="009F12D9">
        <w:rPr>
          <w:rFonts w:ascii="Times New Roman" w:hAnsi="Times New Roman"/>
          <w:i w:val="0"/>
          <w:lang w:eastAsia="zh-TW"/>
        </w:rPr>
        <w:t>於涉及暴力的非法集結。它也適用於不涉及實質暴力的非法集結。事實上，</w:t>
      </w:r>
      <w:r w:rsidR="000F230B" w:rsidRPr="009F12D9">
        <w:rPr>
          <w:rFonts w:hint="eastAsia"/>
          <w:i w:val="0"/>
          <w:lang w:eastAsia="zh-HK"/>
        </w:rPr>
        <w:t>潘</w:t>
      </w:r>
      <w:r w:rsidRPr="009F12D9">
        <w:rPr>
          <w:i w:val="0"/>
          <w:lang w:eastAsia="zh-TW"/>
        </w:rPr>
        <w:t>上訴法庭</w:t>
      </w:r>
      <w:r w:rsidR="000F230B" w:rsidRPr="009F12D9">
        <w:rPr>
          <w:rFonts w:hint="eastAsia"/>
          <w:i w:val="0"/>
          <w:lang w:eastAsia="zh-HK"/>
        </w:rPr>
        <w:t>法官</w:t>
      </w:r>
      <w:r w:rsidRPr="009F12D9">
        <w:rPr>
          <w:rFonts w:ascii="Times New Roman" w:hAnsi="Times New Roman"/>
          <w:i w:val="0"/>
          <w:lang w:eastAsia="zh-TW"/>
        </w:rPr>
        <w:t>要到下一個分部</w:t>
      </w:r>
      <w:r w:rsidRPr="009F12D9">
        <w:rPr>
          <w:rFonts w:ascii="Times New Roman" w:hAnsi="Times New Roman"/>
          <w:i w:val="0"/>
          <w:lang w:eastAsia="zh-TW"/>
        </w:rPr>
        <w:t>H.4</w:t>
      </w:r>
      <w:r w:rsidRPr="009F12D9">
        <w:rPr>
          <w:rFonts w:ascii="Times New Roman" w:hAnsi="Times New Roman"/>
          <w:i w:val="0"/>
          <w:lang w:eastAsia="zh-TW"/>
        </w:rPr>
        <w:t>才在「使用暴力擾亂公共秩序」的標題下展開和暴力直接有關的討論</w:t>
      </w:r>
      <w:r w:rsidR="00D44878" w:rsidRPr="009F12D9">
        <w:rPr>
          <w:rFonts w:ascii="Times New Roman" w:hAnsi="Times New Roman"/>
          <w:i w:val="0"/>
          <w:szCs w:val="28"/>
          <w:lang w:eastAsia="zh-TW"/>
        </w:rPr>
        <w:t>。</w:t>
      </w:r>
    </w:p>
    <w:p w:rsidR="00D44878" w:rsidRPr="009F12D9" w:rsidRDefault="00B66AD2" w:rsidP="00D44878">
      <w:pPr>
        <w:pStyle w:val="ar-heading1"/>
        <w:keepNext w:val="0"/>
        <w:numPr>
          <w:ilvl w:val="0"/>
          <w:numId w:val="5"/>
        </w:numPr>
        <w:spacing w:before="0" w:after="520"/>
        <w:ind w:firstLine="0"/>
        <w:jc w:val="both"/>
        <w:rPr>
          <w:rFonts w:ascii="Times New Roman" w:hAnsi="Times New Roman"/>
          <w:i w:val="0"/>
          <w:lang w:val="en-US" w:eastAsia="zh-TW"/>
        </w:rPr>
      </w:pPr>
      <w:r w:rsidRPr="009F12D9">
        <w:rPr>
          <w:rFonts w:ascii="Times New Roman" w:hAnsi="Times New Roman"/>
          <w:i w:val="0"/>
          <w:lang w:eastAsia="zh-TW"/>
        </w:rPr>
        <w:t>然而，值得留意的是</w:t>
      </w:r>
      <w:r w:rsidRPr="009F12D9">
        <w:rPr>
          <w:rFonts w:ascii="Times New Roman" w:hAnsi="Times New Roman"/>
          <w:i w:val="0"/>
          <w:lang w:eastAsia="zh-TW"/>
        </w:rPr>
        <w:t>H.3</w:t>
      </w:r>
      <w:r w:rsidRPr="009F12D9">
        <w:rPr>
          <w:rFonts w:ascii="Times New Roman" w:hAnsi="Times New Roman"/>
          <w:i w:val="0"/>
          <w:lang w:eastAsia="zh-TW"/>
        </w:rPr>
        <w:t>最後兩段</w:t>
      </w:r>
      <w:r w:rsidR="003210D5" w:rsidRPr="009F12D9">
        <w:rPr>
          <w:rStyle w:val="FootnoteReference"/>
          <w:i w:val="0"/>
        </w:rPr>
        <w:footnoteReference w:id="35"/>
      </w:r>
      <w:r w:rsidRPr="009F12D9">
        <w:rPr>
          <w:rFonts w:ascii="Times New Roman" w:hAnsi="Times New Roman"/>
          <w:i w:val="0"/>
          <w:lang w:eastAsia="zh-TW"/>
        </w:rPr>
        <w:t>。它們分別指出</w:t>
      </w:r>
      <w:r w:rsidR="003210D5" w:rsidRPr="009F12D9">
        <w:rPr>
          <w:rFonts w:ascii="Times New Roman" w:hAnsi="Times New Roman"/>
          <w:i w:val="0"/>
          <w:lang w:eastAsia="zh-TW"/>
        </w:rPr>
        <w:t>（見上文第</w:t>
      </w:r>
      <w:r w:rsidR="003210D5" w:rsidRPr="009F12D9">
        <w:rPr>
          <w:rFonts w:ascii="Times New Roman" w:hAnsi="Times New Roman"/>
          <w:i w:val="0"/>
          <w:lang w:eastAsia="zh-TW"/>
        </w:rPr>
        <w:t>51</w:t>
      </w:r>
      <w:r w:rsidR="003210D5" w:rsidRPr="009F12D9">
        <w:rPr>
          <w:rFonts w:ascii="Times New Roman" w:hAnsi="Times New Roman"/>
          <w:i w:val="0"/>
          <w:lang w:eastAsia="zh-TW"/>
        </w:rPr>
        <w:t>段的節錄）</w:t>
      </w:r>
      <w:r w:rsidRPr="009F12D9">
        <w:rPr>
          <w:rFonts w:ascii="Times New Roman" w:hAnsi="Times New Roman"/>
          <w:i w:val="0"/>
          <w:lang w:eastAsia="zh-TW"/>
        </w:rPr>
        <w:t>：一，有大量人群聚集，聚集的人情緒高漲，這本身就有造成暴力事件的風險，而且這風險會因為</w:t>
      </w:r>
      <w:r w:rsidR="000F230B" w:rsidRPr="009F12D9">
        <w:rPr>
          <w:rFonts w:hint="eastAsia"/>
          <w:i w:val="0"/>
          <w:lang w:eastAsia="zh-HK"/>
        </w:rPr>
        <w:t>可能</w:t>
      </w:r>
      <w:r w:rsidRPr="009F12D9">
        <w:rPr>
          <w:rFonts w:ascii="Times New Roman" w:hAnsi="Times New Roman"/>
          <w:i w:val="0"/>
          <w:lang w:eastAsia="zh-TW"/>
        </w:rPr>
        <w:t>有人趁機挑起事端而增加；二，法庭須以維護公共秩序為大前提，對情節嚴重的非法集結處以具阻嚇性的刑罰。單從這兩段判詞可知，這裡所指，法庭必須從嚴處理的嚴重個案，是包括沒有實質暴力，但縱觀一切情況卻可能一觸即發的非法集結</w:t>
      </w:r>
      <w:r w:rsidR="002E565C" w:rsidRPr="009F12D9">
        <w:rPr>
          <w:rFonts w:ascii="Times New Roman" w:hAnsi="Times New Roman"/>
          <w:i w:val="0"/>
          <w:lang w:eastAsia="zh-TW"/>
        </w:rPr>
        <w:t>。始終，</w:t>
      </w:r>
      <w:r w:rsidR="002E565C" w:rsidRPr="009F12D9">
        <w:rPr>
          <w:rFonts w:hint="eastAsia"/>
          <w:i w:val="0"/>
          <w:lang w:eastAsia="zh-HK"/>
        </w:rPr>
        <w:t>訂</w:t>
      </w:r>
      <w:r w:rsidRPr="009F12D9">
        <w:rPr>
          <w:i w:val="0"/>
          <w:lang w:eastAsia="zh-TW"/>
        </w:rPr>
        <w:t>立</w:t>
      </w:r>
      <w:r w:rsidRPr="009F12D9">
        <w:rPr>
          <w:rFonts w:ascii="Times New Roman" w:hAnsi="Times New Roman"/>
          <w:i w:val="0"/>
          <w:lang w:eastAsia="zh-TW"/>
        </w:rPr>
        <w:t>參與非法集結罪的目的，是先發性（</w:t>
      </w:r>
      <w:r w:rsidRPr="009F12D9">
        <w:rPr>
          <w:rFonts w:ascii="Times New Roman" w:hAnsi="Times New Roman"/>
          <w:i w:val="0"/>
          <w:lang w:eastAsia="zh-TW"/>
        </w:rPr>
        <w:t>pre-emptive</w:t>
      </w:r>
      <w:r w:rsidRPr="009F12D9">
        <w:rPr>
          <w:rFonts w:ascii="Times New Roman" w:hAnsi="Times New Roman"/>
          <w:i w:val="0"/>
          <w:lang w:eastAsia="zh-TW"/>
        </w:rPr>
        <w:t>）的，要把社會安寧的破壞制止在萌芽階段</w:t>
      </w:r>
      <w:r w:rsidR="00D44878" w:rsidRPr="009F12D9">
        <w:rPr>
          <w:rFonts w:ascii="Times New Roman" w:hAnsi="Times New Roman"/>
          <w:i w:val="0"/>
          <w:szCs w:val="28"/>
          <w:lang w:eastAsia="zh-TW"/>
        </w:rPr>
        <w:t>。</w:t>
      </w:r>
    </w:p>
    <w:p w:rsidR="00D44878" w:rsidRPr="009F12D9" w:rsidRDefault="00B66AD2" w:rsidP="00D44878">
      <w:pPr>
        <w:pStyle w:val="ar-heading1"/>
        <w:keepNext w:val="0"/>
        <w:numPr>
          <w:ilvl w:val="0"/>
          <w:numId w:val="5"/>
        </w:numPr>
        <w:spacing w:before="0" w:after="520"/>
        <w:ind w:firstLine="0"/>
        <w:jc w:val="both"/>
        <w:rPr>
          <w:rFonts w:ascii="Times New Roman" w:hAnsi="Times New Roman"/>
          <w:i w:val="0"/>
          <w:lang w:val="en-US" w:eastAsia="zh-TW"/>
        </w:rPr>
      </w:pPr>
      <w:r w:rsidRPr="009F12D9">
        <w:rPr>
          <w:rFonts w:ascii="Times New Roman" w:hAnsi="Times New Roman"/>
          <w:i w:val="0"/>
          <w:lang w:eastAsia="zh-TW"/>
        </w:rPr>
        <w:t>把非法集結分為暴力和非暴力，並在判刑時</w:t>
      </w:r>
      <w:r w:rsidR="00AC5E1E" w:rsidRPr="009F12D9">
        <w:rPr>
          <w:rFonts w:ascii="Times New Roman" w:hAnsi="Times New Roman"/>
          <w:i w:val="0"/>
          <w:lang w:eastAsia="zh-HK"/>
        </w:rPr>
        <w:t>生硬地</w:t>
      </w:r>
      <w:r w:rsidRPr="009F12D9">
        <w:rPr>
          <w:rFonts w:ascii="Times New Roman" w:hAnsi="Times New Roman"/>
          <w:i w:val="0"/>
          <w:lang w:eastAsia="zh-TW"/>
        </w:rPr>
        <w:t>加以區別，不但和</w:t>
      </w:r>
      <w:r w:rsidRPr="009F12D9">
        <w:rPr>
          <w:rFonts w:ascii="Times New Roman" w:hAnsi="Times New Roman"/>
          <w:i w:val="0"/>
          <w:lang w:eastAsia="zh-TW"/>
        </w:rPr>
        <w:t>H.3</w:t>
      </w:r>
      <w:r w:rsidRPr="009F12D9">
        <w:rPr>
          <w:rFonts w:ascii="Times New Roman" w:hAnsi="Times New Roman"/>
          <w:i w:val="0"/>
          <w:lang w:eastAsia="zh-TW"/>
        </w:rPr>
        <w:t>的內容不符，而且也沒有道理和經不起思考。就如剛才提到，儘管沒有犯案者打人、擲物，和衝擊防線，但假若</w:t>
      </w:r>
      <w:r w:rsidR="00AC5E1E" w:rsidRPr="009F12D9">
        <w:rPr>
          <w:rFonts w:ascii="Times New Roman" w:hAnsi="Times New Roman"/>
          <w:i w:val="0"/>
          <w:lang w:eastAsia="zh-HK"/>
        </w:rPr>
        <w:t>為數</w:t>
      </w:r>
      <w:r w:rsidRPr="009F12D9">
        <w:rPr>
          <w:rFonts w:ascii="Times New Roman" w:hAnsi="Times New Roman"/>
          <w:i w:val="0"/>
          <w:lang w:eastAsia="zh-TW"/>
        </w:rPr>
        <w:t>眾多的人，於</w:t>
      </w:r>
      <w:r w:rsidR="002E565C" w:rsidRPr="009F12D9">
        <w:rPr>
          <w:rFonts w:hint="eastAsia"/>
          <w:i w:val="0"/>
          <w:lang w:eastAsia="zh-HK"/>
        </w:rPr>
        <w:t>特</w:t>
      </w:r>
      <w:r w:rsidR="002E565C" w:rsidRPr="009F12D9">
        <w:rPr>
          <w:rFonts w:hint="eastAsia"/>
          <w:i w:val="0"/>
          <w:lang w:eastAsia="zh-TW"/>
        </w:rPr>
        <w:t>殊</w:t>
      </w:r>
      <w:r w:rsidRPr="009F12D9">
        <w:rPr>
          <w:rFonts w:ascii="Times New Roman" w:hAnsi="Times New Roman"/>
          <w:i w:val="0"/>
          <w:lang w:eastAsia="zh-TW"/>
        </w:rPr>
        <w:t>的日子，在</w:t>
      </w:r>
      <w:r w:rsidR="00AC5E1E" w:rsidRPr="009F12D9">
        <w:rPr>
          <w:rFonts w:ascii="Times New Roman" w:hAnsi="Times New Roman"/>
          <w:i w:val="0"/>
          <w:lang w:eastAsia="zh-HK"/>
        </w:rPr>
        <w:t>擠迫</w:t>
      </w:r>
      <w:r w:rsidR="00E46AC1" w:rsidRPr="009F12D9">
        <w:rPr>
          <w:rFonts w:ascii="Times New Roman" w:hAnsi="Times New Roman"/>
          <w:i w:val="0"/>
          <w:lang w:eastAsia="zh-HK"/>
        </w:rPr>
        <w:t>狹</w:t>
      </w:r>
      <w:r w:rsidR="00AC5E1E" w:rsidRPr="009F12D9">
        <w:rPr>
          <w:rFonts w:ascii="Times New Roman" w:hAnsi="Times New Roman"/>
          <w:i w:val="0"/>
          <w:lang w:eastAsia="zh-HK"/>
        </w:rPr>
        <w:t>窄或有其他環境</w:t>
      </w:r>
      <w:r w:rsidRPr="009F12D9">
        <w:rPr>
          <w:rFonts w:ascii="Times New Roman" w:hAnsi="Times New Roman"/>
          <w:i w:val="0"/>
          <w:lang w:eastAsia="zh-TW"/>
        </w:rPr>
        <w:t>風險的地</w:t>
      </w:r>
      <w:r w:rsidR="00AC5E1E" w:rsidRPr="009F12D9">
        <w:rPr>
          <w:rFonts w:ascii="Times New Roman" w:hAnsi="Times New Roman"/>
          <w:i w:val="0"/>
          <w:lang w:eastAsia="zh-HK"/>
        </w:rPr>
        <w:t>方</w:t>
      </w:r>
      <w:r w:rsidRPr="009F12D9">
        <w:rPr>
          <w:rFonts w:ascii="Times New Roman" w:hAnsi="Times New Roman"/>
          <w:i w:val="0"/>
          <w:lang w:eastAsia="zh-TW"/>
        </w:rPr>
        <w:t>，就著具爭議性的議題，用</w:t>
      </w:r>
      <w:r w:rsidR="00AC5E1E" w:rsidRPr="009F12D9">
        <w:rPr>
          <w:rFonts w:ascii="Times New Roman" w:hAnsi="Times New Roman"/>
          <w:i w:val="0"/>
          <w:lang w:eastAsia="zh-HK"/>
        </w:rPr>
        <w:t>激烈和</w:t>
      </w:r>
      <w:r w:rsidRPr="009F12D9">
        <w:rPr>
          <w:rFonts w:ascii="Times New Roman" w:hAnsi="Times New Roman"/>
          <w:i w:val="0"/>
          <w:lang w:eastAsia="zh-TW"/>
        </w:rPr>
        <w:t>富挑釁性的方式</w:t>
      </w:r>
      <w:r w:rsidR="00A53B99" w:rsidRPr="00A53B99">
        <w:rPr>
          <w:rFonts w:hint="eastAsia"/>
          <w:i w:val="0"/>
          <w:lang w:eastAsia="zh-HK"/>
        </w:rPr>
        <w:t>宣示立場</w:t>
      </w:r>
      <w:r w:rsidRPr="009F12D9">
        <w:rPr>
          <w:rFonts w:ascii="Times New Roman" w:hAnsi="Times New Roman"/>
          <w:i w:val="0"/>
          <w:lang w:eastAsia="zh-TW"/>
        </w:rPr>
        <w:t>，</w:t>
      </w:r>
      <w:r w:rsidRPr="009F12D9">
        <w:rPr>
          <w:i w:val="0"/>
          <w:lang w:eastAsia="zh-TW"/>
        </w:rPr>
        <w:t>並</w:t>
      </w:r>
      <w:r w:rsidR="007B7AEA" w:rsidRPr="009F12D9">
        <w:rPr>
          <w:rFonts w:hint="eastAsia"/>
          <w:i w:val="0"/>
          <w:lang w:eastAsia="zh-HK"/>
        </w:rPr>
        <w:t>在警</w:t>
      </w:r>
      <w:r w:rsidR="007B7AEA" w:rsidRPr="009F12D9">
        <w:rPr>
          <w:rFonts w:hint="eastAsia"/>
          <w:i w:val="0"/>
          <w:lang w:eastAsia="zh-HK"/>
        </w:rPr>
        <w:lastRenderedPageBreak/>
        <w:t>方多次警告下仍</w:t>
      </w:r>
      <w:r w:rsidR="007B7AEA" w:rsidRPr="009F12D9">
        <w:rPr>
          <w:rFonts w:hint="eastAsia"/>
          <w:i w:val="0"/>
          <w:lang w:eastAsia="zh-TW"/>
        </w:rPr>
        <w:t>然</w:t>
      </w:r>
      <w:r w:rsidRPr="009F12D9">
        <w:rPr>
          <w:i w:val="0"/>
          <w:lang w:eastAsia="zh-TW"/>
        </w:rPr>
        <w:t>拒絕離</w:t>
      </w:r>
      <w:r w:rsidR="002E565C" w:rsidRPr="009F12D9">
        <w:rPr>
          <w:rFonts w:hint="eastAsia"/>
          <w:i w:val="0"/>
          <w:lang w:eastAsia="zh-HK"/>
        </w:rPr>
        <w:t>去</w:t>
      </w:r>
      <w:r w:rsidRPr="009F12D9">
        <w:rPr>
          <w:rFonts w:ascii="Times New Roman" w:hAnsi="Times New Roman"/>
          <w:i w:val="0"/>
          <w:lang w:eastAsia="zh-TW"/>
        </w:rPr>
        <w:t>，難道就不算情節嚴重，</w:t>
      </w:r>
      <w:r w:rsidR="00AC5E1E" w:rsidRPr="009F12D9">
        <w:rPr>
          <w:i w:val="0"/>
          <w:lang w:eastAsia="zh-HK"/>
        </w:rPr>
        <w:t>一定</w:t>
      </w:r>
      <w:r w:rsidR="002E565C" w:rsidRPr="009F12D9">
        <w:rPr>
          <w:rFonts w:hint="eastAsia"/>
          <w:i w:val="0"/>
          <w:lang w:eastAsia="zh-HK"/>
        </w:rPr>
        <w:t>無</w:t>
      </w:r>
      <w:r w:rsidRPr="009F12D9">
        <w:rPr>
          <w:i w:val="0"/>
          <w:lang w:eastAsia="zh-TW"/>
        </w:rPr>
        <w:t>須處以</w:t>
      </w:r>
      <w:r w:rsidR="007B7AEA" w:rsidRPr="009F12D9">
        <w:rPr>
          <w:rFonts w:hint="eastAsia"/>
          <w:i w:val="0"/>
          <w:lang w:eastAsia="zh-HK"/>
        </w:rPr>
        <w:t>較具</w:t>
      </w:r>
      <w:r w:rsidRPr="009F12D9">
        <w:rPr>
          <w:i w:val="0"/>
          <w:lang w:eastAsia="zh-TW"/>
        </w:rPr>
        <w:t>懲罰</w:t>
      </w:r>
      <w:r w:rsidRPr="009F12D9">
        <w:rPr>
          <w:rFonts w:ascii="Times New Roman" w:hAnsi="Times New Roman"/>
          <w:i w:val="0"/>
          <w:lang w:eastAsia="zh-TW"/>
        </w:rPr>
        <w:t>和阻嚇性的刑罰？這不是，</w:t>
      </w:r>
      <w:r w:rsidRPr="009F12D9">
        <w:rPr>
          <w:i w:val="0"/>
          <w:lang w:eastAsia="zh-TW"/>
        </w:rPr>
        <w:t>也不可能是</w:t>
      </w:r>
      <w:r w:rsidR="00252E24" w:rsidRPr="009F12D9">
        <w:rPr>
          <w:rFonts w:hint="eastAsia"/>
          <w:lang w:eastAsia="zh-HK"/>
        </w:rPr>
        <w:t>黃之鋒</w:t>
      </w:r>
      <w:r w:rsidR="00252E24" w:rsidRPr="009F12D9">
        <w:rPr>
          <w:rFonts w:hint="eastAsia"/>
          <w:i w:val="0"/>
          <w:lang w:eastAsia="zh-HK"/>
        </w:rPr>
        <w:t>案</w:t>
      </w:r>
      <w:r w:rsidRPr="009F12D9">
        <w:rPr>
          <w:i w:val="0"/>
          <w:lang w:eastAsia="zh-TW"/>
        </w:rPr>
        <w:t>的原意</w:t>
      </w:r>
      <w:r w:rsidR="00D44878" w:rsidRPr="009F12D9">
        <w:rPr>
          <w:rFonts w:ascii="Times New Roman" w:hAnsi="Times New Roman"/>
          <w:i w:val="0"/>
          <w:szCs w:val="28"/>
          <w:lang w:eastAsia="zh-TW"/>
        </w:rPr>
        <w:t>。</w:t>
      </w:r>
    </w:p>
    <w:p w:rsidR="00D44878" w:rsidRPr="009F12D9" w:rsidRDefault="00B66AD2" w:rsidP="00D44878">
      <w:pPr>
        <w:pStyle w:val="ar-heading1"/>
        <w:keepNext w:val="0"/>
        <w:numPr>
          <w:ilvl w:val="0"/>
          <w:numId w:val="5"/>
        </w:numPr>
        <w:spacing w:before="0" w:after="520"/>
        <w:ind w:firstLine="0"/>
        <w:jc w:val="both"/>
        <w:rPr>
          <w:rFonts w:ascii="Times New Roman" w:hAnsi="Times New Roman"/>
          <w:i w:val="0"/>
          <w:lang w:val="en-US" w:eastAsia="zh-TW"/>
        </w:rPr>
      </w:pPr>
      <w:r w:rsidRPr="009F12D9">
        <w:rPr>
          <w:rFonts w:ascii="Times New Roman" w:hAnsi="Times New Roman"/>
          <w:i w:val="0"/>
          <w:lang w:eastAsia="zh-TW"/>
        </w:rPr>
        <w:t>以上幾項前設，只是例子，而且不是所有例子都同時出現才會令某個非法集結變得嚴重，一切要</w:t>
      </w:r>
      <w:proofErr w:type="gramStart"/>
      <w:r w:rsidRPr="009F12D9">
        <w:rPr>
          <w:rFonts w:ascii="Times New Roman" w:hAnsi="Times New Roman"/>
          <w:i w:val="0"/>
          <w:lang w:eastAsia="zh-TW"/>
        </w:rPr>
        <w:t>視乎案中的</w:t>
      </w:r>
      <w:proofErr w:type="gramEnd"/>
      <w:r w:rsidR="00AC5E1E" w:rsidRPr="009F12D9">
        <w:rPr>
          <w:rFonts w:ascii="Times New Roman" w:hAnsi="Times New Roman"/>
          <w:i w:val="0"/>
          <w:lang w:val="en-US" w:eastAsia="zh-HK"/>
        </w:rPr>
        <w:t>實際</w:t>
      </w:r>
      <w:r w:rsidRPr="009F12D9">
        <w:rPr>
          <w:rFonts w:ascii="Times New Roman" w:hAnsi="Times New Roman"/>
          <w:i w:val="0"/>
          <w:lang w:eastAsia="zh-TW"/>
        </w:rPr>
        <w:t>情況。就此，</w:t>
      </w:r>
      <w:proofErr w:type="gramStart"/>
      <w:r w:rsidRPr="009F12D9">
        <w:rPr>
          <w:rFonts w:ascii="Times New Roman" w:hAnsi="Times New Roman"/>
          <w:i w:val="0"/>
          <w:lang w:eastAsia="zh-TW"/>
        </w:rPr>
        <w:t>本庭會順帶</w:t>
      </w:r>
      <w:proofErr w:type="gramEnd"/>
      <w:r w:rsidRPr="009F12D9">
        <w:rPr>
          <w:rFonts w:ascii="Times New Roman" w:hAnsi="Times New Roman"/>
          <w:i w:val="0"/>
          <w:lang w:eastAsia="zh-TW"/>
        </w:rPr>
        <w:t>指出，</w:t>
      </w:r>
      <w:proofErr w:type="gramStart"/>
      <w:r w:rsidR="009052A3" w:rsidRPr="009F12D9">
        <w:rPr>
          <w:rFonts w:hint="eastAsia"/>
          <w:i w:val="0"/>
          <w:lang w:eastAsia="zh-HK"/>
        </w:rPr>
        <w:t>潘</w:t>
      </w:r>
      <w:proofErr w:type="gramEnd"/>
      <w:r w:rsidRPr="009F12D9">
        <w:rPr>
          <w:i w:val="0"/>
          <w:lang w:eastAsia="zh-TW"/>
        </w:rPr>
        <w:t>上訴法庭</w:t>
      </w:r>
      <w:r w:rsidR="009052A3" w:rsidRPr="009F12D9">
        <w:rPr>
          <w:rFonts w:hint="eastAsia"/>
          <w:i w:val="0"/>
          <w:lang w:eastAsia="zh-HK"/>
        </w:rPr>
        <w:t>法官</w:t>
      </w:r>
      <w:r w:rsidRPr="009F12D9">
        <w:rPr>
          <w:i w:val="0"/>
          <w:lang w:eastAsia="zh-TW"/>
        </w:rPr>
        <w:t>在</w:t>
      </w:r>
      <w:r w:rsidRPr="009F12D9">
        <w:rPr>
          <w:rFonts w:ascii="Times New Roman" w:hAnsi="Times New Roman"/>
          <w:lang w:eastAsia="zh-TW"/>
        </w:rPr>
        <w:t>黃之鋒</w:t>
      </w:r>
      <w:r w:rsidRPr="009F12D9">
        <w:rPr>
          <w:rFonts w:ascii="Times New Roman" w:hAnsi="Times New Roman"/>
          <w:i w:val="0"/>
          <w:lang w:eastAsia="zh-TW"/>
        </w:rPr>
        <w:t xml:space="preserve"> </w:t>
      </w:r>
      <w:r w:rsidRPr="009F12D9">
        <w:rPr>
          <w:rFonts w:ascii="Times New Roman" w:hAnsi="Times New Roman"/>
          <w:i w:val="0"/>
          <w:lang w:eastAsia="zh-TW"/>
        </w:rPr>
        <w:t>案第</w:t>
      </w:r>
      <w:r w:rsidRPr="009F12D9">
        <w:rPr>
          <w:rFonts w:ascii="Times New Roman" w:hAnsi="Times New Roman"/>
          <w:i w:val="0"/>
          <w:lang w:eastAsia="zh-TW"/>
        </w:rPr>
        <w:t>135</w:t>
      </w:r>
      <w:r w:rsidRPr="009F12D9">
        <w:rPr>
          <w:rFonts w:ascii="Times New Roman" w:hAnsi="Times New Roman"/>
          <w:i w:val="0"/>
          <w:lang w:eastAsia="zh-TW"/>
        </w:rPr>
        <w:t>段所辨識，即有助法庭</w:t>
      </w:r>
      <w:proofErr w:type="gramStart"/>
      <w:r w:rsidRPr="009F12D9">
        <w:rPr>
          <w:rFonts w:ascii="Times New Roman" w:hAnsi="Times New Roman"/>
          <w:i w:val="0"/>
          <w:lang w:eastAsia="zh-TW"/>
        </w:rPr>
        <w:t>釐清某</w:t>
      </w:r>
      <w:proofErr w:type="gramEnd"/>
      <w:r w:rsidRPr="009F12D9">
        <w:rPr>
          <w:rFonts w:ascii="Times New Roman" w:hAnsi="Times New Roman"/>
          <w:i w:val="0"/>
          <w:lang w:eastAsia="zh-TW"/>
        </w:rPr>
        <w:t>暴力非法集結的嚴重程度的因素</w:t>
      </w:r>
      <w:r w:rsidRPr="009F12D9">
        <w:rPr>
          <w:rStyle w:val="FootnoteReference"/>
          <w:i w:val="0"/>
        </w:rPr>
        <w:footnoteReference w:id="36"/>
      </w:r>
      <w:r w:rsidRPr="009F12D9">
        <w:rPr>
          <w:rFonts w:ascii="Times New Roman" w:hAnsi="Times New Roman"/>
          <w:i w:val="0"/>
          <w:lang w:eastAsia="zh-TW"/>
        </w:rPr>
        <w:t>，在稍加</w:t>
      </w:r>
      <w:r w:rsidR="009052A3" w:rsidRPr="009F12D9">
        <w:rPr>
          <w:rFonts w:hint="eastAsia"/>
          <w:i w:val="0"/>
          <w:lang w:eastAsia="zh-HK"/>
        </w:rPr>
        <w:t>調整</w:t>
      </w:r>
      <w:r w:rsidRPr="009F12D9">
        <w:rPr>
          <w:rFonts w:ascii="Times New Roman" w:hAnsi="Times New Roman"/>
          <w:i w:val="0"/>
          <w:lang w:eastAsia="zh-TW"/>
        </w:rPr>
        <w:t>後會同樣適用於</w:t>
      </w:r>
      <w:r w:rsidR="00252F6E" w:rsidRPr="009F12D9">
        <w:rPr>
          <w:rFonts w:hint="eastAsia"/>
          <w:i w:val="0"/>
          <w:lang w:eastAsia="zh-HK"/>
        </w:rPr>
        <w:t>所謂</w:t>
      </w:r>
      <w:r w:rsidRPr="009F12D9">
        <w:rPr>
          <w:i w:val="0"/>
          <w:lang w:eastAsia="zh-TW"/>
        </w:rPr>
        <w:t>非</w:t>
      </w:r>
      <w:r w:rsidRPr="009F12D9">
        <w:rPr>
          <w:rFonts w:ascii="Times New Roman" w:hAnsi="Times New Roman"/>
          <w:i w:val="0"/>
          <w:lang w:eastAsia="zh-TW"/>
        </w:rPr>
        <w:t>暴力的非法集結。例如計劃、人數、地點、影響範圍、時間長短、手段</w:t>
      </w:r>
      <w:r w:rsidR="00286C8E" w:rsidRPr="009F12D9">
        <w:rPr>
          <w:rFonts w:hint="eastAsia"/>
          <w:i w:val="0"/>
          <w:lang w:eastAsia="zh-HK"/>
        </w:rPr>
        <w:t>之</w:t>
      </w:r>
      <w:r w:rsidRPr="009F12D9">
        <w:rPr>
          <w:rFonts w:ascii="Times New Roman" w:hAnsi="Times New Roman"/>
          <w:i w:val="0"/>
          <w:lang w:eastAsia="zh-TW"/>
        </w:rPr>
        <w:t>激烈程度、犯罪行為所產生的後果，和被告的個人角色等等，其實都是一般的加重罪責因素，任何法庭都應該懂得靈活適用。至於清單上的第（</w:t>
      </w:r>
      <w:r w:rsidRPr="009F12D9">
        <w:rPr>
          <w:rFonts w:ascii="Times New Roman" w:hAnsi="Times New Roman"/>
          <w:i w:val="0"/>
          <w:lang w:eastAsia="zh-TW"/>
        </w:rPr>
        <w:t>7</w:t>
      </w:r>
      <w:r w:rsidRPr="009F12D9">
        <w:rPr>
          <w:rFonts w:ascii="Times New Roman" w:hAnsi="Times New Roman"/>
          <w:i w:val="0"/>
          <w:lang w:eastAsia="zh-TW"/>
        </w:rPr>
        <w:t>）點，即沒有實質人身</w:t>
      </w:r>
      <w:r w:rsidR="00AC5E1E" w:rsidRPr="009F12D9">
        <w:rPr>
          <w:rFonts w:ascii="Times New Roman" w:hAnsi="Times New Roman"/>
          <w:i w:val="0"/>
          <w:lang w:eastAsia="zh-HK"/>
        </w:rPr>
        <w:t>傷害</w:t>
      </w:r>
      <w:r w:rsidRPr="009F12D9">
        <w:rPr>
          <w:rFonts w:ascii="Times New Roman" w:hAnsi="Times New Roman"/>
          <w:i w:val="0"/>
          <w:lang w:eastAsia="zh-TW"/>
        </w:rPr>
        <w:t>或財物</w:t>
      </w:r>
      <w:proofErr w:type="gramStart"/>
      <w:r w:rsidRPr="009F12D9">
        <w:rPr>
          <w:rFonts w:ascii="Times New Roman" w:hAnsi="Times New Roman"/>
          <w:i w:val="0"/>
          <w:lang w:eastAsia="zh-TW"/>
        </w:rPr>
        <w:t>損</w:t>
      </w:r>
      <w:r w:rsidR="00AC5E1E" w:rsidRPr="009F12D9">
        <w:rPr>
          <w:rFonts w:ascii="Times New Roman" w:hAnsi="Times New Roman"/>
          <w:i w:val="0"/>
          <w:lang w:eastAsia="zh-HK"/>
        </w:rPr>
        <w:t>毀</w:t>
      </w:r>
      <w:r w:rsidRPr="009F12D9">
        <w:rPr>
          <w:rFonts w:ascii="Times New Roman" w:hAnsi="Times New Roman"/>
          <w:i w:val="0"/>
          <w:lang w:eastAsia="zh-TW"/>
        </w:rPr>
        <w:t>下</w:t>
      </w:r>
      <w:proofErr w:type="gramEnd"/>
      <w:r w:rsidRPr="009F12D9">
        <w:rPr>
          <w:rFonts w:ascii="Times New Roman" w:hAnsi="Times New Roman"/>
          <w:i w:val="0"/>
          <w:lang w:eastAsia="zh-TW"/>
        </w:rPr>
        <w:t>，「暴力行為造成的威脅之嚴重性及逼近程度」，則可被調整為：在沒有</w:t>
      </w:r>
      <w:r w:rsidR="00AC5E1E" w:rsidRPr="009F12D9">
        <w:rPr>
          <w:rFonts w:ascii="Times New Roman" w:hAnsi="Times New Roman"/>
          <w:i w:val="0"/>
          <w:lang w:val="en-US" w:eastAsia="zh-HK"/>
        </w:rPr>
        <w:t>實質</w:t>
      </w:r>
      <w:r w:rsidRPr="009F12D9">
        <w:rPr>
          <w:rFonts w:ascii="Times New Roman" w:hAnsi="Times New Roman"/>
          <w:i w:val="0"/>
          <w:lang w:eastAsia="zh-TW"/>
        </w:rPr>
        <w:t>暴力的出現下，犯罪</w:t>
      </w:r>
      <w:r w:rsidR="00AC5E1E" w:rsidRPr="009F12D9">
        <w:rPr>
          <w:rFonts w:ascii="Times New Roman" w:hAnsi="Times New Roman"/>
          <w:i w:val="0"/>
          <w:lang w:eastAsia="zh-HK"/>
        </w:rPr>
        <w:t>行</w:t>
      </w:r>
      <w:r w:rsidRPr="009F12D9">
        <w:rPr>
          <w:rFonts w:ascii="Times New Roman" w:hAnsi="Times New Roman"/>
          <w:i w:val="0"/>
          <w:lang w:eastAsia="zh-TW"/>
        </w:rPr>
        <w:t>為對實質破壞社會安寧的威脅和逼近程度</w:t>
      </w:r>
      <w:r w:rsidR="00D44878" w:rsidRPr="009F12D9">
        <w:rPr>
          <w:rFonts w:ascii="Times New Roman" w:hAnsi="Times New Roman"/>
          <w:i w:val="0"/>
          <w:szCs w:val="28"/>
          <w:lang w:eastAsia="zh-TW"/>
        </w:rPr>
        <w:t>。</w:t>
      </w:r>
    </w:p>
    <w:p w:rsidR="00D44878" w:rsidRPr="009F12D9" w:rsidRDefault="00B66AD2" w:rsidP="00D44878">
      <w:pPr>
        <w:pStyle w:val="ar-heading1"/>
        <w:keepNext w:val="0"/>
        <w:numPr>
          <w:ilvl w:val="0"/>
          <w:numId w:val="5"/>
        </w:numPr>
        <w:spacing w:before="0" w:after="520"/>
        <w:ind w:firstLine="0"/>
        <w:jc w:val="both"/>
        <w:rPr>
          <w:rFonts w:ascii="Times New Roman" w:hAnsi="Times New Roman"/>
          <w:i w:val="0"/>
          <w:lang w:val="en-US" w:eastAsia="zh-TW"/>
        </w:rPr>
      </w:pPr>
      <w:r w:rsidRPr="009F12D9">
        <w:rPr>
          <w:rFonts w:ascii="Times New Roman" w:hAnsi="Times New Roman"/>
          <w:i w:val="0"/>
          <w:lang w:eastAsia="zh-TW"/>
        </w:rPr>
        <w:t>總括而言，要把</w:t>
      </w:r>
      <w:r w:rsidRPr="009F12D9">
        <w:rPr>
          <w:rFonts w:ascii="Times New Roman" w:hAnsi="Times New Roman"/>
          <w:lang w:eastAsia="zh-TW"/>
        </w:rPr>
        <w:t>黃之鋒</w:t>
      </w:r>
      <w:r w:rsidRPr="009F12D9">
        <w:rPr>
          <w:rFonts w:ascii="Times New Roman" w:hAnsi="Times New Roman"/>
          <w:i w:val="0"/>
          <w:lang w:eastAsia="zh-TW"/>
        </w:rPr>
        <w:t xml:space="preserve"> </w:t>
      </w:r>
      <w:r w:rsidRPr="009F12D9">
        <w:rPr>
          <w:rFonts w:ascii="Times New Roman" w:hAnsi="Times New Roman"/>
          <w:i w:val="0"/>
          <w:lang w:eastAsia="zh-TW"/>
        </w:rPr>
        <w:t>案的判決，</w:t>
      </w:r>
      <w:proofErr w:type="gramStart"/>
      <w:r w:rsidRPr="009F12D9">
        <w:rPr>
          <w:rFonts w:ascii="Times New Roman" w:hAnsi="Times New Roman"/>
          <w:i w:val="0"/>
          <w:lang w:eastAsia="zh-TW"/>
        </w:rPr>
        <w:t>說成是</w:t>
      </w:r>
      <w:proofErr w:type="gramEnd"/>
      <w:r w:rsidRPr="009F12D9">
        <w:rPr>
          <w:rFonts w:ascii="Times New Roman" w:hAnsi="Times New Roman"/>
          <w:i w:val="0"/>
          <w:lang w:eastAsia="zh-TW"/>
        </w:rPr>
        <w:t>只適用於涉及暴力的非法集結，是完全沒有根據的。</w:t>
      </w:r>
      <w:r w:rsidRPr="009F12D9">
        <w:rPr>
          <w:rFonts w:ascii="Times New Roman" w:hAnsi="Times New Roman"/>
          <w:lang w:eastAsia="zh-TW"/>
        </w:rPr>
        <w:t>黃之鋒</w:t>
      </w:r>
      <w:r w:rsidRPr="009F12D9">
        <w:rPr>
          <w:rFonts w:ascii="Times New Roman" w:hAnsi="Times New Roman"/>
          <w:i w:val="0"/>
          <w:lang w:eastAsia="zh-TW"/>
        </w:rPr>
        <w:t xml:space="preserve"> </w:t>
      </w:r>
      <w:r w:rsidRPr="009F12D9">
        <w:rPr>
          <w:rFonts w:ascii="Times New Roman" w:hAnsi="Times New Roman"/>
          <w:i w:val="0"/>
          <w:lang w:eastAsia="zh-TW"/>
        </w:rPr>
        <w:t>案從未</w:t>
      </w:r>
      <w:r w:rsidR="00AC5E1E" w:rsidRPr="009F12D9">
        <w:rPr>
          <w:rFonts w:ascii="Times New Roman" w:hAnsi="Times New Roman"/>
          <w:i w:val="0"/>
          <w:lang w:eastAsia="zh-HK"/>
        </w:rPr>
        <w:t>裁</w:t>
      </w:r>
      <w:r w:rsidRPr="009F12D9">
        <w:rPr>
          <w:rFonts w:ascii="Times New Roman" w:hAnsi="Times New Roman"/>
          <w:i w:val="0"/>
          <w:lang w:eastAsia="zh-TW"/>
        </w:rPr>
        <w:t>定，沒有實質暴力行為，就不應處以較具懲罰</w:t>
      </w:r>
      <w:r w:rsidR="00AC5E1E" w:rsidRPr="009F12D9">
        <w:rPr>
          <w:rFonts w:ascii="Times New Roman" w:hAnsi="Times New Roman"/>
          <w:i w:val="0"/>
          <w:lang w:eastAsia="zh-HK"/>
        </w:rPr>
        <w:t>和</w:t>
      </w:r>
      <w:proofErr w:type="gramStart"/>
      <w:r w:rsidRPr="009F12D9">
        <w:rPr>
          <w:rFonts w:ascii="Times New Roman" w:hAnsi="Times New Roman"/>
          <w:i w:val="0"/>
          <w:lang w:eastAsia="zh-TW"/>
        </w:rPr>
        <w:t>阻</w:t>
      </w:r>
      <w:r w:rsidRPr="009F12D9">
        <w:rPr>
          <w:i w:val="0"/>
          <w:lang w:eastAsia="zh-TW"/>
        </w:rPr>
        <w:t>嚇</w:t>
      </w:r>
      <w:proofErr w:type="gramEnd"/>
      <w:r w:rsidR="00252F6E" w:rsidRPr="009F12D9">
        <w:rPr>
          <w:rFonts w:hint="eastAsia"/>
          <w:i w:val="0"/>
          <w:lang w:eastAsia="zh-HK"/>
        </w:rPr>
        <w:t>性</w:t>
      </w:r>
      <w:r w:rsidRPr="009F12D9">
        <w:rPr>
          <w:i w:val="0"/>
          <w:lang w:eastAsia="zh-TW"/>
        </w:rPr>
        <w:t>的</w:t>
      </w:r>
      <w:r w:rsidRPr="009F12D9">
        <w:rPr>
          <w:rFonts w:ascii="Times New Roman" w:hAnsi="Times New Roman"/>
          <w:i w:val="0"/>
          <w:lang w:eastAsia="zh-TW"/>
        </w:rPr>
        <w:t>刑罰。一切要視乎案件的</w:t>
      </w:r>
      <w:r w:rsidR="00AC5E1E" w:rsidRPr="009F12D9">
        <w:rPr>
          <w:rFonts w:ascii="Times New Roman" w:hAnsi="Times New Roman"/>
          <w:i w:val="0"/>
          <w:lang w:eastAsia="zh-HK"/>
        </w:rPr>
        <w:t>實際</w:t>
      </w:r>
      <w:r w:rsidRPr="009F12D9">
        <w:rPr>
          <w:rFonts w:ascii="Times New Roman" w:hAnsi="Times New Roman"/>
          <w:i w:val="0"/>
          <w:lang w:eastAsia="zh-TW"/>
        </w:rPr>
        <w:t>情況</w:t>
      </w:r>
      <w:r w:rsidR="00D44878" w:rsidRPr="009F12D9">
        <w:rPr>
          <w:rFonts w:ascii="Times New Roman" w:hAnsi="Times New Roman"/>
          <w:i w:val="0"/>
          <w:szCs w:val="28"/>
          <w:lang w:eastAsia="zh-TW"/>
        </w:rPr>
        <w:t>。</w:t>
      </w:r>
    </w:p>
    <w:p w:rsidR="00B66AD2" w:rsidRPr="009F12D9" w:rsidRDefault="00B66AD2" w:rsidP="00B66AD2">
      <w:pPr>
        <w:pStyle w:val="Final"/>
        <w:keepNext/>
        <w:tabs>
          <w:tab w:val="clear" w:pos="1440"/>
          <w:tab w:val="clear" w:pos="4320"/>
          <w:tab w:val="clear" w:pos="9072"/>
          <w:tab w:val="left" w:pos="720"/>
          <w:tab w:val="center" w:pos="4234"/>
          <w:tab w:val="right" w:pos="8453"/>
        </w:tabs>
        <w:spacing w:after="360"/>
        <w:ind w:left="720" w:hanging="720"/>
        <w:rPr>
          <w:i/>
          <w:lang w:eastAsia="zh-TW"/>
        </w:rPr>
      </w:pPr>
      <w:r w:rsidRPr="009F12D9">
        <w:rPr>
          <w:i/>
          <w:lang w:eastAsia="zh-TW"/>
        </w:rPr>
        <w:lastRenderedPageBreak/>
        <w:t xml:space="preserve">H3. </w:t>
      </w:r>
      <w:r w:rsidRPr="009F12D9">
        <w:rPr>
          <w:i/>
          <w:lang w:eastAsia="zh-TW"/>
        </w:rPr>
        <w:tab/>
      </w:r>
      <w:r w:rsidRPr="009F12D9">
        <w:rPr>
          <w:i/>
          <w:lang w:eastAsia="zh-TW"/>
        </w:rPr>
        <w:t>蒙面、潛在風險，和拒絕散去</w:t>
      </w:r>
    </w:p>
    <w:p w:rsidR="00D44878" w:rsidRPr="009F12D9" w:rsidRDefault="00B66AD2" w:rsidP="00D44878">
      <w:pPr>
        <w:pStyle w:val="ar-heading1"/>
        <w:keepNext w:val="0"/>
        <w:numPr>
          <w:ilvl w:val="0"/>
          <w:numId w:val="5"/>
        </w:numPr>
        <w:spacing w:before="0" w:after="520"/>
        <w:ind w:firstLine="0"/>
        <w:jc w:val="both"/>
        <w:rPr>
          <w:rFonts w:ascii="Times New Roman" w:hAnsi="Times New Roman"/>
          <w:i w:val="0"/>
          <w:lang w:val="en-US" w:eastAsia="zh-TW"/>
        </w:rPr>
      </w:pPr>
      <w:r w:rsidRPr="009F12D9">
        <w:rPr>
          <w:rFonts w:ascii="Times New Roman" w:hAnsi="Times New Roman"/>
          <w:i w:val="0"/>
        </w:rPr>
        <w:t>上訴法庭在</w:t>
      </w:r>
      <w:r w:rsidRPr="009F12D9">
        <w:rPr>
          <w:rFonts w:ascii="Times New Roman" w:hAnsi="Times New Roman"/>
        </w:rPr>
        <w:t>Leung Kwok Hung</w:t>
      </w:r>
      <w:r w:rsidRPr="009F12D9">
        <w:rPr>
          <w:rFonts w:ascii="Times New Roman" w:hAnsi="Times New Roman"/>
          <w:i w:val="0"/>
        </w:rPr>
        <w:t xml:space="preserve"> </w:t>
      </w:r>
      <w:r w:rsidRPr="009F12D9">
        <w:rPr>
          <w:rFonts w:ascii="Times New Roman" w:hAnsi="Times New Roman"/>
        </w:rPr>
        <w:t>(No 2)</w:t>
      </w:r>
      <w:r w:rsidRPr="009F12D9">
        <w:rPr>
          <w:rFonts w:ascii="Times New Roman" w:hAnsi="Times New Roman"/>
          <w:i w:val="0"/>
        </w:rPr>
        <w:t xml:space="preserve"> </w:t>
      </w:r>
      <w:r w:rsidRPr="009F12D9">
        <w:rPr>
          <w:rStyle w:val="FootnoteReference"/>
          <w:i w:val="0"/>
        </w:rPr>
        <w:footnoteReference w:id="37"/>
      </w:r>
      <w:r w:rsidRPr="009F12D9">
        <w:rPr>
          <w:rFonts w:ascii="Times New Roman" w:hAnsi="Times New Roman"/>
          <w:i w:val="0"/>
        </w:rPr>
        <w:t xml:space="preserve"> </w:t>
      </w:r>
      <w:r w:rsidR="00935465" w:rsidRPr="009F12D9">
        <w:rPr>
          <w:rFonts w:ascii="Times New Roman" w:hAnsi="Times New Roman"/>
          <w:i w:val="0"/>
        </w:rPr>
        <w:t>引述該案</w:t>
      </w:r>
      <w:proofErr w:type="gramStart"/>
      <w:r w:rsidRPr="009F12D9">
        <w:rPr>
          <w:rFonts w:ascii="Times New Roman" w:hAnsi="Times New Roman"/>
          <w:i w:val="0"/>
        </w:rPr>
        <w:t>專</w:t>
      </w:r>
      <w:proofErr w:type="gramEnd"/>
      <w:r w:rsidRPr="009F12D9">
        <w:rPr>
          <w:rFonts w:ascii="Times New Roman" w:hAnsi="Times New Roman"/>
          <w:i w:val="0"/>
        </w:rPr>
        <w:t>家證人指出</w:t>
      </w:r>
      <w:r w:rsidRPr="009F12D9">
        <w:rPr>
          <w:rStyle w:val="FootnoteReference"/>
          <w:i w:val="0"/>
        </w:rPr>
        <w:footnoteReference w:id="38"/>
      </w:r>
      <w:r w:rsidRPr="009F12D9">
        <w:rPr>
          <w:rFonts w:ascii="Times New Roman" w:hAnsi="Times New Roman"/>
          <w:i w:val="0"/>
        </w:rPr>
        <w:t>：面具有助隱藏身份。</w:t>
      </w:r>
      <w:r w:rsidRPr="009F12D9">
        <w:rPr>
          <w:rFonts w:ascii="Times New Roman" w:hAnsi="Times New Roman"/>
          <w:i w:val="0"/>
          <w:lang w:eastAsia="zh-TW"/>
        </w:rPr>
        <w:t>當隱藏身份和集體行動配合起來，參與者的責任就容易分散和與其他人共同承擔。個別參與者會覺得受到為數眾多的人支持，出現壯膽效應。如果群體的主體價值或當下目的是反社會，個別參與者就會跟著做出反社會的行為。</w:t>
      </w:r>
      <w:r w:rsidRPr="009F12D9">
        <w:rPr>
          <w:rFonts w:ascii="Times New Roman" w:hAnsi="Times New Roman"/>
          <w:i w:val="0"/>
        </w:rPr>
        <w:t>（意譯）</w:t>
      </w:r>
      <w:r w:rsidRPr="009F12D9">
        <w:rPr>
          <w:rStyle w:val="FootnoteReference"/>
          <w:i w:val="0"/>
        </w:rPr>
        <w:footnoteReference w:id="39"/>
      </w:r>
    </w:p>
    <w:p w:rsidR="00D44878" w:rsidRPr="009F12D9" w:rsidRDefault="00C36654" w:rsidP="00D44878">
      <w:pPr>
        <w:pStyle w:val="ar-heading1"/>
        <w:keepNext w:val="0"/>
        <w:numPr>
          <w:ilvl w:val="0"/>
          <w:numId w:val="5"/>
        </w:numPr>
        <w:spacing w:before="0" w:after="520"/>
        <w:ind w:firstLine="0"/>
        <w:jc w:val="both"/>
        <w:rPr>
          <w:rFonts w:ascii="Times New Roman" w:hAnsi="Times New Roman"/>
          <w:i w:val="0"/>
          <w:lang w:val="en-US" w:eastAsia="zh-TW"/>
        </w:rPr>
      </w:pPr>
      <w:r w:rsidRPr="009F12D9">
        <w:rPr>
          <w:rFonts w:ascii="Times New Roman" w:hAnsi="Times New Roman"/>
          <w:i w:val="0"/>
          <w:lang w:eastAsia="zh-TW"/>
        </w:rPr>
        <w:t>上述的專家證據，和人們的一般生活經驗相符。能隱藏身份確實會令人</w:t>
      </w:r>
      <w:r w:rsidR="00252F6E" w:rsidRPr="009F12D9">
        <w:rPr>
          <w:rFonts w:hint="eastAsia"/>
          <w:i w:val="0"/>
          <w:lang w:eastAsia="zh-HK"/>
        </w:rPr>
        <w:t>更易</w:t>
      </w:r>
      <w:r w:rsidRPr="009F12D9">
        <w:rPr>
          <w:i w:val="0"/>
          <w:lang w:eastAsia="zh-TW"/>
        </w:rPr>
        <w:t>變</w:t>
      </w:r>
      <w:r w:rsidRPr="009F12D9">
        <w:rPr>
          <w:rFonts w:ascii="Times New Roman" w:hAnsi="Times New Roman"/>
          <w:i w:val="0"/>
          <w:lang w:eastAsia="zh-TW"/>
        </w:rPr>
        <w:t>得沒有顧忌。而這一點之所以重要，是因為無論根據學術研究或常識推斷，蒙面都會使參與非法集結者較易</w:t>
      </w:r>
      <w:r w:rsidRPr="00A14CED">
        <w:rPr>
          <w:i w:val="0"/>
          <w:lang w:eastAsia="zh-TW"/>
        </w:rPr>
        <w:t>失</w:t>
      </w:r>
      <w:r w:rsidR="00A14CED" w:rsidRPr="00A14CED">
        <w:rPr>
          <w:rFonts w:hint="eastAsia"/>
          <w:i w:val="0"/>
          <w:lang w:eastAsia="zh-HK"/>
        </w:rPr>
        <w:t>控</w:t>
      </w:r>
      <w:r w:rsidRPr="009F12D9">
        <w:rPr>
          <w:rFonts w:ascii="Times New Roman" w:hAnsi="Times New Roman"/>
          <w:i w:val="0"/>
          <w:lang w:eastAsia="zh-TW"/>
        </w:rPr>
        <w:t>，令集結變為暴力事件的風險大增</w:t>
      </w:r>
      <w:r w:rsidR="00D44878" w:rsidRPr="009F12D9">
        <w:rPr>
          <w:rFonts w:ascii="Times New Roman" w:hAnsi="Times New Roman"/>
          <w:i w:val="0"/>
          <w:szCs w:val="28"/>
          <w:lang w:eastAsia="zh-TW"/>
        </w:rPr>
        <w:t>。</w:t>
      </w:r>
    </w:p>
    <w:p w:rsidR="00D44878" w:rsidRPr="009F12D9" w:rsidRDefault="00C36654" w:rsidP="00D44878">
      <w:pPr>
        <w:pStyle w:val="ar-heading1"/>
        <w:keepNext w:val="0"/>
        <w:numPr>
          <w:ilvl w:val="0"/>
          <w:numId w:val="5"/>
        </w:numPr>
        <w:spacing w:before="0" w:after="520"/>
        <w:ind w:firstLine="0"/>
        <w:jc w:val="both"/>
        <w:rPr>
          <w:rFonts w:ascii="Times New Roman" w:hAnsi="Times New Roman"/>
          <w:i w:val="0"/>
          <w:lang w:val="en-US" w:eastAsia="zh-TW"/>
        </w:rPr>
      </w:pPr>
      <w:r w:rsidRPr="009F12D9">
        <w:rPr>
          <w:rFonts w:ascii="Times New Roman" w:hAnsi="Times New Roman"/>
          <w:lang w:eastAsia="zh-TW"/>
        </w:rPr>
        <w:t>Leung Kwok Hung</w:t>
      </w:r>
      <w:r w:rsidRPr="009F12D9">
        <w:rPr>
          <w:rFonts w:ascii="Times New Roman" w:hAnsi="Times New Roman"/>
          <w:i w:val="0"/>
          <w:lang w:eastAsia="zh-TW"/>
        </w:rPr>
        <w:t xml:space="preserve"> </w:t>
      </w:r>
      <w:r w:rsidRPr="009F12D9">
        <w:rPr>
          <w:rFonts w:ascii="Times New Roman" w:hAnsi="Times New Roman"/>
          <w:lang w:eastAsia="zh-TW"/>
        </w:rPr>
        <w:t>(No 2)</w:t>
      </w:r>
      <w:r w:rsidRPr="009F12D9">
        <w:rPr>
          <w:rFonts w:ascii="Times New Roman" w:hAnsi="Times New Roman"/>
          <w:i w:val="0"/>
          <w:lang w:eastAsia="zh-TW"/>
        </w:rPr>
        <w:t xml:space="preserve"> </w:t>
      </w:r>
      <w:r w:rsidRPr="009F12D9">
        <w:rPr>
          <w:rFonts w:ascii="Times New Roman" w:hAnsi="Times New Roman"/>
          <w:i w:val="0"/>
          <w:lang w:eastAsia="zh-TW"/>
        </w:rPr>
        <w:t>的第</w:t>
      </w:r>
      <w:r w:rsidRPr="009F12D9">
        <w:rPr>
          <w:rFonts w:ascii="Times New Roman" w:hAnsi="Times New Roman"/>
          <w:i w:val="0"/>
          <w:lang w:eastAsia="zh-TW"/>
        </w:rPr>
        <w:t>226</w:t>
      </w:r>
      <w:r w:rsidRPr="009F12D9">
        <w:rPr>
          <w:rFonts w:ascii="Times New Roman" w:hAnsi="Times New Roman"/>
          <w:i w:val="0"/>
          <w:lang w:eastAsia="zh-TW"/>
        </w:rPr>
        <w:t>段也提到：基於</w:t>
      </w:r>
      <w:r w:rsidR="00DD0B3F" w:rsidRPr="009F12D9">
        <w:rPr>
          <w:rFonts w:hint="eastAsia"/>
          <w:i w:val="0"/>
          <w:lang w:eastAsia="zh-HK"/>
        </w:rPr>
        <w:t>情況</w:t>
      </w:r>
      <w:r w:rsidRPr="009F12D9">
        <w:rPr>
          <w:rFonts w:ascii="Times New Roman" w:hAnsi="Times New Roman"/>
          <w:i w:val="0"/>
          <w:lang w:eastAsia="zh-TW"/>
        </w:rPr>
        <w:t>可能迅速惡化，及惡化對治安和在場人士人身安全的嚴重影響，一個拒絕警方命令，不肯從大型</w:t>
      </w:r>
      <w:r w:rsidRPr="009F12D9">
        <w:rPr>
          <w:rFonts w:asciiTheme="majorEastAsia" w:eastAsiaTheme="majorEastAsia" w:hAnsiTheme="majorEastAsia"/>
          <w:i w:val="0"/>
          <w:lang w:eastAsia="zh-TW"/>
        </w:rPr>
        <w:t>人群集結</w:t>
      </w:r>
      <w:r w:rsidR="00A14CED" w:rsidRPr="00A14CED">
        <w:rPr>
          <w:rFonts w:hint="eastAsia"/>
          <w:i w:val="0"/>
          <w:lang w:eastAsia="zh-HK"/>
        </w:rPr>
        <w:t>中</w:t>
      </w:r>
      <w:r w:rsidR="00E142B8" w:rsidRPr="009F12D9">
        <w:rPr>
          <w:rFonts w:asciiTheme="majorEastAsia" w:eastAsiaTheme="majorEastAsia" w:hAnsiTheme="majorEastAsia" w:hint="eastAsia"/>
          <w:i w:val="0"/>
          <w:lang w:eastAsia="zh-HK"/>
        </w:rPr>
        <w:t>散開</w:t>
      </w:r>
      <w:r w:rsidR="007B3874" w:rsidRPr="009F12D9">
        <w:rPr>
          <w:rFonts w:asciiTheme="majorEastAsia" w:eastAsiaTheme="majorEastAsia" w:hAnsiTheme="majorEastAsia" w:hint="eastAsia"/>
          <w:i w:val="0"/>
          <w:lang w:eastAsia="zh-HK"/>
        </w:rPr>
        <w:t>和</w:t>
      </w:r>
      <w:r w:rsidR="007B3874" w:rsidRPr="009F12D9">
        <w:rPr>
          <w:rFonts w:asciiTheme="majorEastAsia" w:eastAsiaTheme="majorEastAsia" w:hAnsiTheme="majorEastAsia"/>
          <w:i w:val="0"/>
          <w:lang w:eastAsia="zh-HK"/>
        </w:rPr>
        <w:t>離</w:t>
      </w:r>
      <w:r w:rsidR="007B3874" w:rsidRPr="009F12D9">
        <w:rPr>
          <w:rFonts w:asciiTheme="majorEastAsia" w:eastAsiaTheme="majorEastAsia" w:hAnsiTheme="majorEastAsia" w:hint="eastAsia"/>
          <w:i w:val="0"/>
          <w:lang w:eastAsia="zh-HK"/>
        </w:rPr>
        <w:t>去</w:t>
      </w:r>
      <w:r w:rsidRPr="009F12D9">
        <w:rPr>
          <w:rFonts w:asciiTheme="majorEastAsia" w:eastAsiaTheme="majorEastAsia" w:hAnsiTheme="majorEastAsia"/>
          <w:i w:val="0"/>
          <w:lang w:eastAsia="zh-TW"/>
        </w:rPr>
        <w:t>的</w:t>
      </w:r>
      <w:r w:rsidRPr="009F12D9">
        <w:rPr>
          <w:rFonts w:ascii="Times New Roman" w:hAnsi="Times New Roman"/>
          <w:i w:val="0"/>
          <w:lang w:eastAsia="zh-TW"/>
        </w:rPr>
        <w:t>人，無疑是在延續一個擾亂公共秩序的</w:t>
      </w:r>
      <w:r w:rsidR="007B3874" w:rsidRPr="009F12D9">
        <w:rPr>
          <w:rFonts w:hint="eastAsia"/>
          <w:i w:val="0"/>
          <w:lang w:eastAsia="zh-HK"/>
        </w:rPr>
        <w:t>事態</w:t>
      </w:r>
      <w:r w:rsidRPr="009F12D9">
        <w:rPr>
          <w:rFonts w:ascii="Times New Roman" w:hAnsi="Times New Roman"/>
          <w:i w:val="0"/>
          <w:lang w:eastAsia="zh-TW"/>
        </w:rPr>
        <w:t>，對社會安寧的不被破壞構成嚴重威脅。即使這人只是留在集結當中，不進一步作出暴力或威脅使用</w:t>
      </w:r>
      <w:r w:rsidRPr="009F12D9">
        <w:rPr>
          <w:rFonts w:ascii="Times New Roman" w:hAnsi="Times New Roman"/>
          <w:i w:val="0"/>
          <w:lang w:eastAsia="zh-TW"/>
        </w:rPr>
        <w:lastRenderedPageBreak/>
        <w:t>暴力的行為，他也是在延續惡化中的</w:t>
      </w:r>
      <w:r w:rsidR="008E79EC" w:rsidRPr="009F12D9">
        <w:rPr>
          <w:rFonts w:hint="eastAsia"/>
          <w:i w:val="0"/>
          <w:lang w:eastAsia="zh-HK"/>
        </w:rPr>
        <w:t>情況</w:t>
      </w:r>
      <w:r w:rsidRPr="009F12D9">
        <w:rPr>
          <w:rFonts w:ascii="Times New Roman" w:hAnsi="Times New Roman"/>
          <w:i w:val="0"/>
          <w:lang w:eastAsia="zh-TW"/>
        </w:rPr>
        <w:t>，增加</w:t>
      </w:r>
      <w:r w:rsidR="00B37E02" w:rsidRPr="009F12D9">
        <w:rPr>
          <w:rFonts w:ascii="Times New Roman" w:hAnsi="Times New Roman"/>
          <w:i w:val="0"/>
          <w:lang w:eastAsia="zh-HK"/>
        </w:rPr>
        <w:t>出現</w:t>
      </w:r>
      <w:r w:rsidRPr="009F12D9">
        <w:rPr>
          <w:rFonts w:ascii="Times New Roman" w:hAnsi="Times New Roman"/>
          <w:i w:val="0"/>
          <w:lang w:eastAsia="zh-TW"/>
        </w:rPr>
        <w:t>暴力衝突的可能。</w:t>
      </w:r>
      <w:r w:rsidRPr="009F12D9">
        <w:rPr>
          <w:rFonts w:ascii="Times New Roman" w:hAnsi="Times New Roman"/>
          <w:i w:val="0"/>
        </w:rPr>
        <w:t>（意譯）</w:t>
      </w:r>
      <w:r w:rsidRPr="009F12D9">
        <w:rPr>
          <w:rStyle w:val="FootnoteReference"/>
          <w:i w:val="0"/>
        </w:rPr>
        <w:footnoteReference w:id="40"/>
      </w:r>
    </w:p>
    <w:p w:rsidR="00D44878" w:rsidRPr="009F12D9" w:rsidRDefault="00C36654" w:rsidP="00D44878">
      <w:pPr>
        <w:pStyle w:val="ar-heading1"/>
        <w:keepNext w:val="0"/>
        <w:numPr>
          <w:ilvl w:val="0"/>
          <w:numId w:val="5"/>
        </w:numPr>
        <w:spacing w:before="0" w:after="520"/>
        <w:ind w:firstLine="0"/>
        <w:jc w:val="both"/>
        <w:rPr>
          <w:rFonts w:ascii="Times New Roman" w:hAnsi="Times New Roman"/>
          <w:i w:val="0"/>
          <w:lang w:val="en-US" w:eastAsia="zh-TW"/>
        </w:rPr>
      </w:pPr>
      <w:r w:rsidRPr="009F12D9">
        <w:rPr>
          <w:rFonts w:ascii="Times New Roman" w:hAnsi="Times New Roman"/>
          <w:lang w:eastAsia="zh-TW"/>
        </w:rPr>
        <w:t>Leung</w:t>
      </w:r>
      <w:r w:rsidR="00274C89" w:rsidRPr="009F12D9">
        <w:rPr>
          <w:rFonts w:ascii="Times New Roman" w:hAnsi="Times New Roman"/>
          <w:lang w:eastAsia="zh-TW"/>
        </w:rPr>
        <w:t xml:space="preserve"> K</w:t>
      </w:r>
      <w:r w:rsidR="00274C89" w:rsidRPr="009F12D9">
        <w:rPr>
          <w:rFonts w:ascii="Times New Roman" w:hAnsi="Times New Roman"/>
          <w:lang w:val="en-US" w:eastAsia="zh-TW"/>
        </w:rPr>
        <w:t xml:space="preserve">wok Hung (No.2) </w:t>
      </w:r>
      <w:r w:rsidRPr="009F12D9">
        <w:rPr>
          <w:rFonts w:ascii="Times New Roman" w:hAnsi="Times New Roman"/>
          <w:i w:val="0"/>
          <w:lang w:eastAsia="zh-TW"/>
        </w:rPr>
        <w:t>雖然和</w:t>
      </w:r>
      <w:r w:rsidR="00274C89" w:rsidRPr="009F12D9">
        <w:rPr>
          <w:rFonts w:ascii="Times New Roman" w:eastAsia="PMingLiU" w:hAnsi="Times New Roman" w:hint="eastAsia"/>
          <w:i w:val="0"/>
          <w:lang w:eastAsia="zh-HK"/>
        </w:rPr>
        <w:t>《</w:t>
      </w:r>
      <w:r w:rsidR="00CA123F">
        <w:rPr>
          <w:i w:val="0"/>
          <w:lang w:eastAsia="zh-TW"/>
        </w:rPr>
        <w:t>禁止蒙面規例</w:t>
      </w:r>
      <w:r w:rsidR="00274C89" w:rsidRPr="009F12D9">
        <w:rPr>
          <w:rFonts w:ascii="PMingLiU" w:eastAsia="PMingLiU" w:hAnsi="PMingLiU" w:hint="eastAsia"/>
          <w:i w:val="0"/>
          <w:lang w:eastAsia="zh-HK"/>
        </w:rPr>
        <w:t>》</w:t>
      </w:r>
      <w:r w:rsidR="0021230C" w:rsidRPr="009F12D9">
        <w:rPr>
          <w:rFonts w:hint="eastAsia"/>
          <w:i w:val="0"/>
          <w:lang w:eastAsia="zh-HK"/>
        </w:rPr>
        <w:t>是否</w:t>
      </w:r>
      <w:r w:rsidR="0021230C" w:rsidRPr="009F12D9">
        <w:rPr>
          <w:i w:val="0"/>
          <w:lang w:eastAsia="zh-TW"/>
        </w:rPr>
        <w:t>違憲</w:t>
      </w:r>
      <w:r w:rsidR="0021230C" w:rsidRPr="009F12D9">
        <w:rPr>
          <w:rFonts w:hint="eastAsia"/>
          <w:i w:val="0"/>
          <w:lang w:eastAsia="zh-HK"/>
        </w:rPr>
        <w:t>的問題</w:t>
      </w:r>
      <w:r w:rsidRPr="009F12D9">
        <w:rPr>
          <w:i w:val="0"/>
          <w:lang w:eastAsia="zh-TW"/>
        </w:rPr>
        <w:t>有關</w:t>
      </w:r>
      <w:r w:rsidRPr="009F12D9">
        <w:rPr>
          <w:rFonts w:ascii="Times New Roman" w:hAnsi="Times New Roman"/>
          <w:i w:val="0"/>
          <w:lang w:eastAsia="zh-TW"/>
        </w:rPr>
        <w:t>，但以上一段判詞，卻對處理不涉及實質暴力的非法集結有相當幫助。它再次指出，法庭要切實關注</w:t>
      </w:r>
      <w:r w:rsidRPr="009F12D9">
        <w:rPr>
          <w:i w:val="0"/>
          <w:lang w:eastAsia="zh-TW"/>
        </w:rPr>
        <w:t>的</w:t>
      </w:r>
      <w:r w:rsidR="00EC7081" w:rsidRPr="009F12D9">
        <w:rPr>
          <w:rFonts w:hint="eastAsia"/>
          <w:i w:val="0"/>
          <w:lang w:eastAsia="zh-HK"/>
        </w:rPr>
        <w:t>其中</w:t>
      </w:r>
      <w:r w:rsidR="00B37E02" w:rsidRPr="009F12D9">
        <w:rPr>
          <w:rFonts w:ascii="Times New Roman" w:hAnsi="Times New Roman"/>
          <w:i w:val="0"/>
          <w:lang w:eastAsia="zh-TW"/>
        </w:rPr>
        <w:t>一點，是非法集結可迅速演變</w:t>
      </w:r>
      <w:r w:rsidR="00B37E02" w:rsidRPr="009F12D9">
        <w:rPr>
          <w:rFonts w:ascii="Times New Roman" w:hAnsi="Times New Roman"/>
          <w:i w:val="0"/>
          <w:lang w:eastAsia="zh-HK"/>
        </w:rPr>
        <w:t>為</w:t>
      </w:r>
      <w:r w:rsidRPr="009F12D9">
        <w:rPr>
          <w:rFonts w:ascii="Times New Roman" w:hAnsi="Times New Roman"/>
          <w:i w:val="0"/>
          <w:lang w:eastAsia="zh-TW"/>
        </w:rPr>
        <w:t>暴力衝突的潛在風險。如果大部分的參與者蒙面，有關的風險就更大。至於文中提到，參與者拒絕散去的問題，法庭在判刑時</w:t>
      </w:r>
      <w:r w:rsidR="008E001F" w:rsidRPr="008E001F">
        <w:rPr>
          <w:rFonts w:hint="eastAsia"/>
          <w:i w:val="0"/>
          <w:lang w:eastAsia="zh-HK"/>
        </w:rPr>
        <w:t>務</w:t>
      </w:r>
      <w:r w:rsidRPr="008E001F">
        <w:rPr>
          <w:i w:val="0"/>
          <w:lang w:eastAsia="zh-TW"/>
        </w:rPr>
        <w:t>必</w:t>
      </w:r>
      <w:r w:rsidRPr="009F12D9">
        <w:rPr>
          <w:rFonts w:ascii="Times New Roman" w:hAnsi="Times New Roman"/>
          <w:i w:val="0"/>
          <w:lang w:eastAsia="zh-TW"/>
        </w:rPr>
        <w:t>小心，不輕易把它看成個</w:t>
      </w:r>
      <w:r w:rsidR="00814486" w:rsidRPr="009F12D9">
        <w:rPr>
          <w:rFonts w:ascii="Times New Roman" w:hAnsi="Times New Roman"/>
          <w:i w:val="0"/>
          <w:lang w:eastAsia="zh-HK"/>
        </w:rPr>
        <w:t>別</w:t>
      </w:r>
      <w:r w:rsidRPr="009F12D9">
        <w:rPr>
          <w:rFonts w:ascii="Times New Roman" w:hAnsi="Times New Roman"/>
          <w:i w:val="0"/>
          <w:lang w:eastAsia="zh-TW"/>
        </w:rPr>
        <w:t>被告的加刑因素，否則</w:t>
      </w:r>
      <w:r w:rsidR="00B37E02" w:rsidRPr="009F12D9">
        <w:rPr>
          <w:rFonts w:ascii="Times New Roman" w:hAnsi="Times New Roman"/>
          <w:i w:val="0"/>
          <w:lang w:eastAsia="zh-HK"/>
        </w:rPr>
        <w:t>會</w:t>
      </w:r>
      <w:r w:rsidRPr="009F12D9">
        <w:rPr>
          <w:rFonts w:ascii="Times New Roman" w:hAnsi="Times New Roman"/>
          <w:i w:val="0"/>
          <w:lang w:eastAsia="zh-TW"/>
        </w:rPr>
        <w:t>和集結的行為本身造成重疊</w:t>
      </w:r>
      <w:r w:rsidR="00B37E02" w:rsidRPr="009F12D9">
        <w:rPr>
          <w:rFonts w:ascii="Times New Roman" w:hAnsi="Times New Roman"/>
          <w:i w:val="0"/>
          <w:lang w:eastAsia="zh-TW"/>
        </w:rPr>
        <w:t>。</w:t>
      </w:r>
      <w:r w:rsidRPr="009F12D9">
        <w:rPr>
          <w:rFonts w:ascii="Times New Roman" w:hAnsi="Times New Roman"/>
          <w:i w:val="0"/>
          <w:lang w:eastAsia="zh-TW"/>
        </w:rPr>
        <w:t>一切要視乎案中的實際情況</w:t>
      </w:r>
      <w:r w:rsidR="00D44878" w:rsidRPr="009F12D9">
        <w:rPr>
          <w:rFonts w:ascii="Times New Roman" w:hAnsi="Times New Roman"/>
          <w:i w:val="0"/>
          <w:szCs w:val="28"/>
          <w:lang w:eastAsia="zh-TW"/>
        </w:rPr>
        <w:t>。</w:t>
      </w:r>
    </w:p>
    <w:p w:rsidR="00C36654" w:rsidRPr="009F12D9" w:rsidRDefault="00C36654" w:rsidP="00C36654">
      <w:pPr>
        <w:pStyle w:val="Final"/>
        <w:keepNext/>
        <w:tabs>
          <w:tab w:val="clear" w:pos="1440"/>
          <w:tab w:val="clear" w:pos="4320"/>
          <w:tab w:val="clear" w:pos="9072"/>
          <w:tab w:val="left" w:pos="720"/>
          <w:tab w:val="center" w:pos="4234"/>
          <w:tab w:val="right" w:pos="8453"/>
        </w:tabs>
        <w:spacing w:after="360"/>
        <w:ind w:left="720" w:hanging="720"/>
        <w:rPr>
          <w:i/>
          <w:lang w:eastAsia="zh-TW"/>
        </w:rPr>
      </w:pPr>
      <w:r w:rsidRPr="009F12D9">
        <w:rPr>
          <w:i/>
          <w:lang w:eastAsia="zh-TW"/>
        </w:rPr>
        <w:t xml:space="preserve">H4. </w:t>
      </w:r>
      <w:r w:rsidR="00FE255A" w:rsidRPr="009F12D9">
        <w:rPr>
          <w:i/>
          <w:lang w:eastAsia="zh-TW"/>
        </w:rPr>
        <w:tab/>
      </w:r>
      <w:r w:rsidRPr="009F12D9">
        <w:rPr>
          <w:i/>
          <w:lang w:eastAsia="zh-TW"/>
        </w:rPr>
        <w:t>人數懸殊，和挑釁行為</w:t>
      </w:r>
    </w:p>
    <w:p w:rsidR="00D44878" w:rsidRPr="009F12D9" w:rsidRDefault="00C36654" w:rsidP="00D44878">
      <w:pPr>
        <w:pStyle w:val="ar-heading1"/>
        <w:keepNext w:val="0"/>
        <w:numPr>
          <w:ilvl w:val="0"/>
          <w:numId w:val="5"/>
        </w:numPr>
        <w:spacing w:before="0" w:after="520"/>
        <w:ind w:firstLine="0"/>
        <w:jc w:val="both"/>
        <w:rPr>
          <w:rFonts w:ascii="Times New Roman" w:hAnsi="Times New Roman"/>
          <w:i w:val="0"/>
          <w:lang w:val="en-US" w:eastAsia="zh-TW"/>
        </w:rPr>
      </w:pPr>
      <w:r w:rsidRPr="009F12D9">
        <w:rPr>
          <w:rFonts w:ascii="Times New Roman" w:hAnsi="Times New Roman"/>
          <w:lang w:eastAsia="zh-TW"/>
        </w:rPr>
        <w:t xml:space="preserve">Tang </w:t>
      </w:r>
      <w:proofErr w:type="spellStart"/>
      <w:r w:rsidRPr="009F12D9">
        <w:rPr>
          <w:rFonts w:ascii="Times New Roman" w:hAnsi="Times New Roman"/>
          <w:lang w:eastAsia="zh-TW"/>
        </w:rPr>
        <w:t>Ho</w:t>
      </w:r>
      <w:proofErr w:type="spellEnd"/>
      <w:r w:rsidRPr="009F12D9">
        <w:rPr>
          <w:rFonts w:ascii="Times New Roman" w:hAnsi="Times New Roman"/>
          <w:lang w:eastAsia="zh-TW"/>
        </w:rPr>
        <w:t xml:space="preserve"> Yin</w:t>
      </w:r>
      <w:r w:rsidRPr="009F12D9">
        <w:rPr>
          <w:rFonts w:ascii="Times New Roman" w:hAnsi="Times New Roman"/>
          <w:i w:val="0"/>
          <w:lang w:eastAsia="zh-TW"/>
        </w:rPr>
        <w:t>是去年宣判的案件（判案書日期：</w:t>
      </w:r>
      <w:r w:rsidRPr="009F12D9">
        <w:rPr>
          <w:rFonts w:ascii="Times New Roman" w:hAnsi="Times New Roman"/>
          <w:i w:val="0"/>
          <w:lang w:eastAsia="zh-TW"/>
        </w:rPr>
        <w:t>2019</w:t>
      </w:r>
      <w:r w:rsidRPr="009F12D9">
        <w:rPr>
          <w:rFonts w:ascii="Times New Roman" w:hAnsi="Times New Roman"/>
          <w:i w:val="0"/>
          <w:lang w:eastAsia="zh-TW"/>
        </w:rPr>
        <w:t>年</w:t>
      </w:r>
      <w:r w:rsidRPr="009F12D9">
        <w:rPr>
          <w:rFonts w:ascii="Times New Roman" w:hAnsi="Times New Roman"/>
          <w:i w:val="0"/>
          <w:lang w:eastAsia="zh-TW"/>
        </w:rPr>
        <w:t>6</w:t>
      </w:r>
      <w:r w:rsidRPr="009F12D9">
        <w:rPr>
          <w:rFonts w:ascii="Times New Roman" w:hAnsi="Times New Roman"/>
          <w:i w:val="0"/>
          <w:lang w:eastAsia="zh-TW"/>
        </w:rPr>
        <w:t>月</w:t>
      </w:r>
      <w:r w:rsidRPr="009F12D9">
        <w:rPr>
          <w:rFonts w:ascii="Times New Roman" w:hAnsi="Times New Roman"/>
          <w:i w:val="0"/>
          <w:lang w:eastAsia="zh-TW"/>
        </w:rPr>
        <w:t>5</w:t>
      </w:r>
      <w:r w:rsidRPr="009F12D9">
        <w:rPr>
          <w:rFonts w:ascii="Times New Roman" w:hAnsi="Times New Roman"/>
          <w:i w:val="0"/>
          <w:lang w:eastAsia="zh-TW"/>
        </w:rPr>
        <w:t>日）</w:t>
      </w:r>
      <w:r w:rsidRPr="009F12D9">
        <w:rPr>
          <w:rStyle w:val="FootnoteReference"/>
          <w:i w:val="0"/>
        </w:rPr>
        <w:footnoteReference w:id="41"/>
      </w:r>
      <w:r w:rsidR="001B3E87" w:rsidRPr="009F12D9">
        <w:rPr>
          <w:rFonts w:ascii="Times New Roman" w:hAnsi="Times New Roman"/>
          <w:i w:val="0"/>
          <w:lang w:eastAsia="zh-TW"/>
        </w:rPr>
        <w:t>。上訴法庭</w:t>
      </w:r>
      <w:r w:rsidR="00F770D2" w:rsidRPr="009F12D9">
        <w:rPr>
          <w:rFonts w:hint="eastAsia"/>
          <w:i w:val="0"/>
          <w:lang w:eastAsia="zh-HK"/>
        </w:rPr>
        <w:t>副庭長</w:t>
      </w:r>
      <w:r w:rsidR="00F770D2" w:rsidRPr="009F12D9">
        <w:rPr>
          <w:rFonts w:hint="eastAsia"/>
          <w:i w:val="0"/>
          <w:lang w:eastAsia="zh-TW"/>
        </w:rPr>
        <w:t>麥</w:t>
      </w:r>
      <w:r w:rsidR="00F770D2" w:rsidRPr="009F12D9">
        <w:rPr>
          <w:rFonts w:hint="eastAsia"/>
          <w:i w:val="0"/>
          <w:lang w:eastAsia="zh-HK"/>
        </w:rPr>
        <w:t>機智</w:t>
      </w:r>
      <w:r w:rsidR="001B3E87" w:rsidRPr="009F12D9">
        <w:rPr>
          <w:rFonts w:ascii="Times New Roman" w:hAnsi="Times New Roman"/>
          <w:i w:val="0"/>
          <w:lang w:eastAsia="zh-TW"/>
        </w:rPr>
        <w:t>在該案判詞</w:t>
      </w:r>
      <w:r w:rsidRPr="009F12D9">
        <w:rPr>
          <w:rFonts w:ascii="Times New Roman" w:hAnsi="Times New Roman"/>
          <w:i w:val="0"/>
          <w:lang w:eastAsia="zh-TW"/>
        </w:rPr>
        <w:t>第</w:t>
      </w:r>
      <w:r w:rsidRPr="009F12D9">
        <w:rPr>
          <w:rFonts w:ascii="Times New Roman" w:hAnsi="Times New Roman"/>
          <w:i w:val="0"/>
          <w:lang w:eastAsia="zh-TW"/>
        </w:rPr>
        <w:t>27</w:t>
      </w:r>
      <w:r w:rsidRPr="009F12D9">
        <w:rPr>
          <w:rFonts w:ascii="Times New Roman" w:hAnsi="Times New Roman"/>
          <w:i w:val="0"/>
          <w:lang w:eastAsia="zh-TW"/>
        </w:rPr>
        <w:t>段指出：在任何情緒極度高漲的衝突當中，如果暴力不被有效圍堵或控制，則無可避免地會出現暴力升級的危險</w:t>
      </w:r>
      <w:r w:rsidRPr="009F12D9">
        <w:rPr>
          <w:rFonts w:ascii="Times New Roman" w:hAnsi="Times New Roman"/>
          <w:i w:val="0"/>
          <w:lang w:eastAsia="zh-TW"/>
        </w:rPr>
        <w:t xml:space="preserve"> – </w:t>
      </w:r>
      <w:r w:rsidR="001B3E87" w:rsidRPr="009F12D9">
        <w:rPr>
          <w:rFonts w:ascii="Times New Roman" w:hAnsi="Times New Roman"/>
          <w:i w:val="0"/>
          <w:lang w:eastAsia="zh-TW"/>
        </w:rPr>
        <w:t>尤其</w:t>
      </w:r>
      <w:r w:rsidR="00A0140B" w:rsidRPr="009F12D9">
        <w:rPr>
          <w:rFonts w:ascii="Times New Roman" w:hAnsi="Times New Roman"/>
          <w:i w:val="0"/>
          <w:lang w:eastAsia="zh-HK"/>
        </w:rPr>
        <w:t>當</w:t>
      </w:r>
      <w:r w:rsidRPr="009F12D9">
        <w:rPr>
          <w:rFonts w:ascii="Times New Roman" w:hAnsi="Times New Roman"/>
          <w:i w:val="0"/>
          <w:lang w:eastAsia="zh-TW"/>
        </w:rPr>
        <w:t>執法人員的</w:t>
      </w:r>
      <w:r w:rsidR="00C23258" w:rsidRPr="009F12D9">
        <w:rPr>
          <w:rFonts w:ascii="Times New Roman" w:hAnsi="Times New Roman"/>
          <w:i w:val="0"/>
          <w:lang w:eastAsia="zh-HK"/>
        </w:rPr>
        <w:t>人</w:t>
      </w:r>
      <w:r w:rsidR="00C23258" w:rsidRPr="009F12D9">
        <w:rPr>
          <w:rFonts w:ascii="Times New Roman" w:hAnsi="Times New Roman"/>
          <w:i w:val="0"/>
          <w:lang w:eastAsia="zh-TW"/>
        </w:rPr>
        <w:t>數</w:t>
      </w:r>
      <w:r w:rsidRPr="009F12D9">
        <w:rPr>
          <w:rFonts w:ascii="Times New Roman" w:hAnsi="Times New Roman"/>
          <w:i w:val="0"/>
          <w:lang w:eastAsia="zh-TW"/>
        </w:rPr>
        <w:t>被遠遠超</w:t>
      </w:r>
      <w:r w:rsidRPr="009F12D9">
        <w:rPr>
          <w:rFonts w:ascii="Times New Roman" w:hAnsi="Times New Roman"/>
          <w:i w:val="0"/>
          <w:lang w:eastAsia="zh-TW"/>
        </w:rPr>
        <w:lastRenderedPageBreak/>
        <w:t>出。</w:t>
      </w:r>
      <w:r w:rsidR="00B37E02" w:rsidRPr="009F12D9">
        <w:rPr>
          <w:rFonts w:ascii="Times New Roman" w:hAnsi="Times New Roman"/>
          <w:i w:val="0"/>
          <w:lang w:eastAsia="zh-HK"/>
        </w:rPr>
        <w:t>暴力</w:t>
      </w:r>
      <w:r w:rsidR="001B3E87" w:rsidRPr="009F12D9">
        <w:rPr>
          <w:rFonts w:ascii="Times New Roman" w:hAnsi="Times New Roman"/>
          <w:i w:val="0"/>
          <w:lang w:eastAsia="zh-HK"/>
        </w:rPr>
        <w:t>在這個情況下</w:t>
      </w:r>
      <w:r w:rsidR="00C23258" w:rsidRPr="009F12D9">
        <w:rPr>
          <w:rFonts w:ascii="Times New Roman" w:hAnsi="Times New Roman"/>
          <w:i w:val="0"/>
          <w:lang w:eastAsia="zh-TW"/>
        </w:rPr>
        <w:t>升級，可能會導致大規模的破壞、縱火、搶掠、甚至</w:t>
      </w:r>
      <w:r w:rsidRPr="009F12D9">
        <w:rPr>
          <w:rFonts w:ascii="Times New Roman" w:hAnsi="Times New Roman"/>
          <w:i w:val="0"/>
          <w:lang w:eastAsia="zh-TW"/>
        </w:rPr>
        <w:t>人命傷亡</w:t>
      </w:r>
      <w:r w:rsidR="00FE255A" w:rsidRPr="009F12D9">
        <w:rPr>
          <w:rFonts w:ascii="Times New Roman" w:hAnsi="Times New Roman"/>
          <w:i w:val="0"/>
          <w:szCs w:val="28"/>
          <w:lang w:eastAsia="zh-TW"/>
        </w:rPr>
        <w:t>。</w:t>
      </w:r>
      <w:r w:rsidRPr="009F12D9">
        <w:rPr>
          <w:rFonts w:ascii="Times New Roman" w:hAnsi="Times New Roman"/>
          <w:i w:val="0"/>
          <w:lang w:eastAsia="zh-TW"/>
        </w:rPr>
        <w:t>（意譯）</w:t>
      </w:r>
      <w:r w:rsidRPr="009F12D9">
        <w:rPr>
          <w:rStyle w:val="FootnoteReference"/>
          <w:i w:val="0"/>
        </w:rPr>
        <w:footnoteReference w:id="42"/>
      </w:r>
    </w:p>
    <w:p w:rsidR="00D44878" w:rsidRPr="009F12D9" w:rsidRDefault="00FE255A" w:rsidP="00D44878">
      <w:pPr>
        <w:pStyle w:val="ar-heading1"/>
        <w:keepNext w:val="0"/>
        <w:numPr>
          <w:ilvl w:val="0"/>
          <w:numId w:val="5"/>
        </w:numPr>
        <w:spacing w:before="0" w:after="520"/>
        <w:ind w:firstLine="0"/>
        <w:jc w:val="both"/>
        <w:rPr>
          <w:rFonts w:ascii="Times New Roman" w:hAnsi="Times New Roman"/>
          <w:i w:val="0"/>
          <w:lang w:val="en-US" w:eastAsia="zh-TW"/>
        </w:rPr>
      </w:pPr>
      <w:r w:rsidRPr="009F12D9">
        <w:rPr>
          <w:rFonts w:ascii="Times New Roman" w:hAnsi="Times New Roman"/>
          <w:i w:val="0"/>
          <w:lang w:eastAsia="zh-TW"/>
        </w:rPr>
        <w:t>當然，</w:t>
      </w:r>
      <w:r w:rsidRPr="009F12D9">
        <w:rPr>
          <w:rFonts w:ascii="Times New Roman" w:hAnsi="Times New Roman"/>
          <w:lang w:eastAsia="zh-TW"/>
        </w:rPr>
        <w:t>Tang</w:t>
      </w:r>
      <w:r w:rsidR="00C73249" w:rsidRPr="009F12D9">
        <w:rPr>
          <w:rFonts w:ascii="Times New Roman" w:hAnsi="Times New Roman"/>
          <w:lang w:eastAsia="zh-TW"/>
        </w:rPr>
        <w:t xml:space="preserve"> </w:t>
      </w:r>
      <w:proofErr w:type="spellStart"/>
      <w:r w:rsidR="00C73249" w:rsidRPr="009F12D9">
        <w:rPr>
          <w:rFonts w:ascii="Times New Roman" w:hAnsi="Times New Roman"/>
          <w:lang w:eastAsia="zh-TW"/>
        </w:rPr>
        <w:t>Ho</w:t>
      </w:r>
      <w:proofErr w:type="spellEnd"/>
      <w:r w:rsidR="00C73249" w:rsidRPr="009F12D9">
        <w:rPr>
          <w:rFonts w:ascii="Times New Roman" w:hAnsi="Times New Roman"/>
          <w:lang w:eastAsia="zh-TW"/>
        </w:rPr>
        <w:t xml:space="preserve"> Yin</w:t>
      </w:r>
      <w:r w:rsidRPr="009F12D9">
        <w:rPr>
          <w:rFonts w:ascii="Times New Roman" w:hAnsi="Times New Roman"/>
          <w:i w:val="0"/>
          <w:lang w:eastAsia="zh-TW"/>
        </w:rPr>
        <w:t>案涉及的是</w:t>
      </w:r>
      <w:r w:rsidRPr="009F12D9">
        <w:rPr>
          <w:rFonts w:ascii="Times New Roman" w:hAnsi="Times New Roman"/>
          <w:i w:val="0"/>
          <w:lang w:eastAsia="zh-TW"/>
        </w:rPr>
        <w:t>‘</w:t>
      </w:r>
      <w:r w:rsidRPr="009F12D9">
        <w:rPr>
          <w:rFonts w:ascii="Times New Roman" w:hAnsi="Times New Roman"/>
          <w:i w:val="0"/>
          <w:lang w:eastAsia="zh-TW"/>
        </w:rPr>
        <w:t>暴動</w:t>
      </w:r>
      <w:r w:rsidRPr="009F12D9">
        <w:rPr>
          <w:rFonts w:ascii="Times New Roman" w:hAnsi="Times New Roman"/>
          <w:i w:val="0"/>
          <w:lang w:eastAsia="zh-TW"/>
        </w:rPr>
        <w:t>’</w:t>
      </w:r>
      <w:r w:rsidRPr="009F12D9">
        <w:rPr>
          <w:rFonts w:ascii="Times New Roman" w:hAnsi="Times New Roman"/>
          <w:i w:val="0"/>
          <w:lang w:eastAsia="zh-TW"/>
        </w:rPr>
        <w:t>罪，暴力行為經已發生。申請人援引該案，只是想引申，即使就非暴力的非法集結而言，警方的</w:t>
      </w:r>
      <w:proofErr w:type="gramStart"/>
      <w:r w:rsidRPr="009F12D9">
        <w:rPr>
          <w:rFonts w:ascii="Times New Roman" w:hAnsi="Times New Roman"/>
          <w:i w:val="0"/>
          <w:lang w:eastAsia="zh-TW"/>
        </w:rPr>
        <w:t>人數若遠低於</w:t>
      </w:r>
      <w:proofErr w:type="gramEnd"/>
      <w:r w:rsidRPr="009F12D9">
        <w:rPr>
          <w:rFonts w:ascii="Times New Roman" w:hAnsi="Times New Roman"/>
          <w:i w:val="0"/>
          <w:lang w:eastAsia="zh-TW"/>
        </w:rPr>
        <w:t>聚集的人數，有實質暴力情況出現的風險便會增加。這個主張，本庭認為是正確的，不過也要如上述一段判詞所說，相關的</w:t>
      </w:r>
      <w:r w:rsidRPr="009F12D9">
        <w:rPr>
          <w:rFonts w:ascii="Times New Roman" w:hAnsi="Times New Roman"/>
          <w:i w:val="0"/>
          <w:lang w:eastAsia="zh-HK"/>
        </w:rPr>
        <w:t>對</w:t>
      </w:r>
      <w:r w:rsidRPr="009F12D9">
        <w:rPr>
          <w:rFonts w:ascii="Times New Roman" w:hAnsi="Times New Roman"/>
          <w:i w:val="0"/>
          <w:lang w:eastAsia="zh-TW"/>
        </w:rPr>
        <w:t>峙要先達到</w:t>
      </w:r>
      <w:r w:rsidR="0022394E" w:rsidRPr="009F12D9">
        <w:rPr>
          <w:rFonts w:hint="eastAsia"/>
          <w:i w:val="0"/>
          <w:lang w:val="en-US" w:eastAsia="zh-HK"/>
        </w:rPr>
        <w:t>一個</w:t>
      </w:r>
      <w:r w:rsidRPr="009F12D9">
        <w:rPr>
          <w:i w:val="0"/>
          <w:lang w:eastAsia="zh-TW"/>
        </w:rPr>
        <w:t>情</w:t>
      </w:r>
      <w:r w:rsidRPr="009F12D9">
        <w:rPr>
          <w:rFonts w:ascii="Times New Roman" w:hAnsi="Times New Roman"/>
          <w:i w:val="0"/>
          <w:lang w:eastAsia="zh-TW"/>
        </w:rPr>
        <w:t>緒極度高漲（</w:t>
      </w:r>
      <w:r w:rsidRPr="009F12D9">
        <w:rPr>
          <w:rFonts w:ascii="Times New Roman" w:hAnsi="Times New Roman"/>
          <w:i w:val="0"/>
          <w:lang w:eastAsia="zh-TW"/>
        </w:rPr>
        <w:t>highly charged</w:t>
      </w:r>
      <w:r w:rsidRPr="009F12D9">
        <w:rPr>
          <w:rFonts w:ascii="Times New Roman" w:hAnsi="Times New Roman"/>
          <w:i w:val="0"/>
          <w:lang w:eastAsia="zh-TW"/>
        </w:rPr>
        <w:t>）的</w:t>
      </w:r>
      <w:r w:rsidR="00EC7081" w:rsidRPr="009F12D9">
        <w:rPr>
          <w:rFonts w:hint="eastAsia"/>
          <w:i w:val="0"/>
          <w:lang w:eastAsia="zh-HK"/>
        </w:rPr>
        <w:t>地</w:t>
      </w:r>
      <w:r w:rsidR="0022394E" w:rsidRPr="009F12D9">
        <w:rPr>
          <w:rFonts w:hint="eastAsia"/>
          <w:i w:val="0"/>
          <w:lang w:eastAsia="zh-HK"/>
        </w:rPr>
        <w:t>步</w:t>
      </w:r>
      <w:r w:rsidRPr="009F12D9">
        <w:rPr>
          <w:rFonts w:ascii="Times New Roman" w:hAnsi="Times New Roman"/>
          <w:i w:val="0"/>
          <w:lang w:eastAsia="zh-TW"/>
        </w:rPr>
        <w:t>，否則風險不一定會</w:t>
      </w:r>
      <w:r w:rsidR="00B37E02" w:rsidRPr="009F12D9">
        <w:rPr>
          <w:rFonts w:ascii="Times New Roman" w:hAnsi="Times New Roman"/>
          <w:i w:val="0"/>
          <w:lang w:eastAsia="zh-HK"/>
        </w:rPr>
        <w:t>增加</w:t>
      </w:r>
      <w:r w:rsidRPr="009F12D9">
        <w:rPr>
          <w:rFonts w:ascii="Times New Roman" w:hAnsi="Times New Roman"/>
          <w:i w:val="0"/>
          <w:lang w:eastAsia="zh-TW"/>
        </w:rPr>
        <w:t>。</w:t>
      </w:r>
      <w:proofErr w:type="gramStart"/>
      <w:r w:rsidRPr="009F12D9">
        <w:rPr>
          <w:rFonts w:ascii="Times New Roman" w:hAnsi="Times New Roman"/>
          <w:i w:val="0"/>
          <w:lang w:eastAsia="zh-TW"/>
        </w:rPr>
        <w:t>此外，</w:t>
      </w:r>
      <w:proofErr w:type="gramEnd"/>
      <w:r w:rsidRPr="009F12D9">
        <w:rPr>
          <w:rFonts w:ascii="Times New Roman" w:hAnsi="Times New Roman"/>
          <w:i w:val="0"/>
          <w:lang w:eastAsia="zh-TW"/>
        </w:rPr>
        <w:t>雙方人數懸殊</w:t>
      </w:r>
      <w:r w:rsidR="00B37E02" w:rsidRPr="009F12D9">
        <w:rPr>
          <w:rFonts w:ascii="Times New Roman" w:hAnsi="Times New Roman"/>
          <w:i w:val="0"/>
          <w:lang w:eastAsia="zh-TW"/>
        </w:rPr>
        <w:t>，</w:t>
      </w:r>
      <w:r w:rsidR="00B37E02" w:rsidRPr="009F12D9">
        <w:rPr>
          <w:rFonts w:ascii="Times New Roman" w:hAnsi="Times New Roman"/>
          <w:i w:val="0"/>
          <w:lang w:eastAsia="zh-HK"/>
        </w:rPr>
        <w:t>一般</w:t>
      </w:r>
      <w:r w:rsidRPr="009F12D9">
        <w:rPr>
          <w:rFonts w:ascii="Times New Roman" w:hAnsi="Times New Roman"/>
          <w:i w:val="0"/>
          <w:lang w:eastAsia="zh-TW"/>
        </w:rPr>
        <w:t>不會構成個別被告的加刑因素，只</w:t>
      </w:r>
      <w:r w:rsidR="00B37E02" w:rsidRPr="009F12D9">
        <w:rPr>
          <w:rFonts w:ascii="Times New Roman" w:hAnsi="Times New Roman"/>
          <w:i w:val="0"/>
          <w:lang w:eastAsia="zh-HK"/>
        </w:rPr>
        <w:t>能</w:t>
      </w:r>
      <w:r w:rsidRPr="009F12D9">
        <w:rPr>
          <w:rFonts w:ascii="Times New Roman" w:hAnsi="Times New Roman"/>
          <w:i w:val="0"/>
          <w:lang w:eastAsia="zh-TW"/>
        </w:rPr>
        <w:t>幫助法庭判斷某個非法集結的整體嚴重性</w:t>
      </w:r>
      <w:r w:rsidR="00D44878" w:rsidRPr="009F12D9">
        <w:rPr>
          <w:rFonts w:ascii="Times New Roman" w:hAnsi="Times New Roman"/>
          <w:i w:val="0"/>
          <w:szCs w:val="28"/>
          <w:lang w:eastAsia="zh-TW"/>
        </w:rPr>
        <w:t>。</w:t>
      </w:r>
    </w:p>
    <w:p w:rsidR="00D44878" w:rsidRPr="009F12D9" w:rsidRDefault="00FE255A" w:rsidP="00D44878">
      <w:pPr>
        <w:pStyle w:val="ar-heading1"/>
        <w:keepNext w:val="0"/>
        <w:numPr>
          <w:ilvl w:val="0"/>
          <w:numId w:val="5"/>
        </w:numPr>
        <w:spacing w:before="0" w:after="520"/>
        <w:ind w:firstLine="0"/>
        <w:jc w:val="both"/>
        <w:rPr>
          <w:rFonts w:ascii="Times New Roman" w:hAnsi="Times New Roman"/>
          <w:i w:val="0"/>
          <w:lang w:val="en-US" w:eastAsia="zh-TW"/>
        </w:rPr>
      </w:pPr>
      <w:r w:rsidRPr="009F12D9">
        <w:rPr>
          <w:rFonts w:ascii="Times New Roman" w:hAnsi="Times New Roman"/>
          <w:i w:val="0"/>
          <w:lang w:eastAsia="zh-TW"/>
        </w:rPr>
        <w:t>申請人提出的另一點，是參與非法集結者的</w:t>
      </w:r>
      <w:r w:rsidR="00B37E02" w:rsidRPr="009F12D9">
        <w:rPr>
          <w:rFonts w:ascii="Times New Roman" w:hAnsi="Times New Roman"/>
          <w:i w:val="0"/>
          <w:lang w:eastAsia="zh-HK"/>
        </w:rPr>
        <w:t>行為具</w:t>
      </w:r>
      <w:r w:rsidRPr="009F12D9">
        <w:rPr>
          <w:rFonts w:ascii="Times New Roman" w:hAnsi="Times New Roman"/>
          <w:i w:val="0"/>
          <w:lang w:eastAsia="zh-TW"/>
        </w:rPr>
        <w:t>挑釁</w:t>
      </w:r>
      <w:r w:rsidR="00B37E02" w:rsidRPr="009F12D9">
        <w:rPr>
          <w:rFonts w:ascii="Times New Roman" w:hAnsi="Times New Roman"/>
          <w:i w:val="0"/>
          <w:lang w:eastAsia="zh-HK"/>
        </w:rPr>
        <w:t>性</w:t>
      </w:r>
      <w:r w:rsidRPr="009F12D9">
        <w:rPr>
          <w:rFonts w:ascii="Times New Roman" w:hAnsi="Times New Roman"/>
          <w:i w:val="0"/>
          <w:lang w:eastAsia="zh-TW"/>
        </w:rPr>
        <w:t>。申請人</w:t>
      </w:r>
      <w:r w:rsidR="00855958" w:rsidRPr="009F12D9">
        <w:rPr>
          <w:rFonts w:ascii="Times New Roman" w:hAnsi="Times New Roman"/>
          <w:i w:val="0"/>
          <w:lang w:eastAsia="zh-HK"/>
        </w:rPr>
        <w:t>在</w:t>
      </w:r>
      <w:r w:rsidRPr="009F12D9">
        <w:rPr>
          <w:rFonts w:ascii="Times New Roman" w:hAnsi="Times New Roman"/>
          <w:i w:val="0"/>
          <w:lang w:eastAsia="zh-TW"/>
        </w:rPr>
        <w:t>本案辨識的例子包括：示威人群當中有人用強光和鐳射光照射警察防線；示威人群不但不斷高叫口號而且還夾雜著不少粗言穢語；答辯人本人把沙包扔到馬路中心。</w:t>
      </w:r>
      <w:proofErr w:type="gramStart"/>
      <w:r w:rsidR="00EC7081" w:rsidRPr="009F12D9">
        <w:rPr>
          <w:rFonts w:hint="eastAsia"/>
          <w:i w:val="0"/>
          <w:lang w:eastAsia="zh-HK"/>
        </w:rPr>
        <w:t>此</w:t>
      </w:r>
      <w:r w:rsidRPr="009F12D9">
        <w:rPr>
          <w:i w:val="0"/>
          <w:lang w:eastAsia="zh-TW"/>
        </w:rPr>
        <w:t>外</w:t>
      </w:r>
      <w:r w:rsidRPr="009F12D9">
        <w:rPr>
          <w:rFonts w:ascii="Times New Roman" w:hAnsi="Times New Roman"/>
          <w:i w:val="0"/>
          <w:lang w:eastAsia="zh-TW"/>
        </w:rPr>
        <w:t>，</w:t>
      </w:r>
      <w:proofErr w:type="gramEnd"/>
      <w:r w:rsidRPr="009F12D9">
        <w:rPr>
          <w:rFonts w:ascii="Times New Roman" w:hAnsi="Times New Roman"/>
          <w:i w:val="0"/>
          <w:lang w:eastAsia="zh-TW"/>
        </w:rPr>
        <w:t>示威者當中有很多人蒙面，公然違反</w:t>
      </w:r>
      <w:r w:rsidR="0022394E" w:rsidRPr="009F12D9">
        <w:rPr>
          <w:rFonts w:ascii="Times New Roman" w:eastAsia="PMingLiU" w:hAnsi="Times New Roman" w:hint="eastAsia"/>
          <w:i w:val="0"/>
          <w:lang w:eastAsia="zh-HK"/>
        </w:rPr>
        <w:t>《</w:t>
      </w:r>
      <w:r w:rsidR="00CA123F">
        <w:rPr>
          <w:i w:val="0"/>
          <w:lang w:eastAsia="zh-TW"/>
        </w:rPr>
        <w:t>禁止蒙面規例</w:t>
      </w:r>
      <w:r w:rsidR="0022394E" w:rsidRPr="009F12D9">
        <w:rPr>
          <w:rFonts w:ascii="PMingLiU" w:eastAsia="PMingLiU" w:hAnsi="PMingLiU" w:hint="eastAsia"/>
          <w:i w:val="0"/>
          <w:lang w:eastAsia="zh-HK"/>
        </w:rPr>
        <w:t>》</w:t>
      </w:r>
      <w:r w:rsidRPr="009F12D9">
        <w:rPr>
          <w:rFonts w:ascii="Times New Roman" w:hAnsi="Times New Roman"/>
          <w:i w:val="0"/>
          <w:lang w:eastAsia="zh-TW"/>
        </w:rPr>
        <w:t>和抗拒警方要他們移除面部遮蓋物的命令，也可以被視為具挑釁性</w:t>
      </w:r>
      <w:r w:rsidR="00D44878" w:rsidRPr="009F12D9">
        <w:rPr>
          <w:rFonts w:ascii="Times New Roman" w:hAnsi="Times New Roman"/>
          <w:i w:val="0"/>
          <w:szCs w:val="28"/>
          <w:lang w:eastAsia="zh-TW"/>
        </w:rPr>
        <w:t>。</w:t>
      </w:r>
    </w:p>
    <w:p w:rsidR="00D44878" w:rsidRPr="009F12D9" w:rsidRDefault="00FE255A" w:rsidP="00D44878">
      <w:pPr>
        <w:pStyle w:val="ar-heading1"/>
        <w:keepNext w:val="0"/>
        <w:numPr>
          <w:ilvl w:val="0"/>
          <w:numId w:val="5"/>
        </w:numPr>
        <w:spacing w:before="0" w:after="520"/>
        <w:ind w:firstLine="0"/>
        <w:jc w:val="both"/>
        <w:rPr>
          <w:rFonts w:ascii="Times New Roman" w:hAnsi="Times New Roman"/>
          <w:i w:val="0"/>
          <w:lang w:val="en-US" w:eastAsia="zh-TW"/>
        </w:rPr>
      </w:pPr>
      <w:r w:rsidRPr="009F12D9">
        <w:rPr>
          <w:rFonts w:ascii="Times New Roman" w:hAnsi="Times New Roman"/>
          <w:i w:val="0"/>
          <w:lang w:eastAsia="zh-TW"/>
        </w:rPr>
        <w:t>具挑釁性，不應被單純理解為對執法人員和公權力的挑戰。決定一個行為是否具挑釁性，也要</w:t>
      </w:r>
      <w:proofErr w:type="gramStart"/>
      <w:r w:rsidRPr="009F12D9">
        <w:rPr>
          <w:rFonts w:ascii="Times New Roman" w:hAnsi="Times New Roman"/>
          <w:i w:val="0"/>
          <w:lang w:eastAsia="zh-TW"/>
        </w:rPr>
        <w:t>視乎該行為</w:t>
      </w:r>
      <w:proofErr w:type="gramEnd"/>
      <w:r w:rsidRPr="009F12D9">
        <w:rPr>
          <w:rFonts w:ascii="Times New Roman" w:hAnsi="Times New Roman"/>
          <w:i w:val="0"/>
          <w:lang w:eastAsia="zh-TW"/>
        </w:rPr>
        <w:t>對示威者</w:t>
      </w:r>
      <w:proofErr w:type="gramStart"/>
      <w:r w:rsidRPr="009F12D9">
        <w:rPr>
          <w:rFonts w:ascii="Times New Roman" w:hAnsi="Times New Roman"/>
          <w:i w:val="0"/>
          <w:lang w:eastAsia="zh-TW"/>
        </w:rPr>
        <w:t>和在場而</w:t>
      </w:r>
      <w:proofErr w:type="gramEnd"/>
      <w:r w:rsidRPr="009F12D9">
        <w:rPr>
          <w:rFonts w:ascii="Times New Roman" w:hAnsi="Times New Roman"/>
          <w:i w:val="0"/>
          <w:lang w:eastAsia="zh-TW"/>
        </w:rPr>
        <w:t>又持</w:t>
      </w:r>
      <w:r w:rsidR="00B37E02" w:rsidRPr="009F12D9">
        <w:rPr>
          <w:rFonts w:ascii="Times New Roman" w:hAnsi="Times New Roman"/>
          <w:i w:val="0"/>
          <w:lang w:eastAsia="zh-HK"/>
        </w:rPr>
        <w:t>有</w:t>
      </w:r>
      <w:r w:rsidRPr="009F12D9">
        <w:rPr>
          <w:rFonts w:ascii="Times New Roman" w:hAnsi="Times New Roman"/>
          <w:i w:val="0"/>
          <w:lang w:eastAsia="zh-TW"/>
        </w:rPr>
        <w:t>不同意見的人所可能引起的反應。事實上，由於執法人員</w:t>
      </w:r>
      <w:r w:rsidRPr="009F12D9">
        <w:rPr>
          <w:rFonts w:ascii="Times New Roman" w:hAnsi="Times New Roman"/>
          <w:i w:val="0"/>
          <w:lang w:eastAsia="zh-TW"/>
        </w:rPr>
        <w:lastRenderedPageBreak/>
        <w:t>理應專業克制，所以後兩類人士是否會被挑動或進一步挑動，是一個遠較重要的考慮。如果</w:t>
      </w:r>
      <w:proofErr w:type="gramStart"/>
      <w:r w:rsidRPr="009F12D9">
        <w:rPr>
          <w:rFonts w:ascii="Times New Roman" w:hAnsi="Times New Roman"/>
          <w:i w:val="0"/>
          <w:lang w:eastAsia="zh-TW"/>
        </w:rPr>
        <w:t>一</w:t>
      </w:r>
      <w:proofErr w:type="gramEnd"/>
      <w:r w:rsidRPr="009F12D9">
        <w:rPr>
          <w:rFonts w:ascii="Times New Roman" w:hAnsi="Times New Roman"/>
          <w:i w:val="0"/>
          <w:lang w:eastAsia="zh-TW"/>
        </w:rPr>
        <w:t>眾示威者會或可能會被挑動或進一步挑動，持不同意見</w:t>
      </w:r>
      <w:r w:rsidR="00B37E02" w:rsidRPr="009F12D9">
        <w:rPr>
          <w:rFonts w:ascii="Times New Roman" w:hAnsi="Times New Roman"/>
          <w:i w:val="0"/>
          <w:lang w:eastAsia="zh-HK"/>
        </w:rPr>
        <w:t>的人</w:t>
      </w:r>
      <w:r w:rsidRPr="009F12D9">
        <w:rPr>
          <w:rFonts w:ascii="Times New Roman" w:hAnsi="Times New Roman"/>
          <w:i w:val="0"/>
          <w:lang w:eastAsia="zh-TW"/>
        </w:rPr>
        <w:t>又會或可能會被激起強烈反應，出現暴力衝突的風險便會增加，非法集結的整體嚴重性亦會隨之而增加。即使現場沒有</w:t>
      </w:r>
      <w:r w:rsidR="0022394E" w:rsidRPr="009F12D9">
        <w:rPr>
          <w:rFonts w:hint="eastAsia"/>
          <w:i w:val="0"/>
          <w:lang w:eastAsia="zh-HK"/>
        </w:rPr>
        <w:t>出現</w:t>
      </w:r>
      <w:r w:rsidRPr="009F12D9">
        <w:rPr>
          <w:i w:val="0"/>
          <w:lang w:eastAsia="zh-TW"/>
        </w:rPr>
        <w:t>反對</w:t>
      </w:r>
      <w:r w:rsidR="0022394E" w:rsidRPr="009F12D9">
        <w:rPr>
          <w:rFonts w:hint="eastAsia"/>
          <w:i w:val="0"/>
          <w:lang w:eastAsia="zh-HK"/>
        </w:rPr>
        <w:t>人士或</w:t>
      </w:r>
      <w:r w:rsidRPr="009F12D9">
        <w:rPr>
          <w:i w:val="0"/>
          <w:lang w:eastAsia="zh-TW"/>
        </w:rPr>
        <w:t>陣營</w:t>
      </w:r>
      <w:r w:rsidR="00B37E02" w:rsidRPr="009F12D9">
        <w:rPr>
          <w:rFonts w:ascii="Times New Roman" w:hAnsi="Times New Roman"/>
          <w:i w:val="0"/>
          <w:lang w:eastAsia="zh-TW"/>
        </w:rPr>
        <w:t>，而只</w:t>
      </w:r>
      <w:r w:rsidR="00B37E02" w:rsidRPr="009F12D9">
        <w:rPr>
          <w:rFonts w:ascii="Times New Roman" w:hAnsi="Times New Roman"/>
          <w:i w:val="0"/>
          <w:lang w:eastAsia="zh-HK"/>
        </w:rPr>
        <w:t>是</w:t>
      </w:r>
      <w:r w:rsidRPr="009F12D9">
        <w:rPr>
          <w:rFonts w:ascii="Times New Roman" w:hAnsi="Times New Roman"/>
          <w:i w:val="0"/>
          <w:lang w:eastAsia="zh-TW"/>
        </w:rPr>
        <w:t>示威</w:t>
      </w:r>
      <w:r w:rsidR="00B37E02" w:rsidRPr="009F12D9">
        <w:rPr>
          <w:rFonts w:ascii="Times New Roman" w:hAnsi="Times New Roman"/>
          <w:i w:val="0"/>
          <w:lang w:eastAsia="zh-HK"/>
        </w:rPr>
        <w:t>人</w:t>
      </w:r>
      <w:r w:rsidRPr="009F12D9">
        <w:rPr>
          <w:rFonts w:ascii="Times New Roman" w:hAnsi="Times New Roman"/>
          <w:i w:val="0"/>
          <w:lang w:eastAsia="zh-TW"/>
        </w:rPr>
        <w:t>群</w:t>
      </w:r>
      <w:r w:rsidR="00B37E02" w:rsidRPr="009F12D9">
        <w:rPr>
          <w:rFonts w:ascii="Times New Roman" w:hAnsi="Times New Roman"/>
          <w:i w:val="0"/>
          <w:lang w:eastAsia="zh-HK"/>
        </w:rPr>
        <w:t>本身被挑動</w:t>
      </w:r>
      <w:r w:rsidR="00B37E02" w:rsidRPr="009F12D9">
        <w:rPr>
          <w:i w:val="0"/>
          <w:lang w:eastAsia="zh-HK"/>
        </w:rPr>
        <w:t>或</w:t>
      </w:r>
      <w:r w:rsidR="004959F7" w:rsidRPr="009F12D9">
        <w:rPr>
          <w:rFonts w:hint="eastAsia"/>
          <w:i w:val="0"/>
          <w:lang w:eastAsia="zh-HK"/>
        </w:rPr>
        <w:t>進一步</w:t>
      </w:r>
      <w:r w:rsidR="004959F7" w:rsidRPr="009F12D9">
        <w:rPr>
          <w:i w:val="0"/>
          <w:lang w:eastAsia="zh-HK"/>
        </w:rPr>
        <w:t>挑動</w:t>
      </w:r>
      <w:r w:rsidR="00B37E02" w:rsidRPr="009F12D9">
        <w:rPr>
          <w:rFonts w:ascii="Times New Roman" w:hAnsi="Times New Roman"/>
          <w:i w:val="0"/>
          <w:lang w:eastAsia="zh-TW"/>
        </w:rPr>
        <w:t>，</w:t>
      </w:r>
      <w:r w:rsidR="00B37E02" w:rsidRPr="009F12D9">
        <w:rPr>
          <w:rFonts w:ascii="Times New Roman" w:hAnsi="Times New Roman"/>
          <w:i w:val="0"/>
          <w:lang w:eastAsia="zh-HK"/>
        </w:rPr>
        <w:t>則出現暴力行為的風險會</w:t>
      </w:r>
      <w:r w:rsidR="006E2B9D" w:rsidRPr="009F12D9">
        <w:rPr>
          <w:rFonts w:ascii="Times New Roman" w:hAnsi="Times New Roman"/>
          <w:i w:val="0"/>
          <w:lang w:val="en-US" w:eastAsia="zh-HK"/>
        </w:rPr>
        <w:t>仍</w:t>
      </w:r>
      <w:r w:rsidR="00B37E02" w:rsidRPr="009F12D9">
        <w:rPr>
          <w:rFonts w:ascii="Times New Roman" w:hAnsi="Times New Roman"/>
          <w:i w:val="0"/>
          <w:lang w:eastAsia="zh-HK"/>
        </w:rPr>
        <w:t>然有所增加</w:t>
      </w:r>
      <w:r w:rsidRPr="009F12D9">
        <w:rPr>
          <w:rFonts w:ascii="Times New Roman" w:hAnsi="Times New Roman"/>
          <w:i w:val="0"/>
          <w:lang w:eastAsia="zh-TW"/>
        </w:rPr>
        <w:t>，只是增加</w:t>
      </w:r>
      <w:r w:rsidR="00B37E02" w:rsidRPr="009F12D9">
        <w:rPr>
          <w:rFonts w:ascii="Times New Roman" w:hAnsi="Times New Roman"/>
          <w:i w:val="0"/>
          <w:lang w:eastAsia="zh-HK"/>
        </w:rPr>
        <w:t>的</w:t>
      </w:r>
      <w:r w:rsidRPr="009F12D9">
        <w:rPr>
          <w:rFonts w:ascii="Times New Roman" w:hAnsi="Times New Roman"/>
          <w:i w:val="0"/>
          <w:lang w:eastAsia="zh-TW"/>
        </w:rPr>
        <w:t>程度或有分別，但一切要</w:t>
      </w:r>
      <w:proofErr w:type="gramStart"/>
      <w:r w:rsidRPr="009F12D9">
        <w:rPr>
          <w:rFonts w:ascii="Times New Roman" w:hAnsi="Times New Roman"/>
          <w:i w:val="0"/>
          <w:lang w:eastAsia="zh-TW"/>
        </w:rPr>
        <w:t>視乎案中的</w:t>
      </w:r>
      <w:proofErr w:type="gramEnd"/>
      <w:r w:rsidRPr="009F12D9">
        <w:rPr>
          <w:rFonts w:ascii="Times New Roman" w:hAnsi="Times New Roman"/>
          <w:i w:val="0"/>
          <w:lang w:eastAsia="zh-TW"/>
        </w:rPr>
        <w:t>實際情況</w:t>
      </w:r>
      <w:r w:rsidR="00D44878" w:rsidRPr="009F12D9">
        <w:rPr>
          <w:rFonts w:ascii="Times New Roman" w:hAnsi="Times New Roman"/>
          <w:i w:val="0"/>
          <w:szCs w:val="28"/>
          <w:lang w:eastAsia="zh-TW"/>
        </w:rPr>
        <w:t>。</w:t>
      </w:r>
    </w:p>
    <w:p w:rsidR="00B042D1" w:rsidRPr="009F12D9" w:rsidRDefault="00FE255A" w:rsidP="00B042D1">
      <w:pPr>
        <w:pStyle w:val="ar-heading1"/>
        <w:keepNext w:val="0"/>
        <w:numPr>
          <w:ilvl w:val="0"/>
          <w:numId w:val="5"/>
        </w:numPr>
        <w:spacing w:before="0" w:after="520"/>
        <w:ind w:firstLine="0"/>
        <w:jc w:val="both"/>
        <w:rPr>
          <w:rFonts w:ascii="Times New Roman" w:hAnsi="Times New Roman"/>
          <w:i w:val="0"/>
          <w:lang w:val="en-US" w:eastAsia="zh-TW"/>
        </w:rPr>
      </w:pPr>
      <w:r w:rsidRPr="009F12D9">
        <w:rPr>
          <w:rFonts w:ascii="Times New Roman" w:hAnsi="Times New Roman"/>
          <w:i w:val="0"/>
          <w:lang w:eastAsia="zh-TW"/>
        </w:rPr>
        <w:t>個別被告的挑釁行為，可能但未必一定構成個別被告的加刑因素。答辯人</w:t>
      </w:r>
      <w:r w:rsidR="00E46AC1" w:rsidRPr="009F12D9">
        <w:rPr>
          <w:rFonts w:ascii="Times New Roman" w:hAnsi="Times New Roman"/>
          <w:i w:val="0"/>
          <w:lang w:eastAsia="zh-HK"/>
        </w:rPr>
        <w:t>把</w:t>
      </w:r>
      <w:r w:rsidRPr="009F12D9">
        <w:rPr>
          <w:rFonts w:ascii="Times New Roman" w:hAnsi="Times New Roman"/>
          <w:i w:val="0"/>
          <w:lang w:eastAsia="zh-TW"/>
        </w:rPr>
        <w:t>沙包</w:t>
      </w:r>
      <w:r w:rsidR="00E46AC1" w:rsidRPr="009F12D9">
        <w:rPr>
          <w:rFonts w:ascii="Times New Roman" w:hAnsi="Times New Roman"/>
          <w:i w:val="0"/>
          <w:lang w:eastAsia="zh-HK"/>
        </w:rPr>
        <w:t>扔到馬路中心</w:t>
      </w:r>
      <w:r w:rsidRPr="009F12D9">
        <w:rPr>
          <w:rFonts w:ascii="Times New Roman" w:hAnsi="Times New Roman"/>
          <w:i w:val="0"/>
          <w:lang w:eastAsia="zh-TW"/>
        </w:rPr>
        <w:t>，</w:t>
      </w:r>
      <w:r w:rsidR="000F0718" w:rsidRPr="009F12D9">
        <w:rPr>
          <w:rFonts w:ascii="Times New Roman" w:hAnsi="Times New Roman"/>
          <w:i w:val="0"/>
          <w:lang w:eastAsia="zh-TW"/>
        </w:rPr>
        <w:t>明顯是</w:t>
      </w:r>
      <w:r w:rsidR="000F0718" w:rsidRPr="009F12D9">
        <w:rPr>
          <w:rFonts w:ascii="Times New Roman" w:hAnsi="Times New Roman"/>
          <w:i w:val="0"/>
          <w:lang w:eastAsia="zh-HK"/>
        </w:rPr>
        <w:t>要</w:t>
      </w:r>
      <w:r w:rsidR="00FE4CC6" w:rsidRPr="009F12D9">
        <w:rPr>
          <w:rFonts w:ascii="Times New Roman" w:hAnsi="Times New Roman"/>
          <w:i w:val="0"/>
          <w:lang w:eastAsia="zh-TW"/>
        </w:rPr>
        <w:t>表</w:t>
      </w:r>
      <w:r w:rsidR="00E46AC1" w:rsidRPr="009F12D9">
        <w:rPr>
          <w:rFonts w:ascii="Times New Roman" w:hAnsi="Times New Roman"/>
          <w:i w:val="0"/>
          <w:lang w:eastAsia="zh-HK"/>
        </w:rPr>
        <w:t>達他</w:t>
      </w:r>
      <w:r w:rsidRPr="009F12D9">
        <w:rPr>
          <w:rFonts w:ascii="Times New Roman" w:hAnsi="Times New Roman"/>
          <w:i w:val="0"/>
          <w:lang w:eastAsia="zh-TW"/>
        </w:rPr>
        <w:t>將繼續堵路，不能輕看它</w:t>
      </w:r>
      <w:r w:rsidR="0044540E" w:rsidRPr="009F12D9">
        <w:rPr>
          <w:rFonts w:ascii="Times New Roman" w:hAnsi="Times New Roman"/>
          <w:i w:val="0"/>
          <w:lang w:eastAsia="zh-HK"/>
        </w:rPr>
        <w:t>對示</w:t>
      </w:r>
      <w:r w:rsidR="0044540E" w:rsidRPr="009F12D9">
        <w:rPr>
          <w:rFonts w:ascii="Times New Roman" w:hAnsi="Times New Roman"/>
          <w:i w:val="0"/>
          <w:lang w:eastAsia="zh-TW"/>
        </w:rPr>
        <w:t>威</w:t>
      </w:r>
      <w:r w:rsidR="00E46AC1" w:rsidRPr="009F12D9">
        <w:rPr>
          <w:rFonts w:ascii="Times New Roman" w:hAnsi="Times New Roman"/>
          <w:i w:val="0"/>
          <w:lang w:eastAsia="zh-HK"/>
        </w:rPr>
        <w:t>人</w:t>
      </w:r>
      <w:r w:rsidR="0044540E" w:rsidRPr="009F12D9">
        <w:rPr>
          <w:rFonts w:ascii="Times New Roman" w:hAnsi="Times New Roman"/>
          <w:i w:val="0"/>
          <w:lang w:eastAsia="zh-HK"/>
        </w:rPr>
        <w:t>群</w:t>
      </w:r>
      <w:r w:rsidR="003B1D28" w:rsidRPr="009F12D9">
        <w:rPr>
          <w:rFonts w:ascii="Times New Roman" w:hAnsi="Times New Roman"/>
          <w:i w:val="0"/>
          <w:lang w:eastAsia="zh-HK"/>
        </w:rPr>
        <w:t>的挑動作用</w:t>
      </w:r>
      <w:r w:rsidR="00B042D1" w:rsidRPr="009F12D9">
        <w:rPr>
          <w:rFonts w:ascii="Times New Roman" w:hAnsi="Times New Roman"/>
          <w:i w:val="0"/>
          <w:szCs w:val="28"/>
          <w:lang w:eastAsia="zh-TW"/>
        </w:rPr>
        <w:t>。</w:t>
      </w:r>
    </w:p>
    <w:p w:rsidR="00FE255A" w:rsidRPr="009F12D9" w:rsidRDefault="00FE255A" w:rsidP="00FE255A">
      <w:pPr>
        <w:pStyle w:val="Final"/>
        <w:keepNext/>
        <w:tabs>
          <w:tab w:val="clear" w:pos="1440"/>
          <w:tab w:val="clear" w:pos="4320"/>
          <w:tab w:val="clear" w:pos="9072"/>
          <w:tab w:val="left" w:pos="720"/>
          <w:tab w:val="center" w:pos="4234"/>
          <w:tab w:val="right" w:pos="8453"/>
        </w:tabs>
        <w:spacing w:after="360"/>
        <w:ind w:left="720" w:hanging="720"/>
        <w:rPr>
          <w:i/>
          <w:lang w:eastAsia="zh-TW"/>
        </w:rPr>
      </w:pPr>
      <w:r w:rsidRPr="009F12D9">
        <w:rPr>
          <w:i/>
          <w:lang w:eastAsia="zh-TW"/>
        </w:rPr>
        <w:t xml:space="preserve">H5. </w:t>
      </w:r>
      <w:r w:rsidRPr="009F12D9">
        <w:rPr>
          <w:i/>
          <w:lang w:eastAsia="zh-TW"/>
        </w:rPr>
        <w:tab/>
      </w:r>
      <w:r w:rsidRPr="009F12D9">
        <w:rPr>
          <w:i/>
          <w:lang w:eastAsia="zh-TW"/>
        </w:rPr>
        <w:t>特別日子，和高風險地點</w:t>
      </w:r>
    </w:p>
    <w:p w:rsidR="00B042D1" w:rsidRPr="009F12D9" w:rsidRDefault="00147993" w:rsidP="00B042D1">
      <w:pPr>
        <w:pStyle w:val="ar-heading1"/>
        <w:keepNext w:val="0"/>
        <w:numPr>
          <w:ilvl w:val="0"/>
          <w:numId w:val="5"/>
        </w:numPr>
        <w:spacing w:before="0" w:after="520"/>
        <w:ind w:firstLine="0"/>
        <w:jc w:val="both"/>
        <w:rPr>
          <w:rFonts w:ascii="Times New Roman" w:hAnsi="Times New Roman"/>
          <w:i w:val="0"/>
          <w:lang w:val="en-US" w:eastAsia="zh-TW"/>
        </w:rPr>
      </w:pPr>
      <w:r w:rsidRPr="009F12D9">
        <w:rPr>
          <w:rFonts w:ascii="Times New Roman" w:hAnsi="Times New Roman"/>
          <w:i w:val="0"/>
          <w:lang w:eastAsia="zh-TW"/>
        </w:rPr>
        <w:t>本庭在聆訊中翻看過原審時</w:t>
      </w:r>
      <w:r w:rsidR="00FE255A" w:rsidRPr="009F12D9">
        <w:rPr>
          <w:rFonts w:ascii="Times New Roman" w:hAnsi="Times New Roman"/>
          <w:i w:val="0"/>
          <w:lang w:eastAsia="zh-TW"/>
        </w:rPr>
        <w:t>播放的錄影片段，並獲得與</w:t>
      </w:r>
      <w:proofErr w:type="gramStart"/>
      <w:r w:rsidR="00FE255A" w:rsidRPr="009F12D9">
        <w:rPr>
          <w:rFonts w:ascii="Times New Roman" w:hAnsi="Times New Roman"/>
          <w:i w:val="0"/>
          <w:lang w:eastAsia="zh-TW"/>
        </w:rPr>
        <w:t>訟</w:t>
      </w:r>
      <w:proofErr w:type="gramEnd"/>
      <w:r w:rsidR="00FE255A" w:rsidRPr="009F12D9">
        <w:rPr>
          <w:rFonts w:ascii="Times New Roman" w:hAnsi="Times New Roman"/>
          <w:i w:val="0"/>
          <w:lang w:eastAsia="zh-TW"/>
        </w:rPr>
        <w:t>雙方確認：示威者所做的手勢，有</w:t>
      </w:r>
      <w:proofErr w:type="gramStart"/>
      <w:r w:rsidR="00FE255A" w:rsidRPr="009F12D9">
        <w:rPr>
          <w:rFonts w:ascii="Times New Roman" w:hAnsi="Times New Roman"/>
          <w:i w:val="0"/>
          <w:lang w:eastAsia="zh-TW"/>
        </w:rPr>
        <w:t>不</w:t>
      </w:r>
      <w:proofErr w:type="gramEnd"/>
      <w:r w:rsidR="00FE255A" w:rsidRPr="009F12D9">
        <w:rPr>
          <w:rFonts w:ascii="Times New Roman" w:hAnsi="Times New Roman"/>
          <w:i w:val="0"/>
          <w:lang w:eastAsia="zh-TW"/>
        </w:rPr>
        <w:t>文的，也有豎起五個指頭的；所叫的口號，有「時代革命」、「</w:t>
      </w:r>
      <w:r w:rsidR="00FE255A" w:rsidRPr="009F12D9">
        <w:rPr>
          <w:rFonts w:ascii="Times New Roman" w:hAnsi="Times New Roman"/>
          <w:i w:val="0"/>
          <w:lang w:eastAsia="zh-TW"/>
        </w:rPr>
        <w:t>fight for freedom</w:t>
      </w:r>
      <w:r w:rsidR="00FE255A" w:rsidRPr="009F12D9">
        <w:rPr>
          <w:rFonts w:ascii="Times New Roman" w:hAnsi="Times New Roman"/>
          <w:i w:val="0"/>
          <w:lang w:eastAsia="zh-TW"/>
        </w:rPr>
        <w:t>」和「</w:t>
      </w:r>
      <w:r w:rsidR="00FE255A" w:rsidRPr="009F12D9">
        <w:rPr>
          <w:rFonts w:ascii="Times New Roman" w:hAnsi="Times New Roman"/>
          <w:i w:val="0"/>
          <w:lang w:eastAsia="zh-TW"/>
        </w:rPr>
        <w:t>stand for Hong Kong</w:t>
      </w:r>
      <w:r w:rsidR="00FE255A" w:rsidRPr="009F12D9">
        <w:rPr>
          <w:rFonts w:ascii="Times New Roman" w:hAnsi="Times New Roman"/>
          <w:i w:val="0"/>
          <w:lang w:eastAsia="zh-TW"/>
        </w:rPr>
        <w:t>」；所舉的標語，內容包括「</w:t>
      </w:r>
      <w:r w:rsidR="00FE255A" w:rsidRPr="009F12D9">
        <w:rPr>
          <w:rFonts w:ascii="Times New Roman" w:hAnsi="Times New Roman"/>
          <w:i w:val="0"/>
          <w:lang w:eastAsia="zh-TW"/>
        </w:rPr>
        <w:t>11.2 3 pm</w:t>
      </w:r>
      <w:r w:rsidR="00FE255A" w:rsidRPr="009F12D9">
        <w:rPr>
          <w:rFonts w:ascii="Times New Roman" w:hAnsi="Times New Roman"/>
          <w:i w:val="0"/>
          <w:lang w:eastAsia="zh-TW"/>
        </w:rPr>
        <w:t>」、「</w:t>
      </w:r>
      <w:proofErr w:type="gramStart"/>
      <w:r w:rsidR="00FE255A" w:rsidRPr="009F12D9">
        <w:rPr>
          <w:rFonts w:ascii="Times New Roman" w:hAnsi="Times New Roman"/>
          <w:i w:val="0"/>
          <w:szCs w:val="28"/>
          <w:lang w:eastAsia="zh-TW"/>
        </w:rPr>
        <w:t>點解要拎</w:t>
      </w:r>
      <w:proofErr w:type="gramEnd"/>
      <w:r w:rsidRPr="009F12D9">
        <w:rPr>
          <w:rFonts w:ascii="Times New Roman" w:hAnsi="Times New Roman"/>
          <w:i w:val="0"/>
          <w:szCs w:val="28"/>
          <w:lang w:eastAsia="zh-TW"/>
        </w:rPr>
        <w:t xml:space="preserve"> </w:t>
      </w:r>
      <w:r w:rsidR="00FE255A" w:rsidRPr="009F12D9">
        <w:rPr>
          <w:rFonts w:ascii="Times New Roman" w:hAnsi="Times New Roman"/>
          <w:i w:val="0"/>
          <w:szCs w:val="28"/>
          <w:lang w:eastAsia="zh-TW"/>
        </w:rPr>
        <w:t>不反對通知書」和「求援國際</w:t>
      </w:r>
      <w:r w:rsidR="00FE255A" w:rsidRPr="009F12D9">
        <w:rPr>
          <w:rFonts w:ascii="Times New Roman" w:hAnsi="Times New Roman"/>
          <w:i w:val="0"/>
          <w:szCs w:val="28"/>
          <w:lang w:eastAsia="zh-TW"/>
        </w:rPr>
        <w:t xml:space="preserve"> </w:t>
      </w:r>
      <w:r w:rsidR="00FE255A" w:rsidRPr="009F12D9">
        <w:rPr>
          <w:rFonts w:ascii="Times New Roman" w:hAnsi="Times New Roman"/>
          <w:i w:val="0"/>
          <w:szCs w:val="28"/>
          <w:lang w:eastAsia="zh-TW"/>
        </w:rPr>
        <w:t>堅守香港</w:t>
      </w:r>
      <w:r w:rsidR="00FE255A" w:rsidRPr="009F12D9">
        <w:rPr>
          <w:rFonts w:ascii="Times New Roman" w:hAnsi="Times New Roman"/>
          <w:i w:val="0"/>
          <w:szCs w:val="28"/>
          <w:lang w:eastAsia="zh-TW"/>
        </w:rPr>
        <w:t xml:space="preserve"> </w:t>
      </w:r>
      <w:proofErr w:type="gramStart"/>
      <w:r w:rsidR="00FE255A" w:rsidRPr="009F12D9">
        <w:rPr>
          <w:rFonts w:ascii="Times New Roman" w:hAnsi="Times New Roman"/>
          <w:i w:val="0"/>
          <w:szCs w:val="28"/>
          <w:lang w:eastAsia="zh-TW"/>
        </w:rPr>
        <w:t>維園見</w:t>
      </w:r>
      <w:proofErr w:type="gramEnd"/>
      <w:r w:rsidR="00FE255A" w:rsidRPr="009F12D9">
        <w:rPr>
          <w:rFonts w:ascii="Times New Roman" w:hAnsi="Times New Roman"/>
          <w:i w:val="0"/>
          <w:szCs w:val="28"/>
          <w:lang w:eastAsia="zh-TW"/>
        </w:rPr>
        <w:t>」</w:t>
      </w:r>
      <w:r w:rsidR="00B042D1" w:rsidRPr="009F12D9">
        <w:rPr>
          <w:rFonts w:ascii="Times New Roman" w:hAnsi="Times New Roman"/>
          <w:i w:val="0"/>
          <w:szCs w:val="28"/>
          <w:lang w:eastAsia="zh-TW"/>
        </w:rPr>
        <w:t>。</w:t>
      </w:r>
    </w:p>
    <w:p w:rsidR="00B042D1" w:rsidRPr="009F12D9" w:rsidRDefault="00FE255A" w:rsidP="00980385">
      <w:pPr>
        <w:pStyle w:val="ar-heading1"/>
        <w:keepNext w:val="0"/>
        <w:numPr>
          <w:ilvl w:val="0"/>
          <w:numId w:val="5"/>
        </w:numPr>
        <w:spacing w:before="0" w:after="520"/>
        <w:ind w:firstLine="0"/>
        <w:jc w:val="both"/>
        <w:rPr>
          <w:rFonts w:ascii="Times New Roman" w:hAnsi="Times New Roman"/>
          <w:i w:val="0"/>
          <w:lang w:val="en-US" w:eastAsia="zh-TW"/>
        </w:rPr>
      </w:pPr>
      <w:r w:rsidRPr="009F12D9">
        <w:rPr>
          <w:rFonts w:ascii="Times New Roman" w:hAnsi="Times New Roman"/>
          <w:i w:val="0"/>
          <w:lang w:eastAsia="zh-TW"/>
        </w:rPr>
        <w:t>與</w:t>
      </w:r>
      <w:proofErr w:type="gramStart"/>
      <w:r w:rsidRPr="009F12D9">
        <w:rPr>
          <w:rFonts w:ascii="Times New Roman" w:hAnsi="Times New Roman"/>
          <w:i w:val="0"/>
          <w:lang w:eastAsia="zh-TW"/>
        </w:rPr>
        <w:t>訟</w:t>
      </w:r>
      <w:proofErr w:type="gramEnd"/>
      <w:r w:rsidRPr="009F12D9">
        <w:rPr>
          <w:rFonts w:ascii="Times New Roman" w:hAnsi="Times New Roman"/>
          <w:i w:val="0"/>
          <w:lang w:eastAsia="zh-TW"/>
        </w:rPr>
        <w:t>雙方</w:t>
      </w:r>
      <w:proofErr w:type="gramStart"/>
      <w:r w:rsidRPr="009F12D9">
        <w:rPr>
          <w:rFonts w:ascii="Times New Roman" w:hAnsi="Times New Roman"/>
          <w:i w:val="0"/>
          <w:lang w:eastAsia="zh-TW"/>
        </w:rPr>
        <w:t>不</w:t>
      </w:r>
      <w:proofErr w:type="gramEnd"/>
      <w:r w:rsidRPr="009F12D9">
        <w:rPr>
          <w:rFonts w:ascii="Times New Roman" w:hAnsi="Times New Roman"/>
          <w:i w:val="0"/>
          <w:lang w:eastAsia="zh-TW"/>
        </w:rPr>
        <w:t>爭議，事發當天是原</w:t>
      </w:r>
      <w:proofErr w:type="gramStart"/>
      <w:r w:rsidRPr="009F12D9">
        <w:rPr>
          <w:rFonts w:ascii="Times New Roman" w:hAnsi="Times New Roman"/>
          <w:i w:val="0"/>
          <w:lang w:eastAsia="zh-TW"/>
        </w:rPr>
        <w:t>訟</w:t>
      </w:r>
      <w:proofErr w:type="gramEnd"/>
      <w:r w:rsidRPr="009F12D9">
        <w:rPr>
          <w:rFonts w:ascii="Times New Roman" w:hAnsi="Times New Roman"/>
          <w:i w:val="0"/>
          <w:lang w:eastAsia="zh-TW"/>
        </w:rPr>
        <w:t>法庭就</w:t>
      </w:r>
      <w:r w:rsidR="00165BF9" w:rsidRPr="009F12D9">
        <w:rPr>
          <w:rFonts w:ascii="Times New Roman" w:hAnsi="Times New Roman" w:hint="eastAsia"/>
          <w:i w:val="0"/>
          <w:lang w:eastAsia="zh-TW"/>
        </w:rPr>
        <w:t>《</w:t>
      </w:r>
      <w:r w:rsidR="00CA123F">
        <w:rPr>
          <w:rFonts w:hint="eastAsia"/>
          <w:i w:val="0"/>
          <w:lang w:eastAsia="zh-TW"/>
        </w:rPr>
        <w:t>禁止蒙面規例</w:t>
      </w:r>
      <w:r w:rsidR="00165BF9" w:rsidRPr="009F12D9">
        <w:rPr>
          <w:rFonts w:ascii="Times New Roman" w:hAnsi="Times New Roman" w:hint="eastAsia"/>
          <w:i w:val="0"/>
          <w:lang w:eastAsia="zh-TW"/>
        </w:rPr>
        <w:t>》</w:t>
      </w:r>
      <w:r w:rsidRPr="009F12D9">
        <w:rPr>
          <w:rFonts w:ascii="Times New Roman" w:hAnsi="Times New Roman"/>
          <w:i w:val="0"/>
          <w:lang w:eastAsia="zh-TW"/>
        </w:rPr>
        <w:t>展開司法覆核聆訊的第一天</w:t>
      </w:r>
      <w:r w:rsidRPr="009F12D9">
        <w:rPr>
          <w:rStyle w:val="FootnoteReference"/>
          <w:i w:val="0"/>
        </w:rPr>
        <w:footnoteReference w:id="43"/>
      </w:r>
      <w:r w:rsidR="009E3F24" w:rsidRPr="009F12D9">
        <w:rPr>
          <w:rFonts w:ascii="PMingLiU" w:eastAsia="PMingLiU" w:hAnsi="PMingLiU" w:hint="eastAsia"/>
          <w:i w:val="0"/>
          <w:lang w:eastAsia="zh-HK"/>
        </w:rPr>
        <w:t>，</w:t>
      </w:r>
      <w:r w:rsidR="009E3F24" w:rsidRPr="009F12D9">
        <w:rPr>
          <w:rFonts w:hint="eastAsia"/>
          <w:i w:val="0"/>
          <w:lang w:eastAsia="zh-HK"/>
        </w:rPr>
        <w:t>此聆</w:t>
      </w:r>
      <w:r w:rsidR="009E3F24" w:rsidRPr="009F12D9">
        <w:rPr>
          <w:rFonts w:hint="eastAsia"/>
          <w:i w:val="0"/>
          <w:lang w:eastAsia="zh-TW"/>
        </w:rPr>
        <w:t>訊</w:t>
      </w:r>
      <w:r w:rsidR="006F2560" w:rsidRPr="009F12D9">
        <w:rPr>
          <w:rFonts w:hint="eastAsia"/>
          <w:i w:val="0"/>
          <w:lang w:eastAsia="zh-HK"/>
        </w:rPr>
        <w:t>因</w:t>
      </w:r>
      <w:r w:rsidR="009E3F24" w:rsidRPr="009F12D9">
        <w:rPr>
          <w:rFonts w:hint="eastAsia"/>
          <w:i w:val="0"/>
          <w:lang w:eastAsia="zh-HK"/>
        </w:rPr>
        <w:t>反對這《</w:t>
      </w:r>
      <w:r w:rsidR="00C07D2B">
        <w:rPr>
          <w:rFonts w:hint="eastAsia"/>
          <w:i w:val="0"/>
          <w:lang w:eastAsia="zh-TW"/>
        </w:rPr>
        <w:t>規例</w:t>
      </w:r>
      <w:r w:rsidR="009E3F24" w:rsidRPr="009F12D9">
        <w:rPr>
          <w:rFonts w:hint="eastAsia"/>
          <w:i w:val="0"/>
          <w:lang w:eastAsia="zh-HK"/>
        </w:rPr>
        <w:t>》的</w:t>
      </w:r>
      <w:r w:rsidR="002073AB" w:rsidRPr="002073AB">
        <w:rPr>
          <w:rFonts w:hint="eastAsia"/>
          <w:i w:val="0"/>
          <w:lang w:eastAsia="zh-HK"/>
        </w:rPr>
        <w:t>聲音不少</w:t>
      </w:r>
      <w:r w:rsidR="003C50D8" w:rsidRPr="009F12D9">
        <w:rPr>
          <w:rFonts w:hint="eastAsia"/>
          <w:i w:val="0"/>
          <w:lang w:eastAsia="zh-HK"/>
        </w:rPr>
        <w:t>而廣受關注</w:t>
      </w:r>
      <w:r w:rsidR="005254CA" w:rsidRPr="009F12D9">
        <w:rPr>
          <w:rFonts w:hint="eastAsia"/>
          <w:i w:val="0"/>
          <w:lang w:eastAsia="zh-HK"/>
        </w:rPr>
        <w:t>。</w:t>
      </w:r>
      <w:proofErr w:type="gramStart"/>
      <w:r w:rsidR="005254CA" w:rsidRPr="009F12D9">
        <w:rPr>
          <w:rFonts w:hint="eastAsia"/>
          <w:i w:val="0"/>
          <w:lang w:eastAsia="zh-HK"/>
        </w:rPr>
        <w:t>此外</w:t>
      </w:r>
      <w:r w:rsidRPr="009F12D9">
        <w:rPr>
          <w:i w:val="0"/>
          <w:lang w:eastAsia="zh-TW"/>
        </w:rPr>
        <w:t>，</w:t>
      </w:r>
      <w:proofErr w:type="gramEnd"/>
      <w:r w:rsidR="005254CA" w:rsidRPr="009F12D9">
        <w:rPr>
          <w:rFonts w:hint="eastAsia"/>
          <w:i w:val="0"/>
          <w:lang w:eastAsia="zh-HK"/>
        </w:rPr>
        <w:t>案</w:t>
      </w:r>
      <w:r w:rsidR="005254CA" w:rsidRPr="009F12D9">
        <w:rPr>
          <w:i w:val="0"/>
          <w:lang w:eastAsia="zh-TW"/>
        </w:rPr>
        <w:t>發</w:t>
      </w:r>
      <w:r w:rsidR="005254CA" w:rsidRPr="009F12D9">
        <w:rPr>
          <w:rFonts w:hint="eastAsia"/>
          <w:i w:val="0"/>
          <w:lang w:eastAsia="zh-HK"/>
        </w:rPr>
        <w:t>當晚</w:t>
      </w:r>
      <w:r w:rsidRPr="009F12D9">
        <w:rPr>
          <w:rFonts w:ascii="Times New Roman" w:hAnsi="Times New Roman"/>
          <w:i w:val="0"/>
          <w:lang w:eastAsia="zh-TW"/>
        </w:rPr>
        <w:t>也是市民四出玩樂的萬聖節晚上。</w:t>
      </w:r>
      <w:r w:rsidRPr="009F12D9">
        <w:rPr>
          <w:rFonts w:ascii="Times New Roman" w:hAnsi="Times New Roman"/>
          <w:i w:val="0"/>
          <w:lang w:eastAsia="zh-TW"/>
        </w:rPr>
        <w:lastRenderedPageBreak/>
        <w:t>至於案發地點，</w:t>
      </w:r>
      <w:proofErr w:type="gramStart"/>
      <w:r w:rsidRPr="009F12D9">
        <w:rPr>
          <w:rFonts w:ascii="Times New Roman" w:hAnsi="Times New Roman"/>
          <w:i w:val="0"/>
          <w:lang w:eastAsia="zh-TW"/>
        </w:rPr>
        <w:t>擺花街及類</w:t>
      </w:r>
      <w:proofErr w:type="gramEnd"/>
      <w:r w:rsidRPr="009F12D9">
        <w:rPr>
          <w:rFonts w:ascii="Times New Roman" w:hAnsi="Times New Roman"/>
          <w:i w:val="0"/>
          <w:lang w:eastAsia="zh-TW"/>
        </w:rPr>
        <w:t>近一帶多是狹窄</w:t>
      </w:r>
      <w:proofErr w:type="gramStart"/>
      <w:r w:rsidRPr="009F12D9">
        <w:rPr>
          <w:rFonts w:ascii="Times New Roman" w:hAnsi="Times New Roman"/>
          <w:i w:val="0"/>
          <w:lang w:eastAsia="zh-TW"/>
        </w:rPr>
        <w:t>的斜路</w:t>
      </w:r>
      <w:proofErr w:type="gramEnd"/>
      <w:r w:rsidRPr="009F12D9">
        <w:rPr>
          <w:rFonts w:ascii="Times New Roman" w:hAnsi="Times New Roman"/>
          <w:i w:val="0"/>
          <w:lang w:eastAsia="zh-TW"/>
        </w:rPr>
        <w:t>，街道兩旁</w:t>
      </w:r>
      <w:r w:rsidR="00147993" w:rsidRPr="009F12D9">
        <w:rPr>
          <w:rFonts w:ascii="Times New Roman" w:hAnsi="Times New Roman"/>
          <w:i w:val="0"/>
          <w:lang w:eastAsia="zh-TW"/>
        </w:rPr>
        <w:t>佈</w:t>
      </w:r>
      <w:r w:rsidRPr="009F12D9">
        <w:rPr>
          <w:rFonts w:ascii="Times New Roman" w:hAnsi="Times New Roman"/>
          <w:i w:val="0"/>
          <w:lang w:eastAsia="zh-TW"/>
        </w:rPr>
        <w:t>滿一棟棟的</w:t>
      </w:r>
      <w:r w:rsidR="00147993" w:rsidRPr="009F12D9">
        <w:rPr>
          <w:rFonts w:ascii="Times New Roman" w:hAnsi="Times New Roman"/>
          <w:i w:val="0"/>
          <w:lang w:eastAsia="zh-HK"/>
        </w:rPr>
        <w:t>大</w:t>
      </w:r>
      <w:r w:rsidR="008C05F3" w:rsidRPr="009F12D9">
        <w:rPr>
          <w:rFonts w:ascii="Times New Roman" w:hAnsi="Times New Roman"/>
          <w:i w:val="0"/>
          <w:lang w:eastAsia="zh-HK"/>
        </w:rPr>
        <w:t>廈</w:t>
      </w:r>
      <w:r w:rsidR="00535A27" w:rsidRPr="009F12D9">
        <w:rPr>
          <w:rFonts w:ascii="Times New Roman" w:hAnsi="Times New Roman"/>
          <w:i w:val="0"/>
          <w:lang w:eastAsia="zh-TW"/>
        </w:rPr>
        <w:t>，</w:t>
      </w:r>
      <w:r w:rsidRPr="009F12D9">
        <w:rPr>
          <w:rFonts w:ascii="Times New Roman" w:hAnsi="Times New Roman"/>
          <w:i w:val="0"/>
          <w:lang w:eastAsia="zh-TW"/>
        </w:rPr>
        <w:t>辯方在求情時更坦白承認案發地點是「</w:t>
      </w:r>
      <w:r w:rsidRPr="009F12D9">
        <w:rPr>
          <w:rFonts w:ascii="Times New Roman" w:hAnsi="Times New Roman"/>
          <w:i w:val="0"/>
          <w:szCs w:val="28"/>
          <w:lang w:eastAsia="zh-TW"/>
        </w:rPr>
        <w:t>一個窄</w:t>
      </w:r>
      <w:r w:rsidRPr="009F12D9">
        <w:rPr>
          <w:rFonts w:ascii="Times New Roman" w:hAnsi="Times New Roman"/>
          <w:i w:val="0"/>
          <w:szCs w:val="28"/>
          <w:lang w:eastAsia="zh-HK"/>
        </w:rPr>
        <w:t>嘅</w:t>
      </w:r>
      <w:r w:rsidRPr="009F12D9">
        <w:rPr>
          <w:rFonts w:ascii="Times New Roman" w:hAnsi="Times New Roman"/>
          <w:i w:val="0"/>
          <w:szCs w:val="28"/>
          <w:lang w:eastAsia="zh-TW"/>
        </w:rPr>
        <w:t>街口」</w:t>
      </w:r>
      <w:r w:rsidRPr="009F12D9">
        <w:rPr>
          <w:rStyle w:val="FootnoteReference"/>
          <w:i w:val="0"/>
          <w:szCs w:val="28"/>
        </w:rPr>
        <w:footnoteReference w:id="44"/>
      </w:r>
      <w:r w:rsidRPr="009F12D9">
        <w:rPr>
          <w:rFonts w:ascii="Times New Roman" w:hAnsi="Times New Roman"/>
          <w:i w:val="0"/>
          <w:szCs w:val="28"/>
          <w:lang w:eastAsia="zh-TW"/>
        </w:rPr>
        <w:t>。最後，距離不遠的蘭桂坊，在萬聖節</w:t>
      </w:r>
      <w:r w:rsidR="008C05F3" w:rsidRPr="009F12D9">
        <w:rPr>
          <w:rFonts w:ascii="Times New Roman" w:hAnsi="Times New Roman"/>
          <w:i w:val="0"/>
          <w:lang w:eastAsia="zh-TW"/>
        </w:rPr>
        <w:t>晚上會人頭湧</w:t>
      </w:r>
      <w:proofErr w:type="gramStart"/>
      <w:r w:rsidR="008C05F3" w:rsidRPr="009F12D9">
        <w:rPr>
          <w:rFonts w:ascii="Times New Roman" w:hAnsi="Times New Roman"/>
          <w:i w:val="0"/>
          <w:lang w:eastAsia="zh-TW"/>
        </w:rPr>
        <w:t>湧</w:t>
      </w:r>
      <w:proofErr w:type="gramEnd"/>
      <w:r w:rsidR="008C05F3" w:rsidRPr="009F12D9">
        <w:rPr>
          <w:rFonts w:ascii="Times New Roman" w:hAnsi="Times New Roman"/>
          <w:i w:val="0"/>
          <w:lang w:eastAsia="zh-TW"/>
        </w:rPr>
        <w:t>，</w:t>
      </w:r>
      <w:r w:rsidRPr="009F12D9">
        <w:rPr>
          <w:rFonts w:ascii="Times New Roman" w:hAnsi="Times New Roman"/>
          <w:i w:val="0"/>
          <w:lang w:eastAsia="zh-TW"/>
        </w:rPr>
        <w:t>是任何</w:t>
      </w:r>
      <w:r w:rsidR="00E46AC1" w:rsidRPr="009F12D9">
        <w:rPr>
          <w:rFonts w:ascii="Times New Roman" w:hAnsi="Times New Roman"/>
          <w:i w:val="0"/>
          <w:lang w:eastAsia="zh-HK"/>
        </w:rPr>
        <w:t>香港</w:t>
      </w:r>
      <w:r w:rsidR="00FF2F4C" w:rsidRPr="009F12D9">
        <w:rPr>
          <w:rFonts w:ascii="Times New Roman" w:hAnsi="Times New Roman"/>
          <w:i w:val="0"/>
          <w:lang w:eastAsia="zh-TW"/>
        </w:rPr>
        <w:t>人都</w:t>
      </w:r>
      <w:r w:rsidR="00E46AC1" w:rsidRPr="009F12D9">
        <w:rPr>
          <w:rFonts w:ascii="Times New Roman" w:hAnsi="Times New Roman"/>
          <w:i w:val="0"/>
          <w:lang w:eastAsia="zh-HK"/>
        </w:rPr>
        <w:t>會</w:t>
      </w:r>
      <w:r w:rsidRPr="009F12D9">
        <w:rPr>
          <w:rFonts w:ascii="Times New Roman" w:hAnsi="Times New Roman"/>
          <w:i w:val="0"/>
          <w:lang w:eastAsia="zh-TW"/>
        </w:rPr>
        <w:t>知道的事實</w:t>
      </w:r>
      <w:r w:rsidR="00B042D1" w:rsidRPr="009F12D9">
        <w:rPr>
          <w:rFonts w:ascii="Times New Roman" w:hAnsi="Times New Roman"/>
          <w:i w:val="0"/>
          <w:szCs w:val="28"/>
          <w:lang w:eastAsia="zh-TW"/>
        </w:rPr>
        <w:t>。</w:t>
      </w:r>
    </w:p>
    <w:p w:rsidR="00FE255A" w:rsidRPr="009F12D9" w:rsidRDefault="00FE255A" w:rsidP="00B042D1">
      <w:pPr>
        <w:pStyle w:val="ar-heading1"/>
        <w:keepNext w:val="0"/>
        <w:numPr>
          <w:ilvl w:val="0"/>
          <w:numId w:val="5"/>
        </w:numPr>
        <w:spacing w:before="0" w:after="520"/>
        <w:ind w:firstLine="0"/>
        <w:jc w:val="both"/>
        <w:rPr>
          <w:rFonts w:ascii="Times New Roman" w:hAnsi="Times New Roman"/>
          <w:i w:val="0"/>
          <w:lang w:val="en-US" w:eastAsia="zh-TW"/>
        </w:rPr>
      </w:pPr>
      <w:r w:rsidRPr="009F12D9">
        <w:rPr>
          <w:rFonts w:ascii="Times New Roman" w:hAnsi="Times New Roman"/>
          <w:i w:val="0"/>
          <w:lang w:eastAsia="zh-TW"/>
        </w:rPr>
        <w:t>基於以上事實，</w:t>
      </w:r>
      <w:proofErr w:type="gramStart"/>
      <w:r w:rsidRPr="009F12D9">
        <w:rPr>
          <w:rFonts w:ascii="Times New Roman" w:hAnsi="Times New Roman"/>
          <w:i w:val="0"/>
          <w:lang w:eastAsia="zh-TW"/>
        </w:rPr>
        <w:t>本庭會指出</w:t>
      </w:r>
      <w:proofErr w:type="gramEnd"/>
      <w:r w:rsidRPr="009F12D9">
        <w:rPr>
          <w:rFonts w:ascii="Times New Roman" w:hAnsi="Times New Roman"/>
          <w:i w:val="0"/>
          <w:lang w:eastAsia="zh-TW"/>
        </w:rPr>
        <w:t>兩點。</w:t>
      </w:r>
    </w:p>
    <w:p w:rsidR="00FE255A" w:rsidRPr="009F12D9" w:rsidRDefault="00FE255A" w:rsidP="00B721CA">
      <w:pPr>
        <w:pStyle w:val="ar-heading1"/>
        <w:keepNext w:val="0"/>
        <w:numPr>
          <w:ilvl w:val="0"/>
          <w:numId w:val="5"/>
        </w:numPr>
        <w:spacing w:before="0" w:after="520"/>
        <w:ind w:firstLine="0"/>
        <w:jc w:val="both"/>
        <w:rPr>
          <w:rFonts w:ascii="Times New Roman" w:hAnsi="Times New Roman"/>
          <w:i w:val="0"/>
          <w:lang w:val="en-US" w:eastAsia="zh-TW"/>
        </w:rPr>
      </w:pPr>
      <w:r w:rsidRPr="009F12D9">
        <w:rPr>
          <w:rFonts w:ascii="Times New Roman" w:hAnsi="Times New Roman"/>
          <w:i w:val="0"/>
          <w:lang w:eastAsia="zh-TW"/>
        </w:rPr>
        <w:t>首先是涉案非法集結的性質。它明顯是和當時</w:t>
      </w:r>
      <w:r w:rsidR="009013EA" w:rsidRPr="009F12D9">
        <w:rPr>
          <w:rFonts w:ascii="PMingLiU" w:eastAsia="PMingLiU" w:hAnsi="PMingLiU" w:hint="eastAsia"/>
          <w:i w:val="0"/>
          <w:lang w:eastAsia="zh-HK"/>
        </w:rPr>
        <w:t>的</w:t>
      </w:r>
      <w:r w:rsidR="004910D9" w:rsidRPr="009F12D9">
        <w:rPr>
          <w:rFonts w:ascii="PMingLiU" w:eastAsia="PMingLiU" w:hAnsi="PMingLiU" w:hint="eastAsia"/>
          <w:i w:val="0"/>
          <w:lang w:eastAsia="zh-HK"/>
        </w:rPr>
        <w:t>《</w:t>
      </w:r>
      <w:r w:rsidR="009013EA" w:rsidRPr="009F12D9">
        <w:rPr>
          <w:rFonts w:hint="eastAsia"/>
          <w:i w:val="0"/>
          <w:lang w:eastAsia="zh-HK"/>
        </w:rPr>
        <w:t>逃</w:t>
      </w:r>
      <w:r w:rsidR="009013EA" w:rsidRPr="009F12D9">
        <w:rPr>
          <w:rFonts w:hint="eastAsia"/>
          <w:i w:val="0"/>
          <w:lang w:eastAsia="zh-TW"/>
        </w:rPr>
        <w:t>犯</w:t>
      </w:r>
      <w:r w:rsidRPr="009F12D9">
        <w:rPr>
          <w:i w:val="0"/>
          <w:lang w:eastAsia="zh-TW"/>
        </w:rPr>
        <w:t>條例</w:t>
      </w:r>
      <w:r w:rsidR="004910D9" w:rsidRPr="009F12D9">
        <w:rPr>
          <w:rFonts w:ascii="PMingLiU" w:eastAsia="PMingLiU" w:hAnsi="PMingLiU" w:hint="eastAsia"/>
          <w:i w:val="0"/>
          <w:lang w:eastAsia="zh-HK"/>
        </w:rPr>
        <w:t>》</w:t>
      </w:r>
      <w:r w:rsidR="00DD0B3F" w:rsidRPr="009F12D9">
        <w:rPr>
          <w:rFonts w:hint="eastAsia"/>
          <w:i w:val="0"/>
          <w:lang w:eastAsia="zh-HK"/>
        </w:rPr>
        <w:t>修定</w:t>
      </w:r>
      <w:r w:rsidRPr="009F12D9">
        <w:rPr>
          <w:rFonts w:ascii="Times New Roman" w:hAnsi="Times New Roman"/>
          <w:i w:val="0"/>
          <w:lang w:eastAsia="zh-TW"/>
        </w:rPr>
        <w:t>草案有關。這個草案所引起的激烈辯論，和之後的公共</w:t>
      </w:r>
      <w:r w:rsidRPr="009F12D9">
        <w:rPr>
          <w:i w:val="0"/>
          <w:lang w:eastAsia="zh-TW"/>
        </w:rPr>
        <w:t>秩序問題，是史無前例的，而且在案發時還處於高峰，再加上差不多同一時間出台</w:t>
      </w:r>
      <w:r w:rsidR="00ED671B" w:rsidRPr="009F12D9">
        <w:rPr>
          <w:rFonts w:hint="eastAsia"/>
          <w:i w:val="0"/>
          <w:lang w:eastAsia="zh-HK"/>
        </w:rPr>
        <w:t>並同樣受到</w:t>
      </w:r>
      <w:r w:rsidR="002073AB" w:rsidRPr="002073AB">
        <w:rPr>
          <w:rFonts w:hint="eastAsia"/>
          <w:i w:val="0"/>
          <w:lang w:eastAsia="zh-HK"/>
        </w:rPr>
        <w:t>很</w:t>
      </w:r>
      <w:r w:rsidR="00ED671B" w:rsidRPr="002073AB">
        <w:rPr>
          <w:rFonts w:hint="eastAsia"/>
          <w:i w:val="0"/>
          <w:lang w:eastAsia="zh-HK"/>
        </w:rPr>
        <w:t>大</w:t>
      </w:r>
      <w:r w:rsidR="00ED671B" w:rsidRPr="009F12D9">
        <w:rPr>
          <w:rFonts w:hint="eastAsia"/>
          <w:i w:val="0"/>
          <w:lang w:eastAsia="zh-HK"/>
        </w:rPr>
        <w:t>爭議</w:t>
      </w:r>
      <w:r w:rsidRPr="009F12D9">
        <w:rPr>
          <w:i w:val="0"/>
          <w:lang w:eastAsia="zh-TW"/>
        </w:rPr>
        <w:t>的</w:t>
      </w:r>
      <w:r w:rsidR="00867418" w:rsidRPr="009F12D9">
        <w:rPr>
          <w:rFonts w:hint="eastAsia"/>
          <w:i w:val="0"/>
          <w:lang w:eastAsia="zh-TW"/>
        </w:rPr>
        <w:t>《</w:t>
      </w:r>
      <w:r w:rsidR="00CA123F">
        <w:rPr>
          <w:rFonts w:hint="eastAsia"/>
          <w:i w:val="0"/>
          <w:lang w:eastAsia="zh-TW"/>
        </w:rPr>
        <w:t>禁止蒙面規例</w:t>
      </w:r>
      <w:r w:rsidR="001A0683" w:rsidRPr="009F12D9">
        <w:rPr>
          <w:rFonts w:hint="eastAsia"/>
          <w:i w:val="0"/>
          <w:lang w:eastAsia="zh-TW"/>
        </w:rPr>
        <w:t>》</w:t>
      </w:r>
      <w:r w:rsidRPr="009F12D9">
        <w:rPr>
          <w:rFonts w:ascii="Times New Roman" w:hAnsi="Times New Roman"/>
          <w:i w:val="0"/>
          <w:lang w:eastAsia="zh-TW"/>
        </w:rPr>
        <w:t>，有關集結會迅速演變成暴力事件的風險，是極高的，法庭在判刑時理應考慮。第二，由於案發一帶的市民會很多，但礙於環境不易疏散，如果真發生暴力衝突的話後果</w:t>
      </w:r>
      <w:r w:rsidR="00E46AC1" w:rsidRPr="009F12D9">
        <w:rPr>
          <w:rFonts w:ascii="Times New Roman" w:hAnsi="Times New Roman"/>
          <w:i w:val="0"/>
          <w:lang w:eastAsia="zh-HK"/>
        </w:rPr>
        <w:t>會</w:t>
      </w:r>
      <w:r w:rsidRPr="009F12D9">
        <w:rPr>
          <w:rFonts w:ascii="Times New Roman" w:hAnsi="Times New Roman"/>
          <w:i w:val="0"/>
          <w:lang w:eastAsia="zh-TW"/>
        </w:rPr>
        <w:t>相當嚴重，這點也是法庭應該注意</w:t>
      </w:r>
      <w:r w:rsidR="00ED115C" w:rsidRPr="009F12D9">
        <w:rPr>
          <w:rFonts w:hint="eastAsia"/>
          <w:i w:val="0"/>
          <w:lang w:val="en-US" w:eastAsia="zh-HK"/>
        </w:rPr>
        <w:t>到</w:t>
      </w:r>
      <w:r w:rsidRPr="009F12D9">
        <w:rPr>
          <w:i w:val="0"/>
          <w:lang w:eastAsia="zh-TW"/>
        </w:rPr>
        <w:t>的</w:t>
      </w:r>
      <w:r w:rsidRPr="009F12D9">
        <w:rPr>
          <w:rFonts w:ascii="Times New Roman" w:hAnsi="Times New Roman"/>
          <w:i w:val="0"/>
          <w:lang w:eastAsia="zh-TW"/>
        </w:rPr>
        <w:t>。</w:t>
      </w:r>
    </w:p>
    <w:p w:rsidR="00FE255A" w:rsidRPr="009F12D9" w:rsidRDefault="00FE255A" w:rsidP="00B042D1">
      <w:pPr>
        <w:pStyle w:val="ar-heading1"/>
        <w:keepNext w:val="0"/>
        <w:numPr>
          <w:ilvl w:val="0"/>
          <w:numId w:val="5"/>
        </w:numPr>
        <w:spacing w:before="0" w:after="520"/>
        <w:ind w:firstLine="0"/>
        <w:jc w:val="both"/>
        <w:rPr>
          <w:rFonts w:ascii="Times New Roman" w:hAnsi="Times New Roman"/>
          <w:i w:val="0"/>
          <w:lang w:val="en-US" w:eastAsia="zh-TW"/>
        </w:rPr>
      </w:pPr>
      <w:r w:rsidRPr="009F12D9">
        <w:rPr>
          <w:rFonts w:ascii="Times New Roman" w:hAnsi="Times New Roman"/>
          <w:i w:val="0"/>
          <w:lang w:eastAsia="zh-TW"/>
        </w:rPr>
        <w:t>其實，上訴法庭早在侮辱國旗案</w:t>
      </w:r>
      <w:r w:rsidRPr="009F12D9">
        <w:rPr>
          <w:rFonts w:ascii="Times New Roman" w:hAnsi="Times New Roman"/>
          <w:lang w:eastAsia="zh-TW"/>
        </w:rPr>
        <w:t>羅敏聰</w:t>
      </w:r>
      <w:proofErr w:type="gramStart"/>
      <w:r w:rsidRPr="009F12D9">
        <w:rPr>
          <w:rFonts w:ascii="Times New Roman" w:hAnsi="Times New Roman"/>
          <w:i w:val="0"/>
          <w:lang w:eastAsia="zh-TW"/>
        </w:rPr>
        <w:t>（</w:t>
      </w:r>
      <w:proofErr w:type="gramEnd"/>
      <w:r w:rsidRPr="009F12D9">
        <w:rPr>
          <w:rFonts w:ascii="Times New Roman" w:hAnsi="Times New Roman"/>
          <w:i w:val="0"/>
          <w:lang w:eastAsia="zh-TW"/>
        </w:rPr>
        <w:t>判案書日期：</w:t>
      </w:r>
      <w:r w:rsidRPr="009F12D9">
        <w:rPr>
          <w:rFonts w:ascii="Times New Roman" w:hAnsi="Times New Roman"/>
          <w:i w:val="0"/>
          <w:lang w:eastAsia="zh-TW"/>
        </w:rPr>
        <w:t>2020</w:t>
      </w:r>
      <w:r w:rsidRPr="009F12D9">
        <w:rPr>
          <w:rFonts w:ascii="Times New Roman" w:hAnsi="Times New Roman"/>
          <w:i w:val="0"/>
          <w:lang w:eastAsia="zh-TW"/>
        </w:rPr>
        <w:t>年</w:t>
      </w:r>
      <w:r w:rsidRPr="009F12D9">
        <w:rPr>
          <w:rFonts w:ascii="Times New Roman" w:hAnsi="Times New Roman"/>
          <w:i w:val="0"/>
          <w:lang w:eastAsia="zh-TW"/>
        </w:rPr>
        <w:t>4</w:t>
      </w:r>
      <w:r w:rsidRPr="009F12D9">
        <w:rPr>
          <w:rFonts w:ascii="Times New Roman" w:hAnsi="Times New Roman"/>
          <w:i w:val="0"/>
          <w:lang w:eastAsia="zh-TW"/>
        </w:rPr>
        <w:t>月</w:t>
      </w:r>
      <w:r w:rsidRPr="009F12D9">
        <w:rPr>
          <w:rFonts w:ascii="Times New Roman" w:hAnsi="Times New Roman"/>
          <w:i w:val="0"/>
          <w:lang w:eastAsia="zh-TW"/>
        </w:rPr>
        <w:t>24</w:t>
      </w:r>
      <w:r w:rsidR="00FF2F4C" w:rsidRPr="009F12D9">
        <w:rPr>
          <w:rFonts w:ascii="Times New Roman" w:hAnsi="Times New Roman"/>
          <w:i w:val="0"/>
          <w:lang w:eastAsia="zh-TW"/>
        </w:rPr>
        <w:t>日）</w:t>
      </w:r>
      <w:r w:rsidR="009E0B4D" w:rsidRPr="009E0B4D">
        <w:rPr>
          <w:rFonts w:hint="eastAsia"/>
          <w:i w:val="0"/>
          <w:lang w:eastAsia="zh-HK"/>
        </w:rPr>
        <w:t>就</w:t>
      </w:r>
      <w:r w:rsidR="00E46AC1" w:rsidRPr="009E0B4D">
        <w:rPr>
          <w:i w:val="0"/>
          <w:lang w:eastAsia="zh-HK"/>
        </w:rPr>
        <w:t>對</w:t>
      </w:r>
      <w:r w:rsidR="00FF2F4C" w:rsidRPr="009F12D9">
        <w:rPr>
          <w:rFonts w:ascii="Times New Roman" w:hAnsi="Times New Roman"/>
          <w:i w:val="0"/>
          <w:lang w:eastAsia="zh-TW"/>
        </w:rPr>
        <w:t>日期、時間、地點和場合等因素可如何影響案件</w:t>
      </w:r>
      <w:r w:rsidR="00D57778" w:rsidRPr="009F12D9">
        <w:rPr>
          <w:rFonts w:ascii="Times New Roman" w:hAnsi="Times New Roman"/>
          <w:i w:val="0"/>
          <w:lang w:eastAsia="zh-HK"/>
        </w:rPr>
        <w:t>的</w:t>
      </w:r>
      <w:r w:rsidR="00FF2F4C" w:rsidRPr="009F12D9">
        <w:rPr>
          <w:rFonts w:ascii="Times New Roman" w:hAnsi="Times New Roman"/>
          <w:i w:val="0"/>
          <w:lang w:eastAsia="zh-TW"/>
        </w:rPr>
        <w:t>整體嚴重性</w:t>
      </w:r>
      <w:r w:rsidR="00D57778" w:rsidRPr="009F12D9">
        <w:rPr>
          <w:rFonts w:ascii="Times New Roman" w:hAnsi="Times New Roman"/>
          <w:i w:val="0"/>
          <w:lang w:eastAsia="zh-HK"/>
        </w:rPr>
        <w:t>，</w:t>
      </w:r>
      <w:r w:rsidRPr="009F12D9">
        <w:rPr>
          <w:rFonts w:ascii="Times New Roman" w:hAnsi="Times New Roman"/>
          <w:i w:val="0"/>
          <w:lang w:eastAsia="zh-TW"/>
        </w:rPr>
        <w:t>作過討論</w:t>
      </w:r>
      <w:r w:rsidRPr="009F12D9">
        <w:rPr>
          <w:rStyle w:val="FootnoteReference"/>
          <w:i w:val="0"/>
        </w:rPr>
        <w:footnoteReference w:id="45"/>
      </w:r>
      <w:r w:rsidRPr="009F12D9">
        <w:rPr>
          <w:rFonts w:ascii="Times New Roman" w:hAnsi="Times New Roman"/>
          <w:i w:val="0"/>
          <w:lang w:eastAsia="zh-TW"/>
        </w:rPr>
        <w:t>，在近期的</w:t>
      </w:r>
      <w:r w:rsidRPr="009F12D9">
        <w:rPr>
          <w:rFonts w:ascii="Times New Roman" w:hAnsi="Times New Roman"/>
          <w:i w:val="0"/>
          <w:lang w:eastAsia="zh-TW"/>
        </w:rPr>
        <w:t>‘</w:t>
      </w:r>
      <w:r w:rsidRPr="009F12D9">
        <w:rPr>
          <w:rFonts w:ascii="Times New Roman" w:hAnsi="Times New Roman"/>
          <w:i w:val="0"/>
          <w:lang w:eastAsia="zh-TW"/>
        </w:rPr>
        <w:t>大三罷</w:t>
      </w:r>
      <w:r w:rsidRPr="009F12D9">
        <w:rPr>
          <w:rFonts w:ascii="Times New Roman" w:hAnsi="Times New Roman"/>
          <w:i w:val="0"/>
          <w:lang w:eastAsia="zh-TW"/>
        </w:rPr>
        <w:t>’</w:t>
      </w:r>
      <w:r w:rsidRPr="009F12D9">
        <w:rPr>
          <w:rFonts w:ascii="Times New Roman" w:hAnsi="Times New Roman"/>
          <w:i w:val="0"/>
          <w:lang w:eastAsia="zh-TW"/>
        </w:rPr>
        <w:t>襲警案</w:t>
      </w:r>
      <w:r w:rsidRPr="009F12D9">
        <w:rPr>
          <w:rFonts w:ascii="Times New Roman" w:hAnsi="Times New Roman"/>
          <w:lang w:eastAsia="zh-TW"/>
        </w:rPr>
        <w:t>龔逸勤</w:t>
      </w:r>
      <w:r w:rsidRPr="009F12D9">
        <w:rPr>
          <w:rFonts w:ascii="Times New Roman" w:hAnsi="Times New Roman"/>
          <w:i w:val="0"/>
          <w:lang w:eastAsia="zh-TW"/>
        </w:rPr>
        <w:t>（判案</w:t>
      </w:r>
      <w:r w:rsidR="00CA123F">
        <w:rPr>
          <w:rFonts w:ascii="Times New Roman" w:hAnsi="Times New Roman" w:hint="eastAsia"/>
          <w:i w:val="0"/>
          <w:lang w:eastAsia="zh-TW"/>
        </w:rPr>
        <w:t>理由</w:t>
      </w:r>
      <w:r w:rsidRPr="009F12D9">
        <w:rPr>
          <w:rFonts w:ascii="Times New Roman" w:hAnsi="Times New Roman"/>
          <w:i w:val="0"/>
          <w:lang w:eastAsia="zh-TW"/>
        </w:rPr>
        <w:t>書日期：</w:t>
      </w:r>
      <w:r w:rsidRPr="009F12D9">
        <w:rPr>
          <w:rFonts w:ascii="Times New Roman" w:hAnsi="Times New Roman"/>
          <w:i w:val="0"/>
          <w:lang w:eastAsia="zh-TW"/>
        </w:rPr>
        <w:t>2020</w:t>
      </w:r>
      <w:r w:rsidRPr="009F12D9">
        <w:rPr>
          <w:rFonts w:ascii="Times New Roman" w:hAnsi="Times New Roman"/>
          <w:i w:val="0"/>
          <w:lang w:eastAsia="zh-TW"/>
        </w:rPr>
        <w:t>年</w:t>
      </w:r>
      <w:r w:rsidRPr="009F12D9">
        <w:rPr>
          <w:rFonts w:ascii="Times New Roman" w:hAnsi="Times New Roman"/>
          <w:i w:val="0"/>
          <w:lang w:eastAsia="zh-TW"/>
        </w:rPr>
        <w:t>11</w:t>
      </w:r>
      <w:r w:rsidRPr="009F12D9">
        <w:rPr>
          <w:rFonts w:ascii="Times New Roman" w:hAnsi="Times New Roman"/>
          <w:i w:val="0"/>
          <w:lang w:eastAsia="zh-TW"/>
        </w:rPr>
        <w:t>月</w:t>
      </w:r>
      <w:r w:rsidRPr="009F12D9">
        <w:rPr>
          <w:rFonts w:ascii="Times New Roman" w:hAnsi="Times New Roman"/>
          <w:i w:val="0"/>
          <w:lang w:eastAsia="zh-TW"/>
        </w:rPr>
        <w:t>9</w:t>
      </w:r>
      <w:r w:rsidRPr="009F12D9">
        <w:rPr>
          <w:rFonts w:ascii="Times New Roman" w:hAnsi="Times New Roman"/>
          <w:i w:val="0"/>
          <w:lang w:eastAsia="zh-TW"/>
        </w:rPr>
        <w:t>日）又再重複</w:t>
      </w:r>
      <w:r w:rsidRPr="009F12D9">
        <w:rPr>
          <w:rStyle w:val="FootnoteReference"/>
          <w:i w:val="0"/>
        </w:rPr>
        <w:footnoteReference w:id="46"/>
      </w:r>
      <w:r w:rsidRPr="009F12D9">
        <w:rPr>
          <w:rFonts w:ascii="Times New Roman" w:hAnsi="Times New Roman"/>
          <w:i w:val="0"/>
          <w:lang w:eastAsia="zh-TW"/>
        </w:rPr>
        <w:t>，各級法庭當有據可依。</w:t>
      </w:r>
      <w:r w:rsidR="008D3026" w:rsidRPr="009F12D9">
        <w:rPr>
          <w:rFonts w:hint="eastAsia"/>
          <w:i w:val="0"/>
          <w:lang w:eastAsia="zh-HK"/>
        </w:rPr>
        <w:t>要特別一提的是，</w:t>
      </w:r>
      <w:r w:rsidRPr="009F12D9">
        <w:rPr>
          <w:rFonts w:ascii="Times New Roman" w:hAnsi="Times New Roman"/>
          <w:i w:val="0"/>
          <w:lang w:eastAsia="zh-TW"/>
        </w:rPr>
        <w:t>上述因素和犯案者的</w:t>
      </w:r>
      <w:r w:rsidR="00DC6832" w:rsidRPr="009F12D9">
        <w:rPr>
          <w:rFonts w:ascii="Times New Roman" w:hAnsi="Times New Roman"/>
          <w:i w:val="0"/>
          <w:lang w:eastAsia="zh-TW"/>
        </w:rPr>
        <w:t>政治立場完全無關。</w:t>
      </w:r>
      <w:r w:rsidR="00DC6832" w:rsidRPr="009F12D9">
        <w:rPr>
          <w:rFonts w:ascii="Times New Roman" w:hAnsi="Times New Roman"/>
          <w:i w:val="0"/>
          <w:lang w:eastAsia="zh-TW"/>
        </w:rPr>
        <w:lastRenderedPageBreak/>
        <w:t>法庭的唯一關注，是在上述各因素的影響下，</w:t>
      </w:r>
      <w:r w:rsidR="00DC6832" w:rsidRPr="009F12D9">
        <w:rPr>
          <w:rFonts w:ascii="Times New Roman" w:hAnsi="Times New Roman"/>
          <w:i w:val="0"/>
          <w:lang w:eastAsia="zh-HK"/>
        </w:rPr>
        <w:t>犯</w:t>
      </w:r>
      <w:r w:rsidR="00E46AC1" w:rsidRPr="009F12D9">
        <w:rPr>
          <w:rFonts w:ascii="Times New Roman" w:hAnsi="Times New Roman"/>
          <w:i w:val="0"/>
          <w:lang w:eastAsia="zh-HK"/>
        </w:rPr>
        <w:t>罪</w:t>
      </w:r>
      <w:r w:rsidRPr="009F12D9">
        <w:rPr>
          <w:rFonts w:ascii="Times New Roman" w:hAnsi="Times New Roman"/>
          <w:i w:val="0"/>
          <w:lang w:eastAsia="zh-TW"/>
        </w:rPr>
        <w:t>行為是否會令在場人士起哄</w:t>
      </w:r>
      <w:r w:rsidR="002A276C" w:rsidRPr="009F12D9">
        <w:rPr>
          <w:rFonts w:ascii="Times New Roman" w:hAnsi="Times New Roman"/>
          <w:i w:val="0"/>
          <w:lang w:eastAsia="zh-TW"/>
        </w:rPr>
        <w:t>，</w:t>
      </w:r>
      <w:r w:rsidR="0027078D" w:rsidRPr="009F12D9">
        <w:rPr>
          <w:rFonts w:ascii="Times New Roman" w:hAnsi="Times New Roman"/>
          <w:i w:val="0"/>
          <w:lang w:eastAsia="zh-HK"/>
        </w:rPr>
        <w:t>令發生</w:t>
      </w:r>
      <w:r w:rsidRPr="009F12D9">
        <w:rPr>
          <w:rFonts w:ascii="Times New Roman" w:hAnsi="Times New Roman"/>
          <w:i w:val="0"/>
          <w:lang w:eastAsia="zh-TW"/>
        </w:rPr>
        <w:t>暴力</w:t>
      </w:r>
      <w:r w:rsidR="002A276C" w:rsidRPr="009F12D9">
        <w:rPr>
          <w:rFonts w:ascii="Times New Roman" w:hAnsi="Times New Roman"/>
          <w:i w:val="0"/>
          <w:lang w:eastAsia="zh-HK"/>
        </w:rPr>
        <w:t>衝突</w:t>
      </w:r>
      <w:r w:rsidRPr="009F12D9">
        <w:rPr>
          <w:rFonts w:ascii="Times New Roman" w:hAnsi="Times New Roman"/>
          <w:i w:val="0"/>
          <w:lang w:eastAsia="zh-TW"/>
        </w:rPr>
        <w:t>的風險增加。這是判刑時必須考慮的。</w:t>
      </w:r>
    </w:p>
    <w:p w:rsidR="00B042D1" w:rsidRPr="009F12D9" w:rsidRDefault="00FE255A" w:rsidP="00DB304F">
      <w:pPr>
        <w:pStyle w:val="Final"/>
        <w:keepNext/>
        <w:tabs>
          <w:tab w:val="clear" w:pos="1440"/>
          <w:tab w:val="clear" w:pos="4320"/>
          <w:tab w:val="clear" w:pos="9072"/>
          <w:tab w:val="left" w:pos="720"/>
          <w:tab w:val="center" w:pos="4234"/>
          <w:tab w:val="right" w:pos="8453"/>
        </w:tabs>
        <w:spacing w:after="360"/>
        <w:ind w:left="720" w:hanging="720"/>
        <w:rPr>
          <w:i/>
          <w:lang w:eastAsia="zh-TW"/>
        </w:rPr>
      </w:pPr>
      <w:r w:rsidRPr="009F12D9">
        <w:rPr>
          <w:i/>
          <w:lang w:eastAsia="zh-TW"/>
        </w:rPr>
        <w:t xml:space="preserve">H.6 </w:t>
      </w:r>
      <w:r w:rsidRPr="009F12D9">
        <w:rPr>
          <w:i/>
          <w:lang w:eastAsia="zh-TW"/>
        </w:rPr>
        <w:tab/>
      </w:r>
      <w:r w:rsidR="00E46AC1" w:rsidRPr="009F12D9">
        <w:rPr>
          <w:i/>
          <w:lang w:eastAsia="zh-HK"/>
        </w:rPr>
        <w:t>有關</w:t>
      </w:r>
      <w:r w:rsidRPr="009F12D9">
        <w:rPr>
          <w:i/>
          <w:lang w:eastAsia="zh-TW"/>
        </w:rPr>
        <w:t>答辯人的</w:t>
      </w:r>
      <w:r w:rsidR="00E46AC1" w:rsidRPr="009F12D9">
        <w:rPr>
          <w:i/>
          <w:lang w:eastAsia="zh-HK"/>
        </w:rPr>
        <w:t>陳詞</w:t>
      </w:r>
    </w:p>
    <w:p w:rsidR="00B042D1" w:rsidRPr="009F12D9" w:rsidRDefault="004B61D7" w:rsidP="00B042D1">
      <w:pPr>
        <w:pStyle w:val="ar-heading1"/>
        <w:keepNext w:val="0"/>
        <w:numPr>
          <w:ilvl w:val="0"/>
          <w:numId w:val="5"/>
        </w:numPr>
        <w:spacing w:before="0" w:after="520"/>
        <w:ind w:firstLine="0"/>
        <w:jc w:val="both"/>
        <w:rPr>
          <w:rFonts w:ascii="Times New Roman" w:hAnsi="Times New Roman"/>
          <w:i w:val="0"/>
          <w:lang w:val="en-US" w:eastAsia="zh-TW"/>
        </w:rPr>
      </w:pPr>
      <w:r w:rsidRPr="009F12D9">
        <w:rPr>
          <w:rFonts w:ascii="Times New Roman" w:hAnsi="Times New Roman"/>
          <w:i w:val="0"/>
          <w:lang w:eastAsia="zh-TW"/>
        </w:rPr>
        <w:t>代表答辯人的梁大律師</w:t>
      </w:r>
      <w:r w:rsidR="00E46AC1" w:rsidRPr="009F12D9">
        <w:rPr>
          <w:rFonts w:ascii="Times New Roman" w:hAnsi="Times New Roman"/>
          <w:i w:val="0"/>
          <w:lang w:eastAsia="zh-HK"/>
        </w:rPr>
        <w:t>陳詞</w:t>
      </w:r>
      <w:r w:rsidRPr="009F12D9">
        <w:rPr>
          <w:rFonts w:ascii="Times New Roman" w:hAnsi="Times New Roman"/>
          <w:i w:val="0"/>
          <w:lang w:eastAsia="zh-TW"/>
        </w:rPr>
        <w:t>，</w:t>
      </w:r>
      <w:r w:rsidR="00D657F2" w:rsidRPr="009F12D9">
        <w:rPr>
          <w:rFonts w:hint="eastAsia"/>
          <w:i w:val="0"/>
          <w:lang w:eastAsia="zh-HK"/>
        </w:rPr>
        <w:t>指</w:t>
      </w:r>
      <w:r w:rsidRPr="009F12D9">
        <w:rPr>
          <w:rFonts w:ascii="Times New Roman" w:hAnsi="Times New Roman"/>
          <w:lang w:eastAsia="zh-TW"/>
        </w:rPr>
        <w:t>黃之鋒</w:t>
      </w:r>
      <w:r w:rsidRPr="009F12D9">
        <w:rPr>
          <w:rFonts w:ascii="Times New Roman" w:hAnsi="Times New Roman"/>
          <w:i w:val="0"/>
          <w:lang w:eastAsia="zh-TW"/>
        </w:rPr>
        <w:t xml:space="preserve"> </w:t>
      </w:r>
      <w:r w:rsidR="00D7755C" w:rsidRPr="009F12D9">
        <w:rPr>
          <w:rFonts w:ascii="Times New Roman" w:hAnsi="Times New Roman"/>
          <w:i w:val="0"/>
          <w:lang w:eastAsia="zh-TW"/>
        </w:rPr>
        <w:t>案只適用於涉及暴力的非法集結</w:t>
      </w:r>
      <w:r w:rsidR="00322A5C" w:rsidRPr="009F12D9">
        <w:rPr>
          <w:rFonts w:hint="eastAsia"/>
          <w:i w:val="0"/>
          <w:lang w:eastAsia="zh-HK"/>
        </w:rPr>
        <w:t>。</w:t>
      </w:r>
      <w:r w:rsidR="00D7755C" w:rsidRPr="009F12D9">
        <w:rPr>
          <w:rFonts w:ascii="Times New Roman" w:hAnsi="Times New Roman"/>
          <w:i w:val="0"/>
          <w:lang w:eastAsia="zh-TW"/>
        </w:rPr>
        <w:t>那是</w:t>
      </w:r>
      <w:r w:rsidR="00D7755C" w:rsidRPr="009F12D9">
        <w:rPr>
          <w:rFonts w:ascii="Times New Roman" w:hAnsi="Times New Roman"/>
          <w:i w:val="0"/>
          <w:lang w:eastAsia="zh-HK"/>
        </w:rPr>
        <w:t>出</w:t>
      </w:r>
      <w:r w:rsidRPr="009F12D9">
        <w:rPr>
          <w:rFonts w:ascii="Times New Roman" w:hAnsi="Times New Roman"/>
          <w:i w:val="0"/>
          <w:lang w:eastAsia="zh-TW"/>
        </w:rPr>
        <w:t>於</w:t>
      </w:r>
      <w:r w:rsidR="00322A5C" w:rsidRPr="009F12D9">
        <w:rPr>
          <w:rFonts w:hint="eastAsia"/>
          <w:i w:val="0"/>
          <w:lang w:eastAsia="zh-HK"/>
        </w:rPr>
        <w:t>梁大律師</w:t>
      </w:r>
      <w:r w:rsidRPr="009F12D9">
        <w:rPr>
          <w:rFonts w:ascii="Times New Roman" w:hAnsi="Times New Roman"/>
          <w:i w:val="0"/>
          <w:lang w:eastAsia="zh-TW"/>
        </w:rPr>
        <w:t>對該案的誤解。見本判詞第</w:t>
      </w:r>
      <w:r w:rsidRPr="009F12D9">
        <w:rPr>
          <w:rFonts w:ascii="Times New Roman" w:hAnsi="Times New Roman"/>
          <w:i w:val="0"/>
          <w:lang w:eastAsia="zh-TW"/>
        </w:rPr>
        <w:t>52</w:t>
      </w:r>
      <w:r w:rsidRPr="009F12D9">
        <w:rPr>
          <w:rFonts w:ascii="Times New Roman" w:hAnsi="Times New Roman"/>
          <w:i w:val="0"/>
          <w:lang w:eastAsia="zh-TW"/>
        </w:rPr>
        <w:t>至</w:t>
      </w:r>
      <w:r w:rsidRPr="009F12D9">
        <w:rPr>
          <w:rFonts w:ascii="Times New Roman" w:hAnsi="Times New Roman"/>
          <w:i w:val="0"/>
          <w:lang w:eastAsia="zh-TW"/>
        </w:rPr>
        <w:t>56</w:t>
      </w:r>
      <w:r w:rsidRPr="009F12D9">
        <w:rPr>
          <w:rFonts w:ascii="Times New Roman" w:hAnsi="Times New Roman"/>
          <w:i w:val="0"/>
          <w:lang w:eastAsia="zh-TW"/>
        </w:rPr>
        <w:t>段</w:t>
      </w:r>
      <w:r w:rsidR="00B042D1" w:rsidRPr="009F12D9">
        <w:rPr>
          <w:rFonts w:ascii="Times New Roman" w:hAnsi="Times New Roman"/>
          <w:i w:val="0"/>
          <w:szCs w:val="28"/>
          <w:lang w:eastAsia="zh-TW"/>
        </w:rPr>
        <w:t>。</w:t>
      </w:r>
    </w:p>
    <w:p w:rsidR="00B042D1" w:rsidRPr="009F12D9" w:rsidRDefault="004B61D7" w:rsidP="00B042D1">
      <w:pPr>
        <w:pStyle w:val="ar-heading1"/>
        <w:keepNext w:val="0"/>
        <w:numPr>
          <w:ilvl w:val="0"/>
          <w:numId w:val="5"/>
        </w:numPr>
        <w:spacing w:before="0" w:after="520"/>
        <w:ind w:firstLine="0"/>
        <w:jc w:val="both"/>
        <w:rPr>
          <w:rFonts w:ascii="Times New Roman" w:hAnsi="Times New Roman"/>
          <w:i w:val="0"/>
          <w:lang w:val="en-US" w:eastAsia="zh-TW"/>
        </w:rPr>
      </w:pPr>
      <w:r w:rsidRPr="009F12D9">
        <w:rPr>
          <w:rFonts w:ascii="Times New Roman" w:hAnsi="Times New Roman"/>
          <w:i w:val="0"/>
          <w:lang w:eastAsia="zh-TW"/>
        </w:rPr>
        <w:t>梁大律師力陳，原審裁判官了解本案案情，</w:t>
      </w:r>
      <w:proofErr w:type="gramStart"/>
      <w:r w:rsidRPr="009F12D9">
        <w:rPr>
          <w:rFonts w:ascii="Times New Roman" w:hAnsi="Times New Roman"/>
          <w:i w:val="0"/>
          <w:lang w:eastAsia="zh-TW"/>
        </w:rPr>
        <w:t>有權把有關</w:t>
      </w:r>
      <w:proofErr w:type="gramEnd"/>
      <w:r w:rsidRPr="009F12D9">
        <w:rPr>
          <w:rFonts w:ascii="Times New Roman" w:hAnsi="Times New Roman"/>
          <w:i w:val="0"/>
          <w:lang w:eastAsia="zh-TW"/>
        </w:rPr>
        <w:t>的非法集結認定為「溫和」和「不涉及暴力」；她力陳，人多、情緒高漲，甚至蒙面令情況惡化，都是非法集結的常見現象，</w:t>
      </w:r>
      <w:proofErr w:type="gramStart"/>
      <w:r w:rsidRPr="009F12D9">
        <w:rPr>
          <w:rFonts w:ascii="Times New Roman" w:hAnsi="Times New Roman"/>
          <w:i w:val="0"/>
          <w:lang w:eastAsia="zh-TW"/>
        </w:rPr>
        <w:t>不</w:t>
      </w:r>
      <w:proofErr w:type="gramEnd"/>
      <w:r w:rsidRPr="009F12D9">
        <w:rPr>
          <w:rFonts w:ascii="Times New Roman" w:hAnsi="Times New Roman"/>
          <w:i w:val="0"/>
          <w:lang w:eastAsia="zh-TW"/>
        </w:rPr>
        <w:t>會令沒有實質暴力的個案變得嚴重；她認為，對峙維持了二十五分鐘而沒有演變成暴力衝突，可見有關的風險不大</w:t>
      </w:r>
      <w:r w:rsidR="00150D4E" w:rsidRPr="009F12D9">
        <w:rPr>
          <w:rFonts w:hint="eastAsia"/>
          <w:i w:val="0"/>
          <w:lang w:eastAsia="zh-HK"/>
        </w:rPr>
        <w:t>。</w:t>
      </w:r>
      <w:r w:rsidRPr="009F12D9">
        <w:rPr>
          <w:rFonts w:ascii="Times New Roman" w:hAnsi="Times New Roman"/>
          <w:i w:val="0"/>
          <w:lang w:eastAsia="zh-TW"/>
        </w:rPr>
        <w:t>以上的陳詞皆無視了參與非法集結罪背後的公害、控訴要旨、控罪的先發性（</w:t>
      </w:r>
      <w:r w:rsidRPr="009F12D9">
        <w:rPr>
          <w:rFonts w:ascii="Times New Roman" w:hAnsi="Times New Roman"/>
          <w:i w:val="0"/>
          <w:lang w:eastAsia="zh-TW"/>
        </w:rPr>
        <w:t>pre-emptive nature</w:t>
      </w:r>
      <w:r w:rsidRPr="009F12D9">
        <w:rPr>
          <w:rFonts w:ascii="Times New Roman" w:hAnsi="Times New Roman"/>
          <w:i w:val="0"/>
          <w:lang w:eastAsia="zh-TW"/>
        </w:rPr>
        <w:t>），和出現暴力的風險何以會在本案大增。見本判詞的</w:t>
      </w:r>
      <w:r w:rsidRPr="009F12D9">
        <w:rPr>
          <w:rFonts w:ascii="Times New Roman" w:hAnsi="Times New Roman"/>
          <w:i w:val="0"/>
          <w:lang w:eastAsia="zh-TW"/>
        </w:rPr>
        <w:t>H1</w:t>
      </w:r>
      <w:r w:rsidRPr="009F12D9">
        <w:rPr>
          <w:rFonts w:ascii="Times New Roman" w:hAnsi="Times New Roman"/>
          <w:i w:val="0"/>
          <w:lang w:eastAsia="zh-TW"/>
        </w:rPr>
        <w:t>至</w:t>
      </w:r>
      <w:r w:rsidRPr="009F12D9">
        <w:rPr>
          <w:rFonts w:ascii="Times New Roman" w:hAnsi="Times New Roman"/>
          <w:i w:val="0"/>
          <w:lang w:eastAsia="zh-TW"/>
        </w:rPr>
        <w:t>H5</w:t>
      </w:r>
      <w:r w:rsidRPr="009F12D9">
        <w:rPr>
          <w:rFonts w:ascii="Times New Roman" w:hAnsi="Times New Roman"/>
          <w:i w:val="0"/>
          <w:lang w:eastAsia="zh-TW"/>
        </w:rPr>
        <w:t>分部，特別是第</w:t>
      </w:r>
      <w:r w:rsidRPr="009F12D9">
        <w:rPr>
          <w:rFonts w:ascii="Times New Roman" w:hAnsi="Times New Roman"/>
          <w:i w:val="0"/>
          <w:lang w:eastAsia="zh-TW"/>
        </w:rPr>
        <w:t>53</w:t>
      </w:r>
      <w:r w:rsidRPr="009F12D9">
        <w:rPr>
          <w:rFonts w:ascii="Times New Roman" w:hAnsi="Times New Roman"/>
          <w:i w:val="0"/>
          <w:lang w:eastAsia="zh-TW"/>
        </w:rPr>
        <w:t>、</w:t>
      </w:r>
      <w:r w:rsidRPr="009F12D9">
        <w:rPr>
          <w:rFonts w:ascii="Times New Roman" w:hAnsi="Times New Roman"/>
          <w:i w:val="0"/>
          <w:lang w:eastAsia="zh-TW"/>
        </w:rPr>
        <w:t>58</w:t>
      </w:r>
      <w:r w:rsidRPr="009F12D9">
        <w:rPr>
          <w:rFonts w:ascii="Times New Roman" w:hAnsi="Times New Roman"/>
          <w:i w:val="0"/>
          <w:lang w:eastAsia="zh-TW"/>
        </w:rPr>
        <w:t>、</w:t>
      </w:r>
      <w:r w:rsidRPr="009F12D9">
        <w:rPr>
          <w:rFonts w:ascii="Times New Roman" w:hAnsi="Times New Roman"/>
          <w:i w:val="0"/>
          <w:lang w:eastAsia="zh-TW"/>
        </w:rPr>
        <w:t>60</w:t>
      </w:r>
      <w:r w:rsidRPr="009F12D9">
        <w:rPr>
          <w:rFonts w:ascii="Times New Roman" w:hAnsi="Times New Roman"/>
          <w:i w:val="0"/>
          <w:lang w:eastAsia="zh-TW"/>
        </w:rPr>
        <w:t>、</w:t>
      </w:r>
      <w:r w:rsidRPr="009F12D9">
        <w:rPr>
          <w:rFonts w:ascii="Times New Roman" w:hAnsi="Times New Roman"/>
          <w:i w:val="0"/>
          <w:lang w:eastAsia="zh-TW"/>
        </w:rPr>
        <w:t>62</w:t>
      </w:r>
      <w:r w:rsidRPr="009F12D9">
        <w:rPr>
          <w:rFonts w:ascii="Times New Roman" w:hAnsi="Times New Roman"/>
          <w:i w:val="0"/>
          <w:lang w:eastAsia="zh-TW"/>
        </w:rPr>
        <w:t>、</w:t>
      </w:r>
      <w:r w:rsidRPr="009F12D9">
        <w:rPr>
          <w:rFonts w:ascii="Times New Roman" w:hAnsi="Times New Roman"/>
          <w:i w:val="0"/>
          <w:lang w:eastAsia="zh-TW"/>
        </w:rPr>
        <w:t>64</w:t>
      </w:r>
      <w:r w:rsidRPr="009F12D9">
        <w:rPr>
          <w:rFonts w:ascii="Times New Roman" w:hAnsi="Times New Roman"/>
          <w:i w:val="0"/>
          <w:lang w:eastAsia="zh-TW"/>
        </w:rPr>
        <w:t>和</w:t>
      </w:r>
      <w:r w:rsidRPr="009F12D9">
        <w:rPr>
          <w:rFonts w:ascii="Times New Roman" w:hAnsi="Times New Roman"/>
          <w:i w:val="0"/>
          <w:lang w:eastAsia="zh-TW"/>
        </w:rPr>
        <w:t>69</w:t>
      </w:r>
      <w:r w:rsidRPr="009F12D9">
        <w:rPr>
          <w:rFonts w:ascii="Times New Roman" w:hAnsi="Times New Roman"/>
          <w:i w:val="0"/>
          <w:lang w:eastAsia="zh-TW"/>
        </w:rPr>
        <w:t>段</w:t>
      </w:r>
      <w:r w:rsidR="00B042D1" w:rsidRPr="009F12D9">
        <w:rPr>
          <w:rFonts w:ascii="Times New Roman" w:hAnsi="Times New Roman"/>
          <w:i w:val="0"/>
          <w:szCs w:val="28"/>
          <w:lang w:eastAsia="zh-TW"/>
        </w:rPr>
        <w:t>。</w:t>
      </w:r>
    </w:p>
    <w:p w:rsidR="00B042D1" w:rsidRPr="009F12D9" w:rsidRDefault="004B61D7" w:rsidP="00B042D1">
      <w:pPr>
        <w:pStyle w:val="ar-heading1"/>
        <w:keepNext w:val="0"/>
        <w:numPr>
          <w:ilvl w:val="0"/>
          <w:numId w:val="5"/>
        </w:numPr>
        <w:spacing w:before="0" w:after="520"/>
        <w:ind w:firstLine="0"/>
        <w:jc w:val="both"/>
        <w:rPr>
          <w:rFonts w:ascii="Times New Roman" w:hAnsi="Times New Roman"/>
          <w:i w:val="0"/>
          <w:lang w:val="en-US" w:eastAsia="zh-TW"/>
        </w:rPr>
      </w:pPr>
      <w:r w:rsidRPr="009F12D9">
        <w:rPr>
          <w:rFonts w:ascii="Times New Roman" w:hAnsi="Times New Roman"/>
          <w:i w:val="0"/>
          <w:lang w:eastAsia="zh-TW"/>
        </w:rPr>
        <w:t>梁大律師指答辯人的個人罪責輕微，是因為她一方面強調答辯人無意襲擊警方防線，另一方面又避開</w:t>
      </w:r>
      <w:r w:rsidR="00E46AC1" w:rsidRPr="009F12D9">
        <w:rPr>
          <w:rFonts w:ascii="Times New Roman" w:hAnsi="Times New Roman"/>
          <w:i w:val="0"/>
          <w:lang w:eastAsia="zh-HK"/>
        </w:rPr>
        <w:t>他</w:t>
      </w:r>
      <w:r w:rsidRPr="009F12D9">
        <w:rPr>
          <w:rFonts w:ascii="Times New Roman" w:hAnsi="Times New Roman"/>
          <w:i w:val="0"/>
          <w:lang w:eastAsia="zh-TW"/>
        </w:rPr>
        <w:t>扔沙包本身</w:t>
      </w:r>
      <w:r w:rsidR="00E46AC1" w:rsidRPr="009F12D9">
        <w:rPr>
          <w:rFonts w:ascii="Times New Roman" w:hAnsi="Times New Roman"/>
          <w:i w:val="0"/>
          <w:lang w:eastAsia="zh-HK"/>
        </w:rPr>
        <w:t>所顯示</w:t>
      </w:r>
      <w:r w:rsidRPr="009F12D9">
        <w:rPr>
          <w:rFonts w:ascii="Times New Roman" w:hAnsi="Times New Roman"/>
          <w:i w:val="0"/>
          <w:lang w:eastAsia="zh-TW"/>
        </w:rPr>
        <w:t>的挑釁性。同樣，她一方面強調答辯人多在站著、沒有特殊舉動，另一方面又避開答辯人選擇置身示威者最前排的積極</w:t>
      </w:r>
      <w:r w:rsidR="008E5853" w:rsidRPr="009F12D9">
        <w:rPr>
          <w:rFonts w:ascii="Times New Roman" w:hAnsi="Times New Roman"/>
          <w:i w:val="0"/>
          <w:lang w:eastAsia="zh-HK"/>
        </w:rPr>
        <w:t>參</w:t>
      </w:r>
      <w:r w:rsidR="008E5853" w:rsidRPr="009F12D9">
        <w:rPr>
          <w:rFonts w:ascii="Times New Roman" w:hAnsi="Times New Roman"/>
          <w:i w:val="0"/>
          <w:lang w:eastAsia="zh-TW"/>
        </w:rPr>
        <w:t>與</w:t>
      </w:r>
      <w:r w:rsidRPr="009F12D9">
        <w:rPr>
          <w:rFonts w:ascii="Times New Roman" w:hAnsi="Times New Roman"/>
          <w:i w:val="0"/>
          <w:lang w:eastAsia="zh-TW"/>
        </w:rPr>
        <w:t>。她強調答辯人沒有使用背囊中的木棍和被捕時沒有反抗，同時又對他帶著裝備而來的事實</w:t>
      </w:r>
      <w:r w:rsidRPr="009E0B4D">
        <w:rPr>
          <w:i w:val="0"/>
          <w:lang w:eastAsia="zh-TW"/>
        </w:rPr>
        <w:t>避</w:t>
      </w:r>
      <w:r w:rsidR="009E0B4D" w:rsidRPr="009E0B4D">
        <w:rPr>
          <w:rFonts w:hint="eastAsia"/>
          <w:i w:val="0"/>
          <w:lang w:eastAsia="zh-HK"/>
        </w:rPr>
        <w:t>重就輕</w:t>
      </w:r>
      <w:r w:rsidR="00B042D1" w:rsidRPr="009F12D9">
        <w:rPr>
          <w:rFonts w:ascii="Times New Roman" w:hAnsi="Times New Roman"/>
          <w:i w:val="0"/>
          <w:szCs w:val="28"/>
          <w:lang w:eastAsia="zh-TW"/>
        </w:rPr>
        <w:t>。</w:t>
      </w:r>
    </w:p>
    <w:p w:rsidR="004B61D7" w:rsidRPr="009F12D9" w:rsidRDefault="00EF1AC2" w:rsidP="00B042D1">
      <w:pPr>
        <w:pStyle w:val="ar-heading1"/>
        <w:keepNext w:val="0"/>
        <w:numPr>
          <w:ilvl w:val="0"/>
          <w:numId w:val="5"/>
        </w:numPr>
        <w:spacing w:before="0" w:after="520"/>
        <w:ind w:firstLine="0"/>
        <w:jc w:val="both"/>
        <w:rPr>
          <w:rFonts w:ascii="Times New Roman" w:hAnsi="Times New Roman"/>
          <w:i w:val="0"/>
          <w:lang w:val="en-US" w:eastAsia="zh-TW"/>
        </w:rPr>
      </w:pPr>
      <w:r w:rsidRPr="009F12D9">
        <w:rPr>
          <w:rFonts w:ascii="Times New Roman" w:hAnsi="Times New Roman"/>
          <w:i w:val="0"/>
          <w:lang w:eastAsia="zh-TW"/>
        </w:rPr>
        <w:lastRenderedPageBreak/>
        <w:t>梁大律師力稱社會服務令</w:t>
      </w:r>
      <w:r w:rsidR="00E46AC1" w:rsidRPr="009F12D9">
        <w:rPr>
          <w:rFonts w:ascii="Times New Roman" w:hAnsi="Times New Roman"/>
          <w:i w:val="0"/>
          <w:lang w:eastAsia="zh-HK"/>
        </w:rPr>
        <w:t>是</w:t>
      </w:r>
      <w:r w:rsidR="004F23E4" w:rsidRPr="009F12D9">
        <w:rPr>
          <w:rFonts w:ascii="Times New Roman" w:hAnsi="Times New Roman"/>
          <w:i w:val="0"/>
          <w:lang w:eastAsia="zh-HK"/>
        </w:rPr>
        <w:t>合</w:t>
      </w:r>
      <w:r w:rsidR="004F23E4" w:rsidRPr="009F12D9">
        <w:rPr>
          <w:rFonts w:ascii="Times New Roman" w:hAnsi="Times New Roman"/>
          <w:i w:val="0"/>
          <w:lang w:eastAsia="zh-TW"/>
        </w:rPr>
        <w:t>適</w:t>
      </w:r>
      <w:r w:rsidR="00574903" w:rsidRPr="009F12D9">
        <w:rPr>
          <w:rFonts w:ascii="Times New Roman" w:hAnsi="Times New Roman"/>
          <w:i w:val="0"/>
          <w:lang w:eastAsia="zh-TW"/>
        </w:rPr>
        <w:t>的刑罰，只是</w:t>
      </w:r>
      <w:r w:rsidR="00E46AC1" w:rsidRPr="009F12D9">
        <w:rPr>
          <w:rFonts w:ascii="Times New Roman" w:hAnsi="Times New Roman"/>
          <w:i w:val="0"/>
          <w:lang w:val="en-US" w:eastAsia="zh-HK"/>
        </w:rPr>
        <w:t>基於</w:t>
      </w:r>
      <w:r w:rsidR="00574903" w:rsidRPr="009F12D9">
        <w:rPr>
          <w:rFonts w:ascii="Times New Roman" w:hAnsi="Times New Roman"/>
          <w:i w:val="0"/>
          <w:lang w:eastAsia="zh-TW"/>
        </w:rPr>
        <w:t>她</w:t>
      </w:r>
      <w:r w:rsidR="00E46AC1" w:rsidRPr="009F12D9">
        <w:rPr>
          <w:rFonts w:ascii="Times New Roman" w:hAnsi="Times New Roman"/>
          <w:i w:val="0"/>
          <w:lang w:eastAsia="zh-HK"/>
        </w:rPr>
        <w:t>對涉案</w:t>
      </w:r>
      <w:r w:rsidRPr="009F12D9">
        <w:rPr>
          <w:rFonts w:ascii="Times New Roman" w:hAnsi="Times New Roman"/>
          <w:i w:val="0"/>
          <w:lang w:eastAsia="zh-TW"/>
        </w:rPr>
        <w:t>非法集結和答辯人個人罪責</w:t>
      </w:r>
      <w:r w:rsidR="00E46AC1" w:rsidRPr="009F12D9">
        <w:rPr>
          <w:rFonts w:ascii="Times New Roman" w:hAnsi="Times New Roman"/>
          <w:i w:val="0"/>
          <w:lang w:eastAsia="zh-HK"/>
        </w:rPr>
        <w:t>的</w:t>
      </w:r>
      <w:r w:rsidR="00025DA6" w:rsidRPr="009F12D9">
        <w:rPr>
          <w:rFonts w:ascii="Times New Roman" w:hAnsi="Times New Roman"/>
          <w:i w:val="0"/>
          <w:lang w:eastAsia="zh-HK"/>
        </w:rPr>
        <w:t>淡</w:t>
      </w:r>
      <w:r w:rsidR="00025DA6" w:rsidRPr="009F12D9">
        <w:rPr>
          <w:rFonts w:ascii="Times New Roman" w:hAnsi="Times New Roman"/>
          <w:i w:val="0"/>
          <w:lang w:eastAsia="zh-TW"/>
        </w:rPr>
        <w:t>化</w:t>
      </w:r>
      <w:r w:rsidR="004B61D7" w:rsidRPr="009F12D9">
        <w:rPr>
          <w:rFonts w:ascii="Times New Roman" w:hAnsi="Times New Roman"/>
          <w:i w:val="0"/>
          <w:lang w:eastAsia="zh-TW"/>
        </w:rPr>
        <w:t>。她援引的案例也不能和本案相</w:t>
      </w:r>
      <w:r w:rsidR="004F23E4" w:rsidRPr="009F12D9">
        <w:rPr>
          <w:rFonts w:ascii="Times New Roman" w:hAnsi="Times New Roman"/>
          <w:i w:val="0"/>
          <w:lang w:eastAsia="zh-HK"/>
        </w:rPr>
        <w:t>比</w:t>
      </w:r>
      <w:r w:rsidR="004B61D7" w:rsidRPr="009F12D9">
        <w:rPr>
          <w:rFonts w:ascii="Times New Roman" w:hAnsi="Times New Roman"/>
          <w:i w:val="0"/>
          <w:lang w:eastAsia="zh-TW"/>
        </w:rPr>
        <w:t>。</w:t>
      </w:r>
    </w:p>
    <w:p w:rsidR="00B042D1" w:rsidRPr="009F12D9" w:rsidRDefault="004B61D7" w:rsidP="00DB304F">
      <w:pPr>
        <w:pStyle w:val="Final"/>
        <w:keepNext/>
        <w:tabs>
          <w:tab w:val="clear" w:pos="1440"/>
          <w:tab w:val="clear" w:pos="4320"/>
          <w:tab w:val="clear" w:pos="9072"/>
          <w:tab w:val="left" w:pos="720"/>
          <w:tab w:val="center" w:pos="4234"/>
          <w:tab w:val="right" w:pos="8453"/>
        </w:tabs>
        <w:spacing w:after="360"/>
        <w:ind w:left="720" w:hanging="720"/>
        <w:rPr>
          <w:i/>
          <w:lang w:eastAsia="zh-TW"/>
        </w:rPr>
      </w:pPr>
      <w:r w:rsidRPr="009F12D9">
        <w:rPr>
          <w:i/>
          <w:lang w:eastAsia="zh-TW"/>
        </w:rPr>
        <w:t xml:space="preserve">H.7 </w:t>
      </w:r>
      <w:r w:rsidRPr="009F12D9">
        <w:rPr>
          <w:i/>
          <w:lang w:eastAsia="zh-TW"/>
        </w:rPr>
        <w:tab/>
      </w:r>
      <w:r w:rsidR="007733DC" w:rsidRPr="009F12D9">
        <w:rPr>
          <w:i/>
          <w:lang w:eastAsia="zh-HK"/>
        </w:rPr>
        <w:t>有關</w:t>
      </w:r>
      <w:r w:rsidRPr="009F12D9">
        <w:rPr>
          <w:i/>
          <w:lang w:eastAsia="zh-TW"/>
        </w:rPr>
        <w:t>原審裁判官的裁量</w:t>
      </w:r>
    </w:p>
    <w:p w:rsidR="00B042D1" w:rsidRPr="009F12D9" w:rsidRDefault="00467C87" w:rsidP="001B697F">
      <w:pPr>
        <w:pStyle w:val="ar-heading1"/>
        <w:keepNext w:val="0"/>
        <w:numPr>
          <w:ilvl w:val="0"/>
          <w:numId w:val="5"/>
        </w:numPr>
        <w:spacing w:before="0" w:after="520"/>
        <w:ind w:firstLine="0"/>
        <w:jc w:val="both"/>
        <w:rPr>
          <w:rFonts w:ascii="Times New Roman" w:hAnsi="Times New Roman"/>
          <w:i w:val="0"/>
          <w:lang w:val="en-US" w:eastAsia="zh-TW"/>
        </w:rPr>
      </w:pPr>
      <w:r w:rsidRPr="009F12D9">
        <w:rPr>
          <w:rFonts w:ascii="Times New Roman" w:hAnsi="Times New Roman"/>
          <w:i w:val="0"/>
          <w:lang w:eastAsia="zh-TW"/>
        </w:rPr>
        <w:t>本庭認為，原審</w:t>
      </w:r>
      <w:proofErr w:type="gramStart"/>
      <w:r w:rsidRPr="009F12D9">
        <w:rPr>
          <w:rFonts w:ascii="Times New Roman" w:hAnsi="Times New Roman"/>
          <w:i w:val="0"/>
          <w:lang w:eastAsia="zh-TW"/>
        </w:rPr>
        <w:t>裁判官把</w:t>
      </w:r>
      <w:r w:rsidR="007733DC" w:rsidRPr="009F12D9">
        <w:rPr>
          <w:rFonts w:ascii="Times New Roman" w:hAnsi="Times New Roman"/>
          <w:i w:val="0"/>
          <w:lang w:eastAsia="zh-HK"/>
        </w:rPr>
        <w:t>涉</w:t>
      </w:r>
      <w:proofErr w:type="gramEnd"/>
      <w:r w:rsidRPr="009F12D9">
        <w:rPr>
          <w:rFonts w:ascii="Times New Roman" w:hAnsi="Times New Roman"/>
          <w:i w:val="0"/>
          <w:lang w:eastAsia="zh-TW"/>
        </w:rPr>
        <w:t>案的非法集結評</w:t>
      </w:r>
      <w:r w:rsidR="004B61D7" w:rsidRPr="009F12D9">
        <w:rPr>
          <w:rFonts w:ascii="Times New Roman" w:hAnsi="Times New Roman"/>
          <w:i w:val="0"/>
          <w:lang w:eastAsia="zh-TW"/>
        </w:rPr>
        <w:t>為「溫和」</w:t>
      </w:r>
      <w:r w:rsidRPr="009F12D9">
        <w:rPr>
          <w:rFonts w:ascii="Times New Roman" w:hAnsi="Times New Roman"/>
          <w:i w:val="0"/>
          <w:lang w:eastAsia="zh-HK"/>
        </w:rPr>
        <w:t>，甚至</w:t>
      </w:r>
      <w:r w:rsidR="009661F8" w:rsidRPr="009F12D9">
        <w:rPr>
          <w:rFonts w:ascii="Times New Roman" w:hAnsi="Times New Roman"/>
          <w:i w:val="0"/>
          <w:lang w:eastAsia="zh-TW"/>
        </w:rPr>
        <w:t>「和平」，</w:t>
      </w:r>
      <w:r w:rsidR="004B61D7" w:rsidRPr="009F12D9">
        <w:rPr>
          <w:rFonts w:ascii="Times New Roman" w:hAnsi="Times New Roman"/>
          <w:i w:val="0"/>
          <w:lang w:eastAsia="zh-TW"/>
        </w:rPr>
        <w:t>實</w:t>
      </w:r>
      <w:r w:rsidR="009661F8" w:rsidRPr="009F12D9">
        <w:rPr>
          <w:rFonts w:hint="eastAsia"/>
          <w:i w:val="0"/>
          <w:lang w:eastAsia="zh-HK"/>
        </w:rPr>
        <w:t>在</w:t>
      </w:r>
      <w:r w:rsidR="001A4F81" w:rsidRPr="009F12D9">
        <w:rPr>
          <w:rFonts w:ascii="Times New Roman" w:hAnsi="Times New Roman"/>
          <w:i w:val="0"/>
          <w:lang w:eastAsia="zh-HK"/>
        </w:rPr>
        <w:t>過於</w:t>
      </w:r>
      <w:r w:rsidR="007733DC" w:rsidRPr="009F12D9">
        <w:rPr>
          <w:rFonts w:ascii="Times New Roman" w:hAnsi="Times New Roman"/>
          <w:i w:val="0"/>
          <w:lang w:eastAsia="zh-HK"/>
        </w:rPr>
        <w:t>表面</w:t>
      </w:r>
      <w:r w:rsidR="004B61D7" w:rsidRPr="009F12D9">
        <w:rPr>
          <w:rFonts w:ascii="Times New Roman" w:hAnsi="Times New Roman"/>
          <w:i w:val="0"/>
          <w:lang w:eastAsia="zh-TW"/>
        </w:rPr>
        <w:t>，是出於他對</w:t>
      </w:r>
      <w:r w:rsidR="004B61D7" w:rsidRPr="009F12D9">
        <w:rPr>
          <w:rFonts w:ascii="Times New Roman" w:hAnsi="Times New Roman"/>
          <w:lang w:eastAsia="zh-TW"/>
        </w:rPr>
        <w:t>黃之鋒</w:t>
      </w:r>
      <w:r w:rsidR="004B61D7" w:rsidRPr="009F12D9">
        <w:rPr>
          <w:rFonts w:ascii="Times New Roman" w:hAnsi="Times New Roman"/>
          <w:i w:val="0"/>
          <w:lang w:eastAsia="zh-TW"/>
        </w:rPr>
        <w:t xml:space="preserve"> </w:t>
      </w:r>
      <w:r w:rsidR="001A4F81" w:rsidRPr="009F12D9">
        <w:rPr>
          <w:rFonts w:ascii="Times New Roman" w:hAnsi="Times New Roman"/>
          <w:i w:val="0"/>
          <w:lang w:eastAsia="zh-TW"/>
        </w:rPr>
        <w:t>案的誤</w:t>
      </w:r>
      <w:r w:rsidR="004B61D7" w:rsidRPr="009F12D9">
        <w:rPr>
          <w:rFonts w:ascii="Times New Roman" w:hAnsi="Times New Roman"/>
          <w:i w:val="0"/>
          <w:lang w:eastAsia="zh-TW"/>
        </w:rPr>
        <w:t>解，認為不涉及實質暴力或暴力程度輕微的非法集結就不嚴重（用鐳射光直接照射別人眼睛當可構成襲擊）。經</w:t>
      </w:r>
      <w:r w:rsidR="00D62F29" w:rsidRPr="009F12D9">
        <w:rPr>
          <w:rFonts w:ascii="Times New Roman" w:hAnsi="Times New Roman"/>
          <w:i w:val="0"/>
          <w:lang w:eastAsia="zh-HK"/>
        </w:rPr>
        <w:t>過</w:t>
      </w:r>
      <w:r w:rsidR="00D62F29" w:rsidRPr="009F12D9">
        <w:rPr>
          <w:rFonts w:ascii="Times New Roman" w:hAnsi="Times New Roman"/>
          <w:i w:val="0"/>
          <w:lang w:eastAsia="zh-TW"/>
        </w:rPr>
        <w:t>本庭在上述各標題下的</w:t>
      </w:r>
      <w:r w:rsidR="004B61D7" w:rsidRPr="009F12D9">
        <w:rPr>
          <w:rFonts w:ascii="Times New Roman" w:hAnsi="Times New Roman"/>
          <w:i w:val="0"/>
          <w:lang w:eastAsia="zh-TW"/>
        </w:rPr>
        <w:t>分析（其實很大程度是重溫），那明顯</w:t>
      </w:r>
      <w:r w:rsidR="002857EC" w:rsidRPr="009F12D9">
        <w:rPr>
          <w:rFonts w:ascii="Times New Roman" w:hAnsi="Times New Roman"/>
          <w:i w:val="0"/>
          <w:lang w:eastAsia="zh-TW"/>
        </w:rPr>
        <w:t>是</w:t>
      </w:r>
      <w:r w:rsidR="004B61D7" w:rsidRPr="009F12D9">
        <w:rPr>
          <w:rFonts w:ascii="Times New Roman" w:hAnsi="Times New Roman"/>
          <w:i w:val="0"/>
          <w:lang w:eastAsia="zh-TW"/>
        </w:rPr>
        <w:t>不對的。最簡單，本案示威者在警方推進時掉頭逃跑，</w:t>
      </w:r>
      <w:r w:rsidR="001A1C96" w:rsidRPr="009F12D9">
        <w:rPr>
          <w:rFonts w:ascii="Times New Roman" w:hAnsi="Times New Roman"/>
          <w:i w:val="0"/>
          <w:lang w:eastAsia="zh-HK"/>
        </w:rPr>
        <w:t>實</w:t>
      </w:r>
      <w:r w:rsidR="001A1C96" w:rsidRPr="009F12D9">
        <w:rPr>
          <w:rFonts w:ascii="Times New Roman" w:hAnsi="Times New Roman"/>
          <w:i w:val="0"/>
          <w:lang w:eastAsia="zh-TW"/>
        </w:rPr>
        <w:t>非必然。只要有</w:t>
      </w:r>
      <w:r w:rsidR="0096591D" w:rsidRPr="009F12D9">
        <w:rPr>
          <w:rFonts w:hint="eastAsia"/>
          <w:i w:val="0"/>
          <w:lang w:eastAsia="zh-HK"/>
        </w:rPr>
        <w:t>一小撮</w:t>
      </w:r>
      <w:r w:rsidR="001A1C96" w:rsidRPr="009F12D9">
        <w:rPr>
          <w:rFonts w:ascii="Times New Roman" w:hAnsi="Times New Roman"/>
          <w:i w:val="0"/>
          <w:lang w:eastAsia="zh-TW"/>
        </w:rPr>
        <w:t>激進份子作出</w:t>
      </w:r>
      <w:r w:rsidR="004B61D7" w:rsidRPr="009F12D9">
        <w:rPr>
          <w:rFonts w:ascii="Times New Roman" w:hAnsi="Times New Roman"/>
          <w:i w:val="0"/>
          <w:lang w:eastAsia="zh-TW"/>
        </w:rPr>
        <w:t>抵抗，後續情況將如何發展，例如是</w:t>
      </w:r>
      <w:r w:rsidR="001A1C96" w:rsidRPr="009F12D9">
        <w:rPr>
          <w:rFonts w:ascii="Times New Roman" w:hAnsi="Times New Roman"/>
          <w:i w:val="0"/>
          <w:lang w:eastAsia="zh-HK"/>
        </w:rPr>
        <w:t>挑動</w:t>
      </w:r>
      <w:r w:rsidR="004B61D7" w:rsidRPr="009F12D9">
        <w:rPr>
          <w:rFonts w:ascii="Times New Roman" w:hAnsi="Times New Roman"/>
          <w:i w:val="0"/>
          <w:lang w:eastAsia="zh-TW"/>
        </w:rPr>
        <w:t>到其他人加入與否，是無法估計的。還有，當時</w:t>
      </w:r>
      <w:r w:rsidR="00F72CB0" w:rsidRPr="009F12D9">
        <w:rPr>
          <w:rFonts w:ascii="Times New Roman" w:hAnsi="Times New Roman"/>
          <w:i w:val="0"/>
          <w:lang w:eastAsia="zh-HK"/>
        </w:rPr>
        <w:t>正</w:t>
      </w:r>
      <w:r w:rsidR="003B3021" w:rsidRPr="009F12D9">
        <w:rPr>
          <w:rFonts w:ascii="Times New Roman" w:hAnsi="Times New Roman"/>
          <w:i w:val="0"/>
          <w:lang w:eastAsia="zh-HK"/>
        </w:rPr>
        <w:t>值</w:t>
      </w:r>
      <w:r w:rsidR="004B61D7" w:rsidRPr="009F12D9">
        <w:rPr>
          <w:rFonts w:ascii="Times New Roman" w:hAnsi="Times New Roman"/>
          <w:i w:val="0"/>
          <w:lang w:eastAsia="zh-TW"/>
        </w:rPr>
        <w:t>社會衝突</w:t>
      </w:r>
      <w:r w:rsidR="003B3021" w:rsidRPr="009F12D9">
        <w:rPr>
          <w:rFonts w:ascii="Times New Roman" w:hAnsi="Times New Roman"/>
          <w:i w:val="0"/>
          <w:lang w:eastAsia="zh-HK"/>
        </w:rPr>
        <w:t>的</w:t>
      </w:r>
      <w:r w:rsidR="004B61D7" w:rsidRPr="009F12D9">
        <w:rPr>
          <w:rFonts w:ascii="Times New Roman" w:hAnsi="Times New Roman"/>
          <w:i w:val="0"/>
          <w:lang w:eastAsia="zh-TW"/>
        </w:rPr>
        <w:t>高峰，在大型人群集結</w:t>
      </w:r>
      <w:r w:rsidR="003B3021" w:rsidRPr="009F12D9">
        <w:rPr>
          <w:rFonts w:ascii="Times New Roman" w:hAnsi="Times New Roman"/>
          <w:i w:val="0"/>
          <w:lang w:eastAsia="zh-HK"/>
        </w:rPr>
        <w:t>之</w:t>
      </w:r>
      <w:r w:rsidR="004B61D7" w:rsidRPr="009F12D9">
        <w:rPr>
          <w:rFonts w:ascii="Times New Roman" w:hAnsi="Times New Roman"/>
          <w:i w:val="0"/>
          <w:lang w:eastAsia="zh-TW"/>
        </w:rPr>
        <w:t>中有激進份子混入，伺機行事，都是不能抹殺的</w:t>
      </w:r>
      <w:r w:rsidR="00E31006" w:rsidRPr="009F12D9">
        <w:rPr>
          <w:rFonts w:ascii="Times New Roman" w:hAnsi="Times New Roman"/>
          <w:i w:val="0"/>
          <w:lang w:eastAsia="zh-HK"/>
        </w:rPr>
        <w:t>可能</w:t>
      </w:r>
      <w:r w:rsidR="004B61D7" w:rsidRPr="009F12D9">
        <w:rPr>
          <w:rFonts w:ascii="Times New Roman" w:hAnsi="Times New Roman"/>
          <w:i w:val="0"/>
          <w:lang w:eastAsia="zh-TW"/>
        </w:rPr>
        <w:t>。見上文第</w:t>
      </w:r>
      <w:r w:rsidR="004B61D7" w:rsidRPr="009F12D9">
        <w:rPr>
          <w:rFonts w:ascii="Times New Roman" w:hAnsi="Times New Roman"/>
          <w:i w:val="0"/>
          <w:lang w:eastAsia="zh-TW"/>
        </w:rPr>
        <w:t>5</w:t>
      </w:r>
      <w:r w:rsidR="007733DC" w:rsidRPr="009F12D9">
        <w:rPr>
          <w:rFonts w:ascii="Times New Roman" w:hAnsi="Times New Roman"/>
          <w:i w:val="0"/>
          <w:lang w:eastAsia="zh-TW"/>
        </w:rPr>
        <w:t>1</w:t>
      </w:r>
      <w:r w:rsidR="004B61D7" w:rsidRPr="009F12D9">
        <w:rPr>
          <w:rFonts w:ascii="Times New Roman" w:hAnsi="Times New Roman"/>
          <w:i w:val="0"/>
          <w:lang w:eastAsia="zh-TW"/>
        </w:rPr>
        <w:t>段，</w:t>
      </w:r>
      <w:r w:rsidR="004B61D7" w:rsidRPr="009F12D9">
        <w:rPr>
          <w:rFonts w:ascii="Times New Roman" w:hAnsi="Times New Roman"/>
          <w:lang w:eastAsia="zh-TW"/>
        </w:rPr>
        <w:t>黃之鋒</w:t>
      </w:r>
      <w:r w:rsidR="004B61D7" w:rsidRPr="009F12D9">
        <w:rPr>
          <w:rFonts w:ascii="Times New Roman" w:hAnsi="Times New Roman"/>
          <w:i w:val="0"/>
          <w:lang w:eastAsia="zh-TW"/>
        </w:rPr>
        <w:t xml:space="preserve"> </w:t>
      </w:r>
      <w:r w:rsidR="004B61D7" w:rsidRPr="009F12D9">
        <w:rPr>
          <w:rFonts w:ascii="Times New Roman" w:hAnsi="Times New Roman"/>
          <w:i w:val="0"/>
          <w:lang w:eastAsia="zh-TW"/>
        </w:rPr>
        <w:t>案第</w:t>
      </w:r>
      <w:r w:rsidR="004B61D7" w:rsidRPr="009F12D9">
        <w:rPr>
          <w:rFonts w:ascii="Times New Roman" w:hAnsi="Times New Roman"/>
          <w:i w:val="0"/>
          <w:lang w:eastAsia="zh-TW"/>
        </w:rPr>
        <w:t>126</w:t>
      </w:r>
      <w:r w:rsidR="004B61D7" w:rsidRPr="009F12D9">
        <w:rPr>
          <w:rFonts w:ascii="Times New Roman" w:hAnsi="Times New Roman"/>
          <w:i w:val="0"/>
          <w:lang w:eastAsia="zh-TW"/>
        </w:rPr>
        <w:t>段</w:t>
      </w:r>
      <w:r w:rsidR="00150D4E" w:rsidRPr="009F12D9">
        <w:rPr>
          <w:rFonts w:hint="eastAsia"/>
          <w:i w:val="0"/>
          <w:lang w:eastAsia="zh-HK"/>
        </w:rPr>
        <w:t>所</w:t>
      </w:r>
      <w:r w:rsidR="004B61D7" w:rsidRPr="009F12D9">
        <w:rPr>
          <w:i w:val="0"/>
          <w:lang w:eastAsia="zh-TW"/>
        </w:rPr>
        <w:t>引述</w:t>
      </w:r>
      <w:r w:rsidR="00150D4E" w:rsidRPr="009F12D9">
        <w:rPr>
          <w:rFonts w:hint="eastAsia"/>
          <w:i w:val="0"/>
          <w:lang w:eastAsia="zh-HK"/>
        </w:rPr>
        <w:t>的</w:t>
      </w:r>
      <w:r w:rsidR="004B61D7" w:rsidRPr="009F12D9">
        <w:rPr>
          <w:rFonts w:ascii="Times New Roman" w:hAnsi="Times New Roman"/>
          <w:i w:val="0"/>
          <w:lang w:eastAsia="zh-TW"/>
        </w:rPr>
        <w:t xml:space="preserve"> </w:t>
      </w:r>
      <w:r w:rsidR="004B61D7" w:rsidRPr="009F12D9">
        <w:rPr>
          <w:rFonts w:ascii="Times New Roman" w:hAnsi="Times New Roman"/>
          <w:lang w:eastAsia="zh-TW"/>
        </w:rPr>
        <w:t>陶君行</w:t>
      </w:r>
      <w:r w:rsidR="00DB31D1" w:rsidRPr="009F12D9">
        <w:rPr>
          <w:rFonts w:hint="eastAsia"/>
          <w:i w:val="0"/>
          <w:lang w:eastAsia="zh-HK"/>
        </w:rPr>
        <w:t>案</w:t>
      </w:r>
      <w:r w:rsidR="004B61D7" w:rsidRPr="009F12D9">
        <w:rPr>
          <w:rStyle w:val="FootnoteReference"/>
          <w:i w:val="0"/>
        </w:rPr>
        <w:footnoteReference w:id="47"/>
      </w:r>
      <w:r w:rsidR="007733DC" w:rsidRPr="009F12D9">
        <w:rPr>
          <w:rFonts w:ascii="Times New Roman" w:hAnsi="Times New Roman"/>
          <w:i w:val="0"/>
          <w:lang w:eastAsia="zh-TW"/>
        </w:rPr>
        <w:t>；</w:t>
      </w:r>
      <w:r w:rsidR="007733DC" w:rsidRPr="009F12D9">
        <w:rPr>
          <w:rFonts w:ascii="Times New Roman" w:hAnsi="Times New Roman"/>
          <w:i w:val="0"/>
          <w:lang w:eastAsia="zh-HK"/>
        </w:rPr>
        <w:t>及</w:t>
      </w:r>
      <w:r w:rsidR="007733DC" w:rsidRPr="009F12D9">
        <w:rPr>
          <w:rFonts w:ascii="Times New Roman" w:hAnsi="Times New Roman"/>
          <w:lang w:eastAsia="zh-TW"/>
        </w:rPr>
        <w:t>Leung Kwok Hung</w:t>
      </w:r>
      <w:r w:rsidR="007733DC" w:rsidRPr="009F12D9">
        <w:rPr>
          <w:rFonts w:ascii="Times New Roman" w:hAnsi="Times New Roman"/>
          <w:i w:val="0"/>
          <w:lang w:eastAsia="zh-TW"/>
        </w:rPr>
        <w:t xml:space="preserve"> </w:t>
      </w:r>
      <w:r w:rsidR="007733DC" w:rsidRPr="009F12D9">
        <w:rPr>
          <w:rFonts w:ascii="Times New Roman" w:hAnsi="Times New Roman"/>
          <w:lang w:eastAsia="zh-TW"/>
        </w:rPr>
        <w:t>(No 2)</w:t>
      </w:r>
      <w:r w:rsidR="007733DC" w:rsidRPr="009F12D9">
        <w:rPr>
          <w:rStyle w:val="FootnoteReference"/>
          <w:i w:val="0"/>
          <w:lang w:eastAsia="zh-TW"/>
        </w:rPr>
        <w:t xml:space="preserve"> </w:t>
      </w:r>
      <w:r w:rsidR="007733DC" w:rsidRPr="009F12D9">
        <w:rPr>
          <w:rStyle w:val="FootnoteReference"/>
          <w:i w:val="0"/>
        </w:rPr>
        <w:footnoteReference w:id="48"/>
      </w:r>
      <w:r w:rsidR="007733DC" w:rsidRPr="009F12D9">
        <w:rPr>
          <w:rFonts w:ascii="Times New Roman" w:hAnsi="Times New Roman"/>
          <w:i w:val="0"/>
          <w:lang w:eastAsia="zh-HK"/>
        </w:rPr>
        <w:t>判詞</w:t>
      </w:r>
      <w:r w:rsidR="00DB31D1" w:rsidRPr="009F12D9">
        <w:rPr>
          <w:rFonts w:hint="eastAsia"/>
          <w:i w:val="0"/>
          <w:lang w:eastAsia="zh-HK"/>
        </w:rPr>
        <w:t>的</w:t>
      </w:r>
      <w:r w:rsidR="007733DC" w:rsidRPr="009F12D9">
        <w:rPr>
          <w:rFonts w:ascii="Times New Roman" w:hAnsi="Times New Roman"/>
          <w:i w:val="0"/>
          <w:lang w:eastAsia="zh-HK"/>
        </w:rPr>
        <w:t>第</w:t>
      </w:r>
      <w:r w:rsidR="007733DC" w:rsidRPr="009F12D9">
        <w:rPr>
          <w:rFonts w:ascii="Times New Roman" w:hAnsi="Times New Roman"/>
          <w:i w:val="0"/>
          <w:lang w:eastAsia="zh-TW"/>
        </w:rPr>
        <w:t>14(3)</w:t>
      </w:r>
      <w:r w:rsidR="007733DC" w:rsidRPr="009F12D9">
        <w:rPr>
          <w:rFonts w:ascii="Times New Roman" w:hAnsi="Times New Roman"/>
          <w:i w:val="0"/>
          <w:lang w:eastAsia="zh-HK"/>
        </w:rPr>
        <w:t>段</w:t>
      </w:r>
      <w:r w:rsidR="00B042D1" w:rsidRPr="009F12D9">
        <w:rPr>
          <w:rFonts w:ascii="Times New Roman" w:hAnsi="Times New Roman"/>
          <w:i w:val="0"/>
          <w:szCs w:val="28"/>
          <w:lang w:eastAsia="zh-TW"/>
        </w:rPr>
        <w:t>。</w:t>
      </w:r>
    </w:p>
    <w:p w:rsidR="00B042D1" w:rsidRPr="009F12D9" w:rsidRDefault="004B61D7" w:rsidP="00B101C0">
      <w:pPr>
        <w:pStyle w:val="ar-heading1"/>
        <w:keepNext w:val="0"/>
        <w:numPr>
          <w:ilvl w:val="0"/>
          <w:numId w:val="5"/>
        </w:numPr>
        <w:spacing w:before="0" w:after="520"/>
        <w:ind w:firstLine="0"/>
        <w:jc w:val="both"/>
        <w:rPr>
          <w:rFonts w:ascii="Times New Roman" w:hAnsi="Times New Roman"/>
          <w:i w:val="0"/>
          <w:lang w:val="en-US" w:eastAsia="zh-TW"/>
        </w:rPr>
      </w:pPr>
      <w:r w:rsidRPr="009F12D9">
        <w:rPr>
          <w:rFonts w:ascii="Times New Roman" w:hAnsi="Times New Roman"/>
          <w:i w:val="0"/>
          <w:lang w:eastAsia="zh-TW"/>
        </w:rPr>
        <w:t>總括而言，原審裁判官對</w:t>
      </w:r>
      <w:r w:rsidR="003461F2" w:rsidRPr="009F12D9">
        <w:rPr>
          <w:rFonts w:ascii="Times New Roman" w:hAnsi="Times New Roman"/>
          <w:i w:val="0"/>
          <w:lang w:eastAsia="zh-HK"/>
        </w:rPr>
        <w:t>有關</w:t>
      </w:r>
      <w:r w:rsidR="003461F2" w:rsidRPr="009F12D9">
        <w:rPr>
          <w:rFonts w:ascii="Times New Roman" w:hAnsi="Times New Roman"/>
          <w:i w:val="0"/>
          <w:lang w:eastAsia="zh-TW"/>
        </w:rPr>
        <w:t>非法集結</w:t>
      </w:r>
      <w:r w:rsidR="003461F2" w:rsidRPr="009F12D9">
        <w:rPr>
          <w:rFonts w:ascii="Times New Roman" w:hAnsi="Times New Roman"/>
          <w:i w:val="0"/>
          <w:lang w:eastAsia="zh-HK"/>
        </w:rPr>
        <w:t>的</w:t>
      </w:r>
      <w:r w:rsidR="00CA4B9A" w:rsidRPr="009F12D9">
        <w:rPr>
          <w:rFonts w:ascii="Times New Roman" w:hAnsi="Times New Roman"/>
          <w:i w:val="0"/>
          <w:lang w:eastAsia="zh-TW"/>
        </w:rPr>
        <w:t>公害、控訴要旨、控罪先發性，和本案會演變</w:t>
      </w:r>
      <w:r w:rsidR="00CA4B9A" w:rsidRPr="009F12D9">
        <w:rPr>
          <w:rFonts w:ascii="Times New Roman" w:hAnsi="Times New Roman"/>
          <w:i w:val="0"/>
          <w:lang w:eastAsia="zh-HK"/>
        </w:rPr>
        <w:t>為</w:t>
      </w:r>
      <w:r w:rsidRPr="009F12D9">
        <w:rPr>
          <w:rFonts w:ascii="Times New Roman" w:hAnsi="Times New Roman"/>
          <w:i w:val="0"/>
          <w:lang w:eastAsia="zh-TW"/>
        </w:rPr>
        <w:t>暴力衝突的風險，</w:t>
      </w:r>
      <w:r w:rsidR="007733DC" w:rsidRPr="009F12D9">
        <w:rPr>
          <w:rFonts w:ascii="Times New Roman" w:hAnsi="Times New Roman"/>
          <w:i w:val="0"/>
          <w:lang w:eastAsia="zh-HK"/>
        </w:rPr>
        <w:t>皆缺乏</w:t>
      </w:r>
      <w:r w:rsidR="00CA4B9A" w:rsidRPr="009F12D9">
        <w:rPr>
          <w:rFonts w:ascii="Times New Roman" w:hAnsi="Times New Roman"/>
          <w:i w:val="0"/>
          <w:lang w:eastAsia="zh-HK"/>
        </w:rPr>
        <w:t>全</w:t>
      </w:r>
      <w:r w:rsidR="00CA4B9A" w:rsidRPr="009F12D9">
        <w:rPr>
          <w:rFonts w:ascii="Times New Roman" w:hAnsi="Times New Roman"/>
          <w:i w:val="0"/>
          <w:lang w:eastAsia="zh-TW"/>
        </w:rPr>
        <w:t>面</w:t>
      </w:r>
      <w:r w:rsidRPr="009F12D9">
        <w:rPr>
          <w:rFonts w:ascii="Times New Roman" w:hAnsi="Times New Roman"/>
          <w:i w:val="0"/>
          <w:lang w:eastAsia="zh-TW"/>
        </w:rPr>
        <w:t>掌握，以致他</w:t>
      </w:r>
      <w:r w:rsidR="00F8587D" w:rsidRPr="009F12D9">
        <w:rPr>
          <w:rFonts w:hint="eastAsia"/>
          <w:i w:val="0"/>
          <w:lang w:eastAsia="zh-HK"/>
        </w:rPr>
        <w:t>嚴重</w:t>
      </w:r>
      <w:r w:rsidRPr="009F12D9">
        <w:rPr>
          <w:rFonts w:ascii="Times New Roman" w:hAnsi="Times New Roman"/>
          <w:i w:val="0"/>
          <w:lang w:eastAsia="zh-TW"/>
        </w:rPr>
        <w:t>地低估了本案的嚴重性。</w:t>
      </w:r>
      <w:r w:rsidRPr="009F12D9">
        <w:rPr>
          <w:rFonts w:ascii="Times New Roman" w:hAnsi="Times New Roman"/>
          <w:i w:val="0"/>
          <w:szCs w:val="28"/>
          <w:lang w:eastAsia="zh-TW"/>
        </w:rPr>
        <w:t>原審裁判官只著眼於答辯</w:t>
      </w:r>
      <w:r w:rsidRPr="009F12D9">
        <w:rPr>
          <w:rFonts w:ascii="Times New Roman" w:hAnsi="Times New Roman"/>
          <w:i w:val="0"/>
          <w:szCs w:val="28"/>
          <w:lang w:eastAsia="zh-TW"/>
        </w:rPr>
        <w:lastRenderedPageBreak/>
        <w:t>人無意襲擊警方</w:t>
      </w:r>
      <w:r w:rsidR="007733DC" w:rsidRPr="009F12D9">
        <w:rPr>
          <w:rFonts w:ascii="Times New Roman" w:hAnsi="Times New Roman"/>
          <w:i w:val="0"/>
          <w:szCs w:val="28"/>
          <w:lang w:eastAsia="zh-TW"/>
        </w:rPr>
        <w:t>、</w:t>
      </w:r>
      <w:r w:rsidRPr="009F12D9">
        <w:rPr>
          <w:rFonts w:ascii="Times New Roman" w:hAnsi="Times New Roman"/>
          <w:i w:val="0"/>
          <w:szCs w:val="28"/>
          <w:lang w:eastAsia="zh-TW"/>
        </w:rPr>
        <w:t>在被捕時沒有反抗，結果</w:t>
      </w:r>
      <w:r w:rsidR="009278E6" w:rsidRPr="009F12D9">
        <w:rPr>
          <w:rFonts w:hint="eastAsia"/>
          <w:i w:val="0"/>
          <w:szCs w:val="28"/>
          <w:lang w:eastAsia="zh-HK"/>
        </w:rPr>
        <w:t>也</w:t>
      </w:r>
      <w:r w:rsidRPr="009F12D9">
        <w:rPr>
          <w:i w:val="0"/>
          <w:szCs w:val="28"/>
          <w:lang w:eastAsia="zh-TW"/>
        </w:rPr>
        <w:t>嚴重地低估了</w:t>
      </w:r>
      <w:r w:rsidR="009278E6" w:rsidRPr="009F12D9">
        <w:rPr>
          <w:rFonts w:hint="eastAsia"/>
          <w:i w:val="0"/>
          <w:szCs w:val="28"/>
          <w:lang w:eastAsia="zh-HK"/>
        </w:rPr>
        <w:t>答辯人</w:t>
      </w:r>
      <w:r w:rsidRPr="009F12D9">
        <w:rPr>
          <w:i w:val="0"/>
          <w:szCs w:val="28"/>
          <w:lang w:eastAsia="zh-TW"/>
        </w:rPr>
        <w:t>的個人罪責</w:t>
      </w:r>
      <w:r w:rsidR="009278E6" w:rsidRPr="009F12D9">
        <w:rPr>
          <w:rFonts w:ascii="Times New Roman" w:hAnsi="Times New Roman"/>
          <w:i w:val="0"/>
          <w:lang w:eastAsia="zh-TW"/>
        </w:rPr>
        <w:t>。</w:t>
      </w:r>
    </w:p>
    <w:p w:rsidR="004B61D7" w:rsidRPr="009F12D9" w:rsidRDefault="00600E88" w:rsidP="00B042D1">
      <w:pPr>
        <w:pStyle w:val="ar-heading1"/>
        <w:keepNext w:val="0"/>
        <w:numPr>
          <w:ilvl w:val="0"/>
          <w:numId w:val="5"/>
        </w:numPr>
        <w:spacing w:before="0" w:after="520"/>
        <w:ind w:firstLine="0"/>
        <w:jc w:val="both"/>
        <w:rPr>
          <w:rFonts w:ascii="Times New Roman" w:hAnsi="Times New Roman"/>
          <w:i w:val="0"/>
          <w:lang w:val="en-US" w:eastAsia="zh-TW"/>
        </w:rPr>
      </w:pPr>
      <w:r w:rsidRPr="009F12D9">
        <w:rPr>
          <w:i w:val="0"/>
          <w:szCs w:val="28"/>
          <w:lang w:eastAsia="zh-TW"/>
        </w:rPr>
        <w:t>原審裁判官對上述兩</w:t>
      </w:r>
      <w:r w:rsidR="004B61D7" w:rsidRPr="009F12D9">
        <w:rPr>
          <w:i w:val="0"/>
          <w:szCs w:val="28"/>
          <w:lang w:eastAsia="zh-TW"/>
        </w:rPr>
        <w:t>方面</w:t>
      </w:r>
      <w:r w:rsidR="00840013" w:rsidRPr="00840013">
        <w:rPr>
          <w:rFonts w:hint="eastAsia"/>
          <w:i w:val="0"/>
          <w:szCs w:val="28"/>
          <w:lang w:eastAsia="zh-HK"/>
        </w:rPr>
        <w:t>缺</w:t>
      </w:r>
      <w:r w:rsidR="00840013" w:rsidRPr="00840013">
        <w:rPr>
          <w:rFonts w:hint="eastAsia"/>
          <w:i w:val="0"/>
          <w:szCs w:val="28"/>
          <w:lang w:eastAsia="zh-TW"/>
        </w:rPr>
        <w:t>乏</w:t>
      </w:r>
      <w:r w:rsidR="00840013" w:rsidRPr="00840013">
        <w:rPr>
          <w:rFonts w:hint="eastAsia"/>
          <w:i w:val="0"/>
          <w:szCs w:val="28"/>
          <w:lang w:eastAsia="zh-HK"/>
        </w:rPr>
        <w:t>考</w:t>
      </w:r>
      <w:r w:rsidR="00840013" w:rsidRPr="00840013">
        <w:rPr>
          <w:rFonts w:hint="eastAsia"/>
          <w:i w:val="0"/>
          <w:szCs w:val="28"/>
          <w:lang w:eastAsia="zh-TW"/>
        </w:rPr>
        <w:t>慮</w:t>
      </w:r>
      <w:r w:rsidR="001003A8" w:rsidRPr="009F12D9">
        <w:rPr>
          <w:rFonts w:ascii="Times New Roman" w:hAnsi="Times New Roman"/>
          <w:i w:val="0"/>
          <w:szCs w:val="28"/>
          <w:lang w:eastAsia="zh-TW"/>
        </w:rPr>
        <w:t>，</w:t>
      </w:r>
      <w:r w:rsidR="004B61D7" w:rsidRPr="009F12D9">
        <w:rPr>
          <w:i w:val="0"/>
          <w:szCs w:val="28"/>
          <w:lang w:eastAsia="zh-TW"/>
        </w:rPr>
        <w:t>是原則</w:t>
      </w:r>
      <w:r w:rsidRPr="009F12D9">
        <w:rPr>
          <w:rFonts w:hint="eastAsia"/>
          <w:i w:val="0"/>
          <w:szCs w:val="28"/>
          <w:lang w:eastAsia="zh-HK"/>
        </w:rPr>
        <w:t>性</w:t>
      </w:r>
      <w:r w:rsidR="004B61D7" w:rsidRPr="009F12D9">
        <w:rPr>
          <w:i w:val="0"/>
          <w:szCs w:val="28"/>
          <w:lang w:eastAsia="zh-TW"/>
        </w:rPr>
        <w:t>犯錯</w:t>
      </w:r>
      <w:r w:rsidR="004B61D7" w:rsidRPr="009F12D9">
        <w:rPr>
          <w:rFonts w:ascii="Times New Roman" w:hAnsi="Times New Roman"/>
          <w:i w:val="0"/>
          <w:szCs w:val="28"/>
          <w:lang w:eastAsia="zh-TW"/>
        </w:rPr>
        <w:t>，以致他</w:t>
      </w:r>
      <w:r w:rsidR="001003A8" w:rsidRPr="009F12D9">
        <w:rPr>
          <w:rFonts w:ascii="Times New Roman" w:hAnsi="Times New Roman"/>
          <w:i w:val="0"/>
          <w:szCs w:val="28"/>
          <w:lang w:eastAsia="zh-HK"/>
        </w:rPr>
        <w:t>認</w:t>
      </w:r>
      <w:r w:rsidR="000D1460" w:rsidRPr="009F12D9">
        <w:rPr>
          <w:rFonts w:ascii="Times New Roman" w:hAnsi="Times New Roman"/>
          <w:i w:val="0"/>
          <w:szCs w:val="28"/>
          <w:lang w:eastAsia="zh-TW"/>
        </w:rPr>
        <w:t>為</w:t>
      </w:r>
      <w:r w:rsidR="004B61D7" w:rsidRPr="009F12D9">
        <w:rPr>
          <w:rFonts w:ascii="Times New Roman" w:hAnsi="Times New Roman"/>
          <w:i w:val="0"/>
          <w:szCs w:val="28"/>
          <w:lang w:eastAsia="zh-TW"/>
        </w:rPr>
        <w:t>社會服務令</w:t>
      </w:r>
      <w:r w:rsidR="000D1460" w:rsidRPr="009F12D9">
        <w:rPr>
          <w:rFonts w:ascii="Times New Roman" w:hAnsi="Times New Roman"/>
          <w:i w:val="0"/>
          <w:szCs w:val="28"/>
          <w:lang w:eastAsia="zh-HK"/>
        </w:rPr>
        <w:t>是</w:t>
      </w:r>
      <w:r w:rsidR="007733DC" w:rsidRPr="009F12D9">
        <w:rPr>
          <w:rFonts w:ascii="Times New Roman" w:hAnsi="Times New Roman"/>
          <w:i w:val="0"/>
          <w:szCs w:val="28"/>
          <w:lang w:eastAsia="zh-HK"/>
        </w:rPr>
        <w:t>合適</w:t>
      </w:r>
      <w:r w:rsidR="000D1460" w:rsidRPr="009F12D9">
        <w:rPr>
          <w:rFonts w:ascii="Times New Roman" w:hAnsi="Times New Roman"/>
          <w:i w:val="0"/>
          <w:szCs w:val="28"/>
          <w:lang w:eastAsia="zh-HK"/>
        </w:rPr>
        <w:t>的刑罰</w:t>
      </w:r>
      <w:r w:rsidR="004B61D7" w:rsidRPr="009F12D9">
        <w:rPr>
          <w:rFonts w:ascii="Times New Roman" w:hAnsi="Times New Roman"/>
          <w:i w:val="0"/>
          <w:szCs w:val="28"/>
          <w:lang w:eastAsia="zh-TW"/>
        </w:rPr>
        <w:t>，令判刑明顯過輕。基於本案的整體嚴重性，和答辯人的個人罪責，即時監禁</w:t>
      </w:r>
      <w:r w:rsidR="00A85A59" w:rsidRPr="009F12D9">
        <w:rPr>
          <w:rFonts w:ascii="Times New Roman" w:hAnsi="Times New Roman"/>
          <w:i w:val="0"/>
          <w:szCs w:val="28"/>
          <w:lang w:eastAsia="zh-HK"/>
        </w:rPr>
        <w:t>才</w:t>
      </w:r>
      <w:r w:rsidR="004B61D7" w:rsidRPr="009F12D9">
        <w:rPr>
          <w:rFonts w:ascii="Times New Roman" w:hAnsi="Times New Roman"/>
          <w:i w:val="0"/>
          <w:szCs w:val="28"/>
          <w:lang w:eastAsia="zh-TW"/>
        </w:rPr>
        <w:t>是唯一合適的刑罰，即使答辯人的背景良好也不能避免</w:t>
      </w:r>
      <w:r w:rsidRPr="009F12D9">
        <w:rPr>
          <w:rFonts w:ascii="Times New Roman" w:hAnsi="Times New Roman"/>
          <w:i w:val="0"/>
          <w:szCs w:val="28"/>
          <w:lang w:eastAsia="zh-TW"/>
        </w:rPr>
        <w:t>。</w:t>
      </w:r>
      <w:r w:rsidR="007733DC" w:rsidRPr="009F12D9">
        <w:rPr>
          <w:rFonts w:ascii="Times New Roman" w:hAnsi="Times New Roman"/>
          <w:i w:val="0"/>
          <w:szCs w:val="28"/>
          <w:lang w:eastAsia="zh-HK"/>
        </w:rPr>
        <w:t>這是本庭的判決</w:t>
      </w:r>
      <w:r w:rsidR="004B61D7" w:rsidRPr="009F12D9">
        <w:rPr>
          <w:rFonts w:ascii="Times New Roman" w:hAnsi="Times New Roman"/>
          <w:i w:val="0"/>
          <w:szCs w:val="28"/>
          <w:lang w:eastAsia="zh-TW"/>
        </w:rPr>
        <w:t>。</w:t>
      </w:r>
    </w:p>
    <w:p w:rsidR="00747CB6" w:rsidRPr="009F12D9" w:rsidRDefault="004B61D7" w:rsidP="009E0E55">
      <w:pPr>
        <w:pStyle w:val="Final"/>
        <w:keepNext/>
        <w:tabs>
          <w:tab w:val="clear" w:pos="1440"/>
          <w:tab w:val="clear" w:pos="4320"/>
          <w:tab w:val="clear" w:pos="9072"/>
          <w:tab w:val="left" w:pos="720"/>
          <w:tab w:val="center" w:pos="4234"/>
          <w:tab w:val="right" w:pos="8453"/>
        </w:tabs>
        <w:spacing w:after="360"/>
        <w:ind w:left="720" w:hanging="720"/>
        <w:rPr>
          <w:i/>
        </w:rPr>
      </w:pPr>
      <w:r w:rsidRPr="009F12D9">
        <w:rPr>
          <w:i/>
          <w:szCs w:val="28"/>
        </w:rPr>
        <w:t xml:space="preserve">I. </w:t>
      </w:r>
      <w:r w:rsidRPr="009F12D9">
        <w:rPr>
          <w:i/>
          <w:szCs w:val="28"/>
        </w:rPr>
        <w:tab/>
      </w:r>
      <w:r w:rsidRPr="009F12D9">
        <w:rPr>
          <w:i/>
          <w:szCs w:val="28"/>
        </w:rPr>
        <w:t>改判</w:t>
      </w:r>
    </w:p>
    <w:p w:rsidR="00747CB6" w:rsidRPr="009F12D9" w:rsidRDefault="004B61D7" w:rsidP="00747CB6">
      <w:pPr>
        <w:pStyle w:val="ar-heading1"/>
        <w:keepNext w:val="0"/>
        <w:numPr>
          <w:ilvl w:val="0"/>
          <w:numId w:val="5"/>
        </w:numPr>
        <w:spacing w:before="0" w:after="520"/>
        <w:ind w:firstLine="0"/>
        <w:jc w:val="both"/>
        <w:rPr>
          <w:rFonts w:ascii="Times New Roman" w:hAnsi="Times New Roman"/>
          <w:i w:val="0"/>
          <w:lang w:val="en-US" w:eastAsia="zh-TW"/>
        </w:rPr>
      </w:pPr>
      <w:r w:rsidRPr="009F12D9">
        <w:rPr>
          <w:rFonts w:ascii="Times New Roman" w:hAnsi="Times New Roman"/>
          <w:i w:val="0"/>
          <w:szCs w:val="28"/>
          <w:lang w:eastAsia="zh-TW"/>
        </w:rPr>
        <w:t>考慮到與案有關的所有情況，</w:t>
      </w:r>
      <w:proofErr w:type="gramStart"/>
      <w:r w:rsidRPr="009F12D9">
        <w:rPr>
          <w:rFonts w:ascii="Times New Roman" w:hAnsi="Times New Roman"/>
          <w:i w:val="0"/>
          <w:szCs w:val="28"/>
          <w:lang w:eastAsia="zh-TW"/>
        </w:rPr>
        <w:t>本庭會以</w:t>
      </w:r>
      <w:proofErr w:type="gramEnd"/>
      <w:r w:rsidR="00A45A32" w:rsidRPr="009F12D9">
        <w:rPr>
          <w:rFonts w:ascii="Times New Roman" w:hAnsi="Times New Roman"/>
          <w:i w:val="0"/>
          <w:szCs w:val="28"/>
          <w:lang w:eastAsia="zh-HK"/>
        </w:rPr>
        <w:t>六</w:t>
      </w:r>
      <w:r w:rsidRPr="009F12D9">
        <w:rPr>
          <w:rFonts w:ascii="Times New Roman" w:hAnsi="Times New Roman"/>
          <w:i w:val="0"/>
          <w:szCs w:val="28"/>
          <w:lang w:eastAsia="zh-TW"/>
        </w:rPr>
        <w:t>個月為本案的量刑基準。答辯人認罪，可得三分</w:t>
      </w:r>
      <w:proofErr w:type="gramStart"/>
      <w:r w:rsidRPr="009F12D9">
        <w:rPr>
          <w:rFonts w:ascii="Times New Roman" w:hAnsi="Times New Roman"/>
          <w:i w:val="0"/>
          <w:szCs w:val="28"/>
          <w:lang w:eastAsia="zh-TW"/>
        </w:rPr>
        <w:t>一</w:t>
      </w:r>
      <w:proofErr w:type="gramEnd"/>
      <w:r w:rsidRPr="009F12D9">
        <w:rPr>
          <w:rFonts w:ascii="Times New Roman" w:hAnsi="Times New Roman"/>
          <w:i w:val="0"/>
          <w:szCs w:val="28"/>
          <w:lang w:eastAsia="zh-TW"/>
        </w:rPr>
        <w:t>的扣減，就下調至</w:t>
      </w:r>
      <w:r w:rsidR="00A45A32" w:rsidRPr="009F12D9">
        <w:rPr>
          <w:rFonts w:ascii="Times New Roman" w:hAnsi="Times New Roman"/>
          <w:i w:val="0"/>
          <w:szCs w:val="28"/>
          <w:lang w:eastAsia="zh-HK"/>
        </w:rPr>
        <w:t>四</w:t>
      </w:r>
      <w:r w:rsidRPr="009F12D9">
        <w:rPr>
          <w:rFonts w:ascii="Times New Roman" w:hAnsi="Times New Roman"/>
          <w:i w:val="0"/>
          <w:szCs w:val="28"/>
          <w:lang w:eastAsia="zh-TW"/>
        </w:rPr>
        <w:t>個月。由於這是一宗刑期覆核，而答辯人又</w:t>
      </w:r>
      <w:r w:rsidR="00A45A32" w:rsidRPr="009F12D9">
        <w:rPr>
          <w:rFonts w:ascii="Times New Roman" w:hAnsi="Times New Roman"/>
          <w:i w:val="0"/>
          <w:szCs w:val="28"/>
          <w:lang w:eastAsia="zh-TW"/>
        </w:rPr>
        <w:t>經</w:t>
      </w:r>
      <w:r w:rsidRPr="009F12D9">
        <w:rPr>
          <w:rFonts w:ascii="Times New Roman" w:hAnsi="Times New Roman"/>
          <w:i w:val="0"/>
          <w:szCs w:val="28"/>
          <w:lang w:eastAsia="zh-TW"/>
        </w:rPr>
        <w:t>已完成</w:t>
      </w:r>
      <w:r w:rsidR="00A45A32" w:rsidRPr="009F12D9">
        <w:rPr>
          <w:rFonts w:ascii="Times New Roman" w:hAnsi="Times New Roman"/>
          <w:i w:val="0"/>
          <w:szCs w:val="28"/>
          <w:lang w:eastAsia="zh-HK"/>
        </w:rPr>
        <w:t>八</w:t>
      </w:r>
      <w:r w:rsidRPr="009F12D9">
        <w:rPr>
          <w:rFonts w:ascii="Times New Roman" w:hAnsi="Times New Roman"/>
          <w:i w:val="0"/>
          <w:szCs w:val="28"/>
          <w:lang w:eastAsia="zh-TW"/>
        </w:rPr>
        <w:t>小時的社會服務，</w:t>
      </w:r>
      <w:proofErr w:type="gramStart"/>
      <w:r w:rsidRPr="009F12D9">
        <w:rPr>
          <w:rFonts w:ascii="Times New Roman" w:hAnsi="Times New Roman"/>
          <w:i w:val="0"/>
          <w:szCs w:val="28"/>
          <w:lang w:eastAsia="zh-TW"/>
        </w:rPr>
        <w:t>本庭會酌情</w:t>
      </w:r>
      <w:proofErr w:type="gramEnd"/>
      <w:r w:rsidRPr="009F12D9">
        <w:rPr>
          <w:rFonts w:ascii="Times New Roman" w:hAnsi="Times New Roman"/>
          <w:i w:val="0"/>
          <w:szCs w:val="28"/>
          <w:lang w:eastAsia="zh-TW"/>
        </w:rPr>
        <w:t>再給答辯人減免一個月至</w:t>
      </w:r>
      <w:r w:rsidRPr="009F12D9">
        <w:rPr>
          <w:rFonts w:ascii="Times New Roman" w:hAnsi="Times New Roman"/>
          <w:i w:val="0"/>
          <w:szCs w:val="28"/>
          <w:lang w:eastAsia="zh-TW"/>
        </w:rPr>
        <w:t>3</w:t>
      </w:r>
      <w:r w:rsidRPr="009F12D9">
        <w:rPr>
          <w:rFonts w:ascii="Times New Roman" w:hAnsi="Times New Roman"/>
          <w:i w:val="0"/>
          <w:szCs w:val="28"/>
          <w:lang w:eastAsia="zh-TW"/>
        </w:rPr>
        <w:t>個月</w:t>
      </w:r>
      <w:r w:rsidR="00747CB6" w:rsidRPr="009F12D9">
        <w:rPr>
          <w:rFonts w:ascii="Times New Roman" w:hAnsi="Times New Roman"/>
          <w:i w:val="0"/>
          <w:szCs w:val="28"/>
          <w:lang w:eastAsia="zh-TW"/>
        </w:rPr>
        <w:t>。</w:t>
      </w:r>
    </w:p>
    <w:p w:rsidR="004B61D7" w:rsidRPr="009F12D9" w:rsidRDefault="004B61D7" w:rsidP="00586897">
      <w:pPr>
        <w:pStyle w:val="Final"/>
        <w:keepNext/>
        <w:tabs>
          <w:tab w:val="clear" w:pos="1440"/>
          <w:tab w:val="clear" w:pos="4320"/>
          <w:tab w:val="clear" w:pos="9072"/>
          <w:tab w:val="left" w:pos="720"/>
          <w:tab w:val="center" w:pos="4234"/>
          <w:tab w:val="right" w:pos="8453"/>
        </w:tabs>
        <w:spacing w:after="360"/>
        <w:ind w:left="720" w:hanging="720"/>
        <w:rPr>
          <w:i/>
        </w:rPr>
      </w:pPr>
      <w:r w:rsidRPr="009F12D9">
        <w:rPr>
          <w:i/>
        </w:rPr>
        <w:t xml:space="preserve">J. </w:t>
      </w:r>
      <w:r w:rsidRPr="009F12D9">
        <w:rPr>
          <w:i/>
        </w:rPr>
        <w:tab/>
      </w:r>
      <w:r w:rsidRPr="009F12D9">
        <w:rPr>
          <w:i/>
        </w:rPr>
        <w:t>命令</w:t>
      </w:r>
    </w:p>
    <w:p w:rsidR="00586897" w:rsidRPr="009F12D9" w:rsidRDefault="004B61D7" w:rsidP="00146C01">
      <w:pPr>
        <w:pStyle w:val="ar-heading1"/>
        <w:keepNext w:val="0"/>
        <w:numPr>
          <w:ilvl w:val="0"/>
          <w:numId w:val="5"/>
        </w:numPr>
        <w:spacing w:before="0"/>
        <w:ind w:firstLine="0"/>
        <w:jc w:val="both"/>
        <w:rPr>
          <w:rFonts w:ascii="Times New Roman" w:hAnsi="Times New Roman"/>
          <w:i w:val="0"/>
          <w:lang w:eastAsia="zh-TW"/>
        </w:rPr>
      </w:pPr>
      <w:r w:rsidRPr="009F12D9">
        <w:rPr>
          <w:rFonts w:ascii="Times New Roman" w:hAnsi="Times New Roman"/>
          <w:i w:val="0"/>
          <w:lang w:eastAsia="zh-TW"/>
        </w:rPr>
        <w:t>本庭批准申請人的刑期覆核申請，撤銷原有的社會服務</w:t>
      </w:r>
    </w:p>
    <w:p w:rsidR="00586897" w:rsidRPr="009F12D9" w:rsidRDefault="004B61D7" w:rsidP="00586897">
      <w:pPr>
        <w:tabs>
          <w:tab w:val="clear" w:pos="1440"/>
          <w:tab w:val="clear" w:pos="4320"/>
          <w:tab w:val="clear" w:pos="9072"/>
        </w:tabs>
        <w:snapToGrid/>
        <w:rPr>
          <w:rFonts w:eastAsia="PMingLiU"/>
          <w:szCs w:val="28"/>
          <w:lang w:eastAsia="zh-TW"/>
        </w:rPr>
      </w:pPr>
      <w:r w:rsidRPr="009F12D9">
        <w:rPr>
          <w:lang w:eastAsia="zh-TW"/>
        </w:rPr>
        <w:t>令，並命令答辯人須為本案入獄</w:t>
      </w:r>
      <w:r w:rsidRPr="009F12D9">
        <w:rPr>
          <w:lang w:eastAsia="zh-TW"/>
        </w:rPr>
        <w:t>3</w:t>
      </w:r>
      <w:r w:rsidRPr="009F12D9">
        <w:rPr>
          <w:lang w:eastAsia="zh-TW"/>
        </w:rPr>
        <w:t>個月，即時執行</w:t>
      </w:r>
      <w:r w:rsidRPr="009F12D9">
        <w:rPr>
          <w:szCs w:val="28"/>
          <w:lang w:eastAsia="zh-TW"/>
        </w:rPr>
        <w:t>。</w:t>
      </w:r>
    </w:p>
    <w:p w:rsidR="00586897" w:rsidRPr="009F12D9" w:rsidRDefault="00586897" w:rsidP="00586897">
      <w:pPr>
        <w:tabs>
          <w:tab w:val="clear" w:pos="1440"/>
          <w:tab w:val="clear" w:pos="4320"/>
          <w:tab w:val="clear" w:pos="9072"/>
        </w:tabs>
        <w:snapToGrid/>
        <w:rPr>
          <w:rFonts w:eastAsia="PMingLiU"/>
          <w:szCs w:val="28"/>
          <w:lang w:eastAsia="zh-TW"/>
        </w:rPr>
      </w:pPr>
    </w:p>
    <w:p w:rsidR="00586897" w:rsidRPr="009F12D9" w:rsidRDefault="00586897" w:rsidP="00586897">
      <w:pPr>
        <w:tabs>
          <w:tab w:val="clear" w:pos="1440"/>
          <w:tab w:val="clear" w:pos="4320"/>
          <w:tab w:val="clear" w:pos="9072"/>
        </w:tabs>
        <w:snapToGrid/>
        <w:rPr>
          <w:rFonts w:eastAsia="PMingLiU"/>
          <w:szCs w:val="28"/>
          <w:lang w:eastAsia="zh-TW"/>
        </w:rPr>
      </w:pPr>
    </w:p>
    <w:p w:rsidR="00586897" w:rsidRPr="009F12D9" w:rsidRDefault="00586897" w:rsidP="00586897">
      <w:pPr>
        <w:tabs>
          <w:tab w:val="clear" w:pos="1440"/>
          <w:tab w:val="clear" w:pos="4320"/>
          <w:tab w:val="clear" w:pos="9072"/>
        </w:tabs>
        <w:snapToGrid/>
        <w:rPr>
          <w:rFonts w:eastAsia="PMingLiU"/>
          <w:szCs w:val="28"/>
          <w:lang w:eastAsia="zh-TW"/>
        </w:rPr>
      </w:pPr>
    </w:p>
    <w:p w:rsidR="00586897" w:rsidRPr="009F12D9" w:rsidRDefault="00586897" w:rsidP="00586897">
      <w:pPr>
        <w:tabs>
          <w:tab w:val="clear" w:pos="1440"/>
          <w:tab w:val="clear" w:pos="4320"/>
          <w:tab w:val="clear" w:pos="9072"/>
        </w:tabs>
        <w:snapToGrid/>
        <w:rPr>
          <w:rFonts w:eastAsia="PMingLiU"/>
          <w:szCs w:val="28"/>
          <w:lang w:eastAsia="zh-TW"/>
        </w:rPr>
      </w:pPr>
    </w:p>
    <w:p w:rsidR="00586897" w:rsidRPr="009F12D9" w:rsidRDefault="00586897" w:rsidP="00586897">
      <w:pPr>
        <w:tabs>
          <w:tab w:val="clear" w:pos="1440"/>
          <w:tab w:val="clear" w:pos="4320"/>
          <w:tab w:val="clear" w:pos="9072"/>
        </w:tabs>
        <w:snapToGrid/>
        <w:rPr>
          <w:rFonts w:eastAsia="PMingLiU"/>
          <w:szCs w:val="28"/>
          <w:lang w:eastAsia="zh-TW"/>
        </w:rPr>
      </w:pPr>
    </w:p>
    <w:p w:rsidR="004B61D7" w:rsidRPr="009F12D9" w:rsidRDefault="008E5DA3" w:rsidP="00586897">
      <w:pPr>
        <w:tabs>
          <w:tab w:val="clear" w:pos="1440"/>
          <w:tab w:val="clear" w:pos="4320"/>
          <w:tab w:val="clear" w:pos="9072"/>
        </w:tabs>
        <w:snapToGrid/>
        <w:rPr>
          <w:lang w:val="en-GB" w:eastAsia="zh-TW"/>
        </w:rPr>
      </w:pPr>
      <w:r w:rsidRPr="009F12D9">
        <w:rPr>
          <w:rFonts w:eastAsia="PMingLiU"/>
          <w:i/>
          <w:szCs w:val="28"/>
          <w:lang w:eastAsia="zh-TW"/>
        </w:rPr>
        <w:br/>
      </w:r>
    </w:p>
    <w:p w:rsidR="001454BD" w:rsidRPr="009F12D9" w:rsidRDefault="001454BD" w:rsidP="001454BD">
      <w:pPr>
        <w:pStyle w:val="Final"/>
        <w:tabs>
          <w:tab w:val="clear" w:pos="1440"/>
          <w:tab w:val="clear" w:pos="9072"/>
          <w:tab w:val="center" w:pos="1260"/>
          <w:tab w:val="center" w:pos="7380"/>
        </w:tabs>
        <w:overflowPunct w:val="0"/>
        <w:spacing w:after="0" w:line="240" w:lineRule="auto"/>
        <w:ind w:left="-1080" w:right="-964"/>
        <w:rPr>
          <w:bCs/>
          <w:lang w:eastAsia="zh-TW"/>
        </w:rPr>
      </w:pPr>
      <w:r w:rsidRPr="009F12D9">
        <w:rPr>
          <w:bCs/>
          <w:lang w:eastAsia="zh-TW"/>
        </w:rPr>
        <w:tab/>
        <w:t>(</w:t>
      </w:r>
      <w:r w:rsidR="0031044E" w:rsidRPr="009F12D9">
        <w:rPr>
          <w:szCs w:val="28"/>
          <w:lang w:eastAsia="zh-TW"/>
        </w:rPr>
        <w:t>潘兆初</w:t>
      </w:r>
      <w:r w:rsidRPr="009F12D9">
        <w:rPr>
          <w:bCs/>
          <w:lang w:eastAsia="zh-TW"/>
        </w:rPr>
        <w:t>)</w:t>
      </w:r>
      <w:r w:rsidRPr="009F12D9">
        <w:rPr>
          <w:bCs/>
          <w:lang w:eastAsia="zh-TW"/>
        </w:rPr>
        <w:tab/>
        <w:t>(</w:t>
      </w:r>
      <w:r w:rsidR="0059556C" w:rsidRPr="009F12D9">
        <w:rPr>
          <w:szCs w:val="28"/>
          <w:lang w:eastAsia="zh-HK"/>
        </w:rPr>
        <w:t>彭偉昌</w:t>
      </w:r>
      <w:r w:rsidRPr="009F12D9">
        <w:rPr>
          <w:bCs/>
          <w:lang w:eastAsia="zh-TW"/>
        </w:rPr>
        <w:t>)</w:t>
      </w:r>
      <w:r w:rsidRPr="009F12D9">
        <w:rPr>
          <w:bCs/>
          <w:lang w:eastAsia="zh-TW"/>
        </w:rPr>
        <w:tab/>
        <w:t>(</w:t>
      </w:r>
      <w:r w:rsidR="005724B4" w:rsidRPr="009F12D9">
        <w:rPr>
          <w:lang w:eastAsia="zh-TW"/>
        </w:rPr>
        <w:t>潘敏琦</w:t>
      </w:r>
      <w:r w:rsidRPr="009F12D9">
        <w:rPr>
          <w:bCs/>
          <w:lang w:eastAsia="zh-TW"/>
        </w:rPr>
        <w:t>)</w:t>
      </w:r>
    </w:p>
    <w:p w:rsidR="001454BD" w:rsidRPr="009F12D9" w:rsidRDefault="001454BD" w:rsidP="001454BD">
      <w:pPr>
        <w:pStyle w:val="Final"/>
        <w:tabs>
          <w:tab w:val="clear" w:pos="1440"/>
          <w:tab w:val="clear" w:pos="9072"/>
          <w:tab w:val="center" w:pos="1260"/>
          <w:tab w:val="center" w:pos="7380"/>
        </w:tabs>
        <w:overflowPunct w:val="0"/>
        <w:spacing w:after="0" w:line="240" w:lineRule="auto"/>
        <w:ind w:left="-1080" w:right="-964"/>
        <w:rPr>
          <w:bCs/>
          <w:lang w:eastAsia="zh-TW"/>
        </w:rPr>
      </w:pPr>
      <w:r w:rsidRPr="009F12D9">
        <w:rPr>
          <w:lang w:eastAsia="zh-TW"/>
        </w:rPr>
        <w:tab/>
      </w:r>
      <w:r w:rsidRPr="009F12D9">
        <w:rPr>
          <w:lang w:eastAsia="zh-TW"/>
        </w:rPr>
        <w:t>高等法</w:t>
      </w:r>
      <w:r w:rsidRPr="009F12D9">
        <w:rPr>
          <w:lang w:eastAsia="zh-HK"/>
        </w:rPr>
        <w:t>院</w:t>
      </w:r>
      <w:r w:rsidR="0031044E" w:rsidRPr="009F12D9">
        <w:rPr>
          <w:szCs w:val="28"/>
          <w:lang w:eastAsia="zh-HK"/>
        </w:rPr>
        <w:t>首席法官</w:t>
      </w:r>
      <w:r w:rsidRPr="009F12D9">
        <w:rPr>
          <w:bCs/>
          <w:lang w:eastAsia="zh-TW"/>
        </w:rPr>
        <w:tab/>
        <w:t xml:space="preserve"> </w:t>
      </w:r>
      <w:r w:rsidRPr="009F12D9">
        <w:rPr>
          <w:bCs/>
          <w:lang w:eastAsia="zh-TW"/>
        </w:rPr>
        <w:t>高等法院</w:t>
      </w:r>
      <w:r w:rsidRPr="009F12D9">
        <w:rPr>
          <w:lang w:eastAsia="zh-TW"/>
        </w:rPr>
        <w:t xml:space="preserve">上訴法庭法官　</w:t>
      </w:r>
      <w:r w:rsidRPr="009F12D9">
        <w:rPr>
          <w:bCs/>
          <w:lang w:eastAsia="zh-TW"/>
        </w:rPr>
        <w:tab/>
      </w:r>
      <w:r w:rsidRPr="009F12D9">
        <w:rPr>
          <w:bCs/>
          <w:lang w:eastAsia="zh-TW"/>
        </w:rPr>
        <w:t>高等法院</w:t>
      </w:r>
      <w:r w:rsidR="0059556C" w:rsidRPr="009F12D9">
        <w:rPr>
          <w:szCs w:val="28"/>
          <w:lang w:eastAsia="zh-TW"/>
        </w:rPr>
        <w:t>原</w:t>
      </w:r>
      <w:proofErr w:type="gramStart"/>
      <w:r w:rsidR="0059556C" w:rsidRPr="009F12D9">
        <w:rPr>
          <w:szCs w:val="28"/>
          <w:lang w:eastAsia="zh-TW"/>
        </w:rPr>
        <w:t>訟</w:t>
      </w:r>
      <w:proofErr w:type="gramEnd"/>
      <w:r w:rsidR="0059556C" w:rsidRPr="009F12D9">
        <w:rPr>
          <w:szCs w:val="28"/>
          <w:lang w:eastAsia="zh-TW"/>
        </w:rPr>
        <w:t>法庭法官</w:t>
      </w:r>
    </w:p>
    <w:p w:rsidR="001454BD" w:rsidRPr="009F12D9" w:rsidRDefault="001454BD" w:rsidP="001454BD">
      <w:pPr>
        <w:pStyle w:val="Final"/>
        <w:tabs>
          <w:tab w:val="clear" w:pos="9072"/>
        </w:tabs>
        <w:spacing w:line="240" w:lineRule="auto"/>
        <w:ind w:left="-1080" w:right="-964"/>
        <w:rPr>
          <w:lang w:eastAsia="zh-TW"/>
        </w:rPr>
      </w:pPr>
    </w:p>
    <w:p w:rsidR="002C0268" w:rsidRPr="009F12D9" w:rsidRDefault="002C0268" w:rsidP="00C82840">
      <w:pPr>
        <w:pStyle w:val="Final"/>
        <w:spacing w:after="0"/>
        <w:rPr>
          <w:lang w:eastAsia="zh-TW"/>
        </w:rPr>
      </w:pPr>
    </w:p>
    <w:p w:rsidR="00D86503" w:rsidRPr="009F12D9" w:rsidRDefault="0031044E" w:rsidP="00B613C8">
      <w:pPr>
        <w:pStyle w:val="Final"/>
        <w:tabs>
          <w:tab w:val="clear" w:pos="1440"/>
          <w:tab w:val="clear" w:pos="9072"/>
        </w:tabs>
        <w:spacing w:after="0" w:line="240" w:lineRule="auto"/>
        <w:ind w:left="1440" w:right="26" w:hanging="1440"/>
        <w:rPr>
          <w:bCs/>
          <w:lang w:eastAsia="zh-TW"/>
        </w:rPr>
      </w:pPr>
      <w:r w:rsidRPr="009F12D9">
        <w:rPr>
          <w:lang w:eastAsia="zh-HK"/>
        </w:rPr>
        <w:t>申請</w:t>
      </w:r>
      <w:r w:rsidR="0089459A" w:rsidRPr="009F12D9">
        <w:rPr>
          <w:lang w:eastAsia="zh-HK"/>
        </w:rPr>
        <w:t>人</w:t>
      </w:r>
      <w:r w:rsidR="00D86503" w:rsidRPr="009F12D9">
        <w:rPr>
          <w:lang w:eastAsia="zh-HK"/>
        </w:rPr>
        <w:t>：</w:t>
      </w:r>
      <w:r w:rsidR="00D86503" w:rsidRPr="009F12D9">
        <w:rPr>
          <w:lang w:eastAsia="zh-HK"/>
        </w:rPr>
        <w:tab/>
      </w:r>
      <w:proofErr w:type="gramStart"/>
      <w:r w:rsidR="005724B4" w:rsidRPr="009F12D9">
        <w:rPr>
          <w:bCs/>
          <w:lang w:eastAsia="zh-TW"/>
        </w:rPr>
        <w:t>由律政</w:t>
      </w:r>
      <w:proofErr w:type="gramEnd"/>
      <w:r w:rsidR="005724B4" w:rsidRPr="009F12D9">
        <w:rPr>
          <w:bCs/>
          <w:lang w:eastAsia="zh-TW"/>
        </w:rPr>
        <w:t>司高級檢控官劉德偉先生</w:t>
      </w:r>
      <w:r w:rsidR="008A1C01" w:rsidRPr="009F12D9">
        <w:rPr>
          <w:bCs/>
          <w:lang w:eastAsia="zh-TW"/>
        </w:rPr>
        <w:t>代表</w:t>
      </w:r>
    </w:p>
    <w:p w:rsidR="008A1C01" w:rsidRPr="009F12D9" w:rsidRDefault="008A1C01" w:rsidP="00B613C8">
      <w:pPr>
        <w:pStyle w:val="Final"/>
        <w:tabs>
          <w:tab w:val="clear" w:pos="1440"/>
          <w:tab w:val="clear" w:pos="9072"/>
        </w:tabs>
        <w:spacing w:after="0" w:line="240" w:lineRule="auto"/>
        <w:ind w:left="1440" w:right="26" w:hanging="1440"/>
        <w:rPr>
          <w:bCs/>
          <w:lang w:eastAsia="zh-TW"/>
        </w:rPr>
      </w:pPr>
    </w:p>
    <w:p w:rsidR="002C0268" w:rsidRPr="009F12D9" w:rsidRDefault="004454EE" w:rsidP="00B613C8">
      <w:pPr>
        <w:pStyle w:val="Final"/>
        <w:tabs>
          <w:tab w:val="clear" w:pos="1440"/>
        </w:tabs>
        <w:spacing w:after="0" w:line="240" w:lineRule="auto"/>
        <w:ind w:left="1440" w:hanging="1440"/>
        <w:rPr>
          <w:lang w:eastAsia="zh-TW"/>
        </w:rPr>
      </w:pPr>
      <w:r w:rsidRPr="009F12D9">
        <w:rPr>
          <w:lang w:eastAsia="zh-TW"/>
        </w:rPr>
        <w:t>答辯人：</w:t>
      </w:r>
      <w:r w:rsidR="008C68EB" w:rsidRPr="009F12D9">
        <w:rPr>
          <w:lang w:eastAsia="zh-TW"/>
        </w:rPr>
        <w:tab/>
      </w:r>
      <w:r w:rsidR="005724B4" w:rsidRPr="009F12D9">
        <w:rPr>
          <w:bCs/>
          <w:lang w:eastAsia="zh-TW"/>
        </w:rPr>
        <w:t>由劉志華律師行轉聘陳偉彥大律師及梁嘉善大律師</w:t>
      </w:r>
      <w:r w:rsidR="008C3FA0" w:rsidRPr="009F12D9">
        <w:rPr>
          <w:bCs/>
          <w:lang w:eastAsia="zh-TW"/>
        </w:rPr>
        <w:t>代表</w:t>
      </w:r>
    </w:p>
    <w:sectPr w:rsidR="002C0268" w:rsidRPr="009F12D9" w:rsidSect="00146C01">
      <w:headerReference w:type="default" r:id="rId8"/>
      <w:headerReference w:type="first" r:id="rId9"/>
      <w:pgSz w:w="11906" w:h="16838" w:code="9"/>
      <w:pgMar w:top="1800" w:right="1800" w:bottom="1800" w:left="1800" w:header="1008" w:footer="720"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0786" w:rsidRDefault="00A60786">
      <w:r>
        <w:separator/>
      </w:r>
    </w:p>
  </w:endnote>
  <w:endnote w:type="continuationSeparator" w:id="0">
    <w:p w:rsidR="00A60786" w:rsidRDefault="00A607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0786" w:rsidRDefault="00A60786">
      <w:r>
        <w:separator/>
      </w:r>
    </w:p>
  </w:footnote>
  <w:footnote w:type="continuationSeparator" w:id="0">
    <w:p w:rsidR="00A60786" w:rsidRDefault="00A60786">
      <w:r>
        <w:continuationSeparator/>
      </w:r>
    </w:p>
  </w:footnote>
  <w:footnote w:id="1">
    <w:p w:rsidR="009E3F24" w:rsidRPr="007733DC" w:rsidRDefault="009E3F24" w:rsidP="005724B4">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7733DC">
        <w:rPr>
          <w:rStyle w:val="FootnoteReference"/>
          <w:sz w:val="20"/>
          <w:lang w:val="en-GB" w:eastAsia="x-none"/>
        </w:rPr>
        <w:footnoteRef/>
      </w:r>
      <w:r w:rsidRPr="007733DC">
        <w:rPr>
          <w:rStyle w:val="FootnoteReference"/>
          <w:sz w:val="20"/>
          <w:lang w:val="en-GB" w:eastAsia="x-none"/>
        </w:rPr>
        <w:t xml:space="preserve">  </w:t>
      </w:r>
      <w:r w:rsidRPr="007733DC">
        <w:rPr>
          <w:sz w:val="20"/>
          <w:lang w:val="en-GB" w:eastAsia="x-none"/>
        </w:rPr>
        <w:tab/>
      </w:r>
      <w:r w:rsidRPr="007733DC">
        <w:rPr>
          <w:rStyle w:val="FootnoteReference"/>
          <w:sz w:val="20"/>
          <w:vertAlign w:val="baseline"/>
          <w:lang w:val="en-GB" w:eastAsia="x-none"/>
        </w:rPr>
        <w:t>違反香港法例第</w:t>
      </w:r>
      <w:r w:rsidRPr="007733DC">
        <w:rPr>
          <w:rStyle w:val="FootnoteReference"/>
          <w:sz w:val="20"/>
          <w:vertAlign w:val="baseline"/>
          <w:lang w:val="en-GB" w:eastAsia="x-none"/>
        </w:rPr>
        <w:t>245</w:t>
      </w:r>
      <w:proofErr w:type="spellStart"/>
      <w:r w:rsidRPr="007733DC">
        <w:rPr>
          <w:rStyle w:val="FootnoteReference"/>
          <w:sz w:val="20"/>
          <w:vertAlign w:val="baseline"/>
          <w:lang w:val="en-GB" w:eastAsia="x-none"/>
        </w:rPr>
        <w:t>章</w:t>
      </w:r>
      <w:r w:rsidRPr="007733DC">
        <w:rPr>
          <w:rStyle w:val="FootnoteReference"/>
          <w:sz w:val="20"/>
          <w:vertAlign w:val="baseline"/>
          <w:lang w:eastAsia="x-none"/>
        </w:rPr>
        <w:t>《公安條例</w:t>
      </w:r>
      <w:proofErr w:type="spellEnd"/>
      <w:r w:rsidRPr="007733DC">
        <w:rPr>
          <w:rStyle w:val="FootnoteReference"/>
          <w:sz w:val="20"/>
          <w:vertAlign w:val="baseline"/>
          <w:lang w:eastAsia="x-none"/>
        </w:rPr>
        <w:t>》</w:t>
      </w:r>
      <w:r w:rsidRPr="007733DC">
        <w:rPr>
          <w:rStyle w:val="FootnoteReference"/>
          <w:sz w:val="20"/>
          <w:vertAlign w:val="baseline"/>
          <w:lang w:eastAsia="x-none"/>
        </w:rPr>
        <w:t xml:space="preserve"> </w:t>
      </w:r>
      <w:r w:rsidRPr="007733DC">
        <w:rPr>
          <w:rStyle w:val="FootnoteReference"/>
          <w:sz w:val="20"/>
          <w:vertAlign w:val="baseline"/>
          <w:lang w:eastAsia="x-none"/>
        </w:rPr>
        <w:t>第</w:t>
      </w:r>
      <w:r w:rsidRPr="007733DC">
        <w:rPr>
          <w:rStyle w:val="FootnoteReference"/>
          <w:sz w:val="20"/>
          <w:vertAlign w:val="baseline"/>
          <w:lang w:eastAsia="x-none"/>
        </w:rPr>
        <w:t>18(3)</w:t>
      </w:r>
      <w:r w:rsidRPr="007733DC">
        <w:rPr>
          <w:rStyle w:val="FootnoteReference"/>
          <w:sz w:val="20"/>
          <w:vertAlign w:val="baseline"/>
          <w:lang w:eastAsia="x-none"/>
        </w:rPr>
        <w:t>條</w:t>
      </w:r>
      <w:r w:rsidRPr="007733DC">
        <w:rPr>
          <w:rStyle w:val="FootnoteReference"/>
          <w:sz w:val="20"/>
          <w:vertAlign w:val="baseline"/>
          <w:lang w:val="en-GB" w:eastAsia="x-none"/>
        </w:rPr>
        <w:t>。</w:t>
      </w:r>
    </w:p>
  </w:footnote>
  <w:footnote w:id="2">
    <w:p w:rsidR="009E3F24" w:rsidRPr="007733DC" w:rsidRDefault="009E3F24" w:rsidP="005724B4">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7733DC">
        <w:rPr>
          <w:rStyle w:val="FootnoteReference"/>
          <w:sz w:val="20"/>
          <w:lang w:val="en-GB" w:eastAsia="x-none"/>
        </w:rPr>
        <w:footnoteRef/>
      </w:r>
      <w:r w:rsidRPr="007733DC">
        <w:rPr>
          <w:rStyle w:val="FootnoteReference"/>
          <w:sz w:val="20"/>
          <w:lang w:val="en-GB" w:eastAsia="x-none"/>
        </w:rPr>
        <w:t xml:space="preserve">  </w:t>
      </w:r>
      <w:r w:rsidRPr="007733DC">
        <w:rPr>
          <w:sz w:val="20"/>
          <w:lang w:val="en-GB" w:eastAsia="x-none"/>
        </w:rPr>
        <w:tab/>
      </w:r>
      <w:r w:rsidRPr="007733DC">
        <w:rPr>
          <w:rStyle w:val="FootnoteReference"/>
          <w:sz w:val="20"/>
          <w:vertAlign w:val="baseline"/>
          <w:lang w:val="en-GB" w:eastAsia="x-none"/>
        </w:rPr>
        <w:t>違反香港法例第</w:t>
      </w:r>
      <w:r w:rsidRPr="007733DC">
        <w:rPr>
          <w:rStyle w:val="FootnoteReference"/>
          <w:sz w:val="20"/>
          <w:vertAlign w:val="baseline"/>
          <w:lang w:val="en-GB" w:eastAsia="x-none"/>
        </w:rPr>
        <w:t>228</w:t>
      </w:r>
      <w:r w:rsidRPr="007733DC">
        <w:rPr>
          <w:rStyle w:val="FootnoteReference"/>
          <w:sz w:val="20"/>
          <w:vertAlign w:val="baseline"/>
          <w:lang w:val="en-GB" w:eastAsia="x-none"/>
        </w:rPr>
        <w:t>章《簡易程序治罪條例》第</w:t>
      </w:r>
      <w:r w:rsidRPr="007733DC">
        <w:rPr>
          <w:rStyle w:val="FootnoteReference"/>
          <w:sz w:val="20"/>
          <w:vertAlign w:val="baseline"/>
          <w:lang w:val="en-GB" w:eastAsia="x-none"/>
        </w:rPr>
        <w:t>17</w:t>
      </w:r>
      <w:r w:rsidRPr="007733DC">
        <w:rPr>
          <w:rStyle w:val="FootnoteReference"/>
          <w:sz w:val="20"/>
          <w:vertAlign w:val="baseline"/>
          <w:lang w:val="en-GB" w:eastAsia="x-none"/>
        </w:rPr>
        <w:t>條。</w:t>
      </w:r>
    </w:p>
  </w:footnote>
  <w:footnote w:id="3">
    <w:p w:rsidR="009E3F24" w:rsidRPr="007733DC" w:rsidRDefault="009E3F24" w:rsidP="005724B4">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7733DC">
        <w:rPr>
          <w:rStyle w:val="FootnoteReference"/>
          <w:sz w:val="20"/>
          <w:lang w:val="en-GB" w:eastAsia="x-none"/>
        </w:rPr>
        <w:footnoteRef/>
      </w:r>
      <w:r w:rsidRPr="007733DC">
        <w:rPr>
          <w:rStyle w:val="FootnoteReference"/>
          <w:sz w:val="20"/>
          <w:lang w:val="en-GB" w:eastAsia="x-none"/>
        </w:rPr>
        <w:t xml:space="preserve">  </w:t>
      </w:r>
      <w:r w:rsidRPr="007733DC">
        <w:rPr>
          <w:sz w:val="20"/>
          <w:lang w:val="en-GB" w:eastAsia="x-none"/>
        </w:rPr>
        <w:tab/>
      </w:r>
      <w:proofErr w:type="spellStart"/>
      <w:r w:rsidRPr="007733DC">
        <w:rPr>
          <w:rStyle w:val="FootnoteReference"/>
          <w:sz w:val="20"/>
          <w:vertAlign w:val="baseline"/>
          <w:lang w:val="en-GB" w:eastAsia="x-none"/>
        </w:rPr>
        <w:t>報告建議一個</w:t>
      </w:r>
      <w:proofErr w:type="spellEnd"/>
      <w:r w:rsidRPr="007733DC">
        <w:rPr>
          <w:rStyle w:val="FootnoteReference"/>
          <w:sz w:val="20"/>
          <w:vertAlign w:val="baseline"/>
          <w:lang w:val="en-GB" w:eastAsia="x-none"/>
        </w:rPr>
        <w:t>‘</w:t>
      </w:r>
      <w:proofErr w:type="spellStart"/>
      <w:r w:rsidRPr="007733DC">
        <w:rPr>
          <w:rStyle w:val="FootnoteReference"/>
          <w:sz w:val="20"/>
          <w:vertAlign w:val="baseline"/>
          <w:lang w:val="en-GB" w:eastAsia="x-none"/>
        </w:rPr>
        <w:t>中度時段</w:t>
      </w:r>
      <w:proofErr w:type="spellEnd"/>
      <w:r w:rsidRPr="007733DC">
        <w:rPr>
          <w:rStyle w:val="FootnoteReference"/>
          <w:sz w:val="20"/>
          <w:vertAlign w:val="baseline"/>
          <w:lang w:val="en-GB" w:eastAsia="x-none"/>
        </w:rPr>
        <w:t>’</w:t>
      </w:r>
      <w:r w:rsidRPr="007733DC">
        <w:rPr>
          <w:rStyle w:val="FootnoteReference"/>
          <w:sz w:val="20"/>
          <w:vertAlign w:val="baseline"/>
          <w:lang w:val="en-GB" w:eastAsia="x-none"/>
        </w:rPr>
        <w:t>即</w:t>
      </w:r>
      <w:r w:rsidRPr="007733DC">
        <w:rPr>
          <w:rStyle w:val="FootnoteReference"/>
          <w:sz w:val="20"/>
          <w:vertAlign w:val="baseline"/>
          <w:lang w:val="en-GB" w:eastAsia="x-none"/>
        </w:rPr>
        <w:t>80</w:t>
      </w:r>
      <w:r w:rsidRPr="007733DC">
        <w:rPr>
          <w:rStyle w:val="FootnoteReference"/>
          <w:sz w:val="20"/>
          <w:vertAlign w:val="baseline"/>
          <w:lang w:val="en-GB" w:eastAsia="x-none"/>
        </w:rPr>
        <w:t>至</w:t>
      </w:r>
      <w:r w:rsidRPr="007733DC">
        <w:rPr>
          <w:rStyle w:val="FootnoteReference"/>
          <w:sz w:val="20"/>
          <w:vertAlign w:val="baseline"/>
          <w:lang w:val="en-GB" w:eastAsia="x-none"/>
        </w:rPr>
        <w:t>160</w:t>
      </w:r>
      <w:proofErr w:type="spellStart"/>
      <w:r w:rsidRPr="007733DC">
        <w:rPr>
          <w:rStyle w:val="FootnoteReference"/>
          <w:sz w:val="20"/>
          <w:vertAlign w:val="baseline"/>
          <w:lang w:val="en-GB" w:eastAsia="x-none"/>
        </w:rPr>
        <w:t>小時的命令</w:t>
      </w:r>
      <w:proofErr w:type="spellEnd"/>
      <w:r w:rsidRPr="007733DC">
        <w:rPr>
          <w:rStyle w:val="FootnoteReference"/>
          <w:sz w:val="20"/>
          <w:vertAlign w:val="baseline"/>
          <w:lang w:val="en-GB" w:eastAsia="x-none"/>
        </w:rPr>
        <w:t>。</w:t>
      </w:r>
    </w:p>
  </w:footnote>
  <w:footnote w:id="4">
    <w:p w:rsidR="009E3F24" w:rsidRPr="007733DC" w:rsidRDefault="009E3F24" w:rsidP="005724B4">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7733DC">
        <w:rPr>
          <w:rStyle w:val="FootnoteReference"/>
          <w:sz w:val="20"/>
          <w:lang w:val="en-GB" w:eastAsia="x-none"/>
        </w:rPr>
        <w:footnoteRef/>
      </w:r>
      <w:r w:rsidRPr="007733DC">
        <w:rPr>
          <w:rStyle w:val="FootnoteReference"/>
          <w:sz w:val="20"/>
          <w:lang w:val="en-GB" w:eastAsia="x-none"/>
        </w:rPr>
        <w:t xml:space="preserve">  </w:t>
      </w:r>
      <w:r w:rsidRPr="007733DC">
        <w:rPr>
          <w:sz w:val="20"/>
          <w:lang w:val="en-GB" w:eastAsia="x-none"/>
        </w:rPr>
        <w:tab/>
      </w:r>
      <w:proofErr w:type="spellStart"/>
      <w:r w:rsidRPr="007733DC">
        <w:rPr>
          <w:rStyle w:val="FootnoteReference"/>
          <w:sz w:val="20"/>
          <w:vertAlign w:val="baseline"/>
          <w:lang w:val="en-GB" w:eastAsia="x-none"/>
        </w:rPr>
        <w:t>此</w:t>
      </w:r>
      <w:r w:rsidRPr="005019C3">
        <w:rPr>
          <w:rStyle w:val="FootnoteReference"/>
          <w:rFonts w:hint="eastAsia"/>
          <w:sz w:val="20"/>
          <w:vertAlign w:val="baseline"/>
          <w:lang w:val="en-GB" w:eastAsia="x-none"/>
        </w:rPr>
        <w:t>《規</w:t>
      </w:r>
      <w:r w:rsidR="00CA123F">
        <w:rPr>
          <w:rFonts w:hint="eastAsia"/>
          <w:sz w:val="20"/>
          <w:lang w:val="en-GB" w:eastAsia="zh-TW"/>
        </w:rPr>
        <w:t>例</w:t>
      </w:r>
      <w:proofErr w:type="spellEnd"/>
      <w:r w:rsidRPr="005019C3">
        <w:rPr>
          <w:rStyle w:val="FootnoteReference"/>
          <w:rFonts w:hint="eastAsia"/>
          <w:sz w:val="20"/>
          <w:vertAlign w:val="baseline"/>
          <w:lang w:val="en-GB" w:eastAsia="x-none"/>
        </w:rPr>
        <w:t>》</w:t>
      </w:r>
      <w:r w:rsidRPr="00D5061E">
        <w:rPr>
          <w:rStyle w:val="FootnoteReference"/>
          <w:rFonts w:ascii="宋体" w:hAnsi="宋体"/>
          <w:sz w:val="20"/>
          <w:vertAlign w:val="baseline"/>
          <w:lang w:val="en-GB" w:eastAsia="zh-TW"/>
        </w:rPr>
        <w:t>(</w:t>
      </w:r>
      <w:r w:rsidRPr="00342DF9">
        <w:rPr>
          <w:sz w:val="20"/>
          <w:lang w:val="en-GB" w:eastAsia="zh-HK"/>
        </w:rPr>
        <w:t>香港法例第</w:t>
      </w:r>
      <w:r w:rsidRPr="00342DF9">
        <w:rPr>
          <w:sz w:val="20"/>
          <w:lang w:val="en-GB" w:eastAsia="zh-TW"/>
        </w:rPr>
        <w:t>241</w:t>
      </w:r>
      <w:r w:rsidRPr="00342DF9">
        <w:rPr>
          <w:sz w:val="20"/>
          <w:lang w:val="en-GB" w:eastAsia="zh-HK"/>
        </w:rPr>
        <w:t>章</w:t>
      </w:r>
      <w:r w:rsidRPr="00342DF9">
        <w:rPr>
          <w:rFonts w:ascii="宋体" w:hAnsi="宋体"/>
          <w:sz w:val="20"/>
          <w:lang w:val="en-GB" w:eastAsia="zh-TW"/>
        </w:rPr>
        <w:t>,</w:t>
      </w:r>
      <w:r w:rsidRPr="00342DF9">
        <w:rPr>
          <w:rFonts w:ascii="宋体" w:hAnsi="宋体"/>
          <w:sz w:val="20"/>
          <w:lang w:val="en-GB" w:eastAsia="x-none"/>
        </w:rPr>
        <w:t xml:space="preserve"> </w:t>
      </w:r>
      <w:r w:rsidRPr="00342DF9">
        <w:rPr>
          <w:sz w:val="20"/>
          <w:lang w:val="en-GB" w:eastAsia="zh-HK"/>
        </w:rPr>
        <w:t>附</w:t>
      </w:r>
      <w:r w:rsidRPr="00342DF9">
        <w:rPr>
          <w:sz w:val="20"/>
          <w:lang w:val="en-GB" w:eastAsia="zh-TW"/>
        </w:rPr>
        <w:t>屬</w:t>
      </w:r>
      <w:r w:rsidRPr="00342DF9">
        <w:rPr>
          <w:sz w:val="20"/>
          <w:lang w:val="en-GB" w:eastAsia="zh-HK"/>
        </w:rPr>
        <w:t>法例</w:t>
      </w:r>
      <w:r w:rsidRPr="00342DF9">
        <w:rPr>
          <w:sz w:val="20"/>
          <w:lang w:val="en-GB" w:eastAsia="zh-TW"/>
        </w:rPr>
        <w:t>K</w:t>
      </w:r>
      <w:r w:rsidRPr="00D5061E">
        <w:rPr>
          <w:rFonts w:ascii="宋体" w:hAnsi="宋体"/>
          <w:sz w:val="20"/>
          <w:lang w:val="en-GB" w:eastAsia="zh-TW"/>
        </w:rPr>
        <w:t>)</w:t>
      </w:r>
      <w:r w:rsidRPr="007733DC">
        <w:rPr>
          <w:rStyle w:val="FootnoteReference"/>
          <w:sz w:val="20"/>
          <w:vertAlign w:val="baseline"/>
          <w:lang w:val="en-GB" w:eastAsia="x-none"/>
        </w:rPr>
        <w:t>剛在</w:t>
      </w:r>
      <w:r w:rsidRPr="007733DC">
        <w:rPr>
          <w:rStyle w:val="FootnoteReference"/>
          <w:sz w:val="20"/>
          <w:vertAlign w:val="baseline"/>
          <w:lang w:val="en-GB" w:eastAsia="x-none"/>
        </w:rPr>
        <w:t>2019</w:t>
      </w:r>
      <w:r w:rsidRPr="007733DC">
        <w:rPr>
          <w:rStyle w:val="FootnoteReference"/>
          <w:sz w:val="20"/>
          <w:vertAlign w:val="baseline"/>
          <w:lang w:val="en-GB" w:eastAsia="x-none"/>
        </w:rPr>
        <w:t>年</w:t>
      </w:r>
      <w:r w:rsidRPr="007733DC">
        <w:rPr>
          <w:rStyle w:val="FootnoteReference"/>
          <w:sz w:val="20"/>
          <w:vertAlign w:val="baseline"/>
          <w:lang w:val="en-GB" w:eastAsia="x-none"/>
        </w:rPr>
        <w:t>10</w:t>
      </w:r>
      <w:r w:rsidRPr="007733DC">
        <w:rPr>
          <w:rStyle w:val="FootnoteReference"/>
          <w:sz w:val="20"/>
          <w:vertAlign w:val="baseline"/>
          <w:lang w:val="en-GB" w:eastAsia="x-none"/>
        </w:rPr>
        <w:t>月</w:t>
      </w:r>
      <w:r w:rsidRPr="007733DC">
        <w:rPr>
          <w:rStyle w:val="FootnoteReference"/>
          <w:sz w:val="20"/>
          <w:vertAlign w:val="baseline"/>
          <w:lang w:val="en-GB" w:eastAsia="x-none"/>
        </w:rPr>
        <w:t>5</w:t>
      </w:r>
      <w:proofErr w:type="spellStart"/>
      <w:r w:rsidRPr="007733DC">
        <w:rPr>
          <w:rStyle w:val="FootnoteReference"/>
          <w:sz w:val="20"/>
          <w:vertAlign w:val="baseline"/>
          <w:lang w:val="en-GB" w:eastAsia="x-none"/>
        </w:rPr>
        <w:t>日生效</w:t>
      </w:r>
      <w:proofErr w:type="spellEnd"/>
      <w:r w:rsidRPr="007733DC">
        <w:rPr>
          <w:rStyle w:val="FootnoteReference"/>
          <w:sz w:val="20"/>
          <w:vertAlign w:val="baseline"/>
          <w:lang w:val="en-GB" w:eastAsia="x-none"/>
        </w:rPr>
        <w:t>。</w:t>
      </w:r>
    </w:p>
  </w:footnote>
  <w:footnote w:id="5">
    <w:p w:rsidR="009E3F24" w:rsidRPr="007733DC" w:rsidRDefault="009E3F24" w:rsidP="00BB5AEB">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7733DC">
        <w:rPr>
          <w:rStyle w:val="FootnoteReference"/>
          <w:sz w:val="20"/>
          <w:lang w:val="en-GB" w:eastAsia="x-none"/>
        </w:rPr>
        <w:footnoteRef/>
      </w:r>
      <w:r w:rsidRPr="007733DC">
        <w:rPr>
          <w:rStyle w:val="FootnoteReference"/>
          <w:sz w:val="20"/>
          <w:lang w:val="en-GB" w:eastAsia="x-none"/>
        </w:rPr>
        <w:t xml:space="preserve">  </w:t>
      </w:r>
      <w:r w:rsidRPr="007733DC">
        <w:rPr>
          <w:sz w:val="20"/>
          <w:lang w:val="en-GB" w:eastAsia="x-none"/>
        </w:rPr>
        <w:tab/>
      </w:r>
      <w:r w:rsidRPr="007733DC">
        <w:rPr>
          <w:rStyle w:val="FootnoteReference"/>
          <w:sz w:val="20"/>
          <w:vertAlign w:val="baseline"/>
          <w:lang w:val="en-GB" w:eastAsia="x-none"/>
        </w:rPr>
        <w:t>同意案情提到三段案發時的錄影，分別由傳媒和警方拍攝。除此之外，同意案情還有兩個附件。附件一是按照時間而對錄影內容所作出的描述，附件二是選取自錄影的截圖和相關的文字說明。</w:t>
      </w:r>
    </w:p>
  </w:footnote>
  <w:footnote w:id="6">
    <w:p w:rsidR="009E3F24" w:rsidRPr="007733DC" w:rsidRDefault="009E3F24" w:rsidP="00BB5AEB">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7733DC">
        <w:rPr>
          <w:rStyle w:val="FootnoteReference"/>
          <w:sz w:val="20"/>
          <w:lang w:val="en-GB" w:eastAsia="x-none"/>
        </w:rPr>
        <w:footnoteRef/>
      </w:r>
      <w:r w:rsidRPr="007733DC">
        <w:rPr>
          <w:rStyle w:val="FootnoteReference"/>
          <w:sz w:val="20"/>
          <w:lang w:val="en-GB" w:eastAsia="x-none"/>
        </w:rPr>
        <w:t xml:space="preserve">  </w:t>
      </w:r>
      <w:r w:rsidRPr="007733DC">
        <w:rPr>
          <w:sz w:val="20"/>
          <w:lang w:val="en-GB" w:eastAsia="x-none"/>
        </w:rPr>
        <w:tab/>
      </w:r>
      <w:proofErr w:type="spellStart"/>
      <w:r w:rsidRPr="007733DC">
        <w:rPr>
          <w:rStyle w:val="FootnoteReference"/>
          <w:sz w:val="20"/>
          <w:vertAlign w:val="baseline"/>
          <w:lang w:val="en-GB" w:eastAsia="x-none"/>
        </w:rPr>
        <w:t>控方在庭上播放第一段錄影的部分和第二段錄影的全部，第三段則因為內容大致重複而沒有播出</w:t>
      </w:r>
      <w:proofErr w:type="spellEnd"/>
      <w:r w:rsidRPr="007733DC">
        <w:rPr>
          <w:rStyle w:val="FootnoteReference"/>
          <w:sz w:val="20"/>
          <w:vertAlign w:val="baseline"/>
          <w:lang w:val="en-GB" w:eastAsia="x-none"/>
        </w:rPr>
        <w:t>。</w:t>
      </w:r>
    </w:p>
  </w:footnote>
  <w:footnote w:id="7">
    <w:p w:rsidR="009E3F24" w:rsidRPr="007733DC" w:rsidRDefault="009E3F24" w:rsidP="00BB5AEB">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7733DC">
        <w:rPr>
          <w:rStyle w:val="FootnoteReference"/>
          <w:sz w:val="20"/>
          <w:lang w:val="en-GB" w:eastAsia="x-none"/>
        </w:rPr>
        <w:footnoteRef/>
      </w:r>
      <w:r w:rsidRPr="007733DC">
        <w:rPr>
          <w:rStyle w:val="FootnoteReference"/>
          <w:sz w:val="20"/>
          <w:lang w:val="en-GB" w:eastAsia="x-none"/>
        </w:rPr>
        <w:t xml:space="preserve">  </w:t>
      </w:r>
      <w:r w:rsidRPr="007733DC">
        <w:rPr>
          <w:sz w:val="20"/>
          <w:lang w:val="en-GB" w:eastAsia="x-none"/>
        </w:rPr>
        <w:tab/>
      </w:r>
      <w:r w:rsidRPr="007733DC">
        <w:rPr>
          <w:rStyle w:val="FootnoteReference"/>
          <w:sz w:val="20"/>
          <w:vertAlign w:val="baseline"/>
          <w:lang w:val="en-GB" w:eastAsia="x-none"/>
        </w:rPr>
        <w:t>上訴卷宗</w:t>
      </w:r>
      <w:r w:rsidRPr="007733DC">
        <w:rPr>
          <w:rStyle w:val="FootnoteReference"/>
          <w:sz w:val="20"/>
          <w:vertAlign w:val="baseline"/>
          <w:lang w:val="en-GB" w:eastAsia="x-none"/>
        </w:rPr>
        <w:t>40</w:t>
      </w:r>
      <w:proofErr w:type="spellStart"/>
      <w:r w:rsidRPr="007733DC">
        <w:rPr>
          <w:rStyle w:val="FootnoteReference"/>
          <w:sz w:val="20"/>
          <w:vertAlign w:val="baseline"/>
          <w:lang w:val="en-GB" w:eastAsia="x-none"/>
        </w:rPr>
        <w:t>頁</w:t>
      </w:r>
      <w:r w:rsidRPr="007733DC">
        <w:rPr>
          <w:rStyle w:val="FootnoteReference"/>
          <w:sz w:val="20"/>
          <w:vertAlign w:val="baseline"/>
          <w:lang w:val="en-GB" w:eastAsia="x-none"/>
        </w:rPr>
        <w:t>M</w:t>
      </w:r>
      <w:r w:rsidRPr="007733DC">
        <w:rPr>
          <w:rStyle w:val="FootnoteReference"/>
          <w:sz w:val="20"/>
          <w:vertAlign w:val="baseline"/>
          <w:lang w:val="en-GB" w:eastAsia="x-none"/>
        </w:rPr>
        <w:t>至</w:t>
      </w:r>
      <w:r w:rsidRPr="007733DC">
        <w:rPr>
          <w:rStyle w:val="FootnoteReference"/>
          <w:sz w:val="20"/>
          <w:vertAlign w:val="baseline"/>
          <w:lang w:val="en-GB" w:eastAsia="x-none"/>
        </w:rPr>
        <w:t>T</w:t>
      </w:r>
      <w:proofErr w:type="spellEnd"/>
      <w:r w:rsidRPr="007733DC">
        <w:rPr>
          <w:rStyle w:val="FootnoteReference"/>
          <w:sz w:val="20"/>
          <w:vertAlign w:val="baseline"/>
          <w:lang w:val="en-GB" w:eastAsia="x-none"/>
        </w:rPr>
        <w:t>。</w:t>
      </w:r>
    </w:p>
  </w:footnote>
  <w:footnote w:id="8">
    <w:p w:rsidR="009E3F24" w:rsidRPr="007733DC" w:rsidRDefault="009E3F24" w:rsidP="00BB5AEB">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7733DC">
        <w:rPr>
          <w:rStyle w:val="FootnoteReference"/>
          <w:sz w:val="20"/>
          <w:lang w:val="en-GB" w:eastAsia="x-none"/>
        </w:rPr>
        <w:footnoteRef/>
      </w:r>
      <w:r w:rsidRPr="007733DC">
        <w:rPr>
          <w:rStyle w:val="FootnoteReference"/>
          <w:sz w:val="20"/>
          <w:lang w:val="en-GB" w:eastAsia="x-none"/>
        </w:rPr>
        <w:t xml:space="preserve">  </w:t>
      </w:r>
      <w:r w:rsidRPr="007733DC">
        <w:rPr>
          <w:sz w:val="20"/>
          <w:lang w:val="en-GB" w:eastAsia="x-none"/>
        </w:rPr>
        <w:tab/>
      </w:r>
      <w:r w:rsidRPr="007733DC">
        <w:rPr>
          <w:rStyle w:val="FootnoteReference"/>
          <w:sz w:val="20"/>
          <w:vertAlign w:val="baseline"/>
          <w:lang w:val="en-GB" w:eastAsia="x-none"/>
        </w:rPr>
        <w:t>上訴卷宗</w:t>
      </w:r>
      <w:r w:rsidRPr="007733DC">
        <w:rPr>
          <w:rStyle w:val="FootnoteReference"/>
          <w:sz w:val="20"/>
          <w:vertAlign w:val="baseline"/>
          <w:lang w:val="en-GB" w:eastAsia="x-none"/>
        </w:rPr>
        <w:t>41</w:t>
      </w:r>
      <w:proofErr w:type="spellStart"/>
      <w:r w:rsidRPr="007733DC">
        <w:rPr>
          <w:rStyle w:val="FootnoteReference"/>
          <w:sz w:val="20"/>
          <w:vertAlign w:val="baseline"/>
          <w:lang w:val="en-GB" w:eastAsia="x-none"/>
        </w:rPr>
        <w:t>頁</w:t>
      </w:r>
      <w:r w:rsidRPr="007733DC">
        <w:rPr>
          <w:rStyle w:val="FootnoteReference"/>
          <w:sz w:val="20"/>
          <w:vertAlign w:val="baseline"/>
          <w:lang w:val="en-GB" w:eastAsia="x-none"/>
        </w:rPr>
        <w:t>D</w:t>
      </w:r>
      <w:r w:rsidRPr="007733DC">
        <w:rPr>
          <w:rStyle w:val="FootnoteReference"/>
          <w:sz w:val="20"/>
          <w:vertAlign w:val="baseline"/>
          <w:lang w:val="en-GB" w:eastAsia="x-none"/>
        </w:rPr>
        <w:t>至</w:t>
      </w:r>
      <w:r w:rsidRPr="007733DC">
        <w:rPr>
          <w:rStyle w:val="FootnoteReference"/>
          <w:sz w:val="20"/>
          <w:vertAlign w:val="baseline"/>
          <w:lang w:val="en-GB" w:eastAsia="x-none"/>
        </w:rPr>
        <w:t>K</w:t>
      </w:r>
      <w:proofErr w:type="spellEnd"/>
      <w:r w:rsidRPr="007733DC">
        <w:rPr>
          <w:rStyle w:val="FootnoteReference"/>
          <w:sz w:val="20"/>
          <w:vertAlign w:val="baseline"/>
          <w:lang w:val="en-GB" w:eastAsia="x-none"/>
        </w:rPr>
        <w:t>。</w:t>
      </w:r>
      <w:r w:rsidRPr="007733DC">
        <w:rPr>
          <w:rStyle w:val="FootnoteReference"/>
          <w:sz w:val="20"/>
          <w:vertAlign w:val="baseline"/>
          <w:lang w:val="en-GB" w:eastAsia="x-none"/>
        </w:rPr>
        <w:t xml:space="preserve">  </w:t>
      </w:r>
    </w:p>
  </w:footnote>
  <w:footnote w:id="9">
    <w:p w:rsidR="009E3F24" w:rsidRPr="007733DC" w:rsidRDefault="009E3F24" w:rsidP="00BB5AEB">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7733DC">
        <w:rPr>
          <w:rStyle w:val="FootnoteReference"/>
          <w:sz w:val="20"/>
          <w:lang w:val="en-GB" w:eastAsia="x-none"/>
        </w:rPr>
        <w:footnoteRef/>
      </w:r>
      <w:r w:rsidRPr="007733DC">
        <w:rPr>
          <w:rStyle w:val="FootnoteReference"/>
          <w:sz w:val="20"/>
          <w:lang w:val="en-GB" w:eastAsia="x-none"/>
        </w:rPr>
        <w:t xml:space="preserve">  </w:t>
      </w:r>
      <w:r w:rsidRPr="007733DC">
        <w:rPr>
          <w:sz w:val="20"/>
          <w:lang w:val="en-GB" w:eastAsia="x-none"/>
        </w:rPr>
        <w:tab/>
      </w:r>
      <w:r w:rsidRPr="007733DC">
        <w:rPr>
          <w:rStyle w:val="FootnoteReference"/>
          <w:sz w:val="20"/>
          <w:vertAlign w:val="baseline"/>
          <w:lang w:val="en-GB" w:eastAsia="x-none"/>
        </w:rPr>
        <w:t>上訴卷宗</w:t>
      </w:r>
      <w:r w:rsidRPr="007733DC">
        <w:rPr>
          <w:rStyle w:val="FootnoteReference"/>
          <w:sz w:val="20"/>
          <w:vertAlign w:val="baseline"/>
          <w:lang w:val="en-GB" w:eastAsia="x-none"/>
        </w:rPr>
        <w:t>41</w:t>
      </w:r>
      <w:proofErr w:type="spellStart"/>
      <w:r w:rsidRPr="007733DC">
        <w:rPr>
          <w:rStyle w:val="FootnoteReference"/>
          <w:sz w:val="20"/>
          <w:vertAlign w:val="baseline"/>
          <w:lang w:val="en-GB" w:eastAsia="x-none"/>
        </w:rPr>
        <w:t>頁</w:t>
      </w:r>
      <w:r w:rsidRPr="007733DC">
        <w:rPr>
          <w:rStyle w:val="FootnoteReference"/>
          <w:sz w:val="20"/>
          <w:vertAlign w:val="baseline"/>
          <w:lang w:val="en-GB" w:eastAsia="x-none"/>
        </w:rPr>
        <w:t>D</w:t>
      </w:r>
      <w:r w:rsidRPr="007733DC">
        <w:rPr>
          <w:rStyle w:val="FootnoteReference"/>
          <w:sz w:val="20"/>
          <w:vertAlign w:val="baseline"/>
          <w:lang w:val="en-GB" w:eastAsia="x-none"/>
        </w:rPr>
        <w:t>至</w:t>
      </w:r>
      <w:r w:rsidRPr="007733DC">
        <w:rPr>
          <w:rStyle w:val="FootnoteReference"/>
          <w:sz w:val="20"/>
          <w:vertAlign w:val="baseline"/>
          <w:lang w:val="en-GB" w:eastAsia="x-none"/>
        </w:rPr>
        <w:t>N</w:t>
      </w:r>
      <w:proofErr w:type="spellEnd"/>
      <w:r w:rsidRPr="007733DC">
        <w:rPr>
          <w:rStyle w:val="FootnoteReference"/>
          <w:sz w:val="20"/>
          <w:vertAlign w:val="baseline"/>
          <w:lang w:val="en-GB" w:eastAsia="x-none"/>
        </w:rPr>
        <w:t>。</w:t>
      </w:r>
    </w:p>
  </w:footnote>
  <w:footnote w:id="10">
    <w:p w:rsidR="009E3F24" w:rsidRPr="007733DC" w:rsidRDefault="009E3F24" w:rsidP="00BB5AEB">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7733DC">
        <w:rPr>
          <w:rStyle w:val="FootnoteReference"/>
          <w:sz w:val="20"/>
          <w:lang w:val="en-GB" w:eastAsia="x-none"/>
        </w:rPr>
        <w:footnoteRef/>
      </w:r>
      <w:r w:rsidRPr="007733DC">
        <w:rPr>
          <w:rStyle w:val="FootnoteReference"/>
          <w:sz w:val="20"/>
          <w:lang w:val="en-GB" w:eastAsia="x-none"/>
        </w:rPr>
        <w:t xml:space="preserve"> </w:t>
      </w:r>
      <w:r w:rsidRPr="007733DC">
        <w:rPr>
          <w:sz w:val="20"/>
          <w:lang w:val="en-GB" w:eastAsia="x-none"/>
        </w:rPr>
        <w:tab/>
      </w:r>
      <w:r w:rsidRPr="007733DC">
        <w:rPr>
          <w:rStyle w:val="FootnoteReference"/>
          <w:sz w:val="20"/>
          <w:vertAlign w:val="baseline"/>
          <w:lang w:val="en-GB" w:eastAsia="x-none"/>
        </w:rPr>
        <w:t>上訴卷宗</w:t>
      </w:r>
      <w:r w:rsidRPr="007733DC">
        <w:rPr>
          <w:rStyle w:val="FootnoteReference"/>
          <w:sz w:val="20"/>
          <w:vertAlign w:val="baseline"/>
          <w:lang w:val="en-GB" w:eastAsia="x-none"/>
        </w:rPr>
        <w:t>41</w:t>
      </w:r>
      <w:proofErr w:type="spellStart"/>
      <w:r w:rsidRPr="007733DC">
        <w:rPr>
          <w:rStyle w:val="FootnoteReference"/>
          <w:sz w:val="20"/>
          <w:vertAlign w:val="baseline"/>
          <w:lang w:val="en-GB" w:eastAsia="x-none"/>
        </w:rPr>
        <w:t>頁</w:t>
      </w:r>
      <w:r w:rsidRPr="007733DC">
        <w:rPr>
          <w:rStyle w:val="FootnoteReference"/>
          <w:sz w:val="20"/>
          <w:vertAlign w:val="baseline"/>
          <w:lang w:val="en-GB" w:eastAsia="x-none"/>
        </w:rPr>
        <w:t>O</w:t>
      </w:r>
      <w:r w:rsidRPr="007733DC">
        <w:rPr>
          <w:rStyle w:val="FootnoteReference"/>
          <w:sz w:val="20"/>
          <w:vertAlign w:val="baseline"/>
          <w:lang w:val="en-GB" w:eastAsia="x-none"/>
        </w:rPr>
        <w:t>至</w:t>
      </w:r>
      <w:r w:rsidRPr="007733DC">
        <w:rPr>
          <w:rStyle w:val="FootnoteReference"/>
          <w:sz w:val="20"/>
          <w:vertAlign w:val="baseline"/>
          <w:lang w:val="en-GB" w:eastAsia="x-none"/>
        </w:rPr>
        <w:t>U</w:t>
      </w:r>
      <w:proofErr w:type="spellEnd"/>
      <w:r w:rsidRPr="007733DC">
        <w:rPr>
          <w:rStyle w:val="FootnoteReference"/>
          <w:sz w:val="20"/>
          <w:vertAlign w:val="baseline"/>
          <w:lang w:val="en-GB" w:eastAsia="x-none"/>
        </w:rPr>
        <w:t>。</w:t>
      </w:r>
    </w:p>
  </w:footnote>
  <w:footnote w:id="11">
    <w:p w:rsidR="009E3F24" w:rsidRPr="007733DC" w:rsidRDefault="009E3F24" w:rsidP="00BB5AEB">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7733DC">
        <w:rPr>
          <w:rStyle w:val="FootnoteReference"/>
          <w:sz w:val="20"/>
          <w:lang w:val="en-GB" w:eastAsia="x-none"/>
        </w:rPr>
        <w:footnoteRef/>
      </w:r>
      <w:r w:rsidRPr="007733DC">
        <w:rPr>
          <w:rStyle w:val="FootnoteReference"/>
          <w:sz w:val="20"/>
          <w:lang w:val="en-GB" w:eastAsia="x-none"/>
        </w:rPr>
        <w:t xml:space="preserve"> </w:t>
      </w:r>
      <w:r w:rsidRPr="007733DC">
        <w:rPr>
          <w:sz w:val="20"/>
          <w:lang w:val="en-GB" w:eastAsia="x-none"/>
        </w:rPr>
        <w:tab/>
      </w:r>
      <w:proofErr w:type="spellStart"/>
      <w:r w:rsidRPr="007733DC">
        <w:rPr>
          <w:rStyle w:val="FootnoteReference"/>
          <w:i/>
          <w:sz w:val="20"/>
          <w:vertAlign w:val="baseline"/>
          <w:lang w:val="en-GB" w:eastAsia="x-none"/>
        </w:rPr>
        <w:t>律政司司長</w:t>
      </w:r>
      <w:proofErr w:type="spellEnd"/>
      <w:r w:rsidRPr="007733DC">
        <w:rPr>
          <w:rStyle w:val="FootnoteReference"/>
          <w:i/>
          <w:sz w:val="20"/>
          <w:vertAlign w:val="baseline"/>
          <w:lang w:val="en-GB" w:eastAsia="x-none"/>
        </w:rPr>
        <w:t xml:space="preserve"> </w:t>
      </w:r>
      <w:r w:rsidRPr="007733DC">
        <w:rPr>
          <w:rStyle w:val="FootnoteReference"/>
          <w:i/>
          <w:sz w:val="20"/>
          <w:vertAlign w:val="baseline"/>
          <w:lang w:val="en-GB" w:eastAsia="x-none"/>
        </w:rPr>
        <w:t>訴</w:t>
      </w:r>
      <w:r w:rsidRPr="007733DC">
        <w:rPr>
          <w:rStyle w:val="FootnoteReference"/>
          <w:i/>
          <w:sz w:val="20"/>
          <w:vertAlign w:val="baseline"/>
          <w:lang w:val="en-GB" w:eastAsia="x-none"/>
        </w:rPr>
        <w:t xml:space="preserve"> </w:t>
      </w:r>
      <w:proofErr w:type="spellStart"/>
      <w:r w:rsidRPr="007733DC">
        <w:rPr>
          <w:rStyle w:val="FootnoteReference"/>
          <w:i/>
          <w:sz w:val="20"/>
          <w:vertAlign w:val="baseline"/>
          <w:lang w:val="en-GB" w:eastAsia="x-none"/>
        </w:rPr>
        <w:t>黃之鋒</w:t>
      </w:r>
      <w:proofErr w:type="spellEnd"/>
      <w:r w:rsidRPr="007733DC">
        <w:rPr>
          <w:rStyle w:val="FootnoteReference"/>
          <w:sz w:val="20"/>
          <w:vertAlign w:val="baseline"/>
          <w:lang w:val="en-GB" w:eastAsia="x-none"/>
        </w:rPr>
        <w:t xml:space="preserve"> (2018) 21 HKCFAR 35</w:t>
      </w:r>
      <w:r w:rsidRPr="007733DC">
        <w:rPr>
          <w:rStyle w:val="FootnoteReference"/>
          <w:sz w:val="20"/>
          <w:vertAlign w:val="baseline"/>
          <w:lang w:val="en-GB" w:eastAsia="x-none"/>
        </w:rPr>
        <w:t>（判詞第</w:t>
      </w:r>
      <w:r w:rsidRPr="007733DC">
        <w:rPr>
          <w:rStyle w:val="FootnoteReference"/>
          <w:sz w:val="20"/>
          <w:vertAlign w:val="baseline"/>
          <w:lang w:val="en-GB" w:eastAsia="x-none"/>
        </w:rPr>
        <w:t>123(4)</w:t>
      </w:r>
      <w:r w:rsidRPr="007733DC">
        <w:rPr>
          <w:rStyle w:val="FootnoteReference"/>
          <w:sz w:val="20"/>
          <w:vertAlign w:val="baseline"/>
          <w:lang w:val="en-GB" w:eastAsia="x-none"/>
        </w:rPr>
        <w:t>段）。</w:t>
      </w:r>
    </w:p>
  </w:footnote>
  <w:footnote w:id="12">
    <w:p w:rsidR="009E3F24" w:rsidRPr="007733DC" w:rsidRDefault="009E3F24" w:rsidP="00BB5AEB">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7733DC">
        <w:rPr>
          <w:rStyle w:val="FootnoteReference"/>
          <w:sz w:val="20"/>
          <w:lang w:val="en-GB" w:eastAsia="x-none"/>
        </w:rPr>
        <w:footnoteRef/>
      </w:r>
      <w:r w:rsidRPr="007733DC">
        <w:rPr>
          <w:rStyle w:val="FootnoteReference"/>
          <w:sz w:val="20"/>
          <w:lang w:val="en-GB" w:eastAsia="x-none"/>
        </w:rPr>
        <w:t xml:space="preserve"> </w:t>
      </w:r>
      <w:r w:rsidRPr="007733DC">
        <w:rPr>
          <w:sz w:val="20"/>
          <w:lang w:val="en-GB" w:eastAsia="x-none"/>
        </w:rPr>
        <w:tab/>
      </w:r>
      <w:r w:rsidRPr="007733DC">
        <w:rPr>
          <w:rStyle w:val="FootnoteReference"/>
          <w:sz w:val="20"/>
          <w:vertAlign w:val="baseline"/>
          <w:lang w:val="en-GB" w:eastAsia="x-none"/>
        </w:rPr>
        <w:t>上訴卷宗</w:t>
      </w:r>
      <w:r w:rsidRPr="007733DC">
        <w:rPr>
          <w:rStyle w:val="FootnoteReference"/>
          <w:sz w:val="20"/>
          <w:vertAlign w:val="baseline"/>
          <w:lang w:val="en-GB" w:eastAsia="x-none"/>
        </w:rPr>
        <w:t>42</w:t>
      </w:r>
      <w:proofErr w:type="spellStart"/>
      <w:r w:rsidRPr="007733DC">
        <w:rPr>
          <w:rStyle w:val="FootnoteReference"/>
          <w:sz w:val="20"/>
          <w:vertAlign w:val="baseline"/>
          <w:lang w:val="en-GB" w:eastAsia="x-none"/>
        </w:rPr>
        <w:t>頁</w:t>
      </w:r>
      <w:r w:rsidRPr="007733DC">
        <w:rPr>
          <w:rStyle w:val="FootnoteReference"/>
          <w:sz w:val="20"/>
          <w:vertAlign w:val="baseline"/>
          <w:lang w:val="en-GB" w:eastAsia="x-none"/>
        </w:rPr>
        <w:t>D</w:t>
      </w:r>
      <w:r w:rsidRPr="007733DC">
        <w:rPr>
          <w:rStyle w:val="FootnoteReference"/>
          <w:sz w:val="20"/>
          <w:vertAlign w:val="baseline"/>
          <w:lang w:val="en-GB" w:eastAsia="x-none"/>
        </w:rPr>
        <w:t>至</w:t>
      </w:r>
      <w:r w:rsidRPr="007733DC">
        <w:rPr>
          <w:rStyle w:val="FootnoteReference"/>
          <w:sz w:val="20"/>
          <w:vertAlign w:val="baseline"/>
          <w:lang w:val="en-GB" w:eastAsia="x-none"/>
        </w:rPr>
        <w:t>K</w:t>
      </w:r>
      <w:proofErr w:type="spellEnd"/>
      <w:r w:rsidRPr="007733DC">
        <w:rPr>
          <w:rStyle w:val="FootnoteReference"/>
          <w:sz w:val="20"/>
          <w:vertAlign w:val="baseline"/>
          <w:lang w:val="en-GB" w:eastAsia="x-none"/>
        </w:rPr>
        <w:t>。</w:t>
      </w:r>
    </w:p>
  </w:footnote>
  <w:footnote w:id="13">
    <w:p w:rsidR="009E3F24" w:rsidRPr="007733DC" w:rsidRDefault="009E3F24" w:rsidP="00BB5AEB">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7733DC">
        <w:rPr>
          <w:rStyle w:val="FootnoteReference"/>
          <w:sz w:val="20"/>
          <w:lang w:val="en-GB" w:eastAsia="x-none"/>
        </w:rPr>
        <w:footnoteRef/>
      </w:r>
      <w:r w:rsidRPr="007733DC">
        <w:rPr>
          <w:rStyle w:val="FootnoteReference"/>
          <w:sz w:val="20"/>
          <w:lang w:val="en-GB" w:eastAsia="x-none"/>
        </w:rPr>
        <w:t xml:space="preserve"> </w:t>
      </w:r>
      <w:r w:rsidRPr="007733DC">
        <w:rPr>
          <w:sz w:val="20"/>
          <w:lang w:val="en-GB" w:eastAsia="x-none"/>
        </w:rPr>
        <w:tab/>
      </w:r>
      <w:r w:rsidRPr="007733DC">
        <w:rPr>
          <w:rStyle w:val="FootnoteReference"/>
          <w:sz w:val="20"/>
          <w:vertAlign w:val="baseline"/>
          <w:lang w:val="en-GB" w:eastAsia="x-none"/>
        </w:rPr>
        <w:t>上訴卷宗</w:t>
      </w:r>
      <w:r w:rsidRPr="007733DC">
        <w:rPr>
          <w:rStyle w:val="FootnoteReference"/>
          <w:sz w:val="20"/>
          <w:vertAlign w:val="baseline"/>
          <w:lang w:val="en-GB" w:eastAsia="x-none"/>
        </w:rPr>
        <w:t>43</w:t>
      </w:r>
      <w:proofErr w:type="spellStart"/>
      <w:r w:rsidRPr="007733DC">
        <w:rPr>
          <w:rStyle w:val="FootnoteReference"/>
          <w:sz w:val="20"/>
          <w:vertAlign w:val="baseline"/>
          <w:lang w:val="en-GB" w:eastAsia="x-none"/>
        </w:rPr>
        <w:t>頁</w:t>
      </w:r>
      <w:r w:rsidRPr="007733DC">
        <w:rPr>
          <w:rStyle w:val="FootnoteReference"/>
          <w:sz w:val="20"/>
          <w:vertAlign w:val="baseline"/>
          <w:lang w:val="en-GB" w:eastAsia="x-none"/>
        </w:rPr>
        <w:t>M</w:t>
      </w:r>
      <w:proofErr w:type="spellEnd"/>
      <w:r w:rsidRPr="007733DC">
        <w:rPr>
          <w:rStyle w:val="FootnoteReference"/>
          <w:sz w:val="20"/>
          <w:vertAlign w:val="baseline"/>
          <w:lang w:val="en-GB" w:eastAsia="x-none"/>
        </w:rPr>
        <w:t>至</w:t>
      </w:r>
      <w:r w:rsidRPr="007733DC">
        <w:rPr>
          <w:rStyle w:val="FootnoteReference"/>
          <w:sz w:val="20"/>
          <w:vertAlign w:val="baseline"/>
          <w:lang w:val="en-GB" w:eastAsia="x-none"/>
        </w:rPr>
        <w:t>44</w:t>
      </w:r>
      <w:proofErr w:type="spellStart"/>
      <w:r w:rsidRPr="007733DC">
        <w:rPr>
          <w:rStyle w:val="FootnoteReference"/>
          <w:sz w:val="20"/>
          <w:vertAlign w:val="baseline"/>
          <w:lang w:val="en-GB" w:eastAsia="x-none"/>
        </w:rPr>
        <w:t>頁</w:t>
      </w:r>
      <w:r w:rsidRPr="007733DC">
        <w:rPr>
          <w:rStyle w:val="FootnoteReference"/>
          <w:sz w:val="20"/>
          <w:vertAlign w:val="baseline"/>
          <w:lang w:val="en-GB" w:eastAsia="x-none"/>
        </w:rPr>
        <w:t>B</w:t>
      </w:r>
      <w:proofErr w:type="spellEnd"/>
      <w:r w:rsidRPr="007733DC">
        <w:rPr>
          <w:rStyle w:val="FootnoteReference"/>
          <w:sz w:val="20"/>
          <w:vertAlign w:val="baseline"/>
          <w:lang w:val="en-GB" w:eastAsia="x-none"/>
        </w:rPr>
        <w:t>。</w:t>
      </w:r>
    </w:p>
  </w:footnote>
  <w:footnote w:id="14">
    <w:p w:rsidR="009E3F24" w:rsidRPr="007733DC" w:rsidRDefault="009E3F24" w:rsidP="00BB5AEB">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7733DC">
        <w:rPr>
          <w:rStyle w:val="FootnoteReference"/>
          <w:sz w:val="20"/>
          <w:lang w:val="en-GB" w:eastAsia="x-none"/>
        </w:rPr>
        <w:footnoteRef/>
      </w:r>
      <w:r w:rsidRPr="007733DC">
        <w:rPr>
          <w:rStyle w:val="FootnoteReference"/>
          <w:sz w:val="20"/>
          <w:lang w:val="en-GB" w:eastAsia="x-none"/>
        </w:rPr>
        <w:t xml:space="preserve"> </w:t>
      </w:r>
      <w:r w:rsidRPr="007733DC">
        <w:rPr>
          <w:sz w:val="20"/>
          <w:lang w:val="en-GB" w:eastAsia="x-none"/>
        </w:rPr>
        <w:tab/>
      </w:r>
      <w:r w:rsidRPr="007733DC">
        <w:rPr>
          <w:rStyle w:val="FootnoteReference"/>
          <w:sz w:val="20"/>
          <w:vertAlign w:val="baseline"/>
          <w:lang w:val="en-GB" w:eastAsia="x-none"/>
        </w:rPr>
        <w:t>上訴卷宗</w:t>
      </w:r>
      <w:r w:rsidRPr="007733DC">
        <w:rPr>
          <w:rStyle w:val="FootnoteReference"/>
          <w:sz w:val="20"/>
          <w:vertAlign w:val="baseline"/>
          <w:lang w:val="en-GB" w:eastAsia="x-none"/>
        </w:rPr>
        <w:t>49</w:t>
      </w:r>
      <w:r w:rsidRPr="007733DC">
        <w:rPr>
          <w:rStyle w:val="FootnoteReference"/>
          <w:sz w:val="20"/>
          <w:vertAlign w:val="baseline"/>
          <w:lang w:val="en-GB" w:eastAsia="x-none"/>
        </w:rPr>
        <w:t>頁。</w:t>
      </w:r>
    </w:p>
  </w:footnote>
  <w:footnote w:id="15">
    <w:p w:rsidR="009E3F24" w:rsidRPr="007733DC" w:rsidRDefault="009E3F24" w:rsidP="00BB5AEB">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7733DC">
        <w:rPr>
          <w:rStyle w:val="FootnoteReference"/>
          <w:sz w:val="20"/>
          <w:lang w:val="en-GB" w:eastAsia="x-none"/>
        </w:rPr>
        <w:footnoteRef/>
      </w:r>
      <w:r w:rsidRPr="007733DC">
        <w:rPr>
          <w:rStyle w:val="FootnoteReference"/>
          <w:sz w:val="20"/>
          <w:lang w:val="en-GB" w:eastAsia="x-none"/>
        </w:rPr>
        <w:t xml:space="preserve"> </w:t>
      </w:r>
      <w:r w:rsidRPr="007733DC">
        <w:rPr>
          <w:sz w:val="20"/>
          <w:lang w:val="en-GB" w:eastAsia="x-none"/>
        </w:rPr>
        <w:tab/>
      </w:r>
      <w:r w:rsidRPr="007733DC">
        <w:rPr>
          <w:rStyle w:val="FootnoteReference"/>
          <w:sz w:val="20"/>
          <w:vertAlign w:val="baseline"/>
          <w:lang w:val="en-GB" w:eastAsia="x-none"/>
        </w:rPr>
        <w:t>上訴卷宗</w:t>
      </w:r>
      <w:r w:rsidRPr="007733DC">
        <w:rPr>
          <w:rStyle w:val="FootnoteReference"/>
          <w:sz w:val="20"/>
          <w:vertAlign w:val="baseline"/>
          <w:lang w:val="en-GB" w:eastAsia="x-none"/>
        </w:rPr>
        <w:t>44</w:t>
      </w:r>
      <w:proofErr w:type="spellStart"/>
      <w:r w:rsidRPr="007733DC">
        <w:rPr>
          <w:rStyle w:val="FootnoteReference"/>
          <w:sz w:val="20"/>
          <w:vertAlign w:val="baseline"/>
          <w:lang w:val="en-GB" w:eastAsia="x-none"/>
        </w:rPr>
        <w:t>頁</w:t>
      </w:r>
      <w:r w:rsidRPr="007733DC">
        <w:rPr>
          <w:rStyle w:val="FootnoteReference"/>
          <w:sz w:val="20"/>
          <w:vertAlign w:val="baseline"/>
          <w:lang w:val="en-GB" w:eastAsia="x-none"/>
        </w:rPr>
        <w:t>O</w:t>
      </w:r>
      <w:proofErr w:type="spellEnd"/>
      <w:r w:rsidRPr="007733DC">
        <w:rPr>
          <w:rStyle w:val="FootnoteReference"/>
          <w:sz w:val="20"/>
          <w:vertAlign w:val="baseline"/>
          <w:lang w:val="en-GB" w:eastAsia="x-none"/>
        </w:rPr>
        <w:t>至</w:t>
      </w:r>
      <w:r w:rsidRPr="007733DC">
        <w:rPr>
          <w:rStyle w:val="FootnoteReference"/>
          <w:sz w:val="20"/>
          <w:vertAlign w:val="baseline"/>
          <w:lang w:val="en-GB" w:eastAsia="x-none"/>
        </w:rPr>
        <w:t>45</w:t>
      </w:r>
      <w:proofErr w:type="spellStart"/>
      <w:r w:rsidRPr="007733DC">
        <w:rPr>
          <w:rStyle w:val="FootnoteReference"/>
          <w:sz w:val="20"/>
          <w:vertAlign w:val="baseline"/>
          <w:lang w:val="en-GB" w:eastAsia="x-none"/>
        </w:rPr>
        <w:t>頁</w:t>
      </w:r>
      <w:r w:rsidRPr="007733DC">
        <w:rPr>
          <w:rStyle w:val="FootnoteReference"/>
          <w:sz w:val="20"/>
          <w:vertAlign w:val="baseline"/>
          <w:lang w:val="en-GB" w:eastAsia="x-none"/>
        </w:rPr>
        <w:t>D</w:t>
      </w:r>
      <w:proofErr w:type="spellEnd"/>
      <w:r w:rsidRPr="007733DC">
        <w:rPr>
          <w:rStyle w:val="FootnoteReference"/>
          <w:sz w:val="20"/>
          <w:vertAlign w:val="baseline"/>
          <w:lang w:val="en-GB" w:eastAsia="x-none"/>
        </w:rPr>
        <w:t>。</w:t>
      </w:r>
    </w:p>
  </w:footnote>
  <w:footnote w:id="16">
    <w:p w:rsidR="009E3F24" w:rsidRPr="007733DC" w:rsidRDefault="009E3F24" w:rsidP="00BB5AEB">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7733DC">
        <w:rPr>
          <w:rStyle w:val="FootnoteReference"/>
          <w:sz w:val="20"/>
          <w:lang w:val="en-GB" w:eastAsia="x-none"/>
        </w:rPr>
        <w:footnoteRef/>
      </w:r>
      <w:r w:rsidRPr="007733DC">
        <w:rPr>
          <w:rStyle w:val="FootnoteReference"/>
          <w:sz w:val="20"/>
          <w:lang w:val="en-GB" w:eastAsia="x-none"/>
        </w:rPr>
        <w:t xml:space="preserve"> </w:t>
      </w:r>
      <w:r w:rsidRPr="007733DC">
        <w:rPr>
          <w:sz w:val="20"/>
          <w:lang w:val="en-GB" w:eastAsia="x-none"/>
        </w:rPr>
        <w:tab/>
      </w:r>
      <w:r w:rsidRPr="007733DC">
        <w:rPr>
          <w:rStyle w:val="FootnoteReference"/>
          <w:sz w:val="20"/>
          <w:vertAlign w:val="baseline"/>
          <w:lang w:val="en-GB" w:eastAsia="x-none"/>
        </w:rPr>
        <w:t>上訴卷宗</w:t>
      </w:r>
      <w:r w:rsidRPr="007733DC">
        <w:rPr>
          <w:rStyle w:val="FootnoteReference"/>
          <w:sz w:val="20"/>
          <w:vertAlign w:val="baseline"/>
          <w:lang w:val="en-GB" w:eastAsia="x-none"/>
        </w:rPr>
        <w:t>46</w:t>
      </w:r>
      <w:proofErr w:type="spellStart"/>
      <w:r w:rsidRPr="007733DC">
        <w:rPr>
          <w:rStyle w:val="FootnoteReference"/>
          <w:sz w:val="20"/>
          <w:vertAlign w:val="baseline"/>
          <w:lang w:val="en-GB" w:eastAsia="x-none"/>
        </w:rPr>
        <w:t>頁</w:t>
      </w:r>
      <w:r w:rsidRPr="007733DC">
        <w:rPr>
          <w:rStyle w:val="FootnoteReference"/>
          <w:sz w:val="20"/>
          <w:vertAlign w:val="baseline"/>
          <w:lang w:val="en-GB" w:eastAsia="x-none"/>
        </w:rPr>
        <w:t>N</w:t>
      </w:r>
      <w:proofErr w:type="spellEnd"/>
      <w:r w:rsidRPr="007733DC">
        <w:rPr>
          <w:rStyle w:val="FootnoteReference"/>
          <w:sz w:val="20"/>
          <w:vertAlign w:val="baseline"/>
          <w:lang w:val="en-GB" w:eastAsia="x-none"/>
        </w:rPr>
        <w:t>至</w:t>
      </w:r>
      <w:r w:rsidRPr="007733DC">
        <w:rPr>
          <w:rStyle w:val="FootnoteReference"/>
          <w:sz w:val="20"/>
          <w:vertAlign w:val="baseline"/>
          <w:lang w:val="en-GB" w:eastAsia="x-none"/>
        </w:rPr>
        <w:t>47</w:t>
      </w:r>
      <w:proofErr w:type="spellStart"/>
      <w:r w:rsidRPr="007733DC">
        <w:rPr>
          <w:rStyle w:val="FootnoteReference"/>
          <w:sz w:val="20"/>
          <w:vertAlign w:val="baseline"/>
          <w:lang w:val="en-GB" w:eastAsia="x-none"/>
        </w:rPr>
        <w:t>頁</w:t>
      </w:r>
      <w:r w:rsidRPr="007733DC">
        <w:rPr>
          <w:rStyle w:val="FootnoteReference"/>
          <w:sz w:val="20"/>
          <w:vertAlign w:val="baseline"/>
          <w:lang w:val="en-GB" w:eastAsia="x-none"/>
        </w:rPr>
        <w:t>A</w:t>
      </w:r>
      <w:proofErr w:type="spellEnd"/>
      <w:r w:rsidRPr="007733DC">
        <w:rPr>
          <w:rStyle w:val="FootnoteReference"/>
          <w:sz w:val="20"/>
          <w:vertAlign w:val="baseline"/>
          <w:lang w:val="en-GB" w:eastAsia="x-none"/>
        </w:rPr>
        <w:t>。</w:t>
      </w:r>
    </w:p>
  </w:footnote>
  <w:footnote w:id="17">
    <w:p w:rsidR="009E3F24" w:rsidRPr="007733DC" w:rsidRDefault="009E3F24" w:rsidP="00BB5AEB">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7733DC">
        <w:rPr>
          <w:rStyle w:val="FootnoteReference"/>
          <w:sz w:val="20"/>
          <w:lang w:val="en-GB" w:eastAsia="x-none"/>
        </w:rPr>
        <w:footnoteRef/>
      </w:r>
      <w:r w:rsidRPr="007733DC">
        <w:rPr>
          <w:rStyle w:val="FootnoteReference"/>
          <w:sz w:val="20"/>
          <w:lang w:val="en-GB" w:eastAsia="x-none"/>
        </w:rPr>
        <w:t xml:space="preserve"> </w:t>
      </w:r>
      <w:r w:rsidRPr="007733DC">
        <w:rPr>
          <w:sz w:val="20"/>
          <w:lang w:val="en-GB" w:eastAsia="x-none"/>
        </w:rPr>
        <w:tab/>
      </w:r>
      <w:r w:rsidRPr="007733DC">
        <w:rPr>
          <w:rStyle w:val="FootnoteReference"/>
          <w:sz w:val="20"/>
          <w:vertAlign w:val="baseline"/>
          <w:lang w:val="en-GB" w:eastAsia="x-none"/>
        </w:rPr>
        <w:t>上訴卷宗</w:t>
      </w:r>
      <w:r w:rsidRPr="007733DC">
        <w:rPr>
          <w:rStyle w:val="FootnoteReference"/>
          <w:sz w:val="20"/>
          <w:vertAlign w:val="baseline"/>
          <w:lang w:val="en-GB" w:eastAsia="x-none"/>
        </w:rPr>
        <w:t>47</w:t>
      </w:r>
      <w:proofErr w:type="spellStart"/>
      <w:r w:rsidRPr="007733DC">
        <w:rPr>
          <w:rStyle w:val="FootnoteReference"/>
          <w:sz w:val="20"/>
          <w:vertAlign w:val="baseline"/>
          <w:lang w:val="en-GB" w:eastAsia="x-none"/>
        </w:rPr>
        <w:t>頁</w:t>
      </w:r>
      <w:r w:rsidRPr="007733DC">
        <w:rPr>
          <w:rStyle w:val="FootnoteReference"/>
          <w:sz w:val="20"/>
          <w:vertAlign w:val="baseline"/>
          <w:lang w:val="en-GB" w:eastAsia="x-none"/>
        </w:rPr>
        <w:t>B</w:t>
      </w:r>
      <w:r w:rsidRPr="007733DC">
        <w:rPr>
          <w:rStyle w:val="FootnoteReference"/>
          <w:sz w:val="20"/>
          <w:vertAlign w:val="baseline"/>
          <w:lang w:val="en-GB" w:eastAsia="x-none"/>
        </w:rPr>
        <w:t>至</w:t>
      </w:r>
      <w:r w:rsidRPr="007733DC">
        <w:rPr>
          <w:rStyle w:val="FootnoteReference"/>
          <w:sz w:val="20"/>
          <w:vertAlign w:val="baseline"/>
          <w:lang w:val="en-GB" w:eastAsia="x-none"/>
        </w:rPr>
        <w:t>D</w:t>
      </w:r>
      <w:proofErr w:type="spellEnd"/>
      <w:r w:rsidRPr="007733DC">
        <w:rPr>
          <w:rStyle w:val="FootnoteReference"/>
          <w:sz w:val="20"/>
          <w:vertAlign w:val="baseline"/>
          <w:lang w:val="en-GB" w:eastAsia="x-none"/>
        </w:rPr>
        <w:t>。</w:t>
      </w:r>
    </w:p>
  </w:footnote>
  <w:footnote w:id="18">
    <w:p w:rsidR="009E3F24" w:rsidRPr="007733DC" w:rsidRDefault="009E3F24" w:rsidP="00E7609B">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7733DC">
        <w:rPr>
          <w:rStyle w:val="FootnoteReference"/>
          <w:sz w:val="20"/>
          <w:lang w:val="en-GB" w:eastAsia="x-none"/>
        </w:rPr>
        <w:footnoteRef/>
      </w:r>
      <w:r w:rsidRPr="007733DC">
        <w:rPr>
          <w:rStyle w:val="FootnoteReference"/>
          <w:sz w:val="20"/>
          <w:lang w:val="en-GB" w:eastAsia="x-none"/>
        </w:rPr>
        <w:t xml:space="preserve"> </w:t>
      </w:r>
      <w:r w:rsidRPr="007733DC">
        <w:rPr>
          <w:rStyle w:val="FootnoteReference"/>
          <w:sz w:val="20"/>
          <w:lang w:val="en-GB" w:eastAsia="x-none"/>
        </w:rPr>
        <w:tab/>
      </w:r>
      <w:r w:rsidRPr="007733DC">
        <w:rPr>
          <w:rStyle w:val="FootnoteReference"/>
          <w:sz w:val="20"/>
          <w:vertAlign w:val="baseline"/>
          <w:lang w:val="en-GB" w:eastAsia="x-none"/>
        </w:rPr>
        <w:t>上訴卷宗</w:t>
      </w:r>
      <w:r w:rsidRPr="007733DC">
        <w:rPr>
          <w:rStyle w:val="FootnoteReference"/>
          <w:sz w:val="20"/>
          <w:vertAlign w:val="baseline"/>
          <w:lang w:val="en-GB" w:eastAsia="x-none"/>
        </w:rPr>
        <w:t>47</w:t>
      </w:r>
      <w:proofErr w:type="spellStart"/>
      <w:r w:rsidRPr="007733DC">
        <w:rPr>
          <w:rStyle w:val="FootnoteReference"/>
          <w:sz w:val="20"/>
          <w:vertAlign w:val="baseline"/>
          <w:lang w:val="en-GB" w:eastAsia="x-none"/>
        </w:rPr>
        <w:t>頁</w:t>
      </w:r>
      <w:r w:rsidRPr="007733DC">
        <w:rPr>
          <w:rStyle w:val="FootnoteReference"/>
          <w:sz w:val="20"/>
          <w:vertAlign w:val="baseline"/>
          <w:lang w:val="en-GB" w:eastAsia="x-none"/>
        </w:rPr>
        <w:t>D</w:t>
      </w:r>
      <w:r w:rsidRPr="007733DC">
        <w:rPr>
          <w:rStyle w:val="FootnoteReference"/>
          <w:sz w:val="20"/>
          <w:vertAlign w:val="baseline"/>
          <w:lang w:val="en-GB" w:eastAsia="x-none"/>
        </w:rPr>
        <w:t>至</w:t>
      </w:r>
      <w:r w:rsidRPr="007733DC">
        <w:rPr>
          <w:rStyle w:val="FootnoteReference"/>
          <w:sz w:val="20"/>
          <w:vertAlign w:val="baseline"/>
          <w:lang w:val="en-GB" w:eastAsia="x-none"/>
        </w:rPr>
        <w:t>J</w:t>
      </w:r>
      <w:proofErr w:type="spellEnd"/>
      <w:r w:rsidRPr="007733DC">
        <w:rPr>
          <w:rStyle w:val="FootnoteReference"/>
          <w:sz w:val="20"/>
          <w:vertAlign w:val="baseline"/>
          <w:lang w:val="en-GB" w:eastAsia="x-none"/>
        </w:rPr>
        <w:t>。</w:t>
      </w:r>
    </w:p>
  </w:footnote>
  <w:footnote w:id="19">
    <w:p w:rsidR="009E3F24" w:rsidRPr="007733DC" w:rsidRDefault="009E3F24" w:rsidP="00E7609B">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7733DC">
        <w:rPr>
          <w:rStyle w:val="FootnoteReference"/>
          <w:sz w:val="20"/>
          <w:lang w:val="en-GB" w:eastAsia="x-none"/>
        </w:rPr>
        <w:footnoteRef/>
      </w:r>
      <w:r w:rsidRPr="007733DC">
        <w:rPr>
          <w:rStyle w:val="FootnoteReference"/>
          <w:sz w:val="20"/>
          <w:lang w:val="en-GB" w:eastAsia="x-none"/>
        </w:rPr>
        <w:t xml:space="preserve"> </w:t>
      </w:r>
      <w:r w:rsidRPr="007733DC">
        <w:rPr>
          <w:rStyle w:val="FootnoteReference"/>
          <w:sz w:val="20"/>
          <w:lang w:val="en-GB" w:eastAsia="x-none"/>
        </w:rPr>
        <w:tab/>
      </w:r>
      <w:r w:rsidRPr="007733DC">
        <w:rPr>
          <w:rStyle w:val="FootnoteReference"/>
          <w:sz w:val="20"/>
          <w:vertAlign w:val="baseline"/>
          <w:lang w:val="en-GB" w:eastAsia="x-none"/>
        </w:rPr>
        <w:t>上訴卷宗</w:t>
      </w:r>
      <w:r w:rsidRPr="007733DC">
        <w:rPr>
          <w:rStyle w:val="FootnoteReference"/>
          <w:sz w:val="20"/>
          <w:vertAlign w:val="baseline"/>
          <w:lang w:val="en-GB" w:eastAsia="x-none"/>
        </w:rPr>
        <w:t>47</w:t>
      </w:r>
      <w:proofErr w:type="spellStart"/>
      <w:r w:rsidRPr="007733DC">
        <w:rPr>
          <w:rStyle w:val="FootnoteReference"/>
          <w:sz w:val="20"/>
          <w:vertAlign w:val="baseline"/>
          <w:lang w:val="en-GB" w:eastAsia="x-none"/>
        </w:rPr>
        <w:t>頁</w:t>
      </w:r>
      <w:r w:rsidRPr="007733DC">
        <w:rPr>
          <w:rStyle w:val="FootnoteReference"/>
          <w:sz w:val="20"/>
          <w:vertAlign w:val="baseline"/>
          <w:lang w:val="en-GB" w:eastAsia="x-none"/>
        </w:rPr>
        <w:t>K</w:t>
      </w:r>
      <w:r w:rsidRPr="007733DC">
        <w:rPr>
          <w:rStyle w:val="FootnoteReference"/>
          <w:sz w:val="20"/>
          <w:vertAlign w:val="baseline"/>
          <w:lang w:val="en-GB" w:eastAsia="x-none"/>
        </w:rPr>
        <w:t>至</w:t>
      </w:r>
      <w:r w:rsidRPr="007733DC">
        <w:rPr>
          <w:rStyle w:val="FootnoteReference"/>
          <w:sz w:val="20"/>
          <w:vertAlign w:val="baseline"/>
          <w:lang w:val="en-GB" w:eastAsia="x-none"/>
        </w:rPr>
        <w:t>N</w:t>
      </w:r>
      <w:proofErr w:type="spellEnd"/>
      <w:r w:rsidRPr="007733DC">
        <w:rPr>
          <w:rStyle w:val="FootnoteReference"/>
          <w:sz w:val="20"/>
          <w:vertAlign w:val="baseline"/>
          <w:lang w:val="en-GB" w:eastAsia="x-none"/>
        </w:rPr>
        <w:t>。</w:t>
      </w:r>
    </w:p>
  </w:footnote>
  <w:footnote w:id="20">
    <w:p w:rsidR="009E3F24" w:rsidRPr="007733DC" w:rsidRDefault="009E3F24" w:rsidP="00E7609B">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7733DC">
        <w:rPr>
          <w:rStyle w:val="FootnoteReference"/>
          <w:sz w:val="20"/>
          <w:lang w:val="en-GB" w:eastAsia="x-none"/>
        </w:rPr>
        <w:footnoteRef/>
      </w:r>
      <w:r w:rsidRPr="007733DC">
        <w:rPr>
          <w:rStyle w:val="FootnoteReference"/>
          <w:sz w:val="20"/>
          <w:lang w:val="en-GB" w:eastAsia="x-none"/>
        </w:rPr>
        <w:t xml:space="preserve"> </w:t>
      </w:r>
      <w:r w:rsidRPr="007733DC">
        <w:rPr>
          <w:sz w:val="20"/>
          <w:lang w:val="en-GB" w:eastAsia="x-none"/>
        </w:rPr>
        <w:tab/>
      </w:r>
      <w:r w:rsidRPr="007733DC">
        <w:rPr>
          <w:rStyle w:val="FootnoteReference"/>
          <w:sz w:val="20"/>
          <w:vertAlign w:val="baseline"/>
          <w:lang w:val="en-GB" w:eastAsia="x-none"/>
        </w:rPr>
        <w:t>見本判詞第</w:t>
      </w:r>
      <w:r w:rsidRPr="007733DC">
        <w:rPr>
          <w:rStyle w:val="FootnoteReference"/>
          <w:sz w:val="20"/>
          <w:vertAlign w:val="baseline"/>
          <w:lang w:val="en-GB" w:eastAsia="x-none"/>
        </w:rPr>
        <w:t>51</w:t>
      </w:r>
      <w:r w:rsidRPr="007733DC">
        <w:rPr>
          <w:rStyle w:val="FootnoteReference"/>
          <w:sz w:val="20"/>
          <w:vertAlign w:val="baseline"/>
          <w:lang w:val="en-GB" w:eastAsia="x-none"/>
        </w:rPr>
        <w:t>段。</w:t>
      </w:r>
    </w:p>
  </w:footnote>
  <w:footnote w:id="21">
    <w:p w:rsidR="009E3F24" w:rsidRPr="007733DC" w:rsidRDefault="009E3F24" w:rsidP="00E7609B">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7733DC">
        <w:rPr>
          <w:rStyle w:val="FootnoteReference"/>
          <w:sz w:val="20"/>
          <w:lang w:val="en-GB" w:eastAsia="x-none"/>
        </w:rPr>
        <w:footnoteRef/>
      </w:r>
      <w:r w:rsidRPr="007733DC">
        <w:rPr>
          <w:rStyle w:val="FootnoteReference"/>
          <w:sz w:val="20"/>
          <w:lang w:val="en-GB" w:eastAsia="x-none"/>
        </w:rPr>
        <w:t xml:space="preserve"> </w:t>
      </w:r>
      <w:r w:rsidRPr="007733DC">
        <w:rPr>
          <w:sz w:val="20"/>
          <w:lang w:val="en-GB" w:eastAsia="x-none"/>
        </w:rPr>
        <w:tab/>
      </w:r>
      <w:r w:rsidRPr="007733DC">
        <w:rPr>
          <w:rStyle w:val="FootnoteReference"/>
          <w:sz w:val="20"/>
          <w:vertAlign w:val="baseline"/>
          <w:lang w:val="en-GB" w:eastAsia="x-none"/>
        </w:rPr>
        <w:t>見本判詞第</w:t>
      </w:r>
      <w:r w:rsidRPr="007733DC">
        <w:rPr>
          <w:rStyle w:val="FootnoteReference"/>
          <w:sz w:val="20"/>
          <w:vertAlign w:val="baseline"/>
          <w:lang w:val="en-GB" w:eastAsia="x-none"/>
        </w:rPr>
        <w:t>51</w:t>
      </w:r>
      <w:r w:rsidRPr="007733DC">
        <w:rPr>
          <w:rStyle w:val="FootnoteReference"/>
          <w:sz w:val="20"/>
          <w:vertAlign w:val="baseline"/>
          <w:lang w:val="en-GB" w:eastAsia="x-none"/>
        </w:rPr>
        <w:t>段。</w:t>
      </w:r>
    </w:p>
  </w:footnote>
  <w:footnote w:id="22">
    <w:p w:rsidR="009E3F24" w:rsidRPr="007733DC" w:rsidRDefault="009E3F24" w:rsidP="00E7609B">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7733DC">
        <w:rPr>
          <w:rStyle w:val="FootnoteReference"/>
          <w:sz w:val="20"/>
          <w:lang w:val="en-GB" w:eastAsia="x-none"/>
        </w:rPr>
        <w:footnoteRef/>
      </w:r>
      <w:r w:rsidRPr="007733DC">
        <w:rPr>
          <w:rStyle w:val="FootnoteReference"/>
          <w:sz w:val="20"/>
          <w:lang w:val="en-GB" w:eastAsia="x-none"/>
        </w:rPr>
        <w:t xml:space="preserve"> </w:t>
      </w:r>
      <w:r w:rsidRPr="007733DC">
        <w:rPr>
          <w:sz w:val="20"/>
          <w:lang w:val="en-GB" w:eastAsia="x-none"/>
        </w:rPr>
        <w:tab/>
      </w:r>
      <w:proofErr w:type="spellStart"/>
      <w:r w:rsidRPr="007733DC">
        <w:rPr>
          <w:rStyle w:val="FootnoteReference"/>
          <w:i/>
          <w:sz w:val="20"/>
          <w:vertAlign w:val="baseline"/>
          <w:lang w:val="en-GB" w:eastAsia="x-none"/>
        </w:rPr>
        <w:t>律政司司長</w:t>
      </w:r>
      <w:proofErr w:type="spellEnd"/>
      <w:r w:rsidRPr="007733DC">
        <w:rPr>
          <w:rStyle w:val="FootnoteReference"/>
          <w:i/>
          <w:sz w:val="20"/>
          <w:vertAlign w:val="baseline"/>
          <w:lang w:val="en-GB" w:eastAsia="x-none"/>
        </w:rPr>
        <w:t xml:space="preserve"> </w:t>
      </w:r>
      <w:r w:rsidRPr="007733DC">
        <w:rPr>
          <w:rStyle w:val="FootnoteReference"/>
          <w:i/>
          <w:sz w:val="20"/>
          <w:vertAlign w:val="baseline"/>
          <w:lang w:val="en-GB" w:eastAsia="x-none"/>
        </w:rPr>
        <w:t>訴</w:t>
      </w:r>
      <w:r w:rsidRPr="007733DC">
        <w:rPr>
          <w:rStyle w:val="FootnoteReference"/>
          <w:i/>
          <w:sz w:val="20"/>
          <w:vertAlign w:val="baseline"/>
          <w:lang w:val="en-GB" w:eastAsia="x-none"/>
        </w:rPr>
        <w:t xml:space="preserve"> </w:t>
      </w:r>
      <w:proofErr w:type="spellStart"/>
      <w:r w:rsidRPr="007733DC">
        <w:rPr>
          <w:rStyle w:val="FootnoteReference"/>
          <w:i/>
          <w:sz w:val="20"/>
          <w:vertAlign w:val="baseline"/>
          <w:lang w:val="en-GB" w:eastAsia="x-none"/>
        </w:rPr>
        <w:t>黃之鋒</w:t>
      </w:r>
      <w:proofErr w:type="spellEnd"/>
      <w:r w:rsidRPr="007733DC">
        <w:rPr>
          <w:rStyle w:val="FootnoteReference"/>
          <w:sz w:val="20"/>
          <w:vertAlign w:val="baseline"/>
          <w:lang w:val="en-GB" w:eastAsia="x-none"/>
        </w:rPr>
        <w:t xml:space="preserve"> [2018] 2 HKLRD 657</w:t>
      </w:r>
      <w:r w:rsidRPr="007733DC">
        <w:rPr>
          <w:rStyle w:val="FootnoteReference"/>
          <w:sz w:val="20"/>
          <w:vertAlign w:val="baseline"/>
          <w:lang w:val="en-GB" w:eastAsia="x-none"/>
        </w:rPr>
        <w:t>。</w:t>
      </w:r>
    </w:p>
  </w:footnote>
  <w:footnote w:id="23">
    <w:p w:rsidR="009E3F24" w:rsidRPr="007733DC" w:rsidRDefault="009E3F24" w:rsidP="00E7609B">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7733DC">
        <w:rPr>
          <w:rStyle w:val="FootnoteReference"/>
          <w:sz w:val="20"/>
          <w:lang w:val="en-GB" w:eastAsia="x-none"/>
        </w:rPr>
        <w:footnoteRef/>
      </w:r>
      <w:r w:rsidRPr="007733DC">
        <w:rPr>
          <w:rStyle w:val="FootnoteReference"/>
          <w:sz w:val="20"/>
          <w:lang w:val="en-GB" w:eastAsia="x-none"/>
        </w:rPr>
        <w:t xml:space="preserve"> </w:t>
      </w:r>
      <w:r w:rsidRPr="007733DC">
        <w:rPr>
          <w:sz w:val="20"/>
          <w:lang w:val="en-GB" w:eastAsia="x-none"/>
        </w:rPr>
        <w:tab/>
      </w:r>
      <w:r w:rsidRPr="007733DC">
        <w:rPr>
          <w:rStyle w:val="FootnoteReference"/>
          <w:sz w:val="20"/>
          <w:vertAlign w:val="baseline"/>
          <w:lang w:val="en-GB" w:eastAsia="x-none"/>
        </w:rPr>
        <w:t>該案判詞第</w:t>
      </w:r>
      <w:r w:rsidRPr="007733DC">
        <w:rPr>
          <w:rStyle w:val="FootnoteReference"/>
          <w:sz w:val="20"/>
          <w:vertAlign w:val="baseline"/>
          <w:lang w:val="en-GB" w:eastAsia="x-none"/>
        </w:rPr>
        <w:t>135</w:t>
      </w:r>
      <w:r w:rsidRPr="007733DC">
        <w:rPr>
          <w:rStyle w:val="FootnoteReference"/>
          <w:sz w:val="20"/>
          <w:vertAlign w:val="baseline"/>
          <w:lang w:val="en-GB" w:eastAsia="x-none"/>
        </w:rPr>
        <w:t>段。</w:t>
      </w:r>
    </w:p>
  </w:footnote>
  <w:footnote w:id="24">
    <w:p w:rsidR="009E3F24" w:rsidRPr="007733DC" w:rsidRDefault="009E3F24" w:rsidP="00E7609B">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7733DC">
        <w:rPr>
          <w:rStyle w:val="FootnoteReference"/>
          <w:sz w:val="20"/>
          <w:lang w:val="en-GB" w:eastAsia="x-none"/>
        </w:rPr>
        <w:footnoteRef/>
      </w:r>
      <w:r w:rsidRPr="007733DC">
        <w:rPr>
          <w:rStyle w:val="FootnoteReference"/>
          <w:sz w:val="20"/>
          <w:lang w:val="en-GB" w:eastAsia="x-none"/>
        </w:rPr>
        <w:t xml:space="preserve"> </w:t>
      </w:r>
      <w:r w:rsidRPr="007733DC">
        <w:rPr>
          <w:sz w:val="20"/>
          <w:lang w:val="en-GB" w:eastAsia="x-none"/>
        </w:rPr>
        <w:tab/>
      </w:r>
      <w:r w:rsidRPr="007733DC">
        <w:rPr>
          <w:rStyle w:val="FootnoteReference"/>
          <w:i/>
          <w:sz w:val="20"/>
          <w:vertAlign w:val="baseline"/>
          <w:lang w:val="en-GB" w:eastAsia="x-none"/>
        </w:rPr>
        <w:t>Leung Kwok Hung v SJ</w:t>
      </w:r>
      <w:r w:rsidRPr="007733DC">
        <w:rPr>
          <w:rStyle w:val="FootnoteReference"/>
          <w:sz w:val="20"/>
          <w:vertAlign w:val="baseline"/>
          <w:lang w:val="en-GB" w:eastAsia="x-none"/>
        </w:rPr>
        <w:t xml:space="preserve"> </w:t>
      </w:r>
      <w:r w:rsidR="00CA123F" w:rsidRPr="007733DC">
        <w:rPr>
          <w:rStyle w:val="FootnoteReference"/>
          <w:i/>
          <w:sz w:val="20"/>
          <w:vertAlign w:val="baseline"/>
          <w:lang w:val="en-GB" w:eastAsia="x-none"/>
        </w:rPr>
        <w:t>(No 2)</w:t>
      </w:r>
      <w:r w:rsidR="00CA123F" w:rsidRPr="007733DC">
        <w:rPr>
          <w:rStyle w:val="FootnoteReference"/>
          <w:sz w:val="20"/>
          <w:vertAlign w:val="baseline"/>
          <w:lang w:val="en-GB" w:eastAsia="x-none"/>
        </w:rPr>
        <w:t xml:space="preserve"> </w:t>
      </w:r>
      <w:r w:rsidRPr="007733DC">
        <w:rPr>
          <w:rStyle w:val="FootnoteReference"/>
          <w:sz w:val="20"/>
          <w:vertAlign w:val="baseline"/>
          <w:lang w:val="en-GB" w:eastAsia="x-none"/>
        </w:rPr>
        <w:t>[2020] 2 HKLRD 771</w:t>
      </w:r>
      <w:r w:rsidRPr="007733DC">
        <w:rPr>
          <w:rStyle w:val="FootnoteReference"/>
          <w:sz w:val="20"/>
          <w:vertAlign w:val="baseline"/>
          <w:lang w:val="en-GB" w:eastAsia="x-none"/>
        </w:rPr>
        <w:t>。</w:t>
      </w:r>
    </w:p>
  </w:footnote>
  <w:footnote w:id="25">
    <w:p w:rsidR="009E3F24" w:rsidRPr="007733DC" w:rsidRDefault="009E3F24" w:rsidP="00E7609B">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7733DC">
        <w:rPr>
          <w:rStyle w:val="FootnoteReference"/>
          <w:sz w:val="20"/>
          <w:lang w:val="en-GB" w:eastAsia="x-none"/>
        </w:rPr>
        <w:footnoteRef/>
      </w:r>
      <w:r w:rsidRPr="007733DC">
        <w:rPr>
          <w:rStyle w:val="FootnoteReference"/>
          <w:sz w:val="20"/>
          <w:lang w:val="en-GB" w:eastAsia="x-none"/>
        </w:rPr>
        <w:t xml:space="preserve"> </w:t>
      </w:r>
      <w:r w:rsidRPr="007733DC">
        <w:rPr>
          <w:sz w:val="20"/>
          <w:lang w:val="en-GB" w:eastAsia="x-none"/>
        </w:rPr>
        <w:tab/>
      </w:r>
      <w:proofErr w:type="spellStart"/>
      <w:r w:rsidRPr="007733DC">
        <w:rPr>
          <w:rStyle w:val="FootnoteReference"/>
          <w:i/>
          <w:sz w:val="20"/>
          <w:vertAlign w:val="baseline"/>
          <w:lang w:val="en-GB" w:eastAsia="x-none"/>
        </w:rPr>
        <w:t>黃之鋒</w:t>
      </w:r>
      <w:r w:rsidRPr="007733DC">
        <w:rPr>
          <w:rStyle w:val="FootnoteReference"/>
          <w:sz w:val="20"/>
          <w:vertAlign w:val="baseline"/>
          <w:lang w:val="en-GB" w:eastAsia="x-none"/>
        </w:rPr>
        <w:t>（上訴法庭的判決</w:t>
      </w:r>
      <w:proofErr w:type="spellEnd"/>
      <w:r w:rsidRPr="007733DC">
        <w:rPr>
          <w:rStyle w:val="FootnoteReference"/>
          <w:sz w:val="20"/>
          <w:vertAlign w:val="baseline"/>
          <w:lang w:val="en-GB" w:eastAsia="x-none"/>
        </w:rPr>
        <w:t>）（判詞第</w:t>
      </w:r>
      <w:r w:rsidRPr="007733DC">
        <w:rPr>
          <w:rStyle w:val="FootnoteReference"/>
          <w:sz w:val="20"/>
          <w:vertAlign w:val="baseline"/>
          <w:lang w:val="en-GB" w:eastAsia="x-none"/>
        </w:rPr>
        <w:t>153</w:t>
      </w:r>
      <w:r w:rsidRPr="007733DC">
        <w:rPr>
          <w:rStyle w:val="FootnoteReference"/>
          <w:sz w:val="20"/>
          <w:vertAlign w:val="baseline"/>
          <w:lang w:val="en-GB" w:eastAsia="x-none"/>
        </w:rPr>
        <w:t>段）。</w:t>
      </w:r>
    </w:p>
  </w:footnote>
  <w:footnote w:id="26">
    <w:p w:rsidR="009E3F24" w:rsidRPr="007733DC" w:rsidRDefault="009E3F24" w:rsidP="00E7609B">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7733DC">
        <w:rPr>
          <w:rStyle w:val="FootnoteReference"/>
          <w:sz w:val="20"/>
          <w:lang w:val="en-GB" w:eastAsia="x-none"/>
        </w:rPr>
        <w:footnoteRef/>
      </w:r>
      <w:r w:rsidRPr="007733DC">
        <w:rPr>
          <w:rStyle w:val="FootnoteReference"/>
          <w:sz w:val="20"/>
          <w:lang w:val="en-GB" w:eastAsia="x-none"/>
        </w:rPr>
        <w:t xml:space="preserve"> </w:t>
      </w:r>
      <w:r w:rsidRPr="007733DC">
        <w:rPr>
          <w:sz w:val="20"/>
          <w:lang w:val="en-GB" w:eastAsia="x-none"/>
        </w:rPr>
        <w:tab/>
      </w:r>
      <w:proofErr w:type="spellStart"/>
      <w:r w:rsidRPr="007733DC">
        <w:rPr>
          <w:rStyle w:val="FootnoteReference"/>
          <w:i/>
          <w:sz w:val="20"/>
          <w:vertAlign w:val="baseline"/>
          <w:lang w:val="en-GB" w:eastAsia="x-none"/>
        </w:rPr>
        <w:t>黃之鋒</w:t>
      </w:r>
      <w:r w:rsidRPr="007733DC">
        <w:rPr>
          <w:rStyle w:val="FootnoteReference"/>
          <w:sz w:val="20"/>
          <w:vertAlign w:val="baseline"/>
          <w:lang w:val="en-GB" w:eastAsia="x-none"/>
        </w:rPr>
        <w:t>（上訴法庭的判決</w:t>
      </w:r>
      <w:proofErr w:type="spellEnd"/>
      <w:r w:rsidRPr="007733DC">
        <w:rPr>
          <w:rStyle w:val="FootnoteReference"/>
          <w:sz w:val="20"/>
          <w:vertAlign w:val="baseline"/>
          <w:lang w:val="en-GB" w:eastAsia="x-none"/>
        </w:rPr>
        <w:t>）（判詞第</w:t>
      </w:r>
      <w:r w:rsidRPr="007733DC">
        <w:rPr>
          <w:rStyle w:val="FootnoteReference"/>
          <w:sz w:val="20"/>
          <w:vertAlign w:val="baseline"/>
          <w:lang w:val="en-GB" w:eastAsia="x-none"/>
        </w:rPr>
        <w:t>142</w:t>
      </w:r>
      <w:r w:rsidRPr="007733DC">
        <w:rPr>
          <w:rStyle w:val="FootnoteReference"/>
          <w:sz w:val="20"/>
          <w:vertAlign w:val="baseline"/>
          <w:lang w:val="en-GB" w:eastAsia="x-none"/>
        </w:rPr>
        <w:t>段）。</w:t>
      </w:r>
    </w:p>
  </w:footnote>
  <w:footnote w:id="27">
    <w:p w:rsidR="009E3F24" w:rsidRPr="007733DC" w:rsidRDefault="009E3F24" w:rsidP="00E7609B">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7733DC">
        <w:rPr>
          <w:rStyle w:val="FootnoteReference"/>
          <w:sz w:val="20"/>
          <w:lang w:val="en-GB" w:eastAsia="x-none"/>
        </w:rPr>
        <w:footnoteRef/>
      </w:r>
      <w:r w:rsidRPr="007733DC">
        <w:rPr>
          <w:rStyle w:val="FootnoteReference"/>
          <w:sz w:val="20"/>
          <w:lang w:val="en-GB" w:eastAsia="x-none"/>
        </w:rPr>
        <w:t xml:space="preserve"> </w:t>
      </w:r>
      <w:r w:rsidRPr="007733DC">
        <w:rPr>
          <w:sz w:val="20"/>
          <w:lang w:val="en-GB" w:eastAsia="x-none"/>
        </w:rPr>
        <w:tab/>
      </w:r>
      <w:proofErr w:type="spellStart"/>
      <w:r w:rsidRPr="007733DC">
        <w:rPr>
          <w:rStyle w:val="FootnoteReference"/>
          <w:i/>
          <w:sz w:val="20"/>
          <w:vertAlign w:val="baseline"/>
          <w:lang w:val="en-GB" w:eastAsia="x-none"/>
        </w:rPr>
        <w:t>律政司司長</w:t>
      </w:r>
      <w:proofErr w:type="spellEnd"/>
      <w:r w:rsidRPr="007733DC">
        <w:rPr>
          <w:rStyle w:val="FootnoteReference"/>
          <w:i/>
          <w:sz w:val="20"/>
          <w:vertAlign w:val="baseline"/>
          <w:lang w:val="en-GB" w:eastAsia="x-none"/>
        </w:rPr>
        <w:t xml:space="preserve"> </w:t>
      </w:r>
      <w:r w:rsidRPr="007733DC">
        <w:rPr>
          <w:rStyle w:val="FootnoteReference"/>
          <w:i/>
          <w:sz w:val="20"/>
          <w:vertAlign w:val="baseline"/>
          <w:lang w:val="en-GB" w:eastAsia="x-none"/>
        </w:rPr>
        <w:t>訴</w:t>
      </w:r>
      <w:r w:rsidRPr="007733DC">
        <w:rPr>
          <w:rStyle w:val="FootnoteReference"/>
          <w:i/>
          <w:sz w:val="20"/>
          <w:vertAlign w:val="baseline"/>
          <w:lang w:val="en-GB" w:eastAsia="x-none"/>
        </w:rPr>
        <w:t xml:space="preserve"> </w:t>
      </w:r>
      <w:proofErr w:type="spellStart"/>
      <w:r w:rsidRPr="007733DC">
        <w:rPr>
          <w:rStyle w:val="FootnoteReference"/>
          <w:i/>
          <w:sz w:val="20"/>
          <w:vertAlign w:val="baseline"/>
          <w:lang w:val="en-GB" w:eastAsia="x-none"/>
        </w:rPr>
        <w:t>伍洽勝又名吳洽勝</w:t>
      </w:r>
      <w:proofErr w:type="spellEnd"/>
      <w:r w:rsidRPr="007733DC">
        <w:rPr>
          <w:rStyle w:val="FootnoteReference"/>
          <w:sz w:val="20"/>
          <w:vertAlign w:val="baseline"/>
          <w:lang w:val="en-GB" w:eastAsia="x-none"/>
        </w:rPr>
        <w:t xml:space="preserve"> CAAR 1/2017</w:t>
      </w:r>
      <w:r w:rsidRPr="007733DC">
        <w:rPr>
          <w:rStyle w:val="FootnoteReference"/>
          <w:sz w:val="20"/>
          <w:vertAlign w:val="baseline"/>
          <w:lang w:val="en-GB" w:eastAsia="x-none"/>
        </w:rPr>
        <w:t>（判詞第</w:t>
      </w:r>
      <w:r w:rsidRPr="007733DC">
        <w:rPr>
          <w:rStyle w:val="FootnoteReference"/>
          <w:sz w:val="20"/>
          <w:vertAlign w:val="baseline"/>
          <w:lang w:val="en-GB" w:eastAsia="x-none"/>
        </w:rPr>
        <w:t>46</w:t>
      </w:r>
      <w:r w:rsidRPr="007733DC">
        <w:rPr>
          <w:rStyle w:val="FootnoteReference"/>
          <w:sz w:val="20"/>
          <w:vertAlign w:val="baseline"/>
          <w:lang w:val="en-GB" w:eastAsia="x-none"/>
        </w:rPr>
        <w:t>段）。</w:t>
      </w:r>
    </w:p>
  </w:footnote>
  <w:footnote w:id="28">
    <w:p w:rsidR="009E3F24" w:rsidRPr="007733DC" w:rsidRDefault="009E3F24" w:rsidP="00E7609B">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7733DC">
        <w:rPr>
          <w:rStyle w:val="FootnoteReference"/>
          <w:sz w:val="20"/>
          <w:lang w:val="en-GB" w:eastAsia="x-none"/>
        </w:rPr>
        <w:footnoteRef/>
      </w:r>
      <w:r w:rsidRPr="007733DC">
        <w:rPr>
          <w:rStyle w:val="FootnoteReference"/>
          <w:sz w:val="20"/>
          <w:lang w:val="en-GB" w:eastAsia="x-none"/>
        </w:rPr>
        <w:t xml:space="preserve"> </w:t>
      </w:r>
      <w:r w:rsidRPr="007733DC">
        <w:rPr>
          <w:sz w:val="20"/>
          <w:lang w:val="en-GB" w:eastAsia="x-none"/>
        </w:rPr>
        <w:tab/>
      </w:r>
      <w:r w:rsidRPr="007733DC">
        <w:rPr>
          <w:rStyle w:val="FootnoteReference"/>
          <w:i/>
          <w:sz w:val="20"/>
          <w:vertAlign w:val="baseline"/>
          <w:lang w:val="en-GB" w:eastAsia="x-none"/>
        </w:rPr>
        <w:t xml:space="preserve">HKSAR v Wan </w:t>
      </w:r>
      <w:proofErr w:type="spellStart"/>
      <w:r w:rsidRPr="007733DC">
        <w:rPr>
          <w:rStyle w:val="FootnoteReference"/>
          <w:i/>
          <w:sz w:val="20"/>
          <w:vertAlign w:val="baseline"/>
          <w:lang w:val="en-GB" w:eastAsia="x-none"/>
        </w:rPr>
        <w:t>Ka</w:t>
      </w:r>
      <w:proofErr w:type="spellEnd"/>
      <w:r w:rsidRPr="007733DC">
        <w:rPr>
          <w:rStyle w:val="FootnoteReference"/>
          <w:i/>
          <w:sz w:val="20"/>
          <w:vertAlign w:val="baseline"/>
          <w:lang w:val="en-GB" w:eastAsia="x-none"/>
        </w:rPr>
        <w:t xml:space="preserve"> Kit</w:t>
      </w:r>
      <w:r w:rsidRPr="007733DC">
        <w:rPr>
          <w:rStyle w:val="FootnoteReference"/>
          <w:sz w:val="20"/>
          <w:vertAlign w:val="baseline"/>
          <w:lang w:val="en-GB" w:eastAsia="x-none"/>
        </w:rPr>
        <w:t xml:space="preserve"> [2006] 3 HKLRD 9</w:t>
      </w:r>
      <w:r w:rsidRPr="007733DC">
        <w:rPr>
          <w:rStyle w:val="FootnoteReference"/>
          <w:sz w:val="20"/>
          <w:vertAlign w:val="baseline"/>
          <w:lang w:val="en-GB" w:eastAsia="x-none"/>
        </w:rPr>
        <w:t>（判詞第</w:t>
      </w:r>
      <w:r w:rsidRPr="007733DC">
        <w:rPr>
          <w:rStyle w:val="FootnoteReference"/>
          <w:sz w:val="20"/>
          <w:vertAlign w:val="baseline"/>
          <w:lang w:val="en-GB" w:eastAsia="x-none"/>
        </w:rPr>
        <w:t>31</w:t>
      </w:r>
      <w:r w:rsidRPr="007733DC">
        <w:rPr>
          <w:rStyle w:val="FootnoteReference"/>
          <w:sz w:val="20"/>
          <w:vertAlign w:val="baseline"/>
          <w:lang w:val="en-GB" w:eastAsia="x-none"/>
        </w:rPr>
        <w:t>段）。</w:t>
      </w:r>
    </w:p>
  </w:footnote>
  <w:footnote w:id="29">
    <w:p w:rsidR="009E3F24" w:rsidRPr="007733DC" w:rsidRDefault="009E3F24" w:rsidP="00E7609B">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7733DC">
        <w:rPr>
          <w:rStyle w:val="FootnoteReference"/>
          <w:sz w:val="20"/>
          <w:lang w:val="en-GB" w:eastAsia="x-none"/>
        </w:rPr>
        <w:footnoteRef/>
      </w:r>
      <w:r w:rsidRPr="007733DC">
        <w:rPr>
          <w:rStyle w:val="FootnoteReference"/>
          <w:sz w:val="20"/>
          <w:lang w:val="en-GB" w:eastAsia="x-none"/>
        </w:rPr>
        <w:t xml:space="preserve"> </w:t>
      </w:r>
      <w:r w:rsidRPr="007733DC">
        <w:rPr>
          <w:sz w:val="20"/>
          <w:lang w:val="en-GB" w:eastAsia="x-none"/>
        </w:rPr>
        <w:tab/>
      </w:r>
      <w:r w:rsidRPr="007733DC">
        <w:rPr>
          <w:rStyle w:val="FootnoteReference"/>
          <w:i/>
          <w:sz w:val="20"/>
          <w:vertAlign w:val="baseline"/>
          <w:lang w:val="en-GB" w:eastAsia="x-none"/>
        </w:rPr>
        <w:t xml:space="preserve">R v Nguyen </w:t>
      </w:r>
      <w:proofErr w:type="spellStart"/>
      <w:r w:rsidRPr="007733DC">
        <w:rPr>
          <w:rStyle w:val="FootnoteReference"/>
          <w:i/>
          <w:sz w:val="20"/>
          <w:vertAlign w:val="baseline"/>
          <w:lang w:val="en-GB" w:eastAsia="x-none"/>
        </w:rPr>
        <w:t>Quang</w:t>
      </w:r>
      <w:proofErr w:type="spellEnd"/>
      <w:r w:rsidRPr="007733DC">
        <w:rPr>
          <w:rStyle w:val="FootnoteReference"/>
          <w:i/>
          <w:sz w:val="20"/>
          <w:vertAlign w:val="baseline"/>
          <w:lang w:val="en-GB" w:eastAsia="x-none"/>
        </w:rPr>
        <w:t xml:space="preserve"> Thong</w:t>
      </w:r>
      <w:r w:rsidRPr="007733DC">
        <w:rPr>
          <w:rStyle w:val="FootnoteReference"/>
          <w:sz w:val="20"/>
          <w:vertAlign w:val="baseline"/>
          <w:lang w:val="en-GB" w:eastAsia="x-none"/>
        </w:rPr>
        <w:t xml:space="preserve"> [1992] 2 HKCLR 10</w:t>
      </w:r>
      <w:r w:rsidRPr="007733DC">
        <w:rPr>
          <w:rStyle w:val="FootnoteReference"/>
          <w:sz w:val="20"/>
          <w:vertAlign w:val="baseline"/>
          <w:lang w:val="en-GB" w:eastAsia="x-none"/>
        </w:rPr>
        <w:t>（判詞第</w:t>
      </w:r>
      <w:r w:rsidRPr="007733DC">
        <w:rPr>
          <w:rStyle w:val="FootnoteReference"/>
          <w:sz w:val="20"/>
          <w:vertAlign w:val="baseline"/>
          <w:lang w:val="en-GB" w:eastAsia="x-none"/>
        </w:rPr>
        <w:t>13</w:t>
      </w:r>
      <w:r w:rsidRPr="007733DC">
        <w:rPr>
          <w:rStyle w:val="FootnoteReference"/>
          <w:sz w:val="20"/>
          <w:vertAlign w:val="baseline"/>
          <w:lang w:val="en-GB" w:eastAsia="x-none"/>
        </w:rPr>
        <w:t>頁</w:t>
      </w:r>
      <w:r w:rsidRPr="007733DC">
        <w:rPr>
          <w:rStyle w:val="FootnoteReference"/>
          <w:sz w:val="20"/>
          <w:vertAlign w:val="baseline"/>
          <w:lang w:val="en-GB" w:eastAsia="x-none"/>
        </w:rPr>
        <w:t>5-10</w:t>
      </w:r>
      <w:r w:rsidR="003400CD" w:rsidRPr="003400CD">
        <w:rPr>
          <w:rFonts w:ascii="宋体" w:hAnsi="宋体" w:hint="eastAsia"/>
          <w:sz w:val="20"/>
          <w:lang w:val="en-GB" w:eastAsia="zh-HK"/>
        </w:rPr>
        <w:t>行</w:t>
      </w:r>
      <w:r w:rsidRPr="007733DC">
        <w:rPr>
          <w:rStyle w:val="FootnoteReference"/>
          <w:sz w:val="20"/>
          <w:vertAlign w:val="baseline"/>
          <w:lang w:val="en-GB" w:eastAsia="x-none"/>
        </w:rPr>
        <w:t>）。</w:t>
      </w:r>
    </w:p>
  </w:footnote>
  <w:footnote w:id="30">
    <w:p w:rsidR="009E3F24" w:rsidRPr="007733DC" w:rsidRDefault="009E3F24" w:rsidP="00F61EFF">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7733DC">
        <w:rPr>
          <w:rStyle w:val="FootnoteReference"/>
          <w:sz w:val="20"/>
          <w:lang w:val="en-GB" w:eastAsia="x-none"/>
        </w:rPr>
        <w:footnoteRef/>
      </w:r>
      <w:r w:rsidRPr="007733DC">
        <w:rPr>
          <w:rStyle w:val="FootnoteReference"/>
          <w:sz w:val="20"/>
          <w:lang w:val="en-GB" w:eastAsia="x-none"/>
        </w:rPr>
        <w:t xml:space="preserve"> </w:t>
      </w:r>
      <w:r w:rsidRPr="007733DC">
        <w:rPr>
          <w:sz w:val="20"/>
          <w:lang w:val="en-GB" w:eastAsia="x-none"/>
        </w:rPr>
        <w:tab/>
      </w:r>
      <w:proofErr w:type="spellStart"/>
      <w:r w:rsidRPr="007733DC">
        <w:rPr>
          <w:rStyle w:val="FootnoteReference"/>
          <w:i/>
          <w:sz w:val="20"/>
          <w:vertAlign w:val="baseline"/>
          <w:lang w:val="en-GB" w:eastAsia="x-none"/>
        </w:rPr>
        <w:t>黃之鋒</w:t>
      </w:r>
      <w:r w:rsidRPr="007733DC">
        <w:rPr>
          <w:rStyle w:val="FootnoteReference"/>
          <w:sz w:val="20"/>
          <w:vertAlign w:val="baseline"/>
          <w:lang w:val="en-GB" w:eastAsia="x-none"/>
        </w:rPr>
        <w:t>（終審法院的判決</w:t>
      </w:r>
      <w:proofErr w:type="spellEnd"/>
      <w:r w:rsidRPr="007733DC">
        <w:rPr>
          <w:rStyle w:val="FootnoteReference"/>
          <w:sz w:val="20"/>
          <w:vertAlign w:val="baseline"/>
          <w:lang w:val="en-GB" w:eastAsia="x-none"/>
        </w:rPr>
        <w:t>）（判詞第</w:t>
      </w:r>
      <w:r w:rsidRPr="007733DC">
        <w:rPr>
          <w:rStyle w:val="FootnoteReference"/>
          <w:sz w:val="20"/>
          <w:vertAlign w:val="baseline"/>
          <w:lang w:val="en-GB" w:eastAsia="x-none"/>
        </w:rPr>
        <w:t>62</w:t>
      </w:r>
      <w:r w:rsidRPr="007733DC">
        <w:rPr>
          <w:rStyle w:val="FootnoteReference"/>
          <w:sz w:val="20"/>
          <w:vertAlign w:val="baseline"/>
          <w:lang w:val="en-GB" w:eastAsia="x-none"/>
        </w:rPr>
        <w:t>和</w:t>
      </w:r>
      <w:r w:rsidRPr="007733DC">
        <w:rPr>
          <w:rStyle w:val="FootnoteReference"/>
          <w:sz w:val="20"/>
          <w:vertAlign w:val="baseline"/>
          <w:lang w:val="en-GB" w:eastAsia="x-none"/>
        </w:rPr>
        <w:t>100</w:t>
      </w:r>
      <w:r w:rsidRPr="007733DC">
        <w:rPr>
          <w:rStyle w:val="FootnoteReference"/>
          <w:sz w:val="20"/>
          <w:vertAlign w:val="baseline"/>
          <w:lang w:val="en-GB" w:eastAsia="x-none"/>
        </w:rPr>
        <w:t>段）。</w:t>
      </w:r>
    </w:p>
  </w:footnote>
  <w:footnote w:id="31">
    <w:p w:rsidR="009E3F24" w:rsidRPr="007733DC" w:rsidRDefault="009E3F24" w:rsidP="00D44878">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7733DC">
        <w:rPr>
          <w:rStyle w:val="FootnoteReference"/>
          <w:sz w:val="20"/>
          <w:lang w:val="en-GB" w:eastAsia="x-none"/>
        </w:rPr>
        <w:footnoteRef/>
      </w:r>
      <w:r w:rsidRPr="007733DC">
        <w:rPr>
          <w:rStyle w:val="FootnoteReference"/>
          <w:sz w:val="20"/>
          <w:lang w:val="en-GB" w:eastAsia="x-none"/>
        </w:rPr>
        <w:t xml:space="preserve"> </w:t>
      </w:r>
      <w:r w:rsidRPr="007733DC">
        <w:rPr>
          <w:sz w:val="20"/>
          <w:lang w:val="en-GB" w:eastAsia="x-none"/>
        </w:rPr>
        <w:tab/>
      </w:r>
      <w:proofErr w:type="spellStart"/>
      <w:r w:rsidRPr="007733DC">
        <w:rPr>
          <w:rStyle w:val="FootnoteReference"/>
          <w:i/>
          <w:sz w:val="20"/>
          <w:vertAlign w:val="baseline"/>
          <w:lang w:val="en-GB" w:eastAsia="x-none"/>
        </w:rPr>
        <w:t>黃之鋒</w:t>
      </w:r>
      <w:r w:rsidRPr="007733DC">
        <w:rPr>
          <w:rStyle w:val="FootnoteReference"/>
          <w:sz w:val="20"/>
          <w:vertAlign w:val="baseline"/>
          <w:lang w:val="en-GB" w:eastAsia="x-none"/>
        </w:rPr>
        <w:t>（終審法院的判決</w:t>
      </w:r>
      <w:proofErr w:type="spellEnd"/>
      <w:r w:rsidRPr="007733DC">
        <w:rPr>
          <w:rStyle w:val="FootnoteReference"/>
          <w:sz w:val="20"/>
          <w:vertAlign w:val="baseline"/>
          <w:lang w:val="en-GB" w:eastAsia="x-none"/>
        </w:rPr>
        <w:t>）（判詞第</w:t>
      </w:r>
      <w:r w:rsidRPr="007733DC">
        <w:rPr>
          <w:rStyle w:val="FootnoteReference"/>
          <w:sz w:val="20"/>
          <w:vertAlign w:val="baseline"/>
          <w:lang w:val="en-GB" w:eastAsia="x-none"/>
        </w:rPr>
        <w:t>99</w:t>
      </w:r>
      <w:r w:rsidRPr="007733DC">
        <w:rPr>
          <w:rStyle w:val="FootnoteReference"/>
          <w:sz w:val="20"/>
          <w:vertAlign w:val="baseline"/>
          <w:lang w:val="en-GB" w:eastAsia="x-none"/>
        </w:rPr>
        <w:t>段）。</w:t>
      </w:r>
    </w:p>
  </w:footnote>
  <w:footnote w:id="32">
    <w:p w:rsidR="009E3F24" w:rsidRPr="007733DC" w:rsidRDefault="009E3F24" w:rsidP="00D44878">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7733DC">
        <w:rPr>
          <w:rStyle w:val="FootnoteReference"/>
          <w:sz w:val="20"/>
          <w:lang w:val="en-GB" w:eastAsia="x-none"/>
        </w:rPr>
        <w:footnoteRef/>
      </w:r>
      <w:r w:rsidRPr="007733DC">
        <w:rPr>
          <w:rStyle w:val="FootnoteReference"/>
          <w:sz w:val="20"/>
          <w:lang w:val="en-GB" w:eastAsia="x-none"/>
        </w:rPr>
        <w:t xml:space="preserve"> </w:t>
      </w:r>
      <w:r w:rsidRPr="007733DC">
        <w:rPr>
          <w:sz w:val="20"/>
          <w:lang w:val="en-GB" w:eastAsia="x-none"/>
        </w:rPr>
        <w:tab/>
      </w:r>
      <w:proofErr w:type="spellStart"/>
      <w:r w:rsidRPr="007733DC">
        <w:rPr>
          <w:rStyle w:val="FootnoteReference"/>
          <w:i/>
          <w:sz w:val="20"/>
          <w:vertAlign w:val="baseline"/>
          <w:lang w:val="en-GB" w:eastAsia="x-none"/>
        </w:rPr>
        <w:t>黃之鋒</w:t>
      </w:r>
      <w:r w:rsidRPr="007733DC">
        <w:rPr>
          <w:rStyle w:val="FootnoteReference"/>
          <w:sz w:val="20"/>
          <w:vertAlign w:val="baseline"/>
          <w:lang w:val="en-GB" w:eastAsia="x-none"/>
        </w:rPr>
        <w:t>（終審法院的判決</w:t>
      </w:r>
      <w:proofErr w:type="spellEnd"/>
      <w:r w:rsidRPr="007733DC">
        <w:rPr>
          <w:rStyle w:val="FootnoteReference"/>
          <w:sz w:val="20"/>
          <w:vertAlign w:val="baseline"/>
          <w:lang w:val="en-GB" w:eastAsia="x-none"/>
        </w:rPr>
        <w:t>）（判詞第</w:t>
      </w:r>
      <w:r w:rsidRPr="007733DC">
        <w:rPr>
          <w:rStyle w:val="FootnoteReference"/>
          <w:sz w:val="20"/>
          <w:vertAlign w:val="baseline"/>
          <w:lang w:val="en-GB" w:eastAsia="x-none"/>
        </w:rPr>
        <w:t>95</w:t>
      </w:r>
      <w:r w:rsidRPr="007733DC">
        <w:rPr>
          <w:rStyle w:val="FootnoteReference"/>
          <w:sz w:val="20"/>
          <w:vertAlign w:val="baseline"/>
          <w:lang w:val="en-GB" w:eastAsia="x-none"/>
        </w:rPr>
        <w:t>段）。</w:t>
      </w:r>
    </w:p>
  </w:footnote>
  <w:footnote w:id="33">
    <w:p w:rsidR="009E3F24" w:rsidRPr="007733DC" w:rsidRDefault="009E3F24" w:rsidP="00D44878">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7733DC">
        <w:rPr>
          <w:rStyle w:val="FootnoteReference"/>
          <w:sz w:val="20"/>
          <w:lang w:val="en-GB" w:eastAsia="x-none"/>
        </w:rPr>
        <w:footnoteRef/>
      </w:r>
      <w:r w:rsidRPr="007733DC">
        <w:rPr>
          <w:rStyle w:val="FootnoteReference"/>
          <w:sz w:val="20"/>
          <w:lang w:val="en-GB" w:eastAsia="x-none"/>
        </w:rPr>
        <w:t xml:space="preserve"> </w:t>
      </w:r>
      <w:r w:rsidRPr="007733DC">
        <w:rPr>
          <w:rStyle w:val="FootnoteReference"/>
          <w:sz w:val="20"/>
          <w:lang w:val="en-GB" w:eastAsia="x-none"/>
        </w:rPr>
        <w:tab/>
      </w:r>
      <w:r w:rsidRPr="007733DC">
        <w:rPr>
          <w:rStyle w:val="FootnoteReference"/>
          <w:sz w:val="20"/>
          <w:vertAlign w:val="baseline"/>
          <w:lang w:val="en-GB" w:eastAsia="x-none"/>
        </w:rPr>
        <w:t>該案判詞第</w:t>
      </w:r>
      <w:r w:rsidRPr="007733DC">
        <w:rPr>
          <w:rStyle w:val="FootnoteReference"/>
          <w:sz w:val="20"/>
          <w:vertAlign w:val="baseline"/>
          <w:lang w:val="en-GB" w:eastAsia="x-none"/>
        </w:rPr>
        <w:t>113</w:t>
      </w:r>
      <w:r w:rsidRPr="007733DC">
        <w:rPr>
          <w:rStyle w:val="FootnoteReference"/>
          <w:sz w:val="20"/>
          <w:vertAlign w:val="baseline"/>
          <w:lang w:val="en-GB" w:eastAsia="x-none"/>
        </w:rPr>
        <w:t>至</w:t>
      </w:r>
      <w:r w:rsidRPr="007733DC">
        <w:rPr>
          <w:rStyle w:val="FootnoteReference"/>
          <w:sz w:val="20"/>
          <w:vertAlign w:val="baseline"/>
          <w:lang w:val="en-GB" w:eastAsia="x-none"/>
        </w:rPr>
        <w:t>121</w:t>
      </w:r>
      <w:proofErr w:type="spellStart"/>
      <w:r w:rsidRPr="007733DC">
        <w:rPr>
          <w:rStyle w:val="FootnoteReference"/>
          <w:sz w:val="20"/>
          <w:vertAlign w:val="baseline"/>
          <w:lang w:val="en-GB" w:eastAsia="x-none"/>
        </w:rPr>
        <w:t>段，標題「法</w:t>
      </w:r>
      <w:r w:rsidRPr="00C44D7D">
        <w:rPr>
          <w:rStyle w:val="FootnoteReference"/>
          <w:sz w:val="20"/>
          <w:vertAlign w:val="baseline"/>
          <w:lang w:val="en-GB" w:eastAsia="x-none"/>
        </w:rPr>
        <w:t>律對</w:t>
      </w:r>
      <w:r w:rsidRPr="00C44D7D">
        <w:rPr>
          <w:sz w:val="20"/>
          <w:lang w:val="en-GB" w:eastAsia="zh-HK"/>
        </w:rPr>
        <w:t>集會</w:t>
      </w:r>
      <w:r w:rsidRPr="00C44D7D">
        <w:rPr>
          <w:rStyle w:val="FootnoteReference"/>
          <w:sz w:val="20"/>
          <w:vertAlign w:val="baseline"/>
          <w:lang w:val="en-GB" w:eastAsia="x-none"/>
        </w:rPr>
        <w:t>權利的限制</w:t>
      </w:r>
      <w:proofErr w:type="spellEnd"/>
      <w:r w:rsidRPr="007733DC">
        <w:rPr>
          <w:rStyle w:val="FootnoteReference"/>
          <w:sz w:val="20"/>
          <w:vertAlign w:val="baseline"/>
          <w:lang w:val="en-GB" w:eastAsia="x-none"/>
        </w:rPr>
        <w:t>」。</w:t>
      </w:r>
    </w:p>
  </w:footnote>
  <w:footnote w:id="34">
    <w:p w:rsidR="009E3F24" w:rsidRPr="007733DC" w:rsidRDefault="009E3F24" w:rsidP="00D44878">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7733DC">
        <w:rPr>
          <w:rStyle w:val="FootnoteReference"/>
          <w:sz w:val="20"/>
          <w:lang w:val="en-GB" w:eastAsia="x-none"/>
        </w:rPr>
        <w:footnoteRef/>
      </w:r>
      <w:r w:rsidRPr="007733DC">
        <w:rPr>
          <w:rStyle w:val="FootnoteReference"/>
          <w:sz w:val="20"/>
          <w:lang w:val="en-GB" w:eastAsia="x-none"/>
        </w:rPr>
        <w:t xml:space="preserve"> </w:t>
      </w:r>
      <w:r w:rsidRPr="007733DC">
        <w:rPr>
          <w:sz w:val="20"/>
          <w:lang w:val="en-GB" w:eastAsia="x-none"/>
        </w:rPr>
        <w:tab/>
      </w:r>
      <w:r w:rsidRPr="007733DC">
        <w:rPr>
          <w:rStyle w:val="FootnoteReference"/>
          <w:sz w:val="20"/>
          <w:vertAlign w:val="baseline"/>
          <w:lang w:val="en-GB" w:eastAsia="x-none"/>
        </w:rPr>
        <w:t>該案判詞第</w:t>
      </w:r>
      <w:r w:rsidRPr="007733DC">
        <w:rPr>
          <w:rStyle w:val="FootnoteReference"/>
          <w:sz w:val="20"/>
          <w:vertAlign w:val="baseline"/>
          <w:lang w:val="en-GB" w:eastAsia="x-none"/>
        </w:rPr>
        <w:t>122</w:t>
      </w:r>
      <w:r w:rsidRPr="007733DC">
        <w:rPr>
          <w:rStyle w:val="FootnoteReference"/>
          <w:sz w:val="20"/>
          <w:vertAlign w:val="baseline"/>
          <w:lang w:val="en-GB" w:eastAsia="x-none"/>
        </w:rPr>
        <w:t>至</w:t>
      </w:r>
      <w:r w:rsidRPr="007733DC">
        <w:rPr>
          <w:rStyle w:val="FootnoteReference"/>
          <w:sz w:val="20"/>
          <w:vertAlign w:val="baseline"/>
          <w:lang w:val="en-GB" w:eastAsia="x-none"/>
        </w:rPr>
        <w:t>1</w:t>
      </w:r>
      <w:r w:rsidR="00CA123F">
        <w:rPr>
          <w:sz w:val="20"/>
          <w:lang w:val="en-GB" w:eastAsia="x-none"/>
        </w:rPr>
        <w:t>27</w:t>
      </w:r>
      <w:proofErr w:type="spellStart"/>
      <w:r w:rsidRPr="007733DC">
        <w:rPr>
          <w:rStyle w:val="FootnoteReference"/>
          <w:sz w:val="20"/>
          <w:vertAlign w:val="baseline"/>
          <w:lang w:val="en-GB" w:eastAsia="x-none"/>
        </w:rPr>
        <w:t>段，標題「非法集結的控罪要旨</w:t>
      </w:r>
      <w:proofErr w:type="spellEnd"/>
      <w:r w:rsidRPr="007733DC">
        <w:rPr>
          <w:rStyle w:val="FootnoteReference"/>
          <w:sz w:val="20"/>
          <w:vertAlign w:val="baseline"/>
          <w:lang w:val="en-GB" w:eastAsia="x-none"/>
        </w:rPr>
        <w:t>」。</w:t>
      </w:r>
    </w:p>
  </w:footnote>
  <w:footnote w:id="35">
    <w:p w:rsidR="009E3F24" w:rsidRPr="007733DC" w:rsidRDefault="009E3F24" w:rsidP="003210D5">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7733DC">
        <w:rPr>
          <w:rStyle w:val="FootnoteReference"/>
          <w:sz w:val="20"/>
          <w:lang w:val="en-GB" w:eastAsia="x-none"/>
        </w:rPr>
        <w:footnoteRef/>
      </w:r>
      <w:r w:rsidRPr="007733DC">
        <w:rPr>
          <w:rStyle w:val="FootnoteReference"/>
          <w:sz w:val="20"/>
          <w:lang w:val="en-GB" w:eastAsia="x-none"/>
        </w:rPr>
        <w:t xml:space="preserve"> </w:t>
      </w:r>
      <w:r w:rsidRPr="007733DC">
        <w:rPr>
          <w:sz w:val="20"/>
          <w:lang w:val="en-GB" w:eastAsia="x-none"/>
        </w:rPr>
        <w:tab/>
      </w:r>
      <w:r w:rsidRPr="007733DC">
        <w:rPr>
          <w:rStyle w:val="FootnoteReference"/>
          <w:sz w:val="20"/>
          <w:vertAlign w:val="baseline"/>
          <w:lang w:val="en-GB" w:eastAsia="x-none"/>
        </w:rPr>
        <w:t>該案判詞第</w:t>
      </w:r>
      <w:r w:rsidRPr="007733DC">
        <w:rPr>
          <w:rStyle w:val="FootnoteReference"/>
          <w:sz w:val="20"/>
          <w:vertAlign w:val="baseline"/>
          <w:lang w:val="en-GB" w:eastAsia="x-none"/>
        </w:rPr>
        <w:t>126</w:t>
      </w:r>
      <w:r w:rsidRPr="007733DC">
        <w:rPr>
          <w:rStyle w:val="FootnoteReference"/>
          <w:sz w:val="20"/>
          <w:vertAlign w:val="baseline"/>
          <w:lang w:val="en-GB" w:eastAsia="x-none"/>
        </w:rPr>
        <w:t>和</w:t>
      </w:r>
      <w:r w:rsidRPr="007733DC">
        <w:rPr>
          <w:rStyle w:val="FootnoteReference"/>
          <w:sz w:val="20"/>
          <w:vertAlign w:val="baseline"/>
          <w:lang w:val="en-GB" w:eastAsia="x-none"/>
        </w:rPr>
        <w:t>127</w:t>
      </w:r>
      <w:r w:rsidRPr="007733DC">
        <w:rPr>
          <w:rStyle w:val="FootnoteReference"/>
          <w:sz w:val="20"/>
          <w:vertAlign w:val="baseline"/>
          <w:lang w:val="en-GB" w:eastAsia="x-none"/>
        </w:rPr>
        <w:t>段。</w:t>
      </w:r>
    </w:p>
  </w:footnote>
  <w:footnote w:id="36">
    <w:p w:rsidR="009E3F24" w:rsidRPr="007733DC" w:rsidRDefault="009E3F24" w:rsidP="00B66AD2">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7733DC">
        <w:rPr>
          <w:rStyle w:val="FootnoteReference"/>
          <w:sz w:val="20"/>
          <w:lang w:val="en-GB" w:eastAsia="x-none"/>
        </w:rPr>
        <w:footnoteRef/>
      </w:r>
      <w:r w:rsidRPr="007733DC">
        <w:rPr>
          <w:rStyle w:val="FootnoteReference"/>
          <w:sz w:val="20"/>
          <w:lang w:val="en-GB" w:eastAsia="x-none"/>
        </w:rPr>
        <w:t xml:space="preserve"> </w:t>
      </w:r>
      <w:r w:rsidRPr="007733DC">
        <w:rPr>
          <w:sz w:val="20"/>
          <w:lang w:val="en-GB" w:eastAsia="x-none"/>
        </w:rPr>
        <w:tab/>
      </w:r>
      <w:r w:rsidRPr="007733DC">
        <w:rPr>
          <w:rStyle w:val="FootnoteReference"/>
          <w:sz w:val="20"/>
          <w:vertAlign w:val="baseline"/>
          <w:lang w:val="en-GB" w:eastAsia="x-none"/>
        </w:rPr>
        <w:t>在</w:t>
      </w:r>
      <w:r w:rsidRPr="007733DC">
        <w:rPr>
          <w:rStyle w:val="FootnoteReference"/>
          <w:sz w:val="20"/>
          <w:vertAlign w:val="baseline"/>
          <w:lang w:val="en-GB" w:eastAsia="x-none"/>
        </w:rPr>
        <w:t>H.5</w:t>
      </w:r>
      <w:proofErr w:type="spellStart"/>
      <w:r w:rsidRPr="007733DC">
        <w:rPr>
          <w:rStyle w:val="FootnoteReference"/>
          <w:sz w:val="20"/>
          <w:vertAlign w:val="baseline"/>
          <w:lang w:val="en-GB" w:eastAsia="x-none"/>
        </w:rPr>
        <w:t>分部</w:t>
      </w:r>
      <w:proofErr w:type="spellEnd"/>
      <w:r w:rsidRPr="007733DC">
        <w:rPr>
          <w:rStyle w:val="FootnoteReference"/>
          <w:sz w:val="20"/>
          <w:vertAlign w:val="baseline"/>
          <w:lang w:val="en-GB" w:eastAsia="x-none"/>
        </w:rPr>
        <w:t>（「</w:t>
      </w:r>
      <w:proofErr w:type="spellStart"/>
      <w:r w:rsidRPr="007733DC">
        <w:rPr>
          <w:rStyle w:val="FootnoteReference"/>
          <w:sz w:val="20"/>
          <w:vertAlign w:val="baseline"/>
          <w:lang w:val="en-GB" w:eastAsia="x-none"/>
        </w:rPr>
        <w:t>涉及暴力之非法集結的相關情節</w:t>
      </w:r>
      <w:proofErr w:type="spellEnd"/>
      <w:r w:rsidRPr="007733DC">
        <w:rPr>
          <w:rStyle w:val="FootnoteReference"/>
          <w:sz w:val="20"/>
          <w:vertAlign w:val="baseline"/>
          <w:lang w:val="en-GB" w:eastAsia="x-none"/>
        </w:rPr>
        <w:t>」）</w:t>
      </w:r>
      <w:proofErr w:type="spellStart"/>
      <w:r w:rsidRPr="007733DC">
        <w:rPr>
          <w:rStyle w:val="FootnoteReference"/>
          <w:sz w:val="20"/>
          <w:vertAlign w:val="baseline"/>
          <w:lang w:val="en-GB" w:eastAsia="x-none"/>
        </w:rPr>
        <w:t>之下</w:t>
      </w:r>
      <w:proofErr w:type="spellEnd"/>
      <w:r w:rsidRPr="007733DC">
        <w:rPr>
          <w:rStyle w:val="FootnoteReference"/>
          <w:sz w:val="20"/>
          <w:vertAlign w:val="baseline"/>
          <w:lang w:val="en-GB" w:eastAsia="x-none"/>
        </w:rPr>
        <w:t>。</w:t>
      </w:r>
    </w:p>
  </w:footnote>
  <w:footnote w:id="37">
    <w:p w:rsidR="009E3F24" w:rsidRPr="007733DC" w:rsidRDefault="009E3F24" w:rsidP="00B66AD2">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7733DC">
        <w:rPr>
          <w:rStyle w:val="FootnoteReference"/>
          <w:sz w:val="20"/>
          <w:lang w:val="en-GB" w:eastAsia="x-none"/>
        </w:rPr>
        <w:footnoteRef/>
      </w:r>
      <w:r w:rsidRPr="007733DC">
        <w:rPr>
          <w:rStyle w:val="FootnoteReference"/>
          <w:sz w:val="20"/>
          <w:lang w:val="en-GB" w:eastAsia="x-none"/>
        </w:rPr>
        <w:t xml:space="preserve"> </w:t>
      </w:r>
      <w:r w:rsidRPr="007733DC">
        <w:rPr>
          <w:sz w:val="20"/>
          <w:lang w:val="en-GB" w:eastAsia="x-none"/>
        </w:rPr>
        <w:tab/>
      </w:r>
      <w:r w:rsidRPr="007733DC">
        <w:rPr>
          <w:rStyle w:val="FootnoteReference"/>
          <w:sz w:val="20"/>
          <w:vertAlign w:val="baseline"/>
          <w:lang w:val="en-GB" w:eastAsia="x-none"/>
        </w:rPr>
        <w:t>見註釋</w:t>
      </w:r>
      <w:r w:rsidRPr="007733DC">
        <w:rPr>
          <w:rStyle w:val="FootnoteReference"/>
          <w:sz w:val="20"/>
          <w:vertAlign w:val="baseline"/>
          <w:lang w:val="en-GB" w:eastAsia="x-none"/>
        </w:rPr>
        <w:t>24</w:t>
      </w:r>
      <w:r w:rsidRPr="007733DC">
        <w:rPr>
          <w:rStyle w:val="FootnoteReference"/>
          <w:sz w:val="20"/>
          <w:vertAlign w:val="baseline"/>
          <w:lang w:val="en-GB" w:eastAsia="x-none"/>
        </w:rPr>
        <w:t>。</w:t>
      </w:r>
    </w:p>
  </w:footnote>
  <w:footnote w:id="38">
    <w:p w:rsidR="009E3F24" w:rsidRPr="007733DC" w:rsidRDefault="009E3F24" w:rsidP="00B66AD2">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7733DC">
        <w:rPr>
          <w:rStyle w:val="FootnoteReference"/>
          <w:sz w:val="20"/>
          <w:lang w:val="en-GB" w:eastAsia="x-none"/>
        </w:rPr>
        <w:footnoteRef/>
      </w:r>
      <w:r w:rsidRPr="007733DC">
        <w:rPr>
          <w:rStyle w:val="FootnoteReference"/>
          <w:sz w:val="20"/>
          <w:lang w:val="en-GB" w:eastAsia="x-none"/>
        </w:rPr>
        <w:t xml:space="preserve"> </w:t>
      </w:r>
      <w:r w:rsidRPr="007733DC">
        <w:rPr>
          <w:sz w:val="20"/>
          <w:lang w:val="en-GB" w:eastAsia="x-none"/>
        </w:rPr>
        <w:tab/>
      </w:r>
      <w:r w:rsidRPr="007733DC">
        <w:rPr>
          <w:rStyle w:val="FootnoteReference"/>
          <w:sz w:val="20"/>
          <w:vertAlign w:val="baseline"/>
          <w:lang w:val="en-GB" w:eastAsia="x-none"/>
        </w:rPr>
        <w:t>該案</w:t>
      </w:r>
      <w:r w:rsidRPr="007733DC">
        <w:rPr>
          <w:rStyle w:val="FootnoteReference"/>
          <w:sz w:val="20"/>
          <w:vertAlign w:val="baseline"/>
          <w:lang w:eastAsia="x-none"/>
        </w:rPr>
        <w:t>判詞第</w:t>
      </w:r>
      <w:r w:rsidRPr="007733DC">
        <w:rPr>
          <w:rStyle w:val="FootnoteReference"/>
          <w:sz w:val="20"/>
          <w:vertAlign w:val="baseline"/>
          <w:lang w:eastAsia="x-none"/>
        </w:rPr>
        <w:t>14(6)</w:t>
      </w:r>
      <w:r w:rsidRPr="007733DC">
        <w:rPr>
          <w:rStyle w:val="FootnoteReference"/>
          <w:sz w:val="20"/>
          <w:vertAlign w:val="baseline"/>
          <w:lang w:eastAsia="x-none"/>
        </w:rPr>
        <w:t>段</w:t>
      </w:r>
      <w:r w:rsidRPr="007733DC">
        <w:rPr>
          <w:rStyle w:val="FootnoteReference"/>
          <w:sz w:val="20"/>
          <w:vertAlign w:val="baseline"/>
          <w:lang w:val="en-GB" w:eastAsia="x-none"/>
        </w:rPr>
        <w:t>。</w:t>
      </w:r>
    </w:p>
  </w:footnote>
  <w:footnote w:id="39">
    <w:p w:rsidR="009E3F24" w:rsidRPr="007733DC" w:rsidRDefault="009E3F24" w:rsidP="00B66AD2">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7733DC">
        <w:rPr>
          <w:rStyle w:val="FootnoteReference"/>
          <w:sz w:val="20"/>
          <w:lang w:val="en-GB" w:eastAsia="x-none"/>
        </w:rPr>
        <w:footnoteRef/>
      </w:r>
      <w:r w:rsidRPr="007733DC">
        <w:rPr>
          <w:rStyle w:val="FootnoteReference"/>
          <w:sz w:val="20"/>
          <w:lang w:val="en-GB" w:eastAsia="x-none"/>
        </w:rPr>
        <w:t xml:space="preserve"> </w:t>
      </w:r>
      <w:r w:rsidRPr="007733DC">
        <w:rPr>
          <w:sz w:val="20"/>
          <w:lang w:val="en-GB" w:eastAsia="x-none"/>
        </w:rPr>
        <w:tab/>
      </w:r>
      <w:proofErr w:type="spellStart"/>
      <w:r w:rsidRPr="007733DC">
        <w:rPr>
          <w:rStyle w:val="FootnoteReference"/>
          <w:sz w:val="20"/>
          <w:vertAlign w:val="baseline"/>
          <w:lang w:val="en-GB" w:eastAsia="x-none"/>
        </w:rPr>
        <w:t>原文是</w:t>
      </w:r>
      <w:proofErr w:type="spellEnd"/>
      <w:r w:rsidRPr="007733DC">
        <w:rPr>
          <w:rStyle w:val="FootnoteReference"/>
          <w:sz w:val="20"/>
          <w:vertAlign w:val="baseline"/>
          <w:lang w:val="en-GB" w:eastAsia="x-none"/>
        </w:rPr>
        <w:t>：</w:t>
      </w:r>
      <w:r w:rsidRPr="007733DC">
        <w:rPr>
          <w:rStyle w:val="FootnoteReference"/>
          <w:sz w:val="20"/>
          <w:vertAlign w:val="baseline"/>
          <w:lang w:val="en-GB" w:eastAsia="x-none"/>
        </w:rPr>
        <w:t>“[E]</w:t>
      </w:r>
      <w:proofErr w:type="spellStart"/>
      <w:r w:rsidRPr="007733DC">
        <w:rPr>
          <w:rStyle w:val="FootnoteReference"/>
          <w:sz w:val="20"/>
          <w:vertAlign w:val="baseline"/>
          <w:lang w:val="en-GB" w:eastAsia="x-none"/>
        </w:rPr>
        <w:t>xpert</w:t>
      </w:r>
      <w:proofErr w:type="spellEnd"/>
      <w:r w:rsidRPr="007733DC">
        <w:rPr>
          <w:rStyle w:val="FootnoteReference"/>
          <w:sz w:val="20"/>
          <w:vertAlign w:val="baseline"/>
          <w:lang w:val="en-GB" w:eastAsia="x-none"/>
        </w:rPr>
        <w:t xml:space="preserve"> evidence shows, mask functions as a facilitator of anonymity. When anonymity joins with group function, participants’ responsibilities become easily diffused or shared. Individuals tend to feel they are being supported by a lot of people. This is an </w:t>
      </w:r>
      <w:proofErr w:type="spellStart"/>
      <w:r w:rsidRPr="007733DC">
        <w:rPr>
          <w:rStyle w:val="FootnoteReference"/>
          <w:sz w:val="20"/>
          <w:vertAlign w:val="baseline"/>
          <w:lang w:val="en-GB" w:eastAsia="x-none"/>
        </w:rPr>
        <w:t>emboldenment</w:t>
      </w:r>
      <w:proofErr w:type="spellEnd"/>
      <w:r w:rsidRPr="007733DC">
        <w:rPr>
          <w:rStyle w:val="FootnoteReference"/>
          <w:sz w:val="20"/>
          <w:vertAlign w:val="baseline"/>
          <w:lang w:val="en-GB" w:eastAsia="x-none"/>
        </w:rPr>
        <w:t xml:space="preserve"> effect. If the dominant group value or purpose in the situation is anti-social, the individual will conform to that and more likely to act anti-socially.” </w:t>
      </w:r>
    </w:p>
  </w:footnote>
  <w:footnote w:id="40">
    <w:p w:rsidR="009E3F24" w:rsidRPr="007733DC" w:rsidRDefault="009E3F24" w:rsidP="00C36654">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7733DC">
        <w:rPr>
          <w:rStyle w:val="FootnoteReference"/>
          <w:sz w:val="20"/>
          <w:lang w:val="en-GB" w:eastAsia="x-none"/>
        </w:rPr>
        <w:footnoteRef/>
      </w:r>
      <w:r w:rsidRPr="007733DC">
        <w:rPr>
          <w:rStyle w:val="FootnoteReference"/>
          <w:sz w:val="20"/>
          <w:lang w:val="en-GB" w:eastAsia="x-none"/>
        </w:rPr>
        <w:t xml:space="preserve"> </w:t>
      </w:r>
      <w:r w:rsidRPr="007733DC">
        <w:rPr>
          <w:sz w:val="20"/>
          <w:lang w:val="en-GB" w:eastAsia="x-none"/>
        </w:rPr>
        <w:tab/>
      </w:r>
      <w:proofErr w:type="spellStart"/>
      <w:r w:rsidRPr="007733DC">
        <w:rPr>
          <w:rStyle w:val="FootnoteReference"/>
          <w:sz w:val="20"/>
          <w:vertAlign w:val="baseline"/>
          <w:lang w:val="en-GB" w:eastAsia="x-none"/>
        </w:rPr>
        <w:t>原文是</w:t>
      </w:r>
      <w:proofErr w:type="spellEnd"/>
      <w:r w:rsidRPr="007733DC">
        <w:rPr>
          <w:rStyle w:val="FootnoteReference"/>
          <w:sz w:val="20"/>
          <w:vertAlign w:val="baseline"/>
          <w:lang w:val="en-GB" w:eastAsia="x-none"/>
        </w:rPr>
        <w:t>：</w:t>
      </w:r>
      <w:r w:rsidRPr="007733DC">
        <w:rPr>
          <w:rStyle w:val="FootnoteReference"/>
          <w:sz w:val="20"/>
          <w:vertAlign w:val="baseline"/>
          <w:lang w:val="en-GB" w:eastAsia="x-none"/>
        </w:rPr>
        <w:t>“Given the potential for rapid deterioration of the situation and the serious ramifications for the maintenance of law and order and safety of those at the scene in gatherings involving large number of persons</w:t>
      </w:r>
      <w:r w:rsidRPr="007733DC">
        <w:rPr>
          <w:rStyle w:val="FootnoteReference"/>
          <w:sz w:val="20"/>
          <w:vertAlign w:val="baseline"/>
          <w:lang w:val="en-GB" w:eastAsia="x-none"/>
        </w:rPr>
        <w:t>，</w:t>
      </w:r>
      <w:r w:rsidRPr="007733DC">
        <w:rPr>
          <w:rStyle w:val="FootnoteReference"/>
          <w:sz w:val="20"/>
          <w:vertAlign w:val="baseline"/>
          <w:lang w:val="en-GB" w:eastAsia="x-none"/>
        </w:rPr>
        <w:t xml:space="preserve">a person who refuses to disperse and leave an assembly after </w:t>
      </w:r>
      <w:r w:rsidR="00CA123F">
        <w:rPr>
          <w:sz w:val="20"/>
          <w:lang w:val="en-GB" w:eastAsia="x-none"/>
        </w:rPr>
        <w:t>the</w:t>
      </w:r>
      <w:r w:rsidRPr="007733DC">
        <w:rPr>
          <w:rStyle w:val="FootnoteReference"/>
          <w:sz w:val="20"/>
          <w:vertAlign w:val="baseline"/>
          <w:lang w:val="en-GB" w:eastAsia="x-none"/>
        </w:rPr>
        <w:t xml:space="preserve"> order is publicly announced perpetuates a state of affairs which disrupts public order and gives rise to a serious threat of breach of the peace. By remaining at the assembly, even without the commission of further act of violence or threat of violence, such person perpetuates the worsening situation which can potentially escalate to serious violent confrontations ..….”</w:t>
      </w:r>
    </w:p>
  </w:footnote>
  <w:footnote w:id="41">
    <w:p w:rsidR="009E3F24" w:rsidRPr="007733DC" w:rsidRDefault="009E3F24" w:rsidP="00FE255A">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7733DC">
        <w:rPr>
          <w:rStyle w:val="FootnoteReference"/>
          <w:sz w:val="20"/>
          <w:lang w:val="en-GB" w:eastAsia="x-none"/>
        </w:rPr>
        <w:footnoteRef/>
      </w:r>
      <w:r w:rsidRPr="007733DC">
        <w:rPr>
          <w:rStyle w:val="FootnoteReference"/>
          <w:sz w:val="20"/>
          <w:lang w:val="en-GB" w:eastAsia="x-none"/>
        </w:rPr>
        <w:t xml:space="preserve"> </w:t>
      </w:r>
      <w:r w:rsidRPr="007733DC">
        <w:rPr>
          <w:sz w:val="20"/>
          <w:lang w:val="en-GB" w:eastAsia="x-none"/>
        </w:rPr>
        <w:tab/>
      </w:r>
      <w:r w:rsidRPr="007733DC">
        <w:rPr>
          <w:rStyle w:val="FootnoteReference"/>
          <w:i/>
          <w:sz w:val="20"/>
          <w:vertAlign w:val="baseline"/>
          <w:lang w:val="en-GB" w:eastAsia="x-none"/>
        </w:rPr>
        <w:t xml:space="preserve">HKSAR v Tang </w:t>
      </w:r>
      <w:proofErr w:type="spellStart"/>
      <w:r w:rsidRPr="007733DC">
        <w:rPr>
          <w:rStyle w:val="FootnoteReference"/>
          <w:i/>
          <w:sz w:val="20"/>
          <w:vertAlign w:val="baseline"/>
          <w:lang w:val="en-GB" w:eastAsia="x-none"/>
        </w:rPr>
        <w:t>Ho</w:t>
      </w:r>
      <w:proofErr w:type="spellEnd"/>
      <w:r w:rsidRPr="007733DC">
        <w:rPr>
          <w:rStyle w:val="FootnoteReference"/>
          <w:i/>
          <w:sz w:val="20"/>
          <w:vertAlign w:val="baseline"/>
          <w:lang w:val="en-GB" w:eastAsia="x-none"/>
        </w:rPr>
        <w:t xml:space="preserve"> Yin</w:t>
      </w:r>
      <w:r w:rsidRPr="007733DC">
        <w:rPr>
          <w:rStyle w:val="FootnoteReference"/>
          <w:sz w:val="20"/>
          <w:vertAlign w:val="baseline"/>
          <w:lang w:val="en-GB" w:eastAsia="x-none"/>
        </w:rPr>
        <w:t xml:space="preserve"> [2019] 3 HKLRD 502</w:t>
      </w:r>
      <w:r w:rsidRPr="007733DC">
        <w:rPr>
          <w:rStyle w:val="FootnoteReference"/>
          <w:sz w:val="20"/>
          <w:vertAlign w:val="baseline"/>
          <w:lang w:val="en-GB" w:eastAsia="x-none"/>
        </w:rPr>
        <w:t>。</w:t>
      </w:r>
    </w:p>
  </w:footnote>
  <w:footnote w:id="42">
    <w:p w:rsidR="009E3F24" w:rsidRPr="007733DC" w:rsidRDefault="009E3F24" w:rsidP="00FE255A">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7733DC">
        <w:rPr>
          <w:rStyle w:val="FootnoteReference"/>
          <w:sz w:val="20"/>
          <w:lang w:val="en-GB" w:eastAsia="x-none"/>
        </w:rPr>
        <w:footnoteRef/>
      </w:r>
      <w:r w:rsidRPr="007733DC">
        <w:rPr>
          <w:rStyle w:val="FootnoteReference"/>
          <w:sz w:val="20"/>
          <w:lang w:val="en-GB" w:eastAsia="x-none"/>
        </w:rPr>
        <w:t xml:space="preserve"> </w:t>
      </w:r>
      <w:r w:rsidRPr="007733DC">
        <w:rPr>
          <w:sz w:val="20"/>
          <w:lang w:val="en-GB" w:eastAsia="x-none"/>
        </w:rPr>
        <w:tab/>
      </w:r>
      <w:proofErr w:type="spellStart"/>
      <w:r w:rsidRPr="007733DC">
        <w:rPr>
          <w:rStyle w:val="FootnoteReference"/>
          <w:sz w:val="20"/>
          <w:vertAlign w:val="baseline"/>
          <w:lang w:val="en-GB" w:eastAsia="x-none"/>
        </w:rPr>
        <w:t>原文是</w:t>
      </w:r>
      <w:proofErr w:type="spellEnd"/>
      <w:r w:rsidRPr="007733DC">
        <w:rPr>
          <w:rStyle w:val="FootnoteReference"/>
          <w:sz w:val="20"/>
          <w:vertAlign w:val="baseline"/>
          <w:lang w:val="en-GB" w:eastAsia="x-none"/>
        </w:rPr>
        <w:t>：</w:t>
      </w:r>
      <w:r w:rsidRPr="007733DC">
        <w:rPr>
          <w:rStyle w:val="FootnoteReference"/>
          <w:sz w:val="20"/>
          <w:vertAlign w:val="baseline"/>
          <w:lang w:val="en-GB" w:eastAsia="x-none"/>
        </w:rPr>
        <w:t>“[T]he inevitable danger of any highly charged confrontation is that violence that is not contained or controlled will escalate; particularly where law enforcement officers are heavily outnumbered. Such an escalation may result in widespread damage, arson, looting, injury and even death.”</w:t>
      </w:r>
    </w:p>
  </w:footnote>
  <w:footnote w:id="43">
    <w:p w:rsidR="009E3F24" w:rsidRPr="007733DC" w:rsidRDefault="009E3F24" w:rsidP="004B61D7">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7733DC">
        <w:rPr>
          <w:rStyle w:val="FootnoteReference"/>
          <w:sz w:val="20"/>
          <w:lang w:val="en-GB" w:eastAsia="x-none"/>
        </w:rPr>
        <w:footnoteRef/>
      </w:r>
      <w:r w:rsidRPr="007733DC">
        <w:rPr>
          <w:rStyle w:val="FootnoteReference"/>
          <w:sz w:val="20"/>
          <w:lang w:val="en-GB" w:eastAsia="x-none"/>
        </w:rPr>
        <w:t xml:space="preserve"> </w:t>
      </w:r>
      <w:r w:rsidRPr="007733DC">
        <w:rPr>
          <w:rStyle w:val="FootnoteReference"/>
          <w:sz w:val="20"/>
          <w:lang w:val="en-GB" w:eastAsia="x-none"/>
        </w:rPr>
        <w:tab/>
      </w:r>
      <w:r w:rsidRPr="007733DC">
        <w:rPr>
          <w:rStyle w:val="FootnoteReference"/>
          <w:sz w:val="20"/>
          <w:vertAlign w:val="baseline"/>
          <w:lang w:val="en-GB" w:eastAsia="x-none"/>
        </w:rPr>
        <w:t>該聆訊進行了兩天，判決書則要待</w:t>
      </w:r>
      <w:r w:rsidRPr="007733DC">
        <w:rPr>
          <w:rStyle w:val="FootnoteReference"/>
          <w:sz w:val="20"/>
          <w:vertAlign w:val="baseline"/>
          <w:lang w:val="en-GB" w:eastAsia="x-none"/>
        </w:rPr>
        <w:t>2019</w:t>
      </w:r>
      <w:r w:rsidRPr="007733DC">
        <w:rPr>
          <w:rStyle w:val="FootnoteReference"/>
          <w:sz w:val="20"/>
          <w:vertAlign w:val="baseline"/>
          <w:lang w:val="en-GB" w:eastAsia="x-none"/>
        </w:rPr>
        <w:t>年</w:t>
      </w:r>
      <w:r w:rsidRPr="007733DC">
        <w:rPr>
          <w:rStyle w:val="FootnoteReference"/>
          <w:sz w:val="20"/>
          <w:vertAlign w:val="baseline"/>
          <w:lang w:val="en-GB" w:eastAsia="x-none"/>
        </w:rPr>
        <w:t>11</w:t>
      </w:r>
      <w:r w:rsidRPr="007733DC">
        <w:rPr>
          <w:rStyle w:val="FootnoteReference"/>
          <w:sz w:val="20"/>
          <w:vertAlign w:val="baseline"/>
          <w:lang w:val="en-GB" w:eastAsia="x-none"/>
        </w:rPr>
        <w:t>月</w:t>
      </w:r>
      <w:r w:rsidRPr="007733DC">
        <w:rPr>
          <w:rStyle w:val="FootnoteReference"/>
          <w:sz w:val="20"/>
          <w:vertAlign w:val="baseline"/>
          <w:lang w:val="en-GB" w:eastAsia="x-none"/>
        </w:rPr>
        <w:t>18</w:t>
      </w:r>
      <w:proofErr w:type="spellStart"/>
      <w:r w:rsidRPr="007733DC">
        <w:rPr>
          <w:rStyle w:val="FootnoteReference"/>
          <w:sz w:val="20"/>
          <w:vertAlign w:val="baseline"/>
          <w:lang w:val="en-GB" w:eastAsia="x-none"/>
        </w:rPr>
        <w:t>日才頒下，如何執行判決的命令則要再遲三天</w:t>
      </w:r>
      <w:proofErr w:type="spellEnd"/>
      <w:r w:rsidRPr="007733DC">
        <w:rPr>
          <w:rStyle w:val="FootnoteReference"/>
          <w:sz w:val="20"/>
          <w:vertAlign w:val="baseline"/>
          <w:lang w:val="en-GB" w:eastAsia="x-none"/>
        </w:rPr>
        <w:t>。</w:t>
      </w:r>
    </w:p>
  </w:footnote>
  <w:footnote w:id="44">
    <w:p w:rsidR="009E3F24" w:rsidRPr="007733DC" w:rsidRDefault="009E3F24" w:rsidP="004B61D7">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7733DC">
        <w:rPr>
          <w:rStyle w:val="FootnoteReference"/>
          <w:sz w:val="20"/>
          <w:lang w:val="en-GB" w:eastAsia="x-none"/>
        </w:rPr>
        <w:footnoteRef/>
      </w:r>
      <w:r w:rsidRPr="007733DC">
        <w:rPr>
          <w:rStyle w:val="FootnoteReference"/>
          <w:sz w:val="20"/>
          <w:lang w:val="en-GB" w:eastAsia="x-none"/>
        </w:rPr>
        <w:t xml:space="preserve"> </w:t>
      </w:r>
      <w:r w:rsidRPr="007733DC">
        <w:rPr>
          <w:sz w:val="20"/>
          <w:lang w:val="en-GB" w:eastAsia="x-none"/>
        </w:rPr>
        <w:tab/>
      </w:r>
      <w:r w:rsidRPr="007733DC">
        <w:rPr>
          <w:rStyle w:val="FootnoteReference"/>
          <w:sz w:val="20"/>
          <w:vertAlign w:val="baseline"/>
          <w:lang w:val="en-GB" w:eastAsia="x-none"/>
        </w:rPr>
        <w:t>上訴卷宗</w:t>
      </w:r>
      <w:r w:rsidRPr="007733DC">
        <w:rPr>
          <w:rStyle w:val="FootnoteReference"/>
          <w:sz w:val="20"/>
          <w:vertAlign w:val="baseline"/>
          <w:lang w:val="en-GB" w:eastAsia="x-none"/>
        </w:rPr>
        <w:t>41</w:t>
      </w:r>
      <w:proofErr w:type="spellStart"/>
      <w:r w:rsidRPr="007733DC">
        <w:rPr>
          <w:rStyle w:val="FootnoteReference"/>
          <w:sz w:val="20"/>
          <w:vertAlign w:val="baseline"/>
          <w:lang w:val="en-GB" w:eastAsia="x-none"/>
        </w:rPr>
        <w:t>頁</w:t>
      </w:r>
      <w:r w:rsidRPr="007733DC">
        <w:rPr>
          <w:rStyle w:val="FootnoteReference"/>
          <w:sz w:val="20"/>
          <w:vertAlign w:val="baseline"/>
          <w:lang w:val="en-GB" w:eastAsia="x-none"/>
        </w:rPr>
        <w:t>D</w:t>
      </w:r>
      <w:proofErr w:type="spellEnd"/>
      <w:r w:rsidRPr="007733DC">
        <w:rPr>
          <w:rStyle w:val="FootnoteReference"/>
          <w:sz w:val="20"/>
          <w:vertAlign w:val="baseline"/>
          <w:lang w:val="en-GB" w:eastAsia="x-none"/>
        </w:rPr>
        <w:t>。</w:t>
      </w:r>
    </w:p>
  </w:footnote>
  <w:footnote w:id="45">
    <w:p w:rsidR="009E3F24" w:rsidRPr="007733DC" w:rsidRDefault="009E3F24" w:rsidP="004B61D7">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7733DC">
        <w:rPr>
          <w:rStyle w:val="FootnoteReference"/>
          <w:sz w:val="20"/>
          <w:lang w:val="en-GB" w:eastAsia="x-none"/>
        </w:rPr>
        <w:footnoteRef/>
      </w:r>
      <w:r w:rsidRPr="007733DC">
        <w:rPr>
          <w:rStyle w:val="FootnoteReference"/>
          <w:sz w:val="20"/>
          <w:lang w:val="en-GB" w:eastAsia="x-none"/>
        </w:rPr>
        <w:t xml:space="preserve"> </w:t>
      </w:r>
      <w:r w:rsidRPr="007733DC">
        <w:rPr>
          <w:sz w:val="20"/>
          <w:lang w:val="en-GB" w:eastAsia="x-none"/>
        </w:rPr>
        <w:tab/>
      </w:r>
      <w:proofErr w:type="spellStart"/>
      <w:r w:rsidRPr="007733DC">
        <w:rPr>
          <w:rStyle w:val="FootnoteReference"/>
          <w:i/>
          <w:sz w:val="20"/>
          <w:vertAlign w:val="baseline"/>
          <w:lang w:val="en-GB" w:eastAsia="x-none"/>
        </w:rPr>
        <w:t>律政司司長</w:t>
      </w:r>
      <w:proofErr w:type="spellEnd"/>
      <w:r w:rsidRPr="007733DC">
        <w:rPr>
          <w:rStyle w:val="FootnoteReference"/>
          <w:i/>
          <w:sz w:val="20"/>
          <w:vertAlign w:val="baseline"/>
          <w:lang w:val="en-GB" w:eastAsia="x-none"/>
        </w:rPr>
        <w:t xml:space="preserve"> </w:t>
      </w:r>
      <w:r w:rsidRPr="007733DC">
        <w:rPr>
          <w:rStyle w:val="FootnoteReference"/>
          <w:i/>
          <w:sz w:val="20"/>
          <w:vertAlign w:val="baseline"/>
          <w:lang w:val="en-GB" w:eastAsia="x-none"/>
        </w:rPr>
        <w:t>訴</w:t>
      </w:r>
      <w:r w:rsidRPr="007733DC">
        <w:rPr>
          <w:rStyle w:val="FootnoteReference"/>
          <w:i/>
          <w:sz w:val="20"/>
          <w:vertAlign w:val="baseline"/>
          <w:lang w:val="en-GB" w:eastAsia="x-none"/>
        </w:rPr>
        <w:t xml:space="preserve"> </w:t>
      </w:r>
      <w:proofErr w:type="spellStart"/>
      <w:r w:rsidRPr="007733DC">
        <w:rPr>
          <w:rStyle w:val="FootnoteReference"/>
          <w:i/>
          <w:sz w:val="20"/>
          <w:vertAlign w:val="baseline"/>
          <w:lang w:val="en-GB" w:eastAsia="x-none"/>
        </w:rPr>
        <w:t>羅敏聰</w:t>
      </w:r>
      <w:proofErr w:type="spellEnd"/>
      <w:r w:rsidRPr="007733DC">
        <w:rPr>
          <w:rStyle w:val="FootnoteReference"/>
          <w:sz w:val="20"/>
          <w:vertAlign w:val="baseline"/>
          <w:lang w:val="en-GB" w:eastAsia="x-none"/>
        </w:rPr>
        <w:t xml:space="preserve"> CAAR 4/2019</w:t>
      </w:r>
      <w:r w:rsidRPr="007733DC">
        <w:rPr>
          <w:rStyle w:val="FootnoteReference"/>
          <w:sz w:val="20"/>
          <w:vertAlign w:val="baseline"/>
          <w:lang w:val="en-GB" w:eastAsia="x-none"/>
        </w:rPr>
        <w:t>（判詞第</w:t>
      </w:r>
      <w:r w:rsidRPr="007733DC">
        <w:rPr>
          <w:rStyle w:val="FootnoteReference"/>
          <w:sz w:val="20"/>
          <w:vertAlign w:val="baseline"/>
          <w:lang w:val="en-GB" w:eastAsia="x-none"/>
        </w:rPr>
        <w:t xml:space="preserve">34(2) </w:t>
      </w:r>
      <w:r w:rsidRPr="007733DC">
        <w:rPr>
          <w:rStyle w:val="FootnoteReference"/>
          <w:sz w:val="20"/>
          <w:vertAlign w:val="baseline"/>
          <w:lang w:val="en-GB" w:eastAsia="x-none"/>
        </w:rPr>
        <w:t>和</w:t>
      </w:r>
      <w:r w:rsidRPr="007733DC">
        <w:rPr>
          <w:rStyle w:val="FootnoteReference"/>
          <w:sz w:val="20"/>
          <w:vertAlign w:val="baseline"/>
          <w:lang w:val="en-GB" w:eastAsia="x-none"/>
        </w:rPr>
        <w:t>38</w:t>
      </w:r>
      <w:r w:rsidRPr="007733DC">
        <w:rPr>
          <w:rStyle w:val="FootnoteReference"/>
          <w:sz w:val="20"/>
          <w:vertAlign w:val="baseline"/>
          <w:lang w:val="en-GB" w:eastAsia="x-none"/>
        </w:rPr>
        <w:t>段）。</w:t>
      </w:r>
    </w:p>
  </w:footnote>
  <w:footnote w:id="46">
    <w:p w:rsidR="009E3F24" w:rsidRPr="007733DC" w:rsidRDefault="009E3F24" w:rsidP="004B61D7">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7733DC">
        <w:rPr>
          <w:rStyle w:val="FootnoteReference"/>
          <w:sz w:val="20"/>
          <w:lang w:val="en-GB" w:eastAsia="x-none"/>
        </w:rPr>
        <w:footnoteRef/>
      </w:r>
      <w:r w:rsidRPr="007733DC">
        <w:rPr>
          <w:rStyle w:val="FootnoteReference"/>
          <w:sz w:val="20"/>
          <w:lang w:val="en-GB" w:eastAsia="x-none"/>
        </w:rPr>
        <w:t xml:space="preserve"> </w:t>
      </w:r>
      <w:r w:rsidRPr="007733DC">
        <w:rPr>
          <w:sz w:val="20"/>
          <w:lang w:val="en-GB" w:eastAsia="x-none"/>
        </w:rPr>
        <w:tab/>
      </w:r>
      <w:proofErr w:type="spellStart"/>
      <w:r w:rsidRPr="007733DC">
        <w:rPr>
          <w:rStyle w:val="FootnoteReference"/>
          <w:i/>
          <w:sz w:val="20"/>
          <w:vertAlign w:val="baseline"/>
          <w:lang w:val="en-GB" w:eastAsia="x-none"/>
        </w:rPr>
        <w:t>律政司司長</w:t>
      </w:r>
      <w:proofErr w:type="spellEnd"/>
      <w:r w:rsidRPr="007733DC">
        <w:rPr>
          <w:rStyle w:val="FootnoteReference"/>
          <w:i/>
          <w:sz w:val="20"/>
          <w:vertAlign w:val="baseline"/>
          <w:lang w:val="en-GB" w:eastAsia="x-none"/>
        </w:rPr>
        <w:t xml:space="preserve"> </w:t>
      </w:r>
      <w:r w:rsidRPr="007733DC">
        <w:rPr>
          <w:rStyle w:val="FootnoteReference"/>
          <w:i/>
          <w:sz w:val="20"/>
          <w:vertAlign w:val="baseline"/>
          <w:lang w:val="en-GB" w:eastAsia="x-none"/>
        </w:rPr>
        <w:t>訴</w:t>
      </w:r>
      <w:r w:rsidRPr="007733DC">
        <w:rPr>
          <w:rStyle w:val="FootnoteReference"/>
          <w:i/>
          <w:sz w:val="20"/>
          <w:vertAlign w:val="baseline"/>
          <w:lang w:val="en-GB" w:eastAsia="x-none"/>
        </w:rPr>
        <w:t xml:space="preserve"> </w:t>
      </w:r>
      <w:proofErr w:type="spellStart"/>
      <w:r w:rsidRPr="007733DC">
        <w:rPr>
          <w:rStyle w:val="FootnoteReference"/>
          <w:i/>
          <w:sz w:val="20"/>
          <w:vertAlign w:val="baseline"/>
          <w:lang w:val="en-GB" w:eastAsia="x-none"/>
        </w:rPr>
        <w:t>龔逸勤</w:t>
      </w:r>
      <w:proofErr w:type="spellEnd"/>
      <w:r w:rsidRPr="007733DC">
        <w:rPr>
          <w:rStyle w:val="FootnoteReference"/>
          <w:sz w:val="20"/>
          <w:vertAlign w:val="baseline"/>
          <w:lang w:val="en-GB" w:eastAsia="x-none"/>
        </w:rPr>
        <w:t xml:space="preserve"> CAAR 8/2020</w:t>
      </w:r>
      <w:r w:rsidRPr="007733DC">
        <w:rPr>
          <w:rStyle w:val="FootnoteReference"/>
          <w:sz w:val="20"/>
          <w:vertAlign w:val="baseline"/>
          <w:lang w:val="en-GB" w:eastAsia="x-none"/>
        </w:rPr>
        <w:t>（判詞第</w:t>
      </w:r>
      <w:r w:rsidRPr="007733DC">
        <w:rPr>
          <w:rStyle w:val="FootnoteReference"/>
          <w:sz w:val="20"/>
          <w:vertAlign w:val="baseline"/>
          <w:lang w:val="en-GB" w:eastAsia="x-none"/>
        </w:rPr>
        <w:t>40</w:t>
      </w:r>
      <w:r w:rsidRPr="007733DC">
        <w:rPr>
          <w:rStyle w:val="FootnoteReference"/>
          <w:sz w:val="20"/>
          <w:vertAlign w:val="baseline"/>
          <w:lang w:val="en-GB" w:eastAsia="x-none"/>
        </w:rPr>
        <w:t>和</w:t>
      </w:r>
      <w:r w:rsidRPr="007733DC">
        <w:rPr>
          <w:rStyle w:val="FootnoteReference"/>
          <w:sz w:val="20"/>
          <w:vertAlign w:val="baseline"/>
          <w:lang w:val="en-GB" w:eastAsia="x-none"/>
        </w:rPr>
        <w:t>41</w:t>
      </w:r>
      <w:r w:rsidRPr="007733DC">
        <w:rPr>
          <w:rStyle w:val="FootnoteReference"/>
          <w:sz w:val="20"/>
          <w:vertAlign w:val="baseline"/>
          <w:lang w:val="en-GB" w:eastAsia="x-none"/>
        </w:rPr>
        <w:t>段）。</w:t>
      </w:r>
    </w:p>
  </w:footnote>
  <w:footnote w:id="47">
    <w:p w:rsidR="009E3F24" w:rsidRPr="00907BF7" w:rsidRDefault="009E3F24" w:rsidP="004B61D7">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907BF7">
        <w:rPr>
          <w:rStyle w:val="FootnoteReference"/>
          <w:sz w:val="20"/>
          <w:lang w:val="en-GB" w:eastAsia="x-none"/>
        </w:rPr>
        <w:footnoteRef/>
      </w:r>
      <w:r w:rsidRPr="00907BF7">
        <w:rPr>
          <w:rStyle w:val="FootnoteReference"/>
          <w:sz w:val="20"/>
          <w:lang w:val="en-GB" w:eastAsia="x-none"/>
        </w:rPr>
        <w:t xml:space="preserve"> </w:t>
      </w:r>
      <w:r w:rsidRPr="00907BF7">
        <w:rPr>
          <w:sz w:val="20"/>
          <w:lang w:val="en-GB" w:eastAsia="x-none"/>
        </w:rPr>
        <w:tab/>
      </w:r>
      <w:proofErr w:type="spellStart"/>
      <w:r w:rsidRPr="00907BF7">
        <w:rPr>
          <w:rStyle w:val="FootnoteReference"/>
          <w:i/>
          <w:sz w:val="20"/>
          <w:vertAlign w:val="baseline"/>
          <w:lang w:val="en-GB" w:eastAsia="x-none"/>
        </w:rPr>
        <w:t>女皇</w:t>
      </w:r>
      <w:proofErr w:type="spellEnd"/>
      <w:r w:rsidRPr="00907BF7">
        <w:rPr>
          <w:rStyle w:val="FootnoteReference"/>
          <w:i/>
          <w:sz w:val="20"/>
          <w:vertAlign w:val="baseline"/>
          <w:lang w:val="en-GB" w:eastAsia="x-none"/>
        </w:rPr>
        <w:t xml:space="preserve"> </w:t>
      </w:r>
      <w:r w:rsidRPr="00907BF7">
        <w:rPr>
          <w:rStyle w:val="FootnoteReference"/>
          <w:i/>
          <w:sz w:val="20"/>
          <w:vertAlign w:val="baseline"/>
          <w:lang w:val="en-GB" w:eastAsia="x-none"/>
        </w:rPr>
        <w:t>訴</w:t>
      </w:r>
      <w:r w:rsidRPr="00907BF7">
        <w:rPr>
          <w:rStyle w:val="FootnoteReference"/>
          <w:i/>
          <w:sz w:val="20"/>
          <w:vertAlign w:val="baseline"/>
          <w:lang w:val="en-GB" w:eastAsia="x-none"/>
        </w:rPr>
        <w:t xml:space="preserve"> </w:t>
      </w:r>
      <w:proofErr w:type="spellStart"/>
      <w:r w:rsidRPr="00907BF7">
        <w:rPr>
          <w:rStyle w:val="FootnoteReference"/>
          <w:i/>
          <w:sz w:val="20"/>
          <w:vertAlign w:val="baseline"/>
          <w:lang w:val="en-GB" w:eastAsia="x-none"/>
        </w:rPr>
        <w:t>陶君行</w:t>
      </w:r>
      <w:proofErr w:type="spellEnd"/>
      <w:r w:rsidRPr="00907BF7">
        <w:rPr>
          <w:rStyle w:val="FootnoteReference"/>
          <w:sz w:val="20"/>
          <w:vertAlign w:val="baseline"/>
          <w:lang w:val="en-GB" w:eastAsia="x-none"/>
        </w:rPr>
        <w:t xml:space="preserve"> [1995] 1 HKCLR 251</w:t>
      </w:r>
      <w:r w:rsidRPr="00907BF7">
        <w:rPr>
          <w:rStyle w:val="FootnoteReference"/>
          <w:rFonts w:hint="eastAsia"/>
          <w:sz w:val="20"/>
          <w:vertAlign w:val="baseline"/>
          <w:lang w:val="en-GB" w:eastAsia="x-none"/>
        </w:rPr>
        <w:t>（判詞第</w:t>
      </w:r>
      <w:r w:rsidRPr="00907BF7">
        <w:rPr>
          <w:rStyle w:val="FootnoteReference"/>
          <w:rFonts w:hint="eastAsia"/>
          <w:sz w:val="20"/>
          <w:vertAlign w:val="baseline"/>
          <w:lang w:val="en-GB" w:eastAsia="x-none"/>
        </w:rPr>
        <w:t>257</w:t>
      </w:r>
      <w:r w:rsidRPr="00907BF7">
        <w:rPr>
          <w:rStyle w:val="FootnoteReference"/>
          <w:rFonts w:hint="eastAsia"/>
          <w:sz w:val="20"/>
          <w:vertAlign w:val="baseline"/>
          <w:lang w:val="en-GB" w:eastAsia="x-none"/>
        </w:rPr>
        <w:t>頁）</w:t>
      </w:r>
      <w:r w:rsidRPr="00907BF7">
        <w:rPr>
          <w:rStyle w:val="FootnoteReference"/>
          <w:sz w:val="20"/>
          <w:vertAlign w:val="baseline"/>
          <w:lang w:val="en-GB" w:eastAsia="x-none"/>
        </w:rPr>
        <w:t>。</w:t>
      </w:r>
    </w:p>
  </w:footnote>
  <w:footnote w:id="48">
    <w:p w:rsidR="009E3F24" w:rsidRPr="007733DC" w:rsidRDefault="009E3F24" w:rsidP="007733DC">
      <w:pPr>
        <w:pStyle w:val="FootnoteText"/>
        <w:tabs>
          <w:tab w:val="clear" w:pos="4320"/>
          <w:tab w:val="clear" w:pos="9072"/>
          <w:tab w:val="center" w:pos="3946"/>
          <w:tab w:val="center" w:pos="4234"/>
          <w:tab w:val="right" w:pos="8453"/>
        </w:tabs>
        <w:spacing w:after="0"/>
        <w:ind w:left="720" w:hanging="720"/>
        <w:jc w:val="both"/>
        <w:rPr>
          <w:rStyle w:val="FootnoteReference"/>
          <w:color w:val="FF0000"/>
          <w:sz w:val="20"/>
          <w:vertAlign w:val="baseline"/>
          <w:lang w:val="en-GB"/>
        </w:rPr>
      </w:pPr>
      <w:r w:rsidRPr="00907BF7">
        <w:rPr>
          <w:rStyle w:val="FootnoteReference"/>
          <w:sz w:val="20"/>
          <w:lang w:val="en-GB" w:eastAsia="x-none"/>
        </w:rPr>
        <w:footnoteRef/>
      </w:r>
      <w:r w:rsidRPr="00907BF7">
        <w:rPr>
          <w:rStyle w:val="FootnoteReference"/>
          <w:sz w:val="20"/>
          <w:lang w:val="en-GB" w:eastAsia="x-none"/>
        </w:rPr>
        <w:t xml:space="preserve"> </w:t>
      </w:r>
      <w:r w:rsidRPr="00907BF7">
        <w:rPr>
          <w:sz w:val="20"/>
          <w:lang w:val="en-GB" w:eastAsia="x-none"/>
        </w:rPr>
        <w:tab/>
      </w:r>
      <w:r w:rsidRPr="00907BF7">
        <w:rPr>
          <w:sz w:val="20"/>
          <w:lang w:val="en-GB" w:eastAsia="zh-HK"/>
        </w:rPr>
        <w:t>見</w:t>
      </w:r>
      <w:proofErr w:type="gramStart"/>
      <w:r w:rsidRPr="00907BF7">
        <w:rPr>
          <w:sz w:val="20"/>
          <w:lang w:val="en-GB" w:eastAsia="zh-HK"/>
        </w:rPr>
        <w:t>註</w:t>
      </w:r>
      <w:proofErr w:type="gramEnd"/>
      <w:r w:rsidRPr="00907BF7">
        <w:rPr>
          <w:sz w:val="20"/>
          <w:lang w:val="en-GB" w:eastAsia="zh-HK"/>
        </w:rPr>
        <w:t>釋</w:t>
      </w:r>
      <w:r w:rsidRPr="00907BF7">
        <w:rPr>
          <w:sz w:val="20"/>
          <w:lang w:val="en-GB" w:eastAsia="zh-TW"/>
        </w:rPr>
        <w:t>24</w:t>
      </w:r>
      <w:r w:rsidRPr="00907BF7">
        <w:rPr>
          <w:rStyle w:val="FootnoteReference"/>
          <w:sz w:val="20"/>
          <w:vertAlign w:val="baseline"/>
          <w:lang w:val="en-GB" w:eastAsia="x-none"/>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3F24" w:rsidRPr="000A308C" w:rsidRDefault="009E3F24" w:rsidP="000A308C">
    <w:pPr>
      <w:pStyle w:val="Header"/>
      <w:spacing w:after="240"/>
      <w:rPr>
        <w:rFonts w:eastAsia="PMingLiU"/>
        <w:sz w:val="28"/>
        <w:lang w:eastAsia="zh-TW"/>
      </w:rPr>
    </w:pPr>
    <w:r>
      <w:rPr>
        <w:noProof/>
        <w:sz w:val="28"/>
      </w:rPr>
      <mc:AlternateContent>
        <mc:Choice Requires="wps">
          <w:drawing>
            <wp:anchor distT="0" distB="0" distL="114300" distR="114300" simplePos="0" relativeHeight="251666432" behindDoc="0" locked="0" layoutInCell="0" allowOverlap="1">
              <wp:simplePos x="0" y="0"/>
              <wp:positionH relativeFrom="column">
                <wp:posOffset>5974080</wp:posOffset>
              </wp:positionH>
              <wp:positionV relativeFrom="paragraph">
                <wp:posOffset>-15875</wp:posOffset>
              </wp:positionV>
              <wp:extent cx="414020" cy="10058400"/>
              <wp:effectExtent l="1905" t="3175" r="3175" b="0"/>
              <wp:wrapNone/>
              <wp:docPr id="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E3F24" w:rsidRDefault="009E3F24" w:rsidP="00417236">
                          <w:pPr>
                            <w:rPr>
                              <w:b/>
                              <w:sz w:val="20"/>
                            </w:rPr>
                          </w:pPr>
                          <w:r>
                            <w:rPr>
                              <w:rFonts w:hint="eastAsia"/>
                              <w:b/>
                              <w:sz w:val="20"/>
                            </w:rPr>
                            <w:t>A</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20"/>
                            </w:rPr>
                          </w:pPr>
                          <w:r>
                            <w:rPr>
                              <w:rFonts w:hint="eastAsia"/>
                              <w:b/>
                              <w:sz w:val="20"/>
                            </w:rPr>
                            <w:t>B</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C</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pStyle w:val="Heading2"/>
                            <w:rPr>
                              <w:sz w:val="16"/>
                            </w:rPr>
                          </w:pPr>
                          <w:r>
                            <w:rPr>
                              <w:rFonts w:hint="eastAsia"/>
                            </w:rPr>
                            <w:t>D</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E</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20"/>
                            </w:rPr>
                          </w:pPr>
                          <w:r>
                            <w:rPr>
                              <w:rFonts w:hint="eastAsia"/>
                              <w:b/>
                              <w:sz w:val="20"/>
                            </w:rPr>
                            <w:t>F</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G</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H</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I</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J</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K</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L</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M</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N</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O</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P</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Q</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R</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S</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T</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U</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7" type="#_x0000_t202" style="position:absolute;left:0;text-align:left;margin-left:470.4pt;margin-top:-1.25pt;width:32.6pt;height:11in;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" o:allowincell="f" stroked="f">
              <v:textbox>
                <w:txbxContent>
                  <w:p w:rsidR="009E3F24" w:rsidRDefault="009E3F24" w:rsidP="00417236">
                    <w:pPr>
                      <w:rPr>
                        <w:b/>
                        <w:sz w:val="20"/>
                      </w:rPr>
                    </w:pPr>
                    <w:r>
                      <w:rPr>
                        <w:rFonts w:hint="eastAsia"/>
                        <w:b/>
                        <w:sz w:val="20"/>
                      </w:rPr>
                      <w:t>A</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20"/>
                      </w:rPr>
                    </w:pPr>
                    <w:r>
                      <w:rPr>
                        <w:rFonts w:hint="eastAsia"/>
                        <w:b/>
                        <w:sz w:val="20"/>
                      </w:rPr>
                      <w:t>B</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C</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pStyle w:val="Heading2"/>
                      <w:rPr>
                        <w:sz w:val="16"/>
                      </w:rPr>
                    </w:pPr>
                    <w:r>
                      <w:rPr>
                        <w:rFonts w:hint="eastAsia"/>
                      </w:rPr>
                      <w:t>D</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E</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20"/>
                      </w:rPr>
                    </w:pPr>
                    <w:r>
                      <w:rPr>
                        <w:rFonts w:hint="eastAsia"/>
                        <w:b/>
                        <w:sz w:val="20"/>
                      </w:rPr>
                      <w:t>F</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G</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H</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I</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J</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K</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L</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M</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N</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O</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P</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Q</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R</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S</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T</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U</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pStyle w:val="Heading3"/>
                      <w:jc w:val="left"/>
                    </w:pPr>
                    <w:r>
                      <w:rPr>
                        <w:rFonts w:hint="eastAsia"/>
                      </w:rPr>
                      <w:t>V</w:t>
                    </w:r>
                  </w:p>
                </w:txbxContent>
              </v:textbox>
            </v:shape>
          </w:pict>
        </mc:Fallback>
      </mc:AlternateContent>
    </w:r>
    <w:r>
      <w:rPr>
        <w:noProof/>
        <w:sz w:val="28"/>
      </w:rPr>
      <mc:AlternateContent>
        <mc:Choice Requires="wps">
          <w:drawing>
            <wp:anchor distT="0" distB="0" distL="114300" distR="114300" simplePos="0" relativeHeight="251665408" behindDoc="0" locked="0" layoutInCell="0" allowOverlap="1">
              <wp:simplePos x="0" y="0"/>
              <wp:positionH relativeFrom="column">
                <wp:posOffset>-762000</wp:posOffset>
              </wp:positionH>
              <wp:positionV relativeFrom="paragraph">
                <wp:posOffset>-5080</wp:posOffset>
              </wp:positionV>
              <wp:extent cx="342900" cy="9944100"/>
              <wp:effectExtent l="0" t="4445" r="0" b="0"/>
              <wp:wrapNone/>
              <wp:docPr id="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E3F24" w:rsidRDefault="009E3F24" w:rsidP="00417236">
                          <w:pPr>
                            <w:rPr>
                              <w:b/>
                              <w:sz w:val="20"/>
                            </w:rPr>
                          </w:pPr>
                          <w:r>
                            <w:rPr>
                              <w:rFonts w:hint="eastAsia"/>
                              <w:b/>
                              <w:sz w:val="20"/>
                            </w:rPr>
                            <w:t>A</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20"/>
                            </w:rPr>
                          </w:pPr>
                          <w:r>
                            <w:rPr>
                              <w:rFonts w:hint="eastAsia"/>
                              <w:b/>
                              <w:sz w:val="20"/>
                            </w:rPr>
                            <w:t>B</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C</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pStyle w:val="Heading2"/>
                            <w:rPr>
                              <w:sz w:val="16"/>
                            </w:rPr>
                          </w:pPr>
                          <w:r>
                            <w:rPr>
                              <w:rFonts w:hint="eastAsia"/>
                            </w:rPr>
                            <w:t>D</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E</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20"/>
                            </w:rPr>
                          </w:pPr>
                          <w:r>
                            <w:rPr>
                              <w:rFonts w:hint="eastAsia"/>
                              <w:b/>
                              <w:sz w:val="20"/>
                            </w:rPr>
                            <w:t>F</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G</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H</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I</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J</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K</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L</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M</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N</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O</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P</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Q</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R</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S</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T</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U</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28" type="#_x0000_t202" style="position:absolute;left:0;text-align:left;margin-left:-60pt;margin-top:-.4pt;width:27pt;height:78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" o:allowincell="f" stroked="f">
              <v:textbox>
                <w:txbxContent>
                  <w:p w:rsidR="009E3F24" w:rsidRDefault="009E3F24" w:rsidP="00417236">
                    <w:pPr>
                      <w:rPr>
                        <w:b/>
                        <w:sz w:val="20"/>
                      </w:rPr>
                    </w:pPr>
                    <w:r>
                      <w:rPr>
                        <w:rFonts w:hint="eastAsia"/>
                        <w:b/>
                        <w:sz w:val="20"/>
                      </w:rPr>
                      <w:t>A</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20"/>
                      </w:rPr>
                    </w:pPr>
                    <w:r>
                      <w:rPr>
                        <w:rFonts w:hint="eastAsia"/>
                        <w:b/>
                        <w:sz w:val="20"/>
                      </w:rPr>
                      <w:t>B</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C</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pStyle w:val="Heading2"/>
                      <w:rPr>
                        <w:sz w:val="16"/>
                      </w:rPr>
                    </w:pPr>
                    <w:r>
                      <w:rPr>
                        <w:rFonts w:hint="eastAsia"/>
                      </w:rPr>
                      <w:t>D</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E</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20"/>
                      </w:rPr>
                    </w:pPr>
                    <w:r>
                      <w:rPr>
                        <w:rFonts w:hint="eastAsia"/>
                        <w:b/>
                        <w:sz w:val="20"/>
                      </w:rPr>
                      <w:t>F</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G</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H</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I</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J</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K</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L</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M</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N</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O</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P</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Q</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R</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S</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T</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U</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pStyle w:val="Heading3"/>
                      <w:jc w:val="left"/>
                    </w:pPr>
                    <w:r>
                      <w:rPr>
                        <w:rFonts w:hint="eastAsia"/>
                      </w:rPr>
                      <w:t>V</w:t>
                    </w:r>
                  </w:p>
                </w:txbxContent>
              </v:textbox>
            </v:shape>
          </w:pict>
        </mc:Fallback>
      </mc:AlternateContent>
    </w:r>
    <w:r>
      <w:rPr>
        <w:noProof/>
        <w:sz w:val="28"/>
      </w:rPr>
      <mc:AlternateContent>
        <mc:Choice Requires="wps">
          <w:drawing>
            <wp:anchor distT="0" distB="0" distL="114300" distR="114300" simplePos="0" relativeHeight="251664384" behindDoc="0" locked="0" layoutInCell="0" allowOverlap="1">
              <wp:simplePos x="0" y="0"/>
              <wp:positionH relativeFrom="column">
                <wp:posOffset>-793750</wp:posOffset>
              </wp:positionH>
              <wp:positionV relativeFrom="paragraph">
                <wp:posOffset>-268605</wp:posOffset>
              </wp:positionV>
              <wp:extent cx="571500" cy="297180"/>
              <wp:effectExtent l="0" t="0" r="3175" b="0"/>
              <wp:wrapNone/>
              <wp:docPr id="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E3F24" w:rsidRPr="00521D13" w:rsidRDefault="009E3F24" w:rsidP="00417236">
                          <w:pPr>
                            <w:rPr>
                              <w:rFonts w:ascii="宋体" w:hAnsi="宋体"/>
                              <w:b/>
                              <w:sz w:val="18"/>
                            </w:rPr>
                          </w:pPr>
                          <w:r w:rsidRPr="00521D13">
                            <w:rPr>
                              <w:rFonts w:ascii="宋体" w:hAnsi="宋体" w:hint="eastAsia"/>
                              <w:b/>
                              <w:sz w:val="18"/>
                            </w:rPr>
                            <w:t>由此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29" type="#_x0000_t202" style="position:absolute;left:0;text-align:left;margin-left:-62.5pt;margin-top:-21.15pt;width:45pt;height:23.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" o:allowincell="f" stroked="f">
              <v:textbox>
                <w:txbxContent>
                  <w:p w:rsidR="009E3F24" w:rsidRPr="00521D13" w:rsidRDefault="009E3F24" w:rsidP="00417236">
                    <w:pPr>
                      <w:rPr>
                        <w:rFonts w:ascii="宋体" w:hAnsi="宋体"/>
                        <w:b/>
                        <w:sz w:val="18"/>
                      </w:rPr>
                    </w:pPr>
                    <w:r w:rsidRPr="00521D13">
                      <w:rPr>
                        <w:rFonts w:ascii="宋体" w:hAnsi="宋体" w:hint="eastAsia"/>
                        <w:b/>
                        <w:sz w:val="18"/>
                      </w:rPr>
                      <w:t>由此</w:t>
                    </w:r>
                  </w:p>
                </w:txbxContent>
              </v:textbox>
            </v:shape>
          </w:pict>
        </mc:Fallback>
      </mc:AlternateContent>
    </w: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6E52C0">
      <w:rPr>
        <w:rStyle w:val="PageNumber"/>
        <w:noProof/>
        <w:sz w:val="28"/>
      </w:rPr>
      <w:t>20</w:t>
    </w:r>
    <w:r>
      <w:rPr>
        <w:rStyle w:val="PageNumber"/>
        <w:sz w:val="28"/>
      </w:rPr>
      <w:fldChar w:fldCharType="end"/>
    </w:r>
    <w:r>
      <w:rPr>
        <w:rStyle w:val="PageNumber"/>
        <w:rFonts w:hint="eastAsia"/>
        <w:sz w:val="28"/>
      </w:rPr>
      <w:t xml:space="preserve"> </w:t>
    </w:r>
    <w:r>
      <w:rPr>
        <w:rStyle w:val="PageNumber"/>
        <w:sz w:val="28"/>
      </w:rPr>
      <w: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3F24" w:rsidRDefault="009E3F24">
    <w:pPr>
      <w:pStyle w:val="Header"/>
    </w:pPr>
    <w:r>
      <w:rPr>
        <w:noProof/>
      </w:rPr>
      <mc:AlternateContent>
        <mc:Choice Requires="wps">
          <w:drawing>
            <wp:anchor distT="0" distB="0" distL="114300" distR="114300" simplePos="0" relativeHeight="251669504" behindDoc="0" locked="0" layoutInCell="0" allowOverlap="1">
              <wp:simplePos x="0" y="0"/>
              <wp:positionH relativeFrom="column">
                <wp:posOffset>5942330</wp:posOffset>
              </wp:positionH>
              <wp:positionV relativeFrom="paragraph">
                <wp:posOffset>-49530</wp:posOffset>
              </wp:positionV>
              <wp:extent cx="414020" cy="10058400"/>
              <wp:effectExtent l="0" t="0" r="0" b="1905"/>
              <wp:wrapNone/>
              <wp:docPr id="3"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E3F24" w:rsidRDefault="009E3F24" w:rsidP="00417236">
                          <w:pPr>
                            <w:rPr>
                              <w:b/>
                              <w:sz w:val="20"/>
                            </w:rPr>
                          </w:pPr>
                          <w:r>
                            <w:rPr>
                              <w:rFonts w:hint="eastAsia"/>
                              <w:b/>
                              <w:sz w:val="20"/>
                            </w:rPr>
                            <w:t>A</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20"/>
                            </w:rPr>
                          </w:pPr>
                          <w:r>
                            <w:rPr>
                              <w:rFonts w:hint="eastAsia"/>
                              <w:b/>
                              <w:sz w:val="20"/>
                            </w:rPr>
                            <w:t>B</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C</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pStyle w:val="Heading2"/>
                            <w:rPr>
                              <w:sz w:val="16"/>
                            </w:rPr>
                          </w:pPr>
                          <w:r>
                            <w:rPr>
                              <w:rFonts w:hint="eastAsia"/>
                            </w:rPr>
                            <w:t>D</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E</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20"/>
                            </w:rPr>
                          </w:pPr>
                          <w:r>
                            <w:rPr>
                              <w:rFonts w:hint="eastAsia"/>
                              <w:b/>
                              <w:sz w:val="20"/>
                            </w:rPr>
                            <w:t>F</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G</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H</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I</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J</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K</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L</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M</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N</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O</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P</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Q</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R</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S</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T</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U</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 o:spid="_x0000_s1030" type="#_x0000_t202" style="position:absolute;left:0;text-align:left;margin-left:467.9pt;margin-top:-3.9pt;width:32.6pt;height:11in;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" o:allowincell="f" stroked="f">
              <v:textbox>
                <w:txbxContent>
                  <w:p w:rsidR="009E3F24" w:rsidRDefault="009E3F24" w:rsidP="00417236">
                    <w:pPr>
                      <w:rPr>
                        <w:b/>
                        <w:sz w:val="20"/>
                      </w:rPr>
                    </w:pPr>
                    <w:r>
                      <w:rPr>
                        <w:rFonts w:hint="eastAsia"/>
                        <w:b/>
                        <w:sz w:val="20"/>
                      </w:rPr>
                      <w:t>A</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20"/>
                      </w:rPr>
                    </w:pPr>
                    <w:r>
                      <w:rPr>
                        <w:rFonts w:hint="eastAsia"/>
                        <w:b/>
                        <w:sz w:val="20"/>
                      </w:rPr>
                      <w:t>B</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C</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pStyle w:val="Heading2"/>
                      <w:rPr>
                        <w:sz w:val="16"/>
                      </w:rPr>
                    </w:pPr>
                    <w:r>
                      <w:rPr>
                        <w:rFonts w:hint="eastAsia"/>
                      </w:rPr>
                      <w:t>D</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E</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20"/>
                      </w:rPr>
                    </w:pPr>
                    <w:r>
                      <w:rPr>
                        <w:rFonts w:hint="eastAsia"/>
                        <w:b/>
                        <w:sz w:val="20"/>
                      </w:rPr>
                      <w:t>F</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G</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H</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I</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J</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K</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L</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M</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N</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O</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P</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Q</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R</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S</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T</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U</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pStyle w:val="Heading3"/>
                      <w:jc w:val="left"/>
                    </w:pPr>
                    <w:r>
                      <w:rPr>
                        <w:rFonts w:hint="eastAsia"/>
                      </w:rPr>
                      <w:t>V</w:t>
                    </w:r>
                  </w:p>
                </w:txbxContent>
              </v:textbox>
            </v:shape>
          </w:pict>
        </mc:Fallback>
      </mc:AlternateContent>
    </w:r>
    <w:r>
      <w:rPr>
        <w:noProof/>
      </w:rPr>
      <mc:AlternateContent>
        <mc:Choice Requires="wps">
          <w:drawing>
            <wp:anchor distT="0" distB="0" distL="114300" distR="114300" simplePos="0" relativeHeight="251667456" behindDoc="0" locked="0" layoutInCell="0" allowOverlap="1">
              <wp:simplePos x="0" y="0"/>
              <wp:positionH relativeFrom="column">
                <wp:posOffset>-819150</wp:posOffset>
              </wp:positionH>
              <wp:positionV relativeFrom="paragraph">
                <wp:posOffset>-382905</wp:posOffset>
              </wp:positionV>
              <wp:extent cx="571500" cy="297180"/>
              <wp:effectExtent l="0" t="0" r="0" b="0"/>
              <wp:wrapNone/>
              <wp:docPr id="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E3F24" w:rsidRPr="00521D13" w:rsidRDefault="009E3F24" w:rsidP="00417236">
                          <w:pPr>
                            <w:rPr>
                              <w:rFonts w:ascii="宋体" w:hAnsi="宋体"/>
                              <w:b/>
                              <w:sz w:val="18"/>
                            </w:rPr>
                          </w:pPr>
                          <w:r w:rsidRPr="00521D13">
                            <w:rPr>
                              <w:rFonts w:ascii="宋体" w:hAnsi="宋体" w:hint="eastAsia"/>
                              <w:b/>
                              <w:sz w:val="18"/>
                            </w:rPr>
                            <w:t>由此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1" type="#_x0000_t202" style="position:absolute;left:0;text-align:left;margin-left:-64.5pt;margin-top:-30.15pt;width:45pt;height:23.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" o:allowincell="f" stroked="f">
              <v:textbox>
                <w:txbxContent>
                  <w:p w:rsidR="009E3F24" w:rsidRPr="00521D13" w:rsidRDefault="009E3F24" w:rsidP="00417236">
                    <w:pPr>
                      <w:rPr>
                        <w:rFonts w:ascii="宋体" w:hAnsi="宋体"/>
                        <w:b/>
                        <w:sz w:val="18"/>
                      </w:rPr>
                    </w:pPr>
                    <w:r w:rsidRPr="00521D13">
                      <w:rPr>
                        <w:rFonts w:ascii="宋体" w:hAnsi="宋体" w:hint="eastAsia"/>
                        <w:b/>
                        <w:sz w:val="18"/>
                      </w:rPr>
                      <w:t>由此</w:t>
                    </w:r>
                  </w:p>
                </w:txbxContent>
              </v:textbox>
            </v:shape>
          </w:pict>
        </mc:Fallback>
      </mc:AlternateContent>
    </w:r>
    <w:r>
      <w:rPr>
        <w:noProof/>
      </w:rPr>
      <mc:AlternateContent>
        <mc:Choice Requires="wps">
          <w:drawing>
            <wp:anchor distT="0" distB="0" distL="114300" distR="114300" simplePos="0" relativeHeight="251668480" behindDoc="0" locked="0" layoutInCell="0" allowOverlap="1">
              <wp:simplePos x="0" y="0"/>
              <wp:positionH relativeFrom="column">
                <wp:posOffset>-768350</wp:posOffset>
              </wp:positionH>
              <wp:positionV relativeFrom="paragraph">
                <wp:posOffset>-49530</wp:posOffset>
              </wp:positionV>
              <wp:extent cx="342900" cy="9944100"/>
              <wp:effectExtent l="3175" t="0" r="0" b="1905"/>
              <wp:wrapNone/>
              <wp:docPr id="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E3F24" w:rsidRDefault="009E3F24" w:rsidP="00417236">
                          <w:pPr>
                            <w:rPr>
                              <w:b/>
                              <w:sz w:val="20"/>
                            </w:rPr>
                          </w:pPr>
                          <w:r>
                            <w:rPr>
                              <w:rFonts w:hint="eastAsia"/>
                              <w:b/>
                              <w:sz w:val="20"/>
                            </w:rPr>
                            <w:t>A</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20"/>
                            </w:rPr>
                          </w:pPr>
                          <w:r>
                            <w:rPr>
                              <w:rFonts w:hint="eastAsia"/>
                              <w:b/>
                              <w:sz w:val="20"/>
                            </w:rPr>
                            <w:t>B</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C</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pStyle w:val="Heading2"/>
                            <w:rPr>
                              <w:sz w:val="16"/>
                            </w:rPr>
                          </w:pPr>
                          <w:r>
                            <w:rPr>
                              <w:rFonts w:hint="eastAsia"/>
                            </w:rPr>
                            <w:t>D</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E</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20"/>
                            </w:rPr>
                          </w:pPr>
                          <w:r>
                            <w:rPr>
                              <w:rFonts w:hint="eastAsia"/>
                              <w:b/>
                              <w:sz w:val="20"/>
                            </w:rPr>
                            <w:t>F</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G</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H</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I</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J</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K</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L</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M</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N</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O</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P</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Q</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R</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S</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T</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U</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2" type="#_x0000_t202" style="position:absolute;left:0;text-align:left;margin-left:-60.5pt;margin-top:-3.9pt;width:27pt;height:78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" o:allowincell="f" stroked="f">
              <v:textbox>
                <w:txbxContent>
                  <w:p w:rsidR="009E3F24" w:rsidRDefault="009E3F24" w:rsidP="00417236">
                    <w:pPr>
                      <w:rPr>
                        <w:b/>
                        <w:sz w:val="20"/>
                      </w:rPr>
                    </w:pPr>
                    <w:r>
                      <w:rPr>
                        <w:rFonts w:hint="eastAsia"/>
                        <w:b/>
                        <w:sz w:val="20"/>
                      </w:rPr>
                      <w:t>A</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20"/>
                      </w:rPr>
                    </w:pPr>
                    <w:r>
                      <w:rPr>
                        <w:rFonts w:hint="eastAsia"/>
                        <w:b/>
                        <w:sz w:val="20"/>
                      </w:rPr>
                      <w:t>B</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C</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pStyle w:val="Heading2"/>
                      <w:rPr>
                        <w:sz w:val="16"/>
                      </w:rPr>
                    </w:pPr>
                    <w:r>
                      <w:rPr>
                        <w:rFonts w:hint="eastAsia"/>
                      </w:rPr>
                      <w:t>D</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E</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20"/>
                      </w:rPr>
                    </w:pPr>
                    <w:r>
                      <w:rPr>
                        <w:rFonts w:hint="eastAsia"/>
                        <w:b/>
                        <w:sz w:val="20"/>
                      </w:rPr>
                      <w:t>F</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G</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H</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I</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J</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K</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L</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M</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N</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O</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P</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Q</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R</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S</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T</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rPr>
                        <w:b/>
                        <w:sz w:val="16"/>
                      </w:rPr>
                    </w:pPr>
                    <w:r>
                      <w:rPr>
                        <w:rFonts w:hint="eastAsia"/>
                        <w:b/>
                        <w:sz w:val="20"/>
                      </w:rPr>
                      <w:t>U</w:t>
                    </w:r>
                  </w:p>
                  <w:p w:rsidR="009E3F24" w:rsidRDefault="009E3F24" w:rsidP="00417236">
                    <w:pPr>
                      <w:rPr>
                        <w:b/>
                        <w:sz w:val="10"/>
                      </w:rPr>
                    </w:pPr>
                  </w:p>
                  <w:p w:rsidR="009E3F24" w:rsidRDefault="009E3F24" w:rsidP="00417236">
                    <w:pPr>
                      <w:rPr>
                        <w:b/>
                        <w:sz w:val="16"/>
                      </w:rPr>
                    </w:pPr>
                  </w:p>
                  <w:p w:rsidR="009E3F24" w:rsidRDefault="009E3F24" w:rsidP="00417236">
                    <w:pPr>
                      <w:rPr>
                        <w:b/>
                        <w:sz w:val="16"/>
                      </w:rPr>
                    </w:pPr>
                  </w:p>
                  <w:p w:rsidR="009E3F24" w:rsidRDefault="009E3F24" w:rsidP="00417236">
                    <w:pPr>
                      <w:pStyle w:val="Heading3"/>
                      <w:jc w:val="left"/>
                    </w:pPr>
                    <w:r>
                      <w:rPr>
                        <w:rFonts w:hint="eastAsia"/>
                      </w:rPr>
                      <w:t>V</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B4F6E11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0802347"/>
    <w:multiLevelType w:val="hybridMultilevel"/>
    <w:tmpl w:val="222EB0EE"/>
    <w:lvl w:ilvl="0" w:tplc="CFE88BBC">
      <w:start w:val="1"/>
      <w:numFmt w:val="taiwaneseCountingThousand"/>
      <w:lvlText w:val="(%1)"/>
      <w:lvlJc w:val="left"/>
      <w:pPr>
        <w:ind w:left="2160" w:hanging="360"/>
      </w:pPr>
      <w:rPr>
        <w:rFonts w:hint="eastAsia"/>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7292BE1"/>
    <w:multiLevelType w:val="multilevel"/>
    <w:tmpl w:val="71C02CAA"/>
    <w:lvl w:ilvl="0">
      <w:start w:val="1"/>
      <w:numFmt w:val="decimal"/>
      <w:lvlText w:val="%1."/>
      <w:lvlJc w:val="left"/>
      <w:pPr>
        <w:tabs>
          <w:tab w:val="num" w:pos="1797"/>
        </w:tabs>
        <w:ind w:left="0" w:firstLine="360"/>
      </w:pPr>
      <w:rPr>
        <w:rFonts w:ascii="Times New Roman" w:eastAsia="宋体" w:hAnsi="Times New Roman" w:cs="Times New Roman" w:hint="default"/>
      </w:rPr>
    </w:lvl>
    <w:lvl w:ilvl="1">
      <w:start w:val="1"/>
      <w:numFmt w:val="lowerLetter"/>
      <w:lvlText w:val="(%2)"/>
      <w:lvlJc w:val="left"/>
      <w:pPr>
        <w:tabs>
          <w:tab w:val="num" w:pos="1871"/>
        </w:tabs>
        <w:ind w:left="1871" w:hanging="624"/>
      </w:pPr>
      <w:rPr>
        <w:rFonts w:hint="default"/>
      </w:rPr>
    </w:lvl>
    <w:lvl w:ilvl="2">
      <w:start w:val="1"/>
      <w:numFmt w:val="lowerRoman"/>
      <w:lvlText w:val="%3."/>
      <w:lvlJc w:val="right"/>
      <w:pPr>
        <w:tabs>
          <w:tab w:val="num" w:pos="2325"/>
        </w:tabs>
        <w:ind w:left="2325" w:hanging="170"/>
      </w:pPr>
      <w:rPr>
        <w:rFonts w:hint="eastAsia"/>
      </w:rPr>
    </w:lvl>
    <w:lvl w:ilvl="3">
      <w:start w:val="1"/>
      <w:numFmt w:val="decimal"/>
      <w:lvlText w:val="%4."/>
      <w:lvlJc w:val="left"/>
      <w:pPr>
        <w:ind w:left="2880" w:hanging="360"/>
      </w:pPr>
      <w:rPr>
        <w:rFonts w:hint="eastAsia"/>
      </w:rPr>
    </w:lvl>
    <w:lvl w:ilvl="4">
      <w:start w:val="1"/>
      <w:numFmt w:val="lowerLetter"/>
      <w:lvlText w:val="%5."/>
      <w:lvlJc w:val="left"/>
      <w:pPr>
        <w:ind w:left="3600" w:hanging="360"/>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3" w15:restartNumberingAfterBreak="0">
    <w:nsid w:val="24F625DC"/>
    <w:multiLevelType w:val="hybridMultilevel"/>
    <w:tmpl w:val="685630E4"/>
    <w:lvl w:ilvl="0" w:tplc="95CC33C4">
      <w:start w:val="1"/>
      <w:numFmt w:val="taiwaneseCountingThousand"/>
      <w:lvlText w:val="(%1)"/>
      <w:lvlJc w:val="left"/>
      <w:pPr>
        <w:ind w:left="2160" w:hanging="360"/>
      </w:pPr>
      <w:rPr>
        <w:rFonts w:hint="eastAsia"/>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262469AB"/>
    <w:multiLevelType w:val="singleLevel"/>
    <w:tmpl w:val="365A8C62"/>
    <w:lvl w:ilvl="0">
      <w:start w:val="1"/>
      <w:numFmt w:val="decimal"/>
      <w:pStyle w:val="para"/>
      <w:lvlText w:val="%1."/>
      <w:lvlJc w:val="left"/>
      <w:pPr>
        <w:tabs>
          <w:tab w:val="num" w:pos="810"/>
        </w:tabs>
        <w:ind w:left="450" w:firstLine="0"/>
      </w:pPr>
      <w:rPr>
        <w:rFonts w:hint="eastAsia"/>
      </w:rPr>
    </w:lvl>
  </w:abstractNum>
  <w:abstractNum w:abstractNumId="5" w15:restartNumberingAfterBreak="0">
    <w:nsid w:val="2A970DDB"/>
    <w:multiLevelType w:val="hybridMultilevel"/>
    <w:tmpl w:val="7CCE77E4"/>
    <w:lvl w:ilvl="0" w:tplc="666E1B72">
      <w:start w:val="1"/>
      <w:numFmt w:val="taiwaneseCountingThousand"/>
      <w:lvlText w:val="(%1)"/>
      <w:lvlJc w:val="left"/>
      <w:pPr>
        <w:ind w:left="2160" w:hanging="360"/>
      </w:pPr>
      <w:rPr>
        <w:rFonts w:hint="eastAsia"/>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3B480421"/>
    <w:multiLevelType w:val="singleLevel"/>
    <w:tmpl w:val="2FD43C20"/>
    <w:lvl w:ilvl="0">
      <w:start w:val="1"/>
      <w:numFmt w:val="decimal"/>
      <w:pStyle w:val="j-draft"/>
      <w:lvlText w:val="%1."/>
      <w:lvlJc w:val="left"/>
      <w:pPr>
        <w:tabs>
          <w:tab w:val="num" w:pos="360"/>
        </w:tabs>
        <w:ind w:left="0" w:firstLine="0"/>
      </w:pPr>
      <w:rPr>
        <w:rFonts w:hint="eastAsia"/>
        <w:color w:val="auto"/>
        <w:szCs w:val="28"/>
      </w:rPr>
    </w:lvl>
  </w:abstractNum>
  <w:abstractNum w:abstractNumId="7" w15:restartNumberingAfterBreak="0">
    <w:nsid w:val="430D1770"/>
    <w:multiLevelType w:val="hybridMultilevel"/>
    <w:tmpl w:val="C528202E"/>
    <w:lvl w:ilvl="0" w:tplc="D5465FDA">
      <w:start w:val="1"/>
      <w:numFmt w:val="decimal"/>
      <w:pStyle w:val="HangingEnd"/>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98973EE"/>
    <w:multiLevelType w:val="hybridMultilevel"/>
    <w:tmpl w:val="83BE9E30"/>
    <w:lvl w:ilvl="0" w:tplc="DD3A99F2">
      <w:start w:val="1"/>
      <w:numFmt w:val="lowerLetter"/>
      <w:lvlText w:val="(%1)"/>
      <w:lvlJc w:val="left"/>
      <w:pPr>
        <w:ind w:left="2160" w:hanging="360"/>
      </w:pPr>
      <w:rPr>
        <w:rFonts w:hint="eastAsia"/>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6D522A80"/>
    <w:multiLevelType w:val="hybridMultilevel"/>
    <w:tmpl w:val="063C942A"/>
    <w:lvl w:ilvl="0" w:tplc="C3B6C4FC">
      <w:start w:val="1"/>
      <w:numFmt w:val="decimal"/>
      <w:lvlText w:val="%1."/>
      <w:lvlJc w:val="left"/>
      <w:pPr>
        <w:ind w:left="2340" w:hanging="360"/>
      </w:pPr>
      <w:rPr>
        <w:rFonts w:ascii="Times New Roman" w:hAnsi="Times New Roman" w:cs="Times New Roman" w:hint="default"/>
        <w:b w:val="0"/>
        <w:i w:val="0"/>
        <w:sz w:val="28"/>
        <w:szCs w:val="28"/>
      </w:rPr>
    </w:lvl>
    <w:lvl w:ilvl="1" w:tplc="AF222EC6">
      <w:start w:val="1"/>
      <w:numFmt w:val="taiwaneseCountingThousand"/>
      <w:lvlText w:val="(%2)"/>
      <w:lvlJc w:val="left"/>
      <w:pPr>
        <w:tabs>
          <w:tab w:val="num" w:pos="1778"/>
        </w:tabs>
        <w:ind w:left="1778" w:hanging="360"/>
      </w:pPr>
      <w:rPr>
        <w:rFonts w:hint="eastAsia"/>
        <w:i w:val="0"/>
      </w:rPr>
    </w:lvl>
    <w:lvl w:ilvl="2" w:tplc="479C8B24">
      <w:start w:val="1"/>
      <w:numFmt w:val="lowerRoman"/>
      <w:lvlText w:val="%3."/>
      <w:lvlJc w:val="right"/>
      <w:pPr>
        <w:tabs>
          <w:tab w:val="num" w:pos="2160"/>
        </w:tabs>
        <w:ind w:left="2160" w:hanging="180"/>
      </w:pPr>
      <w:rPr>
        <w:rFonts w:hint="default"/>
        <w:i w:val="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EF91346"/>
    <w:multiLevelType w:val="hybridMultilevel"/>
    <w:tmpl w:val="1AE06D9C"/>
    <w:lvl w:ilvl="0" w:tplc="AE06B770">
      <w:start w:val="1"/>
      <w:numFmt w:val="taiwaneseCountingThousand"/>
      <w:lvlText w:val="(%1)"/>
      <w:lvlJc w:val="left"/>
      <w:pPr>
        <w:ind w:left="2160" w:hanging="360"/>
      </w:pPr>
      <w:rPr>
        <w:rFonts w:hint="eastAsia"/>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7CBC18B7"/>
    <w:multiLevelType w:val="hybridMultilevel"/>
    <w:tmpl w:val="9398C822"/>
    <w:lvl w:ilvl="0" w:tplc="F836D15A">
      <w:start w:val="1"/>
      <w:numFmt w:val="taiwaneseCountingThousand"/>
      <w:lvlText w:val="(%1)"/>
      <w:lvlJc w:val="left"/>
      <w:pPr>
        <w:ind w:left="2160" w:hanging="360"/>
      </w:pPr>
      <w:rPr>
        <w:rFonts w:hint="eastAsia"/>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4"/>
  </w:num>
  <w:num w:numId="3">
    <w:abstractNumId w:val="6"/>
  </w:num>
  <w:num w:numId="4">
    <w:abstractNumId w:val="7"/>
  </w:num>
  <w:num w:numId="5">
    <w:abstractNumId w:val="2"/>
  </w:num>
  <w:num w:numId="6">
    <w:abstractNumId w:val="1"/>
  </w:num>
  <w:num w:numId="7">
    <w:abstractNumId w:val="3"/>
  </w:num>
  <w:num w:numId="8">
    <w:abstractNumId w:val="8"/>
  </w:num>
  <w:num w:numId="9">
    <w:abstractNumId w:val="5"/>
  </w:num>
  <w:num w:numId="10">
    <w:abstractNumId w:val="11"/>
  </w:num>
  <w:num w:numId="11">
    <w:abstractNumId w:val="10"/>
  </w:num>
  <w:num w:numId="12">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ctiveWritingStyle w:appName="MSWord" w:lang="en-US" w:vendorID="64" w:dllVersion="131078" w:nlCheck="1" w:checkStyle="0"/>
  <w:activeWritingStyle w:appName="MSWord" w:lang="zh-TW" w:vendorID="64" w:dllVersion="131077" w:nlCheck="1" w:checkStyle="1"/>
  <w:activeWritingStyle w:appName="MSWord" w:lang="zh-CN" w:vendorID="64" w:dllVersion="131077" w:nlCheck="1" w:checkStyle="1"/>
  <w:activeWritingStyle w:appName="MSWord" w:lang="zh-HK" w:vendorID="64" w:dllVersion="131077" w:nlCheck="1" w:checkStyle="1"/>
  <w:activeWritingStyle w:appName="MSWord" w:lang="en-GB" w:vendorID="64" w:dllVersion="131078" w:nlCheck="1" w:checkStyle="0"/>
  <w:proofState w:spelling="clean" w:grammar="clean"/>
  <w:attachedTemplate r:id="rId1"/>
  <w:defaultTabStop w:val="432"/>
  <w:drawingGridHorizontalSpacing w:val="140"/>
  <w:drawingGridVerticalSpacing w:val="190"/>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B13"/>
    <w:rsid w:val="00001998"/>
    <w:rsid w:val="00001E74"/>
    <w:rsid w:val="0000240E"/>
    <w:rsid w:val="000058E9"/>
    <w:rsid w:val="000137F0"/>
    <w:rsid w:val="000176FE"/>
    <w:rsid w:val="00021408"/>
    <w:rsid w:val="00022184"/>
    <w:rsid w:val="00022991"/>
    <w:rsid w:val="00025374"/>
    <w:rsid w:val="000255FB"/>
    <w:rsid w:val="00025DA6"/>
    <w:rsid w:val="00030B94"/>
    <w:rsid w:val="00033B54"/>
    <w:rsid w:val="0003458D"/>
    <w:rsid w:val="000361FB"/>
    <w:rsid w:val="00036448"/>
    <w:rsid w:val="00036839"/>
    <w:rsid w:val="00036D95"/>
    <w:rsid w:val="00040E91"/>
    <w:rsid w:val="00044451"/>
    <w:rsid w:val="00045BCF"/>
    <w:rsid w:val="00045EC9"/>
    <w:rsid w:val="00052A5F"/>
    <w:rsid w:val="00054FEF"/>
    <w:rsid w:val="000561AD"/>
    <w:rsid w:val="00063624"/>
    <w:rsid w:val="00066163"/>
    <w:rsid w:val="000665E7"/>
    <w:rsid w:val="00067172"/>
    <w:rsid w:val="00067423"/>
    <w:rsid w:val="00073817"/>
    <w:rsid w:val="00073BF0"/>
    <w:rsid w:val="000752AD"/>
    <w:rsid w:val="00075F70"/>
    <w:rsid w:val="00081A04"/>
    <w:rsid w:val="00081F1D"/>
    <w:rsid w:val="000830A1"/>
    <w:rsid w:val="00085562"/>
    <w:rsid w:val="0009220D"/>
    <w:rsid w:val="00094EAC"/>
    <w:rsid w:val="000A0545"/>
    <w:rsid w:val="000A308C"/>
    <w:rsid w:val="000A5C03"/>
    <w:rsid w:val="000A615E"/>
    <w:rsid w:val="000B0F17"/>
    <w:rsid w:val="000B1E60"/>
    <w:rsid w:val="000B46A9"/>
    <w:rsid w:val="000B4B10"/>
    <w:rsid w:val="000B4E02"/>
    <w:rsid w:val="000B56BD"/>
    <w:rsid w:val="000B63CC"/>
    <w:rsid w:val="000B7986"/>
    <w:rsid w:val="000C5449"/>
    <w:rsid w:val="000C7AA7"/>
    <w:rsid w:val="000D0607"/>
    <w:rsid w:val="000D09DF"/>
    <w:rsid w:val="000D0F35"/>
    <w:rsid w:val="000D10D6"/>
    <w:rsid w:val="000D1460"/>
    <w:rsid w:val="000D32A0"/>
    <w:rsid w:val="000D4D98"/>
    <w:rsid w:val="000D5323"/>
    <w:rsid w:val="000E0E87"/>
    <w:rsid w:val="000E131D"/>
    <w:rsid w:val="000E169C"/>
    <w:rsid w:val="000E1FCA"/>
    <w:rsid w:val="000E20A4"/>
    <w:rsid w:val="000E46F7"/>
    <w:rsid w:val="000E4754"/>
    <w:rsid w:val="000E5755"/>
    <w:rsid w:val="000F0718"/>
    <w:rsid w:val="000F230B"/>
    <w:rsid w:val="000F25C6"/>
    <w:rsid w:val="000F62A0"/>
    <w:rsid w:val="001003A8"/>
    <w:rsid w:val="00101489"/>
    <w:rsid w:val="0010777B"/>
    <w:rsid w:val="001124F1"/>
    <w:rsid w:val="001155E2"/>
    <w:rsid w:val="001156BA"/>
    <w:rsid w:val="00115BD8"/>
    <w:rsid w:val="001175BA"/>
    <w:rsid w:val="001210E0"/>
    <w:rsid w:val="001254A8"/>
    <w:rsid w:val="00134A5F"/>
    <w:rsid w:val="00135E06"/>
    <w:rsid w:val="001424E9"/>
    <w:rsid w:val="001447A0"/>
    <w:rsid w:val="001454BD"/>
    <w:rsid w:val="00146C01"/>
    <w:rsid w:val="00147993"/>
    <w:rsid w:val="00150D4E"/>
    <w:rsid w:val="00152871"/>
    <w:rsid w:val="00152C49"/>
    <w:rsid w:val="001562E1"/>
    <w:rsid w:val="0015781E"/>
    <w:rsid w:val="0016042A"/>
    <w:rsid w:val="00161B13"/>
    <w:rsid w:val="00164A24"/>
    <w:rsid w:val="00165669"/>
    <w:rsid w:val="00165BF9"/>
    <w:rsid w:val="00166147"/>
    <w:rsid w:val="00170277"/>
    <w:rsid w:val="00173891"/>
    <w:rsid w:val="00174D07"/>
    <w:rsid w:val="00174DE1"/>
    <w:rsid w:val="00175604"/>
    <w:rsid w:val="0017608B"/>
    <w:rsid w:val="00176934"/>
    <w:rsid w:val="0018209F"/>
    <w:rsid w:val="001836B6"/>
    <w:rsid w:val="001843D2"/>
    <w:rsid w:val="00190B0F"/>
    <w:rsid w:val="001924B8"/>
    <w:rsid w:val="00193C77"/>
    <w:rsid w:val="00193E69"/>
    <w:rsid w:val="0019494C"/>
    <w:rsid w:val="0019654C"/>
    <w:rsid w:val="0019741B"/>
    <w:rsid w:val="00197D56"/>
    <w:rsid w:val="001A0683"/>
    <w:rsid w:val="001A12B3"/>
    <w:rsid w:val="001A1A59"/>
    <w:rsid w:val="001A1C96"/>
    <w:rsid w:val="001A1EDE"/>
    <w:rsid w:val="001A3B58"/>
    <w:rsid w:val="001A4F81"/>
    <w:rsid w:val="001A5031"/>
    <w:rsid w:val="001A69EB"/>
    <w:rsid w:val="001A7692"/>
    <w:rsid w:val="001B1038"/>
    <w:rsid w:val="001B2CD6"/>
    <w:rsid w:val="001B3E87"/>
    <w:rsid w:val="001B4670"/>
    <w:rsid w:val="001B5B74"/>
    <w:rsid w:val="001B697F"/>
    <w:rsid w:val="001B72DD"/>
    <w:rsid w:val="001C1783"/>
    <w:rsid w:val="001C3A7E"/>
    <w:rsid w:val="001D0100"/>
    <w:rsid w:val="001D1CD2"/>
    <w:rsid w:val="001D3779"/>
    <w:rsid w:val="001D483C"/>
    <w:rsid w:val="001D66AE"/>
    <w:rsid w:val="001E0B37"/>
    <w:rsid w:val="001E1F5E"/>
    <w:rsid w:val="001E3553"/>
    <w:rsid w:val="001E39DE"/>
    <w:rsid w:val="001E68CC"/>
    <w:rsid w:val="001E74B9"/>
    <w:rsid w:val="001F1990"/>
    <w:rsid w:val="001F1B75"/>
    <w:rsid w:val="001F2DCA"/>
    <w:rsid w:val="001F4E85"/>
    <w:rsid w:val="001F4ED0"/>
    <w:rsid w:val="001F6424"/>
    <w:rsid w:val="001F651F"/>
    <w:rsid w:val="00202202"/>
    <w:rsid w:val="00205D37"/>
    <w:rsid w:val="002071E1"/>
    <w:rsid w:val="002073AB"/>
    <w:rsid w:val="00210B85"/>
    <w:rsid w:val="00211CF3"/>
    <w:rsid w:val="002122A9"/>
    <w:rsid w:val="0021230C"/>
    <w:rsid w:val="00212569"/>
    <w:rsid w:val="002126EA"/>
    <w:rsid w:val="00214CB4"/>
    <w:rsid w:val="002151FE"/>
    <w:rsid w:val="00215A0D"/>
    <w:rsid w:val="002175BF"/>
    <w:rsid w:val="002210F2"/>
    <w:rsid w:val="00221180"/>
    <w:rsid w:val="00221C20"/>
    <w:rsid w:val="00221C56"/>
    <w:rsid w:val="00222387"/>
    <w:rsid w:val="002233E5"/>
    <w:rsid w:val="0022394E"/>
    <w:rsid w:val="002249A3"/>
    <w:rsid w:val="002314B8"/>
    <w:rsid w:val="00232444"/>
    <w:rsid w:val="00232657"/>
    <w:rsid w:val="00232E19"/>
    <w:rsid w:val="00233511"/>
    <w:rsid w:val="0023570B"/>
    <w:rsid w:val="00235B59"/>
    <w:rsid w:val="002419F1"/>
    <w:rsid w:val="00242D8A"/>
    <w:rsid w:val="00246613"/>
    <w:rsid w:val="00252E24"/>
    <w:rsid w:val="00252F6E"/>
    <w:rsid w:val="0025540B"/>
    <w:rsid w:val="00256261"/>
    <w:rsid w:val="00266AE9"/>
    <w:rsid w:val="002705D5"/>
    <w:rsid w:val="0027078D"/>
    <w:rsid w:val="00274C89"/>
    <w:rsid w:val="002754E0"/>
    <w:rsid w:val="00276B6C"/>
    <w:rsid w:val="00277182"/>
    <w:rsid w:val="00280D3D"/>
    <w:rsid w:val="00284F02"/>
    <w:rsid w:val="002857EC"/>
    <w:rsid w:val="00285A8D"/>
    <w:rsid w:val="00286C8E"/>
    <w:rsid w:val="00287CA0"/>
    <w:rsid w:val="002912D3"/>
    <w:rsid w:val="00293B53"/>
    <w:rsid w:val="00295B7A"/>
    <w:rsid w:val="002A12D9"/>
    <w:rsid w:val="002A276C"/>
    <w:rsid w:val="002A73B1"/>
    <w:rsid w:val="002B0092"/>
    <w:rsid w:val="002B0F09"/>
    <w:rsid w:val="002B29FD"/>
    <w:rsid w:val="002B346C"/>
    <w:rsid w:val="002B44F9"/>
    <w:rsid w:val="002C0268"/>
    <w:rsid w:val="002C0DFB"/>
    <w:rsid w:val="002C11BE"/>
    <w:rsid w:val="002C124C"/>
    <w:rsid w:val="002C35C3"/>
    <w:rsid w:val="002C41D5"/>
    <w:rsid w:val="002C6B30"/>
    <w:rsid w:val="002D6E04"/>
    <w:rsid w:val="002E0C25"/>
    <w:rsid w:val="002E0E9C"/>
    <w:rsid w:val="002E26DB"/>
    <w:rsid w:val="002E559E"/>
    <w:rsid w:val="002E565C"/>
    <w:rsid w:val="002E7305"/>
    <w:rsid w:val="002E7D14"/>
    <w:rsid w:val="002F64D0"/>
    <w:rsid w:val="002F699B"/>
    <w:rsid w:val="002F7AE4"/>
    <w:rsid w:val="003007E1"/>
    <w:rsid w:val="00307B9F"/>
    <w:rsid w:val="00307D65"/>
    <w:rsid w:val="00307E86"/>
    <w:rsid w:val="00307FFE"/>
    <w:rsid w:val="003100B5"/>
    <w:rsid w:val="0031044E"/>
    <w:rsid w:val="003106F5"/>
    <w:rsid w:val="00311B95"/>
    <w:rsid w:val="003144D8"/>
    <w:rsid w:val="00316644"/>
    <w:rsid w:val="00317AA6"/>
    <w:rsid w:val="003210D5"/>
    <w:rsid w:val="003215B6"/>
    <w:rsid w:val="00321A1E"/>
    <w:rsid w:val="003221AE"/>
    <w:rsid w:val="00322A5C"/>
    <w:rsid w:val="00323E98"/>
    <w:rsid w:val="00325DBA"/>
    <w:rsid w:val="003400CD"/>
    <w:rsid w:val="003425B5"/>
    <w:rsid w:val="00342DF9"/>
    <w:rsid w:val="00345133"/>
    <w:rsid w:val="003461F2"/>
    <w:rsid w:val="00350A05"/>
    <w:rsid w:val="00354154"/>
    <w:rsid w:val="003545F2"/>
    <w:rsid w:val="00354BCB"/>
    <w:rsid w:val="00355629"/>
    <w:rsid w:val="00360C79"/>
    <w:rsid w:val="00363751"/>
    <w:rsid w:val="003637DA"/>
    <w:rsid w:val="003667AF"/>
    <w:rsid w:val="003707DA"/>
    <w:rsid w:val="00371B2D"/>
    <w:rsid w:val="003728F3"/>
    <w:rsid w:val="003771CF"/>
    <w:rsid w:val="003811BF"/>
    <w:rsid w:val="00381770"/>
    <w:rsid w:val="003819EE"/>
    <w:rsid w:val="00384263"/>
    <w:rsid w:val="003872AC"/>
    <w:rsid w:val="003917B7"/>
    <w:rsid w:val="00391E4C"/>
    <w:rsid w:val="00393C0B"/>
    <w:rsid w:val="003A3C8C"/>
    <w:rsid w:val="003B0EB9"/>
    <w:rsid w:val="003B1D28"/>
    <w:rsid w:val="003B2502"/>
    <w:rsid w:val="003B2716"/>
    <w:rsid w:val="003B2A87"/>
    <w:rsid w:val="003B3021"/>
    <w:rsid w:val="003B3997"/>
    <w:rsid w:val="003B3FBC"/>
    <w:rsid w:val="003B71DD"/>
    <w:rsid w:val="003B740D"/>
    <w:rsid w:val="003C0935"/>
    <w:rsid w:val="003C0DEA"/>
    <w:rsid w:val="003C32D1"/>
    <w:rsid w:val="003C50D8"/>
    <w:rsid w:val="003D06BD"/>
    <w:rsid w:val="003D0D00"/>
    <w:rsid w:val="003D292A"/>
    <w:rsid w:val="003D3CE5"/>
    <w:rsid w:val="003D4FCC"/>
    <w:rsid w:val="003D6C9F"/>
    <w:rsid w:val="003E5C24"/>
    <w:rsid w:val="003F017B"/>
    <w:rsid w:val="003F2A59"/>
    <w:rsid w:val="003F3BA8"/>
    <w:rsid w:val="003F4183"/>
    <w:rsid w:val="003F5B7F"/>
    <w:rsid w:val="0040020E"/>
    <w:rsid w:val="004002B9"/>
    <w:rsid w:val="004027DA"/>
    <w:rsid w:val="00405912"/>
    <w:rsid w:val="004100C4"/>
    <w:rsid w:val="00414A31"/>
    <w:rsid w:val="00414A8B"/>
    <w:rsid w:val="00417236"/>
    <w:rsid w:val="004176B9"/>
    <w:rsid w:val="00421B58"/>
    <w:rsid w:val="00424BA7"/>
    <w:rsid w:val="0042578C"/>
    <w:rsid w:val="00425A7E"/>
    <w:rsid w:val="004264E4"/>
    <w:rsid w:val="0043059D"/>
    <w:rsid w:val="004323CF"/>
    <w:rsid w:val="00433CC3"/>
    <w:rsid w:val="00442A01"/>
    <w:rsid w:val="0044540E"/>
    <w:rsid w:val="004454EE"/>
    <w:rsid w:val="00450093"/>
    <w:rsid w:val="00450762"/>
    <w:rsid w:val="00453451"/>
    <w:rsid w:val="004576A9"/>
    <w:rsid w:val="0045771C"/>
    <w:rsid w:val="00461C6A"/>
    <w:rsid w:val="00462548"/>
    <w:rsid w:val="00467C87"/>
    <w:rsid w:val="0047159C"/>
    <w:rsid w:val="00471BE9"/>
    <w:rsid w:val="004814FA"/>
    <w:rsid w:val="00483F21"/>
    <w:rsid w:val="00487039"/>
    <w:rsid w:val="00487BED"/>
    <w:rsid w:val="004910D9"/>
    <w:rsid w:val="004914DC"/>
    <w:rsid w:val="00492CD3"/>
    <w:rsid w:val="00494743"/>
    <w:rsid w:val="004959F7"/>
    <w:rsid w:val="00496308"/>
    <w:rsid w:val="004A064D"/>
    <w:rsid w:val="004A4997"/>
    <w:rsid w:val="004A65DA"/>
    <w:rsid w:val="004A75C0"/>
    <w:rsid w:val="004B61D7"/>
    <w:rsid w:val="004C0637"/>
    <w:rsid w:val="004C1783"/>
    <w:rsid w:val="004C3636"/>
    <w:rsid w:val="004C5119"/>
    <w:rsid w:val="004C53C6"/>
    <w:rsid w:val="004C6C97"/>
    <w:rsid w:val="004D1498"/>
    <w:rsid w:val="004D6037"/>
    <w:rsid w:val="004D63A7"/>
    <w:rsid w:val="004D72B7"/>
    <w:rsid w:val="004E2272"/>
    <w:rsid w:val="004E6C34"/>
    <w:rsid w:val="004E75CC"/>
    <w:rsid w:val="004E7CE2"/>
    <w:rsid w:val="004F0038"/>
    <w:rsid w:val="004F23E4"/>
    <w:rsid w:val="004F2A72"/>
    <w:rsid w:val="004F58DB"/>
    <w:rsid w:val="00501291"/>
    <w:rsid w:val="005019C3"/>
    <w:rsid w:val="00503849"/>
    <w:rsid w:val="00504632"/>
    <w:rsid w:val="005073A3"/>
    <w:rsid w:val="00507AB0"/>
    <w:rsid w:val="005104E1"/>
    <w:rsid w:val="00512739"/>
    <w:rsid w:val="005153EB"/>
    <w:rsid w:val="0051625D"/>
    <w:rsid w:val="00517C7A"/>
    <w:rsid w:val="00521D13"/>
    <w:rsid w:val="00524270"/>
    <w:rsid w:val="005248AB"/>
    <w:rsid w:val="00524A86"/>
    <w:rsid w:val="00524C9B"/>
    <w:rsid w:val="0052525E"/>
    <w:rsid w:val="005254CA"/>
    <w:rsid w:val="00527046"/>
    <w:rsid w:val="005317D9"/>
    <w:rsid w:val="00532BD3"/>
    <w:rsid w:val="00532FEC"/>
    <w:rsid w:val="00533724"/>
    <w:rsid w:val="00534BD9"/>
    <w:rsid w:val="00535A27"/>
    <w:rsid w:val="00536685"/>
    <w:rsid w:val="00536B21"/>
    <w:rsid w:val="0055183B"/>
    <w:rsid w:val="005518AC"/>
    <w:rsid w:val="0055265F"/>
    <w:rsid w:val="00553023"/>
    <w:rsid w:val="0055332A"/>
    <w:rsid w:val="00553C65"/>
    <w:rsid w:val="0055552A"/>
    <w:rsid w:val="00557DF0"/>
    <w:rsid w:val="00560C21"/>
    <w:rsid w:val="00561963"/>
    <w:rsid w:val="00563C61"/>
    <w:rsid w:val="00564582"/>
    <w:rsid w:val="005666F7"/>
    <w:rsid w:val="00566E91"/>
    <w:rsid w:val="0057164D"/>
    <w:rsid w:val="005724B4"/>
    <w:rsid w:val="00574903"/>
    <w:rsid w:val="005762AD"/>
    <w:rsid w:val="005774AD"/>
    <w:rsid w:val="00584A72"/>
    <w:rsid w:val="00586897"/>
    <w:rsid w:val="00586E56"/>
    <w:rsid w:val="0059090F"/>
    <w:rsid w:val="00590AFB"/>
    <w:rsid w:val="00591E82"/>
    <w:rsid w:val="00592E7B"/>
    <w:rsid w:val="00594E04"/>
    <w:rsid w:val="00595211"/>
    <w:rsid w:val="0059556C"/>
    <w:rsid w:val="00596FB5"/>
    <w:rsid w:val="005A241F"/>
    <w:rsid w:val="005A5DB7"/>
    <w:rsid w:val="005B0412"/>
    <w:rsid w:val="005B101D"/>
    <w:rsid w:val="005B4201"/>
    <w:rsid w:val="005B49E4"/>
    <w:rsid w:val="005B4ED9"/>
    <w:rsid w:val="005B513F"/>
    <w:rsid w:val="005C0D5C"/>
    <w:rsid w:val="005C7D98"/>
    <w:rsid w:val="005D0569"/>
    <w:rsid w:val="005D185A"/>
    <w:rsid w:val="005D3C4C"/>
    <w:rsid w:val="005D6D02"/>
    <w:rsid w:val="005D722C"/>
    <w:rsid w:val="005E0E2A"/>
    <w:rsid w:val="005E15F9"/>
    <w:rsid w:val="005E176E"/>
    <w:rsid w:val="005E1DAC"/>
    <w:rsid w:val="005E586A"/>
    <w:rsid w:val="005E7B4C"/>
    <w:rsid w:val="005F011F"/>
    <w:rsid w:val="005F0559"/>
    <w:rsid w:val="005F2CC6"/>
    <w:rsid w:val="005F5B1A"/>
    <w:rsid w:val="005F7441"/>
    <w:rsid w:val="005F76A7"/>
    <w:rsid w:val="006003F3"/>
    <w:rsid w:val="00600C58"/>
    <w:rsid w:val="00600D06"/>
    <w:rsid w:val="00600E88"/>
    <w:rsid w:val="00602730"/>
    <w:rsid w:val="00603D82"/>
    <w:rsid w:val="00603EE2"/>
    <w:rsid w:val="006123FB"/>
    <w:rsid w:val="00613378"/>
    <w:rsid w:val="00613FD2"/>
    <w:rsid w:val="00615664"/>
    <w:rsid w:val="00616CDF"/>
    <w:rsid w:val="00621C73"/>
    <w:rsid w:val="00624D23"/>
    <w:rsid w:val="00624EC4"/>
    <w:rsid w:val="006305E7"/>
    <w:rsid w:val="0063695A"/>
    <w:rsid w:val="006419B6"/>
    <w:rsid w:val="006451C1"/>
    <w:rsid w:val="006473EC"/>
    <w:rsid w:val="00650B06"/>
    <w:rsid w:val="00651996"/>
    <w:rsid w:val="00657551"/>
    <w:rsid w:val="00660019"/>
    <w:rsid w:val="006669A3"/>
    <w:rsid w:val="00670220"/>
    <w:rsid w:val="00670302"/>
    <w:rsid w:val="00675B3C"/>
    <w:rsid w:val="00681735"/>
    <w:rsid w:val="00681F61"/>
    <w:rsid w:val="00682A56"/>
    <w:rsid w:val="00683405"/>
    <w:rsid w:val="006844BE"/>
    <w:rsid w:val="00685EA8"/>
    <w:rsid w:val="00687067"/>
    <w:rsid w:val="00687598"/>
    <w:rsid w:val="00687C6B"/>
    <w:rsid w:val="006920AD"/>
    <w:rsid w:val="00694528"/>
    <w:rsid w:val="00696655"/>
    <w:rsid w:val="006A1029"/>
    <w:rsid w:val="006A45F6"/>
    <w:rsid w:val="006A52B8"/>
    <w:rsid w:val="006A5801"/>
    <w:rsid w:val="006A6585"/>
    <w:rsid w:val="006A7481"/>
    <w:rsid w:val="006B1A5A"/>
    <w:rsid w:val="006B2663"/>
    <w:rsid w:val="006B2B58"/>
    <w:rsid w:val="006B3C54"/>
    <w:rsid w:val="006B4DB1"/>
    <w:rsid w:val="006B5EBD"/>
    <w:rsid w:val="006B66C9"/>
    <w:rsid w:val="006B72E1"/>
    <w:rsid w:val="006C2E6C"/>
    <w:rsid w:val="006C3216"/>
    <w:rsid w:val="006C5763"/>
    <w:rsid w:val="006C62B7"/>
    <w:rsid w:val="006D0E79"/>
    <w:rsid w:val="006D13C0"/>
    <w:rsid w:val="006D155B"/>
    <w:rsid w:val="006D2CD9"/>
    <w:rsid w:val="006D3D23"/>
    <w:rsid w:val="006D4262"/>
    <w:rsid w:val="006D5AEB"/>
    <w:rsid w:val="006E1AE5"/>
    <w:rsid w:val="006E1B8F"/>
    <w:rsid w:val="006E26C0"/>
    <w:rsid w:val="006E2B9D"/>
    <w:rsid w:val="006E3459"/>
    <w:rsid w:val="006E4083"/>
    <w:rsid w:val="006E52C0"/>
    <w:rsid w:val="006E69BC"/>
    <w:rsid w:val="006F2560"/>
    <w:rsid w:val="006F2D2C"/>
    <w:rsid w:val="006F4425"/>
    <w:rsid w:val="006F548F"/>
    <w:rsid w:val="006F75CB"/>
    <w:rsid w:val="007026C3"/>
    <w:rsid w:val="00705386"/>
    <w:rsid w:val="00706123"/>
    <w:rsid w:val="00707014"/>
    <w:rsid w:val="0070780A"/>
    <w:rsid w:val="00711663"/>
    <w:rsid w:val="00711D5D"/>
    <w:rsid w:val="00722A5D"/>
    <w:rsid w:val="0072406A"/>
    <w:rsid w:val="00727204"/>
    <w:rsid w:val="007277E7"/>
    <w:rsid w:val="00732751"/>
    <w:rsid w:val="007332AA"/>
    <w:rsid w:val="007372A0"/>
    <w:rsid w:val="007406C6"/>
    <w:rsid w:val="00742864"/>
    <w:rsid w:val="00742A20"/>
    <w:rsid w:val="007479A4"/>
    <w:rsid w:val="00747CB6"/>
    <w:rsid w:val="00750079"/>
    <w:rsid w:val="007549C6"/>
    <w:rsid w:val="00754AFF"/>
    <w:rsid w:val="00754E9C"/>
    <w:rsid w:val="007570BC"/>
    <w:rsid w:val="007579E6"/>
    <w:rsid w:val="0076148A"/>
    <w:rsid w:val="007625EF"/>
    <w:rsid w:val="00762D96"/>
    <w:rsid w:val="00762E08"/>
    <w:rsid w:val="00763AE4"/>
    <w:rsid w:val="00764BD5"/>
    <w:rsid w:val="00771010"/>
    <w:rsid w:val="007733DC"/>
    <w:rsid w:val="00776874"/>
    <w:rsid w:val="00777FE4"/>
    <w:rsid w:val="00780CA8"/>
    <w:rsid w:val="00781EF0"/>
    <w:rsid w:val="007838C6"/>
    <w:rsid w:val="00786A03"/>
    <w:rsid w:val="00787AE2"/>
    <w:rsid w:val="00787FCD"/>
    <w:rsid w:val="00791A55"/>
    <w:rsid w:val="00791D89"/>
    <w:rsid w:val="007961C0"/>
    <w:rsid w:val="007A1D6F"/>
    <w:rsid w:val="007A356B"/>
    <w:rsid w:val="007A5353"/>
    <w:rsid w:val="007B0395"/>
    <w:rsid w:val="007B14B9"/>
    <w:rsid w:val="007B20DA"/>
    <w:rsid w:val="007B225D"/>
    <w:rsid w:val="007B3874"/>
    <w:rsid w:val="007B7AEA"/>
    <w:rsid w:val="007B7C5F"/>
    <w:rsid w:val="007D3622"/>
    <w:rsid w:val="007D6CF2"/>
    <w:rsid w:val="007E04D8"/>
    <w:rsid w:val="007E0AD7"/>
    <w:rsid w:val="007E1655"/>
    <w:rsid w:val="007E66A3"/>
    <w:rsid w:val="007F32E0"/>
    <w:rsid w:val="00805601"/>
    <w:rsid w:val="00806255"/>
    <w:rsid w:val="0080673B"/>
    <w:rsid w:val="00814486"/>
    <w:rsid w:val="00815975"/>
    <w:rsid w:val="00817E23"/>
    <w:rsid w:val="00822688"/>
    <w:rsid w:val="00823289"/>
    <w:rsid w:val="00827637"/>
    <w:rsid w:val="00833CC1"/>
    <w:rsid w:val="0083633D"/>
    <w:rsid w:val="0083753F"/>
    <w:rsid w:val="00837B9B"/>
    <w:rsid w:val="00840013"/>
    <w:rsid w:val="00840872"/>
    <w:rsid w:val="008409C8"/>
    <w:rsid w:val="00841FD6"/>
    <w:rsid w:val="00842EA4"/>
    <w:rsid w:val="0084406B"/>
    <w:rsid w:val="008456AF"/>
    <w:rsid w:val="00847610"/>
    <w:rsid w:val="0085179E"/>
    <w:rsid w:val="0085287E"/>
    <w:rsid w:val="00855958"/>
    <w:rsid w:val="00855CD0"/>
    <w:rsid w:val="008565A9"/>
    <w:rsid w:val="008602DA"/>
    <w:rsid w:val="0086203F"/>
    <w:rsid w:val="0086252B"/>
    <w:rsid w:val="008668FE"/>
    <w:rsid w:val="00867418"/>
    <w:rsid w:val="00870B18"/>
    <w:rsid w:val="0087136E"/>
    <w:rsid w:val="00876E3A"/>
    <w:rsid w:val="00880569"/>
    <w:rsid w:val="0088193D"/>
    <w:rsid w:val="0089459A"/>
    <w:rsid w:val="00895F19"/>
    <w:rsid w:val="008960C4"/>
    <w:rsid w:val="00896C04"/>
    <w:rsid w:val="008A0B0B"/>
    <w:rsid w:val="008A1C01"/>
    <w:rsid w:val="008A2C2E"/>
    <w:rsid w:val="008A4A9F"/>
    <w:rsid w:val="008A51C3"/>
    <w:rsid w:val="008B13FE"/>
    <w:rsid w:val="008B3EF5"/>
    <w:rsid w:val="008B48C4"/>
    <w:rsid w:val="008B5590"/>
    <w:rsid w:val="008B581F"/>
    <w:rsid w:val="008C05F3"/>
    <w:rsid w:val="008C3B8A"/>
    <w:rsid w:val="008C3FA0"/>
    <w:rsid w:val="008C68EB"/>
    <w:rsid w:val="008C7AD3"/>
    <w:rsid w:val="008C7F23"/>
    <w:rsid w:val="008D02E6"/>
    <w:rsid w:val="008D3026"/>
    <w:rsid w:val="008D5766"/>
    <w:rsid w:val="008D7953"/>
    <w:rsid w:val="008E001F"/>
    <w:rsid w:val="008E1F33"/>
    <w:rsid w:val="008E20AB"/>
    <w:rsid w:val="008E24E3"/>
    <w:rsid w:val="008E4BFF"/>
    <w:rsid w:val="008E5853"/>
    <w:rsid w:val="008E5DA3"/>
    <w:rsid w:val="008E6653"/>
    <w:rsid w:val="008E79EC"/>
    <w:rsid w:val="008F021E"/>
    <w:rsid w:val="008F032B"/>
    <w:rsid w:val="008F18F9"/>
    <w:rsid w:val="008F1971"/>
    <w:rsid w:val="008F1E9F"/>
    <w:rsid w:val="008F3CDF"/>
    <w:rsid w:val="008F3D15"/>
    <w:rsid w:val="008F3EE3"/>
    <w:rsid w:val="008F58C3"/>
    <w:rsid w:val="008F5941"/>
    <w:rsid w:val="008F5F86"/>
    <w:rsid w:val="008F64A1"/>
    <w:rsid w:val="008F79AC"/>
    <w:rsid w:val="009007DA"/>
    <w:rsid w:val="00900CF8"/>
    <w:rsid w:val="009013EA"/>
    <w:rsid w:val="009019A0"/>
    <w:rsid w:val="00903453"/>
    <w:rsid w:val="00904D83"/>
    <w:rsid w:val="009052A3"/>
    <w:rsid w:val="00905DDE"/>
    <w:rsid w:val="009068E9"/>
    <w:rsid w:val="00907090"/>
    <w:rsid w:val="00907BF7"/>
    <w:rsid w:val="00911F9C"/>
    <w:rsid w:val="00917E6B"/>
    <w:rsid w:val="009206C3"/>
    <w:rsid w:val="00921878"/>
    <w:rsid w:val="00924E42"/>
    <w:rsid w:val="00925418"/>
    <w:rsid w:val="00926FF7"/>
    <w:rsid w:val="009278E6"/>
    <w:rsid w:val="00932324"/>
    <w:rsid w:val="00933BBD"/>
    <w:rsid w:val="00935465"/>
    <w:rsid w:val="00937D43"/>
    <w:rsid w:val="00943D8D"/>
    <w:rsid w:val="009468FD"/>
    <w:rsid w:val="0095663C"/>
    <w:rsid w:val="00957F4C"/>
    <w:rsid w:val="009610B2"/>
    <w:rsid w:val="009615B2"/>
    <w:rsid w:val="00964941"/>
    <w:rsid w:val="00965644"/>
    <w:rsid w:val="0096591D"/>
    <w:rsid w:val="009661F8"/>
    <w:rsid w:val="00966486"/>
    <w:rsid w:val="009666FA"/>
    <w:rsid w:val="00970753"/>
    <w:rsid w:val="00970F62"/>
    <w:rsid w:val="0097583F"/>
    <w:rsid w:val="00980385"/>
    <w:rsid w:val="00983E66"/>
    <w:rsid w:val="00983F28"/>
    <w:rsid w:val="00984659"/>
    <w:rsid w:val="009868ED"/>
    <w:rsid w:val="00986E9C"/>
    <w:rsid w:val="009938E1"/>
    <w:rsid w:val="00994972"/>
    <w:rsid w:val="009A6869"/>
    <w:rsid w:val="009B04F9"/>
    <w:rsid w:val="009B08FD"/>
    <w:rsid w:val="009B233F"/>
    <w:rsid w:val="009B32AE"/>
    <w:rsid w:val="009B3725"/>
    <w:rsid w:val="009B763B"/>
    <w:rsid w:val="009C0BF5"/>
    <w:rsid w:val="009C10FA"/>
    <w:rsid w:val="009C2458"/>
    <w:rsid w:val="009C595C"/>
    <w:rsid w:val="009D1442"/>
    <w:rsid w:val="009D17DE"/>
    <w:rsid w:val="009D19A2"/>
    <w:rsid w:val="009D3C3E"/>
    <w:rsid w:val="009D4698"/>
    <w:rsid w:val="009D56C9"/>
    <w:rsid w:val="009D5D35"/>
    <w:rsid w:val="009E0B4D"/>
    <w:rsid w:val="009E0E55"/>
    <w:rsid w:val="009E11BB"/>
    <w:rsid w:val="009E2E08"/>
    <w:rsid w:val="009E3656"/>
    <w:rsid w:val="009E38D6"/>
    <w:rsid w:val="009E3F24"/>
    <w:rsid w:val="009E7F27"/>
    <w:rsid w:val="009F06B5"/>
    <w:rsid w:val="009F12D9"/>
    <w:rsid w:val="009F6CF9"/>
    <w:rsid w:val="009F6CFC"/>
    <w:rsid w:val="00A0140B"/>
    <w:rsid w:val="00A01FA9"/>
    <w:rsid w:val="00A031E5"/>
    <w:rsid w:val="00A074F1"/>
    <w:rsid w:val="00A1197F"/>
    <w:rsid w:val="00A11C3F"/>
    <w:rsid w:val="00A125EA"/>
    <w:rsid w:val="00A14396"/>
    <w:rsid w:val="00A14CED"/>
    <w:rsid w:val="00A15C85"/>
    <w:rsid w:val="00A15D3F"/>
    <w:rsid w:val="00A20613"/>
    <w:rsid w:val="00A22AE0"/>
    <w:rsid w:val="00A25AF1"/>
    <w:rsid w:val="00A262FB"/>
    <w:rsid w:val="00A31418"/>
    <w:rsid w:val="00A314C7"/>
    <w:rsid w:val="00A32577"/>
    <w:rsid w:val="00A372B2"/>
    <w:rsid w:val="00A37A1D"/>
    <w:rsid w:val="00A41720"/>
    <w:rsid w:val="00A4306C"/>
    <w:rsid w:val="00A4441C"/>
    <w:rsid w:val="00A448B1"/>
    <w:rsid w:val="00A45A32"/>
    <w:rsid w:val="00A47F0E"/>
    <w:rsid w:val="00A50670"/>
    <w:rsid w:val="00A53B99"/>
    <w:rsid w:val="00A54200"/>
    <w:rsid w:val="00A54D2B"/>
    <w:rsid w:val="00A60786"/>
    <w:rsid w:val="00A6098F"/>
    <w:rsid w:val="00A60ABA"/>
    <w:rsid w:val="00A62B42"/>
    <w:rsid w:val="00A66DD6"/>
    <w:rsid w:val="00A74AAB"/>
    <w:rsid w:val="00A80569"/>
    <w:rsid w:val="00A815A1"/>
    <w:rsid w:val="00A85A59"/>
    <w:rsid w:val="00A86CA9"/>
    <w:rsid w:val="00A921D9"/>
    <w:rsid w:val="00A92391"/>
    <w:rsid w:val="00A93AF7"/>
    <w:rsid w:val="00A95290"/>
    <w:rsid w:val="00A97E5A"/>
    <w:rsid w:val="00AA56B3"/>
    <w:rsid w:val="00AB0F24"/>
    <w:rsid w:val="00AB38E3"/>
    <w:rsid w:val="00AB39D5"/>
    <w:rsid w:val="00AB450A"/>
    <w:rsid w:val="00AB454E"/>
    <w:rsid w:val="00AB5B3B"/>
    <w:rsid w:val="00AB5F42"/>
    <w:rsid w:val="00AC2C69"/>
    <w:rsid w:val="00AC3669"/>
    <w:rsid w:val="00AC4B44"/>
    <w:rsid w:val="00AC5E1E"/>
    <w:rsid w:val="00AC7051"/>
    <w:rsid w:val="00AD49C2"/>
    <w:rsid w:val="00AD5673"/>
    <w:rsid w:val="00AD78C5"/>
    <w:rsid w:val="00AE1191"/>
    <w:rsid w:val="00AE56E9"/>
    <w:rsid w:val="00AE692C"/>
    <w:rsid w:val="00AF10A0"/>
    <w:rsid w:val="00AF6584"/>
    <w:rsid w:val="00AF65C0"/>
    <w:rsid w:val="00B00049"/>
    <w:rsid w:val="00B0037E"/>
    <w:rsid w:val="00B01AC6"/>
    <w:rsid w:val="00B039FE"/>
    <w:rsid w:val="00B042D1"/>
    <w:rsid w:val="00B045D3"/>
    <w:rsid w:val="00B04D3D"/>
    <w:rsid w:val="00B07973"/>
    <w:rsid w:val="00B101C0"/>
    <w:rsid w:val="00B10696"/>
    <w:rsid w:val="00B13040"/>
    <w:rsid w:val="00B14519"/>
    <w:rsid w:val="00B22ECB"/>
    <w:rsid w:val="00B246CD"/>
    <w:rsid w:val="00B263E8"/>
    <w:rsid w:val="00B30A1E"/>
    <w:rsid w:val="00B31BD8"/>
    <w:rsid w:val="00B3235A"/>
    <w:rsid w:val="00B345B3"/>
    <w:rsid w:val="00B34E3C"/>
    <w:rsid w:val="00B35028"/>
    <w:rsid w:val="00B35531"/>
    <w:rsid w:val="00B37E02"/>
    <w:rsid w:val="00B40001"/>
    <w:rsid w:val="00B41746"/>
    <w:rsid w:val="00B43CCF"/>
    <w:rsid w:val="00B44B4E"/>
    <w:rsid w:val="00B462CD"/>
    <w:rsid w:val="00B613C8"/>
    <w:rsid w:val="00B633C4"/>
    <w:rsid w:val="00B63E93"/>
    <w:rsid w:val="00B66582"/>
    <w:rsid w:val="00B66AD2"/>
    <w:rsid w:val="00B703A6"/>
    <w:rsid w:val="00B70E91"/>
    <w:rsid w:val="00B7135A"/>
    <w:rsid w:val="00B721CA"/>
    <w:rsid w:val="00B75541"/>
    <w:rsid w:val="00B80D52"/>
    <w:rsid w:val="00B8459D"/>
    <w:rsid w:val="00B85270"/>
    <w:rsid w:val="00B85A93"/>
    <w:rsid w:val="00B87D59"/>
    <w:rsid w:val="00B921E4"/>
    <w:rsid w:val="00B95469"/>
    <w:rsid w:val="00B9653A"/>
    <w:rsid w:val="00BA01B1"/>
    <w:rsid w:val="00BA3EE1"/>
    <w:rsid w:val="00BA6071"/>
    <w:rsid w:val="00BA643A"/>
    <w:rsid w:val="00BB0891"/>
    <w:rsid w:val="00BB213B"/>
    <w:rsid w:val="00BB2270"/>
    <w:rsid w:val="00BB2609"/>
    <w:rsid w:val="00BB2885"/>
    <w:rsid w:val="00BB3379"/>
    <w:rsid w:val="00BB49AE"/>
    <w:rsid w:val="00BB5AEB"/>
    <w:rsid w:val="00BB649B"/>
    <w:rsid w:val="00BB729B"/>
    <w:rsid w:val="00BC031C"/>
    <w:rsid w:val="00BC3E63"/>
    <w:rsid w:val="00BC7047"/>
    <w:rsid w:val="00BD153D"/>
    <w:rsid w:val="00BD4519"/>
    <w:rsid w:val="00BD5708"/>
    <w:rsid w:val="00BD673D"/>
    <w:rsid w:val="00BD67C2"/>
    <w:rsid w:val="00BE027D"/>
    <w:rsid w:val="00BE1EBA"/>
    <w:rsid w:val="00BE28FA"/>
    <w:rsid w:val="00BE4D43"/>
    <w:rsid w:val="00BE57BC"/>
    <w:rsid w:val="00BE6E79"/>
    <w:rsid w:val="00BE764B"/>
    <w:rsid w:val="00BF0E49"/>
    <w:rsid w:val="00BF18DB"/>
    <w:rsid w:val="00BF4422"/>
    <w:rsid w:val="00BF7E8D"/>
    <w:rsid w:val="00C00E28"/>
    <w:rsid w:val="00C04BA3"/>
    <w:rsid w:val="00C07D2B"/>
    <w:rsid w:val="00C12395"/>
    <w:rsid w:val="00C149C7"/>
    <w:rsid w:val="00C15529"/>
    <w:rsid w:val="00C21B70"/>
    <w:rsid w:val="00C230AA"/>
    <w:rsid w:val="00C23139"/>
    <w:rsid w:val="00C23258"/>
    <w:rsid w:val="00C2592C"/>
    <w:rsid w:val="00C308F4"/>
    <w:rsid w:val="00C31250"/>
    <w:rsid w:val="00C36629"/>
    <w:rsid w:val="00C36654"/>
    <w:rsid w:val="00C3752D"/>
    <w:rsid w:val="00C37C9D"/>
    <w:rsid w:val="00C41A5D"/>
    <w:rsid w:val="00C43022"/>
    <w:rsid w:val="00C44D7D"/>
    <w:rsid w:val="00C451A0"/>
    <w:rsid w:val="00C46E31"/>
    <w:rsid w:val="00C511F1"/>
    <w:rsid w:val="00C51539"/>
    <w:rsid w:val="00C52F03"/>
    <w:rsid w:val="00C635CF"/>
    <w:rsid w:val="00C64501"/>
    <w:rsid w:val="00C70FB3"/>
    <w:rsid w:val="00C73249"/>
    <w:rsid w:val="00C73AE6"/>
    <w:rsid w:val="00C73BA0"/>
    <w:rsid w:val="00C76D10"/>
    <w:rsid w:val="00C77794"/>
    <w:rsid w:val="00C80A5F"/>
    <w:rsid w:val="00C80B7B"/>
    <w:rsid w:val="00C823AA"/>
    <w:rsid w:val="00C82840"/>
    <w:rsid w:val="00C82FD7"/>
    <w:rsid w:val="00C87B95"/>
    <w:rsid w:val="00C94E1C"/>
    <w:rsid w:val="00CA123F"/>
    <w:rsid w:val="00CA4B9A"/>
    <w:rsid w:val="00CA4FE4"/>
    <w:rsid w:val="00CA6EA6"/>
    <w:rsid w:val="00CA70C5"/>
    <w:rsid w:val="00CB20BE"/>
    <w:rsid w:val="00CB243C"/>
    <w:rsid w:val="00CB6AC0"/>
    <w:rsid w:val="00CB7C67"/>
    <w:rsid w:val="00CC0CC8"/>
    <w:rsid w:val="00CC6F08"/>
    <w:rsid w:val="00CD191E"/>
    <w:rsid w:val="00CD3E8D"/>
    <w:rsid w:val="00CD67DC"/>
    <w:rsid w:val="00CD6A9E"/>
    <w:rsid w:val="00CD7768"/>
    <w:rsid w:val="00CE25E5"/>
    <w:rsid w:val="00CE2824"/>
    <w:rsid w:val="00CE5F1D"/>
    <w:rsid w:val="00CE71B9"/>
    <w:rsid w:val="00CF6977"/>
    <w:rsid w:val="00D030D8"/>
    <w:rsid w:val="00D14FF1"/>
    <w:rsid w:val="00D159E0"/>
    <w:rsid w:val="00D20940"/>
    <w:rsid w:val="00D27DD1"/>
    <w:rsid w:val="00D303CB"/>
    <w:rsid w:val="00D3119D"/>
    <w:rsid w:val="00D33493"/>
    <w:rsid w:val="00D350C4"/>
    <w:rsid w:val="00D44619"/>
    <w:rsid w:val="00D44878"/>
    <w:rsid w:val="00D46464"/>
    <w:rsid w:val="00D46ED4"/>
    <w:rsid w:val="00D5061E"/>
    <w:rsid w:val="00D51645"/>
    <w:rsid w:val="00D51D59"/>
    <w:rsid w:val="00D51DFB"/>
    <w:rsid w:val="00D52E81"/>
    <w:rsid w:val="00D56203"/>
    <w:rsid w:val="00D57778"/>
    <w:rsid w:val="00D62F29"/>
    <w:rsid w:val="00D657F2"/>
    <w:rsid w:val="00D70C22"/>
    <w:rsid w:val="00D75C89"/>
    <w:rsid w:val="00D7755C"/>
    <w:rsid w:val="00D830E0"/>
    <w:rsid w:val="00D857AB"/>
    <w:rsid w:val="00D86503"/>
    <w:rsid w:val="00D86E52"/>
    <w:rsid w:val="00D878DF"/>
    <w:rsid w:val="00D97153"/>
    <w:rsid w:val="00DA02F6"/>
    <w:rsid w:val="00DA2662"/>
    <w:rsid w:val="00DA2BBC"/>
    <w:rsid w:val="00DA5B1C"/>
    <w:rsid w:val="00DB0A93"/>
    <w:rsid w:val="00DB1924"/>
    <w:rsid w:val="00DB238F"/>
    <w:rsid w:val="00DB304F"/>
    <w:rsid w:val="00DB31D1"/>
    <w:rsid w:val="00DB4B33"/>
    <w:rsid w:val="00DB4CE8"/>
    <w:rsid w:val="00DB4DB3"/>
    <w:rsid w:val="00DC0B85"/>
    <w:rsid w:val="00DC3F6F"/>
    <w:rsid w:val="00DC6832"/>
    <w:rsid w:val="00DD0B3F"/>
    <w:rsid w:val="00DD1648"/>
    <w:rsid w:val="00DD18A5"/>
    <w:rsid w:val="00DD2675"/>
    <w:rsid w:val="00DD3731"/>
    <w:rsid w:val="00DD5452"/>
    <w:rsid w:val="00DD5CE6"/>
    <w:rsid w:val="00DE078F"/>
    <w:rsid w:val="00DE0A20"/>
    <w:rsid w:val="00DE5544"/>
    <w:rsid w:val="00DF153A"/>
    <w:rsid w:val="00DF76CF"/>
    <w:rsid w:val="00E014A1"/>
    <w:rsid w:val="00E02A77"/>
    <w:rsid w:val="00E02D09"/>
    <w:rsid w:val="00E0588F"/>
    <w:rsid w:val="00E069BC"/>
    <w:rsid w:val="00E1259B"/>
    <w:rsid w:val="00E135A5"/>
    <w:rsid w:val="00E142B8"/>
    <w:rsid w:val="00E20160"/>
    <w:rsid w:val="00E21C52"/>
    <w:rsid w:val="00E26A00"/>
    <w:rsid w:val="00E26A6F"/>
    <w:rsid w:val="00E2724B"/>
    <w:rsid w:val="00E30091"/>
    <w:rsid w:val="00E31006"/>
    <w:rsid w:val="00E32CB9"/>
    <w:rsid w:val="00E34DAB"/>
    <w:rsid w:val="00E3560C"/>
    <w:rsid w:val="00E4209F"/>
    <w:rsid w:val="00E454E1"/>
    <w:rsid w:val="00E46AC1"/>
    <w:rsid w:val="00E5124C"/>
    <w:rsid w:val="00E51754"/>
    <w:rsid w:val="00E64C24"/>
    <w:rsid w:val="00E654D0"/>
    <w:rsid w:val="00E73BAF"/>
    <w:rsid w:val="00E744FF"/>
    <w:rsid w:val="00E7474E"/>
    <w:rsid w:val="00E74F79"/>
    <w:rsid w:val="00E7609B"/>
    <w:rsid w:val="00E80060"/>
    <w:rsid w:val="00E80B54"/>
    <w:rsid w:val="00E86463"/>
    <w:rsid w:val="00E948D7"/>
    <w:rsid w:val="00E94A68"/>
    <w:rsid w:val="00E94F05"/>
    <w:rsid w:val="00E954C6"/>
    <w:rsid w:val="00E97B71"/>
    <w:rsid w:val="00EA5FDF"/>
    <w:rsid w:val="00EA7A76"/>
    <w:rsid w:val="00EB05A0"/>
    <w:rsid w:val="00EB2901"/>
    <w:rsid w:val="00EB2921"/>
    <w:rsid w:val="00EB3754"/>
    <w:rsid w:val="00EB608C"/>
    <w:rsid w:val="00EB67BF"/>
    <w:rsid w:val="00EC2037"/>
    <w:rsid w:val="00EC2223"/>
    <w:rsid w:val="00EC27F5"/>
    <w:rsid w:val="00EC3909"/>
    <w:rsid w:val="00EC7081"/>
    <w:rsid w:val="00EC7390"/>
    <w:rsid w:val="00ED0D79"/>
    <w:rsid w:val="00ED115C"/>
    <w:rsid w:val="00ED1CA6"/>
    <w:rsid w:val="00ED1EF5"/>
    <w:rsid w:val="00ED246B"/>
    <w:rsid w:val="00ED307A"/>
    <w:rsid w:val="00ED671B"/>
    <w:rsid w:val="00ED76C1"/>
    <w:rsid w:val="00ED795A"/>
    <w:rsid w:val="00EE39E1"/>
    <w:rsid w:val="00EE5392"/>
    <w:rsid w:val="00EE5A1F"/>
    <w:rsid w:val="00EF1AC2"/>
    <w:rsid w:val="00EF32F6"/>
    <w:rsid w:val="00EF6FF5"/>
    <w:rsid w:val="00EF70C4"/>
    <w:rsid w:val="00F00B91"/>
    <w:rsid w:val="00F00D34"/>
    <w:rsid w:val="00F03D24"/>
    <w:rsid w:val="00F045AD"/>
    <w:rsid w:val="00F10D9C"/>
    <w:rsid w:val="00F1789F"/>
    <w:rsid w:val="00F17D38"/>
    <w:rsid w:val="00F27FD0"/>
    <w:rsid w:val="00F301A3"/>
    <w:rsid w:val="00F3351C"/>
    <w:rsid w:val="00F35C7D"/>
    <w:rsid w:val="00F41171"/>
    <w:rsid w:val="00F438A7"/>
    <w:rsid w:val="00F46260"/>
    <w:rsid w:val="00F510EF"/>
    <w:rsid w:val="00F52FB3"/>
    <w:rsid w:val="00F53581"/>
    <w:rsid w:val="00F5435B"/>
    <w:rsid w:val="00F567AD"/>
    <w:rsid w:val="00F57EA7"/>
    <w:rsid w:val="00F6069D"/>
    <w:rsid w:val="00F61483"/>
    <w:rsid w:val="00F61499"/>
    <w:rsid w:val="00F61EFF"/>
    <w:rsid w:val="00F65992"/>
    <w:rsid w:val="00F66D9A"/>
    <w:rsid w:val="00F7022F"/>
    <w:rsid w:val="00F714C8"/>
    <w:rsid w:val="00F71925"/>
    <w:rsid w:val="00F72711"/>
    <w:rsid w:val="00F72CB0"/>
    <w:rsid w:val="00F770D2"/>
    <w:rsid w:val="00F80E99"/>
    <w:rsid w:val="00F81E4F"/>
    <w:rsid w:val="00F81FA1"/>
    <w:rsid w:val="00F8340A"/>
    <w:rsid w:val="00F85118"/>
    <w:rsid w:val="00F8587D"/>
    <w:rsid w:val="00F85FDD"/>
    <w:rsid w:val="00F878D4"/>
    <w:rsid w:val="00F91ACC"/>
    <w:rsid w:val="00F91FF8"/>
    <w:rsid w:val="00F93B6D"/>
    <w:rsid w:val="00F93CB6"/>
    <w:rsid w:val="00FA0EFA"/>
    <w:rsid w:val="00FA3EF4"/>
    <w:rsid w:val="00FA3FC0"/>
    <w:rsid w:val="00FA612C"/>
    <w:rsid w:val="00FA70A6"/>
    <w:rsid w:val="00FA7FDB"/>
    <w:rsid w:val="00FB306C"/>
    <w:rsid w:val="00FB3D2C"/>
    <w:rsid w:val="00FB448F"/>
    <w:rsid w:val="00FB44BD"/>
    <w:rsid w:val="00FB493A"/>
    <w:rsid w:val="00FB6E86"/>
    <w:rsid w:val="00FB77B8"/>
    <w:rsid w:val="00FC226E"/>
    <w:rsid w:val="00FC506A"/>
    <w:rsid w:val="00FD1E4C"/>
    <w:rsid w:val="00FE255A"/>
    <w:rsid w:val="00FE2C85"/>
    <w:rsid w:val="00FE2F61"/>
    <w:rsid w:val="00FE3A7C"/>
    <w:rsid w:val="00FE3C54"/>
    <w:rsid w:val="00FE4CC6"/>
    <w:rsid w:val="00FE6444"/>
    <w:rsid w:val="00FE6886"/>
    <w:rsid w:val="00FF1A64"/>
    <w:rsid w:val="00FF2F4C"/>
    <w:rsid w:val="00FF37AA"/>
    <w:rsid w:val="00FF76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8CC679"/>
  <w15:docId w15:val="{58D50CD7-CEC6-410D-945C-F8A446169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3997"/>
    <w:pPr>
      <w:tabs>
        <w:tab w:val="left" w:pos="1440"/>
        <w:tab w:val="center" w:pos="4320"/>
        <w:tab w:val="right" w:pos="9072"/>
      </w:tabs>
      <w:snapToGrid w:val="0"/>
    </w:pPr>
    <w:rPr>
      <w:sz w:val="28"/>
    </w:rPr>
  </w:style>
  <w:style w:type="paragraph" w:styleId="Heading2">
    <w:name w:val="heading 2"/>
    <w:basedOn w:val="Normal"/>
    <w:next w:val="Normal"/>
    <w:link w:val="Heading2Char"/>
    <w:qFormat/>
    <w:rsid w:val="003B3997"/>
    <w:pPr>
      <w:keepNext/>
      <w:snapToGrid/>
      <w:outlineLvl w:val="1"/>
    </w:pPr>
    <w:rPr>
      <w:b/>
      <w:bCs/>
      <w:sz w:val="20"/>
      <w:szCs w:val="24"/>
    </w:rPr>
  </w:style>
  <w:style w:type="paragraph" w:styleId="Heading3">
    <w:name w:val="heading 3"/>
    <w:basedOn w:val="Normal"/>
    <w:next w:val="Normal"/>
    <w:link w:val="Heading3Char"/>
    <w:qFormat/>
    <w:rsid w:val="003B3997"/>
    <w:pPr>
      <w:keepNext/>
      <w:snapToGrid/>
      <w:jc w:val="center"/>
      <w:outlineLvl w:val="2"/>
    </w:pPr>
    <w:rPr>
      <w:b/>
      <w:bCs/>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B3997"/>
    <w:pPr>
      <w:tabs>
        <w:tab w:val="center" w:pos="4153"/>
        <w:tab w:val="right" w:pos="8306"/>
      </w:tabs>
      <w:jc w:val="center"/>
    </w:pPr>
    <w:rPr>
      <w:sz w:val="18"/>
    </w:rPr>
  </w:style>
  <w:style w:type="paragraph" w:customStyle="1" w:styleId="altd">
    <w:name w:val="altd"/>
    <w:basedOn w:val="Normal"/>
    <w:rsid w:val="003B3997"/>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3B3997"/>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sid w:val="003B3997"/>
    <w:rPr>
      <w:b w:val="0"/>
    </w:rPr>
  </w:style>
  <w:style w:type="paragraph" w:customStyle="1" w:styleId="normal3">
    <w:name w:val="normal3"/>
    <w:basedOn w:val="Normal"/>
    <w:rsid w:val="003B3997"/>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3B3997"/>
    <w:pPr>
      <w:spacing w:line="240" w:lineRule="auto"/>
      <w:jc w:val="right"/>
    </w:pPr>
    <w:rPr>
      <w:b w:val="0"/>
    </w:rPr>
  </w:style>
  <w:style w:type="paragraph" w:styleId="Footer">
    <w:name w:val="footer"/>
    <w:basedOn w:val="Normal"/>
    <w:semiHidden/>
    <w:rsid w:val="003B3997"/>
    <w:pPr>
      <w:tabs>
        <w:tab w:val="center" w:pos="4153"/>
        <w:tab w:val="right" w:pos="8306"/>
      </w:tabs>
    </w:pPr>
    <w:rPr>
      <w:sz w:val="20"/>
    </w:rPr>
  </w:style>
  <w:style w:type="character" w:styleId="PageNumber">
    <w:name w:val="page number"/>
    <w:basedOn w:val="DefaultParagraphFont"/>
    <w:semiHidden/>
    <w:rsid w:val="003B3997"/>
  </w:style>
  <w:style w:type="paragraph" w:customStyle="1" w:styleId="Draft">
    <w:name w:val="Draft"/>
    <w:basedOn w:val="Normal"/>
    <w:rsid w:val="003B3997"/>
    <w:pPr>
      <w:spacing w:after="440" w:line="600" w:lineRule="exact"/>
    </w:pPr>
  </w:style>
  <w:style w:type="paragraph" w:customStyle="1" w:styleId="Final">
    <w:name w:val="Final"/>
    <w:basedOn w:val="Draft"/>
    <w:qFormat/>
    <w:rsid w:val="00E34DAB"/>
    <w:pPr>
      <w:spacing w:line="360" w:lineRule="auto"/>
      <w:jc w:val="both"/>
    </w:pPr>
  </w:style>
  <w:style w:type="paragraph" w:customStyle="1" w:styleId="Quotation">
    <w:name w:val="Quotation"/>
    <w:basedOn w:val="Normal"/>
    <w:rsid w:val="007D6CF2"/>
    <w:pPr>
      <w:tabs>
        <w:tab w:val="left" w:pos="1872"/>
        <w:tab w:val="left" w:pos="2304"/>
      </w:tabs>
      <w:spacing w:before="240"/>
      <w:ind w:left="1440" w:right="720"/>
      <w:jc w:val="both"/>
    </w:pPr>
    <w:rPr>
      <w:kern w:val="2"/>
      <w:sz w:val="24"/>
    </w:rPr>
  </w:style>
  <w:style w:type="paragraph" w:customStyle="1" w:styleId="Hanging">
    <w:name w:val="Hanging"/>
    <w:basedOn w:val="Normal"/>
    <w:rsid w:val="00EB2901"/>
    <w:pPr>
      <w:snapToGrid/>
      <w:spacing w:before="120" w:line="440" w:lineRule="exact"/>
      <w:ind w:left="1440" w:hanging="720"/>
      <w:jc w:val="both"/>
    </w:pPr>
    <w:rPr>
      <w:kern w:val="2"/>
    </w:rPr>
  </w:style>
  <w:style w:type="paragraph" w:customStyle="1" w:styleId="hspace">
    <w:name w:val="hspace"/>
    <w:basedOn w:val="Normal"/>
    <w:rsid w:val="003B3997"/>
    <w:pPr>
      <w:spacing w:line="200" w:lineRule="exact"/>
    </w:pPr>
  </w:style>
  <w:style w:type="paragraph" w:styleId="Title">
    <w:name w:val="Title"/>
    <w:basedOn w:val="Normal"/>
    <w:qFormat/>
    <w:rsid w:val="003B3997"/>
    <w:pPr>
      <w:tabs>
        <w:tab w:val="clear" w:pos="4320"/>
        <w:tab w:val="clear" w:pos="9072"/>
        <w:tab w:val="center" w:pos="4440"/>
        <w:tab w:val="right" w:pos="8928"/>
      </w:tabs>
      <w:snapToGrid/>
      <w:ind w:right="-429"/>
      <w:jc w:val="center"/>
    </w:pPr>
    <w:rPr>
      <w:b/>
      <w:kern w:val="2"/>
    </w:rPr>
  </w:style>
  <w:style w:type="paragraph" w:styleId="Subtitle">
    <w:name w:val="Subtitle"/>
    <w:basedOn w:val="Normal"/>
    <w:qFormat/>
    <w:rsid w:val="003B3997"/>
    <w:pPr>
      <w:tabs>
        <w:tab w:val="clear" w:pos="4320"/>
        <w:tab w:val="clear" w:pos="9072"/>
        <w:tab w:val="center" w:pos="4440"/>
        <w:tab w:val="right" w:pos="8928"/>
        <w:tab w:val="right" w:pos="9000"/>
      </w:tabs>
      <w:spacing w:line="360" w:lineRule="auto"/>
      <w:ind w:right="-547"/>
      <w:jc w:val="center"/>
    </w:pPr>
    <w:rPr>
      <w:b/>
      <w:kern w:val="2"/>
    </w:rPr>
  </w:style>
  <w:style w:type="paragraph" w:customStyle="1" w:styleId="H-1">
    <w:name w:val="H-1"/>
    <w:basedOn w:val="Normal"/>
    <w:rsid w:val="003B3997"/>
    <w:pPr>
      <w:keepNext/>
      <w:tabs>
        <w:tab w:val="clear" w:pos="1440"/>
        <w:tab w:val="clear" w:pos="9072"/>
      </w:tabs>
      <w:snapToGrid/>
      <w:spacing w:after="360"/>
    </w:pPr>
    <w:rPr>
      <w:i/>
      <w:kern w:val="2"/>
      <w:lang w:val="en-GB"/>
    </w:rPr>
  </w:style>
  <w:style w:type="paragraph" w:customStyle="1" w:styleId="H-2">
    <w:name w:val="H-2"/>
    <w:basedOn w:val="H-1"/>
    <w:rsid w:val="003B3997"/>
    <w:pPr>
      <w:ind w:left="720" w:hanging="720"/>
    </w:pPr>
  </w:style>
  <w:style w:type="paragraph" w:styleId="FootnoteText">
    <w:name w:val="footnote text"/>
    <w:basedOn w:val="Normal"/>
    <w:link w:val="FootnoteTextChar"/>
    <w:rsid w:val="003B3997"/>
    <w:pPr>
      <w:spacing w:after="20"/>
      <w:ind w:left="288" w:hanging="288"/>
    </w:pPr>
    <w:rPr>
      <w:sz w:val="24"/>
    </w:rPr>
  </w:style>
  <w:style w:type="character" w:styleId="FootnoteReference">
    <w:name w:val="footnote reference"/>
    <w:basedOn w:val="DefaultParagraphFont"/>
    <w:rsid w:val="003B3997"/>
    <w:rPr>
      <w:rFonts w:ascii="Times New Roman" w:hAnsi="Times New Roman"/>
      <w:sz w:val="28"/>
      <w:vertAlign w:val="superscript"/>
    </w:rPr>
  </w:style>
  <w:style w:type="table" w:styleId="TableGrid">
    <w:name w:val="Table Grid"/>
    <w:basedOn w:val="TableNormal"/>
    <w:uiPriority w:val="59"/>
    <w:rsid w:val="00A92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764BD5"/>
    <w:pPr>
      <w:numPr>
        <w:numId w:val="1"/>
      </w:numPr>
      <w:contextualSpacing/>
    </w:pPr>
  </w:style>
  <w:style w:type="paragraph" w:styleId="BalloonText">
    <w:name w:val="Balloon Text"/>
    <w:basedOn w:val="Normal"/>
    <w:link w:val="BalloonTextChar"/>
    <w:uiPriority w:val="99"/>
    <w:semiHidden/>
    <w:unhideWhenUsed/>
    <w:rsid w:val="009610B2"/>
    <w:rPr>
      <w:rFonts w:ascii="Tahoma" w:hAnsi="Tahoma" w:cs="Tahoma"/>
      <w:sz w:val="16"/>
      <w:szCs w:val="16"/>
    </w:rPr>
  </w:style>
  <w:style w:type="character" w:customStyle="1" w:styleId="BalloonTextChar">
    <w:name w:val="Balloon Text Char"/>
    <w:basedOn w:val="DefaultParagraphFont"/>
    <w:link w:val="BalloonText"/>
    <w:uiPriority w:val="99"/>
    <w:semiHidden/>
    <w:rsid w:val="009610B2"/>
    <w:rPr>
      <w:rFonts w:ascii="Tahoma" w:hAnsi="Tahoma" w:cs="Tahoma"/>
      <w:sz w:val="16"/>
      <w:szCs w:val="16"/>
    </w:rPr>
  </w:style>
  <w:style w:type="paragraph" w:styleId="NormalWeb">
    <w:name w:val="Normal (Web)"/>
    <w:basedOn w:val="Normal"/>
    <w:uiPriority w:val="99"/>
    <w:unhideWhenUsed/>
    <w:rsid w:val="002754E0"/>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para">
    <w:name w:val="para"/>
    <w:rsid w:val="005B513F"/>
    <w:pPr>
      <w:numPr>
        <w:numId w:val="2"/>
      </w:numPr>
      <w:snapToGrid w:val="0"/>
      <w:spacing w:before="480" w:line="360" w:lineRule="auto"/>
      <w:jc w:val="both"/>
    </w:pPr>
    <w:rPr>
      <w:sz w:val="28"/>
      <w:lang w:val="en-GB"/>
    </w:rPr>
  </w:style>
  <w:style w:type="paragraph" w:customStyle="1" w:styleId="points">
    <w:name w:val="points"/>
    <w:basedOn w:val="para"/>
    <w:rsid w:val="003637DA"/>
    <w:pPr>
      <w:numPr>
        <w:numId w:val="0"/>
      </w:numPr>
      <w:tabs>
        <w:tab w:val="left" w:pos="1400"/>
        <w:tab w:val="left" w:pos="1960"/>
      </w:tabs>
      <w:spacing w:before="120"/>
      <w:ind w:left="1417" w:hanging="680"/>
    </w:pPr>
  </w:style>
  <w:style w:type="paragraph" w:customStyle="1" w:styleId="subheading">
    <w:name w:val="subheading"/>
    <w:next w:val="Normal"/>
    <w:rsid w:val="00063624"/>
    <w:pPr>
      <w:keepNext/>
      <w:snapToGrid w:val="0"/>
      <w:spacing w:before="600" w:after="120" w:line="360" w:lineRule="auto"/>
    </w:pPr>
    <w:rPr>
      <w:i/>
      <w:sz w:val="28"/>
      <w:lang w:eastAsia="zh-TW"/>
    </w:rPr>
  </w:style>
  <w:style w:type="character" w:customStyle="1" w:styleId="HeaderChar">
    <w:name w:val="Header Char"/>
    <w:basedOn w:val="DefaultParagraphFont"/>
    <w:link w:val="Header"/>
    <w:uiPriority w:val="99"/>
    <w:rsid w:val="00533724"/>
    <w:rPr>
      <w:sz w:val="18"/>
    </w:rPr>
  </w:style>
  <w:style w:type="paragraph" w:customStyle="1" w:styleId="j-draft">
    <w:name w:val="j-draft"/>
    <w:basedOn w:val="Normal"/>
    <w:rsid w:val="00E34DAB"/>
    <w:pPr>
      <w:numPr>
        <w:numId w:val="3"/>
      </w:numPr>
      <w:tabs>
        <w:tab w:val="clear" w:pos="4320"/>
        <w:tab w:val="clear" w:pos="9072"/>
      </w:tabs>
      <w:kinsoku w:val="0"/>
      <w:overflowPunct w:val="0"/>
      <w:autoSpaceDE w:val="0"/>
      <w:autoSpaceDN w:val="0"/>
      <w:adjustRightInd w:val="0"/>
      <w:spacing w:after="360" w:line="360" w:lineRule="auto"/>
      <w:jc w:val="both"/>
    </w:pPr>
    <w:rPr>
      <w:rFonts w:eastAsia="MingLiU"/>
      <w:snapToGrid w:val="0"/>
      <w:lang w:val="en-GB"/>
    </w:rPr>
  </w:style>
  <w:style w:type="paragraph" w:customStyle="1" w:styleId="Final1">
    <w:name w:val="Final 1"/>
    <w:basedOn w:val="Final"/>
    <w:qFormat/>
    <w:rsid w:val="007D6CF2"/>
    <w:pPr>
      <w:spacing w:after="0"/>
    </w:pPr>
    <w:rPr>
      <w:lang w:eastAsia="zh-TW"/>
    </w:rPr>
  </w:style>
  <w:style w:type="paragraph" w:customStyle="1" w:styleId="HangingEnd">
    <w:name w:val="Hanging End"/>
    <w:basedOn w:val="Hanging"/>
    <w:qFormat/>
    <w:rsid w:val="007D6CF2"/>
    <w:pPr>
      <w:numPr>
        <w:numId w:val="4"/>
      </w:numPr>
      <w:spacing w:after="560"/>
      <w:ind w:hanging="720"/>
    </w:pPr>
    <w:rPr>
      <w:lang w:eastAsia="zh-TW"/>
    </w:rPr>
  </w:style>
  <w:style w:type="paragraph" w:customStyle="1" w:styleId="QuotationEnd">
    <w:name w:val="Quotation End"/>
    <w:basedOn w:val="Quotation"/>
    <w:qFormat/>
    <w:rsid w:val="007D6CF2"/>
    <w:pPr>
      <w:tabs>
        <w:tab w:val="clear" w:pos="1872"/>
        <w:tab w:val="clear" w:pos="2304"/>
        <w:tab w:val="left" w:pos="2160"/>
      </w:tabs>
      <w:spacing w:after="560"/>
    </w:pPr>
    <w:rPr>
      <w:lang w:eastAsia="zh-TW"/>
    </w:rPr>
  </w:style>
  <w:style w:type="paragraph" w:styleId="ListParagraph">
    <w:name w:val="List Paragraph"/>
    <w:basedOn w:val="Normal"/>
    <w:uiPriority w:val="34"/>
    <w:qFormat/>
    <w:rsid w:val="0055552A"/>
    <w:pPr>
      <w:ind w:left="720"/>
    </w:pPr>
  </w:style>
  <w:style w:type="character" w:customStyle="1" w:styleId="FootnoteTextChar">
    <w:name w:val="Footnote Text Char"/>
    <w:basedOn w:val="DefaultParagraphFont"/>
    <w:link w:val="FootnoteText"/>
    <w:rsid w:val="004454EE"/>
    <w:rPr>
      <w:sz w:val="24"/>
    </w:rPr>
  </w:style>
  <w:style w:type="character" w:customStyle="1" w:styleId="Heading2Char">
    <w:name w:val="Heading 2 Char"/>
    <w:basedOn w:val="DefaultParagraphFont"/>
    <w:link w:val="Heading2"/>
    <w:rsid w:val="002C0268"/>
    <w:rPr>
      <w:b/>
      <w:bCs/>
      <w:szCs w:val="24"/>
    </w:rPr>
  </w:style>
  <w:style w:type="character" w:customStyle="1" w:styleId="Heading3Char">
    <w:name w:val="Heading 3 Char"/>
    <w:basedOn w:val="DefaultParagraphFont"/>
    <w:link w:val="Heading3"/>
    <w:rsid w:val="002C0268"/>
    <w:rPr>
      <w:b/>
      <w:bCs/>
      <w:szCs w:val="24"/>
    </w:rPr>
  </w:style>
  <w:style w:type="paragraph" w:customStyle="1" w:styleId="ar-heading1">
    <w:name w:val="ar-heading1"/>
    <w:basedOn w:val="Normal"/>
    <w:rsid w:val="009D1442"/>
    <w:pPr>
      <w:keepNext/>
      <w:spacing w:before="360" w:line="360" w:lineRule="auto"/>
    </w:pPr>
    <w:rPr>
      <w:rFonts w:ascii="宋体" w:hAnsi="宋体"/>
      <w:i/>
      <w:lang w:val="en-GB"/>
    </w:rPr>
  </w:style>
  <w:style w:type="character" w:customStyle="1" w:styleId="CharAttribute0">
    <w:name w:val="CharAttribute0"/>
    <w:rsid w:val="009D5D35"/>
    <w:rPr>
      <w:rFonts w:ascii="Times New Roman" w:eastAsia="Times New Roman"/>
    </w:rPr>
  </w:style>
  <w:style w:type="character" w:customStyle="1" w:styleId="ya-q-full-text1">
    <w:name w:val="ya-q-full-text1"/>
    <w:rsid w:val="004D63A7"/>
    <w:rPr>
      <w:color w:val="26282A"/>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6086993">
      <w:bodyDiv w:val="1"/>
      <w:marLeft w:val="0"/>
      <w:marRight w:val="0"/>
      <w:marTop w:val="0"/>
      <w:marBottom w:val="0"/>
      <w:divBdr>
        <w:top w:val="none" w:sz="0" w:space="0" w:color="auto"/>
        <w:left w:val="none" w:sz="0" w:space="0" w:color="auto"/>
        <w:bottom w:val="none" w:sz="0" w:space="0" w:color="auto"/>
        <w:right w:val="none" w:sz="0" w:space="0" w:color="auto"/>
      </w:divBdr>
      <w:divsChild>
        <w:div w:id="21414119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C1B399-4EE8-4376-A975-93FF49928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ABC.dot</Template>
  <TotalTime>7</TotalTime>
  <Pages>27</Pages>
  <Words>1790</Words>
  <Characters>10203</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11970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creator>Jeannie MY MokSo</dc:creator>
  <cp:lastModifiedBy>Windows User</cp:lastModifiedBy>
  <cp:revision>9</cp:revision>
  <cp:lastPrinted>2020-11-30T04:17:00Z</cp:lastPrinted>
  <dcterms:created xsi:type="dcterms:W3CDTF">2020-12-01T03:36:00Z</dcterms:created>
  <dcterms:modified xsi:type="dcterms:W3CDTF">2020-12-01T05:49:00Z</dcterms:modified>
</cp:coreProperties>
</file>