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Pr="0047735B" w:rsidRDefault="000C671C" w:rsidP="0000516C">
      <w:pPr>
        <w:pStyle w:val="normal1"/>
        <w:jc w:val="right"/>
        <w:rPr>
          <w:caps/>
        </w:rPr>
      </w:pPr>
      <w:r>
        <w:rPr>
          <w:rFonts w:eastAsia="宋体"/>
          <w:caps/>
          <w:lang w:val="en-US"/>
        </w:rPr>
        <w:t>CAAR</w:t>
      </w:r>
      <w:r w:rsidR="0000516C" w:rsidRPr="0047735B">
        <w:rPr>
          <w:rFonts w:eastAsia="宋体"/>
          <w:caps/>
          <w:noProof/>
          <w:snapToGrid/>
          <w:lang w:val="en-US"/>
        </w:rPr>
        <w:t xml:space="preserve"> </w:t>
      </w:r>
      <w:r>
        <w:rPr>
          <w:rFonts w:eastAsia="宋体"/>
          <w:caps/>
          <w:noProof/>
          <w:snapToGrid/>
          <w:lang w:val="en-US"/>
        </w:rPr>
        <w:t>5</w:t>
      </w:r>
      <w:r w:rsidR="0000516C" w:rsidRPr="0047735B">
        <w:rPr>
          <w:caps/>
        </w:rPr>
        <w:t>/</w:t>
      </w:r>
      <w:r>
        <w:rPr>
          <w:caps/>
        </w:rPr>
        <w:t>2018</w:t>
      </w:r>
    </w:p>
    <w:p w:rsidR="0000516C" w:rsidRPr="0047735B" w:rsidRDefault="0000516C" w:rsidP="0000516C">
      <w:pPr>
        <w:pStyle w:val="normal1"/>
        <w:tabs>
          <w:tab w:val="clear" w:pos="1411"/>
        </w:tabs>
        <w:jc w:val="right"/>
      </w:pPr>
      <w:r w:rsidRPr="0047735B">
        <w:t>[201</w:t>
      </w:r>
      <w:r w:rsidR="000C6F10" w:rsidRPr="0047735B">
        <w:t>9</w:t>
      </w:r>
      <w:r w:rsidRPr="0047735B">
        <w:t xml:space="preserve">] HKCA </w:t>
      </w:r>
      <w:r w:rsidR="0011044B">
        <w:t>1459</w:t>
      </w:r>
    </w:p>
    <w:p w:rsidR="0000516C" w:rsidRPr="0047735B" w:rsidRDefault="0000516C" w:rsidP="0000516C">
      <w:pPr>
        <w:pStyle w:val="normal1"/>
        <w:tabs>
          <w:tab w:val="clear" w:pos="1411"/>
        </w:tabs>
      </w:pPr>
    </w:p>
    <w:p w:rsidR="0000516C" w:rsidRPr="0047735B" w:rsidRDefault="0000516C" w:rsidP="0000516C">
      <w:pPr>
        <w:pStyle w:val="normal2"/>
        <w:snapToGrid/>
        <w:spacing w:line="360" w:lineRule="auto"/>
        <w:rPr>
          <w:b/>
          <w:bCs/>
        </w:rPr>
      </w:pPr>
      <w:r w:rsidRPr="0047735B">
        <w:rPr>
          <w:b/>
          <w:bCs/>
        </w:rPr>
        <w:t>in the high court of the</w:t>
      </w:r>
    </w:p>
    <w:p w:rsidR="0000516C" w:rsidRPr="0047735B" w:rsidRDefault="0000516C" w:rsidP="0000516C">
      <w:pPr>
        <w:pStyle w:val="normal2"/>
        <w:snapToGrid/>
        <w:spacing w:line="360" w:lineRule="auto"/>
        <w:rPr>
          <w:b/>
          <w:bCs/>
        </w:rPr>
      </w:pPr>
      <w:r w:rsidRPr="0047735B">
        <w:rPr>
          <w:b/>
          <w:bCs/>
        </w:rPr>
        <w:t>hong kong special administrative region</w:t>
      </w:r>
    </w:p>
    <w:p w:rsidR="0000516C" w:rsidRPr="0047735B" w:rsidRDefault="0000516C" w:rsidP="0000516C">
      <w:pPr>
        <w:pStyle w:val="normal2"/>
        <w:snapToGrid/>
        <w:spacing w:line="360" w:lineRule="auto"/>
        <w:rPr>
          <w:b/>
          <w:bCs/>
        </w:rPr>
      </w:pPr>
      <w:r w:rsidRPr="0047735B">
        <w:rPr>
          <w:b/>
          <w:bCs/>
        </w:rPr>
        <w:t>court of appeal</w:t>
      </w:r>
    </w:p>
    <w:p w:rsidR="0000516C" w:rsidRPr="0047735B" w:rsidRDefault="000C671C" w:rsidP="0000516C">
      <w:pPr>
        <w:pStyle w:val="normal3"/>
        <w:tabs>
          <w:tab w:val="clear" w:pos="4500"/>
          <w:tab w:val="clear" w:pos="9000"/>
        </w:tabs>
        <w:spacing w:line="360" w:lineRule="auto"/>
        <w:rPr>
          <w:rFonts w:eastAsia="宋体"/>
          <w:b w:val="0"/>
          <w:bCs/>
          <w:lang w:eastAsia="zh-CN"/>
        </w:rPr>
      </w:pPr>
      <w:r>
        <w:rPr>
          <w:rFonts w:eastAsia="宋体"/>
          <w:b w:val="0"/>
          <w:bCs/>
          <w:lang w:eastAsia="zh-CN"/>
        </w:rPr>
        <w:t>Application for review</w:t>
      </w:r>
      <w:r w:rsidR="0000516C" w:rsidRPr="0047735B">
        <w:rPr>
          <w:b w:val="0"/>
          <w:bCs/>
        </w:rPr>
        <w:t xml:space="preserve"> no</w:t>
      </w:r>
      <w:r>
        <w:rPr>
          <w:b w:val="0"/>
          <w:bCs/>
        </w:rPr>
        <w:t xml:space="preserve"> 5</w:t>
      </w:r>
      <w:r w:rsidR="0000516C" w:rsidRPr="0047735B">
        <w:rPr>
          <w:b w:val="0"/>
          <w:bCs/>
        </w:rPr>
        <w:t xml:space="preserve"> of</w:t>
      </w:r>
      <w:r w:rsidR="0093212E">
        <w:rPr>
          <w:b w:val="0"/>
          <w:bCs/>
        </w:rPr>
        <w:t xml:space="preserve"> </w:t>
      </w:r>
      <w:r>
        <w:rPr>
          <w:b w:val="0"/>
          <w:bCs/>
        </w:rPr>
        <w:t>2018</w:t>
      </w:r>
    </w:p>
    <w:p w:rsidR="0000516C" w:rsidRPr="0047735B" w:rsidRDefault="0000516C" w:rsidP="0000516C">
      <w:pPr>
        <w:pStyle w:val="normal3"/>
        <w:tabs>
          <w:tab w:val="clear" w:pos="4500"/>
          <w:tab w:val="clear" w:pos="9000"/>
        </w:tabs>
        <w:spacing w:after="0"/>
        <w:rPr>
          <w:b w:val="0"/>
          <w:bCs/>
        </w:rPr>
      </w:pPr>
      <w:r w:rsidRPr="0047735B">
        <w:rPr>
          <w:b w:val="0"/>
          <w:bCs/>
        </w:rPr>
        <w:t>(on appeal from</w:t>
      </w:r>
      <w:r w:rsidR="0047735B" w:rsidRPr="0047735B">
        <w:rPr>
          <w:b w:val="0"/>
          <w:bCs/>
        </w:rPr>
        <w:t xml:space="preserve"> </w:t>
      </w:r>
      <w:r w:rsidR="000C671C">
        <w:rPr>
          <w:b w:val="0"/>
          <w:bCs/>
        </w:rPr>
        <w:t>DCCC</w:t>
      </w:r>
      <w:r w:rsidR="0047735B" w:rsidRPr="0047735B">
        <w:rPr>
          <w:b w:val="0"/>
          <w:bCs/>
        </w:rPr>
        <w:t xml:space="preserve"> </w:t>
      </w:r>
      <w:r w:rsidRPr="0047735B">
        <w:rPr>
          <w:rFonts w:eastAsia="宋体"/>
          <w:b w:val="0"/>
          <w:bCs/>
          <w:lang w:eastAsia="zh-CN"/>
        </w:rPr>
        <w:t>NO</w:t>
      </w:r>
      <w:r w:rsidR="0047735B" w:rsidRPr="0047735B">
        <w:rPr>
          <w:rFonts w:eastAsia="宋体"/>
          <w:b w:val="0"/>
          <w:bCs/>
          <w:lang w:eastAsia="zh-CN"/>
        </w:rPr>
        <w:t xml:space="preserve"> </w:t>
      </w:r>
      <w:r w:rsidR="000C671C">
        <w:rPr>
          <w:rFonts w:eastAsia="宋体"/>
          <w:b w:val="0"/>
          <w:bCs/>
          <w:lang w:eastAsia="zh-CN"/>
        </w:rPr>
        <w:t>452</w:t>
      </w:r>
      <w:r w:rsidRPr="0047735B">
        <w:rPr>
          <w:rFonts w:eastAsia="宋体"/>
          <w:b w:val="0"/>
          <w:bCs/>
          <w:lang w:eastAsia="zh-CN"/>
        </w:rPr>
        <w:t xml:space="preserve"> </w:t>
      </w:r>
      <w:r w:rsidRPr="0047735B">
        <w:rPr>
          <w:b w:val="0"/>
          <w:bCs/>
        </w:rPr>
        <w:t xml:space="preserve">of </w:t>
      </w:r>
      <w:r w:rsidR="000C671C">
        <w:rPr>
          <w:b w:val="0"/>
          <w:bCs/>
        </w:rPr>
        <w:t>2018</w:t>
      </w:r>
      <w:r w:rsidRPr="0047735B">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47735B" w:rsidTr="00D67B97">
        <w:trPr>
          <w:jc w:val="center"/>
        </w:trPr>
        <w:tc>
          <w:tcPr>
            <w:tcW w:w="3150" w:type="dxa"/>
          </w:tcPr>
          <w:p w:rsidR="0000516C" w:rsidRPr="0047735B" w:rsidRDefault="0000516C" w:rsidP="00D67B97">
            <w:pPr>
              <w:pStyle w:val="sh"/>
              <w:tabs>
                <w:tab w:val="clear" w:pos="720"/>
              </w:tabs>
              <w:snapToGrid w:val="0"/>
              <w:jc w:val="center"/>
              <w:rPr>
                <w:lang w:val="en-GB"/>
              </w:rPr>
            </w:pPr>
          </w:p>
        </w:tc>
      </w:tr>
    </w:tbl>
    <w:p w:rsidR="0000516C" w:rsidRPr="0047735B" w:rsidRDefault="0000516C" w:rsidP="0000516C">
      <w:pPr>
        <w:pStyle w:val="Heading6"/>
        <w:spacing w:before="240" w:after="240"/>
        <w:rPr>
          <w:b w:val="0"/>
          <w:sz w:val="28"/>
          <w:szCs w:val="28"/>
        </w:rPr>
      </w:pPr>
      <w:r w:rsidRPr="0047735B">
        <w:rPr>
          <w:b w:val="0"/>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00516C" w:rsidRPr="0047735B" w:rsidTr="00D67B97">
        <w:trPr>
          <w:cantSplit/>
          <w:trHeight w:val="504"/>
        </w:trPr>
        <w:tc>
          <w:tcPr>
            <w:tcW w:w="5310" w:type="dxa"/>
            <w:gridSpan w:val="3"/>
          </w:tcPr>
          <w:p w:rsidR="0000516C" w:rsidRPr="0047735B" w:rsidRDefault="00414F9F" w:rsidP="00D67B97">
            <w:pPr>
              <w:pStyle w:val="sh"/>
              <w:tabs>
                <w:tab w:val="clear" w:pos="720"/>
                <w:tab w:val="clear" w:pos="1440"/>
                <w:tab w:val="clear" w:pos="4320"/>
              </w:tabs>
              <w:jc w:val="center"/>
              <w:rPr>
                <w:lang w:val="en-GB"/>
              </w:rPr>
            </w:pPr>
            <w:r>
              <w:rPr>
                <w:lang w:val="en-GB"/>
              </w:rPr>
              <w:t>Secretary for Justice</w:t>
            </w:r>
          </w:p>
        </w:tc>
        <w:tc>
          <w:tcPr>
            <w:tcW w:w="1998" w:type="dxa"/>
          </w:tcPr>
          <w:p w:rsidR="0000516C" w:rsidRPr="0047735B" w:rsidRDefault="000C671C" w:rsidP="00D67B97">
            <w:pPr>
              <w:pStyle w:val="sh"/>
              <w:tabs>
                <w:tab w:val="clear" w:pos="720"/>
                <w:tab w:val="clear" w:pos="1440"/>
              </w:tabs>
            </w:pPr>
            <w:r>
              <w:t>Applicant</w:t>
            </w:r>
          </w:p>
        </w:tc>
      </w:tr>
      <w:tr w:rsidR="0000516C" w:rsidRPr="0047735B" w:rsidTr="00D67B97">
        <w:trPr>
          <w:cantSplit/>
          <w:trHeight w:val="504"/>
        </w:trPr>
        <w:tc>
          <w:tcPr>
            <w:tcW w:w="5310" w:type="dxa"/>
            <w:gridSpan w:val="3"/>
          </w:tcPr>
          <w:p w:rsidR="0000516C" w:rsidRPr="0047735B" w:rsidRDefault="0000516C" w:rsidP="00D67B97">
            <w:pPr>
              <w:pStyle w:val="sh"/>
              <w:tabs>
                <w:tab w:val="clear" w:pos="720"/>
                <w:tab w:val="clear" w:pos="1440"/>
                <w:tab w:val="clear" w:pos="4320"/>
              </w:tabs>
              <w:jc w:val="center"/>
              <w:rPr>
                <w:lang w:val="en-GB"/>
              </w:rPr>
            </w:pPr>
            <w:r w:rsidRPr="0047735B">
              <w:rPr>
                <w:lang w:val="en-GB"/>
              </w:rPr>
              <w:t>and</w:t>
            </w:r>
          </w:p>
        </w:tc>
        <w:tc>
          <w:tcPr>
            <w:tcW w:w="1998" w:type="dxa"/>
          </w:tcPr>
          <w:p w:rsidR="0000516C" w:rsidRPr="0047735B" w:rsidRDefault="0000516C" w:rsidP="00D67B97">
            <w:pPr>
              <w:pStyle w:val="sh"/>
              <w:tabs>
                <w:tab w:val="clear" w:pos="720"/>
                <w:tab w:val="clear" w:pos="1440"/>
              </w:tabs>
              <w:rPr>
                <w:lang w:val="en-GB"/>
              </w:rPr>
            </w:pPr>
          </w:p>
        </w:tc>
      </w:tr>
      <w:tr w:rsidR="0000516C" w:rsidRPr="0047735B" w:rsidTr="00D67B97">
        <w:trPr>
          <w:cantSplit/>
          <w:trHeight w:val="504"/>
        </w:trPr>
        <w:tc>
          <w:tcPr>
            <w:tcW w:w="5310" w:type="dxa"/>
            <w:gridSpan w:val="3"/>
          </w:tcPr>
          <w:p w:rsidR="0000516C" w:rsidRPr="000C671C" w:rsidRDefault="000C671C" w:rsidP="00D67B97">
            <w:pPr>
              <w:pStyle w:val="sh"/>
              <w:tabs>
                <w:tab w:val="clear" w:pos="720"/>
                <w:tab w:val="clear" w:pos="1440"/>
                <w:tab w:val="clear" w:pos="4320"/>
              </w:tabs>
              <w:jc w:val="center"/>
              <w:rPr>
                <w:rFonts w:eastAsia="PMingLiU"/>
                <w:lang w:val="en-GB" w:eastAsia="zh-TW"/>
              </w:rPr>
            </w:pPr>
            <w:r>
              <w:rPr>
                <w:lang w:val="en-GB"/>
              </w:rPr>
              <w:t>Chu Wing Yin Christine (</w:t>
            </w:r>
            <w:r w:rsidRPr="000C671C">
              <w:rPr>
                <w:rFonts w:ascii="宋体" w:hAnsi="宋体" w:hint="eastAsia"/>
                <w:lang w:val="en-GB" w:eastAsia="zh-HK"/>
              </w:rPr>
              <w:t>朱詠妍</w:t>
            </w:r>
            <w:r>
              <w:rPr>
                <w:rFonts w:eastAsia="PMingLiU" w:hint="eastAsia"/>
                <w:lang w:val="en-GB" w:eastAsia="zh-TW"/>
              </w:rPr>
              <w:t>)</w:t>
            </w:r>
          </w:p>
        </w:tc>
        <w:tc>
          <w:tcPr>
            <w:tcW w:w="1998" w:type="dxa"/>
          </w:tcPr>
          <w:p w:rsidR="0000516C" w:rsidRPr="000C671C" w:rsidRDefault="000C671C" w:rsidP="00D67B97">
            <w:pPr>
              <w:pStyle w:val="sh"/>
              <w:tabs>
                <w:tab w:val="clear" w:pos="720"/>
                <w:tab w:val="clear" w:pos="1440"/>
              </w:tabs>
            </w:pPr>
            <w:r>
              <w:t>Respondent</w:t>
            </w:r>
          </w:p>
        </w:tc>
      </w:tr>
      <w:tr w:rsidR="0047735B" w:rsidRPr="0047735B" w:rsidTr="00D67B97">
        <w:tblPrEx>
          <w:tblBorders>
            <w:bottom w:val="single" w:sz="4" w:space="0" w:color="auto"/>
          </w:tblBorders>
        </w:tblPrEx>
        <w:trPr>
          <w:gridBefore w:val="1"/>
          <w:gridAfter w:val="2"/>
          <w:wBefore w:w="1080" w:type="dxa"/>
          <w:wAfter w:w="3078" w:type="dxa"/>
        </w:trPr>
        <w:tc>
          <w:tcPr>
            <w:tcW w:w="3150" w:type="dxa"/>
          </w:tcPr>
          <w:p w:rsidR="0047735B" w:rsidRPr="0047735B" w:rsidRDefault="0047735B" w:rsidP="00D67B97">
            <w:pPr>
              <w:pStyle w:val="sh"/>
              <w:tabs>
                <w:tab w:val="clear" w:pos="720"/>
              </w:tabs>
              <w:snapToGrid w:val="0"/>
              <w:jc w:val="center"/>
              <w:rPr>
                <w:lang w:val="en-GB"/>
              </w:rPr>
            </w:pPr>
          </w:p>
        </w:tc>
      </w:tr>
    </w:tbl>
    <w:p w:rsidR="0000516C" w:rsidRPr="0047735B" w:rsidRDefault="0000516C" w:rsidP="0000516C">
      <w:pPr>
        <w:spacing w:before="360" w:after="120"/>
        <w:jc w:val="left"/>
        <w:rPr>
          <w:rFonts w:eastAsia="宋体"/>
          <w:b w:val="0"/>
          <w:bCs/>
          <w:sz w:val="28"/>
        </w:rPr>
      </w:pPr>
      <w:r w:rsidRPr="0047735B">
        <w:rPr>
          <w:rFonts w:eastAsia="宋体"/>
          <w:b w:val="0"/>
          <w:bCs/>
          <w:sz w:val="28"/>
        </w:rPr>
        <w:t xml:space="preserve">Before: Hon </w:t>
      </w:r>
      <w:proofErr w:type="spellStart"/>
      <w:r w:rsidR="0093212E">
        <w:rPr>
          <w:rFonts w:eastAsia="宋体"/>
          <w:b w:val="0"/>
          <w:bCs/>
          <w:sz w:val="28"/>
        </w:rPr>
        <w:t>Macrae</w:t>
      </w:r>
      <w:proofErr w:type="spellEnd"/>
      <w:r w:rsidR="0093212E">
        <w:rPr>
          <w:rFonts w:eastAsia="宋体"/>
          <w:b w:val="0"/>
          <w:bCs/>
          <w:sz w:val="28"/>
        </w:rPr>
        <w:t xml:space="preserve"> </w:t>
      </w:r>
      <w:r w:rsidR="00E55285" w:rsidRPr="0047735B">
        <w:rPr>
          <w:rFonts w:eastAsia="宋体"/>
          <w:b w:val="0"/>
          <w:bCs/>
          <w:sz w:val="28"/>
        </w:rPr>
        <w:t>VP</w:t>
      </w:r>
      <w:r w:rsidR="0047735B">
        <w:rPr>
          <w:rFonts w:ascii="PMingLiU" w:eastAsia="PMingLiU" w:hAnsi="PMingLiU" w:hint="eastAsia"/>
          <w:b w:val="0"/>
          <w:bCs/>
          <w:sz w:val="28"/>
          <w:lang w:eastAsia="zh-TW"/>
        </w:rPr>
        <w:t>,</w:t>
      </w:r>
      <w:r w:rsidR="0047735B">
        <w:rPr>
          <w:rFonts w:eastAsia="宋体"/>
          <w:b w:val="0"/>
          <w:bCs/>
          <w:sz w:val="28"/>
        </w:rPr>
        <w:t xml:space="preserve"> </w:t>
      </w:r>
      <w:r w:rsidR="000C671C">
        <w:rPr>
          <w:rFonts w:eastAsia="宋体"/>
          <w:b w:val="0"/>
          <w:bCs/>
          <w:sz w:val="28"/>
        </w:rPr>
        <w:t xml:space="preserve">Pang JA and </w:t>
      </w:r>
      <w:proofErr w:type="spellStart"/>
      <w:r w:rsidR="000C671C">
        <w:rPr>
          <w:rFonts w:eastAsia="宋体"/>
          <w:b w:val="0"/>
          <w:bCs/>
          <w:sz w:val="28"/>
        </w:rPr>
        <w:t>Zervos</w:t>
      </w:r>
      <w:proofErr w:type="spellEnd"/>
      <w:r w:rsidR="000C671C">
        <w:rPr>
          <w:rFonts w:eastAsia="宋体"/>
          <w:b w:val="0"/>
          <w:bCs/>
          <w:sz w:val="28"/>
        </w:rPr>
        <w:t xml:space="preserve"> JA</w:t>
      </w:r>
      <w:r w:rsidR="0093212E">
        <w:rPr>
          <w:rFonts w:eastAsia="宋体"/>
          <w:b w:val="0"/>
          <w:bCs/>
          <w:sz w:val="28"/>
        </w:rPr>
        <w:t xml:space="preserve"> </w:t>
      </w:r>
      <w:r w:rsidRPr="0047735B">
        <w:rPr>
          <w:rFonts w:eastAsia="宋体"/>
          <w:b w:val="0"/>
          <w:bCs/>
          <w:sz w:val="28"/>
        </w:rPr>
        <w:t>in Court</w:t>
      </w:r>
    </w:p>
    <w:p w:rsidR="0000516C" w:rsidRPr="0047735B" w:rsidRDefault="0000516C" w:rsidP="0000516C">
      <w:pPr>
        <w:spacing w:after="120"/>
        <w:jc w:val="left"/>
        <w:rPr>
          <w:rFonts w:eastAsia="宋体"/>
          <w:b w:val="0"/>
          <w:bCs/>
          <w:sz w:val="28"/>
        </w:rPr>
      </w:pPr>
      <w:r w:rsidRPr="0047735B">
        <w:rPr>
          <w:b w:val="0"/>
          <w:bCs/>
          <w:sz w:val="28"/>
        </w:rPr>
        <w:t>Date</w:t>
      </w:r>
      <w:r w:rsidR="00275ED8">
        <w:rPr>
          <w:b w:val="0"/>
          <w:bCs/>
          <w:sz w:val="28"/>
        </w:rPr>
        <w:t>s</w:t>
      </w:r>
      <w:r w:rsidRPr="0047735B">
        <w:rPr>
          <w:b w:val="0"/>
          <w:bCs/>
          <w:sz w:val="28"/>
        </w:rPr>
        <w:t xml:space="preserve"> of Hearing: </w:t>
      </w:r>
      <w:r w:rsidR="000C671C">
        <w:rPr>
          <w:b w:val="0"/>
          <w:bCs/>
          <w:sz w:val="28"/>
        </w:rPr>
        <w:t>12 July 2019</w:t>
      </w:r>
      <w:r w:rsidR="005A58EA">
        <w:rPr>
          <w:b w:val="0"/>
          <w:bCs/>
          <w:sz w:val="28"/>
        </w:rPr>
        <w:t xml:space="preserve"> and 23 September 2019</w:t>
      </w:r>
    </w:p>
    <w:p w:rsidR="00275ED8" w:rsidRPr="0047735B" w:rsidRDefault="0000516C" w:rsidP="0000516C">
      <w:pPr>
        <w:spacing w:after="120"/>
        <w:jc w:val="left"/>
        <w:rPr>
          <w:rFonts w:eastAsia="宋体"/>
          <w:b w:val="0"/>
          <w:bCs/>
          <w:sz w:val="28"/>
        </w:rPr>
      </w:pPr>
      <w:r w:rsidRPr="0047735B">
        <w:rPr>
          <w:rFonts w:eastAsia="宋体"/>
          <w:b w:val="0"/>
          <w:bCs/>
          <w:sz w:val="28"/>
        </w:rPr>
        <w:t xml:space="preserve">Date of Judgment: </w:t>
      </w:r>
      <w:r w:rsidR="0011044B">
        <w:rPr>
          <w:rFonts w:eastAsia="宋体"/>
          <w:b w:val="0"/>
          <w:bCs/>
          <w:sz w:val="28"/>
        </w:rPr>
        <w:t xml:space="preserve">23 </w:t>
      </w:r>
      <w:r w:rsidR="008A15F1">
        <w:rPr>
          <w:rFonts w:eastAsia="宋体"/>
          <w:b w:val="0"/>
          <w:bCs/>
          <w:sz w:val="28"/>
        </w:rPr>
        <w:t>December</w:t>
      </w:r>
      <w:r w:rsidR="0011044B">
        <w:rPr>
          <w:rFonts w:eastAsia="宋体"/>
          <w:b w:val="0"/>
          <w:bCs/>
          <w:sz w:val="28"/>
        </w:rPr>
        <w:t xml:space="preserve"> 2019</w:t>
      </w:r>
    </w:p>
    <w:p w:rsidR="0000516C" w:rsidRPr="0047735B"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708"/>
      </w:tblGrid>
      <w:tr w:rsidR="005F3076" w:rsidRPr="0047735B" w:rsidTr="00275ED8">
        <w:trPr>
          <w:trHeight w:val="797"/>
          <w:jc w:val="center"/>
        </w:trPr>
        <w:tc>
          <w:tcPr>
            <w:tcW w:w="3708" w:type="dxa"/>
            <w:vAlign w:val="center"/>
          </w:tcPr>
          <w:p w:rsidR="005F3076" w:rsidRPr="0047735B" w:rsidRDefault="00275ED8" w:rsidP="00D67B97">
            <w:pPr>
              <w:pStyle w:val="sh"/>
              <w:tabs>
                <w:tab w:val="clear" w:pos="720"/>
                <w:tab w:val="clear" w:pos="1440"/>
                <w:tab w:val="clear" w:pos="4320"/>
              </w:tabs>
              <w:snapToGrid w:val="0"/>
              <w:spacing w:before="200" w:after="200"/>
              <w:jc w:val="center"/>
              <w:rPr>
                <w:lang w:val="en-GB"/>
              </w:rPr>
            </w:pPr>
            <w:r w:rsidRPr="00275ED8">
              <w:rPr>
                <w:lang w:val="en-GB"/>
              </w:rPr>
              <w:t>J</w:t>
            </w:r>
            <w:r w:rsidR="003E6719">
              <w:rPr>
                <w:rFonts w:ascii="PMingLiU" w:eastAsia="PMingLiU" w:hAnsi="PMingLiU"/>
                <w:lang w:eastAsia="zh-TW"/>
              </w:rPr>
              <w:t xml:space="preserve"> </w:t>
            </w:r>
            <w:r w:rsidRPr="00275ED8">
              <w:rPr>
                <w:lang w:val="en-GB"/>
              </w:rPr>
              <w:t>U</w:t>
            </w:r>
            <w:r w:rsidR="003E6719">
              <w:rPr>
                <w:lang w:val="en-GB"/>
              </w:rPr>
              <w:t xml:space="preserve"> </w:t>
            </w:r>
            <w:r w:rsidRPr="00275ED8">
              <w:rPr>
                <w:lang w:val="en-GB"/>
              </w:rPr>
              <w:t>D</w:t>
            </w:r>
            <w:r w:rsidR="003E6719">
              <w:rPr>
                <w:lang w:val="en-GB"/>
              </w:rPr>
              <w:t xml:space="preserve"> </w:t>
            </w:r>
            <w:r w:rsidRPr="00275ED8">
              <w:rPr>
                <w:lang w:val="en-GB"/>
              </w:rPr>
              <w:t>G</w:t>
            </w:r>
            <w:r w:rsidR="003E6719">
              <w:rPr>
                <w:lang w:val="en-GB"/>
              </w:rPr>
              <w:t xml:space="preserve"> </w:t>
            </w:r>
            <w:r w:rsidRPr="00275ED8">
              <w:rPr>
                <w:lang w:val="en-GB"/>
              </w:rPr>
              <w:t>M</w:t>
            </w:r>
            <w:r w:rsidR="003E6719">
              <w:rPr>
                <w:lang w:val="en-GB"/>
              </w:rPr>
              <w:t xml:space="preserve"> </w:t>
            </w:r>
            <w:r w:rsidRPr="00275ED8">
              <w:rPr>
                <w:lang w:val="en-GB"/>
              </w:rPr>
              <w:t>E</w:t>
            </w:r>
            <w:r w:rsidR="003E6719">
              <w:rPr>
                <w:lang w:val="en-GB"/>
              </w:rPr>
              <w:t xml:space="preserve"> </w:t>
            </w:r>
            <w:r w:rsidRPr="00275ED8">
              <w:rPr>
                <w:lang w:val="en-GB"/>
              </w:rPr>
              <w:t>N</w:t>
            </w:r>
            <w:r w:rsidR="003E6719">
              <w:rPr>
                <w:lang w:val="en-GB"/>
              </w:rPr>
              <w:t xml:space="preserve"> </w:t>
            </w:r>
            <w:r w:rsidRPr="00275ED8">
              <w:rPr>
                <w:lang w:val="en-GB"/>
              </w:rPr>
              <w:t>T</w:t>
            </w:r>
          </w:p>
        </w:tc>
      </w:tr>
    </w:tbl>
    <w:p w:rsidR="009024E9" w:rsidRPr="0047735B" w:rsidRDefault="002B39A2" w:rsidP="0000516C">
      <w:pPr>
        <w:pStyle w:val="T-Draft"/>
        <w:keepNext/>
        <w:numPr>
          <w:ilvl w:val="0"/>
          <w:numId w:val="0"/>
        </w:numPr>
        <w:spacing w:before="240"/>
      </w:pPr>
      <w:r w:rsidRPr="0047735B">
        <w:t xml:space="preserve">Hon </w:t>
      </w:r>
      <w:proofErr w:type="spellStart"/>
      <w:r w:rsidR="00414F9F">
        <w:t>Macrae</w:t>
      </w:r>
      <w:proofErr w:type="spellEnd"/>
      <w:r w:rsidR="00414F9F">
        <w:t xml:space="preserve"> </w:t>
      </w:r>
      <w:r w:rsidR="00E55285" w:rsidRPr="0047735B">
        <w:t>VP</w:t>
      </w:r>
      <w:r w:rsidR="002C3FA8">
        <w:t>:</w:t>
      </w:r>
    </w:p>
    <w:p w:rsidR="00414F9F" w:rsidRPr="005A58EA" w:rsidRDefault="00414F9F" w:rsidP="00414F9F">
      <w:pPr>
        <w:pStyle w:val="T-Draft"/>
        <w:rPr>
          <w:rFonts w:eastAsia="PMingLiU"/>
          <w:lang w:val="en-US" w:eastAsia="zh-TW"/>
        </w:rPr>
      </w:pPr>
      <w:r w:rsidRPr="00414F9F">
        <w:rPr>
          <w:rFonts w:eastAsia="PMingLiU"/>
          <w:lang w:val="en-US" w:eastAsia="zh-TW"/>
        </w:rPr>
        <w:t xml:space="preserve">With leave granted by </w:t>
      </w:r>
      <w:r w:rsidR="002E1FD1">
        <w:rPr>
          <w:rFonts w:eastAsia="PMingLiU"/>
          <w:lang w:val="en-US" w:eastAsia="zh-TW"/>
        </w:rPr>
        <w:t xml:space="preserve">Hon </w:t>
      </w:r>
      <w:r w:rsidRPr="00414F9F">
        <w:rPr>
          <w:rFonts w:eastAsia="PMingLiU"/>
          <w:lang w:val="en-US" w:eastAsia="zh-TW"/>
        </w:rPr>
        <w:t>Yeung</w:t>
      </w:r>
      <w:r w:rsidR="00CE23E4">
        <w:rPr>
          <w:rFonts w:eastAsia="PMingLiU"/>
          <w:lang w:val="en-US" w:eastAsia="zh-TW"/>
        </w:rPr>
        <w:t xml:space="preserve"> VP</w:t>
      </w:r>
      <w:r w:rsidRPr="00414F9F">
        <w:rPr>
          <w:rFonts w:eastAsia="PMingLiU"/>
          <w:lang w:val="en-US" w:eastAsia="zh-TW"/>
        </w:rPr>
        <w:t xml:space="preserve"> on 5 </w:t>
      </w:r>
      <w:r w:rsidR="008D4853" w:rsidRPr="008D4853">
        <w:rPr>
          <w:rFonts w:eastAsia="PMingLiU"/>
          <w:b/>
          <w:lang w:val="en-US" w:eastAsia="zh-TW"/>
        </w:rPr>
        <w:t>‍</w:t>
      </w:r>
      <w:r w:rsidRPr="00414F9F">
        <w:rPr>
          <w:rFonts w:eastAsia="PMingLiU"/>
          <w:lang w:val="en-US" w:eastAsia="zh-TW"/>
        </w:rPr>
        <w:t xml:space="preserve">December </w:t>
      </w:r>
      <w:r w:rsidR="008D4853" w:rsidRPr="008D4853">
        <w:rPr>
          <w:rFonts w:eastAsia="PMingLiU"/>
          <w:b/>
          <w:lang w:val="en-US" w:eastAsia="zh-TW"/>
        </w:rPr>
        <w:t>‍</w:t>
      </w:r>
      <w:r w:rsidRPr="00414F9F">
        <w:rPr>
          <w:rFonts w:eastAsia="PMingLiU"/>
          <w:lang w:val="en-US" w:eastAsia="zh-TW"/>
        </w:rPr>
        <w:t xml:space="preserve">2018, the Secretary for Justice applies for a review of the sentence of a </w:t>
      </w:r>
      <w:r w:rsidR="000F64DA">
        <w:rPr>
          <w:rFonts w:eastAsia="PMingLiU"/>
          <w:lang w:val="en-US" w:eastAsia="zh-TW"/>
        </w:rPr>
        <w:t>C</w:t>
      </w:r>
      <w:r w:rsidRPr="00414F9F">
        <w:rPr>
          <w:rFonts w:eastAsia="PMingLiU"/>
          <w:lang w:val="en-US" w:eastAsia="zh-TW"/>
        </w:rPr>
        <w:t xml:space="preserve">ommunity </w:t>
      </w:r>
      <w:r w:rsidR="000F64DA">
        <w:rPr>
          <w:rFonts w:eastAsia="PMingLiU"/>
          <w:lang w:val="en-US" w:eastAsia="zh-TW"/>
        </w:rPr>
        <w:t>S</w:t>
      </w:r>
      <w:r w:rsidRPr="00414F9F">
        <w:rPr>
          <w:rFonts w:eastAsia="PMingLiU"/>
          <w:lang w:val="en-US" w:eastAsia="zh-TW"/>
        </w:rPr>
        <w:t xml:space="preserve">ervice </w:t>
      </w:r>
      <w:r w:rsidR="000F64DA">
        <w:rPr>
          <w:rFonts w:eastAsia="PMingLiU"/>
          <w:lang w:val="en-US" w:eastAsia="zh-TW"/>
        </w:rPr>
        <w:t>O</w:t>
      </w:r>
      <w:r w:rsidRPr="00414F9F">
        <w:rPr>
          <w:rFonts w:eastAsia="PMingLiU"/>
          <w:lang w:val="en-US" w:eastAsia="zh-TW"/>
        </w:rPr>
        <w:t xml:space="preserve">rder for 200 hours, being the main </w:t>
      </w:r>
      <w:r w:rsidR="00F27F52">
        <w:rPr>
          <w:rFonts w:eastAsia="PMingLiU"/>
          <w:lang w:val="en-US" w:eastAsia="zh-TW"/>
        </w:rPr>
        <w:t>component</w:t>
      </w:r>
      <w:r w:rsidRPr="00414F9F">
        <w:rPr>
          <w:rFonts w:eastAsia="PMingLiU"/>
          <w:lang w:val="en-US" w:eastAsia="zh-TW"/>
        </w:rPr>
        <w:t xml:space="preserve"> of the sentence imposed on the </w:t>
      </w:r>
      <w:r w:rsidR="008D4853" w:rsidRPr="008D4853">
        <w:rPr>
          <w:rFonts w:eastAsia="PMingLiU"/>
          <w:b/>
          <w:lang w:val="en-US" w:eastAsia="zh-TW"/>
        </w:rPr>
        <w:t>‍</w:t>
      </w:r>
      <w:r w:rsidR="008D4853">
        <w:rPr>
          <w:rFonts w:eastAsia="PMingLiU"/>
          <w:lang w:val="en-US" w:eastAsia="zh-TW"/>
        </w:rPr>
        <w:t>r</w:t>
      </w:r>
      <w:r w:rsidRPr="00414F9F">
        <w:rPr>
          <w:rFonts w:eastAsia="PMingLiU"/>
          <w:lang w:val="en-US" w:eastAsia="zh-TW"/>
        </w:rPr>
        <w:t>espondent by</w:t>
      </w:r>
      <w:r w:rsidR="00F27F52">
        <w:rPr>
          <w:rFonts w:eastAsia="PMingLiU"/>
          <w:lang w:val="en-US" w:eastAsia="zh-TW"/>
        </w:rPr>
        <w:t xml:space="preserve"> HH Judge</w:t>
      </w:r>
      <w:r w:rsidRPr="00414F9F">
        <w:rPr>
          <w:rFonts w:eastAsia="PMingLiU"/>
          <w:lang w:val="en-US" w:eastAsia="zh-TW"/>
        </w:rPr>
        <w:t xml:space="preserve"> </w:t>
      </w:r>
      <w:proofErr w:type="spellStart"/>
      <w:r w:rsidRPr="00414F9F">
        <w:rPr>
          <w:rFonts w:eastAsia="PMingLiU"/>
          <w:lang w:val="en-US" w:eastAsia="zh-TW"/>
        </w:rPr>
        <w:t>Casewell</w:t>
      </w:r>
      <w:proofErr w:type="spellEnd"/>
      <w:r w:rsidRPr="00414F9F">
        <w:rPr>
          <w:rFonts w:eastAsia="PMingLiU"/>
          <w:lang w:val="en-US" w:eastAsia="zh-TW"/>
        </w:rPr>
        <w:t xml:space="preserve"> </w:t>
      </w:r>
      <w:r w:rsidR="0002174D">
        <w:rPr>
          <w:rFonts w:eastAsia="PMingLiU"/>
          <w:lang w:val="en-US" w:eastAsia="zh-TW"/>
        </w:rPr>
        <w:t>(“the j</w:t>
      </w:r>
      <w:r w:rsidRPr="00414F9F">
        <w:rPr>
          <w:rFonts w:eastAsia="PMingLiU"/>
          <w:lang w:val="en-US" w:eastAsia="zh-TW"/>
        </w:rPr>
        <w:t>udge”)</w:t>
      </w:r>
      <w:r w:rsidR="00F27F52">
        <w:rPr>
          <w:rFonts w:eastAsia="PMingLiU"/>
          <w:lang w:val="en-US" w:eastAsia="zh-TW"/>
        </w:rPr>
        <w:t xml:space="preserve"> in the District Court on 12 November 2018,</w:t>
      </w:r>
      <w:r w:rsidRPr="00414F9F">
        <w:rPr>
          <w:rFonts w:eastAsia="PMingLiU"/>
          <w:lang w:val="en-US" w:eastAsia="zh-TW"/>
        </w:rPr>
        <w:t xml:space="preserve"> following </w:t>
      </w:r>
      <w:r w:rsidR="000F64DA">
        <w:rPr>
          <w:rFonts w:eastAsia="PMingLiU"/>
          <w:lang w:val="en-US" w:eastAsia="zh-TW"/>
        </w:rPr>
        <w:t>her</w:t>
      </w:r>
      <w:r w:rsidRPr="00414F9F">
        <w:rPr>
          <w:rFonts w:eastAsia="PMingLiU"/>
          <w:lang w:val="en-US" w:eastAsia="zh-TW"/>
        </w:rPr>
        <w:t xml:space="preserve"> conviction on </w:t>
      </w:r>
      <w:r w:rsidR="00F27F52">
        <w:rPr>
          <w:rFonts w:eastAsia="PMingLiU"/>
          <w:lang w:val="en-US" w:eastAsia="zh-TW"/>
        </w:rPr>
        <w:t>a</w:t>
      </w:r>
      <w:r w:rsidRPr="00414F9F">
        <w:rPr>
          <w:rFonts w:eastAsia="PMingLiU"/>
          <w:lang w:val="en-US" w:eastAsia="zh-TW"/>
        </w:rPr>
        <w:t xml:space="preserve"> charge of causing grievous bodily harm by dangerous driving, contrary to </w:t>
      </w:r>
      <w:r w:rsidRPr="00414F9F">
        <w:rPr>
          <w:rFonts w:eastAsia="PMingLiU"/>
          <w:lang w:val="en-US" w:eastAsia="zh-TW"/>
        </w:rPr>
        <w:lastRenderedPageBreak/>
        <w:t xml:space="preserve">section 36A of the Road </w:t>
      </w:r>
      <w:r w:rsidR="008D4853" w:rsidRPr="008D4853">
        <w:rPr>
          <w:rFonts w:eastAsia="PMingLiU"/>
          <w:b/>
          <w:lang w:val="en-US" w:eastAsia="zh-TW"/>
        </w:rPr>
        <w:t>‍</w:t>
      </w:r>
      <w:r w:rsidRPr="00414F9F">
        <w:rPr>
          <w:rFonts w:eastAsia="PMingLiU"/>
          <w:lang w:val="en-US" w:eastAsia="zh-TW"/>
        </w:rPr>
        <w:t>Traffic Ordinance, Cap 374</w:t>
      </w:r>
      <w:r w:rsidR="00150975">
        <w:rPr>
          <w:rFonts w:eastAsia="PMingLiU"/>
          <w:lang w:val="en-US" w:eastAsia="zh-TW"/>
        </w:rPr>
        <w:t xml:space="preserve"> (“the RTO”)</w:t>
      </w:r>
      <w:r w:rsidRPr="00414F9F">
        <w:rPr>
          <w:rFonts w:eastAsia="PMingLiU"/>
          <w:lang w:eastAsia="zh-TW"/>
        </w:rPr>
        <w:t xml:space="preserve">.  To this charge, </w:t>
      </w:r>
      <w:r w:rsidR="00F27F52">
        <w:rPr>
          <w:rFonts w:eastAsia="PMingLiU"/>
          <w:lang w:eastAsia="zh-TW"/>
        </w:rPr>
        <w:t xml:space="preserve">the </w:t>
      </w:r>
      <w:r w:rsidRPr="00414F9F">
        <w:rPr>
          <w:rFonts w:eastAsia="PMingLiU"/>
          <w:lang w:eastAsia="zh-TW"/>
        </w:rPr>
        <w:t>respondent had pleaded guilty.</w:t>
      </w:r>
    </w:p>
    <w:p w:rsidR="005A58EA" w:rsidRPr="00B0766F" w:rsidRDefault="005A58EA" w:rsidP="00414F9F">
      <w:pPr>
        <w:pStyle w:val="T-Draft"/>
        <w:rPr>
          <w:rFonts w:eastAsia="PMingLiU"/>
          <w:lang w:val="en-US" w:eastAsia="zh-TW"/>
        </w:rPr>
      </w:pPr>
      <w:r>
        <w:rPr>
          <w:rFonts w:eastAsia="PMingLiU"/>
          <w:lang w:eastAsia="zh-TW"/>
        </w:rPr>
        <w:t>When th</w:t>
      </w:r>
      <w:r w:rsidR="00F27F52">
        <w:rPr>
          <w:rFonts w:eastAsia="PMingLiU"/>
          <w:lang w:eastAsia="zh-TW"/>
        </w:rPr>
        <w:t>e</w:t>
      </w:r>
      <w:r>
        <w:rPr>
          <w:rFonts w:eastAsia="PMingLiU"/>
          <w:lang w:eastAsia="zh-TW"/>
        </w:rPr>
        <w:t xml:space="preserve"> matter originally came before th</w:t>
      </w:r>
      <w:r w:rsidR="00F27F52">
        <w:rPr>
          <w:rFonts w:eastAsia="PMingLiU"/>
          <w:lang w:eastAsia="zh-TW"/>
        </w:rPr>
        <w:t>is</w:t>
      </w:r>
      <w:r>
        <w:rPr>
          <w:rFonts w:eastAsia="PMingLiU"/>
          <w:lang w:eastAsia="zh-TW"/>
        </w:rPr>
        <w:t xml:space="preserve"> Court on 12 </w:t>
      </w:r>
      <w:r w:rsidR="00275ED8" w:rsidRPr="00275ED8">
        <w:rPr>
          <w:rFonts w:eastAsia="PMingLiU"/>
          <w:b/>
          <w:lang w:val="en-US" w:eastAsia="zh-TW"/>
        </w:rPr>
        <w:t>‍</w:t>
      </w:r>
      <w:r>
        <w:rPr>
          <w:rFonts w:eastAsia="PMingLiU"/>
          <w:lang w:eastAsia="zh-TW"/>
        </w:rPr>
        <w:t xml:space="preserve">July </w:t>
      </w:r>
      <w:r w:rsidR="00275ED8" w:rsidRPr="00275ED8">
        <w:rPr>
          <w:rFonts w:eastAsia="PMingLiU"/>
          <w:b/>
          <w:lang w:val="en-US" w:eastAsia="zh-TW"/>
        </w:rPr>
        <w:t>‍</w:t>
      </w:r>
      <w:r>
        <w:rPr>
          <w:rFonts w:eastAsia="PMingLiU"/>
          <w:lang w:eastAsia="zh-TW"/>
        </w:rPr>
        <w:t xml:space="preserve">2019, we were concerned that we </w:t>
      </w:r>
      <w:r w:rsidR="003A57D3">
        <w:rPr>
          <w:rFonts w:eastAsia="PMingLiU"/>
          <w:lang w:eastAsia="zh-TW"/>
        </w:rPr>
        <w:t>had not been provided with</w:t>
      </w:r>
      <w:r>
        <w:rPr>
          <w:rFonts w:eastAsia="PMingLiU"/>
          <w:lang w:eastAsia="zh-TW"/>
        </w:rPr>
        <w:t xml:space="preserve"> sufficient material from the parties to assess </w:t>
      </w:r>
      <w:r w:rsidR="00F27F52">
        <w:rPr>
          <w:rFonts w:eastAsia="PMingLiU"/>
          <w:lang w:eastAsia="zh-TW"/>
        </w:rPr>
        <w:t xml:space="preserve">the appropriate </w:t>
      </w:r>
      <w:r>
        <w:rPr>
          <w:rFonts w:eastAsia="PMingLiU"/>
          <w:lang w:eastAsia="zh-TW"/>
        </w:rPr>
        <w:t>quantum</w:t>
      </w:r>
      <w:r w:rsidR="00F27F52">
        <w:rPr>
          <w:rFonts w:eastAsia="PMingLiU"/>
          <w:lang w:eastAsia="zh-TW"/>
        </w:rPr>
        <w:t xml:space="preserve"> of sentence</w:t>
      </w:r>
      <w:r>
        <w:rPr>
          <w:rFonts w:eastAsia="PMingLiU"/>
          <w:lang w:eastAsia="zh-TW"/>
        </w:rPr>
        <w:t xml:space="preserve">, the arguments being </w:t>
      </w:r>
      <w:r w:rsidR="00CE23E4">
        <w:rPr>
          <w:rFonts w:eastAsia="PMingLiU"/>
          <w:lang w:eastAsia="zh-TW"/>
        </w:rPr>
        <w:t>primarily</w:t>
      </w:r>
      <w:r>
        <w:rPr>
          <w:rFonts w:eastAsia="PMingLiU"/>
          <w:lang w:eastAsia="zh-TW"/>
        </w:rPr>
        <w:t xml:space="preserve"> </w:t>
      </w:r>
      <w:r w:rsidR="00F4525E">
        <w:rPr>
          <w:rFonts w:eastAsia="PMingLiU"/>
          <w:lang w:eastAsia="zh-TW"/>
        </w:rPr>
        <w:t>focussed on</w:t>
      </w:r>
      <w:r>
        <w:rPr>
          <w:rFonts w:eastAsia="PMingLiU"/>
          <w:lang w:eastAsia="zh-TW"/>
        </w:rPr>
        <w:t xml:space="preserve"> matters of </w:t>
      </w:r>
      <w:r w:rsidR="003A57D3">
        <w:rPr>
          <w:rFonts w:eastAsia="PMingLiU"/>
          <w:lang w:eastAsia="zh-TW"/>
        </w:rPr>
        <w:t xml:space="preserve">sentencing </w:t>
      </w:r>
      <w:r>
        <w:rPr>
          <w:rFonts w:eastAsia="PMingLiU"/>
          <w:lang w:eastAsia="zh-TW"/>
        </w:rPr>
        <w:t>principle.  Accordingly, we drew a number of authorities from England and Wales</w:t>
      </w:r>
      <w:r w:rsidR="00D9247F">
        <w:rPr>
          <w:rFonts w:eastAsia="PMingLiU"/>
          <w:lang w:eastAsia="zh-TW"/>
        </w:rPr>
        <w:t>,</w:t>
      </w:r>
      <w:r>
        <w:rPr>
          <w:rFonts w:eastAsia="PMingLiU"/>
          <w:lang w:eastAsia="zh-TW"/>
        </w:rPr>
        <w:t xml:space="preserve"> and </w:t>
      </w:r>
      <w:r w:rsidR="00B0766F">
        <w:rPr>
          <w:rFonts w:eastAsia="PMingLiU"/>
          <w:lang w:eastAsia="zh-TW"/>
        </w:rPr>
        <w:t xml:space="preserve">from </w:t>
      </w:r>
      <w:r w:rsidR="00E26D7A">
        <w:rPr>
          <w:rFonts w:eastAsia="PMingLiU"/>
          <w:lang w:eastAsia="zh-TW"/>
        </w:rPr>
        <w:t>various State</w:t>
      </w:r>
      <w:r w:rsidR="00F27F52">
        <w:rPr>
          <w:rFonts w:eastAsia="PMingLiU"/>
          <w:lang w:eastAsia="zh-TW"/>
        </w:rPr>
        <w:t xml:space="preserve"> </w:t>
      </w:r>
      <w:r w:rsidR="00B0766F">
        <w:rPr>
          <w:rFonts w:eastAsia="PMingLiU"/>
          <w:lang w:eastAsia="zh-TW"/>
        </w:rPr>
        <w:t xml:space="preserve">jurisdictions in </w:t>
      </w:r>
      <w:r>
        <w:rPr>
          <w:rFonts w:eastAsia="PMingLiU"/>
          <w:lang w:eastAsia="zh-TW"/>
        </w:rPr>
        <w:t>Australia</w:t>
      </w:r>
      <w:r w:rsidR="00D9247F">
        <w:rPr>
          <w:rFonts w:eastAsia="PMingLiU"/>
          <w:lang w:eastAsia="zh-TW"/>
        </w:rPr>
        <w:t>,</w:t>
      </w:r>
      <w:r>
        <w:rPr>
          <w:rFonts w:eastAsia="PMingLiU"/>
          <w:lang w:eastAsia="zh-TW"/>
        </w:rPr>
        <w:t xml:space="preserve"> to the attention of the parties and requested </w:t>
      </w:r>
      <w:r w:rsidR="00B0766F">
        <w:rPr>
          <w:rFonts w:eastAsia="PMingLiU"/>
          <w:lang w:eastAsia="zh-TW"/>
        </w:rPr>
        <w:t>to be addressed on the principles and quantum of sentence applicable in these jurisdictions</w:t>
      </w:r>
      <w:r w:rsidR="00D9247F">
        <w:rPr>
          <w:rFonts w:eastAsia="PMingLiU"/>
          <w:lang w:eastAsia="zh-TW"/>
        </w:rPr>
        <w:t xml:space="preserve"> as well</w:t>
      </w:r>
      <w:r w:rsidR="00B0766F">
        <w:rPr>
          <w:rFonts w:eastAsia="PMingLiU"/>
          <w:lang w:eastAsia="zh-TW"/>
        </w:rPr>
        <w:t xml:space="preserve">.  We also wished to be advised of the </w:t>
      </w:r>
      <w:r w:rsidR="00F27F52">
        <w:rPr>
          <w:rFonts w:eastAsia="PMingLiU"/>
          <w:lang w:eastAsia="zh-TW"/>
        </w:rPr>
        <w:t xml:space="preserve">prevalence and </w:t>
      </w:r>
      <w:r w:rsidR="00B0766F">
        <w:rPr>
          <w:rFonts w:eastAsia="PMingLiU"/>
          <w:lang w:eastAsia="zh-TW"/>
        </w:rPr>
        <w:t>current levels of sentencing for the offence locally in the District Court.  Since the parties were obviously not in a position to assist the Court immediately, we adjourned the matter for further argument to a date to be fixed.</w:t>
      </w:r>
    </w:p>
    <w:p w:rsidR="00B0766F" w:rsidRPr="00414F9F" w:rsidRDefault="00B0766F" w:rsidP="00414F9F">
      <w:pPr>
        <w:pStyle w:val="T-Draft"/>
        <w:rPr>
          <w:rFonts w:eastAsia="PMingLiU"/>
          <w:lang w:val="en-US" w:eastAsia="zh-TW"/>
        </w:rPr>
      </w:pPr>
      <w:r>
        <w:rPr>
          <w:rFonts w:eastAsia="PMingLiU"/>
          <w:lang w:val="en-US" w:eastAsia="zh-TW"/>
        </w:rPr>
        <w:t>At the resumed hearing on 23 September 2019, having heard</w:t>
      </w:r>
      <w:r w:rsidR="00F27F52">
        <w:rPr>
          <w:rFonts w:eastAsia="PMingLiU"/>
          <w:lang w:val="en-US" w:eastAsia="zh-TW"/>
        </w:rPr>
        <w:t xml:space="preserve"> full</w:t>
      </w:r>
      <w:r>
        <w:rPr>
          <w:rFonts w:eastAsia="PMingLiU"/>
          <w:lang w:val="en-US" w:eastAsia="zh-TW"/>
        </w:rPr>
        <w:t xml:space="preserve"> argument from the parties, we reserved our decision and indicated that we would hand it down at a later date.  This is our decision</w:t>
      </w:r>
      <w:r w:rsidR="00F27F52">
        <w:rPr>
          <w:rFonts w:eastAsia="PMingLiU"/>
          <w:lang w:val="en-US" w:eastAsia="zh-TW"/>
        </w:rPr>
        <w:t xml:space="preserve"> and the reasons therefor</w:t>
      </w:r>
      <w:r>
        <w:rPr>
          <w:rFonts w:eastAsia="PMingLiU"/>
          <w:lang w:val="en-US" w:eastAsia="zh-TW"/>
        </w:rPr>
        <w:t>.</w:t>
      </w:r>
    </w:p>
    <w:p w:rsidR="00414F9F" w:rsidRPr="00414F9F" w:rsidRDefault="00414F9F" w:rsidP="00414F9F">
      <w:pPr>
        <w:pStyle w:val="j-heading"/>
        <w:rPr>
          <w:snapToGrid/>
        </w:rPr>
      </w:pPr>
      <w:r w:rsidRPr="00414F9F">
        <w:rPr>
          <w:snapToGrid/>
        </w:rPr>
        <w:t xml:space="preserve">Circumstances of the </w:t>
      </w:r>
      <w:r w:rsidR="000F64DA">
        <w:rPr>
          <w:snapToGrid/>
        </w:rPr>
        <w:t>offence</w:t>
      </w:r>
    </w:p>
    <w:p w:rsidR="00414F9F" w:rsidRPr="00414F9F" w:rsidRDefault="00414F9F" w:rsidP="00414F9F">
      <w:pPr>
        <w:pStyle w:val="T-Draft"/>
        <w:rPr>
          <w:rFonts w:eastAsia="PMingLiU"/>
          <w:lang w:eastAsia="zh-TW"/>
        </w:rPr>
      </w:pPr>
      <w:r w:rsidRPr="00414F9F">
        <w:rPr>
          <w:rFonts w:eastAsia="PMingLiU"/>
          <w:lang w:eastAsia="zh-TW"/>
        </w:rPr>
        <w:t xml:space="preserve">The facts admitted by the respondent were that at 7:48 am on </w:t>
      </w:r>
      <w:r w:rsidR="00C8138E" w:rsidRPr="00C8138E">
        <w:rPr>
          <w:rFonts w:eastAsia="PMingLiU"/>
          <w:b/>
          <w:lang w:eastAsia="zh-TW"/>
        </w:rPr>
        <w:t>‍</w:t>
      </w:r>
      <w:r w:rsidRPr="00414F9F">
        <w:rPr>
          <w:rFonts w:eastAsia="PMingLiU"/>
          <w:lang w:eastAsia="zh-TW"/>
        </w:rPr>
        <w:t xml:space="preserve">3 </w:t>
      </w:r>
      <w:r w:rsidR="00C8138E" w:rsidRPr="00C8138E">
        <w:rPr>
          <w:rFonts w:eastAsia="PMingLiU"/>
          <w:b/>
          <w:lang w:eastAsia="zh-TW"/>
        </w:rPr>
        <w:t>‍</w:t>
      </w:r>
      <w:r w:rsidRPr="00414F9F">
        <w:rPr>
          <w:rFonts w:eastAsia="PMingLiU"/>
          <w:lang w:eastAsia="zh-TW"/>
        </w:rPr>
        <w:t>November 2017, she was driving a private vehicle in a northwest direction along Gascoigne Road</w:t>
      </w:r>
      <w:r w:rsidR="000F64DA">
        <w:rPr>
          <w:rFonts w:eastAsia="PMingLiU"/>
          <w:lang w:eastAsia="zh-TW"/>
        </w:rPr>
        <w:t xml:space="preserve"> in </w:t>
      </w:r>
      <w:proofErr w:type="spellStart"/>
      <w:r w:rsidR="000F64DA">
        <w:rPr>
          <w:rFonts w:eastAsia="PMingLiU"/>
          <w:lang w:eastAsia="zh-TW"/>
        </w:rPr>
        <w:t>Yau</w:t>
      </w:r>
      <w:proofErr w:type="spellEnd"/>
      <w:r w:rsidR="000F64DA">
        <w:rPr>
          <w:rFonts w:eastAsia="PMingLiU"/>
          <w:lang w:eastAsia="zh-TW"/>
        </w:rPr>
        <w:t xml:space="preserve"> </w:t>
      </w:r>
      <w:r w:rsidR="00C8138E" w:rsidRPr="00C8138E">
        <w:rPr>
          <w:rFonts w:eastAsia="PMingLiU"/>
          <w:b/>
          <w:lang w:eastAsia="zh-TW"/>
        </w:rPr>
        <w:t>‍</w:t>
      </w:r>
      <w:r w:rsidR="000F64DA">
        <w:rPr>
          <w:rFonts w:eastAsia="PMingLiU"/>
          <w:lang w:eastAsia="zh-TW"/>
        </w:rPr>
        <w:t xml:space="preserve">Ma </w:t>
      </w:r>
      <w:r w:rsidR="00C8138E" w:rsidRPr="00C8138E">
        <w:rPr>
          <w:rFonts w:eastAsia="PMingLiU"/>
          <w:b/>
          <w:lang w:eastAsia="zh-TW"/>
        </w:rPr>
        <w:t>‍</w:t>
      </w:r>
      <w:proofErr w:type="spellStart"/>
      <w:r w:rsidR="000F64DA">
        <w:rPr>
          <w:rFonts w:eastAsia="PMingLiU"/>
          <w:lang w:eastAsia="zh-TW"/>
        </w:rPr>
        <w:t>Tei</w:t>
      </w:r>
      <w:proofErr w:type="spellEnd"/>
      <w:r w:rsidR="000F64DA">
        <w:rPr>
          <w:rFonts w:eastAsia="PMingLiU"/>
          <w:lang w:eastAsia="zh-TW"/>
        </w:rPr>
        <w:t>, Kowloon</w:t>
      </w:r>
      <w:r w:rsidRPr="00414F9F">
        <w:rPr>
          <w:rFonts w:eastAsia="PMingLiU"/>
          <w:lang w:eastAsia="zh-TW"/>
        </w:rPr>
        <w:t xml:space="preserve">.  She </w:t>
      </w:r>
      <w:r w:rsidR="00F27F52">
        <w:rPr>
          <w:rFonts w:eastAsia="PMingLiU"/>
          <w:lang w:eastAsia="zh-TW"/>
        </w:rPr>
        <w:t>approached</w:t>
      </w:r>
      <w:r w:rsidRPr="00414F9F">
        <w:rPr>
          <w:rFonts w:eastAsia="PMingLiU"/>
          <w:lang w:eastAsia="zh-TW"/>
        </w:rPr>
        <w:t xml:space="preserve"> a pedestrian crossing </w:t>
      </w:r>
      <w:r w:rsidR="00F4525E">
        <w:rPr>
          <w:rFonts w:eastAsia="PMingLiU"/>
          <w:lang w:eastAsia="zh-TW"/>
        </w:rPr>
        <w:t>controlled</w:t>
      </w:r>
      <w:r w:rsidRPr="00414F9F">
        <w:rPr>
          <w:rFonts w:eastAsia="PMingLiU"/>
          <w:lang w:eastAsia="zh-TW"/>
        </w:rPr>
        <w:t xml:space="preserve"> by traffic lights near the junction of Gascoigne Road and Chi Wo</w:t>
      </w:r>
      <w:r w:rsidR="000F64DA">
        <w:rPr>
          <w:rFonts w:eastAsia="PMingLiU"/>
          <w:lang w:eastAsia="zh-TW"/>
        </w:rPr>
        <w:t xml:space="preserve"> Street in </w:t>
      </w:r>
      <w:proofErr w:type="spellStart"/>
      <w:r w:rsidR="000F64DA">
        <w:rPr>
          <w:rFonts w:eastAsia="PMingLiU"/>
          <w:lang w:eastAsia="zh-TW"/>
        </w:rPr>
        <w:t>Yau</w:t>
      </w:r>
      <w:proofErr w:type="spellEnd"/>
      <w:r w:rsidR="000F64DA">
        <w:rPr>
          <w:rFonts w:eastAsia="PMingLiU"/>
          <w:lang w:eastAsia="zh-TW"/>
        </w:rPr>
        <w:t xml:space="preserve"> Ma </w:t>
      </w:r>
      <w:proofErr w:type="spellStart"/>
      <w:r w:rsidR="000F64DA">
        <w:rPr>
          <w:rFonts w:eastAsia="PMingLiU"/>
          <w:lang w:eastAsia="zh-TW"/>
        </w:rPr>
        <w:t>Tei</w:t>
      </w:r>
      <w:proofErr w:type="spellEnd"/>
      <w:r w:rsidR="003A57D3">
        <w:rPr>
          <w:rFonts w:eastAsia="PMingLiU"/>
          <w:lang w:eastAsia="zh-TW"/>
        </w:rPr>
        <w:t xml:space="preserve"> at a speed of</w:t>
      </w:r>
      <w:r w:rsidR="00F27F52">
        <w:rPr>
          <w:rFonts w:eastAsia="PMingLiU"/>
          <w:lang w:eastAsia="zh-TW"/>
        </w:rPr>
        <w:t xml:space="preserve"> about 50 </w:t>
      </w:r>
      <w:proofErr w:type="spellStart"/>
      <w:r w:rsidR="00F27F52">
        <w:rPr>
          <w:rFonts w:eastAsia="PMingLiU"/>
          <w:lang w:eastAsia="zh-TW"/>
        </w:rPr>
        <w:t>kph</w:t>
      </w:r>
      <w:proofErr w:type="spellEnd"/>
      <w:r w:rsidRPr="00414F9F">
        <w:rPr>
          <w:rFonts w:eastAsia="PMingLiU"/>
          <w:lang w:eastAsia="zh-TW"/>
        </w:rPr>
        <w:t xml:space="preserve">. </w:t>
      </w:r>
      <w:r w:rsidR="008D4853">
        <w:rPr>
          <w:rFonts w:eastAsia="PMingLiU"/>
          <w:lang w:eastAsia="zh-TW"/>
        </w:rPr>
        <w:t xml:space="preserve"> </w:t>
      </w:r>
      <w:r w:rsidR="00F27F52">
        <w:rPr>
          <w:rFonts w:eastAsia="PMingLiU"/>
          <w:lang w:eastAsia="zh-TW"/>
        </w:rPr>
        <w:t>Three</w:t>
      </w:r>
      <w:r w:rsidR="000F64DA">
        <w:rPr>
          <w:rFonts w:eastAsia="PMingLiU"/>
          <w:lang w:eastAsia="zh-TW"/>
        </w:rPr>
        <w:t xml:space="preserve"> female</w:t>
      </w:r>
      <w:r w:rsidR="00B0766F">
        <w:rPr>
          <w:rFonts w:eastAsia="PMingLiU"/>
          <w:lang w:eastAsia="zh-TW"/>
        </w:rPr>
        <w:t>s</w:t>
      </w:r>
      <w:r w:rsidR="000F64DA">
        <w:rPr>
          <w:rFonts w:eastAsia="PMingLiU"/>
          <w:lang w:eastAsia="zh-TW"/>
        </w:rPr>
        <w:t>, PW1</w:t>
      </w:r>
      <w:r w:rsidR="00E84291">
        <w:rPr>
          <w:rFonts w:eastAsia="PMingLiU"/>
          <w:lang w:eastAsia="zh-TW"/>
        </w:rPr>
        <w:t>, PW2 and PW</w:t>
      </w:r>
      <w:r w:rsidR="000F64DA">
        <w:rPr>
          <w:rFonts w:eastAsia="PMingLiU"/>
          <w:lang w:eastAsia="zh-TW"/>
        </w:rPr>
        <w:t>3,</w:t>
      </w:r>
      <w:r w:rsidRPr="00414F9F">
        <w:rPr>
          <w:rFonts w:eastAsia="PMingLiU"/>
          <w:lang w:eastAsia="zh-TW"/>
        </w:rPr>
        <w:t xml:space="preserve"> </w:t>
      </w:r>
      <w:r w:rsidR="00F27F52">
        <w:rPr>
          <w:rFonts w:eastAsia="PMingLiU"/>
          <w:lang w:eastAsia="zh-TW"/>
        </w:rPr>
        <w:t>had been</w:t>
      </w:r>
      <w:r w:rsidRPr="00414F9F">
        <w:rPr>
          <w:rFonts w:eastAsia="PMingLiU"/>
          <w:lang w:eastAsia="zh-TW"/>
        </w:rPr>
        <w:t xml:space="preserve"> standing </w:t>
      </w:r>
      <w:r w:rsidRPr="00414F9F">
        <w:rPr>
          <w:rFonts w:eastAsia="PMingLiU"/>
          <w:lang w:eastAsia="zh-TW"/>
        </w:rPr>
        <w:lastRenderedPageBreak/>
        <w:t xml:space="preserve">on the safety island </w:t>
      </w:r>
      <w:r w:rsidR="00F27F52">
        <w:rPr>
          <w:rFonts w:eastAsia="PMingLiU"/>
          <w:lang w:eastAsia="zh-TW"/>
        </w:rPr>
        <w:t>in the centre of the road</w:t>
      </w:r>
      <w:r w:rsidRPr="00414F9F">
        <w:rPr>
          <w:rFonts w:eastAsia="PMingLiU"/>
          <w:lang w:eastAsia="zh-TW"/>
        </w:rPr>
        <w:t xml:space="preserve"> waiting for the pedestrian </w:t>
      </w:r>
      <w:r w:rsidR="00FD051D">
        <w:rPr>
          <w:rFonts w:eastAsia="PMingLiU"/>
          <w:lang w:eastAsia="zh-TW"/>
        </w:rPr>
        <w:t>traffic lights</w:t>
      </w:r>
      <w:r w:rsidRPr="00414F9F">
        <w:rPr>
          <w:rFonts w:eastAsia="PMingLiU"/>
          <w:lang w:eastAsia="zh-TW"/>
        </w:rPr>
        <w:t xml:space="preserve"> to turn green</w:t>
      </w:r>
      <w:r w:rsidR="000F64DA">
        <w:rPr>
          <w:rFonts w:eastAsia="PMingLiU"/>
          <w:lang w:eastAsia="zh-TW"/>
        </w:rPr>
        <w:t xml:space="preserve"> </w:t>
      </w:r>
      <w:r w:rsidR="008A7D80">
        <w:rPr>
          <w:rFonts w:eastAsia="PMingLiU"/>
          <w:lang w:eastAsia="zh-TW"/>
        </w:rPr>
        <w:t xml:space="preserve">in their favour </w:t>
      </w:r>
      <w:r w:rsidR="000F64DA">
        <w:rPr>
          <w:rFonts w:eastAsia="PMingLiU"/>
          <w:lang w:eastAsia="zh-TW"/>
        </w:rPr>
        <w:t xml:space="preserve">so that they could cross the </w:t>
      </w:r>
      <w:r w:rsidR="00470645">
        <w:rPr>
          <w:rFonts w:eastAsia="PMingLiU"/>
          <w:lang w:eastAsia="zh-TW"/>
        </w:rPr>
        <w:t xml:space="preserve">northwest bound </w:t>
      </w:r>
      <w:r w:rsidR="000F64DA">
        <w:rPr>
          <w:rFonts w:eastAsia="PMingLiU"/>
          <w:lang w:eastAsia="zh-TW"/>
        </w:rPr>
        <w:t>carriageway</w:t>
      </w:r>
      <w:r w:rsidRPr="00414F9F">
        <w:rPr>
          <w:rFonts w:eastAsia="PMingLiU"/>
          <w:lang w:eastAsia="zh-TW"/>
        </w:rPr>
        <w:t xml:space="preserve">. </w:t>
      </w:r>
      <w:r w:rsidR="008D4853">
        <w:rPr>
          <w:rFonts w:eastAsia="PMingLiU"/>
          <w:lang w:eastAsia="zh-TW"/>
        </w:rPr>
        <w:t xml:space="preserve"> </w:t>
      </w:r>
      <w:r w:rsidRPr="00414F9F">
        <w:rPr>
          <w:rFonts w:eastAsia="PMingLiU" w:hint="eastAsia"/>
          <w:lang w:eastAsia="zh-TW"/>
        </w:rPr>
        <w:t>On th</w:t>
      </w:r>
      <w:r w:rsidR="00B0766F">
        <w:rPr>
          <w:rFonts w:eastAsia="PMingLiU"/>
          <w:lang w:eastAsia="zh-TW"/>
        </w:rPr>
        <w:t>at morning</w:t>
      </w:r>
      <w:r w:rsidR="00FD051D">
        <w:rPr>
          <w:rFonts w:eastAsia="PMingLiU" w:hint="eastAsia"/>
          <w:lang w:eastAsia="zh-TW"/>
        </w:rPr>
        <w:t xml:space="preserve">, the weather was fine, </w:t>
      </w:r>
      <w:r w:rsidRPr="00414F9F">
        <w:rPr>
          <w:rFonts w:eastAsia="PMingLiU" w:hint="eastAsia"/>
          <w:lang w:eastAsia="zh-TW"/>
        </w:rPr>
        <w:t xml:space="preserve">the road </w:t>
      </w:r>
      <w:r w:rsidRPr="00414F9F">
        <w:rPr>
          <w:rFonts w:eastAsia="PMingLiU"/>
          <w:lang w:eastAsia="zh-TW"/>
        </w:rPr>
        <w:t xml:space="preserve">surface </w:t>
      </w:r>
      <w:r w:rsidRPr="00414F9F">
        <w:rPr>
          <w:rFonts w:eastAsia="PMingLiU" w:hint="eastAsia"/>
          <w:lang w:eastAsia="zh-TW"/>
        </w:rPr>
        <w:t>was dry</w:t>
      </w:r>
      <w:r w:rsidR="00FD051D">
        <w:rPr>
          <w:rFonts w:eastAsia="PMingLiU"/>
          <w:lang w:eastAsia="zh-TW"/>
        </w:rPr>
        <w:t xml:space="preserve"> and the traffic flow was</w:t>
      </w:r>
      <w:r w:rsidRPr="00414F9F">
        <w:rPr>
          <w:rFonts w:eastAsia="PMingLiU"/>
          <w:lang w:eastAsia="zh-TW"/>
        </w:rPr>
        <w:t xml:space="preserve"> normal</w:t>
      </w:r>
      <w:r w:rsidRPr="00414F9F">
        <w:rPr>
          <w:rFonts w:eastAsia="PMingLiU" w:hint="eastAsia"/>
          <w:lang w:eastAsia="zh-TW"/>
        </w:rPr>
        <w:t>.</w:t>
      </w:r>
      <w:r w:rsidRPr="00414F9F">
        <w:rPr>
          <w:rFonts w:eastAsia="PMingLiU"/>
          <w:lang w:eastAsia="zh-TW"/>
        </w:rPr>
        <w:t xml:space="preserve"> </w:t>
      </w:r>
      <w:r w:rsidR="008D4853">
        <w:rPr>
          <w:rFonts w:eastAsia="PMingLiU"/>
          <w:lang w:eastAsia="zh-TW"/>
        </w:rPr>
        <w:t xml:space="preserve"> </w:t>
      </w:r>
      <w:r w:rsidRPr="00414F9F">
        <w:rPr>
          <w:rFonts w:eastAsia="PMingLiU"/>
          <w:lang w:eastAsia="zh-TW"/>
        </w:rPr>
        <w:t xml:space="preserve">The </w:t>
      </w:r>
      <w:r w:rsidR="00FD051D">
        <w:rPr>
          <w:rFonts w:eastAsia="PMingLiU"/>
          <w:lang w:eastAsia="zh-TW"/>
        </w:rPr>
        <w:t>particular</w:t>
      </w:r>
      <w:r w:rsidRPr="00414F9F">
        <w:rPr>
          <w:rFonts w:eastAsia="PMingLiU"/>
          <w:lang w:eastAsia="zh-TW"/>
        </w:rPr>
        <w:t xml:space="preserve"> section of Gascoigne Road </w:t>
      </w:r>
      <w:r w:rsidR="00FD051D">
        <w:rPr>
          <w:rFonts w:eastAsia="PMingLiU"/>
          <w:lang w:eastAsia="zh-TW"/>
        </w:rPr>
        <w:t xml:space="preserve">in question </w:t>
      </w:r>
      <w:r w:rsidRPr="00414F9F">
        <w:rPr>
          <w:rFonts w:eastAsia="PMingLiU"/>
          <w:lang w:eastAsia="zh-TW"/>
        </w:rPr>
        <w:t xml:space="preserve">was in good repair. </w:t>
      </w:r>
      <w:r w:rsidR="008D4853">
        <w:rPr>
          <w:rFonts w:eastAsia="PMingLiU"/>
          <w:lang w:eastAsia="zh-TW"/>
        </w:rPr>
        <w:t xml:space="preserve"> </w:t>
      </w:r>
      <w:r w:rsidRPr="00414F9F">
        <w:rPr>
          <w:rFonts w:eastAsia="PMingLiU"/>
          <w:lang w:eastAsia="zh-TW"/>
        </w:rPr>
        <w:t xml:space="preserve">The traffic lights at the </w:t>
      </w:r>
      <w:r w:rsidR="00FD051D">
        <w:rPr>
          <w:rFonts w:eastAsia="PMingLiU"/>
          <w:lang w:eastAsia="zh-TW"/>
        </w:rPr>
        <w:t>p</w:t>
      </w:r>
      <w:r w:rsidRPr="00414F9F">
        <w:rPr>
          <w:rFonts w:eastAsia="PMingLiU"/>
          <w:lang w:eastAsia="zh-TW"/>
        </w:rPr>
        <w:t xml:space="preserve">edestrian </w:t>
      </w:r>
      <w:r w:rsidR="00FD051D">
        <w:rPr>
          <w:rFonts w:eastAsia="PMingLiU"/>
          <w:lang w:eastAsia="zh-TW"/>
        </w:rPr>
        <w:t>c</w:t>
      </w:r>
      <w:r w:rsidRPr="00414F9F">
        <w:rPr>
          <w:rFonts w:eastAsia="PMingLiU"/>
          <w:lang w:eastAsia="zh-TW"/>
        </w:rPr>
        <w:t xml:space="preserve">rossing were </w:t>
      </w:r>
      <w:r w:rsidR="00F4525E">
        <w:rPr>
          <w:rFonts w:eastAsia="PMingLiU"/>
          <w:lang w:eastAsia="zh-TW"/>
        </w:rPr>
        <w:t xml:space="preserve">all </w:t>
      </w:r>
      <w:r w:rsidRPr="00414F9F">
        <w:rPr>
          <w:rFonts w:eastAsia="PMingLiU"/>
          <w:lang w:eastAsia="zh-TW"/>
        </w:rPr>
        <w:t>functioning properly.</w:t>
      </w:r>
    </w:p>
    <w:p w:rsidR="00414F9F" w:rsidRPr="00414F9F" w:rsidRDefault="00414F9F" w:rsidP="00414F9F">
      <w:pPr>
        <w:pStyle w:val="T-Draft"/>
        <w:rPr>
          <w:rFonts w:eastAsia="PMingLiU"/>
          <w:lang w:eastAsia="zh-TW"/>
        </w:rPr>
      </w:pPr>
      <w:r w:rsidRPr="00414F9F">
        <w:rPr>
          <w:rFonts w:eastAsia="PMingLiU"/>
          <w:lang w:eastAsia="zh-TW"/>
        </w:rPr>
        <w:t xml:space="preserve">After the traffic lights </w:t>
      </w:r>
      <w:r w:rsidR="00F4525E">
        <w:rPr>
          <w:rFonts w:eastAsia="PMingLiU"/>
          <w:lang w:eastAsia="zh-TW"/>
        </w:rPr>
        <w:t>controlling</w:t>
      </w:r>
      <w:r w:rsidRPr="00414F9F">
        <w:rPr>
          <w:rFonts w:eastAsia="PMingLiU"/>
          <w:lang w:eastAsia="zh-TW"/>
        </w:rPr>
        <w:t xml:space="preserve"> vehicle</w:t>
      </w:r>
      <w:r w:rsidR="00FD051D">
        <w:rPr>
          <w:rFonts w:eastAsia="PMingLiU"/>
          <w:lang w:eastAsia="zh-TW"/>
        </w:rPr>
        <w:t>s</w:t>
      </w:r>
      <w:r w:rsidRPr="00414F9F">
        <w:rPr>
          <w:rFonts w:eastAsia="PMingLiU"/>
          <w:lang w:eastAsia="zh-TW"/>
        </w:rPr>
        <w:t xml:space="preserve"> on the </w:t>
      </w:r>
      <w:r w:rsidR="00F27F52">
        <w:rPr>
          <w:rFonts w:eastAsia="PMingLiU"/>
          <w:lang w:eastAsia="zh-TW"/>
        </w:rPr>
        <w:t>north</w:t>
      </w:r>
      <w:r w:rsidR="00FD051D">
        <w:rPr>
          <w:rFonts w:eastAsia="PMingLiU"/>
          <w:lang w:eastAsia="zh-TW"/>
        </w:rPr>
        <w:t>west</w:t>
      </w:r>
      <w:r w:rsidR="00F27F52">
        <w:rPr>
          <w:rFonts w:eastAsia="PMingLiU"/>
          <w:lang w:eastAsia="zh-TW"/>
        </w:rPr>
        <w:t xml:space="preserve"> </w:t>
      </w:r>
      <w:r w:rsidR="00FD051D">
        <w:rPr>
          <w:rFonts w:eastAsia="PMingLiU"/>
          <w:lang w:eastAsia="zh-TW"/>
        </w:rPr>
        <w:t>bound section of Gascoigne Road</w:t>
      </w:r>
      <w:r w:rsidRPr="00414F9F">
        <w:rPr>
          <w:rFonts w:eastAsia="PMingLiU"/>
          <w:lang w:eastAsia="zh-TW"/>
        </w:rPr>
        <w:t xml:space="preserve"> turned red, the pedestrian lights</w:t>
      </w:r>
      <w:r w:rsidR="00FD051D">
        <w:rPr>
          <w:rFonts w:eastAsia="PMingLiU"/>
          <w:lang w:eastAsia="zh-TW"/>
        </w:rPr>
        <w:t xml:space="preserve"> controlling the pedestrian crossing</w:t>
      </w:r>
      <w:r w:rsidRPr="00414F9F">
        <w:rPr>
          <w:rFonts w:eastAsia="PMingLiU"/>
          <w:lang w:eastAsia="zh-TW"/>
        </w:rPr>
        <w:t xml:space="preserve"> turned green. </w:t>
      </w:r>
      <w:r w:rsidR="00FD051D">
        <w:rPr>
          <w:rFonts w:eastAsia="PMingLiU"/>
          <w:lang w:eastAsia="zh-TW"/>
        </w:rPr>
        <w:t xml:space="preserve"> </w:t>
      </w:r>
      <w:r w:rsidRPr="00414F9F">
        <w:rPr>
          <w:rFonts w:eastAsia="PMingLiU"/>
          <w:lang w:eastAsia="zh-TW"/>
        </w:rPr>
        <w:t>PW1</w:t>
      </w:r>
      <w:r w:rsidR="00E84291">
        <w:rPr>
          <w:rFonts w:eastAsia="PMingLiU"/>
          <w:lang w:eastAsia="zh-TW"/>
        </w:rPr>
        <w:t>, PW2 and PW3</w:t>
      </w:r>
      <w:r w:rsidRPr="00414F9F">
        <w:rPr>
          <w:rFonts w:eastAsia="PMingLiU"/>
          <w:lang w:eastAsia="zh-TW"/>
        </w:rPr>
        <w:t xml:space="preserve"> </w:t>
      </w:r>
      <w:r w:rsidR="00B0766F">
        <w:rPr>
          <w:rFonts w:eastAsia="PMingLiU"/>
          <w:lang w:eastAsia="zh-TW"/>
        </w:rPr>
        <w:t>accordingly</w:t>
      </w:r>
      <w:r w:rsidRPr="00414F9F">
        <w:rPr>
          <w:rFonts w:eastAsia="PMingLiU"/>
          <w:lang w:eastAsia="zh-TW"/>
        </w:rPr>
        <w:t xml:space="preserve"> stepped </w:t>
      </w:r>
      <w:r w:rsidR="00FD051D">
        <w:rPr>
          <w:rFonts w:eastAsia="PMingLiU"/>
          <w:lang w:eastAsia="zh-TW"/>
        </w:rPr>
        <w:t>o</w:t>
      </w:r>
      <w:r w:rsidRPr="00414F9F">
        <w:rPr>
          <w:rFonts w:eastAsia="PMingLiU"/>
          <w:lang w:eastAsia="zh-TW"/>
        </w:rPr>
        <w:t xml:space="preserve">nto the </w:t>
      </w:r>
      <w:r w:rsidR="00FD051D">
        <w:rPr>
          <w:rFonts w:eastAsia="PMingLiU"/>
          <w:lang w:eastAsia="zh-TW"/>
        </w:rPr>
        <w:t>p</w:t>
      </w:r>
      <w:r w:rsidRPr="00414F9F">
        <w:rPr>
          <w:rFonts w:eastAsia="PMingLiU"/>
          <w:lang w:eastAsia="zh-TW"/>
        </w:rPr>
        <w:t xml:space="preserve">edestrian </w:t>
      </w:r>
      <w:r w:rsidR="00FD051D">
        <w:rPr>
          <w:rFonts w:eastAsia="PMingLiU"/>
          <w:lang w:eastAsia="zh-TW"/>
        </w:rPr>
        <w:t>c</w:t>
      </w:r>
      <w:r w:rsidRPr="00414F9F">
        <w:rPr>
          <w:rFonts w:eastAsia="PMingLiU"/>
          <w:lang w:eastAsia="zh-TW"/>
        </w:rPr>
        <w:t xml:space="preserve">rossing </w:t>
      </w:r>
      <w:r w:rsidR="00FD051D">
        <w:rPr>
          <w:rFonts w:eastAsia="PMingLiU"/>
          <w:lang w:eastAsia="zh-TW"/>
        </w:rPr>
        <w:t xml:space="preserve">in order to cross the </w:t>
      </w:r>
      <w:r w:rsidR="00F27F52">
        <w:rPr>
          <w:rFonts w:eastAsia="PMingLiU"/>
          <w:lang w:eastAsia="zh-TW"/>
        </w:rPr>
        <w:t>north</w:t>
      </w:r>
      <w:r w:rsidR="00FD051D">
        <w:rPr>
          <w:rFonts w:eastAsia="PMingLiU"/>
          <w:lang w:eastAsia="zh-TW"/>
        </w:rPr>
        <w:t>west</w:t>
      </w:r>
      <w:r w:rsidR="00F27F52">
        <w:rPr>
          <w:rFonts w:eastAsia="PMingLiU"/>
          <w:lang w:eastAsia="zh-TW"/>
        </w:rPr>
        <w:t xml:space="preserve"> </w:t>
      </w:r>
      <w:r w:rsidR="00FD051D">
        <w:rPr>
          <w:rFonts w:eastAsia="PMingLiU"/>
          <w:lang w:eastAsia="zh-TW"/>
        </w:rPr>
        <w:t>bound</w:t>
      </w:r>
      <w:r w:rsidRPr="00414F9F">
        <w:rPr>
          <w:rFonts w:eastAsia="PMingLiU"/>
          <w:lang w:eastAsia="zh-TW"/>
        </w:rPr>
        <w:t xml:space="preserve"> carriageway. </w:t>
      </w:r>
      <w:r w:rsidR="008D4853">
        <w:rPr>
          <w:rFonts w:eastAsia="PMingLiU"/>
          <w:lang w:eastAsia="zh-TW"/>
        </w:rPr>
        <w:t xml:space="preserve"> </w:t>
      </w:r>
      <w:r w:rsidR="00FD051D">
        <w:rPr>
          <w:rFonts w:eastAsia="PMingLiU"/>
          <w:lang w:eastAsia="zh-TW"/>
        </w:rPr>
        <w:t>The respondent</w:t>
      </w:r>
      <w:r w:rsidR="008A7D80">
        <w:rPr>
          <w:rFonts w:eastAsia="PMingLiU"/>
          <w:lang w:eastAsia="zh-TW"/>
        </w:rPr>
        <w:t>, however,</w:t>
      </w:r>
      <w:r w:rsidR="00FD051D">
        <w:rPr>
          <w:rFonts w:eastAsia="PMingLiU"/>
          <w:lang w:eastAsia="zh-TW"/>
        </w:rPr>
        <w:t xml:space="preserve"> failed to </w:t>
      </w:r>
      <w:proofErr w:type="spellStart"/>
      <w:r w:rsidR="00FD051D">
        <w:rPr>
          <w:rFonts w:eastAsia="PMingLiU"/>
          <w:lang w:eastAsia="zh-TW"/>
        </w:rPr>
        <w:t>brake</w:t>
      </w:r>
      <w:proofErr w:type="spellEnd"/>
      <w:r w:rsidR="00FD051D">
        <w:rPr>
          <w:rFonts w:eastAsia="PMingLiU"/>
          <w:lang w:eastAsia="zh-TW"/>
        </w:rPr>
        <w:t xml:space="preserve"> or stop at the pedestrian crossing</w:t>
      </w:r>
      <w:r w:rsidR="008A7D80">
        <w:rPr>
          <w:rFonts w:eastAsia="PMingLiU"/>
          <w:lang w:eastAsia="zh-TW"/>
        </w:rPr>
        <w:t xml:space="preserve"> and collided with</w:t>
      </w:r>
      <w:r w:rsidRPr="00414F9F">
        <w:rPr>
          <w:rFonts w:eastAsia="PMingLiU"/>
          <w:lang w:eastAsia="zh-TW"/>
        </w:rPr>
        <w:t xml:space="preserve"> </w:t>
      </w:r>
      <w:r w:rsidR="00E84291">
        <w:rPr>
          <w:rFonts w:eastAsia="PMingLiU"/>
          <w:lang w:eastAsia="zh-TW"/>
        </w:rPr>
        <w:t>the three women</w:t>
      </w:r>
      <w:r w:rsidRPr="00414F9F">
        <w:rPr>
          <w:rFonts w:eastAsia="PMingLiU"/>
          <w:lang w:eastAsia="zh-TW"/>
        </w:rPr>
        <w:t xml:space="preserve"> with the offside front of her vehicle.</w:t>
      </w:r>
      <w:r w:rsidR="008D4853">
        <w:rPr>
          <w:rFonts w:eastAsia="PMingLiU"/>
          <w:lang w:eastAsia="zh-TW"/>
        </w:rPr>
        <w:t xml:space="preserve"> </w:t>
      </w:r>
      <w:r w:rsidRPr="00414F9F">
        <w:rPr>
          <w:rFonts w:eastAsia="PMingLiU"/>
          <w:lang w:eastAsia="zh-TW"/>
        </w:rPr>
        <w:t xml:space="preserve"> PW1 and PW2 bounced off the respondent’s vehicle and landed in the carriageway. </w:t>
      </w:r>
      <w:r w:rsidR="008D4853">
        <w:rPr>
          <w:rFonts w:eastAsia="PMingLiU"/>
          <w:lang w:eastAsia="zh-TW"/>
        </w:rPr>
        <w:t xml:space="preserve"> </w:t>
      </w:r>
      <w:r w:rsidR="00F4525E">
        <w:rPr>
          <w:rFonts w:eastAsia="PMingLiU"/>
          <w:lang w:eastAsia="zh-TW"/>
        </w:rPr>
        <w:t xml:space="preserve">PW3 fell backwards in an attempt to avoid the respondent’s vehicle.  </w:t>
      </w:r>
      <w:r w:rsidRPr="00414F9F">
        <w:rPr>
          <w:rFonts w:eastAsia="PMingLiU"/>
          <w:lang w:eastAsia="zh-TW"/>
        </w:rPr>
        <w:t xml:space="preserve">The respondent continued on </w:t>
      </w:r>
      <w:r w:rsidR="00F27F52">
        <w:rPr>
          <w:rFonts w:eastAsia="PMingLiU"/>
          <w:lang w:eastAsia="zh-TW"/>
        </w:rPr>
        <w:t xml:space="preserve">for </w:t>
      </w:r>
      <w:r w:rsidR="00E34859">
        <w:rPr>
          <w:rFonts w:eastAsia="PMingLiU"/>
          <w:lang w:eastAsia="zh-TW"/>
        </w:rPr>
        <w:t xml:space="preserve">a short distance </w:t>
      </w:r>
      <w:r w:rsidRPr="00414F9F">
        <w:rPr>
          <w:rFonts w:eastAsia="PMingLiU"/>
          <w:lang w:eastAsia="zh-TW"/>
        </w:rPr>
        <w:t xml:space="preserve">before </w:t>
      </w:r>
      <w:r w:rsidR="00F4525E">
        <w:rPr>
          <w:rFonts w:eastAsia="PMingLiU"/>
          <w:lang w:eastAsia="zh-TW"/>
        </w:rPr>
        <w:t>bringing the vehicle</w:t>
      </w:r>
      <w:r w:rsidRPr="00414F9F">
        <w:rPr>
          <w:rFonts w:eastAsia="PMingLiU"/>
          <w:lang w:eastAsia="zh-TW"/>
        </w:rPr>
        <w:t xml:space="preserve"> to a halt.</w:t>
      </w:r>
      <w:r w:rsidR="008D4853">
        <w:rPr>
          <w:rFonts w:eastAsia="PMingLiU"/>
          <w:lang w:eastAsia="zh-TW"/>
        </w:rPr>
        <w:t xml:space="preserve"> </w:t>
      </w:r>
      <w:r w:rsidRPr="00414F9F">
        <w:rPr>
          <w:rFonts w:eastAsia="PMingLiU"/>
          <w:lang w:eastAsia="zh-TW"/>
        </w:rPr>
        <w:t xml:space="preserve"> At all material times, the traffic signals governing the northwest bound carriageway in which the respondent was travelling </w:t>
      </w:r>
      <w:r w:rsidR="008A7D80">
        <w:rPr>
          <w:rFonts w:eastAsia="PMingLiU"/>
          <w:lang w:eastAsia="zh-TW"/>
        </w:rPr>
        <w:t>were</w:t>
      </w:r>
      <w:r w:rsidRPr="00414F9F">
        <w:rPr>
          <w:rFonts w:eastAsia="PMingLiU"/>
          <w:lang w:eastAsia="zh-TW"/>
        </w:rPr>
        <w:t xml:space="preserve"> red.</w:t>
      </w:r>
    </w:p>
    <w:p w:rsidR="00414F9F" w:rsidRDefault="00414F9F" w:rsidP="00414F9F">
      <w:pPr>
        <w:pStyle w:val="T-Draft"/>
        <w:rPr>
          <w:rFonts w:eastAsia="PMingLiU"/>
          <w:lang w:eastAsia="zh-TW"/>
        </w:rPr>
      </w:pPr>
      <w:r w:rsidRPr="00414F9F">
        <w:rPr>
          <w:rFonts w:eastAsia="PMingLiU"/>
          <w:lang w:eastAsia="zh-TW"/>
        </w:rPr>
        <w:t>As a result of the impact, PW1 sustained serious multiple injuries</w:t>
      </w:r>
      <w:r w:rsidR="0070202F">
        <w:rPr>
          <w:rFonts w:eastAsia="PMingLiU"/>
          <w:lang w:eastAsia="zh-TW"/>
        </w:rPr>
        <w:t>;</w:t>
      </w:r>
      <w:r w:rsidR="008A7D80">
        <w:rPr>
          <w:rFonts w:eastAsia="PMingLiU"/>
          <w:lang w:eastAsia="zh-TW"/>
        </w:rPr>
        <w:t xml:space="preserve"> while PW2 and PW3 were also injured</w:t>
      </w:r>
      <w:r w:rsidR="0070202F">
        <w:rPr>
          <w:rFonts w:eastAsia="PMingLiU"/>
          <w:lang w:eastAsia="zh-TW"/>
        </w:rPr>
        <w:t>, PW2 more so than PW3</w:t>
      </w:r>
      <w:r w:rsidRPr="00414F9F">
        <w:rPr>
          <w:rFonts w:eastAsia="PMingLiU"/>
          <w:lang w:eastAsia="zh-TW"/>
        </w:rPr>
        <w:t>.</w:t>
      </w:r>
      <w:r w:rsidR="008A7D80">
        <w:rPr>
          <w:rFonts w:eastAsia="PMingLiU"/>
          <w:lang w:eastAsia="zh-TW"/>
        </w:rPr>
        <w:t xml:space="preserve"> </w:t>
      </w:r>
      <w:r w:rsidRPr="00414F9F">
        <w:rPr>
          <w:rFonts w:eastAsia="PMingLiU"/>
          <w:lang w:eastAsia="zh-TW"/>
        </w:rPr>
        <w:t xml:space="preserve"> PW1 and PW3 were conveyed to Queen Elizabeth Hospital; PW1 in an unconscious state. </w:t>
      </w:r>
      <w:r w:rsidR="008D4853">
        <w:rPr>
          <w:rFonts w:eastAsia="PMingLiU"/>
          <w:lang w:eastAsia="zh-TW"/>
        </w:rPr>
        <w:t xml:space="preserve"> </w:t>
      </w:r>
      <w:r w:rsidRPr="00414F9F">
        <w:rPr>
          <w:rFonts w:eastAsia="PMingLiU"/>
          <w:lang w:eastAsia="zh-TW"/>
        </w:rPr>
        <w:t>PW2 initially returned home but attended the hospital later that day.</w:t>
      </w:r>
    </w:p>
    <w:p w:rsidR="00414F9F" w:rsidRPr="00414F9F" w:rsidRDefault="00414F9F" w:rsidP="00095984">
      <w:pPr>
        <w:pStyle w:val="j-heading"/>
        <w:rPr>
          <w:lang w:eastAsia="zh-TW"/>
        </w:rPr>
      </w:pPr>
      <w:r w:rsidRPr="00414F9F">
        <w:rPr>
          <w:lang w:eastAsia="zh-TW"/>
        </w:rPr>
        <w:lastRenderedPageBreak/>
        <w:t>Footage from the respondent’s vehicle camera</w:t>
      </w:r>
    </w:p>
    <w:p w:rsidR="00414F9F" w:rsidRDefault="00414F9F" w:rsidP="00414F9F">
      <w:pPr>
        <w:pStyle w:val="T-Draft"/>
        <w:rPr>
          <w:rFonts w:eastAsia="PMingLiU"/>
          <w:lang w:eastAsia="zh-TW"/>
        </w:rPr>
      </w:pPr>
      <w:r w:rsidRPr="00414F9F">
        <w:rPr>
          <w:rFonts w:eastAsia="PMingLiU"/>
          <w:lang w:eastAsia="zh-TW"/>
        </w:rPr>
        <w:t>A camera installed in the respondent’s vehicle captured the course of the traffic accident</w:t>
      </w:r>
      <w:r w:rsidR="00E34859">
        <w:rPr>
          <w:rFonts w:eastAsia="PMingLiU"/>
          <w:lang w:eastAsia="zh-TW"/>
        </w:rPr>
        <w:t xml:space="preserve"> as it happened</w:t>
      </w:r>
      <w:r w:rsidRPr="00414F9F">
        <w:rPr>
          <w:rFonts w:eastAsia="PMingLiU"/>
          <w:lang w:eastAsia="zh-TW"/>
        </w:rPr>
        <w:t xml:space="preserve">. </w:t>
      </w:r>
      <w:r w:rsidR="00E34859">
        <w:rPr>
          <w:rFonts w:eastAsia="PMingLiU"/>
          <w:lang w:eastAsia="zh-TW"/>
        </w:rPr>
        <w:t xml:space="preserve"> The circumstances</w:t>
      </w:r>
      <w:r w:rsidRPr="00414F9F">
        <w:rPr>
          <w:rFonts w:eastAsia="PMingLiU"/>
          <w:lang w:eastAsia="zh-TW"/>
        </w:rPr>
        <w:t xml:space="preserve"> </w:t>
      </w:r>
      <w:r w:rsidR="008A7D80">
        <w:rPr>
          <w:rFonts w:eastAsia="PMingLiU"/>
          <w:lang w:eastAsia="zh-TW"/>
        </w:rPr>
        <w:t>gleaned from th</w:t>
      </w:r>
      <w:r w:rsidR="00E34859">
        <w:rPr>
          <w:rFonts w:eastAsia="PMingLiU"/>
          <w:lang w:eastAsia="zh-TW"/>
        </w:rPr>
        <w:t>e</w:t>
      </w:r>
      <w:r w:rsidR="008A7D80">
        <w:rPr>
          <w:rFonts w:eastAsia="PMingLiU"/>
          <w:lang w:eastAsia="zh-TW"/>
        </w:rPr>
        <w:t xml:space="preserve"> video footage</w:t>
      </w:r>
      <w:r w:rsidR="00E34859">
        <w:rPr>
          <w:rFonts w:eastAsia="PMingLiU"/>
          <w:lang w:eastAsia="zh-TW"/>
        </w:rPr>
        <w:t xml:space="preserve"> from that camera</w:t>
      </w:r>
      <w:r w:rsidR="008A7D80">
        <w:rPr>
          <w:rFonts w:eastAsia="PMingLiU"/>
          <w:lang w:eastAsia="zh-TW"/>
        </w:rPr>
        <w:t xml:space="preserve"> were agreed a</w:t>
      </w:r>
      <w:r w:rsidR="00321E00">
        <w:rPr>
          <w:rFonts w:eastAsia="PMingLiU"/>
          <w:lang w:eastAsia="zh-TW"/>
        </w:rPr>
        <w:t>s</w:t>
      </w:r>
      <w:r w:rsidRPr="00414F9F">
        <w:rPr>
          <w:rFonts w:eastAsia="PMingLiU"/>
          <w:lang w:eastAsia="zh-TW"/>
        </w:rPr>
        <w:t xml:space="preserve"> summari</w:t>
      </w:r>
      <w:r w:rsidR="00E84291">
        <w:rPr>
          <w:rFonts w:eastAsia="PMingLiU"/>
          <w:lang w:eastAsia="zh-TW"/>
        </w:rPr>
        <w:t>s</w:t>
      </w:r>
      <w:r w:rsidRPr="00414F9F">
        <w:rPr>
          <w:rFonts w:eastAsia="PMingLiU"/>
          <w:lang w:eastAsia="zh-TW"/>
        </w:rPr>
        <w:t>ed</w:t>
      </w:r>
      <w:r w:rsidR="00321E00">
        <w:rPr>
          <w:rFonts w:eastAsia="PMingLiU"/>
          <w:lang w:eastAsia="zh-TW"/>
        </w:rPr>
        <w:t xml:space="preserve"> </w:t>
      </w:r>
      <w:r w:rsidRPr="00414F9F">
        <w:rPr>
          <w:rFonts w:eastAsia="PMingLiU"/>
          <w:lang w:eastAsia="zh-TW"/>
        </w:rPr>
        <w:t>below:</w:t>
      </w:r>
    </w:p>
    <w:tbl>
      <w:tblPr>
        <w:tblStyle w:val="TableGrid"/>
        <w:tblW w:w="0" w:type="auto"/>
        <w:tblLook w:val="04A0" w:firstRow="1" w:lastRow="0" w:firstColumn="1" w:lastColumn="0" w:noHBand="0" w:noVBand="1"/>
      </w:tblPr>
      <w:tblGrid>
        <w:gridCol w:w="1885"/>
        <w:gridCol w:w="6411"/>
      </w:tblGrid>
      <w:tr w:rsidR="00414F9F" w:rsidRPr="00414F9F" w:rsidTr="00D67B97">
        <w:tc>
          <w:tcPr>
            <w:tcW w:w="1885" w:type="dxa"/>
          </w:tcPr>
          <w:p w:rsidR="00414F9F" w:rsidRPr="00414F9F" w:rsidRDefault="00414F9F" w:rsidP="00414F9F">
            <w:pPr>
              <w:tabs>
                <w:tab w:val="left" w:pos="1440"/>
              </w:tabs>
              <w:kinsoku/>
              <w:overflowPunct/>
              <w:autoSpaceDE/>
              <w:autoSpaceDN/>
              <w:adjustRightInd/>
              <w:spacing w:after="120"/>
              <w:jc w:val="center"/>
              <w:rPr>
                <w:b w:val="0"/>
                <w:snapToGrid/>
                <w:sz w:val="24"/>
                <w:szCs w:val="24"/>
              </w:rPr>
            </w:pPr>
            <w:r w:rsidRPr="00414F9F">
              <w:rPr>
                <w:b w:val="0"/>
                <w:snapToGrid/>
                <w:sz w:val="24"/>
                <w:szCs w:val="24"/>
              </w:rPr>
              <w:t>Time</w:t>
            </w:r>
          </w:p>
        </w:tc>
        <w:tc>
          <w:tcPr>
            <w:tcW w:w="6411" w:type="dxa"/>
          </w:tcPr>
          <w:p w:rsidR="00414F9F" w:rsidRPr="00414F9F" w:rsidRDefault="00414F9F" w:rsidP="00414F9F">
            <w:pPr>
              <w:tabs>
                <w:tab w:val="left" w:pos="1440"/>
              </w:tabs>
              <w:kinsoku/>
              <w:overflowPunct/>
              <w:autoSpaceDE/>
              <w:autoSpaceDN/>
              <w:adjustRightInd/>
              <w:spacing w:after="120"/>
              <w:jc w:val="center"/>
              <w:rPr>
                <w:b w:val="0"/>
                <w:snapToGrid/>
                <w:sz w:val="24"/>
                <w:szCs w:val="24"/>
              </w:rPr>
            </w:pPr>
            <w:r w:rsidRPr="00414F9F">
              <w:rPr>
                <w:b w:val="0"/>
                <w:snapToGrid/>
                <w:sz w:val="24"/>
                <w:szCs w:val="24"/>
              </w:rPr>
              <w:t>Incidents</w:t>
            </w:r>
          </w:p>
        </w:tc>
      </w:tr>
      <w:tr w:rsidR="00414F9F" w:rsidRPr="00414F9F" w:rsidTr="00D67B97">
        <w:tc>
          <w:tcPr>
            <w:tcW w:w="1885" w:type="dxa"/>
          </w:tcPr>
          <w:p w:rsidR="00414F9F" w:rsidRPr="00414F9F" w:rsidRDefault="00414F9F" w:rsidP="00414F9F">
            <w:pPr>
              <w:tabs>
                <w:tab w:val="left" w:pos="1440"/>
              </w:tabs>
              <w:kinsoku/>
              <w:overflowPunct/>
              <w:autoSpaceDE/>
              <w:autoSpaceDN/>
              <w:adjustRightInd/>
              <w:spacing w:after="120"/>
              <w:jc w:val="center"/>
              <w:rPr>
                <w:b w:val="0"/>
                <w:snapToGrid/>
                <w:sz w:val="24"/>
                <w:szCs w:val="24"/>
              </w:rPr>
            </w:pPr>
            <w:r w:rsidRPr="00414F9F">
              <w:rPr>
                <w:b w:val="0"/>
                <w:snapToGrid/>
                <w:sz w:val="24"/>
                <w:szCs w:val="24"/>
              </w:rPr>
              <w:t>7:48:19 am</w:t>
            </w:r>
          </w:p>
        </w:tc>
        <w:tc>
          <w:tcPr>
            <w:tcW w:w="6411" w:type="dxa"/>
          </w:tcPr>
          <w:p w:rsidR="00414F9F" w:rsidRPr="00414F9F" w:rsidRDefault="00414F9F" w:rsidP="00414F9F">
            <w:pPr>
              <w:tabs>
                <w:tab w:val="left" w:pos="1440"/>
              </w:tabs>
              <w:kinsoku/>
              <w:overflowPunct/>
              <w:autoSpaceDE/>
              <w:autoSpaceDN/>
              <w:adjustRightInd/>
              <w:spacing w:after="120"/>
              <w:rPr>
                <w:b w:val="0"/>
                <w:snapToGrid/>
                <w:sz w:val="24"/>
                <w:szCs w:val="24"/>
              </w:rPr>
            </w:pPr>
            <w:r w:rsidRPr="00414F9F">
              <w:rPr>
                <w:b w:val="0"/>
                <w:snapToGrid/>
                <w:sz w:val="24"/>
                <w:szCs w:val="24"/>
              </w:rPr>
              <w:t>The respondent’s vehicle (“V”) was travelling along the 3</w:t>
            </w:r>
            <w:r w:rsidRPr="00414F9F">
              <w:rPr>
                <w:b w:val="0"/>
                <w:snapToGrid/>
                <w:sz w:val="24"/>
                <w:szCs w:val="24"/>
                <w:vertAlign w:val="superscript"/>
              </w:rPr>
              <w:t>rd</w:t>
            </w:r>
            <w:r w:rsidRPr="00414F9F">
              <w:rPr>
                <w:b w:val="0"/>
                <w:snapToGrid/>
                <w:sz w:val="24"/>
                <w:szCs w:val="24"/>
              </w:rPr>
              <w:t xml:space="preserve"> lane of Gascoigne Road</w:t>
            </w:r>
            <w:r w:rsidR="008A7D80">
              <w:rPr>
                <w:b w:val="0"/>
                <w:snapToGrid/>
                <w:sz w:val="24"/>
                <w:szCs w:val="24"/>
              </w:rPr>
              <w:t xml:space="preserve"> in a westbound direction</w:t>
            </w:r>
            <w:r w:rsidRPr="00414F9F">
              <w:rPr>
                <w:b w:val="0"/>
                <w:snapToGrid/>
                <w:sz w:val="24"/>
                <w:szCs w:val="24"/>
              </w:rPr>
              <w:t>.</w:t>
            </w:r>
          </w:p>
        </w:tc>
      </w:tr>
      <w:tr w:rsidR="00414F9F" w:rsidRPr="00414F9F" w:rsidTr="00D67B97">
        <w:tc>
          <w:tcPr>
            <w:tcW w:w="1885" w:type="dxa"/>
          </w:tcPr>
          <w:p w:rsidR="00414F9F" w:rsidRPr="00414F9F" w:rsidRDefault="00414F9F" w:rsidP="00414F9F">
            <w:pPr>
              <w:tabs>
                <w:tab w:val="left" w:pos="1440"/>
              </w:tabs>
              <w:kinsoku/>
              <w:overflowPunct/>
              <w:autoSpaceDE/>
              <w:autoSpaceDN/>
              <w:adjustRightInd/>
              <w:spacing w:after="120"/>
              <w:jc w:val="center"/>
              <w:rPr>
                <w:b w:val="0"/>
                <w:snapToGrid/>
                <w:sz w:val="24"/>
                <w:szCs w:val="24"/>
              </w:rPr>
            </w:pPr>
            <w:r w:rsidRPr="00414F9F">
              <w:rPr>
                <w:b w:val="0"/>
                <w:snapToGrid/>
                <w:sz w:val="24"/>
                <w:szCs w:val="24"/>
              </w:rPr>
              <w:t>7:48:20 am</w:t>
            </w:r>
          </w:p>
        </w:tc>
        <w:tc>
          <w:tcPr>
            <w:tcW w:w="6411" w:type="dxa"/>
          </w:tcPr>
          <w:p w:rsidR="00414F9F" w:rsidRPr="00414F9F" w:rsidRDefault="00414F9F" w:rsidP="008A7D80">
            <w:pPr>
              <w:tabs>
                <w:tab w:val="left" w:pos="1440"/>
              </w:tabs>
              <w:kinsoku/>
              <w:overflowPunct/>
              <w:autoSpaceDE/>
              <w:autoSpaceDN/>
              <w:adjustRightInd/>
              <w:spacing w:after="120"/>
              <w:rPr>
                <w:b w:val="0"/>
                <w:snapToGrid/>
                <w:sz w:val="24"/>
                <w:szCs w:val="24"/>
              </w:rPr>
            </w:pPr>
            <w:r w:rsidRPr="00414F9F">
              <w:rPr>
                <w:b w:val="0"/>
                <w:snapToGrid/>
                <w:sz w:val="24"/>
                <w:szCs w:val="24"/>
              </w:rPr>
              <w:t xml:space="preserve">V </w:t>
            </w:r>
            <w:r w:rsidR="008A7D80">
              <w:rPr>
                <w:b w:val="0"/>
                <w:snapToGrid/>
                <w:sz w:val="24"/>
                <w:szCs w:val="24"/>
              </w:rPr>
              <w:t>was</w:t>
            </w:r>
            <w:r w:rsidRPr="00414F9F">
              <w:rPr>
                <w:b w:val="0"/>
                <w:snapToGrid/>
                <w:sz w:val="24"/>
                <w:szCs w:val="24"/>
              </w:rPr>
              <w:t xml:space="preserve"> </w:t>
            </w:r>
            <w:r w:rsidR="008A7D80">
              <w:rPr>
                <w:b w:val="0"/>
                <w:snapToGrid/>
                <w:sz w:val="24"/>
                <w:szCs w:val="24"/>
              </w:rPr>
              <w:t>driving</w:t>
            </w:r>
            <w:r w:rsidRPr="00414F9F">
              <w:rPr>
                <w:b w:val="0"/>
                <w:snapToGrid/>
                <w:sz w:val="24"/>
                <w:szCs w:val="24"/>
              </w:rPr>
              <w:t xml:space="preserve"> forward, a</w:t>
            </w:r>
            <w:r w:rsidR="008A7D80">
              <w:rPr>
                <w:b w:val="0"/>
                <w:snapToGrid/>
                <w:sz w:val="24"/>
                <w:szCs w:val="24"/>
              </w:rPr>
              <w:t>s</w:t>
            </w:r>
            <w:r w:rsidRPr="00414F9F">
              <w:rPr>
                <w:b w:val="0"/>
                <w:snapToGrid/>
                <w:sz w:val="24"/>
                <w:szCs w:val="24"/>
              </w:rPr>
              <w:t xml:space="preserve"> the red overhead traffic lights at the </w:t>
            </w:r>
            <w:r w:rsidR="008A7D80">
              <w:rPr>
                <w:b w:val="0"/>
                <w:snapToGrid/>
                <w:sz w:val="24"/>
                <w:szCs w:val="24"/>
              </w:rPr>
              <w:t>p</w:t>
            </w:r>
            <w:r w:rsidRPr="00414F9F">
              <w:rPr>
                <w:b w:val="0"/>
                <w:snapToGrid/>
                <w:sz w:val="24"/>
                <w:szCs w:val="24"/>
              </w:rPr>
              <w:t xml:space="preserve">edestrian </w:t>
            </w:r>
            <w:r w:rsidR="008A7D80">
              <w:rPr>
                <w:b w:val="0"/>
                <w:snapToGrid/>
                <w:sz w:val="24"/>
                <w:szCs w:val="24"/>
              </w:rPr>
              <w:t>c</w:t>
            </w:r>
            <w:r w:rsidRPr="00414F9F">
              <w:rPr>
                <w:b w:val="0"/>
                <w:snapToGrid/>
                <w:sz w:val="24"/>
                <w:szCs w:val="24"/>
              </w:rPr>
              <w:t>rossing appeared in the footage.</w:t>
            </w:r>
          </w:p>
        </w:tc>
      </w:tr>
      <w:tr w:rsidR="00414F9F" w:rsidRPr="00414F9F" w:rsidTr="00D67B97">
        <w:tc>
          <w:tcPr>
            <w:tcW w:w="1885" w:type="dxa"/>
          </w:tcPr>
          <w:p w:rsidR="00414F9F" w:rsidRPr="00414F9F" w:rsidRDefault="00414F9F" w:rsidP="00414F9F">
            <w:pPr>
              <w:tabs>
                <w:tab w:val="left" w:pos="1440"/>
              </w:tabs>
              <w:kinsoku/>
              <w:overflowPunct/>
              <w:autoSpaceDE/>
              <w:autoSpaceDN/>
              <w:adjustRightInd/>
              <w:spacing w:after="120"/>
              <w:jc w:val="center"/>
              <w:rPr>
                <w:b w:val="0"/>
                <w:snapToGrid/>
                <w:sz w:val="24"/>
                <w:szCs w:val="24"/>
              </w:rPr>
            </w:pPr>
            <w:r w:rsidRPr="00414F9F">
              <w:rPr>
                <w:b w:val="0"/>
                <w:snapToGrid/>
                <w:sz w:val="24"/>
                <w:szCs w:val="24"/>
              </w:rPr>
              <w:t>7:48:22 am</w:t>
            </w:r>
          </w:p>
        </w:tc>
        <w:tc>
          <w:tcPr>
            <w:tcW w:w="6411" w:type="dxa"/>
          </w:tcPr>
          <w:p w:rsidR="00414F9F" w:rsidRPr="00414F9F" w:rsidRDefault="00414F9F" w:rsidP="00414F9F">
            <w:pPr>
              <w:tabs>
                <w:tab w:val="left" w:pos="1440"/>
              </w:tabs>
              <w:kinsoku/>
              <w:overflowPunct/>
              <w:autoSpaceDE/>
              <w:autoSpaceDN/>
              <w:adjustRightInd/>
              <w:spacing w:after="120"/>
              <w:rPr>
                <w:b w:val="0"/>
                <w:snapToGrid/>
                <w:sz w:val="24"/>
                <w:szCs w:val="24"/>
              </w:rPr>
            </w:pPr>
            <w:r w:rsidRPr="00414F9F">
              <w:rPr>
                <w:b w:val="0"/>
                <w:snapToGrid/>
                <w:sz w:val="24"/>
                <w:szCs w:val="24"/>
              </w:rPr>
              <w:t xml:space="preserve">V continued moving forward and the red traffic lights at the safety island also appeared in the </w:t>
            </w:r>
            <w:r w:rsidR="008A7D80">
              <w:rPr>
                <w:b w:val="0"/>
                <w:snapToGrid/>
                <w:sz w:val="24"/>
                <w:szCs w:val="24"/>
              </w:rPr>
              <w:t xml:space="preserve">video </w:t>
            </w:r>
            <w:r w:rsidRPr="00414F9F">
              <w:rPr>
                <w:b w:val="0"/>
                <w:snapToGrid/>
                <w:sz w:val="24"/>
                <w:szCs w:val="24"/>
              </w:rPr>
              <w:t>footage.</w:t>
            </w:r>
          </w:p>
        </w:tc>
      </w:tr>
      <w:tr w:rsidR="00414F9F" w:rsidRPr="00414F9F" w:rsidTr="00D67B97">
        <w:tc>
          <w:tcPr>
            <w:tcW w:w="1885" w:type="dxa"/>
          </w:tcPr>
          <w:p w:rsidR="00414F9F" w:rsidRPr="00414F9F" w:rsidRDefault="00C161D0" w:rsidP="00414F9F">
            <w:pPr>
              <w:tabs>
                <w:tab w:val="left" w:pos="1440"/>
              </w:tabs>
              <w:kinsoku/>
              <w:overflowPunct/>
              <w:autoSpaceDE/>
              <w:autoSpaceDN/>
              <w:adjustRightInd/>
              <w:spacing w:after="120"/>
              <w:jc w:val="center"/>
              <w:rPr>
                <w:b w:val="0"/>
                <w:snapToGrid/>
                <w:sz w:val="24"/>
                <w:szCs w:val="24"/>
              </w:rPr>
            </w:pPr>
            <w:r>
              <w:rPr>
                <w:b w:val="0"/>
                <w:snapToGrid/>
                <w:sz w:val="24"/>
                <w:szCs w:val="24"/>
              </w:rPr>
              <w:t>7:4</w:t>
            </w:r>
            <w:bookmarkStart w:id="0" w:name="_GoBack"/>
            <w:bookmarkEnd w:id="0"/>
            <w:r w:rsidR="00414F9F" w:rsidRPr="00414F9F">
              <w:rPr>
                <w:b w:val="0"/>
                <w:snapToGrid/>
                <w:sz w:val="24"/>
                <w:szCs w:val="24"/>
              </w:rPr>
              <w:t>8:24 am</w:t>
            </w:r>
          </w:p>
        </w:tc>
        <w:tc>
          <w:tcPr>
            <w:tcW w:w="6411" w:type="dxa"/>
          </w:tcPr>
          <w:p w:rsidR="00414F9F" w:rsidRPr="00414F9F" w:rsidRDefault="00414F9F" w:rsidP="008A7D80">
            <w:pPr>
              <w:tabs>
                <w:tab w:val="left" w:pos="1440"/>
              </w:tabs>
              <w:kinsoku/>
              <w:overflowPunct/>
              <w:autoSpaceDE/>
              <w:autoSpaceDN/>
              <w:adjustRightInd/>
              <w:spacing w:after="120"/>
              <w:rPr>
                <w:b w:val="0"/>
                <w:snapToGrid/>
                <w:sz w:val="24"/>
                <w:szCs w:val="24"/>
              </w:rPr>
            </w:pPr>
            <w:r w:rsidRPr="00414F9F">
              <w:rPr>
                <w:b w:val="0"/>
                <w:snapToGrid/>
                <w:sz w:val="24"/>
                <w:szCs w:val="24"/>
              </w:rPr>
              <w:t>The pedestrian</w:t>
            </w:r>
            <w:r w:rsidR="008A7D80">
              <w:rPr>
                <w:b w:val="0"/>
                <w:snapToGrid/>
                <w:sz w:val="24"/>
                <w:szCs w:val="24"/>
              </w:rPr>
              <w:t>s</w:t>
            </w:r>
            <w:r w:rsidRPr="00414F9F">
              <w:rPr>
                <w:b w:val="0"/>
                <w:snapToGrid/>
                <w:sz w:val="24"/>
                <w:szCs w:val="24"/>
              </w:rPr>
              <w:t xml:space="preserve"> on the safety island began to cross the road, and one of them stepped onto the </w:t>
            </w:r>
            <w:r w:rsidR="008A7D80">
              <w:rPr>
                <w:b w:val="0"/>
                <w:snapToGrid/>
                <w:sz w:val="24"/>
                <w:szCs w:val="24"/>
              </w:rPr>
              <w:t>p</w:t>
            </w:r>
            <w:r w:rsidRPr="00414F9F">
              <w:rPr>
                <w:b w:val="0"/>
                <w:snapToGrid/>
                <w:sz w:val="24"/>
                <w:szCs w:val="24"/>
              </w:rPr>
              <w:t xml:space="preserve">edestrian </w:t>
            </w:r>
            <w:r w:rsidR="008A7D80">
              <w:rPr>
                <w:b w:val="0"/>
                <w:snapToGrid/>
                <w:sz w:val="24"/>
                <w:szCs w:val="24"/>
              </w:rPr>
              <w:t>c</w:t>
            </w:r>
            <w:r w:rsidRPr="00414F9F">
              <w:rPr>
                <w:b w:val="0"/>
                <w:snapToGrid/>
                <w:sz w:val="24"/>
                <w:szCs w:val="24"/>
              </w:rPr>
              <w:t>rossing.</w:t>
            </w:r>
          </w:p>
        </w:tc>
      </w:tr>
      <w:tr w:rsidR="00414F9F" w:rsidRPr="00414F9F" w:rsidTr="00D67B97">
        <w:tc>
          <w:tcPr>
            <w:tcW w:w="1885" w:type="dxa"/>
          </w:tcPr>
          <w:p w:rsidR="00414F9F" w:rsidRPr="00414F9F" w:rsidRDefault="00414F9F" w:rsidP="00414F9F">
            <w:pPr>
              <w:tabs>
                <w:tab w:val="left" w:pos="1440"/>
              </w:tabs>
              <w:kinsoku/>
              <w:overflowPunct/>
              <w:autoSpaceDE/>
              <w:autoSpaceDN/>
              <w:adjustRightInd/>
              <w:spacing w:after="120"/>
              <w:jc w:val="center"/>
              <w:rPr>
                <w:b w:val="0"/>
                <w:snapToGrid/>
                <w:sz w:val="24"/>
                <w:szCs w:val="24"/>
              </w:rPr>
            </w:pPr>
            <w:r w:rsidRPr="00414F9F">
              <w:rPr>
                <w:b w:val="0"/>
                <w:snapToGrid/>
                <w:sz w:val="24"/>
                <w:szCs w:val="24"/>
              </w:rPr>
              <w:t>7:48:25 am</w:t>
            </w:r>
          </w:p>
        </w:tc>
        <w:tc>
          <w:tcPr>
            <w:tcW w:w="6411" w:type="dxa"/>
          </w:tcPr>
          <w:p w:rsidR="00414F9F" w:rsidRPr="00414F9F" w:rsidRDefault="00414F9F" w:rsidP="008A7D80">
            <w:pPr>
              <w:tabs>
                <w:tab w:val="left" w:pos="1440"/>
              </w:tabs>
              <w:kinsoku/>
              <w:overflowPunct/>
              <w:autoSpaceDE/>
              <w:autoSpaceDN/>
              <w:adjustRightInd/>
              <w:spacing w:after="120"/>
              <w:rPr>
                <w:b w:val="0"/>
                <w:snapToGrid/>
                <w:sz w:val="24"/>
                <w:szCs w:val="24"/>
              </w:rPr>
            </w:pPr>
            <w:r w:rsidRPr="00414F9F">
              <w:rPr>
                <w:b w:val="0"/>
                <w:snapToGrid/>
                <w:sz w:val="24"/>
                <w:szCs w:val="24"/>
              </w:rPr>
              <w:t>Three pedestrians were crossing the 3</w:t>
            </w:r>
            <w:r w:rsidRPr="00414F9F">
              <w:rPr>
                <w:b w:val="0"/>
                <w:snapToGrid/>
                <w:sz w:val="24"/>
                <w:szCs w:val="24"/>
                <w:vertAlign w:val="superscript"/>
              </w:rPr>
              <w:t>rd</w:t>
            </w:r>
            <w:r w:rsidRPr="00414F9F">
              <w:rPr>
                <w:b w:val="0"/>
                <w:snapToGrid/>
                <w:sz w:val="24"/>
                <w:szCs w:val="24"/>
              </w:rPr>
              <w:t xml:space="preserve"> lane of Gascoigne Road on the </w:t>
            </w:r>
            <w:r w:rsidR="008A7D80">
              <w:rPr>
                <w:b w:val="0"/>
                <w:snapToGrid/>
                <w:sz w:val="24"/>
                <w:szCs w:val="24"/>
              </w:rPr>
              <w:t>p</w:t>
            </w:r>
            <w:r w:rsidRPr="00414F9F">
              <w:rPr>
                <w:b w:val="0"/>
                <w:snapToGrid/>
                <w:sz w:val="24"/>
                <w:szCs w:val="24"/>
              </w:rPr>
              <w:t xml:space="preserve">edestrian </w:t>
            </w:r>
            <w:r w:rsidR="008A7D80">
              <w:rPr>
                <w:b w:val="0"/>
                <w:snapToGrid/>
                <w:sz w:val="24"/>
                <w:szCs w:val="24"/>
              </w:rPr>
              <w:t>c</w:t>
            </w:r>
            <w:r w:rsidRPr="00414F9F">
              <w:rPr>
                <w:b w:val="0"/>
                <w:snapToGrid/>
                <w:sz w:val="24"/>
                <w:szCs w:val="24"/>
              </w:rPr>
              <w:t xml:space="preserve">rossing, but V was still travelling forward without </w:t>
            </w:r>
            <w:r w:rsidR="008A7D80">
              <w:rPr>
                <w:b w:val="0"/>
                <w:snapToGrid/>
                <w:sz w:val="24"/>
                <w:szCs w:val="24"/>
              </w:rPr>
              <w:t>braking or slowing down</w:t>
            </w:r>
            <w:r w:rsidRPr="00414F9F">
              <w:rPr>
                <w:b w:val="0"/>
                <w:snapToGrid/>
                <w:sz w:val="24"/>
                <w:szCs w:val="24"/>
              </w:rPr>
              <w:t>.</w:t>
            </w:r>
          </w:p>
        </w:tc>
      </w:tr>
      <w:tr w:rsidR="00414F9F" w:rsidRPr="00414F9F" w:rsidTr="00D67B97">
        <w:tc>
          <w:tcPr>
            <w:tcW w:w="1885" w:type="dxa"/>
          </w:tcPr>
          <w:p w:rsidR="00414F9F" w:rsidRPr="00414F9F" w:rsidRDefault="00414F9F" w:rsidP="00414F9F">
            <w:pPr>
              <w:tabs>
                <w:tab w:val="left" w:pos="1440"/>
              </w:tabs>
              <w:kinsoku/>
              <w:overflowPunct/>
              <w:autoSpaceDE/>
              <w:autoSpaceDN/>
              <w:adjustRightInd/>
              <w:spacing w:after="120"/>
              <w:jc w:val="center"/>
              <w:rPr>
                <w:b w:val="0"/>
                <w:snapToGrid/>
                <w:sz w:val="24"/>
                <w:szCs w:val="24"/>
              </w:rPr>
            </w:pPr>
            <w:r w:rsidRPr="00414F9F">
              <w:rPr>
                <w:b w:val="0"/>
                <w:snapToGrid/>
                <w:sz w:val="24"/>
                <w:szCs w:val="24"/>
              </w:rPr>
              <w:t>7:48:26 am</w:t>
            </w:r>
          </w:p>
        </w:tc>
        <w:tc>
          <w:tcPr>
            <w:tcW w:w="6411" w:type="dxa"/>
          </w:tcPr>
          <w:p w:rsidR="00414F9F" w:rsidRPr="00414F9F" w:rsidRDefault="00414F9F" w:rsidP="00E03507">
            <w:pPr>
              <w:tabs>
                <w:tab w:val="left" w:pos="1440"/>
              </w:tabs>
              <w:kinsoku/>
              <w:overflowPunct/>
              <w:autoSpaceDE/>
              <w:autoSpaceDN/>
              <w:adjustRightInd/>
              <w:spacing w:after="120"/>
              <w:rPr>
                <w:b w:val="0"/>
                <w:snapToGrid/>
                <w:sz w:val="24"/>
                <w:szCs w:val="24"/>
              </w:rPr>
            </w:pPr>
            <w:r w:rsidRPr="00414F9F">
              <w:rPr>
                <w:b w:val="0"/>
                <w:snapToGrid/>
                <w:sz w:val="24"/>
                <w:szCs w:val="24"/>
              </w:rPr>
              <w:t>One of the pedestrian</w:t>
            </w:r>
            <w:r w:rsidR="008A7D80">
              <w:rPr>
                <w:b w:val="0"/>
                <w:snapToGrid/>
                <w:sz w:val="24"/>
                <w:szCs w:val="24"/>
              </w:rPr>
              <w:t>s</w:t>
            </w:r>
            <w:r w:rsidRPr="00414F9F">
              <w:rPr>
                <w:b w:val="0"/>
                <w:snapToGrid/>
                <w:sz w:val="24"/>
                <w:szCs w:val="24"/>
              </w:rPr>
              <w:t xml:space="preserve"> looked to her left, and then tried to step back immediately. </w:t>
            </w:r>
            <w:r w:rsidR="0070202F">
              <w:rPr>
                <w:b w:val="0"/>
                <w:snapToGrid/>
                <w:sz w:val="24"/>
                <w:szCs w:val="24"/>
              </w:rPr>
              <w:t>When the</w:t>
            </w:r>
            <w:r w:rsidRPr="00414F9F">
              <w:rPr>
                <w:b w:val="0"/>
                <w:snapToGrid/>
                <w:sz w:val="24"/>
                <w:szCs w:val="24"/>
              </w:rPr>
              <w:t xml:space="preserve"> front of V reached the white stop line </w:t>
            </w:r>
            <w:r w:rsidR="008A7D80">
              <w:rPr>
                <w:b w:val="0"/>
                <w:snapToGrid/>
                <w:sz w:val="24"/>
                <w:szCs w:val="24"/>
              </w:rPr>
              <w:t>at the p</w:t>
            </w:r>
            <w:r w:rsidRPr="00414F9F">
              <w:rPr>
                <w:b w:val="0"/>
                <w:snapToGrid/>
                <w:sz w:val="24"/>
                <w:szCs w:val="24"/>
              </w:rPr>
              <w:t>edestrian crossing, a tassel suspended in</w:t>
            </w:r>
            <w:r w:rsidR="008A7D80">
              <w:rPr>
                <w:b w:val="0"/>
                <w:snapToGrid/>
                <w:sz w:val="24"/>
                <w:szCs w:val="24"/>
              </w:rPr>
              <w:t>side</w:t>
            </w:r>
            <w:r w:rsidRPr="00414F9F">
              <w:rPr>
                <w:b w:val="0"/>
                <w:snapToGrid/>
                <w:sz w:val="24"/>
                <w:szCs w:val="24"/>
              </w:rPr>
              <w:t xml:space="preserve"> V </w:t>
            </w:r>
            <w:r w:rsidR="0070202F">
              <w:rPr>
                <w:b w:val="0"/>
                <w:snapToGrid/>
                <w:sz w:val="24"/>
                <w:szCs w:val="24"/>
              </w:rPr>
              <w:t>swung</w:t>
            </w:r>
            <w:r w:rsidRPr="00414F9F">
              <w:rPr>
                <w:b w:val="0"/>
                <w:snapToGrid/>
                <w:sz w:val="24"/>
                <w:szCs w:val="24"/>
              </w:rPr>
              <w:t xml:space="preserve"> forward</w:t>
            </w:r>
            <w:r w:rsidR="00921461">
              <w:rPr>
                <w:rStyle w:val="FootnoteReference"/>
                <w:b w:val="0"/>
                <w:snapToGrid/>
                <w:sz w:val="24"/>
                <w:szCs w:val="24"/>
              </w:rPr>
              <w:footnoteReference w:id="1"/>
            </w:r>
            <w:r w:rsidRPr="00414F9F">
              <w:rPr>
                <w:b w:val="0"/>
                <w:snapToGrid/>
                <w:sz w:val="24"/>
                <w:szCs w:val="24"/>
              </w:rPr>
              <w:t xml:space="preserve">. Immediately </w:t>
            </w:r>
            <w:r w:rsidR="008A7D80">
              <w:rPr>
                <w:b w:val="0"/>
                <w:snapToGrid/>
                <w:sz w:val="24"/>
                <w:szCs w:val="24"/>
              </w:rPr>
              <w:t>thereafter</w:t>
            </w:r>
            <w:r w:rsidRPr="00414F9F">
              <w:rPr>
                <w:b w:val="0"/>
                <w:snapToGrid/>
                <w:sz w:val="24"/>
                <w:szCs w:val="24"/>
              </w:rPr>
              <w:t xml:space="preserve">, V hit the pedestrians on the </w:t>
            </w:r>
            <w:r w:rsidR="008A7D80">
              <w:rPr>
                <w:b w:val="0"/>
                <w:snapToGrid/>
                <w:sz w:val="24"/>
                <w:szCs w:val="24"/>
              </w:rPr>
              <w:t>p</w:t>
            </w:r>
            <w:r w:rsidRPr="00414F9F">
              <w:rPr>
                <w:b w:val="0"/>
                <w:snapToGrid/>
                <w:sz w:val="24"/>
                <w:szCs w:val="24"/>
              </w:rPr>
              <w:t xml:space="preserve">edestrian </w:t>
            </w:r>
            <w:r w:rsidR="008A7D80">
              <w:rPr>
                <w:b w:val="0"/>
                <w:snapToGrid/>
                <w:sz w:val="24"/>
                <w:szCs w:val="24"/>
              </w:rPr>
              <w:t>c</w:t>
            </w:r>
            <w:r w:rsidRPr="00414F9F">
              <w:rPr>
                <w:b w:val="0"/>
                <w:snapToGrid/>
                <w:sz w:val="24"/>
                <w:szCs w:val="24"/>
              </w:rPr>
              <w:t>rossing</w:t>
            </w:r>
          </w:p>
        </w:tc>
      </w:tr>
      <w:tr w:rsidR="00414F9F" w:rsidRPr="00414F9F" w:rsidTr="00D67B97">
        <w:tc>
          <w:tcPr>
            <w:tcW w:w="1885" w:type="dxa"/>
          </w:tcPr>
          <w:p w:rsidR="00414F9F" w:rsidRPr="00414F9F" w:rsidRDefault="00414F9F" w:rsidP="00414F9F">
            <w:pPr>
              <w:tabs>
                <w:tab w:val="left" w:pos="1440"/>
              </w:tabs>
              <w:kinsoku/>
              <w:overflowPunct/>
              <w:autoSpaceDE/>
              <w:autoSpaceDN/>
              <w:adjustRightInd/>
              <w:spacing w:after="120"/>
              <w:jc w:val="center"/>
              <w:rPr>
                <w:b w:val="0"/>
                <w:snapToGrid/>
                <w:sz w:val="24"/>
                <w:szCs w:val="24"/>
              </w:rPr>
            </w:pPr>
            <w:r w:rsidRPr="00414F9F">
              <w:rPr>
                <w:b w:val="0"/>
                <w:snapToGrid/>
                <w:sz w:val="24"/>
                <w:szCs w:val="24"/>
              </w:rPr>
              <w:t>7:48:27 am</w:t>
            </w:r>
          </w:p>
        </w:tc>
        <w:tc>
          <w:tcPr>
            <w:tcW w:w="6411" w:type="dxa"/>
          </w:tcPr>
          <w:p w:rsidR="00414F9F" w:rsidRPr="00414F9F" w:rsidRDefault="00414F9F" w:rsidP="00414F9F">
            <w:pPr>
              <w:tabs>
                <w:tab w:val="left" w:pos="1440"/>
              </w:tabs>
              <w:kinsoku/>
              <w:overflowPunct/>
              <w:autoSpaceDE/>
              <w:autoSpaceDN/>
              <w:adjustRightInd/>
              <w:spacing w:after="120"/>
              <w:rPr>
                <w:b w:val="0"/>
                <w:snapToGrid/>
                <w:sz w:val="24"/>
                <w:szCs w:val="24"/>
              </w:rPr>
            </w:pPr>
            <w:r w:rsidRPr="00414F9F">
              <w:rPr>
                <w:b w:val="0"/>
                <w:snapToGrid/>
                <w:sz w:val="24"/>
                <w:szCs w:val="24"/>
              </w:rPr>
              <w:t>V came to its final stopping position.</w:t>
            </w:r>
          </w:p>
        </w:tc>
      </w:tr>
    </w:tbl>
    <w:p w:rsidR="00321E00" w:rsidRDefault="00414F9F" w:rsidP="00321E00">
      <w:pPr>
        <w:pStyle w:val="j-heading"/>
        <w:rPr>
          <w:snapToGrid/>
          <w:lang w:eastAsia="zh-TW"/>
        </w:rPr>
      </w:pPr>
      <w:r w:rsidRPr="00414F9F">
        <w:rPr>
          <w:snapToGrid/>
          <w:lang w:eastAsia="zh-TW"/>
        </w:rPr>
        <w:t>Medical condition of PW1</w:t>
      </w:r>
      <w:r w:rsidR="00321E00">
        <w:rPr>
          <w:snapToGrid/>
          <w:lang w:eastAsia="zh-TW"/>
        </w:rPr>
        <w:t>, PW2 and PW3</w:t>
      </w:r>
    </w:p>
    <w:p w:rsidR="00414F9F" w:rsidRPr="00414F9F" w:rsidRDefault="00414F9F" w:rsidP="00321E00">
      <w:pPr>
        <w:pStyle w:val="T-Draft"/>
        <w:rPr>
          <w:lang w:eastAsia="zh-TW"/>
        </w:rPr>
      </w:pPr>
      <w:r w:rsidRPr="00414F9F">
        <w:rPr>
          <w:lang w:eastAsia="zh-TW"/>
        </w:rPr>
        <w:t xml:space="preserve">Upon medical examination, following her admission to hospital, PW1 was found to have sustained an abrasion over her forehead. </w:t>
      </w:r>
      <w:r w:rsidR="008D4853">
        <w:rPr>
          <w:lang w:eastAsia="zh-TW"/>
        </w:rPr>
        <w:t xml:space="preserve"> </w:t>
      </w:r>
      <w:r w:rsidRPr="00414F9F">
        <w:rPr>
          <w:lang w:eastAsia="zh-TW"/>
        </w:rPr>
        <w:t>A</w:t>
      </w:r>
      <w:r w:rsidR="008A7D80">
        <w:rPr>
          <w:lang w:eastAsia="zh-TW"/>
        </w:rPr>
        <w:t>n immediate</w:t>
      </w:r>
      <w:r w:rsidRPr="00414F9F">
        <w:rPr>
          <w:lang w:eastAsia="zh-TW"/>
        </w:rPr>
        <w:t xml:space="preserve"> CT scan revealed that she had suffered a traumatic subarachnoid haemorrhage and small subdural hematoma, a</w:t>
      </w:r>
      <w:r w:rsidR="00A809AB">
        <w:rPr>
          <w:lang w:eastAsia="zh-TW"/>
        </w:rPr>
        <w:t>s well as</w:t>
      </w:r>
      <w:r w:rsidRPr="00414F9F">
        <w:rPr>
          <w:lang w:eastAsia="zh-TW"/>
        </w:rPr>
        <w:t xml:space="preserve"> a fracture to her left superior pubic ramus and left sacrum. </w:t>
      </w:r>
      <w:r w:rsidR="008D4853">
        <w:rPr>
          <w:lang w:eastAsia="zh-TW"/>
        </w:rPr>
        <w:t xml:space="preserve"> </w:t>
      </w:r>
      <w:r w:rsidRPr="00414F9F">
        <w:rPr>
          <w:lang w:eastAsia="zh-TW"/>
        </w:rPr>
        <w:t xml:space="preserve">Her condition deteriorated </w:t>
      </w:r>
      <w:r w:rsidR="00A809AB">
        <w:rPr>
          <w:lang w:eastAsia="zh-TW"/>
        </w:rPr>
        <w:t>throughout the day,</w:t>
      </w:r>
      <w:r w:rsidRPr="00414F9F">
        <w:rPr>
          <w:lang w:eastAsia="zh-TW"/>
        </w:rPr>
        <w:t xml:space="preserve"> as a result of which a further CT scan was performed</w:t>
      </w:r>
      <w:r w:rsidR="00A809AB">
        <w:rPr>
          <w:lang w:eastAsia="zh-TW"/>
        </w:rPr>
        <w:t xml:space="preserve"> upon her</w:t>
      </w:r>
      <w:r w:rsidRPr="00414F9F">
        <w:rPr>
          <w:lang w:eastAsia="zh-TW"/>
        </w:rPr>
        <w:t xml:space="preserve">. </w:t>
      </w:r>
      <w:r w:rsidR="008D4853">
        <w:rPr>
          <w:lang w:eastAsia="zh-TW"/>
        </w:rPr>
        <w:t xml:space="preserve"> </w:t>
      </w:r>
      <w:r w:rsidRPr="00414F9F">
        <w:rPr>
          <w:lang w:eastAsia="zh-TW"/>
        </w:rPr>
        <w:t xml:space="preserve">A craniotomy with clot evacuation was then </w:t>
      </w:r>
      <w:r w:rsidRPr="00414F9F">
        <w:rPr>
          <w:lang w:eastAsia="zh-TW"/>
        </w:rPr>
        <w:lastRenderedPageBreak/>
        <w:t xml:space="preserve">performed. </w:t>
      </w:r>
      <w:r w:rsidR="008D4853">
        <w:rPr>
          <w:lang w:eastAsia="zh-TW"/>
        </w:rPr>
        <w:t xml:space="preserve"> </w:t>
      </w:r>
      <w:r w:rsidRPr="00414F9F">
        <w:rPr>
          <w:lang w:eastAsia="zh-TW"/>
        </w:rPr>
        <w:t>Post-operatively, PW1 developed persistently high intra</w:t>
      </w:r>
      <w:r w:rsidR="003E6719">
        <w:rPr>
          <w:lang w:eastAsia="zh-TW"/>
        </w:rPr>
        <w:noBreakHyphen/>
      </w:r>
      <w:r w:rsidRPr="00414F9F">
        <w:rPr>
          <w:lang w:eastAsia="zh-TW"/>
        </w:rPr>
        <w:t>cranial pressure, which led to a further crani</w:t>
      </w:r>
      <w:r w:rsidR="0070202F">
        <w:rPr>
          <w:lang w:eastAsia="zh-TW"/>
        </w:rPr>
        <w:t>o</w:t>
      </w:r>
      <w:r w:rsidRPr="00414F9F">
        <w:rPr>
          <w:lang w:eastAsia="zh-TW"/>
        </w:rPr>
        <w:t>tomy and</w:t>
      </w:r>
      <w:r w:rsidR="00A809AB">
        <w:rPr>
          <w:lang w:eastAsia="zh-TW"/>
        </w:rPr>
        <w:t xml:space="preserve"> an</w:t>
      </w:r>
      <w:r w:rsidRPr="00414F9F">
        <w:rPr>
          <w:lang w:eastAsia="zh-TW"/>
        </w:rPr>
        <w:t xml:space="preserve"> </w:t>
      </w:r>
      <w:proofErr w:type="spellStart"/>
      <w:r w:rsidRPr="00414F9F">
        <w:rPr>
          <w:lang w:eastAsia="zh-TW"/>
        </w:rPr>
        <w:t>infarctectomy</w:t>
      </w:r>
      <w:proofErr w:type="spellEnd"/>
      <w:r w:rsidRPr="00414F9F">
        <w:rPr>
          <w:lang w:eastAsia="zh-TW"/>
        </w:rPr>
        <w:t xml:space="preserve"> being performed. </w:t>
      </w:r>
      <w:r w:rsidR="008D4853">
        <w:rPr>
          <w:lang w:eastAsia="zh-TW"/>
        </w:rPr>
        <w:t xml:space="preserve"> </w:t>
      </w:r>
      <w:r w:rsidRPr="00414F9F">
        <w:rPr>
          <w:lang w:eastAsia="zh-TW"/>
        </w:rPr>
        <w:t xml:space="preserve">She was subsequently discharged from hospital on 7 </w:t>
      </w:r>
      <w:r w:rsidR="00C8138E">
        <w:rPr>
          <w:lang w:eastAsia="zh-TW"/>
        </w:rPr>
        <w:t>‍</w:t>
      </w:r>
      <w:r w:rsidRPr="00414F9F">
        <w:rPr>
          <w:lang w:eastAsia="zh-TW"/>
        </w:rPr>
        <w:t xml:space="preserve">December 2017. </w:t>
      </w:r>
      <w:r w:rsidR="008D4853">
        <w:rPr>
          <w:lang w:eastAsia="zh-TW"/>
        </w:rPr>
        <w:t xml:space="preserve"> </w:t>
      </w:r>
      <w:r w:rsidRPr="00414F9F">
        <w:rPr>
          <w:lang w:eastAsia="zh-TW"/>
        </w:rPr>
        <w:t>A follow</w:t>
      </w:r>
      <w:r w:rsidR="008D4853">
        <w:rPr>
          <w:lang w:eastAsia="zh-TW"/>
        </w:rPr>
        <w:noBreakHyphen/>
      </w:r>
      <w:r w:rsidRPr="00414F9F">
        <w:rPr>
          <w:lang w:eastAsia="zh-TW"/>
        </w:rPr>
        <w:t xml:space="preserve">up on 3 January 2018 revealed she had residual dysphasia and </w:t>
      </w:r>
      <w:proofErr w:type="spellStart"/>
      <w:r w:rsidRPr="00414F9F">
        <w:rPr>
          <w:lang w:eastAsia="zh-TW"/>
        </w:rPr>
        <w:t>acalculia</w:t>
      </w:r>
      <w:proofErr w:type="spellEnd"/>
      <w:r w:rsidR="00A809AB">
        <w:rPr>
          <w:lang w:eastAsia="zh-TW"/>
        </w:rPr>
        <w:t xml:space="preserve"> (</w:t>
      </w:r>
      <w:r w:rsidR="00E34859">
        <w:rPr>
          <w:lang w:eastAsia="zh-TW"/>
        </w:rPr>
        <w:t xml:space="preserve">the </w:t>
      </w:r>
      <w:r w:rsidR="00A809AB">
        <w:rPr>
          <w:lang w:eastAsia="zh-TW"/>
        </w:rPr>
        <w:t>impairment of mathematical skills)</w:t>
      </w:r>
      <w:r w:rsidRPr="00414F9F">
        <w:rPr>
          <w:lang w:eastAsia="zh-TW"/>
        </w:rPr>
        <w:t>.</w:t>
      </w:r>
    </w:p>
    <w:p w:rsidR="00414F9F" w:rsidRPr="00414F9F" w:rsidRDefault="00414F9F" w:rsidP="00414F9F">
      <w:pPr>
        <w:pStyle w:val="T-Draft"/>
        <w:rPr>
          <w:rFonts w:eastAsia="PMingLiU"/>
          <w:lang w:eastAsia="zh-TW"/>
        </w:rPr>
      </w:pPr>
      <w:r w:rsidRPr="00414F9F">
        <w:rPr>
          <w:rFonts w:eastAsia="PMingLiU"/>
          <w:lang w:eastAsia="zh-TW"/>
        </w:rPr>
        <w:t xml:space="preserve">In a subsequent interview, PW1 stated, </w:t>
      </w:r>
      <w:r w:rsidRPr="008D4853">
        <w:rPr>
          <w:rFonts w:eastAsia="PMingLiU"/>
          <w:i/>
          <w:lang w:eastAsia="zh-TW"/>
        </w:rPr>
        <w:t>inter alia</w:t>
      </w:r>
      <w:r w:rsidRPr="00414F9F">
        <w:rPr>
          <w:rFonts w:eastAsia="PMingLiU"/>
          <w:lang w:eastAsia="zh-TW"/>
        </w:rPr>
        <w:t xml:space="preserve">, that she </w:t>
      </w:r>
      <w:r w:rsidR="00E34859">
        <w:rPr>
          <w:rFonts w:eastAsia="PMingLiU"/>
          <w:lang w:eastAsia="zh-TW"/>
        </w:rPr>
        <w:t>was continuing</w:t>
      </w:r>
      <w:r w:rsidR="00A809AB">
        <w:rPr>
          <w:rFonts w:eastAsia="PMingLiU"/>
          <w:lang w:eastAsia="zh-TW"/>
        </w:rPr>
        <w:t xml:space="preserve"> to suffer</w:t>
      </w:r>
      <w:r w:rsidRPr="00414F9F">
        <w:rPr>
          <w:rFonts w:eastAsia="PMingLiU"/>
          <w:lang w:eastAsia="zh-TW"/>
        </w:rPr>
        <w:t xml:space="preserve"> from aphasia, right body paralysis, movement difficulties, and mild cognitive impairment. </w:t>
      </w:r>
      <w:r w:rsidR="008D4853">
        <w:rPr>
          <w:rFonts w:eastAsia="PMingLiU"/>
          <w:lang w:eastAsia="zh-TW"/>
        </w:rPr>
        <w:t xml:space="preserve"> </w:t>
      </w:r>
      <w:r w:rsidRPr="00414F9F">
        <w:rPr>
          <w:rFonts w:eastAsia="PMingLiU"/>
          <w:lang w:eastAsia="zh-TW"/>
        </w:rPr>
        <w:t>As a result, she</w:t>
      </w:r>
      <w:r w:rsidR="00A809AB">
        <w:rPr>
          <w:rFonts w:eastAsia="PMingLiU"/>
          <w:lang w:eastAsia="zh-TW"/>
        </w:rPr>
        <w:t xml:space="preserve"> required</w:t>
      </w:r>
      <w:r w:rsidRPr="00414F9F">
        <w:rPr>
          <w:rFonts w:eastAsia="PMingLiU"/>
          <w:lang w:eastAsia="zh-TW"/>
        </w:rPr>
        <w:t xml:space="preserve"> a care</w:t>
      </w:r>
      <w:r w:rsidR="00A809AB">
        <w:rPr>
          <w:rFonts w:eastAsia="PMingLiU"/>
          <w:lang w:eastAsia="zh-TW"/>
        </w:rPr>
        <w:t xml:space="preserve"> </w:t>
      </w:r>
      <w:r w:rsidRPr="00414F9F">
        <w:rPr>
          <w:rFonts w:eastAsia="PMingLiU"/>
          <w:lang w:eastAsia="zh-TW"/>
        </w:rPr>
        <w:t xml:space="preserve">giver to assist with </w:t>
      </w:r>
      <w:r w:rsidR="00150975">
        <w:rPr>
          <w:rFonts w:eastAsia="PMingLiU"/>
          <w:lang w:eastAsia="zh-TW"/>
        </w:rPr>
        <w:t xml:space="preserve">her </w:t>
      </w:r>
      <w:r w:rsidRPr="00414F9F">
        <w:rPr>
          <w:rFonts w:eastAsia="PMingLiU"/>
          <w:lang w:eastAsia="zh-TW"/>
        </w:rPr>
        <w:t>daily activities.</w:t>
      </w:r>
    </w:p>
    <w:p w:rsidR="00414F9F" w:rsidRPr="00414F9F" w:rsidRDefault="00414F9F" w:rsidP="00414F9F">
      <w:pPr>
        <w:pStyle w:val="T-Draft"/>
        <w:rPr>
          <w:rFonts w:eastAsia="PMingLiU"/>
          <w:lang w:eastAsia="zh-TW"/>
        </w:rPr>
      </w:pPr>
      <w:r w:rsidRPr="00414F9F">
        <w:rPr>
          <w:rFonts w:eastAsia="PMingLiU"/>
          <w:lang w:eastAsia="zh-TW"/>
        </w:rPr>
        <w:t xml:space="preserve">PW2 attended the hospital at 1:35 pm on 3 November 2017. </w:t>
      </w:r>
      <w:r w:rsidR="008D4853">
        <w:rPr>
          <w:rFonts w:eastAsia="PMingLiU"/>
          <w:lang w:eastAsia="zh-TW"/>
        </w:rPr>
        <w:t xml:space="preserve"> </w:t>
      </w:r>
      <w:r w:rsidRPr="00414F9F">
        <w:rPr>
          <w:rFonts w:eastAsia="PMingLiU"/>
          <w:lang w:eastAsia="zh-TW"/>
        </w:rPr>
        <w:t xml:space="preserve">Medical examination revealed </w:t>
      </w:r>
      <w:r w:rsidR="00A809AB">
        <w:rPr>
          <w:rFonts w:eastAsia="PMingLiU"/>
          <w:lang w:eastAsia="zh-TW"/>
        </w:rPr>
        <w:t>that she was suffering from</w:t>
      </w:r>
      <w:r w:rsidRPr="00414F9F">
        <w:rPr>
          <w:rFonts w:eastAsia="PMingLiU"/>
          <w:lang w:eastAsia="zh-TW"/>
        </w:rPr>
        <w:t xml:space="preserve"> epigastric tenderness, and right upper quadrant bruises. </w:t>
      </w:r>
      <w:r w:rsidR="008D4853">
        <w:rPr>
          <w:rFonts w:eastAsia="PMingLiU"/>
          <w:lang w:eastAsia="zh-TW"/>
        </w:rPr>
        <w:t xml:space="preserve"> </w:t>
      </w:r>
      <w:r w:rsidRPr="00414F9F">
        <w:rPr>
          <w:rFonts w:eastAsia="PMingLiU"/>
          <w:lang w:eastAsia="zh-TW"/>
        </w:rPr>
        <w:t xml:space="preserve">She was diagnosed with road accident trauma with splenic laceration. </w:t>
      </w:r>
      <w:r w:rsidR="008D4853">
        <w:rPr>
          <w:rFonts w:eastAsia="PMingLiU"/>
          <w:lang w:eastAsia="zh-TW"/>
        </w:rPr>
        <w:t xml:space="preserve"> </w:t>
      </w:r>
      <w:r w:rsidRPr="00414F9F">
        <w:rPr>
          <w:rFonts w:eastAsia="PMingLiU"/>
          <w:lang w:eastAsia="zh-TW"/>
        </w:rPr>
        <w:t>She was discharged from hospital on 11 November and recommended for 26 days’ sick leave from 3 to 29 November 2017.</w:t>
      </w:r>
    </w:p>
    <w:p w:rsidR="00414F9F" w:rsidRPr="00414F9F" w:rsidRDefault="00414F9F" w:rsidP="00414F9F">
      <w:pPr>
        <w:pStyle w:val="T-Draft"/>
        <w:rPr>
          <w:rFonts w:eastAsia="PMingLiU"/>
          <w:lang w:eastAsia="zh-TW"/>
        </w:rPr>
      </w:pPr>
      <w:r w:rsidRPr="00414F9F">
        <w:rPr>
          <w:rFonts w:eastAsia="PMingLiU"/>
          <w:lang w:eastAsia="zh-TW"/>
        </w:rPr>
        <w:t>PW3 was conveyed to the hospital immediately after the accident and given 7 days’ sick leave</w:t>
      </w:r>
      <w:r w:rsidR="00321E00">
        <w:rPr>
          <w:rStyle w:val="FootnoteReference"/>
          <w:rFonts w:eastAsia="PMingLiU"/>
          <w:lang w:eastAsia="zh-TW"/>
        </w:rPr>
        <w:footnoteReference w:id="2"/>
      </w:r>
      <w:r w:rsidRPr="00414F9F">
        <w:rPr>
          <w:rFonts w:eastAsia="PMingLiU"/>
          <w:lang w:eastAsia="zh-TW"/>
        </w:rPr>
        <w:t>.</w:t>
      </w:r>
    </w:p>
    <w:p w:rsidR="00414F9F" w:rsidRPr="00414F9F" w:rsidRDefault="00414F9F" w:rsidP="00414F9F">
      <w:pPr>
        <w:pStyle w:val="j-heading"/>
        <w:rPr>
          <w:lang w:eastAsia="zh-TW"/>
        </w:rPr>
      </w:pPr>
      <w:r w:rsidRPr="00414F9F">
        <w:rPr>
          <w:lang w:eastAsia="zh-TW"/>
        </w:rPr>
        <w:t>Expert evidence</w:t>
      </w:r>
    </w:p>
    <w:p w:rsidR="00414F9F" w:rsidRPr="00414F9F" w:rsidRDefault="00414F9F" w:rsidP="00414F9F">
      <w:pPr>
        <w:pStyle w:val="T-Draft"/>
        <w:rPr>
          <w:rFonts w:eastAsia="PMingLiU"/>
          <w:lang w:eastAsia="zh-TW"/>
        </w:rPr>
      </w:pPr>
      <w:r w:rsidRPr="00414F9F">
        <w:rPr>
          <w:rFonts w:eastAsia="PMingLiU"/>
          <w:lang w:eastAsia="zh-TW"/>
        </w:rPr>
        <w:t xml:space="preserve">According to the expert evidence of a forensic scientist who examined the </w:t>
      </w:r>
      <w:r w:rsidR="00A809AB">
        <w:rPr>
          <w:rFonts w:eastAsia="PMingLiU"/>
          <w:lang w:eastAsia="zh-TW"/>
        </w:rPr>
        <w:t>camera of the respondent’s vehicle</w:t>
      </w:r>
      <w:r w:rsidRPr="00414F9F">
        <w:rPr>
          <w:rFonts w:eastAsia="PMingLiU"/>
          <w:lang w:eastAsia="zh-TW"/>
        </w:rPr>
        <w:t xml:space="preserve">, the speed of the vehicle was 52 </w:t>
      </w:r>
      <w:proofErr w:type="spellStart"/>
      <w:r w:rsidRPr="00414F9F">
        <w:rPr>
          <w:rFonts w:eastAsia="PMingLiU"/>
          <w:lang w:eastAsia="zh-TW"/>
        </w:rPr>
        <w:t>kph</w:t>
      </w:r>
      <w:proofErr w:type="spellEnd"/>
      <w:r w:rsidR="00E34859">
        <w:rPr>
          <w:rFonts w:eastAsia="PMingLiU"/>
          <w:lang w:eastAsia="zh-TW"/>
        </w:rPr>
        <w:t>,</w:t>
      </w:r>
      <w:r w:rsidRPr="00414F9F">
        <w:rPr>
          <w:rFonts w:eastAsia="PMingLiU"/>
          <w:lang w:eastAsia="zh-TW"/>
        </w:rPr>
        <w:t xml:space="preserve"> + or – 5 </w:t>
      </w:r>
      <w:proofErr w:type="spellStart"/>
      <w:r w:rsidRPr="00414F9F">
        <w:rPr>
          <w:rFonts w:eastAsia="PMingLiU"/>
          <w:lang w:eastAsia="zh-TW"/>
        </w:rPr>
        <w:t>kph</w:t>
      </w:r>
      <w:proofErr w:type="spellEnd"/>
      <w:r w:rsidR="00E34859">
        <w:rPr>
          <w:rFonts w:eastAsia="PMingLiU"/>
          <w:lang w:eastAsia="zh-TW"/>
        </w:rPr>
        <w:t>,</w:t>
      </w:r>
      <w:r w:rsidRPr="00414F9F">
        <w:rPr>
          <w:rFonts w:eastAsia="PMingLiU"/>
          <w:lang w:eastAsia="zh-TW"/>
        </w:rPr>
        <w:t xml:space="preserve"> at a</w:t>
      </w:r>
      <w:r w:rsidR="00A809AB">
        <w:rPr>
          <w:rFonts w:eastAsia="PMingLiU"/>
          <w:lang w:eastAsia="zh-TW"/>
        </w:rPr>
        <w:t>bout</w:t>
      </w:r>
      <w:r w:rsidRPr="00414F9F">
        <w:rPr>
          <w:rFonts w:eastAsia="PMingLiU"/>
          <w:lang w:eastAsia="zh-TW"/>
        </w:rPr>
        <w:t xml:space="preserve"> 0.97 </w:t>
      </w:r>
      <w:r w:rsidR="00A809AB">
        <w:rPr>
          <w:rFonts w:eastAsia="PMingLiU"/>
          <w:lang w:eastAsia="zh-TW"/>
        </w:rPr>
        <w:t xml:space="preserve">of a second </w:t>
      </w:r>
      <w:r w:rsidRPr="00414F9F">
        <w:rPr>
          <w:rFonts w:eastAsia="PMingLiU"/>
          <w:lang w:eastAsia="zh-TW"/>
        </w:rPr>
        <w:t xml:space="preserve">before impact. </w:t>
      </w:r>
      <w:r w:rsidR="008D4853">
        <w:rPr>
          <w:rFonts w:eastAsia="PMingLiU"/>
          <w:lang w:eastAsia="zh-TW"/>
        </w:rPr>
        <w:t xml:space="preserve"> </w:t>
      </w:r>
      <w:r w:rsidRPr="00414F9F">
        <w:rPr>
          <w:rFonts w:eastAsia="PMingLiU"/>
          <w:lang w:eastAsia="zh-TW"/>
        </w:rPr>
        <w:t xml:space="preserve">Further, the vehicle </w:t>
      </w:r>
      <w:r w:rsidR="00321E00">
        <w:rPr>
          <w:rFonts w:eastAsia="PMingLiU"/>
          <w:lang w:eastAsia="zh-TW"/>
        </w:rPr>
        <w:t>had its brakes applied</w:t>
      </w:r>
      <w:r w:rsidR="00E34859">
        <w:rPr>
          <w:rFonts w:eastAsia="PMingLiU"/>
          <w:lang w:eastAsia="zh-TW"/>
        </w:rPr>
        <w:t xml:space="preserve"> from the time</w:t>
      </w:r>
      <w:r w:rsidR="00A809AB">
        <w:rPr>
          <w:rFonts w:eastAsia="PMingLiU"/>
          <w:lang w:eastAsia="zh-TW"/>
        </w:rPr>
        <w:t xml:space="preserve"> the tassel fell forward at </w:t>
      </w:r>
      <w:r w:rsidRPr="00414F9F">
        <w:rPr>
          <w:rFonts w:eastAsia="PMingLiU"/>
          <w:lang w:eastAsia="zh-TW"/>
        </w:rPr>
        <w:lastRenderedPageBreak/>
        <w:t>7:48:26 am</w:t>
      </w:r>
      <w:r w:rsidR="007D0504">
        <w:rPr>
          <w:rFonts w:eastAsia="PMingLiU"/>
          <w:lang w:eastAsia="zh-TW"/>
        </w:rPr>
        <w:t>, which was when the vehicle had reached the white stop line of the pedestrian crossing</w:t>
      </w:r>
      <w:r w:rsidRPr="00414F9F">
        <w:rPr>
          <w:rFonts w:eastAsia="PMingLiU"/>
          <w:lang w:eastAsia="zh-TW"/>
        </w:rPr>
        <w:t>.</w:t>
      </w:r>
    </w:p>
    <w:p w:rsidR="00414F9F" w:rsidRPr="00414F9F" w:rsidRDefault="00414F9F" w:rsidP="00414F9F">
      <w:pPr>
        <w:pStyle w:val="T-Draft"/>
        <w:rPr>
          <w:rFonts w:eastAsia="PMingLiU"/>
          <w:lang w:eastAsia="zh-TW"/>
        </w:rPr>
      </w:pPr>
      <w:r w:rsidRPr="00414F9F">
        <w:rPr>
          <w:rFonts w:eastAsia="PMingLiU"/>
          <w:lang w:eastAsia="zh-TW"/>
        </w:rPr>
        <w:t xml:space="preserve">Physical examination of the vehicle by a motor vehicle examiner confirmed that </w:t>
      </w:r>
      <w:r w:rsidR="00A809AB">
        <w:rPr>
          <w:rFonts w:eastAsia="PMingLiU"/>
          <w:lang w:eastAsia="zh-TW"/>
        </w:rPr>
        <w:t>it had</w:t>
      </w:r>
      <w:r w:rsidRPr="00414F9F">
        <w:rPr>
          <w:rFonts w:eastAsia="PMingLiU"/>
          <w:lang w:eastAsia="zh-TW"/>
        </w:rPr>
        <w:t xml:space="preserve"> no mechanical defect</w:t>
      </w:r>
      <w:r w:rsidR="00E34859">
        <w:rPr>
          <w:rFonts w:eastAsia="PMingLiU"/>
          <w:lang w:eastAsia="zh-TW"/>
        </w:rPr>
        <w:t>s</w:t>
      </w:r>
      <w:r w:rsidRPr="00414F9F">
        <w:rPr>
          <w:rFonts w:eastAsia="PMingLiU"/>
          <w:lang w:eastAsia="zh-TW"/>
        </w:rPr>
        <w:t>.</w:t>
      </w:r>
      <w:r w:rsidR="008D4853">
        <w:rPr>
          <w:rFonts w:eastAsia="PMingLiU"/>
          <w:lang w:eastAsia="zh-TW"/>
        </w:rPr>
        <w:t xml:space="preserve"> </w:t>
      </w:r>
      <w:r w:rsidRPr="00414F9F">
        <w:rPr>
          <w:rFonts w:eastAsia="PMingLiU"/>
          <w:lang w:eastAsia="zh-TW"/>
        </w:rPr>
        <w:t xml:space="preserve"> However, the vehicle </w:t>
      </w:r>
      <w:r w:rsidR="003E0626">
        <w:rPr>
          <w:rFonts w:eastAsia="PMingLiU"/>
          <w:lang w:eastAsia="zh-TW"/>
        </w:rPr>
        <w:t xml:space="preserve">had </w:t>
      </w:r>
      <w:r w:rsidRPr="00414F9F">
        <w:rPr>
          <w:rFonts w:eastAsia="PMingLiU"/>
          <w:lang w:eastAsia="zh-TW"/>
        </w:rPr>
        <w:t xml:space="preserve">sustained damage to its front offside bodywork, </w:t>
      </w:r>
      <w:r w:rsidR="00A809AB">
        <w:rPr>
          <w:rFonts w:eastAsia="PMingLiU"/>
          <w:lang w:eastAsia="zh-TW"/>
        </w:rPr>
        <w:t>its</w:t>
      </w:r>
      <w:r w:rsidRPr="00414F9F">
        <w:rPr>
          <w:rFonts w:eastAsia="PMingLiU"/>
          <w:lang w:eastAsia="zh-TW"/>
        </w:rPr>
        <w:t xml:space="preserve"> windscreen and </w:t>
      </w:r>
      <w:r w:rsidR="00A809AB">
        <w:rPr>
          <w:rFonts w:eastAsia="PMingLiU"/>
          <w:lang w:eastAsia="zh-TW"/>
        </w:rPr>
        <w:t xml:space="preserve">its </w:t>
      </w:r>
      <w:r w:rsidRPr="00414F9F">
        <w:rPr>
          <w:rFonts w:eastAsia="PMingLiU"/>
          <w:lang w:eastAsia="zh-TW"/>
        </w:rPr>
        <w:t>right rear</w:t>
      </w:r>
      <w:r w:rsidR="0070202F">
        <w:rPr>
          <w:rFonts w:eastAsia="PMingLiU"/>
          <w:lang w:eastAsia="zh-TW"/>
        </w:rPr>
        <w:t xml:space="preserve"> </w:t>
      </w:r>
      <w:r w:rsidRPr="00414F9F">
        <w:rPr>
          <w:rFonts w:eastAsia="PMingLiU"/>
          <w:lang w:eastAsia="zh-TW"/>
        </w:rPr>
        <w:t>view</w:t>
      </w:r>
      <w:r w:rsidR="008D4853">
        <w:rPr>
          <w:rFonts w:eastAsia="PMingLiU"/>
          <w:lang w:eastAsia="zh-TW"/>
        </w:rPr>
        <w:t xml:space="preserve"> mirror.</w:t>
      </w:r>
    </w:p>
    <w:p w:rsidR="00414F9F" w:rsidRPr="00414F9F" w:rsidRDefault="00414F9F" w:rsidP="00414F9F">
      <w:pPr>
        <w:pStyle w:val="j-heading"/>
        <w:rPr>
          <w:lang w:eastAsia="zh-TW"/>
        </w:rPr>
      </w:pPr>
      <w:r w:rsidRPr="00414F9F">
        <w:rPr>
          <w:lang w:eastAsia="zh-TW"/>
        </w:rPr>
        <w:t>The respondent’s</w:t>
      </w:r>
      <w:r w:rsidR="00A809AB">
        <w:rPr>
          <w:lang w:eastAsia="zh-TW"/>
        </w:rPr>
        <w:t xml:space="preserve"> arrest and cautioned response</w:t>
      </w:r>
    </w:p>
    <w:p w:rsidR="00414F9F" w:rsidRPr="00414F9F" w:rsidRDefault="0070202F" w:rsidP="00414F9F">
      <w:pPr>
        <w:pStyle w:val="T-Draft"/>
        <w:rPr>
          <w:rFonts w:eastAsia="PMingLiU"/>
          <w:lang w:eastAsia="zh-TW"/>
        </w:rPr>
      </w:pPr>
      <w:r>
        <w:rPr>
          <w:rFonts w:eastAsia="PMingLiU"/>
          <w:lang w:eastAsia="zh-TW"/>
        </w:rPr>
        <w:t>At abou</w:t>
      </w:r>
      <w:r w:rsidR="00414F9F" w:rsidRPr="00414F9F">
        <w:rPr>
          <w:rFonts w:eastAsia="PMingLiU"/>
          <w:lang w:eastAsia="zh-TW"/>
        </w:rPr>
        <w:t xml:space="preserve">t 9 am on 3 </w:t>
      </w:r>
      <w:r w:rsidR="008D4853" w:rsidRPr="008D4853">
        <w:rPr>
          <w:rFonts w:eastAsia="PMingLiU"/>
          <w:b/>
          <w:lang w:val="en-US" w:eastAsia="zh-TW"/>
        </w:rPr>
        <w:t>‍</w:t>
      </w:r>
      <w:r w:rsidR="00414F9F" w:rsidRPr="00414F9F">
        <w:rPr>
          <w:rFonts w:eastAsia="PMingLiU"/>
          <w:lang w:eastAsia="zh-TW"/>
        </w:rPr>
        <w:t xml:space="preserve">November </w:t>
      </w:r>
      <w:r w:rsidR="008D4853" w:rsidRPr="008D4853">
        <w:rPr>
          <w:rFonts w:eastAsia="PMingLiU"/>
          <w:b/>
          <w:lang w:val="en-US" w:eastAsia="zh-TW"/>
        </w:rPr>
        <w:t>‍</w:t>
      </w:r>
      <w:r w:rsidR="00414F9F" w:rsidRPr="00414F9F">
        <w:rPr>
          <w:rFonts w:eastAsia="PMingLiU"/>
          <w:lang w:eastAsia="zh-TW"/>
        </w:rPr>
        <w:t>2017</w:t>
      </w:r>
      <w:r>
        <w:rPr>
          <w:rFonts w:eastAsia="PMingLiU"/>
          <w:lang w:eastAsia="zh-TW"/>
        </w:rPr>
        <w:t>,</w:t>
      </w:r>
      <w:r w:rsidR="00414F9F" w:rsidRPr="00414F9F">
        <w:rPr>
          <w:rFonts w:eastAsia="PMingLiU"/>
          <w:lang w:eastAsia="zh-TW"/>
        </w:rPr>
        <w:t xml:space="preserve"> </w:t>
      </w:r>
      <w:r>
        <w:rPr>
          <w:rFonts w:eastAsia="PMingLiU"/>
          <w:lang w:eastAsia="zh-TW"/>
        </w:rPr>
        <w:t xml:space="preserve">the respondent was arrested </w:t>
      </w:r>
      <w:r w:rsidR="00414F9F" w:rsidRPr="00414F9F">
        <w:rPr>
          <w:rFonts w:eastAsia="PMingLiU"/>
          <w:lang w:eastAsia="zh-TW"/>
        </w:rPr>
        <w:t xml:space="preserve">at the scene of </w:t>
      </w:r>
      <w:r>
        <w:rPr>
          <w:rFonts w:eastAsia="PMingLiU"/>
          <w:lang w:eastAsia="zh-TW"/>
        </w:rPr>
        <w:t xml:space="preserve">the </w:t>
      </w:r>
      <w:r w:rsidR="00414F9F" w:rsidRPr="00414F9F">
        <w:rPr>
          <w:rFonts w:eastAsia="PMingLiU"/>
          <w:lang w:eastAsia="zh-TW"/>
        </w:rPr>
        <w:t xml:space="preserve">accident. </w:t>
      </w:r>
      <w:r w:rsidR="008D4853">
        <w:rPr>
          <w:rFonts w:eastAsia="PMingLiU"/>
          <w:lang w:eastAsia="zh-TW"/>
        </w:rPr>
        <w:t xml:space="preserve"> </w:t>
      </w:r>
      <w:r w:rsidR="00414F9F" w:rsidRPr="00414F9F">
        <w:rPr>
          <w:rFonts w:eastAsia="PMingLiU"/>
          <w:lang w:eastAsia="zh-TW"/>
        </w:rPr>
        <w:t xml:space="preserve">Under caution, she said she remembered </w:t>
      </w:r>
      <w:r>
        <w:rPr>
          <w:rFonts w:eastAsia="PMingLiU"/>
          <w:lang w:eastAsia="zh-TW"/>
        </w:rPr>
        <w:t xml:space="preserve">that </w:t>
      </w:r>
      <w:r w:rsidR="00414F9F" w:rsidRPr="00414F9F">
        <w:rPr>
          <w:rFonts w:eastAsia="PMingLiU"/>
          <w:lang w:eastAsia="zh-TW"/>
        </w:rPr>
        <w:t xml:space="preserve">the </w:t>
      </w:r>
      <w:r>
        <w:rPr>
          <w:rFonts w:eastAsia="PMingLiU"/>
          <w:lang w:eastAsia="zh-TW"/>
        </w:rPr>
        <w:t>l</w:t>
      </w:r>
      <w:r w:rsidR="00414F9F" w:rsidRPr="00414F9F">
        <w:rPr>
          <w:rFonts w:eastAsia="PMingLiU"/>
          <w:lang w:eastAsia="zh-TW"/>
        </w:rPr>
        <w:t>ight</w:t>
      </w:r>
      <w:r w:rsidR="003E0626">
        <w:rPr>
          <w:rFonts w:eastAsia="PMingLiU"/>
          <w:lang w:eastAsia="zh-TW"/>
        </w:rPr>
        <w:t>s were</w:t>
      </w:r>
      <w:r w:rsidR="00414F9F" w:rsidRPr="00414F9F">
        <w:rPr>
          <w:rFonts w:eastAsia="PMingLiU"/>
          <w:lang w:eastAsia="zh-TW"/>
        </w:rPr>
        <w:t xml:space="preserve"> green </w:t>
      </w:r>
      <w:r>
        <w:rPr>
          <w:rFonts w:eastAsia="PMingLiU"/>
          <w:lang w:eastAsia="zh-TW"/>
        </w:rPr>
        <w:t xml:space="preserve">in her favour </w:t>
      </w:r>
      <w:r w:rsidR="00414F9F" w:rsidRPr="00414F9F">
        <w:rPr>
          <w:rFonts w:eastAsia="PMingLiU"/>
          <w:lang w:eastAsia="zh-TW"/>
        </w:rPr>
        <w:t>when she arrived at the traffic lights</w:t>
      </w:r>
      <w:r w:rsidR="003E0626">
        <w:rPr>
          <w:rFonts w:eastAsia="PMingLiU"/>
          <w:lang w:eastAsia="zh-TW"/>
        </w:rPr>
        <w:t xml:space="preserve"> </w:t>
      </w:r>
      <w:r w:rsidR="007D0504">
        <w:rPr>
          <w:rFonts w:eastAsia="PMingLiU"/>
          <w:lang w:eastAsia="zh-TW"/>
        </w:rPr>
        <w:t>controlling</w:t>
      </w:r>
      <w:r w:rsidR="003E0626">
        <w:rPr>
          <w:rFonts w:eastAsia="PMingLiU"/>
          <w:lang w:eastAsia="zh-TW"/>
        </w:rPr>
        <w:t xml:space="preserve"> the pedestrian crossing</w:t>
      </w:r>
      <w:r w:rsidR="00414F9F" w:rsidRPr="00414F9F">
        <w:rPr>
          <w:rFonts w:eastAsia="PMingLiU"/>
          <w:lang w:eastAsia="zh-TW"/>
        </w:rPr>
        <w:t xml:space="preserve">; accordingly, she continued driving through the crossing. </w:t>
      </w:r>
      <w:r w:rsidR="008D4853">
        <w:rPr>
          <w:rFonts w:eastAsia="PMingLiU"/>
          <w:lang w:eastAsia="zh-TW"/>
        </w:rPr>
        <w:t xml:space="preserve"> </w:t>
      </w:r>
      <w:r w:rsidR="00E34859">
        <w:rPr>
          <w:rFonts w:eastAsia="PMingLiU"/>
          <w:lang w:eastAsia="zh-TW"/>
        </w:rPr>
        <w:t>However, a</w:t>
      </w:r>
      <w:r w:rsidR="00414F9F" w:rsidRPr="00414F9F">
        <w:rPr>
          <w:rFonts w:eastAsia="PMingLiU"/>
          <w:lang w:eastAsia="zh-TW"/>
        </w:rPr>
        <w:t xml:space="preserve">t that moment, some pedestrians suddenly stepped onto </w:t>
      </w:r>
      <w:r w:rsidR="00150975">
        <w:rPr>
          <w:rFonts w:eastAsia="PMingLiU"/>
          <w:lang w:eastAsia="zh-TW"/>
        </w:rPr>
        <w:t xml:space="preserve">the </w:t>
      </w:r>
      <w:r w:rsidR="00414F9F" w:rsidRPr="00414F9F">
        <w:rPr>
          <w:rFonts w:eastAsia="PMingLiU"/>
          <w:lang w:eastAsia="zh-TW"/>
        </w:rPr>
        <w:t>carriageway from her right.  She immediately applied the brake</w:t>
      </w:r>
      <w:r>
        <w:rPr>
          <w:rFonts w:eastAsia="PMingLiU"/>
          <w:lang w:eastAsia="zh-TW"/>
        </w:rPr>
        <w:t>,</w:t>
      </w:r>
      <w:r w:rsidR="00414F9F" w:rsidRPr="00414F9F">
        <w:rPr>
          <w:rFonts w:eastAsia="PMingLiU"/>
          <w:lang w:eastAsia="zh-TW"/>
        </w:rPr>
        <w:t xml:space="preserve"> but still knocked the pedestrians down.</w:t>
      </w:r>
    </w:p>
    <w:p w:rsidR="00414F9F" w:rsidRPr="00414F9F" w:rsidRDefault="00414F9F" w:rsidP="00414F9F">
      <w:pPr>
        <w:pStyle w:val="j-heading"/>
        <w:rPr>
          <w:lang w:eastAsia="zh-TW"/>
        </w:rPr>
      </w:pPr>
      <w:r w:rsidRPr="00414F9F">
        <w:rPr>
          <w:lang w:eastAsia="zh-TW"/>
        </w:rPr>
        <w:t>Procedural history of mitigation and sentencing hearing</w:t>
      </w:r>
    </w:p>
    <w:p w:rsidR="00414F9F" w:rsidRPr="00414F9F" w:rsidRDefault="00414F9F" w:rsidP="00414F9F">
      <w:pPr>
        <w:pStyle w:val="T-Draft"/>
        <w:rPr>
          <w:rFonts w:eastAsia="PMingLiU"/>
          <w:lang w:eastAsia="zh-TW"/>
        </w:rPr>
      </w:pPr>
      <w:r w:rsidRPr="00414F9F">
        <w:rPr>
          <w:rFonts w:eastAsia="PMingLiU"/>
          <w:lang w:eastAsia="zh-TW"/>
        </w:rPr>
        <w:t xml:space="preserve">The mitigation and sentencing </w:t>
      </w:r>
      <w:r w:rsidR="00A809AB">
        <w:rPr>
          <w:rFonts w:eastAsia="PMingLiU"/>
          <w:lang w:eastAsia="zh-TW"/>
        </w:rPr>
        <w:t xml:space="preserve">in the present case </w:t>
      </w:r>
      <w:r w:rsidR="007D0504">
        <w:rPr>
          <w:rFonts w:eastAsia="PMingLiU"/>
          <w:lang w:eastAsia="zh-TW"/>
        </w:rPr>
        <w:t>occurred over</w:t>
      </w:r>
      <w:r w:rsidRPr="00414F9F">
        <w:rPr>
          <w:rFonts w:eastAsia="PMingLiU"/>
          <w:lang w:eastAsia="zh-TW"/>
        </w:rPr>
        <w:t xml:space="preserve"> </w:t>
      </w:r>
      <w:r w:rsidR="0070202F">
        <w:rPr>
          <w:rFonts w:eastAsia="PMingLiU"/>
          <w:lang w:eastAsia="zh-TW"/>
        </w:rPr>
        <w:t>three</w:t>
      </w:r>
      <w:r w:rsidRPr="00414F9F">
        <w:rPr>
          <w:rFonts w:eastAsia="PMingLiU"/>
          <w:lang w:eastAsia="zh-TW"/>
        </w:rPr>
        <w:t xml:space="preserve"> days.</w:t>
      </w:r>
      <w:r w:rsidR="008D4853">
        <w:rPr>
          <w:rFonts w:eastAsia="PMingLiU"/>
          <w:lang w:eastAsia="zh-TW"/>
        </w:rPr>
        <w:t xml:space="preserve"> </w:t>
      </w:r>
      <w:r w:rsidRPr="00414F9F">
        <w:rPr>
          <w:rFonts w:eastAsia="PMingLiU"/>
          <w:lang w:eastAsia="zh-TW"/>
        </w:rPr>
        <w:t xml:space="preserve"> On 12 October 2018, the </w:t>
      </w:r>
      <w:r w:rsidR="0002174D">
        <w:rPr>
          <w:rFonts w:eastAsia="PMingLiU"/>
          <w:lang w:eastAsia="zh-TW"/>
        </w:rPr>
        <w:t>j</w:t>
      </w:r>
      <w:r w:rsidRPr="00414F9F">
        <w:rPr>
          <w:rFonts w:eastAsia="PMingLiU"/>
          <w:lang w:eastAsia="zh-TW"/>
        </w:rPr>
        <w:t>udge ordered a background and psychiatric report on the respondent</w:t>
      </w:r>
      <w:r w:rsidR="00C22146">
        <w:rPr>
          <w:rFonts w:eastAsia="PMingLiU"/>
          <w:lang w:eastAsia="zh-TW"/>
        </w:rPr>
        <w:t>, since she was said to be suffering from post-traumatic stress disorder,</w:t>
      </w:r>
      <w:r w:rsidRPr="00414F9F">
        <w:rPr>
          <w:rFonts w:eastAsia="PMingLiU"/>
          <w:lang w:eastAsia="zh-TW"/>
        </w:rPr>
        <w:t xml:space="preserve"> and adjourned the hearing </w:t>
      </w:r>
      <w:r w:rsidR="004F591C">
        <w:rPr>
          <w:rFonts w:eastAsia="PMingLiU"/>
          <w:lang w:eastAsia="zh-TW"/>
        </w:rPr>
        <w:t>until</w:t>
      </w:r>
      <w:r w:rsidRPr="00414F9F">
        <w:rPr>
          <w:rFonts w:eastAsia="PMingLiU"/>
          <w:lang w:eastAsia="zh-TW"/>
        </w:rPr>
        <w:t xml:space="preserve"> 26 </w:t>
      </w:r>
      <w:r w:rsidR="008D4853" w:rsidRPr="008D4853">
        <w:rPr>
          <w:rFonts w:eastAsia="PMingLiU"/>
          <w:b/>
          <w:lang w:val="en-US" w:eastAsia="zh-TW"/>
        </w:rPr>
        <w:t>‍</w:t>
      </w:r>
      <w:r w:rsidRPr="00414F9F">
        <w:rPr>
          <w:rFonts w:eastAsia="PMingLiU"/>
          <w:lang w:eastAsia="zh-TW"/>
        </w:rPr>
        <w:t xml:space="preserve">October 2018. </w:t>
      </w:r>
      <w:r w:rsidR="008D4853">
        <w:rPr>
          <w:rFonts w:eastAsia="PMingLiU"/>
          <w:lang w:eastAsia="zh-TW"/>
        </w:rPr>
        <w:t xml:space="preserve"> </w:t>
      </w:r>
      <w:r w:rsidRPr="00414F9F">
        <w:rPr>
          <w:rFonts w:eastAsia="PMingLiU"/>
          <w:lang w:eastAsia="zh-TW"/>
        </w:rPr>
        <w:t>The respondent was ordered to be remanded in jail custody</w:t>
      </w:r>
      <w:r w:rsidR="003E0626">
        <w:rPr>
          <w:rFonts w:eastAsia="PMingLiU"/>
          <w:lang w:eastAsia="zh-TW"/>
        </w:rPr>
        <w:t xml:space="preserve"> pending the preparation of the reports</w:t>
      </w:r>
      <w:r w:rsidRPr="00414F9F">
        <w:rPr>
          <w:rFonts w:eastAsia="PMingLiU"/>
          <w:lang w:eastAsia="zh-TW"/>
        </w:rPr>
        <w:t>.</w:t>
      </w:r>
    </w:p>
    <w:p w:rsidR="00414F9F" w:rsidRPr="00414F9F" w:rsidRDefault="00414F9F" w:rsidP="00414F9F">
      <w:pPr>
        <w:pStyle w:val="T-Draft"/>
        <w:rPr>
          <w:rFonts w:eastAsia="PMingLiU"/>
          <w:lang w:eastAsia="zh-TW"/>
        </w:rPr>
      </w:pPr>
      <w:r w:rsidRPr="00414F9F">
        <w:rPr>
          <w:rFonts w:eastAsia="PMingLiU"/>
          <w:lang w:eastAsia="zh-TW"/>
        </w:rPr>
        <w:t xml:space="preserve">On 26 October 2018, </w:t>
      </w:r>
      <w:r w:rsidR="004F591C">
        <w:rPr>
          <w:rFonts w:eastAsia="PMingLiU"/>
          <w:lang w:eastAsia="zh-TW"/>
        </w:rPr>
        <w:t>having viewed</w:t>
      </w:r>
      <w:r w:rsidRPr="00414F9F">
        <w:rPr>
          <w:rFonts w:eastAsia="PMingLiU"/>
          <w:lang w:eastAsia="zh-TW"/>
        </w:rPr>
        <w:t xml:space="preserve"> the </w:t>
      </w:r>
      <w:r w:rsidR="004F591C">
        <w:rPr>
          <w:rFonts w:eastAsia="PMingLiU"/>
          <w:lang w:eastAsia="zh-TW"/>
        </w:rPr>
        <w:t xml:space="preserve">video </w:t>
      </w:r>
      <w:r w:rsidRPr="00414F9F">
        <w:rPr>
          <w:rFonts w:eastAsia="PMingLiU"/>
          <w:lang w:eastAsia="zh-TW"/>
        </w:rPr>
        <w:t>footage from the camera</w:t>
      </w:r>
      <w:r w:rsidR="004F591C">
        <w:rPr>
          <w:rFonts w:eastAsia="PMingLiU"/>
          <w:lang w:eastAsia="zh-TW"/>
        </w:rPr>
        <w:t xml:space="preserve"> of the respondent’s car,</w:t>
      </w:r>
      <w:r w:rsidRPr="00414F9F">
        <w:rPr>
          <w:rFonts w:eastAsia="PMingLiU"/>
          <w:lang w:eastAsia="zh-TW"/>
        </w:rPr>
        <w:t xml:space="preserve"> and </w:t>
      </w:r>
      <w:r w:rsidR="004F591C">
        <w:rPr>
          <w:rFonts w:eastAsia="PMingLiU"/>
          <w:lang w:eastAsia="zh-TW"/>
        </w:rPr>
        <w:t xml:space="preserve">after </w:t>
      </w:r>
      <w:r w:rsidRPr="00414F9F">
        <w:rPr>
          <w:rFonts w:eastAsia="PMingLiU"/>
          <w:lang w:eastAsia="zh-TW"/>
        </w:rPr>
        <w:t xml:space="preserve">considering the reports, the judge ordered the preparation of a </w:t>
      </w:r>
      <w:r w:rsidR="004F591C">
        <w:rPr>
          <w:rFonts w:eastAsia="PMingLiU"/>
          <w:lang w:eastAsia="zh-TW"/>
        </w:rPr>
        <w:t xml:space="preserve">further </w:t>
      </w:r>
      <w:r w:rsidRPr="00414F9F">
        <w:rPr>
          <w:rFonts w:eastAsia="PMingLiU"/>
          <w:lang w:eastAsia="zh-TW"/>
        </w:rPr>
        <w:t xml:space="preserve">report as to the respondent’s </w:t>
      </w:r>
      <w:r w:rsidRPr="00414F9F">
        <w:rPr>
          <w:rFonts w:eastAsia="PMingLiU"/>
          <w:lang w:eastAsia="zh-TW"/>
        </w:rPr>
        <w:lastRenderedPageBreak/>
        <w:t>suitability for a Community Service Order</w:t>
      </w:r>
      <w:r w:rsidR="004F591C">
        <w:rPr>
          <w:rFonts w:eastAsia="PMingLiU"/>
          <w:lang w:eastAsia="zh-TW"/>
        </w:rPr>
        <w:t>,</w:t>
      </w:r>
      <w:r w:rsidRPr="00414F9F">
        <w:rPr>
          <w:rFonts w:eastAsia="PMingLiU"/>
          <w:lang w:eastAsia="zh-TW"/>
        </w:rPr>
        <w:t xml:space="preserve"> and adjourned the hearing to 12 November 2018. </w:t>
      </w:r>
      <w:r w:rsidR="008D4853">
        <w:rPr>
          <w:rFonts w:eastAsia="PMingLiU"/>
          <w:lang w:eastAsia="zh-TW"/>
        </w:rPr>
        <w:t xml:space="preserve"> </w:t>
      </w:r>
      <w:r w:rsidRPr="00414F9F">
        <w:rPr>
          <w:rFonts w:eastAsia="PMingLiU"/>
          <w:lang w:eastAsia="zh-TW"/>
        </w:rPr>
        <w:t xml:space="preserve">The </w:t>
      </w:r>
      <w:r w:rsidR="008D4853">
        <w:rPr>
          <w:rFonts w:eastAsia="PMingLiU" w:hint="eastAsia"/>
          <w:lang w:eastAsia="zh-TW"/>
        </w:rPr>
        <w:t>r</w:t>
      </w:r>
      <w:r w:rsidRPr="00414F9F">
        <w:rPr>
          <w:rFonts w:eastAsia="PMingLiU"/>
          <w:lang w:eastAsia="zh-TW"/>
        </w:rPr>
        <w:t>espondent was granted bail pending the preparation of the report.</w:t>
      </w:r>
    </w:p>
    <w:p w:rsidR="00414F9F" w:rsidRPr="00414F9F" w:rsidRDefault="00414F9F" w:rsidP="00414F9F">
      <w:pPr>
        <w:pStyle w:val="T-Draft"/>
        <w:rPr>
          <w:rFonts w:eastAsia="PMingLiU"/>
          <w:lang w:eastAsia="zh-TW"/>
        </w:rPr>
      </w:pPr>
      <w:r w:rsidRPr="00414F9F">
        <w:rPr>
          <w:rFonts w:eastAsia="PMingLiU"/>
          <w:lang w:eastAsia="zh-TW"/>
        </w:rPr>
        <w:t>On 12 November 2019, the respondent was sentenced</w:t>
      </w:r>
      <w:r w:rsidR="00E34859">
        <w:rPr>
          <w:rFonts w:eastAsia="PMingLiU"/>
          <w:lang w:eastAsia="zh-TW"/>
        </w:rPr>
        <w:t>,</w:t>
      </w:r>
      <w:r w:rsidR="004F591C">
        <w:rPr>
          <w:rFonts w:eastAsia="PMingLiU"/>
          <w:lang w:eastAsia="zh-TW"/>
        </w:rPr>
        <w:t xml:space="preserve"> with her consent</w:t>
      </w:r>
      <w:r w:rsidR="00E34859">
        <w:rPr>
          <w:rFonts w:eastAsia="PMingLiU"/>
          <w:lang w:eastAsia="zh-TW"/>
        </w:rPr>
        <w:t>,</w:t>
      </w:r>
      <w:r w:rsidRPr="00414F9F">
        <w:rPr>
          <w:rFonts w:eastAsia="PMingLiU"/>
          <w:lang w:eastAsia="zh-TW"/>
        </w:rPr>
        <w:t xml:space="preserve"> to a Community Service Order for 200 hours.  She was further disqualified from driving for a period of 4 years and ordered to take and complete a driving improvement course at her own expense within the last </w:t>
      </w:r>
      <w:r w:rsidR="00C22146">
        <w:rPr>
          <w:rFonts w:eastAsia="PMingLiU"/>
          <w:lang w:eastAsia="zh-TW"/>
        </w:rPr>
        <w:t>three</w:t>
      </w:r>
      <w:r w:rsidRPr="00414F9F">
        <w:rPr>
          <w:rFonts w:eastAsia="PMingLiU"/>
          <w:lang w:eastAsia="zh-TW"/>
        </w:rPr>
        <w:t xml:space="preserve"> months of the disqualification period.</w:t>
      </w:r>
      <w:r w:rsidR="00E34859">
        <w:rPr>
          <w:rFonts w:eastAsia="PMingLiU"/>
          <w:lang w:eastAsia="zh-TW"/>
        </w:rPr>
        <w:t xml:space="preserve">  No issue is </w:t>
      </w:r>
      <w:r w:rsidR="00615BD0">
        <w:rPr>
          <w:rFonts w:eastAsia="PMingLiU"/>
          <w:lang w:eastAsia="zh-TW"/>
        </w:rPr>
        <w:t>taken</w:t>
      </w:r>
      <w:r w:rsidR="00E34859">
        <w:rPr>
          <w:rFonts w:eastAsia="PMingLiU"/>
          <w:lang w:eastAsia="zh-TW"/>
        </w:rPr>
        <w:t xml:space="preserve"> at this application in re</w:t>
      </w:r>
      <w:r w:rsidR="00615BD0">
        <w:rPr>
          <w:rFonts w:eastAsia="PMingLiU"/>
          <w:lang w:eastAsia="zh-TW"/>
        </w:rPr>
        <w:t>spect of t</w:t>
      </w:r>
      <w:r w:rsidR="00E34859">
        <w:rPr>
          <w:rFonts w:eastAsia="PMingLiU"/>
          <w:lang w:eastAsia="zh-TW"/>
        </w:rPr>
        <w:t>he</w:t>
      </w:r>
      <w:r w:rsidR="00615BD0">
        <w:rPr>
          <w:rFonts w:eastAsia="PMingLiU"/>
          <w:lang w:eastAsia="zh-TW"/>
        </w:rPr>
        <w:t xml:space="preserve"> orders of disqualification and the completion of a driving improvement course.</w:t>
      </w:r>
    </w:p>
    <w:p w:rsidR="00414F9F" w:rsidRPr="00414F9F" w:rsidRDefault="00414F9F" w:rsidP="00414F9F">
      <w:pPr>
        <w:pStyle w:val="j-heading"/>
        <w:rPr>
          <w:lang w:eastAsia="zh-TW"/>
        </w:rPr>
      </w:pPr>
      <w:r w:rsidRPr="00414F9F">
        <w:rPr>
          <w:rFonts w:hint="eastAsia"/>
          <w:lang w:eastAsia="zh-TW"/>
        </w:rPr>
        <w:t>Mitigation</w:t>
      </w:r>
    </w:p>
    <w:p w:rsidR="00414F9F" w:rsidRPr="00414F9F" w:rsidRDefault="00414F9F" w:rsidP="00414F9F">
      <w:pPr>
        <w:pStyle w:val="T-Draft"/>
        <w:rPr>
          <w:rFonts w:eastAsia="PMingLiU"/>
          <w:lang w:eastAsia="zh-TW"/>
        </w:rPr>
      </w:pPr>
      <w:r w:rsidRPr="00414F9F">
        <w:rPr>
          <w:rFonts w:eastAsia="PMingLiU"/>
          <w:lang w:eastAsia="zh-TW"/>
        </w:rPr>
        <w:t xml:space="preserve">The respondent was 33 years of age and single at the time of sentencing. </w:t>
      </w:r>
      <w:r w:rsidR="008D4853">
        <w:rPr>
          <w:rFonts w:eastAsia="PMingLiU"/>
          <w:lang w:eastAsia="zh-TW"/>
        </w:rPr>
        <w:t xml:space="preserve"> </w:t>
      </w:r>
      <w:r w:rsidRPr="00414F9F">
        <w:rPr>
          <w:rFonts w:eastAsia="PMingLiU"/>
          <w:lang w:eastAsia="zh-TW"/>
        </w:rPr>
        <w:t>She resided with her parents</w:t>
      </w:r>
      <w:r w:rsidR="001243EC">
        <w:rPr>
          <w:rFonts w:eastAsia="PMingLiU"/>
          <w:lang w:eastAsia="zh-TW"/>
        </w:rPr>
        <w:t>,</w:t>
      </w:r>
      <w:r w:rsidRPr="00414F9F">
        <w:rPr>
          <w:rFonts w:eastAsia="PMingLiU"/>
          <w:lang w:eastAsia="zh-TW"/>
        </w:rPr>
        <w:t xml:space="preserve"> who </w:t>
      </w:r>
      <w:r w:rsidR="004F591C">
        <w:rPr>
          <w:rFonts w:eastAsia="PMingLiU"/>
          <w:lang w:eastAsia="zh-TW"/>
        </w:rPr>
        <w:t>were</w:t>
      </w:r>
      <w:r w:rsidRPr="00414F9F">
        <w:rPr>
          <w:rFonts w:eastAsia="PMingLiU"/>
          <w:lang w:eastAsia="zh-TW"/>
        </w:rPr>
        <w:t xml:space="preserve"> retired</w:t>
      </w:r>
      <w:r w:rsidR="001243EC">
        <w:rPr>
          <w:rFonts w:eastAsia="PMingLiU"/>
          <w:lang w:eastAsia="zh-TW"/>
        </w:rPr>
        <w:t>,</w:t>
      </w:r>
      <w:r w:rsidRPr="00414F9F">
        <w:rPr>
          <w:rFonts w:eastAsia="PMingLiU"/>
          <w:lang w:eastAsia="zh-TW"/>
        </w:rPr>
        <w:t xml:space="preserve"> and </w:t>
      </w:r>
      <w:r w:rsidR="003E0626">
        <w:rPr>
          <w:rFonts w:eastAsia="PMingLiU"/>
          <w:lang w:eastAsia="zh-TW"/>
        </w:rPr>
        <w:t xml:space="preserve">also </w:t>
      </w:r>
      <w:r w:rsidRPr="00414F9F">
        <w:rPr>
          <w:rFonts w:eastAsia="PMingLiU"/>
          <w:lang w:eastAsia="zh-TW"/>
        </w:rPr>
        <w:t xml:space="preserve">her brother. </w:t>
      </w:r>
      <w:r w:rsidR="008D4853">
        <w:rPr>
          <w:rFonts w:eastAsia="PMingLiU"/>
          <w:lang w:eastAsia="zh-TW"/>
        </w:rPr>
        <w:t xml:space="preserve"> </w:t>
      </w:r>
      <w:r w:rsidRPr="00414F9F">
        <w:rPr>
          <w:rFonts w:eastAsia="PMingLiU"/>
          <w:lang w:eastAsia="zh-TW"/>
        </w:rPr>
        <w:t xml:space="preserve">She obtained her driving licence in 2015 and purchased the vehicle in </w:t>
      </w:r>
      <w:r w:rsidR="004F591C">
        <w:rPr>
          <w:rFonts w:eastAsia="PMingLiU"/>
          <w:lang w:eastAsia="zh-TW"/>
        </w:rPr>
        <w:t xml:space="preserve">question in </w:t>
      </w:r>
      <w:r w:rsidRPr="00414F9F">
        <w:rPr>
          <w:rFonts w:eastAsia="PMingLiU"/>
          <w:lang w:eastAsia="zh-TW"/>
        </w:rPr>
        <w:t xml:space="preserve">August 2016, mainly using it </w:t>
      </w:r>
      <w:r w:rsidR="004F591C">
        <w:rPr>
          <w:rFonts w:eastAsia="PMingLiU"/>
          <w:lang w:eastAsia="zh-TW"/>
        </w:rPr>
        <w:t>at</w:t>
      </w:r>
      <w:r w:rsidRPr="00414F9F">
        <w:rPr>
          <w:rFonts w:eastAsia="PMingLiU"/>
          <w:lang w:eastAsia="zh-TW"/>
        </w:rPr>
        <w:t xml:space="preserve"> weekend</w:t>
      </w:r>
      <w:r w:rsidR="003E0626">
        <w:rPr>
          <w:rFonts w:eastAsia="PMingLiU"/>
          <w:lang w:eastAsia="zh-TW"/>
        </w:rPr>
        <w:t>s</w:t>
      </w:r>
      <w:r w:rsidRPr="00414F9F">
        <w:rPr>
          <w:rFonts w:eastAsia="PMingLiU"/>
          <w:lang w:eastAsia="zh-TW"/>
        </w:rPr>
        <w:t xml:space="preserve"> to take her parents out. </w:t>
      </w:r>
      <w:r w:rsidR="008D4853">
        <w:rPr>
          <w:rFonts w:eastAsia="PMingLiU"/>
          <w:lang w:eastAsia="zh-TW"/>
        </w:rPr>
        <w:t xml:space="preserve"> </w:t>
      </w:r>
      <w:r w:rsidRPr="00414F9F">
        <w:rPr>
          <w:rFonts w:eastAsia="PMingLiU"/>
          <w:lang w:eastAsia="zh-TW"/>
        </w:rPr>
        <w:t xml:space="preserve">She had no previous traffic </w:t>
      </w:r>
      <w:r w:rsidR="004F591C">
        <w:rPr>
          <w:rFonts w:eastAsia="PMingLiU"/>
          <w:lang w:eastAsia="zh-TW"/>
        </w:rPr>
        <w:t xml:space="preserve">or other criminal </w:t>
      </w:r>
      <w:r w:rsidRPr="00414F9F">
        <w:rPr>
          <w:rFonts w:eastAsia="PMingLiU"/>
          <w:lang w:eastAsia="zh-TW"/>
        </w:rPr>
        <w:t>convictions.</w:t>
      </w:r>
    </w:p>
    <w:p w:rsidR="00414F9F" w:rsidRPr="00414F9F" w:rsidRDefault="007D0504" w:rsidP="00414F9F">
      <w:pPr>
        <w:pStyle w:val="T-Draft"/>
        <w:rPr>
          <w:rFonts w:eastAsia="PMingLiU"/>
          <w:lang w:eastAsia="zh-TW"/>
        </w:rPr>
      </w:pPr>
      <w:r>
        <w:rPr>
          <w:rFonts w:eastAsia="PMingLiU"/>
          <w:lang w:eastAsia="zh-TW"/>
        </w:rPr>
        <w:t>Counsel for the respondent at trial contended that she</w:t>
      </w:r>
      <w:r w:rsidR="00414F9F" w:rsidRPr="00414F9F">
        <w:rPr>
          <w:rFonts w:eastAsia="PMingLiU"/>
          <w:lang w:eastAsia="zh-TW"/>
        </w:rPr>
        <w:t xml:space="preserve"> had misread the traffic signal</w:t>
      </w:r>
      <w:r>
        <w:rPr>
          <w:rFonts w:eastAsia="PMingLiU"/>
          <w:lang w:eastAsia="zh-TW"/>
        </w:rPr>
        <w:t>s</w:t>
      </w:r>
      <w:r w:rsidR="00414F9F" w:rsidRPr="00414F9F">
        <w:rPr>
          <w:rFonts w:eastAsia="PMingLiU"/>
          <w:lang w:eastAsia="zh-TW"/>
        </w:rPr>
        <w:t xml:space="preserve"> and made a momentary mistake rather than</w:t>
      </w:r>
      <w:r w:rsidR="004F591C">
        <w:rPr>
          <w:rFonts w:eastAsia="PMingLiU"/>
          <w:lang w:eastAsia="zh-TW"/>
        </w:rPr>
        <w:t xml:space="preserve"> </w:t>
      </w:r>
      <w:r w:rsidR="00414F9F" w:rsidRPr="00414F9F">
        <w:rPr>
          <w:rFonts w:eastAsia="PMingLiU"/>
          <w:lang w:eastAsia="zh-TW"/>
        </w:rPr>
        <w:t xml:space="preserve">deliberately disobeyed the </w:t>
      </w:r>
      <w:r w:rsidR="004F591C">
        <w:rPr>
          <w:rFonts w:eastAsia="PMingLiU"/>
          <w:lang w:eastAsia="zh-TW"/>
        </w:rPr>
        <w:t>traffic signals</w:t>
      </w:r>
      <w:r w:rsidR="00414F9F" w:rsidRPr="00414F9F">
        <w:rPr>
          <w:rFonts w:eastAsia="PMingLiU"/>
          <w:lang w:eastAsia="zh-TW"/>
        </w:rPr>
        <w:t xml:space="preserve">. </w:t>
      </w:r>
      <w:r w:rsidR="008D4853">
        <w:rPr>
          <w:rFonts w:eastAsia="PMingLiU"/>
          <w:lang w:eastAsia="zh-TW"/>
        </w:rPr>
        <w:t xml:space="preserve"> </w:t>
      </w:r>
      <w:r w:rsidR="004F591C">
        <w:rPr>
          <w:rFonts w:eastAsia="PMingLiU"/>
          <w:lang w:eastAsia="zh-TW"/>
        </w:rPr>
        <w:t>Following the accident, she</w:t>
      </w:r>
      <w:r w:rsidR="00414F9F" w:rsidRPr="00414F9F">
        <w:rPr>
          <w:rFonts w:eastAsia="PMingLiU"/>
          <w:lang w:eastAsia="zh-TW"/>
        </w:rPr>
        <w:t xml:space="preserve"> had been diagnosed with post-traumatic stress disorder and </w:t>
      </w:r>
      <w:r w:rsidR="004F591C">
        <w:rPr>
          <w:rFonts w:eastAsia="PMingLiU"/>
          <w:lang w:eastAsia="zh-TW"/>
        </w:rPr>
        <w:t>had resolved not to drive</w:t>
      </w:r>
      <w:r w:rsidR="00414F9F" w:rsidRPr="00414F9F">
        <w:rPr>
          <w:rFonts w:eastAsia="PMingLiU"/>
          <w:lang w:eastAsia="zh-TW"/>
        </w:rPr>
        <w:t xml:space="preserve"> again. </w:t>
      </w:r>
      <w:r w:rsidR="004F591C">
        <w:rPr>
          <w:rFonts w:eastAsia="PMingLiU"/>
          <w:lang w:eastAsia="zh-TW"/>
        </w:rPr>
        <w:t xml:space="preserve"> </w:t>
      </w:r>
      <w:r w:rsidR="00414F9F" w:rsidRPr="00414F9F">
        <w:rPr>
          <w:rFonts w:eastAsia="PMingLiU"/>
          <w:lang w:eastAsia="zh-TW"/>
        </w:rPr>
        <w:t xml:space="preserve">In a letter to the </w:t>
      </w:r>
      <w:r w:rsidR="004F591C">
        <w:rPr>
          <w:rFonts w:eastAsia="PMingLiU"/>
          <w:lang w:eastAsia="zh-TW"/>
        </w:rPr>
        <w:t>c</w:t>
      </w:r>
      <w:r w:rsidR="00414F9F" w:rsidRPr="00414F9F">
        <w:rPr>
          <w:rFonts w:eastAsia="PMingLiU"/>
          <w:lang w:eastAsia="zh-TW"/>
        </w:rPr>
        <w:t>ourt, the respondent said that the accident had taught her a bitter lesson and left an indelible mark on her.</w:t>
      </w:r>
    </w:p>
    <w:p w:rsidR="00414F9F" w:rsidRPr="00414F9F" w:rsidRDefault="00414F9F" w:rsidP="00414F9F">
      <w:pPr>
        <w:pStyle w:val="T-Draft"/>
        <w:rPr>
          <w:rFonts w:eastAsia="PMingLiU"/>
          <w:lang w:eastAsia="zh-TW"/>
        </w:rPr>
      </w:pPr>
      <w:r w:rsidRPr="00414F9F">
        <w:rPr>
          <w:rFonts w:eastAsia="PMingLiU"/>
          <w:lang w:eastAsia="zh-TW"/>
        </w:rPr>
        <w:t xml:space="preserve">Counsel cited and relied on three </w:t>
      </w:r>
      <w:r w:rsidR="004F591C">
        <w:rPr>
          <w:rFonts w:eastAsia="PMingLiU"/>
          <w:lang w:eastAsia="zh-TW"/>
        </w:rPr>
        <w:t xml:space="preserve">first instance </w:t>
      </w:r>
      <w:r w:rsidR="00C22146">
        <w:rPr>
          <w:rFonts w:eastAsia="PMingLiU"/>
          <w:lang w:eastAsia="zh-TW"/>
        </w:rPr>
        <w:t>decisions</w:t>
      </w:r>
      <w:r w:rsidRPr="00414F9F">
        <w:rPr>
          <w:rFonts w:eastAsia="PMingLiU"/>
          <w:lang w:eastAsia="zh-TW"/>
        </w:rPr>
        <w:t xml:space="preserve"> in the </w:t>
      </w:r>
      <w:r w:rsidR="008D4853" w:rsidRPr="008D4853">
        <w:rPr>
          <w:rFonts w:eastAsia="PMingLiU"/>
          <w:b/>
          <w:lang w:val="en-US" w:eastAsia="zh-TW"/>
        </w:rPr>
        <w:t>‍</w:t>
      </w:r>
      <w:r w:rsidRPr="00414F9F">
        <w:rPr>
          <w:rFonts w:eastAsia="PMingLiU"/>
          <w:lang w:eastAsia="zh-TW"/>
        </w:rPr>
        <w:t xml:space="preserve">District Court in order to </w:t>
      </w:r>
      <w:r w:rsidR="003E0626">
        <w:rPr>
          <w:rFonts w:eastAsia="PMingLiU"/>
          <w:lang w:eastAsia="zh-TW"/>
        </w:rPr>
        <w:t xml:space="preserve">try and </w:t>
      </w:r>
      <w:r w:rsidRPr="00414F9F">
        <w:rPr>
          <w:rFonts w:eastAsia="PMingLiU"/>
          <w:lang w:eastAsia="zh-TW"/>
        </w:rPr>
        <w:t xml:space="preserve">persuade the judge to impose </w:t>
      </w:r>
      <w:r w:rsidR="00BF0EB2" w:rsidRPr="00BF0EB2">
        <w:rPr>
          <w:rFonts w:eastAsia="PMingLiU"/>
          <w:b/>
          <w:lang w:val="en-US" w:eastAsia="zh-TW"/>
        </w:rPr>
        <w:t>‍</w:t>
      </w:r>
      <w:r w:rsidRPr="00414F9F">
        <w:rPr>
          <w:rFonts w:eastAsia="PMingLiU"/>
          <w:lang w:eastAsia="zh-TW"/>
        </w:rPr>
        <w:t xml:space="preserve">a </w:t>
      </w:r>
      <w:r w:rsidRPr="00414F9F">
        <w:rPr>
          <w:rFonts w:eastAsia="PMingLiU"/>
          <w:lang w:eastAsia="zh-TW"/>
        </w:rPr>
        <w:lastRenderedPageBreak/>
        <w:t xml:space="preserve">Community </w:t>
      </w:r>
      <w:r w:rsidR="008D4853" w:rsidRPr="008D4853">
        <w:rPr>
          <w:rFonts w:eastAsia="PMingLiU"/>
          <w:b/>
          <w:lang w:val="en-US" w:eastAsia="zh-TW"/>
        </w:rPr>
        <w:t>‍</w:t>
      </w:r>
      <w:r w:rsidRPr="00414F9F">
        <w:rPr>
          <w:rFonts w:eastAsia="PMingLiU"/>
          <w:lang w:eastAsia="zh-TW"/>
        </w:rPr>
        <w:t>Service Order</w:t>
      </w:r>
      <w:r w:rsidR="003E0626">
        <w:rPr>
          <w:rFonts w:eastAsia="PMingLiU"/>
          <w:lang w:eastAsia="zh-TW"/>
        </w:rPr>
        <w:t xml:space="preserve"> on the respondent</w:t>
      </w:r>
      <w:r w:rsidR="004F591C">
        <w:rPr>
          <w:rFonts w:eastAsia="PMingLiU"/>
          <w:lang w:eastAsia="zh-TW"/>
        </w:rPr>
        <w:t>:</w:t>
      </w:r>
      <w:r w:rsidRPr="00414F9F">
        <w:rPr>
          <w:rFonts w:eastAsia="PMingLiU"/>
          <w:lang w:eastAsia="zh-TW"/>
        </w:rPr>
        <w:t xml:space="preserve"> namely </w:t>
      </w:r>
      <w:r w:rsidRPr="00414F9F">
        <w:rPr>
          <w:rFonts w:eastAsia="PMingLiU"/>
          <w:i/>
          <w:lang w:eastAsia="zh-TW"/>
        </w:rPr>
        <w:t xml:space="preserve">HKSAR v Tong </w:t>
      </w:r>
      <w:r w:rsidR="00BF0EB2" w:rsidRPr="00BF0EB2">
        <w:rPr>
          <w:rFonts w:eastAsia="PMingLiU"/>
          <w:b/>
          <w:i/>
          <w:lang w:val="en-US" w:eastAsia="zh-TW"/>
        </w:rPr>
        <w:t>‍</w:t>
      </w:r>
      <w:r w:rsidRPr="00414F9F">
        <w:rPr>
          <w:rFonts w:eastAsia="PMingLiU"/>
          <w:i/>
          <w:lang w:eastAsia="zh-TW"/>
        </w:rPr>
        <w:t xml:space="preserve">Siu </w:t>
      </w:r>
      <w:r w:rsidR="00BF0EB2" w:rsidRPr="00BF0EB2">
        <w:rPr>
          <w:rFonts w:eastAsia="PMingLiU"/>
          <w:b/>
          <w:i/>
          <w:lang w:val="en-US" w:eastAsia="zh-TW"/>
        </w:rPr>
        <w:t>‍</w:t>
      </w:r>
      <w:r w:rsidRPr="00414F9F">
        <w:rPr>
          <w:rFonts w:eastAsia="PMingLiU"/>
          <w:i/>
          <w:lang w:eastAsia="zh-TW"/>
        </w:rPr>
        <w:t>Yan, Tommy</w:t>
      </w:r>
      <w:r w:rsidRPr="00414F9F">
        <w:rPr>
          <w:rFonts w:eastAsia="PMingLiU"/>
          <w:vertAlign w:val="superscript"/>
          <w:lang w:eastAsia="zh-TW"/>
        </w:rPr>
        <w:footnoteReference w:id="3"/>
      </w:r>
      <w:r w:rsidRPr="00414F9F">
        <w:rPr>
          <w:rFonts w:eastAsia="PMingLiU"/>
          <w:lang w:eastAsia="zh-TW"/>
        </w:rPr>
        <w:t xml:space="preserve">; </w:t>
      </w:r>
      <w:r w:rsidRPr="00414F9F">
        <w:rPr>
          <w:rFonts w:eastAsia="PMingLiU"/>
          <w:i/>
          <w:lang w:eastAsia="zh-TW"/>
        </w:rPr>
        <w:t>HKSAR v Lee Yeung</w:t>
      </w:r>
      <w:r w:rsidR="004C5D24">
        <w:rPr>
          <w:rFonts w:eastAsia="PMingLiU"/>
          <w:i/>
          <w:lang w:eastAsia="zh-TW"/>
        </w:rPr>
        <w:t xml:space="preserve"> C</w:t>
      </w:r>
      <w:r w:rsidRPr="00414F9F">
        <w:rPr>
          <w:rFonts w:eastAsia="PMingLiU"/>
          <w:i/>
          <w:lang w:eastAsia="zh-TW"/>
        </w:rPr>
        <w:t>hi, Richard</w:t>
      </w:r>
      <w:r w:rsidRPr="00414F9F">
        <w:rPr>
          <w:rFonts w:eastAsia="PMingLiU"/>
          <w:vertAlign w:val="superscript"/>
          <w:lang w:eastAsia="zh-TW"/>
        </w:rPr>
        <w:footnoteReference w:id="4"/>
      </w:r>
      <w:r w:rsidRPr="00414F9F">
        <w:rPr>
          <w:rFonts w:eastAsia="PMingLiU"/>
          <w:lang w:eastAsia="zh-TW"/>
        </w:rPr>
        <w:t>;</w:t>
      </w:r>
      <w:r w:rsidRPr="00414F9F">
        <w:rPr>
          <w:rFonts w:eastAsia="PMingLiU"/>
          <w:i/>
          <w:lang w:eastAsia="zh-TW"/>
        </w:rPr>
        <w:t xml:space="preserve"> </w:t>
      </w:r>
      <w:r w:rsidRPr="00414F9F">
        <w:rPr>
          <w:rFonts w:eastAsia="PMingLiU"/>
          <w:lang w:eastAsia="zh-TW"/>
        </w:rPr>
        <w:t xml:space="preserve">and </w:t>
      </w:r>
      <w:r w:rsidRPr="00414F9F">
        <w:rPr>
          <w:rFonts w:eastAsia="PMingLiU"/>
          <w:i/>
          <w:lang w:eastAsia="zh-TW"/>
        </w:rPr>
        <w:t>HKSAR v Lam Lap Fung</w:t>
      </w:r>
      <w:r w:rsidRPr="00414F9F">
        <w:rPr>
          <w:rFonts w:eastAsia="PMingLiU"/>
          <w:vertAlign w:val="superscript"/>
          <w:lang w:eastAsia="zh-TW"/>
        </w:rPr>
        <w:footnoteReference w:id="5"/>
      </w:r>
      <w:r w:rsidRPr="00414F9F">
        <w:rPr>
          <w:rFonts w:eastAsia="PMingLiU"/>
          <w:i/>
          <w:lang w:eastAsia="zh-TW"/>
        </w:rPr>
        <w:t xml:space="preserve">. </w:t>
      </w:r>
    </w:p>
    <w:p w:rsidR="00414F9F" w:rsidRPr="00414F9F" w:rsidRDefault="00414F9F" w:rsidP="00414F9F">
      <w:pPr>
        <w:pStyle w:val="j-heading"/>
        <w:rPr>
          <w:lang w:eastAsia="zh-TW"/>
        </w:rPr>
      </w:pPr>
      <w:r w:rsidRPr="00414F9F">
        <w:rPr>
          <w:rFonts w:hint="eastAsia"/>
          <w:lang w:eastAsia="zh-TW"/>
        </w:rPr>
        <w:t xml:space="preserve">Reasons for </w:t>
      </w:r>
      <w:r w:rsidRPr="00414F9F">
        <w:rPr>
          <w:lang w:eastAsia="zh-TW"/>
        </w:rPr>
        <w:t>s</w:t>
      </w:r>
      <w:r w:rsidRPr="00414F9F">
        <w:rPr>
          <w:rFonts w:hint="eastAsia"/>
          <w:lang w:eastAsia="zh-TW"/>
        </w:rPr>
        <w:t>entence</w:t>
      </w:r>
    </w:p>
    <w:p w:rsidR="00414F9F" w:rsidRPr="00414F9F" w:rsidRDefault="00414F9F" w:rsidP="00414F9F">
      <w:pPr>
        <w:pStyle w:val="T-Draft"/>
      </w:pPr>
      <w:r w:rsidRPr="00414F9F">
        <w:t xml:space="preserve">Acknowledging that drivers were expected to exercise greater caution when approaching and driving through pedestrian crossings, the judge nevertheless took the view that the </w:t>
      </w:r>
      <w:r w:rsidR="004F591C">
        <w:t>p</w:t>
      </w:r>
      <w:r w:rsidRPr="00414F9F">
        <w:t xml:space="preserve">edestrian </w:t>
      </w:r>
      <w:r w:rsidR="004F591C">
        <w:t>c</w:t>
      </w:r>
      <w:r w:rsidRPr="00414F9F">
        <w:t>rossing in question provided “very fine margins”</w:t>
      </w:r>
      <w:r w:rsidR="001243EC">
        <w:rPr>
          <w:rStyle w:val="FootnoteReference"/>
        </w:rPr>
        <w:footnoteReference w:id="6"/>
      </w:r>
      <w:r w:rsidRPr="00414F9F">
        <w:t xml:space="preserve"> for the driver to stop.</w:t>
      </w:r>
    </w:p>
    <w:p w:rsidR="00414F9F" w:rsidRPr="00414F9F" w:rsidRDefault="004F591C" w:rsidP="00414F9F">
      <w:pPr>
        <w:pStyle w:val="T-Draft"/>
      </w:pPr>
      <w:r>
        <w:t>He referred to</w:t>
      </w:r>
      <w:r w:rsidR="00414F9F" w:rsidRPr="00414F9F">
        <w:t xml:space="preserve"> </w:t>
      </w:r>
      <w:r w:rsidR="00414F9F" w:rsidRPr="00414F9F">
        <w:rPr>
          <w:i/>
        </w:rPr>
        <w:t>Secretary for Justice v Poon Wing Kay</w:t>
      </w:r>
      <w:r w:rsidR="00414F9F" w:rsidRPr="00414F9F">
        <w:rPr>
          <w:vertAlign w:val="superscript"/>
        </w:rPr>
        <w:footnoteReference w:id="7"/>
      </w:r>
      <w:r>
        <w:t xml:space="preserve">, </w:t>
      </w:r>
      <w:r w:rsidR="00414F9F" w:rsidRPr="00414F9F">
        <w:t xml:space="preserve">which set out a list of factors the </w:t>
      </w:r>
      <w:r>
        <w:t>c</w:t>
      </w:r>
      <w:r w:rsidR="00414F9F" w:rsidRPr="00414F9F">
        <w:t xml:space="preserve">ourt should take into consideration during sentencing for dangerous driving, </w:t>
      </w:r>
      <w:r>
        <w:t>and</w:t>
      </w:r>
      <w:r w:rsidR="00414F9F" w:rsidRPr="00414F9F">
        <w:t xml:space="preserve"> reminded himself that in assessing the overall seriousness of dangerous driving cases, culpability was the dominant factor.</w:t>
      </w:r>
    </w:p>
    <w:p w:rsidR="00414F9F" w:rsidRPr="00414F9F" w:rsidRDefault="00414F9F" w:rsidP="001610CB">
      <w:pPr>
        <w:pStyle w:val="T-Draft"/>
      </w:pPr>
      <w:r w:rsidRPr="00414F9F">
        <w:t xml:space="preserve">Nevertheless, the </w:t>
      </w:r>
      <w:r w:rsidR="0002174D">
        <w:t>j</w:t>
      </w:r>
      <w:r w:rsidRPr="00414F9F">
        <w:t xml:space="preserve">udge took the view that this particular </w:t>
      </w:r>
      <w:r w:rsidR="004F591C">
        <w:t>p</w:t>
      </w:r>
      <w:r w:rsidRPr="00414F9F">
        <w:t xml:space="preserve">edestrian </w:t>
      </w:r>
      <w:r w:rsidR="004F591C">
        <w:t>c</w:t>
      </w:r>
      <w:r w:rsidRPr="00414F9F">
        <w:t>rossing “was disguised by the road flyover that (the pedestrians) were coming out from under</w:t>
      </w:r>
      <w:r w:rsidR="00C22146">
        <w:t>.  The</w:t>
      </w:r>
      <w:r w:rsidRPr="00414F9F">
        <w:t xml:space="preserve"> red light c</w:t>
      </w:r>
      <w:r w:rsidR="00C22146">
        <w:t>omes</w:t>
      </w:r>
      <w:r w:rsidRPr="00414F9F">
        <w:t xml:space="preserve"> into view some 5 to 6 </w:t>
      </w:r>
      <w:r w:rsidR="003E6719">
        <w:t>‍</w:t>
      </w:r>
      <w:r w:rsidRPr="00414F9F">
        <w:t xml:space="preserve">seconds before impact if </w:t>
      </w:r>
      <w:r w:rsidR="00C22146">
        <w:t>the</w:t>
      </w:r>
      <w:r w:rsidRPr="00414F9F">
        <w:t xml:space="preserve"> car </w:t>
      </w:r>
      <w:r w:rsidR="00C22146">
        <w:t>i</w:t>
      </w:r>
      <w:r w:rsidRPr="00414F9F">
        <w:t xml:space="preserve">s driven </w:t>
      </w:r>
      <w:r w:rsidR="00C22146">
        <w:t>on</w:t>
      </w:r>
      <w:r w:rsidRPr="00414F9F">
        <w:t xml:space="preserve"> the speed limit</w:t>
      </w:r>
      <w:r w:rsidR="00C22146">
        <w:t>,</w:t>
      </w:r>
      <w:r w:rsidRPr="00414F9F">
        <w:t xml:space="preserve"> which </w:t>
      </w:r>
      <w:r w:rsidR="00C22146">
        <w:t>given that the car would take at least 4½ seconds to bring to a halt, provides</w:t>
      </w:r>
      <w:r w:rsidRPr="00414F9F">
        <w:t xml:space="preserve"> a fine margin”</w:t>
      </w:r>
      <w:r w:rsidRPr="00414F9F">
        <w:rPr>
          <w:vertAlign w:val="superscript"/>
        </w:rPr>
        <w:footnoteReference w:id="8"/>
      </w:r>
      <w:r w:rsidRPr="00414F9F">
        <w:t xml:space="preserve">; </w:t>
      </w:r>
      <w:r w:rsidR="00C22146">
        <w:t xml:space="preserve">further, </w:t>
      </w:r>
      <w:r w:rsidRPr="00414F9F">
        <w:t xml:space="preserve">the junction was in a dual carriageway without any traffic calming </w:t>
      </w:r>
      <w:r w:rsidR="004F591C">
        <w:t xml:space="preserve">or speed reducing </w:t>
      </w:r>
      <w:r w:rsidRPr="00414F9F">
        <w:t>measure</w:t>
      </w:r>
      <w:r w:rsidR="004F591C">
        <w:t>s</w:t>
      </w:r>
      <w:r w:rsidRPr="00414F9F">
        <w:rPr>
          <w:vertAlign w:val="superscript"/>
        </w:rPr>
        <w:footnoteReference w:id="9"/>
      </w:r>
      <w:r w:rsidRPr="00414F9F">
        <w:t xml:space="preserve">. </w:t>
      </w:r>
      <w:r w:rsidR="008D4853">
        <w:t xml:space="preserve"> </w:t>
      </w:r>
      <w:r w:rsidRPr="00414F9F">
        <w:t xml:space="preserve">The </w:t>
      </w:r>
      <w:r w:rsidR="0002174D">
        <w:t>j</w:t>
      </w:r>
      <w:r w:rsidRPr="00414F9F">
        <w:t xml:space="preserve">udge found </w:t>
      </w:r>
      <w:r w:rsidR="004F591C">
        <w:t xml:space="preserve">that </w:t>
      </w:r>
      <w:r w:rsidRPr="00414F9F">
        <w:t xml:space="preserve">the </w:t>
      </w:r>
      <w:r w:rsidR="008D4853">
        <w:t>r</w:t>
      </w:r>
      <w:r w:rsidRPr="00414F9F">
        <w:t xml:space="preserve">espondent </w:t>
      </w:r>
      <w:r w:rsidR="004F591C">
        <w:t xml:space="preserve">had </w:t>
      </w:r>
      <w:r w:rsidRPr="00414F9F">
        <w:t xml:space="preserve">failed to exercise </w:t>
      </w:r>
      <w:r w:rsidR="004F591C">
        <w:t>the</w:t>
      </w:r>
      <w:r w:rsidRPr="00414F9F">
        <w:t xml:space="preserve"> extra level of attention and care</w:t>
      </w:r>
      <w:r w:rsidR="004F591C">
        <w:t xml:space="preserve"> that </w:t>
      </w:r>
      <w:r w:rsidR="004F591C">
        <w:lastRenderedPageBreak/>
        <w:t>was necessary when approaching a pedestrian crossing</w:t>
      </w:r>
      <w:r w:rsidR="001610CB">
        <w:rPr>
          <w:rStyle w:val="FootnoteReference"/>
        </w:rPr>
        <w:footnoteReference w:id="10"/>
      </w:r>
      <w:r w:rsidRPr="00414F9F">
        <w:t xml:space="preserve">. </w:t>
      </w:r>
      <w:r w:rsidR="008D4853">
        <w:t xml:space="preserve"> </w:t>
      </w:r>
      <w:r w:rsidRPr="00414F9F">
        <w:t xml:space="preserve">The </w:t>
      </w:r>
      <w:r w:rsidR="001610CB">
        <w:t>respondent had</w:t>
      </w:r>
      <w:r w:rsidRPr="00414F9F">
        <w:t xml:space="preserve"> “show</w:t>
      </w:r>
      <w:r w:rsidR="00C22146">
        <w:t>(n)</w:t>
      </w:r>
      <w:r w:rsidRPr="00414F9F">
        <w:t xml:space="preserve"> a lapse of attention for a number of seconds”</w:t>
      </w:r>
      <w:r w:rsidRPr="00414F9F">
        <w:rPr>
          <w:vertAlign w:val="superscript"/>
        </w:rPr>
        <w:footnoteReference w:id="11"/>
      </w:r>
      <w:r w:rsidRPr="00414F9F">
        <w:t>.</w:t>
      </w:r>
      <w:r w:rsidR="001610CB">
        <w:t xml:space="preserve">  </w:t>
      </w:r>
      <w:r w:rsidRPr="00414F9F">
        <w:t xml:space="preserve">The judge considered that the present case was </w:t>
      </w:r>
      <w:r w:rsidR="001610CB">
        <w:t>“</w:t>
      </w:r>
      <w:r w:rsidRPr="00414F9F">
        <w:t>one of those rare and exceptional cases where a different approach from the usual can be taken to sentencing</w:t>
      </w:r>
      <w:r w:rsidR="001610CB">
        <w:t>”</w:t>
      </w:r>
      <w:r w:rsidR="001610CB">
        <w:rPr>
          <w:rStyle w:val="FootnoteReference"/>
        </w:rPr>
        <w:footnoteReference w:id="12"/>
      </w:r>
      <w:r w:rsidRPr="00414F9F">
        <w:t xml:space="preserve">. </w:t>
      </w:r>
    </w:p>
    <w:p w:rsidR="00414F9F" w:rsidRPr="00414F9F" w:rsidRDefault="00414F9F" w:rsidP="00414F9F">
      <w:pPr>
        <w:pStyle w:val="j-heading"/>
      </w:pPr>
      <w:r w:rsidRPr="00414F9F">
        <w:t>Application for review of sentence</w:t>
      </w:r>
    </w:p>
    <w:p w:rsidR="00414F9F" w:rsidRPr="00414F9F" w:rsidRDefault="00414F9F" w:rsidP="00414F9F">
      <w:pPr>
        <w:pStyle w:val="T-Draft"/>
      </w:pPr>
      <w:r w:rsidRPr="00414F9F">
        <w:t xml:space="preserve">Pursuant to section 81A of the Criminal Procedure Ordinance, </w:t>
      </w:r>
      <w:r w:rsidR="007D0504">
        <w:t xml:space="preserve">Cap 221, </w:t>
      </w:r>
      <w:r w:rsidRPr="00414F9F">
        <w:t>the applicant applies with leave to review the imposition by the judge of the Community Service Order only</w:t>
      </w:r>
      <w:r w:rsidR="001610CB">
        <w:t>,</w:t>
      </w:r>
      <w:r w:rsidRPr="00414F9F">
        <w:t xml:space="preserve"> on the grounds that it was wrong in principle (Ground 1) and/or manifestly inadequate (Ground 2).</w:t>
      </w:r>
    </w:p>
    <w:p w:rsidR="00414F9F" w:rsidRPr="00414F9F" w:rsidRDefault="00414F9F" w:rsidP="00414F9F">
      <w:pPr>
        <w:pStyle w:val="j-heading"/>
      </w:pPr>
      <w:r w:rsidRPr="00414F9F">
        <w:t>Applicant’s submission</w:t>
      </w:r>
    </w:p>
    <w:p w:rsidR="00414F9F" w:rsidRPr="001610CB" w:rsidRDefault="00414F9F" w:rsidP="00414F9F">
      <w:pPr>
        <w:pStyle w:val="j-heading"/>
      </w:pPr>
      <w:r w:rsidRPr="001610CB">
        <w:t>Ground 1</w:t>
      </w:r>
    </w:p>
    <w:p w:rsidR="00414F9F" w:rsidRPr="00414F9F" w:rsidRDefault="00055C08" w:rsidP="00414F9F">
      <w:pPr>
        <w:pStyle w:val="T-Draft"/>
      </w:pPr>
      <w:r>
        <w:t xml:space="preserve">Ms Vinci Lam, </w:t>
      </w:r>
      <w:r w:rsidR="00D9247F">
        <w:t xml:space="preserve">with her Mr Ivan Cheung, </w:t>
      </w:r>
      <w:r>
        <w:t>on behalf of the a</w:t>
      </w:r>
      <w:r w:rsidR="00414F9F" w:rsidRPr="00414F9F">
        <w:t>pplicant</w:t>
      </w:r>
      <w:r>
        <w:t>,</w:t>
      </w:r>
      <w:r w:rsidR="00414F9F" w:rsidRPr="00414F9F">
        <w:t xml:space="preserve"> </w:t>
      </w:r>
      <w:r w:rsidR="001610CB">
        <w:t>has argued essentially three points</w:t>
      </w:r>
      <w:r w:rsidR="007D0504">
        <w:t>.  First</w:t>
      </w:r>
      <w:r w:rsidR="00414F9F" w:rsidRPr="00414F9F">
        <w:t xml:space="preserve">, </w:t>
      </w:r>
      <w:r w:rsidR="00351432">
        <w:t xml:space="preserve">on the facts as outlined, </w:t>
      </w:r>
      <w:r w:rsidR="00414F9F" w:rsidRPr="00414F9F">
        <w:t>an immediate sentence of imprisonment was warranted</w:t>
      </w:r>
      <w:r w:rsidR="007D0504">
        <w:t>.  Secondly</w:t>
      </w:r>
      <w:r w:rsidR="00414F9F" w:rsidRPr="00414F9F">
        <w:t>, such an offence committed at a pedestrian crossing constitute</w:t>
      </w:r>
      <w:r w:rsidR="00351432">
        <w:t>d</w:t>
      </w:r>
      <w:r w:rsidR="00414F9F" w:rsidRPr="00414F9F">
        <w:t xml:space="preserve"> a serious aggravating factor</w:t>
      </w:r>
      <w:r w:rsidR="001610CB">
        <w:t xml:space="preserve"> in sentencing</w:t>
      </w:r>
      <w:r w:rsidR="007D0504">
        <w:t>.  Thirdly,</w:t>
      </w:r>
      <w:r w:rsidR="00414F9F" w:rsidRPr="00414F9F">
        <w:t xml:space="preserve"> the judge gave insufficient reasons for imposing a Community Service Order.</w:t>
      </w:r>
    </w:p>
    <w:p w:rsidR="00414F9F" w:rsidRPr="00414F9F" w:rsidRDefault="00E62466" w:rsidP="00414F9F">
      <w:pPr>
        <w:pStyle w:val="T-Draft"/>
      </w:pPr>
      <w:r>
        <w:t xml:space="preserve">In respect of her </w:t>
      </w:r>
      <w:r w:rsidR="00414F9F" w:rsidRPr="00414F9F">
        <w:t xml:space="preserve">first submission, </w:t>
      </w:r>
      <w:r w:rsidR="00D9247F">
        <w:t xml:space="preserve">Ms Lam relied on </w:t>
      </w:r>
      <w:r w:rsidR="00414F9F" w:rsidRPr="00414F9F">
        <w:rPr>
          <w:i/>
        </w:rPr>
        <w:t xml:space="preserve">HKSAR v Lee </w:t>
      </w:r>
      <w:proofErr w:type="spellStart"/>
      <w:r w:rsidR="00414F9F" w:rsidRPr="00414F9F">
        <w:rPr>
          <w:i/>
        </w:rPr>
        <w:t>Yau</w:t>
      </w:r>
      <w:proofErr w:type="spellEnd"/>
      <w:r w:rsidR="00414F9F" w:rsidRPr="00414F9F">
        <w:rPr>
          <w:i/>
        </w:rPr>
        <w:t xml:space="preserve"> Wing</w:t>
      </w:r>
      <w:r w:rsidR="00414F9F" w:rsidRPr="00414F9F">
        <w:rPr>
          <w:i/>
          <w:vertAlign w:val="superscript"/>
        </w:rPr>
        <w:footnoteReference w:id="13"/>
      </w:r>
      <w:r w:rsidR="00414F9F" w:rsidRPr="00414F9F">
        <w:t xml:space="preserve">, where </w:t>
      </w:r>
      <w:r w:rsidR="00615883">
        <w:t>it was</w:t>
      </w:r>
      <w:r w:rsidR="00055C08">
        <w:t xml:space="preserve"> </w:t>
      </w:r>
      <w:r w:rsidR="00615883">
        <w:t>held</w:t>
      </w:r>
      <w:r w:rsidR="00414F9F" w:rsidRPr="00414F9F">
        <w:t xml:space="preserve"> that in determining the culpability of a defendant’s dangerous driving, </w:t>
      </w:r>
      <w:r w:rsidR="001610CB">
        <w:t>which was</w:t>
      </w:r>
      <w:r w:rsidR="00414F9F" w:rsidRPr="00414F9F">
        <w:t xml:space="preserve"> the dominant factor in </w:t>
      </w:r>
      <w:r w:rsidR="00414F9F" w:rsidRPr="00414F9F">
        <w:lastRenderedPageBreak/>
        <w:t xml:space="preserve">sentencing </w:t>
      </w:r>
      <w:r w:rsidR="00055C08">
        <w:t>for</w:t>
      </w:r>
      <w:r w:rsidR="00414F9F" w:rsidRPr="00414F9F">
        <w:t xml:space="preserve"> </w:t>
      </w:r>
      <w:r w:rsidR="00921461">
        <w:t xml:space="preserve">an offence of </w:t>
      </w:r>
      <w:r w:rsidR="00414F9F" w:rsidRPr="00414F9F">
        <w:t>causing grievous bodily harm</w:t>
      </w:r>
      <w:r w:rsidR="00615883">
        <w:t xml:space="preserve"> by dangerous driving</w:t>
      </w:r>
      <w:r w:rsidR="00414F9F" w:rsidRPr="00414F9F">
        <w:t xml:space="preserve">, there was no reason to treat </w:t>
      </w:r>
      <w:r w:rsidR="00615883">
        <w:t>the offence</w:t>
      </w:r>
      <w:r w:rsidR="00414F9F" w:rsidRPr="00414F9F">
        <w:t xml:space="preserve"> any differently from the other dangerous driving offences in the RTO. </w:t>
      </w:r>
      <w:r w:rsidR="0002174D">
        <w:t xml:space="preserve"> </w:t>
      </w:r>
      <w:r w:rsidR="007D0504">
        <w:t>The Court also considered that t</w:t>
      </w:r>
      <w:r w:rsidR="00414F9F" w:rsidRPr="00414F9F">
        <w:t xml:space="preserve">he body of case law </w:t>
      </w:r>
      <w:r w:rsidR="004C5D24">
        <w:t xml:space="preserve">which has </w:t>
      </w:r>
      <w:r w:rsidR="00414F9F" w:rsidRPr="00414F9F">
        <w:t xml:space="preserve">developed since the case of </w:t>
      </w:r>
      <w:r w:rsidR="00414F9F" w:rsidRPr="00414F9F">
        <w:rPr>
          <w:i/>
        </w:rPr>
        <w:t xml:space="preserve">Poon </w:t>
      </w:r>
      <w:r w:rsidR="0011044B" w:rsidRPr="0011044B">
        <w:rPr>
          <w:b/>
          <w:i/>
        </w:rPr>
        <w:t>‍</w:t>
      </w:r>
      <w:r w:rsidR="00414F9F" w:rsidRPr="00414F9F">
        <w:rPr>
          <w:i/>
        </w:rPr>
        <w:t xml:space="preserve">Wing </w:t>
      </w:r>
      <w:r w:rsidR="0011044B">
        <w:rPr>
          <w:i/>
        </w:rPr>
        <w:t>‍</w:t>
      </w:r>
      <w:r w:rsidR="00414F9F" w:rsidRPr="00414F9F">
        <w:rPr>
          <w:i/>
        </w:rPr>
        <w:t>Kay</w:t>
      </w:r>
      <w:r w:rsidR="00414F9F" w:rsidRPr="00414F9F">
        <w:t xml:space="preserve"> for the offence of causing death by dangerous driving was equally applicable to that of causing grievous bodily harm by dangerous driving</w:t>
      </w:r>
      <w:r w:rsidR="007D0504">
        <w:t>,</w:t>
      </w:r>
      <w:r w:rsidR="00414F9F" w:rsidRPr="00414F9F">
        <w:t xml:space="preserve"> after making necessary allowance for the fact that the latter offence did not involve </w:t>
      </w:r>
      <w:r w:rsidR="00615883">
        <w:t xml:space="preserve">a </w:t>
      </w:r>
      <w:r w:rsidR="00414F9F" w:rsidRPr="00414F9F">
        <w:t xml:space="preserve">death. </w:t>
      </w:r>
      <w:r w:rsidR="0002174D">
        <w:t xml:space="preserve"> </w:t>
      </w:r>
      <w:r w:rsidR="00414F9F" w:rsidRPr="00414F9F">
        <w:t xml:space="preserve">As such, </w:t>
      </w:r>
      <w:r w:rsidR="00055C08">
        <w:t>in accordance with</w:t>
      </w:r>
      <w:r w:rsidR="00414F9F" w:rsidRPr="00414F9F">
        <w:t xml:space="preserve"> </w:t>
      </w:r>
      <w:r w:rsidR="00414F9F" w:rsidRPr="00414F9F">
        <w:rPr>
          <w:i/>
        </w:rPr>
        <w:t xml:space="preserve">Lee </w:t>
      </w:r>
      <w:r w:rsidR="0002174D" w:rsidRPr="0002174D">
        <w:rPr>
          <w:b/>
          <w:i/>
        </w:rPr>
        <w:t>‍</w:t>
      </w:r>
      <w:proofErr w:type="spellStart"/>
      <w:r w:rsidR="00414F9F" w:rsidRPr="00414F9F">
        <w:rPr>
          <w:i/>
        </w:rPr>
        <w:t>Yau</w:t>
      </w:r>
      <w:proofErr w:type="spellEnd"/>
      <w:r w:rsidR="00414F9F" w:rsidRPr="00414F9F">
        <w:rPr>
          <w:i/>
        </w:rPr>
        <w:t xml:space="preserve"> </w:t>
      </w:r>
      <w:r w:rsidR="0002174D">
        <w:rPr>
          <w:i/>
        </w:rPr>
        <w:t>‍</w:t>
      </w:r>
      <w:r w:rsidR="00414F9F" w:rsidRPr="00414F9F">
        <w:rPr>
          <w:i/>
        </w:rPr>
        <w:t>Wing</w:t>
      </w:r>
      <w:r w:rsidR="00414F9F" w:rsidRPr="00414F9F">
        <w:t xml:space="preserve">, </w:t>
      </w:r>
      <w:r w:rsidR="007D0504">
        <w:t xml:space="preserve">Ms </w:t>
      </w:r>
      <w:r w:rsidR="0011044B" w:rsidRPr="0011044B">
        <w:rPr>
          <w:b/>
          <w:i/>
        </w:rPr>
        <w:t>‍</w:t>
      </w:r>
      <w:r w:rsidR="007D0504">
        <w:t xml:space="preserve">Lam submitted that </w:t>
      </w:r>
      <w:r w:rsidR="00414F9F" w:rsidRPr="00414F9F">
        <w:t xml:space="preserve">the sentence for an offence of causing grievous bodily harm by dangerous driving would also inevitably be </w:t>
      </w:r>
      <w:r w:rsidR="004C5D24">
        <w:t xml:space="preserve">one of </w:t>
      </w:r>
      <w:r w:rsidR="00414F9F" w:rsidRPr="00414F9F">
        <w:t>immediate imprisonment.</w:t>
      </w:r>
    </w:p>
    <w:p w:rsidR="00414F9F" w:rsidRPr="00414F9F" w:rsidRDefault="00055C08" w:rsidP="00414F9F">
      <w:pPr>
        <w:pStyle w:val="T-Draft"/>
      </w:pPr>
      <w:r>
        <w:t>In</w:t>
      </w:r>
      <w:r w:rsidR="00414F9F" w:rsidRPr="00414F9F">
        <w:t xml:space="preserve"> </w:t>
      </w:r>
      <w:r w:rsidR="004C5D24" w:rsidRPr="004C5D24">
        <w:rPr>
          <w:i/>
        </w:rPr>
        <w:t>Secretary for Justice</w:t>
      </w:r>
      <w:r w:rsidR="00414F9F" w:rsidRPr="00414F9F">
        <w:rPr>
          <w:i/>
        </w:rPr>
        <w:t xml:space="preserve"> v Ian Francis Wade</w:t>
      </w:r>
      <w:r w:rsidR="00414F9F" w:rsidRPr="00351432">
        <w:rPr>
          <w:vertAlign w:val="superscript"/>
        </w:rPr>
        <w:footnoteReference w:id="14"/>
      </w:r>
      <w:r w:rsidR="00D67B97">
        <w:t xml:space="preserve">, the Court </w:t>
      </w:r>
      <w:r w:rsidR="002E05FC">
        <w:t xml:space="preserve">had </w:t>
      </w:r>
      <w:r w:rsidR="00D67B97">
        <w:t>held that</w:t>
      </w:r>
      <w:r w:rsidR="00414F9F" w:rsidRPr="00414F9F">
        <w:t xml:space="preserve"> </w:t>
      </w:r>
      <w:r w:rsidR="002E05FC">
        <w:t>all offences of dangerous driving must be deterred, but that was particularly so where the dangerous driving result</w:t>
      </w:r>
      <w:r w:rsidR="00615883">
        <w:t>ed</w:t>
      </w:r>
      <w:r w:rsidR="002E05FC">
        <w:t xml:space="preserve"> in death or</w:t>
      </w:r>
      <w:r w:rsidR="00414F9F" w:rsidRPr="00414F9F">
        <w:t xml:space="preserve"> serious injury</w:t>
      </w:r>
      <w:r w:rsidR="002E05FC">
        <w:t xml:space="preserve">, which offences were “to be visited by </w:t>
      </w:r>
      <w:r w:rsidR="00414F9F" w:rsidRPr="00414F9F">
        <w:t>very different penalties</w:t>
      </w:r>
      <w:r w:rsidR="002E05FC">
        <w:t xml:space="preserve"> to those imposed for dangerous driving simpliciter”</w:t>
      </w:r>
      <w:r w:rsidR="003E0626">
        <w:rPr>
          <w:rStyle w:val="FootnoteReference"/>
        </w:rPr>
        <w:footnoteReference w:id="15"/>
      </w:r>
      <w:r w:rsidR="002E05FC">
        <w:t>.  Ms Lam submitted that “very different penalties” meant much more severe sentences.  She drew comparisons with offences of</w:t>
      </w:r>
      <w:r w:rsidR="00414F9F" w:rsidRPr="00414F9F">
        <w:t xml:space="preserve"> causing death </w:t>
      </w:r>
      <w:r w:rsidR="00D67B97">
        <w:t xml:space="preserve">by </w:t>
      </w:r>
      <w:r w:rsidR="00414F9F" w:rsidRPr="00414F9F">
        <w:t>dangerous driving</w:t>
      </w:r>
      <w:r w:rsidR="002E05FC">
        <w:t xml:space="preserve">, where it has been said that the </w:t>
      </w:r>
      <w:r w:rsidR="005546ED">
        <w:t>sentence should normally only be an immediate custodial one, in order to deter other drivers and reflect the serious consequences of the driving: see</w:t>
      </w:r>
      <w:r w:rsidR="00414F9F" w:rsidRPr="00414F9F">
        <w:t xml:space="preserve"> </w:t>
      </w:r>
      <w:r w:rsidR="00414F9F" w:rsidRPr="00414F9F">
        <w:rPr>
          <w:i/>
        </w:rPr>
        <w:t xml:space="preserve">R v </w:t>
      </w:r>
      <w:proofErr w:type="spellStart"/>
      <w:r w:rsidR="00414F9F" w:rsidRPr="00414F9F">
        <w:rPr>
          <w:i/>
        </w:rPr>
        <w:t>Cooksley</w:t>
      </w:r>
      <w:proofErr w:type="spellEnd"/>
      <w:r w:rsidR="00414F9F" w:rsidRPr="00D67B97">
        <w:rPr>
          <w:vertAlign w:val="superscript"/>
        </w:rPr>
        <w:footnoteReference w:id="16"/>
      </w:r>
      <w:r w:rsidR="00615883">
        <w:t>;</w:t>
      </w:r>
      <w:r w:rsidR="00414F9F" w:rsidRPr="00414F9F">
        <w:t xml:space="preserve"> </w:t>
      </w:r>
      <w:r w:rsidR="00414F9F" w:rsidRPr="00414F9F">
        <w:rPr>
          <w:i/>
        </w:rPr>
        <w:t xml:space="preserve">HKSAR v Fong </w:t>
      </w:r>
      <w:r w:rsidR="003E6719" w:rsidRPr="003E6719">
        <w:rPr>
          <w:b/>
          <w:i/>
        </w:rPr>
        <w:t>‍</w:t>
      </w:r>
      <w:r w:rsidR="00414F9F" w:rsidRPr="00414F9F">
        <w:rPr>
          <w:i/>
        </w:rPr>
        <w:t>Chai Man</w:t>
      </w:r>
      <w:r w:rsidR="00414F9F" w:rsidRPr="00D67B97">
        <w:rPr>
          <w:vertAlign w:val="superscript"/>
        </w:rPr>
        <w:footnoteReference w:id="17"/>
      </w:r>
      <w:r w:rsidR="00615883">
        <w:t xml:space="preserve">; </w:t>
      </w:r>
      <w:r w:rsidR="00414F9F" w:rsidRPr="00414F9F">
        <w:t xml:space="preserve">and </w:t>
      </w:r>
      <w:r w:rsidR="00414F9F" w:rsidRPr="00414F9F">
        <w:rPr>
          <w:i/>
        </w:rPr>
        <w:t>S</w:t>
      </w:r>
      <w:r w:rsidR="00D67B97">
        <w:rPr>
          <w:i/>
        </w:rPr>
        <w:t xml:space="preserve">ecretary for Justice </w:t>
      </w:r>
      <w:r w:rsidR="00414F9F" w:rsidRPr="00414F9F">
        <w:rPr>
          <w:i/>
        </w:rPr>
        <w:t xml:space="preserve">v Ng Hop Sing aka Ng </w:t>
      </w:r>
      <w:r w:rsidR="003E6719" w:rsidRPr="003E6719">
        <w:rPr>
          <w:b/>
          <w:i/>
        </w:rPr>
        <w:t>‍</w:t>
      </w:r>
      <w:r w:rsidR="00414F9F" w:rsidRPr="00414F9F">
        <w:rPr>
          <w:i/>
        </w:rPr>
        <w:t xml:space="preserve">Hop </w:t>
      </w:r>
      <w:r w:rsidR="003E6719" w:rsidRPr="003E6719">
        <w:rPr>
          <w:b/>
          <w:i/>
        </w:rPr>
        <w:t>‍</w:t>
      </w:r>
      <w:proofErr w:type="spellStart"/>
      <w:r w:rsidR="00414F9F" w:rsidRPr="00414F9F">
        <w:rPr>
          <w:i/>
        </w:rPr>
        <w:t>Shing</w:t>
      </w:r>
      <w:proofErr w:type="spellEnd"/>
      <w:r w:rsidR="00414F9F" w:rsidRPr="00D67B97">
        <w:rPr>
          <w:vertAlign w:val="superscript"/>
        </w:rPr>
        <w:footnoteReference w:id="18"/>
      </w:r>
      <w:r w:rsidR="00E62466">
        <w:t xml:space="preserve">.  </w:t>
      </w:r>
      <w:r>
        <w:t>Ms Lam</w:t>
      </w:r>
      <w:r w:rsidR="00414F9F" w:rsidRPr="00414F9F">
        <w:t xml:space="preserve"> </w:t>
      </w:r>
      <w:r w:rsidR="00615883">
        <w:t>argued</w:t>
      </w:r>
      <w:r w:rsidR="00E62466">
        <w:t xml:space="preserve"> that</w:t>
      </w:r>
      <w:r>
        <w:t xml:space="preserve"> </w:t>
      </w:r>
      <w:r w:rsidR="00414F9F" w:rsidRPr="00414F9F">
        <w:t xml:space="preserve">an offence of causing grievous bodily harm should also normally </w:t>
      </w:r>
      <w:r w:rsidR="00074E62">
        <w:t>carry</w:t>
      </w:r>
      <w:r w:rsidR="00414F9F" w:rsidRPr="00414F9F">
        <w:t xml:space="preserve"> an immediate custodial sentence.</w:t>
      </w:r>
    </w:p>
    <w:p w:rsidR="00414F9F" w:rsidRPr="00414F9F" w:rsidRDefault="00414F9F" w:rsidP="00414F9F">
      <w:pPr>
        <w:pStyle w:val="T-Draft"/>
      </w:pPr>
      <w:r w:rsidRPr="00414F9F">
        <w:lastRenderedPageBreak/>
        <w:t xml:space="preserve">In respect of </w:t>
      </w:r>
      <w:r w:rsidR="00E62466">
        <w:t>her</w:t>
      </w:r>
      <w:r w:rsidRPr="00414F9F">
        <w:t xml:space="preserve"> second submission, </w:t>
      </w:r>
      <w:r w:rsidR="00055C08">
        <w:t>Ms Lam</w:t>
      </w:r>
      <w:r w:rsidRPr="00414F9F">
        <w:t xml:space="preserve"> </w:t>
      </w:r>
      <w:r w:rsidR="00D67B97">
        <w:t>referred to</w:t>
      </w:r>
      <w:r w:rsidRPr="00414F9F">
        <w:t xml:space="preserve"> </w:t>
      </w:r>
      <w:r w:rsidRPr="00414F9F">
        <w:rPr>
          <w:i/>
        </w:rPr>
        <w:t>S</w:t>
      </w:r>
      <w:r w:rsidR="00D67B97">
        <w:rPr>
          <w:i/>
        </w:rPr>
        <w:t>ecretary for Justice</w:t>
      </w:r>
      <w:r w:rsidRPr="00414F9F">
        <w:rPr>
          <w:i/>
        </w:rPr>
        <w:t xml:space="preserve"> v Lam Siu Tong</w:t>
      </w:r>
      <w:r w:rsidRPr="00D67B97">
        <w:rPr>
          <w:vertAlign w:val="superscript"/>
        </w:rPr>
        <w:footnoteReference w:id="19"/>
      </w:r>
      <w:r w:rsidRPr="00414F9F">
        <w:t xml:space="preserve">, </w:t>
      </w:r>
      <w:r w:rsidRPr="00414F9F">
        <w:rPr>
          <w:i/>
        </w:rPr>
        <w:t>S</w:t>
      </w:r>
      <w:r w:rsidR="00D67B97">
        <w:rPr>
          <w:i/>
        </w:rPr>
        <w:t>ecretary for Justice</w:t>
      </w:r>
      <w:r w:rsidRPr="00414F9F">
        <w:rPr>
          <w:i/>
        </w:rPr>
        <w:t xml:space="preserve"> v Wong </w:t>
      </w:r>
      <w:r w:rsidR="003E6719" w:rsidRPr="003E6719">
        <w:rPr>
          <w:b/>
          <w:i/>
        </w:rPr>
        <w:t>‍</w:t>
      </w:r>
      <w:proofErr w:type="spellStart"/>
      <w:r w:rsidRPr="00414F9F">
        <w:rPr>
          <w:i/>
        </w:rPr>
        <w:t>Wai</w:t>
      </w:r>
      <w:proofErr w:type="spellEnd"/>
      <w:r w:rsidRPr="00414F9F">
        <w:rPr>
          <w:i/>
        </w:rPr>
        <w:t xml:space="preserve"> </w:t>
      </w:r>
      <w:r w:rsidR="003E6719" w:rsidRPr="003E6719">
        <w:rPr>
          <w:b/>
          <w:i/>
        </w:rPr>
        <w:t>‍</w:t>
      </w:r>
      <w:r w:rsidRPr="00414F9F">
        <w:rPr>
          <w:i/>
        </w:rPr>
        <w:t>Hung</w:t>
      </w:r>
      <w:r w:rsidRPr="00D67B97">
        <w:rPr>
          <w:vertAlign w:val="superscript"/>
        </w:rPr>
        <w:footnoteReference w:id="20"/>
      </w:r>
      <w:r w:rsidRPr="00414F9F">
        <w:t xml:space="preserve"> and </w:t>
      </w:r>
      <w:r w:rsidRPr="00414F9F">
        <w:rPr>
          <w:i/>
        </w:rPr>
        <w:t xml:space="preserve">Lee </w:t>
      </w:r>
      <w:r w:rsidR="0002174D" w:rsidRPr="0002174D">
        <w:rPr>
          <w:b/>
          <w:i/>
        </w:rPr>
        <w:t>‍</w:t>
      </w:r>
      <w:proofErr w:type="spellStart"/>
      <w:r w:rsidRPr="00414F9F">
        <w:rPr>
          <w:i/>
        </w:rPr>
        <w:t>Yau</w:t>
      </w:r>
      <w:proofErr w:type="spellEnd"/>
      <w:r w:rsidRPr="00414F9F">
        <w:rPr>
          <w:i/>
        </w:rPr>
        <w:t xml:space="preserve"> </w:t>
      </w:r>
      <w:r w:rsidR="0002174D" w:rsidRPr="0002174D">
        <w:rPr>
          <w:b/>
          <w:i/>
        </w:rPr>
        <w:t>‍</w:t>
      </w:r>
      <w:r w:rsidRPr="00414F9F">
        <w:rPr>
          <w:i/>
        </w:rPr>
        <w:t>Wing</w:t>
      </w:r>
      <w:r w:rsidR="00D67B97">
        <w:t xml:space="preserve">, </w:t>
      </w:r>
      <w:r w:rsidR="00E62466">
        <w:t>in which all of the offences had been c</w:t>
      </w:r>
      <w:r w:rsidRPr="00414F9F">
        <w:t xml:space="preserve">ommitted at pedestrian crossings. </w:t>
      </w:r>
      <w:r w:rsidR="0002174D">
        <w:t xml:space="preserve"> </w:t>
      </w:r>
      <w:r w:rsidRPr="00414F9F">
        <w:t>The sentence</w:t>
      </w:r>
      <w:r w:rsidR="00055C08">
        <w:t>s</w:t>
      </w:r>
      <w:r w:rsidRPr="00414F9F">
        <w:t xml:space="preserve"> in all </w:t>
      </w:r>
      <w:r w:rsidR="00D67B97">
        <w:t xml:space="preserve">of </w:t>
      </w:r>
      <w:r w:rsidRPr="00414F9F">
        <w:t>these cases w</w:t>
      </w:r>
      <w:r w:rsidR="00055C08">
        <w:t>ere</w:t>
      </w:r>
      <w:r w:rsidRPr="00414F9F">
        <w:t xml:space="preserve"> </w:t>
      </w:r>
      <w:r w:rsidR="00E62466">
        <w:t xml:space="preserve">ones </w:t>
      </w:r>
      <w:r w:rsidRPr="00414F9F">
        <w:t xml:space="preserve">of immediate imprisonment. </w:t>
      </w:r>
      <w:r w:rsidR="0002174D">
        <w:t xml:space="preserve"> </w:t>
      </w:r>
      <w:r w:rsidR="00921461">
        <w:t xml:space="preserve">There was nothing exceptional about the facts and circumstances of the present case and no justification for </w:t>
      </w:r>
      <w:r w:rsidRPr="00414F9F">
        <w:t>imposing a Community Service Order on the respondent.</w:t>
      </w:r>
    </w:p>
    <w:p w:rsidR="00414F9F" w:rsidRPr="00414F9F" w:rsidRDefault="00055C08" w:rsidP="004119F1">
      <w:pPr>
        <w:pStyle w:val="T-Draft"/>
      </w:pPr>
      <w:r>
        <w:t>Ms Lam further took issue with the judge’s statement that “n</w:t>
      </w:r>
      <w:r w:rsidR="00414F9F" w:rsidRPr="00414F9F">
        <w:t>ot all pedestrian crossings are the same”</w:t>
      </w:r>
      <w:r w:rsidR="00E62466">
        <w:rPr>
          <w:rStyle w:val="FootnoteReference"/>
        </w:rPr>
        <w:footnoteReference w:id="21"/>
      </w:r>
      <w:r w:rsidR="00E62466">
        <w:t>,</w:t>
      </w:r>
      <w:r w:rsidR="00414F9F" w:rsidRPr="00414F9F">
        <w:t xml:space="preserve"> </w:t>
      </w:r>
      <w:r w:rsidR="004119F1">
        <w:t>if the implication of his statement was that this particular pedestrian crossing was more problematic tha</w:t>
      </w:r>
      <w:r w:rsidR="00615883">
        <w:t>n</w:t>
      </w:r>
      <w:r w:rsidR="004119F1">
        <w:t xml:space="preserve"> any other in terms of its location and design.  All</w:t>
      </w:r>
      <w:r w:rsidR="00414F9F" w:rsidRPr="00414F9F">
        <w:t xml:space="preserve"> pedestrian crossings </w:t>
      </w:r>
      <w:r w:rsidR="004119F1">
        <w:t xml:space="preserve">demanded </w:t>
      </w:r>
      <w:r w:rsidR="00414F9F" w:rsidRPr="00414F9F">
        <w:t xml:space="preserve">extra care and attention </w:t>
      </w:r>
      <w:r w:rsidR="004119F1">
        <w:t>on the part of drivers approaching them,</w:t>
      </w:r>
      <w:r w:rsidR="00414F9F" w:rsidRPr="00414F9F">
        <w:t xml:space="preserve"> given their common function, whatever t</w:t>
      </w:r>
      <w:r w:rsidR="008557BA">
        <w:t xml:space="preserve">heir design and their location.  </w:t>
      </w:r>
      <w:r w:rsidR="00E62466">
        <w:t xml:space="preserve">As the Court had emphasised </w:t>
      </w:r>
      <w:r>
        <w:t>in</w:t>
      </w:r>
      <w:r w:rsidR="00414F9F" w:rsidRPr="00414F9F">
        <w:t xml:space="preserve"> </w:t>
      </w:r>
      <w:r w:rsidR="00E62466">
        <w:rPr>
          <w:i/>
        </w:rPr>
        <w:t>Lam Siu Tong</w:t>
      </w:r>
      <w:r w:rsidR="00E62466">
        <w:t>,</w:t>
      </w:r>
      <w:r w:rsidR="00414F9F" w:rsidRPr="00414F9F">
        <w:t xml:space="preserve"> an accident at a pedestrian crossing constitute</w:t>
      </w:r>
      <w:r>
        <w:t>d</w:t>
      </w:r>
      <w:r w:rsidR="00414F9F" w:rsidRPr="00414F9F">
        <w:t xml:space="preserve"> a serious aggravating feature.</w:t>
      </w:r>
      <w:r w:rsidR="0002174D">
        <w:t xml:space="preserve"> </w:t>
      </w:r>
      <w:r w:rsidR="00414F9F" w:rsidRPr="00414F9F">
        <w:t xml:space="preserve"> The </w:t>
      </w:r>
      <w:r w:rsidR="008557BA">
        <w:t>camera recording from the respondent’s vehicle</w:t>
      </w:r>
      <w:r w:rsidR="00414F9F" w:rsidRPr="00414F9F">
        <w:t xml:space="preserve"> showed that the </w:t>
      </w:r>
      <w:r w:rsidR="008557BA">
        <w:t>p</w:t>
      </w:r>
      <w:r w:rsidR="00414F9F" w:rsidRPr="00414F9F">
        <w:t xml:space="preserve">edestrian </w:t>
      </w:r>
      <w:r w:rsidR="008557BA">
        <w:t>c</w:t>
      </w:r>
      <w:r w:rsidR="00414F9F" w:rsidRPr="00414F9F">
        <w:t>rossing was plainly visible</w:t>
      </w:r>
      <w:r w:rsidR="004119F1">
        <w:t xml:space="preserve"> to the driver</w:t>
      </w:r>
      <w:r w:rsidR="00414F9F" w:rsidRPr="00414F9F">
        <w:t xml:space="preserve">. </w:t>
      </w:r>
      <w:r w:rsidR="00E62466">
        <w:t xml:space="preserve"> </w:t>
      </w:r>
      <w:r w:rsidR="004119F1">
        <w:t>The judge was not correct</w:t>
      </w:r>
      <w:r w:rsidR="00615883">
        <w:t>, therefore,</w:t>
      </w:r>
      <w:r w:rsidR="004119F1">
        <w:t xml:space="preserve"> to suggest </w:t>
      </w:r>
      <w:r>
        <w:t xml:space="preserve">that </w:t>
      </w:r>
      <w:r w:rsidR="008557BA">
        <w:t>the p</w:t>
      </w:r>
      <w:r w:rsidR="00414F9F" w:rsidRPr="00414F9F">
        <w:t xml:space="preserve">edestrian </w:t>
      </w:r>
      <w:r w:rsidR="008557BA">
        <w:t>c</w:t>
      </w:r>
      <w:r w:rsidR="00414F9F" w:rsidRPr="00414F9F">
        <w:t>rossing</w:t>
      </w:r>
      <w:r>
        <w:t xml:space="preserve"> and those standing on the central reservation were</w:t>
      </w:r>
      <w:r w:rsidR="00414F9F" w:rsidRPr="00414F9F">
        <w:t xml:space="preserve"> </w:t>
      </w:r>
      <w:r w:rsidR="004119F1">
        <w:t xml:space="preserve">somehow </w:t>
      </w:r>
      <w:r w:rsidR="008557BA">
        <w:t xml:space="preserve">disguised by the </w:t>
      </w:r>
      <w:r w:rsidR="00414F9F" w:rsidRPr="00414F9F">
        <w:t xml:space="preserve">flyover. </w:t>
      </w:r>
    </w:p>
    <w:p w:rsidR="00414F9F" w:rsidRPr="00414F9F" w:rsidRDefault="00414F9F" w:rsidP="004119F1">
      <w:pPr>
        <w:pStyle w:val="T-Draft"/>
      </w:pPr>
      <w:r w:rsidRPr="00414F9F">
        <w:t xml:space="preserve">Finally, </w:t>
      </w:r>
      <w:r w:rsidR="004119F1">
        <w:t xml:space="preserve">in respect of her third submission, </w:t>
      </w:r>
      <w:r w:rsidR="00C5567A">
        <w:t>Ms Lam contended</w:t>
      </w:r>
      <w:r w:rsidRPr="00414F9F">
        <w:t xml:space="preserve"> that the judge </w:t>
      </w:r>
      <w:r w:rsidR="00C5567A">
        <w:t>had given</w:t>
      </w:r>
      <w:r w:rsidRPr="00414F9F">
        <w:t xml:space="preserve"> undue weight to </w:t>
      </w:r>
      <w:r w:rsidR="008557BA">
        <w:t>the</w:t>
      </w:r>
      <w:r w:rsidRPr="00414F9F">
        <w:t xml:space="preserve"> respondent’s good character and remorse</w:t>
      </w:r>
      <w:r w:rsidR="00C5567A">
        <w:t xml:space="preserve"> and not enough consideration to</w:t>
      </w:r>
      <w:r w:rsidRPr="00414F9F">
        <w:t xml:space="preserve"> the injuries </w:t>
      </w:r>
      <w:r w:rsidR="004119F1">
        <w:t xml:space="preserve">occasioned </w:t>
      </w:r>
      <w:r w:rsidRPr="00414F9F">
        <w:t>to PW1</w:t>
      </w:r>
      <w:r w:rsidR="00382E04">
        <w:t xml:space="preserve"> and PW2</w:t>
      </w:r>
      <w:r w:rsidRPr="00414F9F">
        <w:t>.</w:t>
      </w:r>
      <w:r w:rsidR="004119F1">
        <w:t xml:space="preserve">  </w:t>
      </w:r>
      <w:r w:rsidRPr="00414F9F">
        <w:t xml:space="preserve">Though the dominant factor in sentence </w:t>
      </w:r>
      <w:r w:rsidR="008E1112">
        <w:t>wa</w:t>
      </w:r>
      <w:r w:rsidRPr="00414F9F">
        <w:t>s the culpability of the driving misconduct, the harm suffered by the t</w:t>
      </w:r>
      <w:r w:rsidR="00382E04">
        <w:t>wo</w:t>
      </w:r>
      <w:r w:rsidRPr="00414F9F">
        <w:t xml:space="preserve"> victims, </w:t>
      </w:r>
      <w:r w:rsidRPr="00414F9F">
        <w:lastRenderedPageBreak/>
        <w:t xml:space="preserve">one of </w:t>
      </w:r>
      <w:r w:rsidR="004119F1">
        <w:t>whom was</w:t>
      </w:r>
      <w:r w:rsidRPr="00414F9F">
        <w:t xml:space="preserve"> still suffering from </w:t>
      </w:r>
      <w:r w:rsidR="004119F1">
        <w:t>a</w:t>
      </w:r>
      <w:r w:rsidRPr="00414F9F">
        <w:t xml:space="preserve"> </w:t>
      </w:r>
      <w:r w:rsidR="008557BA">
        <w:t xml:space="preserve">form of </w:t>
      </w:r>
      <w:r w:rsidRPr="00414F9F">
        <w:t xml:space="preserve">paralysis at the time of sentencing, </w:t>
      </w:r>
      <w:r w:rsidR="008557BA">
        <w:t xml:space="preserve">was also an important factor.  </w:t>
      </w:r>
      <w:r w:rsidR="008E1112">
        <w:t>The judge had</w:t>
      </w:r>
      <w:r w:rsidRPr="00414F9F">
        <w:t xml:space="preserve"> failed to accommodate the sentencing principles of retribution, deterrence and denunciation, as </w:t>
      </w:r>
      <w:r w:rsidR="008557BA">
        <w:t>considered by the Court in</w:t>
      </w:r>
      <w:r w:rsidRPr="00414F9F">
        <w:t xml:space="preserve"> </w:t>
      </w:r>
      <w:r w:rsidRPr="004119F1">
        <w:rPr>
          <w:i/>
        </w:rPr>
        <w:t xml:space="preserve">Lee </w:t>
      </w:r>
      <w:r w:rsidR="0002174D" w:rsidRPr="004119F1">
        <w:rPr>
          <w:b/>
          <w:i/>
        </w:rPr>
        <w:t>‍</w:t>
      </w:r>
      <w:proofErr w:type="spellStart"/>
      <w:r w:rsidRPr="004119F1">
        <w:rPr>
          <w:i/>
        </w:rPr>
        <w:t>Yau</w:t>
      </w:r>
      <w:proofErr w:type="spellEnd"/>
      <w:r w:rsidRPr="004119F1">
        <w:rPr>
          <w:i/>
        </w:rPr>
        <w:t xml:space="preserve"> </w:t>
      </w:r>
      <w:r w:rsidR="0002174D" w:rsidRPr="004119F1">
        <w:rPr>
          <w:b/>
          <w:i/>
        </w:rPr>
        <w:t>‍</w:t>
      </w:r>
      <w:r w:rsidRPr="004119F1">
        <w:rPr>
          <w:i/>
        </w:rPr>
        <w:t>Wing</w:t>
      </w:r>
      <w:r w:rsidRPr="00414F9F">
        <w:t xml:space="preserve">, when sentencing </w:t>
      </w:r>
      <w:r w:rsidR="008E1112">
        <w:t xml:space="preserve">for </w:t>
      </w:r>
      <w:r w:rsidRPr="00414F9F">
        <w:t>an offence of this natu</w:t>
      </w:r>
      <w:r w:rsidR="0002174D">
        <w:t xml:space="preserve">re.  </w:t>
      </w:r>
    </w:p>
    <w:p w:rsidR="00414F9F" w:rsidRPr="00414F9F" w:rsidRDefault="00414F9F" w:rsidP="00414F9F">
      <w:pPr>
        <w:pStyle w:val="T-Draft"/>
      </w:pPr>
      <w:r w:rsidRPr="00414F9F">
        <w:t xml:space="preserve">The applicant invited the Court to substitute </w:t>
      </w:r>
      <w:r w:rsidR="00150975">
        <w:t xml:space="preserve">for </w:t>
      </w:r>
      <w:r w:rsidRPr="00414F9F">
        <w:t xml:space="preserve">the Community Service Order </w:t>
      </w:r>
      <w:r w:rsidR="00150975">
        <w:t>a sentence of</w:t>
      </w:r>
      <w:r w:rsidRPr="00414F9F">
        <w:t xml:space="preserve"> immediate imprisonment, whilst giving </w:t>
      </w:r>
      <w:r w:rsidR="00074E62">
        <w:t xml:space="preserve">an </w:t>
      </w:r>
      <w:r w:rsidRPr="00414F9F">
        <w:t xml:space="preserve">allowance for the hours of community service she has performed. </w:t>
      </w:r>
      <w:r w:rsidR="0002174D">
        <w:t xml:space="preserve"> </w:t>
      </w:r>
      <w:r w:rsidR="00150975">
        <w:t>It was submitted that any completion of the</w:t>
      </w:r>
      <w:r w:rsidRPr="00414F9F">
        <w:t xml:space="preserve"> </w:t>
      </w:r>
      <w:r w:rsidR="0002174D">
        <w:t>C</w:t>
      </w:r>
      <w:r w:rsidRPr="00414F9F">
        <w:t xml:space="preserve">ommunity </w:t>
      </w:r>
      <w:r w:rsidR="0002174D">
        <w:t>S</w:t>
      </w:r>
      <w:r w:rsidRPr="00414F9F">
        <w:t xml:space="preserve">ervice </w:t>
      </w:r>
      <w:r w:rsidR="0002174D">
        <w:t>O</w:t>
      </w:r>
      <w:r w:rsidRPr="00414F9F">
        <w:t>rder</w:t>
      </w:r>
      <w:r w:rsidR="00150975">
        <w:t xml:space="preserve"> by the respondent, in whole or in part, </w:t>
      </w:r>
      <w:r w:rsidRPr="00414F9F">
        <w:t xml:space="preserve">should not </w:t>
      </w:r>
      <w:r w:rsidR="00074E62">
        <w:t xml:space="preserve">be a </w:t>
      </w:r>
      <w:r w:rsidRPr="00414F9F">
        <w:t xml:space="preserve">bar </w:t>
      </w:r>
      <w:r w:rsidR="00074E62">
        <w:t xml:space="preserve">to </w:t>
      </w:r>
      <w:r w:rsidRPr="00414F9F">
        <w:t>the relief sought by the applicant.</w:t>
      </w:r>
    </w:p>
    <w:p w:rsidR="00414F9F" w:rsidRPr="00414F9F" w:rsidRDefault="00414F9F" w:rsidP="00414F9F">
      <w:pPr>
        <w:pStyle w:val="j-heading"/>
      </w:pPr>
      <w:r w:rsidRPr="00414F9F">
        <w:t>Respondent’s submissions</w:t>
      </w:r>
    </w:p>
    <w:p w:rsidR="00414F9F" w:rsidRPr="00414F9F" w:rsidRDefault="00414F9F" w:rsidP="008557BA">
      <w:pPr>
        <w:pStyle w:val="T-Draft"/>
      </w:pPr>
      <w:r w:rsidRPr="00414F9F">
        <w:t xml:space="preserve">In opposing the </w:t>
      </w:r>
      <w:r w:rsidR="0002174D">
        <w:t>a</w:t>
      </w:r>
      <w:r w:rsidRPr="00414F9F">
        <w:t>pplicant’s application for review, M</w:t>
      </w:r>
      <w:r w:rsidR="008557BA">
        <w:t>r</w:t>
      </w:r>
      <w:r w:rsidRPr="00414F9F">
        <w:t xml:space="preserve"> </w:t>
      </w:r>
      <w:r w:rsidR="0002174D" w:rsidRPr="0002174D">
        <w:rPr>
          <w:b/>
          <w:i/>
        </w:rPr>
        <w:t>‍</w:t>
      </w:r>
      <w:r w:rsidRPr="00414F9F">
        <w:t xml:space="preserve">HY </w:t>
      </w:r>
      <w:r w:rsidR="0002174D" w:rsidRPr="0002174D">
        <w:rPr>
          <w:b/>
          <w:i/>
        </w:rPr>
        <w:t>‍</w:t>
      </w:r>
      <w:r w:rsidRPr="00414F9F">
        <w:t>Wong, on behalf of the respondent</w:t>
      </w:r>
      <w:r w:rsidR="008557BA">
        <w:t>,</w:t>
      </w:r>
      <w:r w:rsidRPr="00414F9F">
        <w:t xml:space="preserve"> argued that the judge </w:t>
      </w:r>
      <w:r w:rsidR="008557BA">
        <w:t>had</w:t>
      </w:r>
      <w:r w:rsidRPr="00414F9F">
        <w:t xml:space="preserve"> conscientiously appl</w:t>
      </w:r>
      <w:r w:rsidR="008557BA">
        <w:t>ied</w:t>
      </w:r>
      <w:r w:rsidRPr="00414F9F">
        <w:t xml:space="preserve"> his mind to all relevant factors and c</w:t>
      </w:r>
      <w:r w:rsidR="008557BA">
        <w:t>o</w:t>
      </w:r>
      <w:r w:rsidRPr="00414F9F">
        <w:t xml:space="preserve">me to the conclusion that the present case was </w:t>
      </w:r>
      <w:r w:rsidR="008E1112">
        <w:t>“</w:t>
      </w:r>
      <w:r w:rsidRPr="00414F9F">
        <w:t>one of th</w:t>
      </w:r>
      <w:r w:rsidR="008E1112">
        <w:t>os</w:t>
      </w:r>
      <w:r w:rsidRPr="00414F9F">
        <w:t xml:space="preserve">e rare and exceptional cases where a different approach from the usual </w:t>
      </w:r>
      <w:r w:rsidR="008E1112">
        <w:t>can</w:t>
      </w:r>
      <w:r w:rsidRPr="00414F9F">
        <w:t xml:space="preserve"> be taken </w:t>
      </w:r>
      <w:r w:rsidR="008E1112">
        <w:t>to</w:t>
      </w:r>
      <w:r w:rsidR="008557BA">
        <w:t xml:space="preserve"> sentencing</w:t>
      </w:r>
      <w:r w:rsidR="008E1112">
        <w:t>”</w:t>
      </w:r>
      <w:r w:rsidR="008E1112">
        <w:rPr>
          <w:rStyle w:val="FootnoteReference"/>
        </w:rPr>
        <w:footnoteReference w:id="22"/>
      </w:r>
      <w:r w:rsidR="008557BA">
        <w:t xml:space="preserve">.  </w:t>
      </w:r>
      <w:r w:rsidR="00382E04">
        <w:t>He argued that t</w:t>
      </w:r>
      <w:r w:rsidR="0002174D">
        <w:t>he j</w:t>
      </w:r>
      <w:r w:rsidRPr="00414F9F">
        <w:t xml:space="preserve">udge </w:t>
      </w:r>
      <w:r w:rsidR="008E1112">
        <w:t xml:space="preserve">had properly considered </w:t>
      </w:r>
      <w:r w:rsidRPr="00414F9F">
        <w:t xml:space="preserve">all the </w:t>
      </w:r>
      <w:r w:rsidR="008557BA">
        <w:t xml:space="preserve">relevant </w:t>
      </w:r>
      <w:r w:rsidRPr="00414F9F">
        <w:t xml:space="preserve">sentencing principles expressed in </w:t>
      </w:r>
      <w:r w:rsidRPr="008557BA">
        <w:rPr>
          <w:i/>
        </w:rPr>
        <w:t xml:space="preserve">Lee </w:t>
      </w:r>
      <w:proofErr w:type="spellStart"/>
      <w:r w:rsidRPr="008557BA">
        <w:rPr>
          <w:i/>
        </w:rPr>
        <w:t>Yau</w:t>
      </w:r>
      <w:proofErr w:type="spellEnd"/>
      <w:r w:rsidRPr="008557BA">
        <w:rPr>
          <w:i/>
        </w:rPr>
        <w:t xml:space="preserve"> Wing</w:t>
      </w:r>
      <w:r w:rsidRPr="00414F9F">
        <w:t xml:space="preserve"> </w:t>
      </w:r>
      <w:r w:rsidR="008E1112">
        <w:t>when</w:t>
      </w:r>
      <w:r w:rsidRPr="00414F9F">
        <w:t xml:space="preserve"> sentencing</w:t>
      </w:r>
      <w:r w:rsidR="00382E04">
        <w:t xml:space="preserve"> the respondent</w:t>
      </w:r>
      <w:r w:rsidRPr="00414F9F">
        <w:t xml:space="preserve">. </w:t>
      </w:r>
      <w:r w:rsidR="0002174D">
        <w:t xml:space="preserve"> </w:t>
      </w:r>
      <w:r w:rsidRPr="00414F9F">
        <w:t xml:space="preserve">Having watched the camera footage and carefully analysed the matters to be weighed, the judge accepted </w:t>
      </w:r>
      <w:r w:rsidR="008557BA">
        <w:t xml:space="preserve">that </w:t>
      </w:r>
      <w:r w:rsidRPr="00414F9F">
        <w:t xml:space="preserve">it was momentary inattention </w:t>
      </w:r>
      <w:r w:rsidR="008557BA">
        <w:t xml:space="preserve">on the respondent’s part </w:t>
      </w:r>
      <w:r w:rsidRPr="00414F9F">
        <w:t>in keeping a proper lookout</w:t>
      </w:r>
      <w:r w:rsidR="008E1112">
        <w:t>,</w:t>
      </w:r>
      <w:r w:rsidRPr="00414F9F">
        <w:t xml:space="preserve"> as opposed to a deliberate ru</w:t>
      </w:r>
      <w:r w:rsidR="001023EC">
        <w:t>nn</w:t>
      </w:r>
      <w:r w:rsidRPr="00414F9F">
        <w:t>ing through the red light, or a wilful refusal to stop.</w:t>
      </w:r>
    </w:p>
    <w:p w:rsidR="00414F9F" w:rsidRPr="00414F9F" w:rsidRDefault="00414F9F" w:rsidP="00414F9F">
      <w:pPr>
        <w:pStyle w:val="T-Draft"/>
      </w:pPr>
      <w:r w:rsidRPr="00414F9F">
        <w:lastRenderedPageBreak/>
        <w:t>Mr. Wong further dr</w:t>
      </w:r>
      <w:r w:rsidR="008557BA">
        <w:t>ew</w:t>
      </w:r>
      <w:r w:rsidRPr="00414F9F">
        <w:t xml:space="preserve"> the Court’s attention to the following passage in </w:t>
      </w:r>
      <w:r w:rsidRPr="00414F9F">
        <w:rPr>
          <w:i/>
        </w:rPr>
        <w:t>Attorney-General’s Reference No 4 of 1989</w:t>
      </w:r>
      <w:r w:rsidR="008557BA" w:rsidRPr="008557BA">
        <w:rPr>
          <w:rStyle w:val="FootnoteReference"/>
        </w:rPr>
        <w:footnoteReference w:id="23"/>
      </w:r>
      <w:r w:rsidRPr="00414F9F">
        <w:t>:</w:t>
      </w:r>
    </w:p>
    <w:p w:rsidR="00414F9F" w:rsidRPr="00414F9F" w:rsidRDefault="00414F9F" w:rsidP="00414F9F">
      <w:pPr>
        <w:pStyle w:val="j-quotation"/>
      </w:pPr>
      <w:r w:rsidRPr="00414F9F">
        <w:t>“it must always be remembered that sentencing is an art rather than a science</w:t>
      </w:r>
      <w:r w:rsidR="00382E04">
        <w:t>;</w:t>
      </w:r>
      <w:r w:rsidRPr="00414F9F">
        <w:t xml:space="preserve"> that the trial judge is particularly well placed to assess the weight to be given to various competing considerations</w:t>
      </w:r>
      <w:r w:rsidR="00382E04">
        <w:t>;</w:t>
      </w:r>
      <w:r w:rsidRPr="00414F9F">
        <w:t xml:space="preserve"> and that leniency is not </w:t>
      </w:r>
      <w:r w:rsidR="00382E04">
        <w:t xml:space="preserve">in </w:t>
      </w:r>
      <w:r w:rsidRPr="00414F9F">
        <w:t>itself a vice.</w:t>
      </w:r>
      <w:r w:rsidR="0002174D">
        <w:t xml:space="preserve"> </w:t>
      </w:r>
      <w:r w:rsidRPr="00414F9F">
        <w:t xml:space="preserve"> That mercy should season justice is a proposition as soundly based in law as it is in literature.” … [</w:t>
      </w:r>
      <w:r w:rsidR="008B5487">
        <w:t>I</w:t>
      </w:r>
      <w:r w:rsidRPr="00414F9F">
        <w:t xml:space="preserve">n an application to review </w:t>
      </w:r>
      <w:r w:rsidR="00382E04">
        <w:t xml:space="preserve">a </w:t>
      </w:r>
      <w:r w:rsidRPr="00414F9F">
        <w:t xml:space="preserve">sentence by </w:t>
      </w:r>
      <w:r w:rsidR="00382E04">
        <w:t xml:space="preserve">the </w:t>
      </w:r>
      <w:r w:rsidRPr="00414F9F">
        <w:t>prosecution] even where it considers that the sentence was unduly lenient, this Court has a discretion as to whether to exercise its power</w:t>
      </w:r>
      <w:r w:rsidR="00382E04">
        <w:t>s</w:t>
      </w:r>
      <w:r w:rsidRPr="00414F9F">
        <w:t>.”</w:t>
      </w:r>
    </w:p>
    <w:p w:rsidR="00414F9F" w:rsidRPr="00414F9F" w:rsidRDefault="008557BA" w:rsidP="008D66A1">
      <w:pPr>
        <w:pStyle w:val="T-Draft"/>
      </w:pPr>
      <w:r>
        <w:t>He reminded the Court that on</w:t>
      </w:r>
      <w:r w:rsidR="00414F9F" w:rsidRPr="00414F9F">
        <w:t xml:space="preserve"> an application for review pursuant to Section 81A of Criminal Procedure Ordinance, even where it considers that the sentence was unduly lenient, th</w:t>
      </w:r>
      <w:r w:rsidR="008D66A1">
        <w:t>is</w:t>
      </w:r>
      <w:r w:rsidR="00414F9F" w:rsidRPr="00414F9F">
        <w:t xml:space="preserve"> </w:t>
      </w:r>
      <w:r w:rsidR="0002174D">
        <w:t>C</w:t>
      </w:r>
      <w:r w:rsidR="00414F9F" w:rsidRPr="00414F9F">
        <w:t>ourt still has a discretion as to</w:t>
      </w:r>
      <w:r w:rsidR="008D66A1">
        <w:t xml:space="preserve"> whether to exercise its power.  </w:t>
      </w:r>
      <w:r w:rsidR="005D38C1">
        <w:t>The respondent had fulfilled and completed all of the requirements of the Community Service Order.  Given</w:t>
      </w:r>
      <w:r w:rsidR="00414F9F" w:rsidRPr="00414F9F">
        <w:t xml:space="preserve"> the length of time between the </w:t>
      </w:r>
      <w:r w:rsidR="008D66A1">
        <w:t>passing of the sentence</w:t>
      </w:r>
      <w:r w:rsidR="00414F9F" w:rsidRPr="00414F9F">
        <w:t xml:space="preserve"> and the hearing of the present application, the interest</w:t>
      </w:r>
      <w:r w:rsidR="008D66A1">
        <w:t>s</w:t>
      </w:r>
      <w:r w:rsidR="00414F9F" w:rsidRPr="00414F9F">
        <w:t xml:space="preserve"> of justice </w:t>
      </w:r>
      <w:r w:rsidR="008D66A1">
        <w:t>did not compel the Court to</w:t>
      </w:r>
      <w:r w:rsidR="00414F9F" w:rsidRPr="00414F9F">
        <w:t xml:space="preserve"> </w:t>
      </w:r>
      <w:r w:rsidR="008E1112">
        <w:t>impose a custodial sentence on the respondent</w:t>
      </w:r>
      <w:r w:rsidR="00414F9F" w:rsidRPr="00414F9F">
        <w:t>.</w:t>
      </w:r>
    </w:p>
    <w:p w:rsidR="00414F9F" w:rsidRPr="00414F9F" w:rsidRDefault="00414F9F" w:rsidP="00414F9F">
      <w:pPr>
        <w:pStyle w:val="j-heading"/>
      </w:pPr>
      <w:r w:rsidRPr="00414F9F">
        <w:rPr>
          <w:rFonts w:hint="eastAsia"/>
        </w:rPr>
        <w:t>Discussion</w:t>
      </w:r>
    </w:p>
    <w:p w:rsidR="00414F9F" w:rsidRDefault="00817373" w:rsidP="000F5016">
      <w:pPr>
        <w:pStyle w:val="T-Draft"/>
      </w:pPr>
      <w:r>
        <w:t>The respondent pleaded guilty to a charge of causing grievous bodily harm</w:t>
      </w:r>
      <w:r w:rsidR="008B5487">
        <w:t xml:space="preserve"> by dangerous driving</w:t>
      </w:r>
      <w:r w:rsidR="00833C93">
        <w:t>, with a maximum sentence of 7 years’ imprisonment on indictment</w:t>
      </w:r>
      <w:r>
        <w:t xml:space="preserve">. </w:t>
      </w:r>
      <w:r w:rsidR="00833C93">
        <w:t xml:space="preserve"> It was not a c</w:t>
      </w:r>
      <w:r w:rsidR="00F00066">
        <w:t>harge</w:t>
      </w:r>
      <w:r w:rsidR="00833C93">
        <w:t xml:space="preserve"> of careless driving.  We make this point because some of the language employed by the judge</w:t>
      </w:r>
      <w:r w:rsidR="00E23AB0">
        <w:t xml:space="preserve"> in sentencing</w:t>
      </w:r>
      <w:r w:rsidR="00833C93">
        <w:t>, namely that the respondent was not “paying a proper lookout to the road ahead”</w:t>
      </w:r>
      <w:r w:rsidR="00833C93">
        <w:rPr>
          <w:rStyle w:val="FootnoteReference"/>
        </w:rPr>
        <w:footnoteReference w:id="24"/>
      </w:r>
      <w:r w:rsidR="00CC38E0">
        <w:t>, that she registered “the existence of the pedestrians late”</w:t>
      </w:r>
      <w:r w:rsidR="00CC38E0">
        <w:rPr>
          <w:rStyle w:val="FootnoteReference"/>
        </w:rPr>
        <w:footnoteReference w:id="25"/>
      </w:r>
      <w:r w:rsidR="00833C93">
        <w:t xml:space="preserve"> and that there was</w:t>
      </w:r>
      <w:r w:rsidR="00CC38E0">
        <w:t xml:space="preserve"> on her part</w:t>
      </w:r>
      <w:r w:rsidR="00833C93">
        <w:t xml:space="preserve"> “a lapse of attention for a number of </w:t>
      </w:r>
      <w:r w:rsidR="00833C93">
        <w:lastRenderedPageBreak/>
        <w:t>seconds”</w:t>
      </w:r>
      <w:r w:rsidR="00833C93">
        <w:rPr>
          <w:rStyle w:val="FootnoteReference"/>
        </w:rPr>
        <w:footnoteReference w:id="26"/>
      </w:r>
      <w:r w:rsidR="00833C93">
        <w:t xml:space="preserve"> rather than “deliberate disobedience of the red light”</w:t>
      </w:r>
      <w:r w:rsidR="00833C93">
        <w:rPr>
          <w:rStyle w:val="FootnoteReference"/>
        </w:rPr>
        <w:footnoteReference w:id="27"/>
      </w:r>
      <w:r w:rsidR="00382E04">
        <w:t xml:space="preserve"> does not, in our view, properly reflect </w:t>
      </w:r>
      <w:r w:rsidR="00833C93">
        <w:t xml:space="preserve">the respondent’s </w:t>
      </w:r>
      <w:r w:rsidR="00527CAD">
        <w:t>appallingly</w:t>
      </w:r>
      <w:r w:rsidR="00833C93">
        <w:t xml:space="preserve"> dangerous piece of driving</w:t>
      </w:r>
      <w:r w:rsidR="00CC38E0">
        <w:t>,</w:t>
      </w:r>
      <w:r w:rsidR="00833C93">
        <w:t xml:space="preserve"> </w:t>
      </w:r>
      <w:r w:rsidR="00F96972">
        <w:t>in which she drove through a pedestrian crossing against a red light</w:t>
      </w:r>
      <w:r w:rsidR="00301ADC">
        <w:t>,</w:t>
      </w:r>
      <w:r w:rsidR="00F96972">
        <w:t xml:space="preserve"> and did not brake until </w:t>
      </w:r>
      <w:r w:rsidR="00301ADC">
        <w:t xml:space="preserve">a fraction of a second before </w:t>
      </w:r>
      <w:r w:rsidR="00F96972">
        <w:t>she hit the pedestrians.  Such driving</w:t>
      </w:r>
      <w:r w:rsidR="00833C93">
        <w:t xml:space="preserve"> caused serious and permanent injuries to </w:t>
      </w:r>
      <w:r w:rsidR="00E23AB0">
        <w:t xml:space="preserve">at least one of the </w:t>
      </w:r>
      <w:r w:rsidR="005C6DB9">
        <w:t>victims</w:t>
      </w:r>
      <w:r w:rsidR="00710C91">
        <w:t>,</w:t>
      </w:r>
      <w:r w:rsidR="00E23AB0">
        <w:t xml:space="preserve"> who were </w:t>
      </w:r>
      <w:r w:rsidR="00CC38E0">
        <w:t xml:space="preserve">lawfully and </w:t>
      </w:r>
      <w:r w:rsidR="00E23AB0">
        <w:t>p</w:t>
      </w:r>
      <w:r w:rsidR="00833C93">
        <w:t>roperly using the pedestrian crossing.</w:t>
      </w:r>
    </w:p>
    <w:p w:rsidR="00E23AB0" w:rsidRDefault="00E23AB0" w:rsidP="000F5016">
      <w:pPr>
        <w:pStyle w:val="T-Draft"/>
      </w:pPr>
      <w:r>
        <w:t>Furthermore, having carefully examined the camera recording from the respondent’s vehicle, we do not accept the judge’s view that this was a pedestrian crossing with “</w:t>
      </w:r>
      <w:r w:rsidR="00CC38E0">
        <w:t xml:space="preserve">very </w:t>
      </w:r>
      <w:r>
        <w:t>fine margins”</w:t>
      </w:r>
      <w:r w:rsidR="00CC38E0">
        <w:rPr>
          <w:rStyle w:val="FootnoteReference"/>
        </w:rPr>
        <w:footnoteReference w:id="28"/>
      </w:r>
      <w:r w:rsidR="00241A8D">
        <w:t>,</w:t>
      </w:r>
      <w:r>
        <w:t xml:space="preserve"> or that the crossing in question is somehow defective</w:t>
      </w:r>
      <w:r w:rsidR="00CC38E0">
        <w:t xml:space="preserve"> in the </w:t>
      </w:r>
      <w:r w:rsidR="007D578C">
        <w:t>degree</w:t>
      </w:r>
      <w:r w:rsidR="00CC38E0">
        <w:t xml:space="preserve"> of warning it gives motorists</w:t>
      </w:r>
      <w:r w:rsidR="00710C91">
        <w:t xml:space="preserve"> using the westbound carriageway of Gascoigne Road</w:t>
      </w:r>
      <w:r w:rsidR="00241A8D">
        <w:rPr>
          <w:rStyle w:val="FootnoteReference"/>
        </w:rPr>
        <w:footnoteReference w:id="29"/>
      </w:r>
      <w:r w:rsidR="00CC38E0">
        <w:t>.</w:t>
      </w:r>
      <w:r w:rsidR="00241A8D">
        <w:t xml:space="preserve"> </w:t>
      </w:r>
      <w:r w:rsidR="003A574F">
        <w:t xml:space="preserve">According to the </w:t>
      </w:r>
      <w:r w:rsidR="00F00066">
        <w:t xml:space="preserve">vehicle </w:t>
      </w:r>
      <w:r w:rsidR="003A574F">
        <w:t>camera, t</w:t>
      </w:r>
      <w:r w:rsidR="00241A8D">
        <w:t>he respondent had just come to a complete halt at the junction of Gascoigne Road with Jordan Road some</w:t>
      </w:r>
      <w:r w:rsidR="003A574F">
        <w:t xml:space="preserve"> 200 yards earlier. </w:t>
      </w:r>
      <w:r w:rsidR="003E6719">
        <w:t xml:space="preserve"> </w:t>
      </w:r>
      <w:r w:rsidR="003A574F">
        <w:t xml:space="preserve">As she increased speed and approached the pedestrian crossing in question, there </w:t>
      </w:r>
      <w:r w:rsidR="00CB6615">
        <w:t>wa</w:t>
      </w:r>
      <w:r w:rsidR="003A574F">
        <w:t>s a triangular sign next to the outer lane under the flyover warning of a traffic signal ahead.</w:t>
      </w:r>
    </w:p>
    <w:p w:rsidR="003A574F" w:rsidRDefault="00F00066" w:rsidP="000F5016">
      <w:pPr>
        <w:pStyle w:val="T-Draft"/>
      </w:pPr>
      <w:r>
        <w:t>From an examination of the vehicle camera, a</w:t>
      </w:r>
      <w:r w:rsidR="003A574F">
        <w:t>t 7:48:20 am</w:t>
      </w:r>
      <w:r>
        <w:t>,</w:t>
      </w:r>
      <w:r w:rsidR="003A574F">
        <w:t xml:space="preserve"> the red light of the overhead traffic signal </w:t>
      </w:r>
      <w:r w:rsidR="00382E04">
        <w:t>controlling</w:t>
      </w:r>
      <w:r>
        <w:t xml:space="preserve"> the pedestrian crossing </w:t>
      </w:r>
      <w:r w:rsidR="003A574F">
        <w:t xml:space="preserve">can be seen illuminated. </w:t>
      </w:r>
      <w:r w:rsidR="00CF539B">
        <w:t xml:space="preserve"> </w:t>
      </w:r>
      <w:r w:rsidR="003A574F">
        <w:t xml:space="preserve">By this stage, the respondent was about 100 </w:t>
      </w:r>
      <w:r w:rsidR="003E6719" w:rsidRPr="003E6719">
        <w:rPr>
          <w:b/>
        </w:rPr>
        <w:t>‍</w:t>
      </w:r>
      <w:r w:rsidR="003A574F">
        <w:t xml:space="preserve">yards from the pedestrian crossing. </w:t>
      </w:r>
      <w:r w:rsidR="00CF539B">
        <w:t xml:space="preserve"> </w:t>
      </w:r>
      <w:r w:rsidR="003A574F">
        <w:t>At 7:48:22 am, the respondent would have been able to see not only the overhead read traffic light</w:t>
      </w:r>
      <w:r w:rsidR="00CB6615">
        <w:t>,</w:t>
      </w:r>
      <w:r w:rsidR="003A574F">
        <w:t xml:space="preserve"> but </w:t>
      </w:r>
      <w:r>
        <w:t xml:space="preserve">at least </w:t>
      </w:r>
      <w:r w:rsidR="003A574F">
        <w:t xml:space="preserve">the two red lights </w:t>
      </w:r>
      <w:r>
        <w:t xml:space="preserve">to her right </w:t>
      </w:r>
      <w:r w:rsidR="00382E04">
        <w:t>controlling</w:t>
      </w:r>
      <w:r w:rsidR="003A574F">
        <w:t xml:space="preserve"> the pedestrian crossing at street level under the flyover.</w:t>
      </w:r>
      <w:r w:rsidR="00CF539B">
        <w:t xml:space="preserve">  At 7:48:24</w:t>
      </w:r>
      <w:r w:rsidR="00E03507">
        <w:t xml:space="preserve"> am</w:t>
      </w:r>
      <w:r w:rsidR="005C68EC">
        <w:t>,</w:t>
      </w:r>
      <w:r w:rsidR="00CF539B">
        <w:t xml:space="preserve"> pedestrians beg</w:t>
      </w:r>
      <w:r w:rsidR="005C68EC">
        <w:t>a</w:t>
      </w:r>
      <w:r w:rsidR="00CF539B">
        <w:t xml:space="preserve">n to cross </w:t>
      </w:r>
      <w:r w:rsidR="00CF539B">
        <w:lastRenderedPageBreak/>
        <w:t>the crossing from both sides.  Yet the respondent’s vehicle show</w:t>
      </w:r>
      <w:r w:rsidR="005C68EC">
        <w:t>ed</w:t>
      </w:r>
      <w:r w:rsidR="00CF539B">
        <w:t xml:space="preserve"> no sign</w:t>
      </w:r>
      <w:r w:rsidR="003F46E7">
        <w:t>s</w:t>
      </w:r>
      <w:r w:rsidR="00CF539B">
        <w:t xml:space="preserve"> of slowing down.  </w:t>
      </w:r>
      <w:r w:rsidR="00382E04">
        <w:t xml:space="preserve">On the contrary, </w:t>
      </w:r>
      <w:r w:rsidR="003F46E7">
        <w:t xml:space="preserve">the vehicle’s speed as recorded on the vehicle camera increased from 47 </w:t>
      </w:r>
      <w:proofErr w:type="spellStart"/>
      <w:r w:rsidR="003F46E7">
        <w:t>kph</w:t>
      </w:r>
      <w:proofErr w:type="spellEnd"/>
      <w:r w:rsidR="003F46E7">
        <w:t xml:space="preserve"> to 50 </w:t>
      </w:r>
      <w:proofErr w:type="spellStart"/>
      <w:r w:rsidR="003F46E7">
        <w:t>kph</w:t>
      </w:r>
      <w:proofErr w:type="spellEnd"/>
      <w:r w:rsidR="003F46E7">
        <w:t xml:space="preserve"> as the vehicle reached the pedestrian crossing.  </w:t>
      </w:r>
      <w:r w:rsidR="00CF539B">
        <w:t xml:space="preserve">At 7:48:26 am, with at least five pedestrians on the crossing (three </w:t>
      </w:r>
      <w:r w:rsidR="0002575C">
        <w:t xml:space="preserve">coming </w:t>
      </w:r>
      <w:r w:rsidR="00CF539B">
        <w:t>from the</w:t>
      </w:r>
      <w:r w:rsidR="0002575C">
        <w:t xml:space="preserve"> respondent’s</w:t>
      </w:r>
      <w:r w:rsidR="00CF539B">
        <w:t xml:space="preserve"> right and two from the left), the vehicle reached the white line marking the boundary of the crossing and, for the first time, a tassel on her windscreen </w:t>
      </w:r>
      <w:r w:rsidR="005C68EC">
        <w:t>wa</w:t>
      </w:r>
      <w:r w:rsidR="00CF539B">
        <w:t>s projected forward as the car brake</w:t>
      </w:r>
      <w:r w:rsidR="005C68EC">
        <w:t>d</w:t>
      </w:r>
      <w:r w:rsidR="00CF539B">
        <w:t xml:space="preserve">.  Immediately thereafter, the respondent’s vehicle </w:t>
      </w:r>
      <w:r w:rsidR="005C68EC">
        <w:t>collided with</w:t>
      </w:r>
      <w:r w:rsidR="00CF539B">
        <w:t xml:space="preserve"> the three pedestrians.  At 7:48:27 am, the respondent’s vehicle c</w:t>
      </w:r>
      <w:r w:rsidR="005C68EC">
        <w:t>ame</w:t>
      </w:r>
      <w:r w:rsidR="00CF539B">
        <w:t xml:space="preserve"> to a complete halt.</w:t>
      </w:r>
    </w:p>
    <w:p w:rsidR="00CF539B" w:rsidRDefault="00CF539B" w:rsidP="000F5016">
      <w:pPr>
        <w:pStyle w:val="T-Draft"/>
      </w:pPr>
      <w:r>
        <w:t xml:space="preserve">It thus becomes quite clear, and indeed was admitted by </w:t>
      </w:r>
      <w:r w:rsidR="00CB6615">
        <w:t xml:space="preserve">the respondent in </w:t>
      </w:r>
      <w:r>
        <w:t>the Summary of Facts, that, notwithstanding that the red light</w:t>
      </w:r>
      <w:r w:rsidR="00074E62">
        <w:t>s</w:t>
      </w:r>
      <w:r>
        <w:t xml:space="preserve"> of the traffic signal </w:t>
      </w:r>
      <w:r w:rsidR="003F46E7">
        <w:t>controlling</w:t>
      </w:r>
      <w:r>
        <w:t xml:space="preserve"> the pedestrian crossing had first become visible against the </w:t>
      </w:r>
      <w:r w:rsidR="00DD56DB">
        <w:t>respondent</w:t>
      </w:r>
      <w:r>
        <w:t xml:space="preserve"> at 07:48:20 am, </w:t>
      </w:r>
      <w:r w:rsidR="00DD56DB">
        <w:t>she</w:t>
      </w:r>
      <w:r>
        <w:t xml:space="preserve"> made no attempt</w:t>
      </w:r>
      <w:r w:rsidR="00DD56DB">
        <w:t xml:space="preserve"> at all</w:t>
      </w:r>
      <w:r>
        <w:t xml:space="preserve"> to brake </w:t>
      </w:r>
      <w:r w:rsidR="00DD56DB">
        <w:t xml:space="preserve">her vehicle </w:t>
      </w:r>
      <w:r>
        <w:t xml:space="preserve">until 07:48:26 am, some 6 seconds later.  With respect, </w:t>
      </w:r>
      <w:r w:rsidR="00C47435">
        <w:t xml:space="preserve">therefore, </w:t>
      </w:r>
      <w:r>
        <w:t>the judge’s finding that braking had commenced at 7</w:t>
      </w:r>
      <w:r w:rsidR="00F00066">
        <w:t>:48:24 to 7:48:25 am</w:t>
      </w:r>
      <w:r w:rsidR="00F00066">
        <w:rPr>
          <w:rStyle w:val="FootnoteReference"/>
        </w:rPr>
        <w:footnoteReference w:id="30"/>
      </w:r>
      <w:r w:rsidR="00F00066">
        <w:t xml:space="preserve"> is unsupportable and contrary to the admitted evidence </w:t>
      </w:r>
      <w:r w:rsidR="00DD56DB">
        <w:t>contained</w:t>
      </w:r>
      <w:r w:rsidR="00F00066">
        <w:t xml:space="preserve"> </w:t>
      </w:r>
      <w:r w:rsidR="00074E62">
        <w:t>in</w:t>
      </w:r>
      <w:r w:rsidR="00F00066">
        <w:t xml:space="preserve"> the Summary of Facts.  But, even if the judge had been correct, </w:t>
      </w:r>
      <w:r w:rsidR="005C68EC">
        <w:t>the respondent</w:t>
      </w:r>
      <w:r w:rsidR="00F00066">
        <w:t xml:space="preserve"> should have braked her vehicle as soon as the red light was visible at 7:48:20, which would have given her more than enough time to come to a stop in a normal fashion. </w:t>
      </w:r>
      <w:r w:rsidR="00C47435">
        <w:t xml:space="preserve"> </w:t>
      </w:r>
      <w:r w:rsidR="00F00066">
        <w:t>No “fine margin</w:t>
      </w:r>
      <w:r w:rsidR="00CB6615">
        <w:t>s</w:t>
      </w:r>
      <w:r w:rsidR="00F00066">
        <w:t xml:space="preserve">” </w:t>
      </w:r>
      <w:r w:rsidR="00CB6615">
        <w:t>were</w:t>
      </w:r>
      <w:r w:rsidR="005C68EC">
        <w:t xml:space="preserve"> in</w:t>
      </w:r>
      <w:r w:rsidR="00F00066">
        <w:t>volved at all.</w:t>
      </w:r>
    </w:p>
    <w:p w:rsidR="005C68EC" w:rsidRDefault="005C68EC" w:rsidP="000F5016">
      <w:pPr>
        <w:pStyle w:val="T-Draft"/>
      </w:pPr>
      <w:r>
        <w:t xml:space="preserve">As the judge </w:t>
      </w:r>
      <w:r w:rsidR="00F96972">
        <w:t>correctly</w:t>
      </w:r>
      <w:r>
        <w:t xml:space="preserve"> recognised, a particularly serious view is taken by the courts of accidents at pedestrian crossings and motorists must exercise the utmost care when approaching such a crossing: </w:t>
      </w:r>
      <w:r w:rsidR="0011044B">
        <w:lastRenderedPageBreak/>
        <w:t>see</w:t>
      </w:r>
      <w:r w:rsidRPr="005C68EC">
        <w:rPr>
          <w:i/>
        </w:rPr>
        <w:t xml:space="preserve"> </w:t>
      </w:r>
      <w:r w:rsidR="0011044B" w:rsidRPr="0011044B">
        <w:rPr>
          <w:b/>
          <w:i/>
        </w:rPr>
        <w:t>‍</w:t>
      </w:r>
      <w:r w:rsidRPr="005C68EC">
        <w:rPr>
          <w:i/>
        </w:rPr>
        <w:t xml:space="preserve">Wong </w:t>
      </w:r>
      <w:r w:rsidR="0011044B" w:rsidRPr="0011044B">
        <w:rPr>
          <w:b/>
          <w:i/>
        </w:rPr>
        <w:t>‍</w:t>
      </w:r>
      <w:proofErr w:type="spellStart"/>
      <w:r w:rsidRPr="005C68EC">
        <w:rPr>
          <w:i/>
        </w:rPr>
        <w:t>Wai</w:t>
      </w:r>
      <w:proofErr w:type="spellEnd"/>
      <w:r w:rsidRPr="005C68EC">
        <w:rPr>
          <w:i/>
        </w:rPr>
        <w:t xml:space="preserve"> Hung</w:t>
      </w:r>
      <w:r>
        <w:rPr>
          <w:rStyle w:val="FootnoteReference"/>
        </w:rPr>
        <w:footnoteReference w:id="31"/>
      </w:r>
      <w:r>
        <w:t xml:space="preserve">; </w:t>
      </w:r>
      <w:r w:rsidRPr="005C68EC">
        <w:rPr>
          <w:i/>
        </w:rPr>
        <w:t>Lam Siu Tong</w:t>
      </w:r>
      <w:r>
        <w:rPr>
          <w:rStyle w:val="FootnoteReference"/>
        </w:rPr>
        <w:footnoteReference w:id="32"/>
      </w:r>
      <w:r>
        <w:t>.</w:t>
      </w:r>
      <w:r w:rsidR="007B5674">
        <w:t xml:space="preserve">  Unfortunately, we think that the judge then rather neutralised </w:t>
      </w:r>
      <w:r w:rsidR="00710C91">
        <w:t>his own ac</w:t>
      </w:r>
      <w:r w:rsidR="00074E62">
        <w:t>knowledgment</w:t>
      </w:r>
      <w:r w:rsidR="00710C91">
        <w:t xml:space="preserve"> of these</w:t>
      </w:r>
      <w:r w:rsidR="007B5674">
        <w:t xml:space="preserve"> principles by holding that the pedestrian crossing in question was somehow defective in the warning it </w:t>
      </w:r>
      <w:r w:rsidR="00074E62">
        <w:t>gave to</w:t>
      </w:r>
      <w:r w:rsidR="007B5674">
        <w:t xml:space="preserve"> motorists.  The fact is that ample warning was given to the respondent but, for whatever reason, she simply never registered that the lights were red against her and that there were pedestrians using the crossing until it was manifestly too late.  Her claim to the police that the lights were green in her favour was </w:t>
      </w:r>
      <w:r w:rsidR="003F46E7">
        <w:t xml:space="preserve">clearly not </w:t>
      </w:r>
      <w:r w:rsidR="00DD56DB">
        <w:t>correct</w:t>
      </w:r>
      <w:r w:rsidR="00374EF0">
        <w:t>,</w:t>
      </w:r>
      <w:r w:rsidR="007B5674">
        <w:t xml:space="preserve"> as the camera in her vehicle stood testament.</w:t>
      </w:r>
    </w:p>
    <w:p w:rsidR="007B5674" w:rsidRDefault="00C47435" w:rsidP="000F5016">
      <w:pPr>
        <w:pStyle w:val="T-Draft"/>
      </w:pPr>
      <w:r>
        <w:t>In the absence of evidence as to why the respondent did not register the traffic conditions, we</w:t>
      </w:r>
      <w:r w:rsidR="007B5674">
        <w:t xml:space="preserve"> are prepared to accept the judge’s finding that the respondent </w:t>
      </w:r>
      <w:r>
        <w:t>did</w:t>
      </w:r>
      <w:r w:rsidR="007B5674">
        <w:t xml:space="preserve"> not deliberately driv</w:t>
      </w:r>
      <w:r w:rsidR="003F46E7">
        <w:t>e</w:t>
      </w:r>
      <w:r w:rsidR="007B5674">
        <w:t xml:space="preserve"> through red traffic lights knowing that they were against her but that, for whatever reason, she simply never saw either the red lights or the pedestrians at all</w:t>
      </w:r>
      <w:r w:rsidR="005D38C1">
        <w:t>, when she should have done,</w:t>
      </w:r>
      <w:r w:rsidR="007B5674">
        <w:t xml:space="preserve"> until it was too late.  Nevertheless, given that she drove at </w:t>
      </w:r>
      <w:r w:rsidR="00374EF0">
        <w:t xml:space="preserve">or about the maximum </w:t>
      </w:r>
      <w:r w:rsidR="007B5674">
        <w:t xml:space="preserve">speed through </w:t>
      </w:r>
      <w:r w:rsidR="00374EF0">
        <w:t>the</w:t>
      </w:r>
      <w:r w:rsidR="00A243CD">
        <w:t xml:space="preserve"> red </w:t>
      </w:r>
      <w:r w:rsidR="00DD56DB">
        <w:t xml:space="preserve">traffic </w:t>
      </w:r>
      <w:r w:rsidR="00A243CD">
        <w:t>lights</w:t>
      </w:r>
      <w:r w:rsidR="00374EF0">
        <w:t xml:space="preserve"> of a pedestrian crossing,</w:t>
      </w:r>
      <w:r w:rsidR="00710C91">
        <w:t xml:space="preserve"> which should have been obvious to her</w:t>
      </w:r>
      <w:r w:rsidR="007B5674">
        <w:t xml:space="preserve">, seriously injuring at least </w:t>
      </w:r>
      <w:r w:rsidR="00DD56DB">
        <w:t>two</w:t>
      </w:r>
      <w:r w:rsidR="007B5674">
        <w:t xml:space="preserve"> pedestrian</w:t>
      </w:r>
      <w:r w:rsidR="00DD56DB">
        <w:t>s who were</w:t>
      </w:r>
      <w:r w:rsidR="00374EF0">
        <w:t xml:space="preserve"> lawfully and properly using the crossing</w:t>
      </w:r>
      <w:r w:rsidR="007B5674">
        <w:t>, we are of the view that a sentence of imprisonment for such appallingly dangerous driving was inevitable.</w:t>
      </w:r>
    </w:p>
    <w:p w:rsidR="00D11566" w:rsidRDefault="003F46E7" w:rsidP="000F5016">
      <w:pPr>
        <w:pStyle w:val="T-Draft"/>
      </w:pPr>
      <w:r>
        <w:t>We have looked at the sentencing decisions of</w:t>
      </w:r>
      <w:r w:rsidR="00F96972">
        <w:t xml:space="preserve"> other jurisdictions </w:t>
      </w:r>
      <w:r w:rsidR="00162FE4">
        <w:t>in respect of</w:t>
      </w:r>
      <w:r w:rsidR="00F96972">
        <w:t xml:space="preserve"> comparable</w:t>
      </w:r>
      <w:r w:rsidR="00BA76E9">
        <w:t xml:space="preserve"> offences.  They are useful in establishing principles and, perhaps, </w:t>
      </w:r>
      <w:r w:rsidR="00C47435">
        <w:t>the general</w:t>
      </w:r>
      <w:r w:rsidR="00BA76E9">
        <w:t xml:space="preserve"> range of sentences applicable: however, caution should be exercised, since the maximum sentence may be different a</w:t>
      </w:r>
      <w:r w:rsidR="00162FE4">
        <w:t>s may local conditions</w:t>
      </w:r>
      <w:r>
        <w:t xml:space="preserve"> and the prevalence of </w:t>
      </w:r>
      <w:r>
        <w:lastRenderedPageBreak/>
        <w:t>the offence</w:t>
      </w:r>
      <w:r w:rsidR="005D38C1">
        <w:t xml:space="preserve">.  In England and Wales, for example, the offence of causing serious injury by dangerous driving </w:t>
      </w:r>
      <w:r w:rsidR="0022084C">
        <w:t xml:space="preserve">only </w:t>
      </w:r>
      <w:r w:rsidR="005D38C1">
        <w:t xml:space="preserve">came into effect in December </w:t>
      </w:r>
      <w:r w:rsidR="00C326B4" w:rsidRPr="00C326B4">
        <w:rPr>
          <w:b/>
        </w:rPr>
        <w:t>‍</w:t>
      </w:r>
      <w:r w:rsidR="005D38C1">
        <w:t>2012</w:t>
      </w:r>
      <w:r w:rsidR="0022084C">
        <w:t>,</w:t>
      </w:r>
      <w:r w:rsidR="005D38C1">
        <w:t xml:space="preserve"> carrying a maximum sentence of 5 years’ imprisonment.  In different jurisdictions of Australia,</w:t>
      </w:r>
      <w:r w:rsidR="00D813BA">
        <w:t xml:space="preserve"> the maximum penalt</w:t>
      </w:r>
      <w:r w:rsidR="002D2A71">
        <w:t>ies</w:t>
      </w:r>
      <w:r w:rsidR="00D813BA">
        <w:t xml:space="preserve"> for slightly different formulations of the offence </w:t>
      </w:r>
      <w:r w:rsidR="002D2A71">
        <w:t>in its basic form (not aggravated, for example, by drink or drugs</w:t>
      </w:r>
      <w:r w:rsidR="00C07CC6">
        <w:t xml:space="preserve"> or escaping from the police</w:t>
      </w:r>
      <w:r w:rsidR="002D2A71">
        <w:t xml:space="preserve">) </w:t>
      </w:r>
      <w:r w:rsidR="00D813BA">
        <w:t>var</w:t>
      </w:r>
      <w:r w:rsidR="002D2A71">
        <w:t>y</w:t>
      </w:r>
      <w:r w:rsidR="00D813BA">
        <w:t xml:space="preserve"> between 5</w:t>
      </w:r>
      <w:r w:rsidR="002D2A71">
        <w:t xml:space="preserve"> </w:t>
      </w:r>
      <w:r w:rsidR="00C326B4" w:rsidRPr="00C326B4">
        <w:rPr>
          <w:b/>
        </w:rPr>
        <w:t>‍</w:t>
      </w:r>
      <w:r w:rsidR="002D2A71">
        <w:t>years’ imprisonment in Victoria, 7 years’ in</w:t>
      </w:r>
      <w:r w:rsidR="00D813BA">
        <w:t xml:space="preserve"> </w:t>
      </w:r>
      <w:r w:rsidR="002D2A71">
        <w:t xml:space="preserve">New </w:t>
      </w:r>
      <w:r w:rsidR="00BF0EB2" w:rsidRPr="00BF0EB2">
        <w:rPr>
          <w:b/>
          <w:lang w:val="en-US"/>
        </w:rPr>
        <w:t>‍</w:t>
      </w:r>
      <w:r w:rsidR="002D2A71">
        <w:t xml:space="preserve">South </w:t>
      </w:r>
      <w:r w:rsidR="00BF0EB2" w:rsidRPr="00BF0EB2">
        <w:rPr>
          <w:b/>
          <w:lang w:val="en-US"/>
        </w:rPr>
        <w:t>‍</w:t>
      </w:r>
      <w:r w:rsidR="002D2A71">
        <w:t xml:space="preserve">Wales, Western </w:t>
      </w:r>
      <w:r w:rsidR="006738A3" w:rsidRPr="006738A3">
        <w:rPr>
          <w:b/>
          <w:lang w:val="en-US"/>
        </w:rPr>
        <w:t>‍</w:t>
      </w:r>
      <w:r w:rsidR="002D2A71">
        <w:t xml:space="preserve">Australia and Northern Territory, 10 years’ in Queensland and Australian Capital Territory and 15 years’ in South </w:t>
      </w:r>
      <w:r w:rsidR="00BF0EB2" w:rsidRPr="00BF0EB2">
        <w:rPr>
          <w:b/>
          <w:lang w:val="en-US"/>
        </w:rPr>
        <w:t>‍</w:t>
      </w:r>
      <w:r w:rsidR="002D2A71">
        <w:t>Australia</w:t>
      </w:r>
      <w:r w:rsidR="00D813BA">
        <w:t xml:space="preserve">. </w:t>
      </w:r>
      <w:r w:rsidR="002D2A71">
        <w:t xml:space="preserve"> In Tasmania, the maximum sentence is 21 years’ imprisonment.</w:t>
      </w:r>
    </w:p>
    <w:p w:rsidR="00EB24C5" w:rsidRDefault="00D813BA" w:rsidP="000F5016">
      <w:pPr>
        <w:pStyle w:val="T-Draft"/>
      </w:pPr>
      <w:r>
        <w:t xml:space="preserve">In England and Wales, the approach to sentence for the offence, in the absence of </w:t>
      </w:r>
      <w:r w:rsidR="00896AB7">
        <w:t xml:space="preserve">specific </w:t>
      </w:r>
      <w:r>
        <w:t xml:space="preserve">guidelines, is to look to the guideline of the Sentencing Guideline Council relating to </w:t>
      </w:r>
      <w:r w:rsidR="00CF17A8">
        <w:t>c</w:t>
      </w:r>
      <w:r>
        <w:t xml:space="preserve">ausing </w:t>
      </w:r>
      <w:r w:rsidR="00CF17A8">
        <w:t>d</w:t>
      </w:r>
      <w:r>
        <w:t>eath by dangerous driving and make a discount for the less serious harm involved</w:t>
      </w:r>
      <w:r w:rsidR="00CF17A8">
        <w:t xml:space="preserve">: see </w:t>
      </w:r>
      <w:r w:rsidR="00CF17A8" w:rsidRPr="00CF17A8">
        <w:rPr>
          <w:i/>
        </w:rPr>
        <w:t>R v Ellis</w:t>
      </w:r>
      <w:r w:rsidR="00CF17A8">
        <w:rPr>
          <w:rStyle w:val="FootnoteReference"/>
        </w:rPr>
        <w:footnoteReference w:id="33"/>
      </w:r>
      <w:r w:rsidR="00CF17A8">
        <w:t xml:space="preserve">; </w:t>
      </w:r>
      <w:r w:rsidR="00CF17A8" w:rsidRPr="00CF17A8">
        <w:rPr>
          <w:i/>
        </w:rPr>
        <w:t>R v Dewdney</w:t>
      </w:r>
      <w:r w:rsidR="00CF17A8">
        <w:rPr>
          <w:rStyle w:val="FootnoteReference"/>
        </w:rPr>
        <w:footnoteReference w:id="34"/>
      </w:r>
      <w:r w:rsidR="00CF17A8">
        <w:t xml:space="preserve">; and </w:t>
      </w:r>
      <w:r w:rsidR="00CF17A8" w:rsidRPr="00CF17A8">
        <w:rPr>
          <w:i/>
        </w:rPr>
        <w:t>R v Miah</w:t>
      </w:r>
      <w:r w:rsidR="00CF17A8">
        <w:rPr>
          <w:rStyle w:val="FootnoteReference"/>
        </w:rPr>
        <w:footnoteReference w:id="35"/>
      </w:r>
      <w:r w:rsidR="00CF17A8">
        <w:t>.</w:t>
      </w:r>
      <w:r w:rsidR="00FC1F34">
        <w:t xml:space="preserve">  </w:t>
      </w:r>
      <w:r w:rsidR="00EB24C5">
        <w:t xml:space="preserve">In </w:t>
      </w:r>
      <w:r w:rsidR="00EB24C5" w:rsidRPr="00AB20FA">
        <w:rPr>
          <w:i/>
        </w:rPr>
        <w:t>R v Hussain</w:t>
      </w:r>
      <w:r w:rsidR="00EB24C5">
        <w:rPr>
          <w:rStyle w:val="FootnoteReference"/>
        </w:rPr>
        <w:footnoteReference w:id="36"/>
      </w:r>
      <w:r w:rsidR="00EB24C5">
        <w:t>, the Court considered</w:t>
      </w:r>
      <w:r w:rsidR="00EB24C5">
        <w:rPr>
          <w:rStyle w:val="FootnoteReference"/>
        </w:rPr>
        <w:footnoteReference w:id="37"/>
      </w:r>
      <w:r w:rsidR="00EB24C5">
        <w:t>:</w:t>
      </w:r>
    </w:p>
    <w:p w:rsidR="00EB24C5" w:rsidRDefault="00EB24C5" w:rsidP="00BF0EB2">
      <w:pPr>
        <w:pStyle w:val="j-quotation"/>
      </w:pPr>
      <w:r>
        <w:t xml:space="preserve">“…that a fruitful approach and one which is now commonly adopted by the </w:t>
      </w:r>
      <w:r w:rsidR="003F46E7">
        <w:t>S</w:t>
      </w:r>
      <w:r>
        <w:t xml:space="preserve">entencing Council is to assess first culpability and then, having done so, assess harm”. </w:t>
      </w:r>
    </w:p>
    <w:p w:rsidR="00D813BA" w:rsidRDefault="00FC1F34" w:rsidP="000F5016">
      <w:pPr>
        <w:pStyle w:val="T-Draft"/>
      </w:pPr>
      <w:r>
        <w:t xml:space="preserve">In </w:t>
      </w:r>
      <w:r w:rsidRPr="00FC1F34">
        <w:rPr>
          <w:i/>
        </w:rPr>
        <w:t>R v Bennett</w:t>
      </w:r>
      <w:r>
        <w:rPr>
          <w:rStyle w:val="FootnoteReference"/>
        </w:rPr>
        <w:footnoteReference w:id="38"/>
      </w:r>
      <w:r>
        <w:t>, the appellant, a man of good character with an unblemished driving record, drove a bus across a pedestrian crossing at 26 mph (below the speed limit) about two seconds after the traffic lights governing vehicles had changed to red.</w:t>
      </w:r>
      <w:r w:rsidR="00D813BA">
        <w:t xml:space="preserve"> </w:t>
      </w:r>
      <w:r>
        <w:t xml:space="preserve"> He struck a pedestrian who had stepped out onto the crossing when the lights had changed to red for </w:t>
      </w:r>
      <w:r>
        <w:lastRenderedPageBreak/>
        <w:t>vehicles, causing very serious injuries including fractures to his skull and face, and perforations to his lungs and liver, requiring several operations.  The judge adopted a starting point of 2</w:t>
      </w:r>
      <w:r w:rsidR="00162FE4">
        <w:t>4 months</w:t>
      </w:r>
      <w:r>
        <w:t>’ imprisonment</w:t>
      </w:r>
      <w:r w:rsidR="00EB24C5">
        <w:t>, reduced to</w:t>
      </w:r>
      <w:r w:rsidR="00162FE4">
        <w:t xml:space="preserve"> only </w:t>
      </w:r>
      <w:r w:rsidR="00EB24C5">
        <w:t xml:space="preserve">20 months’ imprisonment for </w:t>
      </w:r>
      <w:r w:rsidR="00B42DAE">
        <w:t xml:space="preserve">the appellant’s </w:t>
      </w:r>
      <w:r w:rsidR="00EB24C5">
        <w:t xml:space="preserve">late plea and other mitigation.  </w:t>
      </w:r>
      <w:r w:rsidR="003F46E7">
        <w:t>His</w:t>
      </w:r>
      <w:r w:rsidR="00EB24C5">
        <w:t xml:space="preserve"> appeal was dismissed.</w:t>
      </w:r>
    </w:p>
    <w:p w:rsidR="00D14624" w:rsidRDefault="00B42DAE" w:rsidP="000F5016">
      <w:pPr>
        <w:pStyle w:val="T-Draft"/>
      </w:pPr>
      <w:r>
        <w:t xml:space="preserve">We have found a number of decisions from Australia </w:t>
      </w:r>
      <w:r w:rsidR="0022084C">
        <w:t xml:space="preserve">particularly </w:t>
      </w:r>
      <w:r>
        <w:t xml:space="preserve">instructive.  </w:t>
      </w:r>
      <w:r w:rsidR="00CF17A8">
        <w:t>In New South Wales,</w:t>
      </w:r>
      <w:r w:rsidR="00D17F28">
        <w:t xml:space="preserve"> the Court</w:t>
      </w:r>
      <w:r w:rsidR="009C139D">
        <w:t xml:space="preserve"> of Criminal </w:t>
      </w:r>
      <w:r w:rsidR="006738A3" w:rsidRPr="006738A3">
        <w:rPr>
          <w:b/>
          <w:lang w:val="en-US"/>
        </w:rPr>
        <w:t>‍</w:t>
      </w:r>
      <w:r w:rsidR="009C139D">
        <w:t>Appeal</w:t>
      </w:r>
      <w:r w:rsidR="00D17F28">
        <w:t xml:space="preserve"> </w:t>
      </w:r>
      <w:r w:rsidR="009C139D">
        <w:t xml:space="preserve">in </w:t>
      </w:r>
      <w:r w:rsidR="009C139D" w:rsidRPr="009C139D">
        <w:rPr>
          <w:i/>
        </w:rPr>
        <w:t xml:space="preserve">R v </w:t>
      </w:r>
      <w:proofErr w:type="spellStart"/>
      <w:r w:rsidR="009C139D" w:rsidRPr="009C139D">
        <w:rPr>
          <w:i/>
        </w:rPr>
        <w:t>Jurisic</w:t>
      </w:r>
      <w:proofErr w:type="spellEnd"/>
      <w:r w:rsidR="009C139D">
        <w:rPr>
          <w:rStyle w:val="FootnoteReference"/>
        </w:rPr>
        <w:footnoteReference w:id="39"/>
      </w:r>
      <w:r w:rsidR="009C139D">
        <w:t xml:space="preserve"> </w:t>
      </w:r>
      <w:r w:rsidR="00D17F28">
        <w:t>ha</w:t>
      </w:r>
      <w:r w:rsidR="009C139D">
        <w:t>d</w:t>
      </w:r>
      <w:r w:rsidR="00D17F28">
        <w:t xml:space="preserve"> formulated what </w:t>
      </w:r>
      <w:r w:rsidR="00D14624">
        <w:t xml:space="preserve">was </w:t>
      </w:r>
      <w:r w:rsidR="00464266">
        <w:t>to be termed</w:t>
      </w:r>
      <w:r w:rsidR="00D17F28">
        <w:t xml:space="preserve"> a “numerical guideline”</w:t>
      </w:r>
      <w:r w:rsidR="00143758">
        <w:t xml:space="preserve"> </w:t>
      </w:r>
      <w:r w:rsidR="00D17F28">
        <w:t xml:space="preserve">for the offence of dangerous driving </w:t>
      </w:r>
      <w:r w:rsidR="0054700C">
        <w:t>occasioning</w:t>
      </w:r>
      <w:r w:rsidR="00D17F28">
        <w:t xml:space="preserve"> grievous bodily harm under section 52A</w:t>
      </w:r>
      <w:r w:rsidR="00031D8E">
        <w:t>(3)</w:t>
      </w:r>
      <w:r w:rsidR="00D17F28">
        <w:t xml:space="preserve"> of the Crimes Act 1900</w:t>
      </w:r>
      <w:r w:rsidR="00962DFF">
        <w:t>, the maximum sentence for which is 7 years’ imprisonment</w:t>
      </w:r>
      <w:r w:rsidR="00D17F28">
        <w:t>.</w:t>
      </w:r>
      <w:r w:rsidR="009C139D">
        <w:t xml:space="preserve">  </w:t>
      </w:r>
      <w:r w:rsidR="00D14624">
        <w:t xml:space="preserve">In doing so, it </w:t>
      </w:r>
      <w:r w:rsidR="008342DF">
        <w:t>listed</w:t>
      </w:r>
      <w:r w:rsidR="00D14624">
        <w:t xml:space="preserve"> several aggravating factors </w:t>
      </w:r>
      <w:r w:rsidR="00464266">
        <w:t>which</w:t>
      </w:r>
      <w:r w:rsidR="00D14624">
        <w:t xml:space="preserve"> may be present in cases of dangerous driving </w:t>
      </w:r>
      <w:r w:rsidR="0054700C" w:rsidRPr="0054700C">
        <w:t>occasioning</w:t>
      </w:r>
      <w:r w:rsidR="00D14624">
        <w:t xml:space="preserve"> death or grievous bodily harm.  </w:t>
      </w:r>
      <w:r w:rsidR="00143758">
        <w:t>The Court held that on a plea of guilty, wherever there was present to a material degree any aggravating factor involving the conduct of the offender, a custodial sentence of less than 2 years should be exceptional</w:t>
      </w:r>
      <w:r w:rsidR="00143758">
        <w:rPr>
          <w:rStyle w:val="FootnoteReference"/>
        </w:rPr>
        <w:footnoteReference w:id="40"/>
      </w:r>
      <w:r w:rsidR="00143758">
        <w:t xml:space="preserve">. </w:t>
      </w:r>
    </w:p>
    <w:p w:rsidR="00FE5C63" w:rsidRDefault="00C47435" w:rsidP="000F5016">
      <w:pPr>
        <w:pStyle w:val="T-Draft"/>
      </w:pPr>
      <w:r>
        <w:t xml:space="preserve">The </w:t>
      </w:r>
      <w:r w:rsidR="00FE5C63">
        <w:t>aggravating factors</w:t>
      </w:r>
      <w:r>
        <w:t xml:space="preserve"> enumerated in the judgment of </w:t>
      </w:r>
      <w:proofErr w:type="spellStart"/>
      <w:r>
        <w:t>Spigelman</w:t>
      </w:r>
      <w:proofErr w:type="spellEnd"/>
      <w:r>
        <w:t xml:space="preserve"> CJ</w:t>
      </w:r>
      <w:r w:rsidR="00150975">
        <w:t xml:space="preserve"> (now </w:t>
      </w:r>
      <w:proofErr w:type="spellStart"/>
      <w:r w:rsidR="00150975">
        <w:t>Spigelman</w:t>
      </w:r>
      <w:proofErr w:type="spellEnd"/>
      <w:r w:rsidR="00150975">
        <w:t xml:space="preserve"> NPJ)</w:t>
      </w:r>
      <w:r w:rsidR="00D14624">
        <w:t xml:space="preserve"> were</w:t>
      </w:r>
      <w:r>
        <w:t>: (</w:t>
      </w:r>
      <w:proofErr w:type="spellStart"/>
      <w:r>
        <w:t>i</w:t>
      </w:r>
      <w:proofErr w:type="spellEnd"/>
      <w:r>
        <w:t>)</w:t>
      </w:r>
      <w:r w:rsidR="00FE5C63">
        <w:t xml:space="preserve"> the extent and nature of the injuries inflicted; (ii) </w:t>
      </w:r>
      <w:r w:rsidR="00C326B4" w:rsidRPr="00C326B4">
        <w:rPr>
          <w:b/>
        </w:rPr>
        <w:t>‍</w:t>
      </w:r>
      <w:r w:rsidR="00FE5C63">
        <w:t>the number of people put at risk; (iii) the degree of speed; (iv) the degree of intoxication or of substance abuse</w:t>
      </w:r>
      <w:r w:rsidR="003F46E7">
        <w:rPr>
          <w:rStyle w:val="FootnoteReference"/>
        </w:rPr>
        <w:footnoteReference w:id="41"/>
      </w:r>
      <w:r w:rsidR="00FE5C63">
        <w:t xml:space="preserve">; (v) whether there was erratic driving; (vi) whether there was competitive driving or showing off; (vii) </w:t>
      </w:r>
      <w:r w:rsidR="00C326B4" w:rsidRPr="00C326B4">
        <w:rPr>
          <w:b/>
        </w:rPr>
        <w:t>‍</w:t>
      </w:r>
      <w:r w:rsidR="00FE5C63">
        <w:t xml:space="preserve">the length of the journey during which others were </w:t>
      </w:r>
      <w:r w:rsidR="00FE5C63">
        <w:lastRenderedPageBreak/>
        <w:t>exposed to risk; (viii) whether there was any ignoring of warnings; and (ix) whether the defendant was escaping police pursuit.</w:t>
      </w:r>
    </w:p>
    <w:p w:rsidR="008342DF" w:rsidRDefault="009C139D" w:rsidP="008342DF">
      <w:pPr>
        <w:pStyle w:val="T-Draft"/>
      </w:pPr>
      <w:r>
        <w:t xml:space="preserve">In </w:t>
      </w:r>
      <w:r w:rsidRPr="009C139D">
        <w:rPr>
          <w:i/>
        </w:rPr>
        <w:t>R v Whyte</w:t>
      </w:r>
      <w:r>
        <w:rPr>
          <w:rStyle w:val="FootnoteReference"/>
        </w:rPr>
        <w:footnoteReference w:id="42"/>
      </w:r>
      <w:r>
        <w:t>, the same Court, differently constituted, reformulated the guideline, holding that the guideline had a role to play in ensuring consistency, whilst acknowledging that “there is a tension between the principle of individualised justice and the principle of consistency”.</w:t>
      </w:r>
      <w:r w:rsidR="00FE5C63">
        <w:t xml:space="preserve">  </w:t>
      </w:r>
      <w:r w:rsidR="008342DF">
        <w:t>The Court observed</w:t>
      </w:r>
      <w:r w:rsidR="008342DF">
        <w:rPr>
          <w:rStyle w:val="FootnoteReference"/>
        </w:rPr>
        <w:footnoteReference w:id="43"/>
      </w:r>
      <w:r w:rsidR="008342DF">
        <w:t>:</w:t>
      </w:r>
    </w:p>
    <w:p w:rsidR="008342DF" w:rsidRDefault="008342DF" w:rsidP="003E6719">
      <w:pPr>
        <w:pStyle w:val="j-quotation"/>
      </w:pPr>
      <w:r>
        <w:t>“Some sentencing judges find it very difficult to accept that a person of good character who is unlikely to re-offend should be sent to gaol.  However, Parliament has made it quite clear that the injuries occasioned by driving dangerously and, no doubt, the prevalence of the offence, require condign punishment”.</w:t>
      </w:r>
    </w:p>
    <w:p w:rsidR="00641D2C" w:rsidRDefault="00641D2C" w:rsidP="008342DF">
      <w:pPr>
        <w:pStyle w:val="T-Draft"/>
      </w:pPr>
      <w:r>
        <w:t xml:space="preserve">We too recognise that there will be occasions when a sentencing court may find it difficult to impose a custodial sentence on an offender who is a person of good character and who had no intention of committing </w:t>
      </w:r>
      <w:r w:rsidR="0022084C">
        <w:t>such a</w:t>
      </w:r>
      <w:r>
        <w:t xml:space="preserve"> serious traffic offence.  However, the legislature has decreed by the penalty provision that a custodial sentence should be passed where the dangerousness of the driving and the moral culpability of the driver warrant such</w:t>
      </w:r>
      <w:r w:rsidR="00F244E5">
        <w:t xml:space="preserve"> punishment.  It is important to bear in mind that this offence provision is set in the context where a person has driven a vehicle in a dangerous manner causing the death of, or serious injury to, another.  The dangerousness of the driving is an aspect of the offence that must be clearly </w:t>
      </w:r>
      <w:r w:rsidR="00464266">
        <w:t>recognised</w:t>
      </w:r>
      <w:r w:rsidR="00F244E5">
        <w:t xml:space="preserve"> </w:t>
      </w:r>
      <w:r w:rsidR="00896AB7">
        <w:t xml:space="preserve">by sentencing courts, </w:t>
      </w:r>
      <w:r w:rsidR="00F244E5">
        <w:t xml:space="preserve">and guidance </w:t>
      </w:r>
      <w:r w:rsidR="003A7AEF">
        <w:t xml:space="preserve">as to how it should be assessed </w:t>
      </w:r>
      <w:r w:rsidR="00F244E5">
        <w:t>has been provided by the relevant legislative provisions.</w:t>
      </w:r>
    </w:p>
    <w:p w:rsidR="00F244E5" w:rsidRDefault="00F244E5" w:rsidP="008342DF">
      <w:pPr>
        <w:pStyle w:val="T-Draft"/>
      </w:pPr>
      <w:r>
        <w:lastRenderedPageBreak/>
        <w:t xml:space="preserve">This </w:t>
      </w:r>
      <w:r w:rsidR="003A7AEF">
        <w:t xml:space="preserve">issue </w:t>
      </w:r>
      <w:r>
        <w:t xml:space="preserve">was succinctly </w:t>
      </w:r>
      <w:r w:rsidR="003A7AEF">
        <w:t>summarised</w:t>
      </w:r>
      <w:r>
        <w:t xml:space="preserve"> by the Court in </w:t>
      </w:r>
      <w:r w:rsidRPr="00E824DD">
        <w:rPr>
          <w:i/>
        </w:rPr>
        <w:t xml:space="preserve">HKSAR v Man </w:t>
      </w:r>
      <w:r w:rsidR="006738A3" w:rsidRPr="006738A3">
        <w:rPr>
          <w:b/>
          <w:i/>
          <w:lang w:val="en-US"/>
        </w:rPr>
        <w:t>‍</w:t>
      </w:r>
      <w:r w:rsidRPr="00E824DD">
        <w:rPr>
          <w:i/>
        </w:rPr>
        <w:t>Chun Pun</w:t>
      </w:r>
      <w:r w:rsidR="00E824DD">
        <w:rPr>
          <w:rStyle w:val="FootnoteReference"/>
        </w:rPr>
        <w:footnoteReference w:id="44"/>
      </w:r>
      <w:r>
        <w:t>:</w:t>
      </w:r>
    </w:p>
    <w:p w:rsidR="00E824DD" w:rsidRDefault="00E824DD" w:rsidP="00C326B4">
      <w:pPr>
        <w:pStyle w:val="j-quotation"/>
      </w:pPr>
      <w:r>
        <w:t xml:space="preserve">“As defined under the RTO, driving will be dangerous when the way a person drives falls far below what would be expected of a competent and careful driver; and it would be obvious to such a driver that driving in that way would be dangerous. </w:t>
      </w:r>
      <w:r w:rsidR="00C326B4">
        <w:rPr>
          <w:rFonts w:ascii="PMingLiU" w:eastAsia="PMingLiU" w:hAnsi="PMingLiU"/>
          <w:lang w:eastAsia="zh-TW"/>
        </w:rPr>
        <w:t xml:space="preserve"> </w:t>
      </w:r>
      <w:r>
        <w:t>In this context, “dangerous” refers to danger of injury to a person or of a serious damage to property.  In determining what would be expected of, or obvious to, a competent and careful driver in a particular case, regard should be had to all the circumstances of the case including:</w:t>
      </w:r>
    </w:p>
    <w:p w:rsidR="00E824DD" w:rsidRDefault="00E824DD" w:rsidP="00C326B4">
      <w:pPr>
        <w:pStyle w:val="j-quotation"/>
      </w:pPr>
      <w:r>
        <w:t>“(a)</w:t>
      </w:r>
      <w:r w:rsidR="00C326B4">
        <w:tab/>
      </w:r>
      <w:r>
        <w:t>the nature, condition and use of the road concerned at the material time;</w:t>
      </w:r>
    </w:p>
    <w:p w:rsidR="00E824DD" w:rsidRDefault="00E824DD" w:rsidP="00C326B4">
      <w:pPr>
        <w:pStyle w:val="j-quotation"/>
      </w:pPr>
      <w:r>
        <w:t>(b)</w:t>
      </w:r>
      <w:r w:rsidR="00C326B4">
        <w:tab/>
      </w:r>
      <w:r>
        <w:t>the amount of traffic which is actually on the road concerned at the material time or which might reasonably be expected to be on the road concerned at the material time; and</w:t>
      </w:r>
    </w:p>
    <w:p w:rsidR="00E824DD" w:rsidRDefault="00E824DD" w:rsidP="00C326B4">
      <w:pPr>
        <w:pStyle w:val="j-quotation"/>
      </w:pPr>
      <w:r>
        <w:t>(c)</w:t>
      </w:r>
      <w:r w:rsidR="00C326B4">
        <w:tab/>
      </w:r>
      <w:r>
        <w:t>the circumstances (including the physical condition of the accused) of which the accused could be expected to be aware and any circumstances (including the physical condition of the accused) shown to have been within the knowledge of the accused.”</w:t>
      </w:r>
      <w:r>
        <w:rPr>
          <w:rStyle w:val="FootnoteReference"/>
        </w:rPr>
        <w:footnoteReference w:id="45"/>
      </w:r>
      <w:r>
        <w:t>”</w:t>
      </w:r>
    </w:p>
    <w:p w:rsidR="00D14624" w:rsidRDefault="008342DF" w:rsidP="008342DF">
      <w:pPr>
        <w:pStyle w:val="T-Draft"/>
      </w:pPr>
      <w:r>
        <w:t xml:space="preserve">The Court in </w:t>
      </w:r>
      <w:r w:rsidRPr="008342DF">
        <w:rPr>
          <w:i/>
        </w:rPr>
        <w:t>Whyte</w:t>
      </w:r>
      <w:r>
        <w:t xml:space="preserve"> further took the opportunity to revisit the aggravating factors it had formulated in </w:t>
      </w:r>
      <w:proofErr w:type="spellStart"/>
      <w:r w:rsidRPr="008342DF">
        <w:rPr>
          <w:i/>
        </w:rPr>
        <w:t>Jurisic</w:t>
      </w:r>
      <w:proofErr w:type="spellEnd"/>
      <w:r>
        <w:t xml:space="preserve">.  </w:t>
      </w:r>
      <w:r w:rsidR="00FE5C63">
        <w:t>Aggravating factor (v)</w:t>
      </w:r>
      <w:r w:rsidR="00D14624">
        <w:t xml:space="preserve"> in </w:t>
      </w:r>
      <w:proofErr w:type="spellStart"/>
      <w:r w:rsidR="00D14624" w:rsidRPr="00D14624">
        <w:rPr>
          <w:i/>
        </w:rPr>
        <w:t>Jurisic</w:t>
      </w:r>
      <w:proofErr w:type="spellEnd"/>
      <w:r w:rsidR="00FE5C63">
        <w:t xml:space="preserve"> was amended to </w:t>
      </w:r>
      <w:r w:rsidR="00D14624">
        <w:t>“</w:t>
      </w:r>
      <w:r w:rsidR="00FE5C63">
        <w:t>erratic or aggressive driving</w:t>
      </w:r>
      <w:r w:rsidR="00D14624">
        <w:t>”</w:t>
      </w:r>
      <w:r w:rsidR="00FE5C63">
        <w:t>, while two further factors were added</w:t>
      </w:r>
      <w:r w:rsidR="00962DFF">
        <w:t xml:space="preserve">, namely: (x) the degree </w:t>
      </w:r>
      <w:r w:rsidR="00FE5C63">
        <w:t xml:space="preserve">of sleep deprivation; and (xi) </w:t>
      </w:r>
      <w:r w:rsidR="00BF0EB2" w:rsidRPr="00BF0EB2">
        <w:rPr>
          <w:b/>
          <w:lang w:val="en-US"/>
        </w:rPr>
        <w:t>‍</w:t>
      </w:r>
      <w:r w:rsidR="00FE5C63">
        <w:t>failing to stop.</w:t>
      </w:r>
      <w:r w:rsidR="00D14624">
        <w:t xml:space="preserve"> </w:t>
      </w:r>
      <w:r w:rsidR="0037284F">
        <w:t xml:space="preserve"> </w:t>
      </w:r>
      <w:r w:rsidR="00E14434">
        <w:t xml:space="preserve">However, as the Victorian Court of Appeal </w:t>
      </w:r>
      <w:r w:rsidR="0037284F">
        <w:t xml:space="preserve">made clear in </w:t>
      </w:r>
      <w:r w:rsidR="00E14434" w:rsidRPr="00E14434">
        <w:rPr>
          <w:i/>
        </w:rPr>
        <w:t>Stephens v The Queen</w:t>
      </w:r>
      <w:r w:rsidR="00E14434">
        <w:rPr>
          <w:rStyle w:val="FootnoteReference"/>
        </w:rPr>
        <w:footnoteReference w:id="46"/>
      </w:r>
      <w:r w:rsidR="0037284F">
        <w:t>, these factors</w:t>
      </w:r>
      <w:r w:rsidR="00D14624">
        <w:t xml:space="preserve"> </w:t>
      </w:r>
      <w:r w:rsidR="00E14434">
        <w:t>“do not constitute some mere checklist nor are they intended to be exhaustive”</w:t>
      </w:r>
      <w:r w:rsidR="00E14434">
        <w:rPr>
          <w:rStyle w:val="FootnoteReference"/>
        </w:rPr>
        <w:footnoteReference w:id="47"/>
      </w:r>
      <w:r w:rsidR="00E14434">
        <w:t>.</w:t>
      </w:r>
    </w:p>
    <w:p w:rsidR="00BF3498" w:rsidRDefault="00E14434" w:rsidP="000F5016">
      <w:pPr>
        <w:pStyle w:val="T-Draft"/>
      </w:pPr>
      <w:r>
        <w:t xml:space="preserve">A case which we have found particularly helpful in its analysis of the approach to sentencing in cases of this nature is the decision </w:t>
      </w:r>
      <w:r>
        <w:lastRenderedPageBreak/>
        <w:t>of the Victorian Court of Appeal in</w:t>
      </w:r>
      <w:r w:rsidR="00143758">
        <w:t xml:space="preserve"> </w:t>
      </w:r>
      <w:r w:rsidR="00143758" w:rsidRPr="00BF3498">
        <w:rPr>
          <w:i/>
        </w:rPr>
        <w:t xml:space="preserve">R v </w:t>
      </w:r>
      <w:proofErr w:type="spellStart"/>
      <w:r w:rsidR="00143758" w:rsidRPr="00BF3498">
        <w:rPr>
          <w:i/>
        </w:rPr>
        <w:t>Woldesilassie</w:t>
      </w:r>
      <w:proofErr w:type="spellEnd"/>
      <w:r w:rsidR="00BF3498">
        <w:rPr>
          <w:rStyle w:val="FootnoteReference"/>
        </w:rPr>
        <w:footnoteReference w:id="48"/>
      </w:r>
      <w:r w:rsidR="00143758">
        <w:t xml:space="preserve">, </w:t>
      </w:r>
      <w:r w:rsidR="00EF7660">
        <w:t xml:space="preserve">where the </w:t>
      </w:r>
      <w:r w:rsidR="00727EE9">
        <w:t xml:space="preserve">statutory </w:t>
      </w:r>
      <w:r w:rsidR="00EF7660">
        <w:t xml:space="preserve">offence </w:t>
      </w:r>
      <w:r>
        <w:t>is dangerous driving causing serious injury</w:t>
      </w:r>
      <w:r w:rsidR="0022084C">
        <w:t>, under section 319(1A) of the Crimes Act 1958</w:t>
      </w:r>
      <w:r>
        <w:t>, carrying</w:t>
      </w:r>
      <w:r w:rsidR="00EF7660">
        <w:t xml:space="preserve"> a maximum of 5 years’ imprisonment</w:t>
      </w:r>
      <w:r>
        <w:t xml:space="preserve">.  The </w:t>
      </w:r>
      <w:r w:rsidR="00143758">
        <w:t xml:space="preserve">Court </w:t>
      </w:r>
      <w:r>
        <w:t>held</w:t>
      </w:r>
      <w:r w:rsidR="00143758">
        <w:t xml:space="preserve"> that</w:t>
      </w:r>
      <w:r w:rsidR="008342DF">
        <w:rPr>
          <w:rStyle w:val="FootnoteReference"/>
        </w:rPr>
        <w:footnoteReference w:id="49"/>
      </w:r>
      <w:r w:rsidR="00BF3498">
        <w:t>:</w:t>
      </w:r>
    </w:p>
    <w:p w:rsidR="00EF7660" w:rsidRDefault="00143758" w:rsidP="00E14434">
      <w:pPr>
        <w:pStyle w:val="j-quotation"/>
      </w:pPr>
      <w:r>
        <w:t>“</w:t>
      </w:r>
      <w:r w:rsidR="00727EE9">
        <w:t>…</w:t>
      </w:r>
      <w:r>
        <w:t>the offence of dangerous driving may encompass a very wide range of conduct.  In the determination of the appropriate sentence, it is necessary to take into account both the objective dangerousness of the offender’s driving, and the moral culpability of the offender</w:t>
      </w:r>
      <w:r w:rsidR="00BF3498">
        <w:t>.  In particular, it is recognised that the moral culpability of the driver is of central importance to the sentencing task”.</w:t>
      </w:r>
    </w:p>
    <w:p w:rsidR="00BF3498" w:rsidRDefault="00BF3498" w:rsidP="00C8138E">
      <w:pPr>
        <w:pStyle w:val="T-Draft"/>
      </w:pPr>
      <w:r>
        <w:t>In assessing moral culpability, the Court noted</w:t>
      </w:r>
      <w:r>
        <w:rPr>
          <w:rStyle w:val="FootnoteReference"/>
        </w:rPr>
        <w:footnoteReference w:id="50"/>
      </w:r>
      <w:r>
        <w:t>:</w:t>
      </w:r>
    </w:p>
    <w:p w:rsidR="00BF3498" w:rsidRDefault="00BF3498" w:rsidP="00C8138E">
      <w:pPr>
        <w:pStyle w:val="j-quotation"/>
      </w:pPr>
      <w:r>
        <w:t>“It is common</w:t>
      </w:r>
      <w:r w:rsidR="00A03FDC">
        <w:t xml:space="preserve"> for a sentencing judge to assess the moral culpability of a particular offender, or the gravity of the offending, by characterising it as being either low</w:t>
      </w:r>
      <w:r w:rsidR="00C20235">
        <w:t>, medium, or high.  However, it is important to bear in mind that the characterisation by a sentencing judge of an offender’s moral culpability, or of the objective gravity of the offending, in that way is not a matter of exactitude or precision.  Importantly, such a characterisation should not be subjected to a degree of artificial analysis involving fine and often inappropriate distinctions.  Nor should it obscure a proper analysis of the underlying factors that inform the assessment of the offender’s culpability.”</w:t>
      </w:r>
    </w:p>
    <w:p w:rsidR="00C20235" w:rsidRDefault="00C20235" w:rsidP="00C20235">
      <w:pPr>
        <w:pStyle w:val="T-Draft"/>
        <w:numPr>
          <w:ilvl w:val="0"/>
          <w:numId w:val="0"/>
        </w:numPr>
      </w:pPr>
      <w:r>
        <w:t>The Court concluded</w:t>
      </w:r>
      <w:r w:rsidR="008342DF">
        <w:rPr>
          <w:rStyle w:val="FootnoteReference"/>
        </w:rPr>
        <w:footnoteReference w:id="51"/>
      </w:r>
      <w:r>
        <w:t>:</w:t>
      </w:r>
    </w:p>
    <w:p w:rsidR="00C20235" w:rsidRDefault="00C20235" w:rsidP="00C8138E">
      <w:pPr>
        <w:pStyle w:val="j-quotation"/>
      </w:pPr>
      <w:r>
        <w:t xml:space="preserve">“In determining the appellant’s sentence, it was of course necessary for the judge to weigh the gravity of the offending, as we have just described it, against his moral culpability, and the mitigating factors outlined by the judge.  Taken together, those mitigating factors were not insubstantial. </w:t>
      </w:r>
      <w:r w:rsidR="003E6719">
        <w:t xml:space="preserve"> </w:t>
      </w:r>
      <w:r>
        <w:t xml:space="preserve">However, the cases to which we have referred, make it clear that the sentencing purposes of general deterrence, denunciation and protection of the public are accorded particular weight in respect of offences such as those to which the appellant </w:t>
      </w:r>
      <w:r w:rsidR="00E03507">
        <w:t>plea</w:t>
      </w:r>
      <w:r>
        <w:t>ded guilty.”</w:t>
      </w:r>
    </w:p>
    <w:p w:rsidR="00E14434" w:rsidRDefault="00E14434" w:rsidP="00EF7660">
      <w:pPr>
        <w:pStyle w:val="T-Draft"/>
      </w:pPr>
      <w:r>
        <w:lastRenderedPageBreak/>
        <w:t>In the course of its judgment, the Court made the point which resonates with other decisions in Australia and the United Kingdom, that had the appellant sought to take the risk of</w:t>
      </w:r>
      <w:r w:rsidR="0020478E">
        <w:t xml:space="preserve"> deliberately</w:t>
      </w:r>
      <w:r>
        <w:t xml:space="preserve"> running a red light, “his level of moral culpability would have been substantially greater”</w:t>
      </w:r>
      <w:r>
        <w:rPr>
          <w:rStyle w:val="FootnoteReference"/>
        </w:rPr>
        <w:footnoteReference w:id="52"/>
      </w:r>
      <w:r>
        <w:t>.  That is not a factor, on the judge’s findings, in the present case.</w:t>
      </w:r>
    </w:p>
    <w:p w:rsidR="00120B5D" w:rsidRDefault="00EF7660" w:rsidP="00EF7660">
      <w:pPr>
        <w:pStyle w:val="T-Draft"/>
      </w:pPr>
      <w:r>
        <w:t xml:space="preserve">From this survey of relevant authorities in </w:t>
      </w:r>
      <w:r w:rsidR="00AB20FA">
        <w:t>Hong Kong</w:t>
      </w:r>
      <w:r w:rsidR="00540F2E">
        <w:t>, England and Wales and Australia</w:t>
      </w:r>
      <w:r>
        <w:t xml:space="preserve">, </w:t>
      </w:r>
      <w:r w:rsidR="00AB20FA">
        <w:t>certain fundamental</w:t>
      </w:r>
      <w:r w:rsidR="00132F51">
        <w:t>s</w:t>
      </w:r>
      <w:r w:rsidR="00AB20FA">
        <w:t xml:space="preserve"> may be stated when </w:t>
      </w:r>
      <w:r w:rsidR="0022084C">
        <w:t>a judge approaches his task of sentencing</w:t>
      </w:r>
      <w:r w:rsidR="00AB20FA">
        <w:t xml:space="preserve"> for causing grievous bodily harm by dangerous driving</w:t>
      </w:r>
      <w:r w:rsidR="00517271">
        <w:t xml:space="preserve">.  First, the dominant factor </w:t>
      </w:r>
      <w:r w:rsidR="00EA4542">
        <w:t xml:space="preserve">to be considered </w:t>
      </w:r>
      <w:r w:rsidR="00517271">
        <w:t>in sentencing</w:t>
      </w:r>
      <w:r w:rsidR="0022084C">
        <w:t xml:space="preserve"> for this offence</w:t>
      </w:r>
      <w:r w:rsidR="00517271">
        <w:t xml:space="preserve"> is the defendant’s culpability.  </w:t>
      </w:r>
      <w:r w:rsidR="00FB7FE3">
        <w:t xml:space="preserve">This will involve </w:t>
      </w:r>
      <w:r w:rsidR="006D1F5E">
        <w:t>two related assessments</w:t>
      </w:r>
      <w:r w:rsidR="00BE04C9">
        <w:t>.  The first is</w:t>
      </w:r>
      <w:r w:rsidR="00FB7FE3">
        <w:t xml:space="preserve"> the objective dangerousness of the defendant’s driving</w:t>
      </w:r>
      <w:r w:rsidR="008472D0">
        <w:t>;</w:t>
      </w:r>
      <w:r w:rsidR="006D1F5E">
        <w:t xml:space="preserve"> the </w:t>
      </w:r>
      <w:r w:rsidR="00BE04C9">
        <w:t>second is</w:t>
      </w:r>
      <w:r w:rsidR="006D1F5E">
        <w:t xml:space="preserve"> </w:t>
      </w:r>
      <w:r w:rsidR="00FB7FE3">
        <w:t xml:space="preserve">his moral culpability.  </w:t>
      </w:r>
    </w:p>
    <w:p w:rsidR="00120B5D" w:rsidRDefault="006D1F5E" w:rsidP="00EF7660">
      <w:pPr>
        <w:pStyle w:val="T-Draft"/>
      </w:pPr>
      <w:r>
        <w:t>To illustrate the distinction,</w:t>
      </w:r>
      <w:r w:rsidR="00FB7FE3">
        <w:t xml:space="preserve"> driving through a red traffic light in a built up area </w:t>
      </w:r>
      <w:r w:rsidR="00120B5D">
        <w:t>would go to the objective dangerousness of the driver’s conduct</w:t>
      </w:r>
      <w:r w:rsidR="00D51C86">
        <w:t xml:space="preserve">: driving in that way so as to jump </w:t>
      </w:r>
      <w:r w:rsidR="00BE04C9">
        <w:t>a red traffic</w:t>
      </w:r>
      <w:r w:rsidR="00D51C86">
        <w:t xml:space="preserve"> light would</w:t>
      </w:r>
      <w:r>
        <w:t xml:space="preserve"> </w:t>
      </w:r>
      <w:r w:rsidR="00120B5D">
        <w:t>go to his moral culpability</w:t>
      </w:r>
      <w:r>
        <w:t xml:space="preserve">.  Speeding </w:t>
      </w:r>
      <w:r w:rsidR="008472D0">
        <w:t>or</w:t>
      </w:r>
      <w:r>
        <w:t xml:space="preserve"> driving aggressively</w:t>
      </w:r>
      <w:r w:rsidR="00120B5D">
        <w:t xml:space="preserve"> would go to the objective dangerousness of the driv</w:t>
      </w:r>
      <w:r w:rsidR="00D653F9">
        <w:t>er’s conduct</w:t>
      </w:r>
      <w:r>
        <w:t>: doing so in order to race another vehicle</w:t>
      </w:r>
      <w:r w:rsidR="00E83679">
        <w:t>,</w:t>
      </w:r>
      <w:r>
        <w:t xml:space="preserve"> or out of “road rage”</w:t>
      </w:r>
      <w:r w:rsidR="00E83679">
        <w:t>,</w:t>
      </w:r>
      <w:r>
        <w:t xml:space="preserve"> would </w:t>
      </w:r>
      <w:r w:rsidR="00120B5D">
        <w:t>go to</w:t>
      </w:r>
      <w:r>
        <w:t xml:space="preserve"> </w:t>
      </w:r>
      <w:r w:rsidR="00D653F9">
        <w:t>his</w:t>
      </w:r>
      <w:r w:rsidR="00120B5D">
        <w:t xml:space="preserve"> </w:t>
      </w:r>
      <w:r>
        <w:t>moral culpab</w:t>
      </w:r>
      <w:r w:rsidR="00120B5D">
        <w:t>ility</w:t>
      </w:r>
      <w:r w:rsidR="00D51C86">
        <w:t xml:space="preserve">.  </w:t>
      </w:r>
      <w:r>
        <w:t xml:space="preserve">Driving erratically </w:t>
      </w:r>
      <w:r w:rsidR="00120B5D">
        <w:t>w</w:t>
      </w:r>
      <w:r>
        <w:t>ould</w:t>
      </w:r>
      <w:r w:rsidR="00120B5D">
        <w:t xml:space="preserve"> go to the </w:t>
      </w:r>
      <w:r>
        <w:t>objective</w:t>
      </w:r>
      <w:r w:rsidR="00120B5D">
        <w:t xml:space="preserve"> </w:t>
      </w:r>
      <w:r>
        <w:t>dangerous</w:t>
      </w:r>
      <w:r w:rsidR="00120B5D">
        <w:t>ness of the driver’s conduct</w:t>
      </w:r>
      <w:r>
        <w:t>: send</w:t>
      </w:r>
      <w:r w:rsidR="00FB7FE3">
        <w:t xml:space="preserve">ing </w:t>
      </w:r>
      <w:r w:rsidR="00D51C86">
        <w:t xml:space="preserve">or reading </w:t>
      </w:r>
      <w:r w:rsidR="00FB7FE3">
        <w:t xml:space="preserve">a text message </w:t>
      </w:r>
      <w:r w:rsidR="00D51C86">
        <w:t>o</w:t>
      </w:r>
      <w:r w:rsidR="008472D0">
        <w:t>n</w:t>
      </w:r>
      <w:r w:rsidR="00D51C86">
        <w:t xml:space="preserve"> </w:t>
      </w:r>
      <w:r>
        <w:t>a</w:t>
      </w:r>
      <w:r w:rsidR="00D51C86">
        <w:t xml:space="preserve"> mobile telephone</w:t>
      </w:r>
      <w:r w:rsidR="00120B5D">
        <w:t xml:space="preserve"> whilst doing so would go to his moral culpability</w:t>
      </w:r>
      <w:r w:rsidR="00FB7FE3">
        <w:t xml:space="preserve">.  </w:t>
      </w:r>
    </w:p>
    <w:p w:rsidR="00D51C86" w:rsidRDefault="00FB7FE3" w:rsidP="00EF7660">
      <w:pPr>
        <w:pStyle w:val="T-Draft"/>
      </w:pPr>
      <w:r>
        <w:t>There will of course, be an overlap</w:t>
      </w:r>
      <w:r w:rsidR="00D653F9">
        <w:t xml:space="preserve"> or inter-twining</w:t>
      </w:r>
      <w:r>
        <w:t xml:space="preserve"> </w:t>
      </w:r>
      <w:r w:rsidR="00D653F9">
        <w:t xml:space="preserve">of </w:t>
      </w:r>
      <w:r>
        <w:t>the</w:t>
      </w:r>
      <w:r w:rsidR="00120B5D">
        <w:t>se</w:t>
      </w:r>
      <w:r>
        <w:t xml:space="preserve"> two assessments</w:t>
      </w:r>
      <w:r w:rsidR="00120B5D">
        <w:t xml:space="preserve">, </w:t>
      </w:r>
      <w:r w:rsidR="00D653F9">
        <w:t xml:space="preserve">one of which focusses more on what the driver did, the </w:t>
      </w:r>
      <w:r w:rsidR="00D653F9">
        <w:lastRenderedPageBreak/>
        <w:t>other on why he did it.  Both, however, are concerned with addressing the</w:t>
      </w:r>
      <w:r w:rsidR="006D1F5E">
        <w:t xml:space="preserve"> dominant question of culpability</w:t>
      </w:r>
      <w:r w:rsidR="00C326B4">
        <w:t>.</w:t>
      </w:r>
    </w:p>
    <w:p w:rsidR="00D51C86" w:rsidRDefault="00517271" w:rsidP="00EF7660">
      <w:pPr>
        <w:pStyle w:val="T-Draft"/>
      </w:pPr>
      <w:r>
        <w:t xml:space="preserve">Secondly, </w:t>
      </w:r>
      <w:r w:rsidR="00132F51">
        <w:t xml:space="preserve">having assessed culpability, </w:t>
      </w:r>
      <w:r w:rsidR="00EA4542">
        <w:t xml:space="preserve">a judge should then consider the </w:t>
      </w:r>
      <w:r>
        <w:t>harm and impact caused to the victim(s)</w:t>
      </w:r>
      <w:r w:rsidR="008472D0">
        <w:t>.  Really serious injury will already have been caused and this will be</w:t>
      </w:r>
      <w:r w:rsidR="00EA4542">
        <w:t xml:space="preserve"> an important factor</w:t>
      </w:r>
      <w:r w:rsidR="008A7144">
        <w:t xml:space="preserve"> in the sentenc</w:t>
      </w:r>
      <w:r w:rsidR="0022084C">
        <w:t>ing exercise</w:t>
      </w:r>
      <w:r w:rsidR="0021695A">
        <w:rPr>
          <w:rStyle w:val="FootnoteReference"/>
        </w:rPr>
        <w:footnoteReference w:id="53"/>
      </w:r>
      <w:r>
        <w:t xml:space="preserve">. </w:t>
      </w:r>
      <w:r w:rsidR="00D653F9">
        <w:t xml:space="preserve"> As with the var</w:t>
      </w:r>
      <w:r w:rsidR="00FF1521">
        <w:t>ying</w:t>
      </w:r>
      <w:r w:rsidR="00D653F9">
        <w:t xml:space="preserve"> </w:t>
      </w:r>
      <w:r w:rsidR="00FF1521">
        <w:t>level of culpability attending</w:t>
      </w:r>
      <w:r w:rsidR="00D653F9">
        <w:t xml:space="preserve"> a defendant’s driving, the </w:t>
      </w:r>
      <w:r w:rsidR="00FF1521">
        <w:t>degree</w:t>
      </w:r>
      <w:r w:rsidR="00D653F9">
        <w:t xml:space="preserve"> of harm and impact on the victim(s)</w:t>
      </w:r>
      <w:r>
        <w:t xml:space="preserve"> </w:t>
      </w:r>
      <w:r w:rsidR="005F14C9">
        <w:t xml:space="preserve">will also vary; from </w:t>
      </w:r>
      <w:r w:rsidR="0020478E">
        <w:t>a laceration to the</w:t>
      </w:r>
      <w:r w:rsidR="005F14C9">
        <w:t xml:space="preserve"> fracture of a limb to brain damage to lifetime incapacity.  There will also be a difference in the harm and impact caused by a </w:t>
      </w:r>
      <w:r w:rsidR="00E83679">
        <w:t>vehicle</w:t>
      </w:r>
      <w:r w:rsidR="005F14C9">
        <w:t xml:space="preserve"> hitting one pedestrian and a </w:t>
      </w:r>
      <w:r w:rsidR="00E83679">
        <w:t xml:space="preserve">vehicle </w:t>
      </w:r>
      <w:r w:rsidR="005F14C9">
        <w:t xml:space="preserve">ploughing into a </w:t>
      </w:r>
      <w:r w:rsidR="0022084C">
        <w:t xml:space="preserve">row or </w:t>
      </w:r>
      <w:r w:rsidR="0020478E">
        <w:t xml:space="preserve">group </w:t>
      </w:r>
      <w:r w:rsidR="005F14C9">
        <w:t>of pedestrians.</w:t>
      </w:r>
    </w:p>
    <w:p w:rsidR="005F14C9" w:rsidRDefault="005F14C9" w:rsidP="00EF7660">
      <w:pPr>
        <w:pStyle w:val="T-Draft"/>
      </w:pPr>
      <w:r>
        <w:t>In assessing the</w:t>
      </w:r>
      <w:r w:rsidR="00FF1521">
        <w:t xml:space="preserve"> issues of culpability and harm</w:t>
      </w:r>
      <w:r>
        <w:t xml:space="preserve">, a sentencing judge will have regard to the sort of aggravating factors </w:t>
      </w:r>
      <w:r w:rsidR="00FF1521">
        <w:t>described</w:t>
      </w:r>
      <w:r>
        <w:t xml:space="preserve"> in the authorities, </w:t>
      </w:r>
      <w:r w:rsidR="00FF1521">
        <w:t>mindful</w:t>
      </w:r>
      <w:r>
        <w:t xml:space="preserve"> that they </w:t>
      </w:r>
      <w:r w:rsidR="0022084C">
        <w:t xml:space="preserve">do </w:t>
      </w:r>
      <w:r>
        <w:t xml:space="preserve">not </w:t>
      </w:r>
      <w:r w:rsidR="00FF1521">
        <w:t>represent an exhaustive list, and conscious that the value to be placed on any particular factor will vary according to the circumstances of each case</w:t>
      </w:r>
      <w:r>
        <w:t>.</w:t>
      </w:r>
    </w:p>
    <w:p w:rsidR="00132F51" w:rsidRDefault="00517271" w:rsidP="00EF7660">
      <w:pPr>
        <w:pStyle w:val="T-Draft"/>
      </w:pPr>
      <w:r>
        <w:t xml:space="preserve">Thirdly, </w:t>
      </w:r>
      <w:r w:rsidR="00FF1521">
        <w:t xml:space="preserve">a judge will proceed on the basis that the </w:t>
      </w:r>
      <w:r w:rsidR="00272FF6">
        <w:t>normal sentence for</w:t>
      </w:r>
      <w:r w:rsidR="00FF1521">
        <w:t xml:space="preserve"> an offence of causing grievous bodily harm by dangerous driving is </w:t>
      </w:r>
      <w:r>
        <w:t>one of immediate imprisonment</w:t>
      </w:r>
      <w:r w:rsidR="00272FF6">
        <w:t xml:space="preserve">. </w:t>
      </w:r>
      <w:r w:rsidR="00132F51">
        <w:t xml:space="preserve"> The length of such sentence will </w:t>
      </w:r>
      <w:r w:rsidR="0022084C">
        <w:t>be determined by his assessment of</w:t>
      </w:r>
      <w:r w:rsidR="00132F51">
        <w:t xml:space="preserve"> the first two</w:t>
      </w:r>
      <w:r w:rsidR="00272FF6">
        <w:t xml:space="preserve"> </w:t>
      </w:r>
      <w:r w:rsidR="00FF1521">
        <w:t>factors, bearing in mind that the maximum sentence for the offence</w:t>
      </w:r>
      <w:r w:rsidR="00896AB7">
        <w:t xml:space="preserve"> upon indictment</w:t>
      </w:r>
      <w:r w:rsidR="00FF1521">
        <w:t xml:space="preserve"> is</w:t>
      </w:r>
      <w:r w:rsidR="00CD0B08">
        <w:t xml:space="preserve"> a fine at level 5 and imprisonment for</w:t>
      </w:r>
      <w:r w:rsidR="00FF1521">
        <w:t xml:space="preserve"> 7 years.</w:t>
      </w:r>
      <w:r w:rsidR="00982BB0">
        <w:t xml:space="preserve">  We consider that other sentencing options would only be available in exceptional cases.</w:t>
      </w:r>
    </w:p>
    <w:p w:rsidR="00681D1F" w:rsidRDefault="00FF1521" w:rsidP="008A7144">
      <w:pPr>
        <w:pStyle w:val="T-Draft"/>
      </w:pPr>
      <w:r>
        <w:lastRenderedPageBreak/>
        <w:t>Turning to</w:t>
      </w:r>
      <w:r w:rsidR="00681D1F">
        <w:t xml:space="preserve"> the prevalence of this offence in this jurisdiction, </w:t>
      </w:r>
      <w:r w:rsidR="00D9247F">
        <w:t>we have been helpfully provided by Mr Cheung</w:t>
      </w:r>
      <w:r w:rsidR="00681D1F">
        <w:t xml:space="preserve"> with the details of 28 </w:t>
      </w:r>
      <w:r w:rsidR="003E6719" w:rsidRPr="008A7144">
        <w:rPr>
          <w:b/>
        </w:rPr>
        <w:t>‍</w:t>
      </w:r>
      <w:r w:rsidR="00681D1F">
        <w:t xml:space="preserve">cases </w:t>
      </w:r>
      <w:r w:rsidR="003E6719" w:rsidRPr="008A7144">
        <w:rPr>
          <w:b/>
        </w:rPr>
        <w:t>‍</w:t>
      </w:r>
      <w:r w:rsidR="00681D1F">
        <w:t xml:space="preserve">dealt with by the District Court between 10 August 2018 </w:t>
      </w:r>
      <w:r w:rsidR="00896AB7">
        <w:t>and</w:t>
      </w:r>
      <w:r w:rsidR="00681D1F">
        <w:t xml:space="preserve"> 4 </w:t>
      </w:r>
      <w:r w:rsidR="003E6719" w:rsidRPr="008A7144">
        <w:rPr>
          <w:b/>
        </w:rPr>
        <w:t>‍</w:t>
      </w:r>
      <w:r w:rsidR="00681D1F">
        <w:t xml:space="preserve">September </w:t>
      </w:r>
      <w:r w:rsidR="003E6719" w:rsidRPr="008A7144">
        <w:rPr>
          <w:b/>
        </w:rPr>
        <w:t>‍</w:t>
      </w:r>
      <w:r w:rsidR="00681D1F">
        <w:t>2019.  Clearly, this is a prevalent offence</w:t>
      </w:r>
      <w:r>
        <w:t xml:space="preserve"> in Hong Kong</w:t>
      </w:r>
      <w:r w:rsidR="00D9247F">
        <w:t>,</w:t>
      </w:r>
      <w:r w:rsidR="00681D1F">
        <w:t xml:space="preserve"> for which the courts should be aiming at consistency</w:t>
      </w:r>
      <w:r w:rsidR="005E4F6E">
        <w:t xml:space="preserve"> of approach whilst making due allowance for the myriad circumstances in which the offence may be committed</w:t>
      </w:r>
      <w:r w:rsidR="00681D1F">
        <w:t xml:space="preserve">.  We can </w:t>
      </w:r>
      <w:r w:rsidR="00D9247F">
        <w:t xml:space="preserve">also </w:t>
      </w:r>
      <w:r w:rsidR="00681D1F">
        <w:t xml:space="preserve">see that most of the cases </w:t>
      </w:r>
      <w:r w:rsidR="0032207E">
        <w:t xml:space="preserve">in this jurisdiction </w:t>
      </w:r>
      <w:r w:rsidR="00681D1F">
        <w:t>have been dealt with by way of immediate imprisonment: only a very few have been disposed of by way of non-custodial sentences.</w:t>
      </w:r>
    </w:p>
    <w:p w:rsidR="00681D1F" w:rsidRDefault="00681D1F" w:rsidP="00EF7660">
      <w:pPr>
        <w:pStyle w:val="T-Draft"/>
      </w:pPr>
      <w:r>
        <w:t>A</w:t>
      </w:r>
      <w:r w:rsidR="005E4F6E">
        <w:t xml:space="preserve"> slightly earlier</w:t>
      </w:r>
      <w:r>
        <w:t xml:space="preserve"> judgment </w:t>
      </w:r>
      <w:r w:rsidR="0032207E">
        <w:t>of the District Court</w:t>
      </w:r>
      <w:r w:rsidR="005E4F6E">
        <w:t>,</w:t>
      </w:r>
      <w:r>
        <w:t xml:space="preserve"> which we have found, with respect, </w:t>
      </w:r>
      <w:r w:rsidR="0032207E">
        <w:t xml:space="preserve">not only </w:t>
      </w:r>
      <w:r w:rsidR="00687FBB">
        <w:t xml:space="preserve">useful </w:t>
      </w:r>
      <w:r w:rsidR="0020478E">
        <w:t>i</w:t>
      </w:r>
      <w:r w:rsidR="00C03446">
        <w:t xml:space="preserve">n </w:t>
      </w:r>
      <w:r w:rsidR="002116CF">
        <w:t xml:space="preserve">the similarity of </w:t>
      </w:r>
      <w:r w:rsidR="00C03446">
        <w:t>its facts</w:t>
      </w:r>
      <w:r w:rsidR="0032207E">
        <w:t xml:space="preserve"> </w:t>
      </w:r>
      <w:r w:rsidR="00AB20FA">
        <w:t xml:space="preserve">but </w:t>
      </w:r>
      <w:r w:rsidR="00934EB1">
        <w:t xml:space="preserve">also </w:t>
      </w:r>
      <w:r w:rsidR="00AB20FA">
        <w:t xml:space="preserve">in </w:t>
      </w:r>
      <w:r w:rsidR="00934EB1">
        <w:t>its</w:t>
      </w:r>
      <w:r w:rsidR="00AB20FA">
        <w:t xml:space="preserve"> </w:t>
      </w:r>
      <w:r w:rsidR="00BF0EB2" w:rsidRPr="00BF0EB2">
        <w:rPr>
          <w:b/>
          <w:lang w:val="en-US"/>
        </w:rPr>
        <w:t>‍</w:t>
      </w:r>
      <w:r w:rsidR="00934EB1">
        <w:t>identification of the appropriate starting point</w:t>
      </w:r>
      <w:r w:rsidR="00B42DAE">
        <w:t>,</w:t>
      </w:r>
      <w:r w:rsidR="00934EB1">
        <w:t xml:space="preserve"> </w:t>
      </w:r>
      <w:r w:rsidR="005E4F6E">
        <w:t xml:space="preserve">is the </w:t>
      </w:r>
      <w:r w:rsidR="00D9247F">
        <w:t>sentence</w:t>
      </w:r>
      <w:r w:rsidR="005E4F6E">
        <w:t xml:space="preserve"> of HH </w:t>
      </w:r>
      <w:r w:rsidR="00BF0EB2" w:rsidRPr="00BF0EB2">
        <w:rPr>
          <w:b/>
          <w:lang w:val="en-US"/>
        </w:rPr>
        <w:t>‍</w:t>
      </w:r>
      <w:r w:rsidR="005E4F6E">
        <w:t xml:space="preserve">Judge </w:t>
      </w:r>
      <w:r w:rsidR="00BF0EB2" w:rsidRPr="00BF0EB2">
        <w:rPr>
          <w:b/>
          <w:lang w:val="en-US"/>
        </w:rPr>
        <w:t>‍</w:t>
      </w:r>
      <w:r w:rsidR="00934EB1">
        <w:t xml:space="preserve">E </w:t>
      </w:r>
      <w:r w:rsidR="005E4F6E">
        <w:t xml:space="preserve">Lin in </w:t>
      </w:r>
      <w:r w:rsidR="005E4F6E" w:rsidRPr="005E4F6E">
        <w:rPr>
          <w:i/>
        </w:rPr>
        <w:t xml:space="preserve">HKSAR v Wong </w:t>
      </w:r>
      <w:r w:rsidR="003E6719" w:rsidRPr="003E6719">
        <w:rPr>
          <w:b/>
          <w:i/>
        </w:rPr>
        <w:t>‍</w:t>
      </w:r>
      <w:proofErr w:type="spellStart"/>
      <w:r w:rsidR="005E4F6E" w:rsidRPr="005E4F6E">
        <w:rPr>
          <w:i/>
        </w:rPr>
        <w:t>Kam</w:t>
      </w:r>
      <w:proofErr w:type="spellEnd"/>
      <w:r w:rsidR="005E4F6E" w:rsidRPr="005E4F6E">
        <w:rPr>
          <w:i/>
        </w:rPr>
        <w:t xml:space="preserve"> </w:t>
      </w:r>
      <w:r w:rsidR="003E6719" w:rsidRPr="003E6719">
        <w:rPr>
          <w:b/>
          <w:i/>
        </w:rPr>
        <w:t>‍</w:t>
      </w:r>
      <w:proofErr w:type="spellStart"/>
      <w:r w:rsidR="005E4F6E" w:rsidRPr="005E4F6E">
        <w:rPr>
          <w:i/>
        </w:rPr>
        <w:t>Chuen</w:t>
      </w:r>
      <w:proofErr w:type="spellEnd"/>
      <w:r w:rsidR="005E4F6E">
        <w:rPr>
          <w:rStyle w:val="FootnoteReference"/>
        </w:rPr>
        <w:footnoteReference w:id="54"/>
      </w:r>
      <w:r w:rsidR="005E4F6E">
        <w:t>.  There</w:t>
      </w:r>
      <w:r w:rsidR="002116CF">
        <w:t>,</w:t>
      </w:r>
      <w:r w:rsidR="005E4F6E">
        <w:t xml:space="preserve"> a young woman was crossing a road at a pedestrian crossing when the pedestrian lights </w:t>
      </w:r>
      <w:r w:rsidR="00C03446">
        <w:t xml:space="preserve">had just turned </w:t>
      </w:r>
      <w:r w:rsidR="005E4F6E">
        <w:t xml:space="preserve">in her favour.  After she had taken about 10 steps, she was knocked down on the second lane by a light goods vehicle driven by the defendant.  The road conditions were good and </w:t>
      </w:r>
      <w:r w:rsidR="0020478E">
        <w:t xml:space="preserve">the </w:t>
      </w:r>
      <w:r w:rsidR="005E4F6E">
        <w:t>traffic volume moderate.  The defendant had driven th</w:t>
      </w:r>
      <w:r w:rsidR="00802050">
        <w:t>rough the crossing at a consistent speed</w:t>
      </w:r>
      <w:r w:rsidR="00715868">
        <w:t>, but</w:t>
      </w:r>
      <w:r w:rsidR="00802050">
        <w:t xml:space="preserve"> within the speed limit of 50 </w:t>
      </w:r>
      <w:proofErr w:type="spellStart"/>
      <w:r w:rsidR="00802050">
        <w:t>kph</w:t>
      </w:r>
      <w:proofErr w:type="spellEnd"/>
      <w:r w:rsidR="00802050">
        <w:t xml:space="preserve">.  The young woman was rendered unconscious with severe head injuries, requiring two brain surgeries and resulting in residual hearing impairment and double vision. </w:t>
      </w:r>
    </w:p>
    <w:p w:rsidR="00802050" w:rsidRDefault="00802050" w:rsidP="00EF7660">
      <w:pPr>
        <w:pStyle w:val="T-Draft"/>
      </w:pPr>
      <w:r>
        <w:t>The judge found that the defendant “must have consciously chosen to run through a red light and had, for reasons unknown, failed to notice the victim on the road and proceeded without slowing”</w:t>
      </w:r>
      <w:r>
        <w:rPr>
          <w:rStyle w:val="FootnoteReference"/>
        </w:rPr>
        <w:footnoteReference w:id="55"/>
      </w:r>
      <w:r>
        <w:t xml:space="preserve">.  This deliberate risk taking was regarded as an aggravating factor.  He assessed </w:t>
      </w:r>
      <w:r>
        <w:lastRenderedPageBreak/>
        <w:t xml:space="preserve">the starting point at 21 months’ imprisonment, which </w:t>
      </w:r>
      <w:r w:rsidR="00D9247F">
        <w:t>h</w:t>
      </w:r>
      <w:r>
        <w:t>e reduced for the defendant’s plea and clear record to 14 months’ imprisonment.</w:t>
      </w:r>
    </w:p>
    <w:p w:rsidR="008A7144" w:rsidRDefault="00802050" w:rsidP="00EF7660">
      <w:pPr>
        <w:pStyle w:val="T-Draft"/>
      </w:pPr>
      <w:r>
        <w:t xml:space="preserve">In the case before us, we do not know why the respondent </w:t>
      </w:r>
      <w:r w:rsidR="00583014">
        <w:t>did not see</w:t>
      </w:r>
      <w:r>
        <w:t xml:space="preserve"> either the red lights </w:t>
      </w:r>
      <w:r w:rsidR="0021695A">
        <w:t>controlling</w:t>
      </w:r>
      <w:r>
        <w:t xml:space="preserve"> her approach to the pedestrian crossing or the presence of three pedestrians already on the crossing.  The judge </w:t>
      </w:r>
      <w:r w:rsidR="00375FE2">
        <w:t>seemed</w:t>
      </w:r>
      <w:r>
        <w:t xml:space="preserve"> to accept that there was</w:t>
      </w:r>
      <w:r w:rsidR="00375FE2">
        <w:t xml:space="preserve"> nothing on the respondent’s part to demonstrate “deliberate disobedience of the red light or excessive speed” but rather there was “a lapse of attention for a number of seconds”</w:t>
      </w:r>
      <w:r w:rsidR="00375FE2">
        <w:rPr>
          <w:rStyle w:val="FootnoteReference"/>
        </w:rPr>
        <w:footnoteReference w:id="56"/>
      </w:r>
      <w:r w:rsidR="00375FE2">
        <w:t xml:space="preserve">.  </w:t>
      </w:r>
      <w:r w:rsidR="008A7144">
        <w:t xml:space="preserve">Nevertheless, the respondent did not slow down as she approached </w:t>
      </w:r>
      <w:r w:rsidR="0021695A">
        <w:t>the</w:t>
      </w:r>
      <w:r w:rsidR="008A7144">
        <w:t xml:space="preserve"> pedestrian crossing and went through the crossing against a red light when it should have been obvious </w:t>
      </w:r>
      <w:r w:rsidR="00715868">
        <w:t xml:space="preserve">to an attentive driver that </w:t>
      </w:r>
      <w:r w:rsidR="008A7144">
        <w:t>there were people crossing the road.  We find</w:t>
      </w:r>
      <w:r w:rsidR="0021695A">
        <w:t>, in this case,</w:t>
      </w:r>
      <w:r w:rsidR="008A7144">
        <w:t xml:space="preserve"> that three of the aggravating factors cited by </w:t>
      </w:r>
      <w:proofErr w:type="spellStart"/>
      <w:r w:rsidR="008A7144">
        <w:t>Spigelman</w:t>
      </w:r>
      <w:proofErr w:type="spellEnd"/>
      <w:r w:rsidR="008A7144">
        <w:t xml:space="preserve"> CJ in </w:t>
      </w:r>
      <w:proofErr w:type="spellStart"/>
      <w:r w:rsidR="008A7144" w:rsidRPr="0032207E">
        <w:rPr>
          <w:i/>
        </w:rPr>
        <w:t>Jurisic</w:t>
      </w:r>
      <w:proofErr w:type="spellEnd"/>
      <w:r w:rsidR="008A7144" w:rsidRPr="0032207E">
        <w:rPr>
          <w:i/>
        </w:rPr>
        <w:t xml:space="preserve"> </w:t>
      </w:r>
      <w:r w:rsidR="008A7144">
        <w:t xml:space="preserve">and </w:t>
      </w:r>
      <w:r w:rsidR="008A7144" w:rsidRPr="0032207E">
        <w:rPr>
          <w:i/>
        </w:rPr>
        <w:t>Whyte</w:t>
      </w:r>
      <w:r w:rsidR="008A7144">
        <w:t xml:space="preserve"> </w:t>
      </w:r>
      <w:r w:rsidR="0021695A">
        <w:t xml:space="preserve">are </w:t>
      </w:r>
      <w:r w:rsidR="008A7144">
        <w:t>relevant to her culpability</w:t>
      </w:r>
      <w:r w:rsidR="002116CF">
        <w:t xml:space="preserve"> and the harm caused</w:t>
      </w:r>
      <w:r w:rsidR="0021695A">
        <w:t xml:space="preserve"> to the victims</w:t>
      </w:r>
      <w:r w:rsidR="002116CF">
        <w:t xml:space="preserve">, </w:t>
      </w:r>
      <w:r w:rsidR="00896AB7">
        <w:t>namely, (</w:t>
      </w:r>
      <w:proofErr w:type="spellStart"/>
      <w:r w:rsidR="00896AB7">
        <w:t>i</w:t>
      </w:r>
      <w:proofErr w:type="spellEnd"/>
      <w:r w:rsidR="00896AB7">
        <w:t>), (ii) and (viii), in addition to the fact that the offence took place at a pedestrian crossing.</w:t>
      </w:r>
      <w:r w:rsidR="008A7144">
        <w:t xml:space="preserve">  </w:t>
      </w:r>
    </w:p>
    <w:p w:rsidR="00802050" w:rsidRDefault="00375FE2" w:rsidP="00EF7660">
      <w:pPr>
        <w:pStyle w:val="T-Draft"/>
      </w:pPr>
      <w:r>
        <w:t xml:space="preserve">Had there been evidence of the respondent deliberately </w:t>
      </w:r>
      <w:r w:rsidR="00896AB7">
        <w:t xml:space="preserve">jumping or </w:t>
      </w:r>
      <w:r>
        <w:t>running a red light, we would have</w:t>
      </w:r>
      <w:r w:rsidR="00D9247F">
        <w:t xml:space="preserve"> adopted</w:t>
      </w:r>
      <w:r>
        <w:t xml:space="preserve"> a starting point </w:t>
      </w:r>
      <w:r w:rsidR="00EA4542">
        <w:t>of 24 months’ imprisonment</w:t>
      </w:r>
      <w:r>
        <w:t>.</w:t>
      </w:r>
      <w:r w:rsidR="003057E9">
        <w:t xml:space="preserve">  </w:t>
      </w:r>
      <w:r w:rsidR="008A7144">
        <w:t>Had</w:t>
      </w:r>
      <w:r w:rsidR="003057E9">
        <w:t xml:space="preserve"> she been found to be distracted by </w:t>
      </w:r>
      <w:r w:rsidR="00E83679">
        <w:t xml:space="preserve">using </w:t>
      </w:r>
      <w:r w:rsidR="003057E9">
        <w:t>her mobile telephone</w:t>
      </w:r>
      <w:r w:rsidR="0021695A">
        <w:t>,</w:t>
      </w:r>
      <w:r w:rsidR="003057E9">
        <w:t xml:space="preserve"> causing her not to notice the condition of the pedestrian crossing and the people on it, we would have considered a starting point considerably </w:t>
      </w:r>
      <w:r w:rsidR="00715868">
        <w:t>greater</w:t>
      </w:r>
      <w:r w:rsidR="003057E9">
        <w:t xml:space="preserve"> than 2</w:t>
      </w:r>
      <w:r w:rsidR="00EA4542">
        <w:t>4</w:t>
      </w:r>
      <w:r w:rsidR="003057E9">
        <w:t xml:space="preserve"> months’ imprisonment.  As it is, there </w:t>
      </w:r>
      <w:r w:rsidR="00E83679">
        <w:t>wa</w:t>
      </w:r>
      <w:r w:rsidR="003057E9">
        <w:t>s no such evidence.</w:t>
      </w:r>
    </w:p>
    <w:p w:rsidR="003057E9" w:rsidRDefault="003057E9" w:rsidP="00EF7660">
      <w:pPr>
        <w:pStyle w:val="T-Draft"/>
      </w:pPr>
      <w:r>
        <w:t>In all the circumstances, we would have adopted a starting point</w:t>
      </w:r>
      <w:r w:rsidR="00D9247F">
        <w:t xml:space="preserve"> in the present case</w:t>
      </w:r>
      <w:r>
        <w:t xml:space="preserve"> of </w:t>
      </w:r>
      <w:r w:rsidR="00AB20FA">
        <w:t>18</w:t>
      </w:r>
      <w:r w:rsidR="008A7144">
        <w:t xml:space="preserve"> </w:t>
      </w:r>
      <w:r>
        <w:t xml:space="preserve">months’ imprisonment, which, on a plea </w:t>
      </w:r>
      <w:r w:rsidR="00D9247F">
        <w:t xml:space="preserve">of </w:t>
      </w:r>
      <w:r w:rsidR="00D9247F">
        <w:lastRenderedPageBreak/>
        <w:t xml:space="preserve">guilty </w:t>
      </w:r>
      <w:r>
        <w:t>and with the respondent’s good character, we would have reduced to 1</w:t>
      </w:r>
      <w:r w:rsidR="008A7144">
        <w:t>2</w:t>
      </w:r>
      <w:r>
        <w:t xml:space="preserve"> months’ imprisonment.  In our judgment, the </w:t>
      </w:r>
      <w:r w:rsidR="00BF506A">
        <w:t>A</w:t>
      </w:r>
      <w:r>
        <w:t xml:space="preserve">pplication </w:t>
      </w:r>
      <w:r w:rsidR="00896AB7">
        <w:t xml:space="preserve">for </w:t>
      </w:r>
      <w:r w:rsidR="00BF506A">
        <w:t>R</w:t>
      </w:r>
      <w:r w:rsidR="00896AB7">
        <w:t xml:space="preserve">eview of sentence </w:t>
      </w:r>
      <w:r>
        <w:t xml:space="preserve">by the Secretary for Justice is well-founded and the sentence of the </w:t>
      </w:r>
      <w:r w:rsidR="00BF506A">
        <w:t xml:space="preserve">learned </w:t>
      </w:r>
      <w:r>
        <w:t>judge was manifestly inadequate and wrong in principle.  Accord</w:t>
      </w:r>
      <w:r w:rsidR="00715868">
        <w:t>ingly, we allow the application.</w:t>
      </w:r>
    </w:p>
    <w:p w:rsidR="00715868" w:rsidRPr="00715868" w:rsidRDefault="00715868" w:rsidP="0011044B">
      <w:pPr>
        <w:pStyle w:val="j-heading"/>
      </w:pPr>
      <w:r w:rsidRPr="00715868">
        <w:t>Conclusion</w:t>
      </w:r>
    </w:p>
    <w:p w:rsidR="003057E9" w:rsidRDefault="003057E9" w:rsidP="00EF7660">
      <w:pPr>
        <w:pStyle w:val="T-Draft"/>
      </w:pPr>
      <w:r>
        <w:t>The difficult question</w:t>
      </w:r>
      <w:r w:rsidR="00E07D4D">
        <w:t>,</w:t>
      </w:r>
      <w:r>
        <w:t xml:space="preserve"> which now presents itself</w:t>
      </w:r>
      <w:r w:rsidR="00E07D4D">
        <w:t>,</w:t>
      </w:r>
      <w:r>
        <w:t xml:space="preserve"> is how we are to dispose of the matter, having accepted that the respondent ought to have been </w:t>
      </w:r>
      <w:r w:rsidR="00715868">
        <w:t>given a custodial sentence</w:t>
      </w:r>
      <w:r>
        <w:t>.  We have been informed that the respondent has completed the terms of her Community Service Order</w:t>
      </w:r>
      <w:r w:rsidR="00934EB1">
        <w:t>,</w:t>
      </w:r>
      <w:r w:rsidR="00C03446">
        <w:t xml:space="preserve"> and with various </w:t>
      </w:r>
      <w:r w:rsidR="001F4A9B" w:rsidRPr="001F4A9B">
        <w:rPr>
          <w:b/>
        </w:rPr>
        <w:t>‍</w:t>
      </w:r>
      <w:r w:rsidR="00C03446">
        <w:t>commendations for her performance</w:t>
      </w:r>
      <w:r>
        <w:t>.  That is a factor</w:t>
      </w:r>
      <w:r w:rsidR="003351EB">
        <w:t xml:space="preserve"> which this </w:t>
      </w:r>
      <w:r w:rsidR="001F4A9B" w:rsidRPr="001F4A9B">
        <w:rPr>
          <w:b/>
        </w:rPr>
        <w:t>‍</w:t>
      </w:r>
      <w:r w:rsidR="003351EB">
        <w:t xml:space="preserve">Court </w:t>
      </w:r>
      <w:r w:rsidR="001F4A9B" w:rsidRPr="001F4A9B">
        <w:rPr>
          <w:b/>
        </w:rPr>
        <w:t>‍</w:t>
      </w:r>
      <w:r w:rsidR="003351EB">
        <w:t>may take into account</w:t>
      </w:r>
      <w:r>
        <w:t xml:space="preserve">, but it is by no means </w:t>
      </w:r>
      <w:r w:rsidR="00715868">
        <w:t>determinative</w:t>
      </w:r>
      <w:r>
        <w:t>:</w:t>
      </w:r>
      <w:r w:rsidR="00EF5329">
        <w:t xml:space="preserve"> see </w:t>
      </w:r>
      <w:r w:rsidR="00A3338E" w:rsidRPr="00A3338E">
        <w:rPr>
          <w:b/>
          <w:lang w:val="en-US"/>
        </w:rPr>
        <w:t>‍</w:t>
      </w:r>
      <w:r w:rsidR="00EF5329" w:rsidRPr="00EF5329">
        <w:rPr>
          <w:i/>
        </w:rPr>
        <w:t xml:space="preserve">Secretary </w:t>
      </w:r>
      <w:r w:rsidR="001F4A9B" w:rsidRPr="001F4A9B">
        <w:rPr>
          <w:b/>
          <w:i/>
        </w:rPr>
        <w:t>‍</w:t>
      </w:r>
      <w:r w:rsidR="00EF5329" w:rsidRPr="00EF5329">
        <w:rPr>
          <w:i/>
        </w:rPr>
        <w:t xml:space="preserve">for </w:t>
      </w:r>
      <w:r w:rsidR="001F4A9B" w:rsidRPr="001F4A9B">
        <w:rPr>
          <w:b/>
          <w:i/>
        </w:rPr>
        <w:t>‍</w:t>
      </w:r>
      <w:r w:rsidR="00EF5329" w:rsidRPr="00EF5329">
        <w:rPr>
          <w:i/>
        </w:rPr>
        <w:t xml:space="preserve">Justice v Law </w:t>
      </w:r>
      <w:proofErr w:type="spellStart"/>
      <w:r w:rsidR="00EF5329" w:rsidRPr="00EF5329">
        <w:rPr>
          <w:i/>
        </w:rPr>
        <w:t>Tat</w:t>
      </w:r>
      <w:proofErr w:type="spellEnd"/>
      <w:r w:rsidR="00EF5329" w:rsidRPr="00EF5329">
        <w:rPr>
          <w:i/>
        </w:rPr>
        <w:t xml:space="preserve"> Leung</w:t>
      </w:r>
      <w:r w:rsidR="00EF5329">
        <w:rPr>
          <w:rStyle w:val="FootnoteReference"/>
        </w:rPr>
        <w:footnoteReference w:id="57"/>
      </w:r>
      <w:r w:rsidR="00EF5329">
        <w:t xml:space="preserve">; </w:t>
      </w:r>
      <w:r w:rsidR="00EF5329" w:rsidRPr="003351EB">
        <w:rPr>
          <w:i/>
        </w:rPr>
        <w:t xml:space="preserve">Secretary for Justice v Andrew </w:t>
      </w:r>
      <w:r w:rsidR="00A3338E" w:rsidRPr="00A3338E">
        <w:rPr>
          <w:b/>
          <w:i/>
          <w:lang w:val="en-US"/>
        </w:rPr>
        <w:t>‍</w:t>
      </w:r>
      <w:r w:rsidR="00EF5329" w:rsidRPr="003351EB">
        <w:rPr>
          <w:i/>
        </w:rPr>
        <w:t>Marc Dank &amp; Anor</w:t>
      </w:r>
      <w:r w:rsidR="00EF5329">
        <w:rPr>
          <w:rStyle w:val="FootnoteReference"/>
        </w:rPr>
        <w:footnoteReference w:id="58"/>
      </w:r>
      <w:r w:rsidR="00EF5329">
        <w:t xml:space="preserve">; and </w:t>
      </w:r>
      <w:r w:rsidR="003351EB" w:rsidRPr="003351EB">
        <w:rPr>
          <w:i/>
        </w:rPr>
        <w:t>HKSAR</w:t>
      </w:r>
      <w:r w:rsidR="00EF5329" w:rsidRPr="003351EB">
        <w:rPr>
          <w:i/>
        </w:rPr>
        <w:t xml:space="preserve"> v Pau Chin Hung Andy</w:t>
      </w:r>
      <w:r w:rsidR="003351EB">
        <w:rPr>
          <w:rStyle w:val="FootnoteReference"/>
        </w:rPr>
        <w:footnoteReference w:id="59"/>
      </w:r>
      <w:r w:rsidR="00EF5329">
        <w:t>.</w:t>
      </w:r>
    </w:p>
    <w:p w:rsidR="00E07D4D" w:rsidRDefault="003351EB" w:rsidP="00EF7660">
      <w:pPr>
        <w:pStyle w:val="T-Draft"/>
      </w:pPr>
      <w:r>
        <w:t xml:space="preserve">What concerns us </w:t>
      </w:r>
      <w:r w:rsidR="00E07D4D">
        <w:t xml:space="preserve">more </w:t>
      </w:r>
      <w:r>
        <w:t xml:space="preserve">is that when this matter originally </w:t>
      </w:r>
      <w:r w:rsidR="005501DC">
        <w:t>came on</w:t>
      </w:r>
      <w:r>
        <w:t xml:space="preserve"> for hearing </w:t>
      </w:r>
      <w:r w:rsidR="00934EB1">
        <w:t xml:space="preserve">before us </w:t>
      </w:r>
      <w:r>
        <w:t xml:space="preserve">on 12 July 2019, </w:t>
      </w:r>
      <w:r w:rsidR="000410C4">
        <w:t xml:space="preserve">it quickly became clear </w:t>
      </w:r>
      <w:r>
        <w:t xml:space="preserve">that we had not been provided with sufficient authority </w:t>
      </w:r>
      <w:r w:rsidR="00D9247F">
        <w:t xml:space="preserve">by either side </w:t>
      </w:r>
      <w:r>
        <w:t xml:space="preserve">to enable us to deal with the matter </w:t>
      </w:r>
      <w:r w:rsidR="00C03446">
        <w:t xml:space="preserve">fully or </w:t>
      </w:r>
      <w:r>
        <w:t xml:space="preserve">properly.  Consequently, on our own motion, we adjourned the hearing to a date to be fixed, which resulted in the application coming back before us on 23 September 2019.  </w:t>
      </w:r>
      <w:r w:rsidR="00E07D4D">
        <w:t>On that occasion, we were supplied with the authorities we had requested</w:t>
      </w:r>
      <w:r w:rsidR="002116CF">
        <w:t xml:space="preserve"> from various jurisdictions</w:t>
      </w:r>
      <w:r w:rsidR="00C03446">
        <w:t>, a</w:t>
      </w:r>
      <w:r w:rsidR="00934EB1">
        <w:t>s well as</w:t>
      </w:r>
      <w:r w:rsidR="00C03446">
        <w:t xml:space="preserve"> further written submissions</w:t>
      </w:r>
      <w:r w:rsidR="005501DC">
        <w:t xml:space="preserve"> from each party based on those authorities</w:t>
      </w:r>
      <w:r w:rsidR="00E07D4D">
        <w:t xml:space="preserve">. </w:t>
      </w:r>
      <w:r w:rsidR="00D9247F">
        <w:t xml:space="preserve"> Given the volume of cases</w:t>
      </w:r>
      <w:r w:rsidR="005501DC">
        <w:t xml:space="preserve"> from four </w:t>
      </w:r>
      <w:r w:rsidR="005501DC">
        <w:lastRenderedPageBreak/>
        <w:t>jurisdictions, in addition to cases from Hong Kong,</w:t>
      </w:r>
      <w:r w:rsidR="00D9247F">
        <w:t xml:space="preserve"> and the issues</w:t>
      </w:r>
      <w:r w:rsidR="005501DC">
        <w:t xml:space="preserve"> which fell to</w:t>
      </w:r>
      <w:r w:rsidR="00D9247F">
        <w:t xml:space="preserve"> </w:t>
      </w:r>
      <w:r w:rsidR="000410C4">
        <w:t xml:space="preserve">be </w:t>
      </w:r>
      <w:r w:rsidR="00D9247F">
        <w:t>considered, we found it necessary to reserve our decision.</w:t>
      </w:r>
      <w:r w:rsidR="00E07D4D">
        <w:t xml:space="preserve"> </w:t>
      </w:r>
    </w:p>
    <w:p w:rsidR="003351EB" w:rsidRDefault="003351EB" w:rsidP="00EF7660">
      <w:pPr>
        <w:pStyle w:val="T-Draft"/>
      </w:pPr>
      <w:r>
        <w:t xml:space="preserve">The </w:t>
      </w:r>
      <w:r w:rsidR="00D9247F">
        <w:t xml:space="preserve">result of this </w:t>
      </w:r>
      <w:r w:rsidR="00934EB1">
        <w:t xml:space="preserve">procedural </w:t>
      </w:r>
      <w:r w:rsidR="00D9247F">
        <w:t>history</w:t>
      </w:r>
      <w:r w:rsidR="00934EB1">
        <w:t>, therefore,</w:t>
      </w:r>
      <w:r w:rsidR="00D9247F">
        <w:t xml:space="preserve"> is that the </w:t>
      </w:r>
      <w:r>
        <w:t>respondent has had hanging over her head the knowledge that this Court might substitute a sentence of imprisonment for the sentence passed upon her by the judge in the District Court</w:t>
      </w:r>
      <w:r w:rsidR="00E07D4D">
        <w:t>,</w:t>
      </w:r>
      <w:r w:rsidR="00771690">
        <w:t xml:space="preserve"> ever since </w:t>
      </w:r>
      <w:r w:rsidR="00771690" w:rsidRPr="00771690">
        <w:rPr>
          <w:i/>
        </w:rPr>
        <w:t>ex parte</w:t>
      </w:r>
      <w:r w:rsidR="00771690">
        <w:t xml:space="preserve"> leave to apply for a Review of </w:t>
      </w:r>
      <w:r w:rsidR="00DF70F9">
        <w:t>s</w:t>
      </w:r>
      <w:r w:rsidR="00771690">
        <w:t xml:space="preserve">entence was granted on 5 </w:t>
      </w:r>
      <w:r w:rsidR="001F4A9B" w:rsidRPr="001F4A9B">
        <w:rPr>
          <w:b/>
        </w:rPr>
        <w:t>‍</w:t>
      </w:r>
      <w:r w:rsidR="00771690">
        <w:t>December 201</w:t>
      </w:r>
      <w:r w:rsidR="000410C4">
        <w:t>8</w:t>
      </w:r>
      <w:r w:rsidR="00771690">
        <w:t xml:space="preserve">.  That is </w:t>
      </w:r>
      <w:r w:rsidR="000410C4">
        <w:t>now more than</w:t>
      </w:r>
      <w:r w:rsidR="00771690">
        <w:t xml:space="preserve"> a year ago.</w:t>
      </w:r>
      <w:r w:rsidR="00934EB1">
        <w:t xml:space="preserve">  </w:t>
      </w:r>
      <w:r w:rsidR="002116CF">
        <w:t xml:space="preserve">That she has had to wait so long is no fault of hers.  </w:t>
      </w:r>
      <w:r w:rsidR="00934EB1">
        <w:t xml:space="preserve">We </w:t>
      </w:r>
      <w:r w:rsidR="00162FE4">
        <w:t>should</w:t>
      </w:r>
      <w:r w:rsidR="00934EB1">
        <w:t xml:space="preserve"> emphasise that wherever </w:t>
      </w:r>
      <w:r w:rsidR="00CD0B08">
        <w:t>an A</w:t>
      </w:r>
      <w:r w:rsidR="00934EB1">
        <w:t xml:space="preserve">pplication for </w:t>
      </w:r>
      <w:r w:rsidR="00CD0B08">
        <w:t>R</w:t>
      </w:r>
      <w:r w:rsidR="00934EB1">
        <w:t xml:space="preserve">eview of </w:t>
      </w:r>
      <w:r w:rsidR="00CD0B08">
        <w:t>s</w:t>
      </w:r>
      <w:r w:rsidR="00934EB1">
        <w:t xml:space="preserve">entence </w:t>
      </w:r>
      <w:r w:rsidR="00CD0B08">
        <w:t>is</w:t>
      </w:r>
      <w:r w:rsidR="00934EB1">
        <w:t xml:space="preserve"> concerned, </w:t>
      </w:r>
      <w:r w:rsidR="00162FE4">
        <w:t xml:space="preserve">and there is no accompanying application for leave to appeal against conviction, such </w:t>
      </w:r>
      <w:r w:rsidR="00CD0B08">
        <w:t>A</w:t>
      </w:r>
      <w:r w:rsidR="00162FE4">
        <w:t>pplication</w:t>
      </w:r>
      <w:r w:rsidR="00934EB1">
        <w:t xml:space="preserve"> </w:t>
      </w:r>
      <w:r w:rsidR="006F0C1B">
        <w:t>should</w:t>
      </w:r>
      <w:r w:rsidR="00934EB1">
        <w:t xml:space="preserve"> </w:t>
      </w:r>
      <w:r w:rsidR="00162FE4">
        <w:t>normally</w:t>
      </w:r>
      <w:r w:rsidR="00934EB1">
        <w:t xml:space="preserve"> be </w:t>
      </w:r>
      <w:r w:rsidR="002116CF">
        <w:t>listed</w:t>
      </w:r>
      <w:r w:rsidR="00934EB1">
        <w:t xml:space="preserve"> expeditiously within a matter of a few </w:t>
      </w:r>
      <w:r w:rsidR="002116CF">
        <w:t>weeks or</w:t>
      </w:r>
      <w:r w:rsidR="00DF70F9">
        <w:t>, at the most,</w:t>
      </w:r>
      <w:r w:rsidR="002116CF">
        <w:t xml:space="preserve"> </w:t>
      </w:r>
      <w:r w:rsidR="00DF70F9">
        <w:t xml:space="preserve">a few </w:t>
      </w:r>
      <w:r w:rsidR="00934EB1">
        <w:t>months of leave being obtained</w:t>
      </w:r>
      <w:r w:rsidR="006F0C1B">
        <w:t>,</w:t>
      </w:r>
      <w:r w:rsidR="00934EB1">
        <w:t xml:space="preserve"> and </w:t>
      </w:r>
      <w:r w:rsidR="00DE15F1">
        <w:t xml:space="preserve">both </w:t>
      </w:r>
      <w:r w:rsidR="00934EB1">
        <w:t>parties will be expected to be ready</w:t>
      </w:r>
      <w:r w:rsidR="00DE15F1">
        <w:t xml:space="preserve"> at the hearing.</w:t>
      </w:r>
    </w:p>
    <w:p w:rsidR="00771690" w:rsidRDefault="00771690" w:rsidP="00EF7660">
      <w:pPr>
        <w:pStyle w:val="T-Draft"/>
      </w:pPr>
      <w:r>
        <w:t>In the circumstance</w:t>
      </w:r>
      <w:r w:rsidR="00DF70F9">
        <w:t>s</w:t>
      </w:r>
      <w:r>
        <w:t xml:space="preserve">, we have decided, not without considerable hesitation, that it would not be </w:t>
      </w:r>
      <w:r w:rsidR="006F0C1B">
        <w:t xml:space="preserve">just </w:t>
      </w:r>
      <w:r>
        <w:t xml:space="preserve">to impose </w:t>
      </w:r>
      <w:r w:rsidR="006F0C1B">
        <w:t xml:space="preserve">now </w:t>
      </w:r>
      <w:r>
        <w:t>the sentence, even in a reduced form to reflect the fact that this is an Application for Review, which should have been imposed by the judge</w:t>
      </w:r>
      <w:r w:rsidR="000410C4">
        <w:t xml:space="preserve"> in the District Court</w:t>
      </w:r>
      <w:r>
        <w:t>.</w:t>
      </w:r>
    </w:p>
    <w:p w:rsidR="00771690" w:rsidRDefault="00771690" w:rsidP="00EF7660">
      <w:pPr>
        <w:pStyle w:val="T-Draft"/>
      </w:pPr>
      <w:r>
        <w:t>Accordingly, whil</w:t>
      </w:r>
      <w:r w:rsidR="00DF70F9">
        <w:t>st</w:t>
      </w:r>
      <w:r>
        <w:t xml:space="preserve"> we allow the Application for Review and declare that the sentence which </w:t>
      </w:r>
      <w:r w:rsidR="00E07D4D">
        <w:t>ought to have</w:t>
      </w:r>
      <w:r>
        <w:t xml:space="preserve"> been passed</w:t>
      </w:r>
      <w:r w:rsidR="00E07D4D">
        <w:t xml:space="preserve"> </w:t>
      </w:r>
      <w:r w:rsidR="00C03446">
        <w:t xml:space="preserve">on the respondent </w:t>
      </w:r>
      <w:r w:rsidR="00E07D4D">
        <w:t xml:space="preserve">at first instance upon </w:t>
      </w:r>
      <w:r w:rsidR="00C03446">
        <w:t>her</w:t>
      </w:r>
      <w:r w:rsidR="00E07D4D">
        <w:t xml:space="preserve"> plea of guilty is 1</w:t>
      </w:r>
      <w:r w:rsidR="008A7144">
        <w:t xml:space="preserve">2 </w:t>
      </w:r>
      <w:r w:rsidR="00E07D4D">
        <w:t>months’ imprisonment</w:t>
      </w:r>
      <w:r>
        <w:t>,</w:t>
      </w:r>
      <w:r w:rsidR="00E07D4D">
        <w:t xml:space="preserve"> the justice of the case demands that we leave the sentence that was passed undisturbed.</w:t>
      </w:r>
    </w:p>
    <w:p w:rsidR="0011044B" w:rsidRDefault="0011044B" w:rsidP="00CC3607">
      <w:pPr>
        <w:pStyle w:val="T-Draft"/>
        <w:keepNext/>
        <w:numPr>
          <w:ilvl w:val="0"/>
          <w:numId w:val="0"/>
        </w:numPr>
      </w:pPr>
      <w:r>
        <w:lastRenderedPageBreak/>
        <w:t>Hon Pang JA:</w:t>
      </w:r>
    </w:p>
    <w:p w:rsidR="0011044B" w:rsidRPr="0047735B" w:rsidRDefault="0011044B" w:rsidP="0011044B">
      <w:pPr>
        <w:pStyle w:val="T-Draft"/>
      </w:pPr>
      <w:r>
        <w:t xml:space="preserve">I agree with the judgments of </w:t>
      </w:r>
      <w:proofErr w:type="spellStart"/>
      <w:r>
        <w:t>Macrae</w:t>
      </w:r>
      <w:proofErr w:type="spellEnd"/>
      <w:r>
        <w:t xml:space="preserve"> VP and </w:t>
      </w:r>
      <w:proofErr w:type="spellStart"/>
      <w:r>
        <w:t>Zervos</w:t>
      </w:r>
      <w:proofErr w:type="spellEnd"/>
      <w:r>
        <w:t xml:space="preserve"> JA.</w:t>
      </w:r>
    </w:p>
    <w:p w:rsidR="0011044B" w:rsidRDefault="0011044B" w:rsidP="0011044B">
      <w:pPr>
        <w:pStyle w:val="T-Draft"/>
        <w:numPr>
          <w:ilvl w:val="0"/>
          <w:numId w:val="0"/>
        </w:numPr>
      </w:pPr>
      <w:r w:rsidRPr="00C64858">
        <w:t xml:space="preserve">Hon </w:t>
      </w:r>
      <w:proofErr w:type="spellStart"/>
      <w:r w:rsidRPr="00C64858">
        <w:t>Zervos</w:t>
      </w:r>
      <w:proofErr w:type="spellEnd"/>
      <w:r w:rsidRPr="00C64858">
        <w:t xml:space="preserve"> JA:</w:t>
      </w:r>
    </w:p>
    <w:p w:rsidR="0011044B" w:rsidRPr="00C64858" w:rsidRDefault="0011044B" w:rsidP="0011044B">
      <w:pPr>
        <w:pStyle w:val="T-Draft"/>
      </w:pPr>
      <w:r w:rsidRPr="00C64858">
        <w:t>I entirely agree with the judgment of the Vice-President but I felt it might be useful to summarise in short compass the relevant principles and the approach which should be adopted by sentencing courts when determining the appropriate sentence for the offence of dangerous driving causing grievous bodily harm.</w:t>
      </w:r>
    </w:p>
    <w:p w:rsidR="0011044B" w:rsidRPr="00C64858" w:rsidRDefault="0011044B" w:rsidP="0011044B">
      <w:pPr>
        <w:pStyle w:val="T-Draft"/>
      </w:pPr>
      <w:r w:rsidRPr="00C64858">
        <w:t>Under the Road Traffic Ordinance, Cap 374 (“RTO”), there is a gradation of offence and penalty for conduct involving dangerous driving.  There is dangerous driving per se contrary to section 37 of the RTO, for which the maximum sentence upon conviction on indictment is 3 years’ imprisonment, and on summary conviction 12 months’ imprisonment.  Causing grievous bodily harm by dangerous driving under section 36A of the RTO attracts a maximum sentence of 7 years’ imprisonment on indictment, and 2 years on summary conviction.  The maximum sentence for causing death by dangerous driving contrary to section 36 of the RTO is 10 years’ imprisonment on indictment and 2 years’ imprisonment on summary conviction.</w:t>
      </w:r>
    </w:p>
    <w:p w:rsidR="0011044B" w:rsidRPr="00C64858" w:rsidRDefault="0011044B" w:rsidP="0011044B">
      <w:pPr>
        <w:pStyle w:val="T-Draft"/>
      </w:pPr>
      <w:r w:rsidRPr="00C64858">
        <w:t xml:space="preserve">The offence of dangerous driving needs to be contrasted with the offence of careless driving under section 38 of the RTO, for which the maximum penalty is 6 months’ imprisonment.  It is pertinent to note that a person drives carelessly if he drives a vehicle without due care and </w:t>
      </w:r>
      <w:r w:rsidRPr="00C64858">
        <w:lastRenderedPageBreak/>
        <w:t xml:space="preserve">attention, or without reasonable consideration for other persons using the road.  </w:t>
      </w:r>
    </w:p>
    <w:p w:rsidR="0011044B" w:rsidRPr="00C64858" w:rsidRDefault="0011044B" w:rsidP="0011044B">
      <w:pPr>
        <w:pStyle w:val="T-Draft"/>
      </w:pPr>
      <w:r w:rsidRPr="00C64858">
        <w:t xml:space="preserve">There are two important threshold elements to the offence of causing grievous bodily harm by dangerous driving.   First, the driving has to be dangerous, that is the defendant’s standard of driving must </w:t>
      </w:r>
      <w:r w:rsidRPr="006C5ED2">
        <w:t>fall</w:t>
      </w:r>
      <w:r w:rsidRPr="006C5ED2">
        <w:rPr>
          <w:i/>
        </w:rPr>
        <w:t xml:space="preserve"> far</w:t>
      </w:r>
      <w:r w:rsidRPr="00C64858">
        <w:t xml:space="preserve"> </w:t>
      </w:r>
      <w:r w:rsidRPr="006C5ED2">
        <w:rPr>
          <w:i/>
        </w:rPr>
        <w:t>below</w:t>
      </w:r>
      <w:r w:rsidRPr="00C64858">
        <w:t xml:space="preserve"> the standard which would be expected of a competent and careful driver, as required by section 36A(</w:t>
      </w:r>
      <w:proofErr w:type="gramStart"/>
      <w:r w:rsidRPr="00C64858">
        <w:t>10)(</w:t>
      </w:r>
      <w:proofErr w:type="gramEnd"/>
      <w:r w:rsidRPr="00C64858">
        <w:t>a) of the RTO; and it must be obviously dangerous, as required by section 36A(10)(b) of the RTO.  This also includes driving a motor vehicle where it would be obviously dangerous to drive in its current state, under section 36</w:t>
      </w:r>
      <w:proofErr w:type="gramStart"/>
      <w:r w:rsidRPr="00C64858">
        <w:t>A(</w:t>
      </w:r>
      <w:proofErr w:type="gramEnd"/>
      <w:r w:rsidRPr="00C64858">
        <w:t xml:space="preserve">11) of the RTO.  </w:t>
      </w:r>
    </w:p>
    <w:p w:rsidR="0011044B" w:rsidRPr="00C64858" w:rsidRDefault="0011044B" w:rsidP="0011044B">
      <w:pPr>
        <w:pStyle w:val="T-Draft"/>
      </w:pPr>
      <w:r w:rsidRPr="00C64858">
        <w:t>It is provided under section 36</w:t>
      </w:r>
      <w:proofErr w:type="gramStart"/>
      <w:r w:rsidRPr="00C64858">
        <w:t>A(</w:t>
      </w:r>
      <w:proofErr w:type="gramEnd"/>
      <w:r w:rsidRPr="00C64858">
        <w:t xml:space="preserve">12) of the RTO that “dangerous” refers to danger either of injury to any person or of serious damage to property.  In this regard, the assessment of dangerousness of the driving will be affected by the extent of the risk of danger which the driving created, as well as by the extent of potential harm should the risk materialise.  It is further provided, under section 36A(13) of the RTO, that in determining what would be expected of, or obvious to, a competent and careful driver, regard should be had to all the circumstances of the case, including (a) the nature, condition and use of the road at the material time; (b) the amount of traffic which is actually on the road at the material time or which might reasonably be expected to be on the road; (c) the circumstances of which the defendant could be expected to be aware and any circumstances shown to have been within the knowledge of the defendant (this includes the physical condition of the defendant).  See </w:t>
      </w:r>
      <w:r>
        <w:t>‍</w:t>
      </w:r>
      <w:r w:rsidRPr="00C64858">
        <w:t xml:space="preserve">paragraph 48 of the judgment of </w:t>
      </w:r>
      <w:proofErr w:type="spellStart"/>
      <w:r w:rsidRPr="00C64858">
        <w:t>Macrae</w:t>
      </w:r>
      <w:proofErr w:type="spellEnd"/>
      <w:r w:rsidRPr="00C64858">
        <w:t xml:space="preserve"> VP.</w:t>
      </w:r>
    </w:p>
    <w:p w:rsidR="0011044B" w:rsidRPr="00C64858" w:rsidRDefault="0011044B" w:rsidP="0011044B">
      <w:pPr>
        <w:pStyle w:val="T-Draft"/>
      </w:pPr>
      <w:r w:rsidRPr="00C64858">
        <w:lastRenderedPageBreak/>
        <w:t>Secondly, the dangerous driving must cause grievous bodily harm.  Whilst there is no definition of grievous bodily harm in the RTO, it should be given its ordinary and natural meaning of really serious injury.</w:t>
      </w:r>
    </w:p>
    <w:p w:rsidR="0011044B" w:rsidRPr="00C64858" w:rsidRDefault="0011044B" w:rsidP="0011044B">
      <w:pPr>
        <w:pStyle w:val="T-Draft"/>
      </w:pPr>
      <w:r w:rsidRPr="00C64858">
        <w:t>The steps and considerations when approaching sentence for this type of offence are, therefore, as follows.</w:t>
      </w:r>
    </w:p>
    <w:p w:rsidR="0011044B" w:rsidRDefault="0011044B" w:rsidP="0011044B">
      <w:pPr>
        <w:pStyle w:val="T-Draft"/>
      </w:pPr>
      <w:r w:rsidRPr="00C64858">
        <w:t xml:space="preserve">First, the dominant factor to be considered is the offender’s culpability which will involve two related assessments: </w:t>
      </w:r>
    </w:p>
    <w:p w:rsidR="0011044B" w:rsidRPr="00C64858" w:rsidRDefault="0011044B" w:rsidP="0011044B">
      <w:pPr>
        <w:pStyle w:val="T-Draft"/>
        <w:numPr>
          <w:ilvl w:val="0"/>
          <w:numId w:val="0"/>
        </w:numPr>
        <w:spacing w:before="240"/>
        <w:ind w:left="1440" w:hanging="720"/>
      </w:pPr>
      <w:r>
        <w:t>(1)</w:t>
      </w:r>
      <w:r>
        <w:tab/>
      </w:r>
      <w:r w:rsidRPr="00C64858">
        <w:t xml:space="preserve">the objective dangerousness of the offender’s driving (see </w:t>
      </w:r>
      <w:r w:rsidRPr="00C630E6">
        <w:rPr>
          <w:b/>
        </w:rPr>
        <w:t>‍</w:t>
      </w:r>
      <w:r w:rsidRPr="00C64858">
        <w:t xml:space="preserve">paragraphs 48-50 of the judgment of </w:t>
      </w:r>
      <w:proofErr w:type="spellStart"/>
      <w:r w:rsidRPr="00C64858">
        <w:t>Macrae</w:t>
      </w:r>
      <w:proofErr w:type="spellEnd"/>
      <w:r w:rsidRPr="00C64858">
        <w:t xml:space="preserve"> VP); and </w:t>
      </w:r>
    </w:p>
    <w:p w:rsidR="0011044B" w:rsidRPr="00C64858" w:rsidRDefault="0011044B" w:rsidP="0011044B">
      <w:pPr>
        <w:pStyle w:val="T-Draft"/>
        <w:numPr>
          <w:ilvl w:val="0"/>
          <w:numId w:val="0"/>
        </w:numPr>
        <w:spacing w:before="240"/>
        <w:ind w:left="1440" w:hanging="720"/>
      </w:pPr>
      <w:r w:rsidRPr="00C64858">
        <w:t>(2)</w:t>
      </w:r>
      <w:r w:rsidRPr="00C64858">
        <w:tab/>
        <w:t xml:space="preserve">the moral culpability of the offender (see paragraphs 51 and 52 of the judgment of </w:t>
      </w:r>
      <w:proofErr w:type="spellStart"/>
      <w:r w:rsidRPr="00C64858">
        <w:t>Macrae</w:t>
      </w:r>
      <w:proofErr w:type="spellEnd"/>
      <w:r w:rsidRPr="00C64858">
        <w:t xml:space="preserve"> VP).  </w:t>
      </w:r>
    </w:p>
    <w:p w:rsidR="0011044B" w:rsidRPr="00C64858" w:rsidRDefault="0011044B" w:rsidP="0011044B">
      <w:pPr>
        <w:pStyle w:val="T-Draft"/>
      </w:pPr>
      <w:r w:rsidRPr="00C64858">
        <w:t xml:space="preserve">Secondly, closely allied to culpability is the harm and impact caused to the victim(s) (see paragraph 56 of the judgment of </w:t>
      </w:r>
      <w:proofErr w:type="spellStart"/>
      <w:r w:rsidRPr="00C64858">
        <w:t>Macrae</w:t>
      </w:r>
      <w:proofErr w:type="spellEnd"/>
      <w:r w:rsidRPr="00C64858">
        <w:t xml:space="preserve"> VP).  This will involve an assessment of the nature and degree of the really serious injury to the victim or victims.  </w:t>
      </w:r>
    </w:p>
    <w:p w:rsidR="0011044B" w:rsidRPr="00C64858" w:rsidRDefault="0011044B" w:rsidP="0011044B">
      <w:pPr>
        <w:pStyle w:val="T-Draft"/>
      </w:pPr>
      <w:r w:rsidRPr="00C64858">
        <w:t xml:space="preserve">Aggravating factors may include: </w:t>
      </w:r>
    </w:p>
    <w:p w:rsidR="0011044B" w:rsidRPr="00C64858" w:rsidRDefault="0011044B" w:rsidP="0011044B">
      <w:pPr>
        <w:pStyle w:val="T-Draft"/>
        <w:numPr>
          <w:ilvl w:val="2"/>
          <w:numId w:val="13"/>
        </w:numPr>
        <w:spacing w:before="240"/>
        <w:ind w:left="1440" w:hanging="720"/>
      </w:pPr>
      <w:r w:rsidRPr="00C64858">
        <w:t xml:space="preserve">the extent and nature of the injuries inflicted; </w:t>
      </w:r>
    </w:p>
    <w:p w:rsidR="0011044B" w:rsidRPr="00C64858" w:rsidRDefault="0011044B" w:rsidP="0011044B">
      <w:pPr>
        <w:pStyle w:val="T-Draft"/>
        <w:numPr>
          <w:ilvl w:val="2"/>
          <w:numId w:val="13"/>
        </w:numPr>
        <w:spacing w:before="240"/>
        <w:ind w:left="1440" w:hanging="720"/>
      </w:pPr>
      <w:r w:rsidRPr="00C64858">
        <w:t xml:space="preserve">the number of people put a risk; </w:t>
      </w:r>
    </w:p>
    <w:p w:rsidR="0011044B" w:rsidRPr="00C64858" w:rsidRDefault="0011044B" w:rsidP="0011044B">
      <w:pPr>
        <w:pStyle w:val="T-Draft"/>
        <w:numPr>
          <w:ilvl w:val="2"/>
          <w:numId w:val="13"/>
        </w:numPr>
        <w:spacing w:before="240"/>
        <w:ind w:left="1440" w:hanging="720"/>
      </w:pPr>
      <w:r w:rsidRPr="00C64858">
        <w:t xml:space="preserve">the degree of speed; </w:t>
      </w:r>
    </w:p>
    <w:p w:rsidR="0011044B" w:rsidRPr="00C64858" w:rsidRDefault="0011044B" w:rsidP="0011044B">
      <w:pPr>
        <w:pStyle w:val="T-Draft"/>
        <w:numPr>
          <w:ilvl w:val="2"/>
          <w:numId w:val="13"/>
        </w:numPr>
        <w:spacing w:before="240"/>
        <w:ind w:left="1440" w:hanging="720"/>
        <w:jc w:val="left"/>
      </w:pPr>
      <w:r w:rsidRPr="00C64858">
        <w:t xml:space="preserve">the </w:t>
      </w:r>
      <w:r>
        <w:t>extent</w:t>
      </w:r>
      <w:r w:rsidRPr="00C64858">
        <w:t xml:space="preserve"> of intoxication or of substance abuse (see </w:t>
      </w:r>
      <w:r w:rsidRPr="00C630E6">
        <w:rPr>
          <w:b/>
        </w:rPr>
        <w:t>‍</w:t>
      </w:r>
      <w:r w:rsidRPr="00C64858">
        <w:t xml:space="preserve">section </w:t>
      </w:r>
      <w:r w:rsidRPr="00C630E6">
        <w:rPr>
          <w:b/>
        </w:rPr>
        <w:t>‍</w:t>
      </w:r>
      <w:r w:rsidRPr="00C64858">
        <w:t>36</w:t>
      </w:r>
      <w:proofErr w:type="gramStart"/>
      <w:r w:rsidRPr="00C64858">
        <w:t>A(</w:t>
      </w:r>
      <w:proofErr w:type="gramEnd"/>
      <w:r w:rsidRPr="00C64858">
        <w:t xml:space="preserve">7) of the RTO); </w:t>
      </w:r>
    </w:p>
    <w:p w:rsidR="0011044B" w:rsidRPr="00C64858" w:rsidRDefault="0011044B" w:rsidP="0011044B">
      <w:pPr>
        <w:pStyle w:val="T-Draft"/>
        <w:numPr>
          <w:ilvl w:val="2"/>
          <w:numId w:val="13"/>
        </w:numPr>
        <w:spacing w:before="240"/>
        <w:ind w:left="1440" w:hanging="720"/>
      </w:pPr>
      <w:r w:rsidRPr="00C64858">
        <w:t xml:space="preserve">whether there was erratic or aggressive driving; </w:t>
      </w:r>
    </w:p>
    <w:p w:rsidR="0011044B" w:rsidRPr="00C64858" w:rsidRDefault="0011044B" w:rsidP="0011044B">
      <w:pPr>
        <w:pStyle w:val="T-Draft"/>
        <w:numPr>
          <w:ilvl w:val="2"/>
          <w:numId w:val="13"/>
        </w:numPr>
        <w:spacing w:before="240"/>
        <w:ind w:left="1440" w:hanging="720"/>
      </w:pPr>
      <w:r w:rsidRPr="00C64858">
        <w:lastRenderedPageBreak/>
        <w:t xml:space="preserve">whether there was competitive driving or showing off; </w:t>
      </w:r>
    </w:p>
    <w:p w:rsidR="0011044B" w:rsidRPr="00C64858" w:rsidRDefault="0011044B" w:rsidP="0011044B">
      <w:pPr>
        <w:pStyle w:val="T-Draft"/>
        <w:numPr>
          <w:ilvl w:val="2"/>
          <w:numId w:val="13"/>
        </w:numPr>
        <w:spacing w:before="240"/>
        <w:ind w:left="1440" w:hanging="720"/>
      </w:pPr>
      <w:r w:rsidRPr="00C64858">
        <w:t xml:space="preserve">the length of the journey during which others were exposed to risk; </w:t>
      </w:r>
    </w:p>
    <w:p w:rsidR="0011044B" w:rsidRPr="00C64858" w:rsidRDefault="0011044B" w:rsidP="0011044B">
      <w:pPr>
        <w:pStyle w:val="T-Draft"/>
        <w:numPr>
          <w:ilvl w:val="2"/>
          <w:numId w:val="13"/>
        </w:numPr>
        <w:spacing w:before="240"/>
        <w:ind w:left="1440" w:hanging="720"/>
      </w:pPr>
      <w:r w:rsidRPr="00C64858">
        <w:t xml:space="preserve">whether there was any ignoring of warnings; </w:t>
      </w:r>
    </w:p>
    <w:p w:rsidR="0011044B" w:rsidRPr="00C64858" w:rsidRDefault="0011044B" w:rsidP="0011044B">
      <w:pPr>
        <w:pStyle w:val="T-Draft"/>
        <w:numPr>
          <w:ilvl w:val="2"/>
          <w:numId w:val="13"/>
        </w:numPr>
        <w:spacing w:before="240"/>
        <w:ind w:left="1440" w:hanging="720"/>
      </w:pPr>
      <w:r w:rsidRPr="00C64858">
        <w:t xml:space="preserve">whether the offender was escaping police pursuit; </w:t>
      </w:r>
    </w:p>
    <w:p w:rsidR="0011044B" w:rsidRPr="00C64858" w:rsidRDefault="0011044B" w:rsidP="0011044B">
      <w:pPr>
        <w:pStyle w:val="T-Draft"/>
        <w:numPr>
          <w:ilvl w:val="2"/>
          <w:numId w:val="13"/>
        </w:numPr>
        <w:spacing w:before="240"/>
        <w:ind w:left="1440" w:hanging="720"/>
      </w:pPr>
      <w:r w:rsidRPr="00C64858">
        <w:t xml:space="preserve">the degree of sleep deprivation; </w:t>
      </w:r>
    </w:p>
    <w:p w:rsidR="0011044B" w:rsidRDefault="0011044B" w:rsidP="0011044B">
      <w:pPr>
        <w:pStyle w:val="T-Draft"/>
        <w:numPr>
          <w:ilvl w:val="2"/>
          <w:numId w:val="13"/>
        </w:numPr>
        <w:spacing w:before="240"/>
        <w:ind w:left="1440" w:hanging="720"/>
      </w:pPr>
      <w:r>
        <w:t>whether the offender failed</w:t>
      </w:r>
      <w:r w:rsidRPr="00C64858">
        <w:t xml:space="preserve"> to stop; </w:t>
      </w:r>
    </w:p>
    <w:p w:rsidR="0011044B" w:rsidRPr="00C64858" w:rsidRDefault="0011044B" w:rsidP="0011044B">
      <w:pPr>
        <w:pStyle w:val="T-Draft"/>
        <w:numPr>
          <w:ilvl w:val="2"/>
          <w:numId w:val="13"/>
        </w:numPr>
        <w:spacing w:before="240"/>
        <w:ind w:left="1440" w:hanging="720"/>
      </w:pPr>
      <w:r>
        <w:t xml:space="preserve">the fact that the offence took place at a pedestrian crossing (see </w:t>
      </w:r>
      <w:r w:rsidRPr="00A52E14">
        <w:rPr>
          <w:i/>
        </w:rPr>
        <w:t>Secretary for Justice v Lam Siu Tong</w:t>
      </w:r>
      <w:r>
        <w:rPr>
          <w:rStyle w:val="FootnoteReference"/>
        </w:rPr>
        <w:footnoteReference w:id="60"/>
      </w:r>
      <w:r>
        <w:t>); and</w:t>
      </w:r>
      <w:r w:rsidRPr="00C64858">
        <w:t xml:space="preserve"> </w:t>
      </w:r>
    </w:p>
    <w:p w:rsidR="0011044B" w:rsidRPr="00C64858" w:rsidRDefault="0011044B" w:rsidP="0011044B">
      <w:pPr>
        <w:pStyle w:val="T-Draft"/>
        <w:numPr>
          <w:ilvl w:val="2"/>
          <w:numId w:val="13"/>
        </w:numPr>
        <w:spacing w:before="240"/>
        <w:ind w:left="1440" w:hanging="720"/>
      </w:pPr>
      <w:r w:rsidRPr="00C64858">
        <w:t xml:space="preserve">whether the offender was driving a public service vehicle (see </w:t>
      </w:r>
      <w:r w:rsidRPr="00C630E6">
        <w:rPr>
          <w:b/>
        </w:rPr>
        <w:t>‍</w:t>
      </w:r>
      <w:r w:rsidRPr="00C64858">
        <w:rPr>
          <w:i/>
        </w:rPr>
        <w:t>HKSAR v Man Chun Pun</w:t>
      </w:r>
      <w:r w:rsidRPr="00C64858">
        <w:rPr>
          <w:vertAlign w:val="superscript"/>
        </w:rPr>
        <w:footnoteReference w:id="61"/>
      </w:r>
      <w:r w:rsidRPr="00C64858">
        <w:t>).</w:t>
      </w:r>
    </w:p>
    <w:p w:rsidR="0011044B" w:rsidRPr="00C64858" w:rsidRDefault="0011044B" w:rsidP="0011044B">
      <w:pPr>
        <w:pStyle w:val="T-Draft"/>
      </w:pPr>
      <w:r w:rsidRPr="00C64858">
        <w:t>Thirdly, the normal sentence for this type of offence is an immediate custodial sentence.  The length of the sentence will be determined by an assessment of the two factors of culpability and harm, bearing in mind that the maximum sentence for the offence is 7 years’ imprisonment on indictment.  Only in exceptional circumstances would other sentencing options be available and this will be dependent upon the circumstances of the offence and of the offender.</w:t>
      </w:r>
    </w:p>
    <w:p w:rsidR="0011044B" w:rsidRPr="00C64858" w:rsidRDefault="0011044B" w:rsidP="0011044B">
      <w:pPr>
        <w:pStyle w:val="T-Draft"/>
      </w:pPr>
      <w:r w:rsidRPr="00C64858">
        <w:t>Fourthly, the sentencing court will evaluate any mitigating factors with an appropriate adjustment to the sentence.</w:t>
      </w:r>
    </w:p>
    <w:p w:rsidR="0011044B" w:rsidRPr="00C64858" w:rsidRDefault="0011044B" w:rsidP="0011044B">
      <w:pPr>
        <w:pStyle w:val="T-Draft"/>
      </w:pPr>
      <w:r w:rsidRPr="00C64858">
        <w:lastRenderedPageBreak/>
        <w:t>Fifthly, the sentencing court must consider the imposition of any other consequential orders, such as disqualification from driving, the completion of a driving improvement course and compensation.</w:t>
      </w:r>
    </w:p>
    <w:p w:rsidR="0000516C" w:rsidRPr="0047735B" w:rsidRDefault="0000516C" w:rsidP="0000516C">
      <w:pPr>
        <w:pStyle w:val="T-Draft"/>
        <w:numPr>
          <w:ilvl w:val="0"/>
          <w:numId w:val="0"/>
        </w:numPr>
      </w:pPr>
    </w:p>
    <w:p w:rsidR="0000516C" w:rsidRPr="0047735B" w:rsidRDefault="0000516C" w:rsidP="0000516C">
      <w:pPr>
        <w:pStyle w:val="T-Draft"/>
        <w:numPr>
          <w:ilvl w:val="0"/>
          <w:numId w:val="0"/>
        </w:numPr>
      </w:pPr>
    </w:p>
    <w:p w:rsidR="0000516C" w:rsidRPr="0047735B" w:rsidRDefault="0000516C" w:rsidP="0000516C">
      <w:pPr>
        <w:pStyle w:val="T-Draft"/>
        <w:numPr>
          <w:ilvl w:val="0"/>
          <w:numId w:val="0"/>
        </w:numPr>
      </w:pPr>
    </w:p>
    <w:tbl>
      <w:tblPr>
        <w:tblW w:w="9240" w:type="dxa"/>
        <w:jc w:val="center"/>
        <w:tblLayout w:type="fixed"/>
        <w:tblLook w:val="0000" w:firstRow="0" w:lastRow="0" w:firstColumn="0" w:lastColumn="0" w:noHBand="0" w:noVBand="0"/>
      </w:tblPr>
      <w:tblGrid>
        <w:gridCol w:w="3080"/>
        <w:gridCol w:w="3080"/>
        <w:gridCol w:w="3080"/>
      </w:tblGrid>
      <w:tr w:rsidR="0000516C" w:rsidRPr="0047735B" w:rsidTr="0000516C">
        <w:trPr>
          <w:jc w:val="center"/>
        </w:trPr>
        <w:tc>
          <w:tcPr>
            <w:tcW w:w="3080" w:type="dxa"/>
          </w:tcPr>
          <w:p w:rsidR="0000516C" w:rsidRPr="0047735B" w:rsidRDefault="0000516C" w:rsidP="00D67B97">
            <w:pPr>
              <w:pStyle w:val="normal1"/>
              <w:tabs>
                <w:tab w:val="clear" w:pos="1411"/>
              </w:tabs>
              <w:rPr>
                <w:bCs/>
              </w:rPr>
            </w:pPr>
            <w:r w:rsidRPr="0047735B">
              <w:rPr>
                <w:bCs/>
              </w:rPr>
              <w:t xml:space="preserve">(Andrew </w:t>
            </w:r>
            <w:proofErr w:type="spellStart"/>
            <w:r w:rsidRPr="0047735B">
              <w:rPr>
                <w:bCs/>
              </w:rPr>
              <w:t>Macrae</w:t>
            </w:r>
            <w:proofErr w:type="spellEnd"/>
            <w:r w:rsidRPr="0047735B">
              <w:rPr>
                <w:bCs/>
              </w:rPr>
              <w:t>)</w:t>
            </w:r>
          </w:p>
          <w:p w:rsidR="0000516C" w:rsidRPr="0047735B" w:rsidRDefault="0000516C" w:rsidP="00D67B97">
            <w:pPr>
              <w:jc w:val="center"/>
              <w:rPr>
                <w:b w:val="0"/>
                <w:bCs/>
                <w:sz w:val="28"/>
              </w:rPr>
            </w:pPr>
            <w:r w:rsidRPr="0047735B">
              <w:rPr>
                <w:b w:val="0"/>
                <w:bCs/>
                <w:sz w:val="28"/>
              </w:rPr>
              <w:t>Vice</w:t>
            </w:r>
            <w:r w:rsidRPr="0047735B">
              <w:rPr>
                <w:rFonts w:eastAsiaTheme="minorEastAsia"/>
                <w:b w:val="0"/>
                <w:bCs/>
                <w:sz w:val="28"/>
              </w:rPr>
              <w:t xml:space="preserve"> </w:t>
            </w:r>
            <w:r w:rsidRPr="0047735B">
              <w:rPr>
                <w:b w:val="0"/>
                <w:bCs/>
                <w:sz w:val="28"/>
              </w:rPr>
              <w:t>President</w:t>
            </w:r>
          </w:p>
        </w:tc>
        <w:tc>
          <w:tcPr>
            <w:tcW w:w="3080" w:type="dxa"/>
          </w:tcPr>
          <w:p w:rsidR="0000516C" w:rsidRPr="0047735B" w:rsidRDefault="0000516C" w:rsidP="00D67B97">
            <w:pPr>
              <w:pStyle w:val="normal1"/>
              <w:tabs>
                <w:tab w:val="clear" w:pos="1411"/>
              </w:tabs>
            </w:pPr>
            <w:r w:rsidRPr="0047735B">
              <w:t>(</w:t>
            </w:r>
            <w:r w:rsidR="000C671C">
              <w:rPr>
                <w:rFonts w:eastAsiaTheme="minorEastAsia"/>
              </w:rPr>
              <w:t>Derek Pang</w:t>
            </w:r>
            <w:r w:rsidRPr="0047735B">
              <w:t>)</w:t>
            </w:r>
          </w:p>
          <w:p w:rsidR="0000516C" w:rsidRPr="0047735B" w:rsidRDefault="000C671C" w:rsidP="00D67B97">
            <w:pPr>
              <w:jc w:val="center"/>
              <w:rPr>
                <w:b w:val="0"/>
                <w:bCs/>
                <w:sz w:val="28"/>
              </w:rPr>
            </w:pPr>
            <w:r>
              <w:rPr>
                <w:b w:val="0"/>
                <w:bCs/>
                <w:sz w:val="28"/>
              </w:rPr>
              <w:t>Justice of Appeal</w:t>
            </w:r>
          </w:p>
        </w:tc>
        <w:tc>
          <w:tcPr>
            <w:tcW w:w="3080" w:type="dxa"/>
          </w:tcPr>
          <w:p w:rsidR="0000516C" w:rsidRPr="0047735B" w:rsidRDefault="0000516C" w:rsidP="00D67B97">
            <w:pPr>
              <w:pStyle w:val="normal1"/>
              <w:tabs>
                <w:tab w:val="clear" w:pos="1411"/>
              </w:tabs>
            </w:pPr>
            <w:r w:rsidRPr="0047735B">
              <w:t>(</w:t>
            </w:r>
            <w:r w:rsidR="000C671C">
              <w:t xml:space="preserve">Kevin </w:t>
            </w:r>
            <w:proofErr w:type="spellStart"/>
            <w:r w:rsidR="000C671C">
              <w:t>Zervos</w:t>
            </w:r>
            <w:proofErr w:type="spellEnd"/>
            <w:r w:rsidRPr="0047735B">
              <w:t>)</w:t>
            </w:r>
          </w:p>
          <w:p w:rsidR="0000516C" w:rsidRPr="0047735B" w:rsidRDefault="000C671C" w:rsidP="00D67B97">
            <w:pPr>
              <w:jc w:val="center"/>
              <w:rPr>
                <w:b w:val="0"/>
                <w:bCs/>
                <w:sz w:val="28"/>
              </w:rPr>
            </w:pPr>
            <w:r>
              <w:rPr>
                <w:b w:val="0"/>
                <w:bCs/>
                <w:sz w:val="28"/>
              </w:rPr>
              <w:t>Justice of Appeal</w:t>
            </w:r>
          </w:p>
        </w:tc>
      </w:tr>
    </w:tbl>
    <w:p w:rsidR="0000516C" w:rsidRDefault="0000516C" w:rsidP="00FA12F2">
      <w:pPr>
        <w:rPr>
          <w:b w:val="0"/>
          <w:bCs/>
          <w:sz w:val="28"/>
        </w:rPr>
      </w:pPr>
    </w:p>
    <w:p w:rsidR="00C326B4" w:rsidRDefault="00C326B4" w:rsidP="00FA12F2">
      <w:pPr>
        <w:rPr>
          <w:b w:val="0"/>
          <w:bCs/>
          <w:sz w:val="28"/>
        </w:rPr>
      </w:pPr>
    </w:p>
    <w:p w:rsidR="00C326B4" w:rsidRPr="0047735B" w:rsidRDefault="00C326B4" w:rsidP="00FA12F2">
      <w:pPr>
        <w:rPr>
          <w:b w:val="0"/>
          <w:bCs/>
          <w:sz w:val="28"/>
        </w:rPr>
      </w:pPr>
    </w:p>
    <w:p w:rsidR="000C671C" w:rsidRPr="000C671C" w:rsidRDefault="000C671C" w:rsidP="0002174D">
      <w:pPr>
        <w:kinsoku/>
        <w:overflowPunct/>
        <w:autoSpaceDE/>
        <w:autoSpaceDN/>
        <w:adjustRightInd/>
        <w:snapToGrid/>
        <w:ind w:left="360" w:hanging="360"/>
        <w:rPr>
          <w:rFonts w:eastAsia="宋体"/>
          <w:b w:val="0"/>
          <w:snapToGrid/>
          <w:sz w:val="28"/>
          <w:szCs w:val="28"/>
          <w:lang w:val="en-US"/>
        </w:rPr>
      </w:pPr>
      <w:proofErr w:type="spellStart"/>
      <w:r w:rsidRPr="000C671C">
        <w:rPr>
          <w:rFonts w:eastAsia="宋体"/>
          <w:b w:val="0"/>
          <w:snapToGrid/>
          <w:sz w:val="28"/>
          <w:szCs w:val="28"/>
          <w:lang w:val="en-US"/>
        </w:rPr>
        <w:t>Ms</w:t>
      </w:r>
      <w:proofErr w:type="spellEnd"/>
      <w:r w:rsidRPr="000C671C">
        <w:rPr>
          <w:rFonts w:eastAsia="宋体"/>
          <w:b w:val="0"/>
          <w:snapToGrid/>
          <w:sz w:val="28"/>
          <w:szCs w:val="28"/>
          <w:lang w:val="en-US"/>
        </w:rPr>
        <w:t xml:space="preserve"> Vinci Lam DDPP and </w:t>
      </w:r>
      <w:proofErr w:type="spellStart"/>
      <w:r w:rsidRPr="000C671C">
        <w:rPr>
          <w:rFonts w:eastAsia="宋体"/>
          <w:b w:val="0"/>
          <w:snapToGrid/>
          <w:sz w:val="28"/>
          <w:szCs w:val="28"/>
          <w:lang w:val="en-US"/>
        </w:rPr>
        <w:t>Mr</w:t>
      </w:r>
      <w:proofErr w:type="spellEnd"/>
      <w:r w:rsidRPr="000C671C">
        <w:rPr>
          <w:rFonts w:eastAsia="宋体"/>
          <w:b w:val="0"/>
          <w:snapToGrid/>
          <w:sz w:val="28"/>
          <w:szCs w:val="28"/>
          <w:lang w:val="en-US"/>
        </w:rPr>
        <w:t xml:space="preserve"> Ivan Cheung SPP, of the Departmen</w:t>
      </w:r>
      <w:r>
        <w:rPr>
          <w:rFonts w:eastAsia="宋体"/>
          <w:b w:val="0"/>
          <w:snapToGrid/>
          <w:sz w:val="28"/>
          <w:szCs w:val="28"/>
          <w:lang w:val="en-US"/>
        </w:rPr>
        <w:t>t of Justice, for the Applicant</w:t>
      </w:r>
    </w:p>
    <w:p w:rsidR="000C671C" w:rsidRPr="000C671C" w:rsidRDefault="000C671C" w:rsidP="000C671C">
      <w:pPr>
        <w:tabs>
          <w:tab w:val="left" w:pos="6615"/>
        </w:tabs>
        <w:kinsoku/>
        <w:overflowPunct/>
        <w:autoSpaceDE/>
        <w:autoSpaceDN/>
        <w:adjustRightInd/>
        <w:snapToGrid/>
        <w:rPr>
          <w:rFonts w:eastAsia="宋体"/>
          <w:b w:val="0"/>
          <w:snapToGrid/>
          <w:sz w:val="28"/>
          <w:szCs w:val="28"/>
          <w:lang w:val="en-US"/>
        </w:rPr>
      </w:pPr>
    </w:p>
    <w:p w:rsidR="000C671C" w:rsidRPr="000C671C" w:rsidRDefault="000C671C" w:rsidP="0002174D">
      <w:pPr>
        <w:tabs>
          <w:tab w:val="left" w:pos="6615"/>
        </w:tabs>
        <w:kinsoku/>
        <w:overflowPunct/>
        <w:autoSpaceDE/>
        <w:autoSpaceDN/>
        <w:adjustRightInd/>
        <w:snapToGrid/>
        <w:ind w:left="360" w:hanging="360"/>
        <w:rPr>
          <w:rFonts w:eastAsia="宋体"/>
          <w:b w:val="0"/>
          <w:snapToGrid/>
          <w:sz w:val="28"/>
          <w:szCs w:val="28"/>
          <w:lang w:val="en-US"/>
        </w:rPr>
      </w:pPr>
      <w:proofErr w:type="spellStart"/>
      <w:r>
        <w:rPr>
          <w:rFonts w:eastAsia="宋体"/>
          <w:b w:val="0"/>
          <w:snapToGrid/>
          <w:sz w:val="28"/>
          <w:szCs w:val="28"/>
          <w:lang w:val="en-US"/>
        </w:rPr>
        <w:t>Mr</w:t>
      </w:r>
      <w:proofErr w:type="spellEnd"/>
      <w:r>
        <w:rPr>
          <w:rFonts w:eastAsia="宋体"/>
          <w:b w:val="0"/>
          <w:snapToGrid/>
          <w:sz w:val="28"/>
          <w:szCs w:val="28"/>
          <w:lang w:val="en-US"/>
        </w:rPr>
        <w:t xml:space="preserve"> H</w:t>
      </w:r>
      <w:r w:rsidR="001C61D9">
        <w:rPr>
          <w:rFonts w:eastAsia="宋体"/>
          <w:b w:val="0"/>
          <w:snapToGrid/>
          <w:sz w:val="28"/>
          <w:szCs w:val="28"/>
          <w:lang w:val="en-US"/>
        </w:rPr>
        <w:t xml:space="preserve"> </w:t>
      </w:r>
      <w:r>
        <w:rPr>
          <w:rFonts w:eastAsia="宋体"/>
          <w:b w:val="0"/>
          <w:snapToGrid/>
          <w:sz w:val="28"/>
          <w:szCs w:val="28"/>
          <w:lang w:val="en-US"/>
        </w:rPr>
        <w:t xml:space="preserve">Y Wong, instructed by </w:t>
      </w:r>
      <w:r w:rsidRPr="000C671C">
        <w:rPr>
          <w:rFonts w:eastAsia="宋体"/>
          <w:b w:val="0"/>
          <w:snapToGrid/>
          <w:sz w:val="28"/>
          <w:szCs w:val="28"/>
          <w:lang w:val="en-US"/>
        </w:rPr>
        <w:t>Yu &amp; Associates,</w:t>
      </w:r>
      <w:r>
        <w:rPr>
          <w:rFonts w:eastAsia="宋体"/>
          <w:b w:val="0"/>
          <w:snapToGrid/>
          <w:sz w:val="28"/>
          <w:szCs w:val="28"/>
          <w:lang w:val="en-US"/>
        </w:rPr>
        <w:t xml:space="preserve"> </w:t>
      </w:r>
      <w:r w:rsidRPr="000C671C">
        <w:rPr>
          <w:rFonts w:eastAsia="宋体"/>
          <w:b w:val="0"/>
          <w:snapToGrid/>
          <w:sz w:val="28"/>
          <w:szCs w:val="28"/>
          <w:lang w:val="en-US"/>
        </w:rPr>
        <w:t>assigned by the Director of Legal Aid,</w:t>
      </w:r>
      <w:r>
        <w:rPr>
          <w:rFonts w:eastAsia="宋体"/>
          <w:b w:val="0"/>
          <w:snapToGrid/>
          <w:sz w:val="28"/>
          <w:szCs w:val="28"/>
          <w:lang w:val="en-US"/>
        </w:rPr>
        <w:t xml:space="preserve"> </w:t>
      </w:r>
      <w:r w:rsidRPr="000C671C">
        <w:rPr>
          <w:rFonts w:eastAsia="宋体"/>
          <w:b w:val="0"/>
          <w:snapToGrid/>
          <w:sz w:val="28"/>
          <w:szCs w:val="28"/>
          <w:lang w:val="en-US"/>
        </w:rPr>
        <w:t>for the Respondent</w:t>
      </w:r>
    </w:p>
    <w:sectPr w:rsidR="000C671C" w:rsidRPr="000C671C" w:rsidSect="0011044B">
      <w:headerReference w:type="default" r:id="rId9"/>
      <w:headerReference w:type="first" r:id="rId10"/>
      <w:pgSz w:w="11906" w:h="16838" w:code="9"/>
      <w:pgMar w:top="1800"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1B0" w:rsidRDefault="00EE31B0">
      <w:r>
        <w:separator/>
      </w:r>
    </w:p>
  </w:endnote>
  <w:endnote w:type="continuationSeparator" w:id="0">
    <w:p w:rsidR="00EE31B0" w:rsidRDefault="00EE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1B0" w:rsidRDefault="00EE31B0">
      <w:r>
        <w:separator/>
      </w:r>
    </w:p>
  </w:footnote>
  <w:footnote w:type="continuationSeparator" w:id="0">
    <w:p w:rsidR="00EE31B0" w:rsidRDefault="00EE31B0">
      <w:r>
        <w:continuationSeparator/>
      </w:r>
    </w:p>
  </w:footnote>
  <w:footnote w:id="1">
    <w:p w:rsidR="0022084C" w:rsidRPr="00921461" w:rsidRDefault="0022084C" w:rsidP="00C8138E">
      <w:pPr>
        <w:pStyle w:val="FootnoteText"/>
        <w:tabs>
          <w:tab w:val="clear" w:pos="274"/>
          <w:tab w:val="left" w:pos="360"/>
        </w:tabs>
        <w:ind w:left="360" w:hanging="360"/>
        <w:jc w:val="both"/>
      </w:pPr>
      <w:r>
        <w:rPr>
          <w:rStyle w:val="FootnoteReference"/>
        </w:rPr>
        <w:footnoteRef/>
      </w:r>
      <w:r>
        <w:t xml:space="preserve"> </w:t>
      </w:r>
      <w:r>
        <w:tab/>
        <w:t>The significance of the tassel moving forward is that it suggested that at this moment the vehicle was braked.</w:t>
      </w:r>
    </w:p>
  </w:footnote>
  <w:footnote w:id="2">
    <w:p w:rsidR="0022084C" w:rsidRPr="00321E00" w:rsidRDefault="0022084C" w:rsidP="0011044B">
      <w:pPr>
        <w:pStyle w:val="FootnoteText"/>
        <w:tabs>
          <w:tab w:val="clear" w:pos="274"/>
          <w:tab w:val="left" w:pos="360"/>
        </w:tabs>
        <w:ind w:left="360" w:hanging="360"/>
        <w:jc w:val="both"/>
      </w:pPr>
      <w:r>
        <w:rPr>
          <w:rStyle w:val="FootnoteReference"/>
        </w:rPr>
        <w:footnoteRef/>
      </w:r>
      <w:r>
        <w:t xml:space="preserve"> </w:t>
      </w:r>
      <w:r w:rsidR="00C326B4">
        <w:tab/>
      </w:r>
      <w:r>
        <w:t xml:space="preserve">PW3 was not cited in the particulars of the charge, since she </w:t>
      </w:r>
      <w:r w:rsidR="0070202F">
        <w:t>could not be said to have suffered grievous bodily harm</w:t>
      </w:r>
      <w:r>
        <w:t>.</w:t>
      </w:r>
    </w:p>
  </w:footnote>
  <w:footnote w:id="3">
    <w:p w:rsidR="0022084C" w:rsidRDefault="0022084C" w:rsidP="008D4853">
      <w:pPr>
        <w:pStyle w:val="FootnoteText"/>
        <w:tabs>
          <w:tab w:val="clear" w:pos="274"/>
          <w:tab w:val="left" w:pos="360"/>
        </w:tabs>
      </w:pPr>
      <w:r>
        <w:rPr>
          <w:rStyle w:val="FootnoteReference"/>
        </w:rPr>
        <w:footnoteRef/>
      </w:r>
      <w:r>
        <w:t xml:space="preserve"> </w:t>
      </w:r>
      <w:r>
        <w:tab/>
      </w:r>
      <w:r w:rsidRPr="004C5D24">
        <w:rPr>
          <w:i/>
        </w:rPr>
        <w:t>HKSAR v Tong Siu Yan, Tommy</w:t>
      </w:r>
      <w:r>
        <w:t xml:space="preserve"> (</w:t>
      </w:r>
      <w:proofErr w:type="spellStart"/>
      <w:r>
        <w:t>Unrep</w:t>
      </w:r>
      <w:proofErr w:type="spellEnd"/>
      <w:r>
        <w:t xml:space="preserve">., </w:t>
      </w:r>
      <w:r w:rsidRPr="00BC623E">
        <w:t>DCCC 18/2017</w:t>
      </w:r>
      <w:r>
        <w:t>, 26 May 2017).</w:t>
      </w:r>
    </w:p>
  </w:footnote>
  <w:footnote w:id="4">
    <w:p w:rsidR="0022084C" w:rsidRDefault="0022084C" w:rsidP="008D4853">
      <w:pPr>
        <w:pStyle w:val="FootnoteText"/>
        <w:tabs>
          <w:tab w:val="clear" w:pos="274"/>
          <w:tab w:val="left" w:pos="360"/>
        </w:tabs>
      </w:pPr>
      <w:r>
        <w:rPr>
          <w:rStyle w:val="FootnoteReference"/>
        </w:rPr>
        <w:footnoteRef/>
      </w:r>
      <w:r>
        <w:t xml:space="preserve"> </w:t>
      </w:r>
      <w:r>
        <w:tab/>
      </w:r>
      <w:r w:rsidRPr="004C5D24">
        <w:rPr>
          <w:i/>
        </w:rPr>
        <w:t>HKSAR v Lee Yeung Chi, Richard</w:t>
      </w:r>
      <w:r>
        <w:t xml:space="preserve"> (</w:t>
      </w:r>
      <w:proofErr w:type="spellStart"/>
      <w:r>
        <w:t>Unrep</w:t>
      </w:r>
      <w:proofErr w:type="spellEnd"/>
      <w:r>
        <w:t xml:space="preserve">., </w:t>
      </w:r>
      <w:r w:rsidRPr="00C32C5F">
        <w:t>DCCC 26/2017</w:t>
      </w:r>
      <w:r>
        <w:t>, 14 June 2017).</w:t>
      </w:r>
    </w:p>
  </w:footnote>
  <w:footnote w:id="5">
    <w:p w:rsidR="0022084C" w:rsidRDefault="0022084C" w:rsidP="008D4853">
      <w:pPr>
        <w:pStyle w:val="FootnoteText"/>
        <w:tabs>
          <w:tab w:val="clear" w:pos="274"/>
          <w:tab w:val="left" w:pos="360"/>
        </w:tabs>
      </w:pPr>
      <w:r>
        <w:rPr>
          <w:rStyle w:val="FootnoteReference"/>
        </w:rPr>
        <w:footnoteRef/>
      </w:r>
      <w:r>
        <w:t xml:space="preserve"> </w:t>
      </w:r>
      <w:r>
        <w:tab/>
      </w:r>
      <w:r w:rsidRPr="004C5D24">
        <w:rPr>
          <w:i/>
        </w:rPr>
        <w:t>HKSAR v Lam Lap Fung</w:t>
      </w:r>
      <w:r>
        <w:t xml:space="preserve"> (</w:t>
      </w:r>
      <w:proofErr w:type="spellStart"/>
      <w:r>
        <w:t>Unrep</w:t>
      </w:r>
      <w:proofErr w:type="spellEnd"/>
      <w:r>
        <w:t xml:space="preserve">., </w:t>
      </w:r>
      <w:r w:rsidRPr="005354CA">
        <w:t>DCCC 183/2017</w:t>
      </w:r>
      <w:r>
        <w:t>, 7 August 2017).</w:t>
      </w:r>
    </w:p>
  </w:footnote>
  <w:footnote w:id="6">
    <w:p w:rsidR="0022084C" w:rsidRPr="001243EC" w:rsidRDefault="0022084C" w:rsidP="00C8138E">
      <w:pPr>
        <w:pStyle w:val="FootnoteText"/>
        <w:tabs>
          <w:tab w:val="clear" w:pos="274"/>
          <w:tab w:val="left" w:pos="360"/>
        </w:tabs>
      </w:pPr>
      <w:r>
        <w:rPr>
          <w:rStyle w:val="FootnoteReference"/>
        </w:rPr>
        <w:footnoteRef/>
      </w:r>
      <w:r>
        <w:t xml:space="preserve"> </w:t>
      </w:r>
      <w:r>
        <w:tab/>
        <w:t>AB p 16C.</w:t>
      </w:r>
    </w:p>
  </w:footnote>
  <w:footnote w:id="7">
    <w:p w:rsidR="0022084C" w:rsidRDefault="0022084C" w:rsidP="008D4853">
      <w:pPr>
        <w:pStyle w:val="FootnoteText"/>
        <w:tabs>
          <w:tab w:val="clear" w:pos="274"/>
          <w:tab w:val="left" w:pos="360"/>
        </w:tabs>
      </w:pPr>
      <w:r>
        <w:rPr>
          <w:rStyle w:val="FootnoteReference"/>
        </w:rPr>
        <w:footnoteRef/>
      </w:r>
      <w:r>
        <w:t xml:space="preserve"> </w:t>
      </w:r>
      <w:r>
        <w:tab/>
      </w:r>
      <w:r w:rsidRPr="001610CB">
        <w:rPr>
          <w:i/>
        </w:rPr>
        <w:t xml:space="preserve">Secretary for Justice </w:t>
      </w:r>
      <w:proofErr w:type="gramStart"/>
      <w:r w:rsidRPr="001610CB">
        <w:rPr>
          <w:i/>
        </w:rPr>
        <w:t>v</w:t>
      </w:r>
      <w:proofErr w:type="gramEnd"/>
      <w:r w:rsidRPr="001610CB">
        <w:rPr>
          <w:i/>
        </w:rPr>
        <w:t xml:space="preserve"> Poon Wing Kay</w:t>
      </w:r>
      <w:r>
        <w:t xml:space="preserve"> [2007] 1 HKLRD 660.</w:t>
      </w:r>
    </w:p>
  </w:footnote>
  <w:footnote w:id="8">
    <w:p w:rsidR="0022084C" w:rsidRDefault="0022084C" w:rsidP="0002174D">
      <w:pPr>
        <w:pStyle w:val="FootnoteText"/>
        <w:tabs>
          <w:tab w:val="clear" w:pos="274"/>
          <w:tab w:val="left" w:pos="360"/>
        </w:tabs>
      </w:pPr>
      <w:r>
        <w:rPr>
          <w:rStyle w:val="FootnoteReference"/>
        </w:rPr>
        <w:footnoteRef/>
      </w:r>
      <w:r>
        <w:t xml:space="preserve"> </w:t>
      </w:r>
      <w:r>
        <w:tab/>
        <w:t>AB p</w:t>
      </w:r>
      <w:r w:rsidR="00E03507">
        <w:t>p</w:t>
      </w:r>
      <w:r>
        <w:t xml:space="preserve"> 18R-19A.</w:t>
      </w:r>
    </w:p>
  </w:footnote>
  <w:footnote w:id="9">
    <w:p w:rsidR="0022084C" w:rsidRDefault="0022084C" w:rsidP="0002174D">
      <w:pPr>
        <w:pStyle w:val="FootnoteText"/>
        <w:tabs>
          <w:tab w:val="clear" w:pos="274"/>
          <w:tab w:val="left" w:pos="360"/>
        </w:tabs>
      </w:pPr>
      <w:r>
        <w:rPr>
          <w:rStyle w:val="FootnoteReference"/>
        </w:rPr>
        <w:footnoteRef/>
      </w:r>
      <w:r>
        <w:t xml:space="preserve"> </w:t>
      </w:r>
      <w:r>
        <w:tab/>
        <w:t>AB p 19A-D.</w:t>
      </w:r>
    </w:p>
  </w:footnote>
  <w:footnote w:id="10">
    <w:p w:rsidR="0022084C" w:rsidRPr="001610CB" w:rsidRDefault="0022084C" w:rsidP="00C8138E">
      <w:pPr>
        <w:pStyle w:val="FootnoteText"/>
        <w:tabs>
          <w:tab w:val="clear" w:pos="274"/>
          <w:tab w:val="left" w:pos="360"/>
        </w:tabs>
      </w:pPr>
      <w:r>
        <w:rPr>
          <w:rStyle w:val="FootnoteReference"/>
        </w:rPr>
        <w:footnoteRef/>
      </w:r>
      <w:r>
        <w:t xml:space="preserve"> </w:t>
      </w:r>
      <w:r>
        <w:tab/>
        <w:t>AB p 19E-G.</w:t>
      </w:r>
    </w:p>
  </w:footnote>
  <w:footnote w:id="11">
    <w:p w:rsidR="0022084C" w:rsidRDefault="0022084C" w:rsidP="00C8138E">
      <w:pPr>
        <w:pStyle w:val="FootnoteText"/>
        <w:tabs>
          <w:tab w:val="clear" w:pos="274"/>
          <w:tab w:val="left" w:pos="360"/>
        </w:tabs>
      </w:pPr>
      <w:r>
        <w:rPr>
          <w:rStyle w:val="FootnoteReference"/>
        </w:rPr>
        <w:footnoteRef/>
      </w:r>
      <w:r>
        <w:t xml:space="preserve"> </w:t>
      </w:r>
      <w:r>
        <w:tab/>
        <w:t>AB p 19H.</w:t>
      </w:r>
    </w:p>
  </w:footnote>
  <w:footnote w:id="12">
    <w:p w:rsidR="0022084C" w:rsidRPr="001610CB" w:rsidRDefault="0022084C" w:rsidP="00C8138E">
      <w:pPr>
        <w:pStyle w:val="FootnoteText"/>
        <w:tabs>
          <w:tab w:val="clear" w:pos="274"/>
          <w:tab w:val="left" w:pos="360"/>
        </w:tabs>
      </w:pPr>
      <w:r>
        <w:rPr>
          <w:rStyle w:val="FootnoteReference"/>
        </w:rPr>
        <w:footnoteRef/>
      </w:r>
      <w:r>
        <w:t xml:space="preserve"> </w:t>
      </w:r>
      <w:r>
        <w:tab/>
        <w:t>AB p 19N-O.</w:t>
      </w:r>
    </w:p>
  </w:footnote>
  <w:footnote w:id="13">
    <w:p w:rsidR="0022084C" w:rsidRPr="00C8138E" w:rsidRDefault="0022084C" w:rsidP="0002174D">
      <w:pPr>
        <w:pStyle w:val="FootnoteText"/>
        <w:tabs>
          <w:tab w:val="clear" w:pos="274"/>
          <w:tab w:val="left" w:pos="360"/>
        </w:tabs>
      </w:pPr>
      <w:r>
        <w:rPr>
          <w:rStyle w:val="FootnoteReference"/>
        </w:rPr>
        <w:footnoteRef/>
      </w:r>
      <w:r>
        <w:t xml:space="preserve"> </w:t>
      </w:r>
      <w:r>
        <w:tab/>
      </w:r>
      <w:r w:rsidRPr="001610CB">
        <w:rPr>
          <w:i/>
        </w:rPr>
        <w:t xml:space="preserve">HKSAR v Lee </w:t>
      </w:r>
      <w:proofErr w:type="spellStart"/>
      <w:r w:rsidRPr="001610CB">
        <w:rPr>
          <w:i/>
        </w:rPr>
        <w:t>Yau</w:t>
      </w:r>
      <w:proofErr w:type="spellEnd"/>
      <w:r w:rsidRPr="001610CB">
        <w:rPr>
          <w:i/>
        </w:rPr>
        <w:t xml:space="preserve"> Wing</w:t>
      </w:r>
      <w:r>
        <w:t xml:space="preserve"> [2013] 1 HKC 572</w:t>
      </w:r>
      <w:r w:rsidRPr="00C8138E">
        <w:rPr>
          <w:rFonts w:eastAsia="PMingLiU"/>
          <w:lang w:eastAsia="zh-TW"/>
        </w:rPr>
        <w:t>.</w:t>
      </w:r>
    </w:p>
  </w:footnote>
  <w:footnote w:id="14">
    <w:p w:rsidR="0022084C" w:rsidRDefault="0022084C" w:rsidP="0002174D">
      <w:pPr>
        <w:pStyle w:val="FootnoteText"/>
        <w:tabs>
          <w:tab w:val="clear" w:pos="274"/>
          <w:tab w:val="left" w:pos="360"/>
        </w:tabs>
      </w:pPr>
      <w:r>
        <w:rPr>
          <w:rStyle w:val="FootnoteReference"/>
        </w:rPr>
        <w:footnoteRef/>
      </w:r>
      <w:r>
        <w:t xml:space="preserve"> </w:t>
      </w:r>
      <w:r>
        <w:tab/>
      </w:r>
      <w:r w:rsidRPr="00D67B97">
        <w:rPr>
          <w:i/>
        </w:rPr>
        <w:t>Secretary for Justice v Ian Francis Wade</w:t>
      </w:r>
      <w:r>
        <w:t xml:space="preserve"> [2016] 3 HKC 274.</w:t>
      </w:r>
    </w:p>
  </w:footnote>
  <w:footnote w:id="15">
    <w:p w:rsidR="0022084C" w:rsidRPr="003E0626" w:rsidRDefault="0022084C" w:rsidP="00BF0EB2">
      <w:pPr>
        <w:pStyle w:val="FootnoteText"/>
        <w:tabs>
          <w:tab w:val="clear" w:pos="274"/>
          <w:tab w:val="left" w:pos="360"/>
        </w:tabs>
      </w:pPr>
      <w:r>
        <w:rPr>
          <w:rStyle w:val="FootnoteReference"/>
        </w:rPr>
        <w:footnoteRef/>
      </w:r>
      <w:r>
        <w:t xml:space="preserve"> </w:t>
      </w:r>
      <w:r>
        <w:tab/>
      </w:r>
      <w:r w:rsidRPr="00074E62">
        <w:rPr>
          <w:i/>
        </w:rPr>
        <w:t>Ibid.</w:t>
      </w:r>
      <w:r>
        <w:t>, at 286F-G.</w:t>
      </w:r>
    </w:p>
  </w:footnote>
  <w:footnote w:id="16">
    <w:p w:rsidR="0022084C" w:rsidRDefault="0022084C" w:rsidP="0002174D">
      <w:pPr>
        <w:pStyle w:val="FootnoteText"/>
        <w:tabs>
          <w:tab w:val="clear" w:pos="274"/>
          <w:tab w:val="left" w:pos="360"/>
        </w:tabs>
      </w:pPr>
      <w:r>
        <w:rPr>
          <w:rStyle w:val="FootnoteReference"/>
        </w:rPr>
        <w:footnoteRef/>
      </w:r>
      <w:r>
        <w:t xml:space="preserve"> </w:t>
      </w:r>
      <w:r>
        <w:tab/>
      </w:r>
      <w:r w:rsidRPr="00D67B97">
        <w:rPr>
          <w:i/>
        </w:rPr>
        <w:t xml:space="preserve">R v </w:t>
      </w:r>
      <w:proofErr w:type="spellStart"/>
      <w:r w:rsidRPr="00D67B97">
        <w:rPr>
          <w:i/>
        </w:rPr>
        <w:t>Cooksley</w:t>
      </w:r>
      <w:proofErr w:type="spellEnd"/>
      <w:r>
        <w:t xml:space="preserve"> [2003] 2 Cr App R 18, at para 11.</w:t>
      </w:r>
    </w:p>
  </w:footnote>
  <w:footnote w:id="17">
    <w:p w:rsidR="0022084C" w:rsidRDefault="0022084C" w:rsidP="0002174D">
      <w:pPr>
        <w:pStyle w:val="FootnoteText"/>
        <w:tabs>
          <w:tab w:val="clear" w:pos="274"/>
          <w:tab w:val="left" w:pos="360"/>
        </w:tabs>
      </w:pPr>
      <w:r>
        <w:rPr>
          <w:rStyle w:val="FootnoteReference"/>
        </w:rPr>
        <w:footnoteRef/>
      </w:r>
      <w:r>
        <w:t xml:space="preserve"> </w:t>
      </w:r>
      <w:r>
        <w:tab/>
      </w:r>
      <w:r w:rsidRPr="00D67B97">
        <w:rPr>
          <w:i/>
        </w:rPr>
        <w:t>HKSAR v Fong Chai Man</w:t>
      </w:r>
      <w:r>
        <w:t xml:space="preserve"> [2008] 3 HKLRD 493, at para 10.</w:t>
      </w:r>
    </w:p>
  </w:footnote>
  <w:footnote w:id="18">
    <w:p w:rsidR="0022084C" w:rsidRDefault="0022084C" w:rsidP="00C8138E">
      <w:pPr>
        <w:pStyle w:val="FootnoteText"/>
        <w:tabs>
          <w:tab w:val="clear" w:pos="274"/>
          <w:tab w:val="left" w:pos="360"/>
        </w:tabs>
        <w:ind w:left="360" w:hanging="360"/>
        <w:jc w:val="both"/>
      </w:pPr>
      <w:r>
        <w:rPr>
          <w:rStyle w:val="FootnoteReference"/>
        </w:rPr>
        <w:footnoteRef/>
      </w:r>
      <w:r>
        <w:t xml:space="preserve"> </w:t>
      </w:r>
      <w:r>
        <w:tab/>
      </w:r>
      <w:r w:rsidRPr="00D67B97">
        <w:rPr>
          <w:i/>
        </w:rPr>
        <w:t xml:space="preserve">Secretary for Justice v Ng Hop Sing aka Ng Hop </w:t>
      </w:r>
      <w:proofErr w:type="spellStart"/>
      <w:r w:rsidRPr="00D67B97">
        <w:rPr>
          <w:i/>
        </w:rPr>
        <w:t>Shing</w:t>
      </w:r>
      <w:proofErr w:type="spellEnd"/>
      <w:r>
        <w:t xml:space="preserve"> (</w:t>
      </w:r>
      <w:proofErr w:type="spellStart"/>
      <w:r>
        <w:t>Unrep</w:t>
      </w:r>
      <w:proofErr w:type="spellEnd"/>
      <w:r>
        <w:t>., CAAR 1/2017, 22 September 2017), at para 37.</w:t>
      </w:r>
    </w:p>
  </w:footnote>
  <w:footnote w:id="19">
    <w:p w:rsidR="0022084C" w:rsidRDefault="0022084C" w:rsidP="0002174D">
      <w:pPr>
        <w:pStyle w:val="FootnoteText"/>
        <w:tabs>
          <w:tab w:val="clear" w:pos="274"/>
          <w:tab w:val="left" w:pos="360"/>
        </w:tabs>
      </w:pPr>
      <w:r>
        <w:rPr>
          <w:rStyle w:val="FootnoteReference"/>
        </w:rPr>
        <w:footnoteRef/>
      </w:r>
      <w:r>
        <w:t xml:space="preserve"> </w:t>
      </w:r>
      <w:r>
        <w:tab/>
      </w:r>
      <w:r w:rsidRPr="00D67B97">
        <w:rPr>
          <w:i/>
        </w:rPr>
        <w:t xml:space="preserve">Secretary for Justice </w:t>
      </w:r>
      <w:proofErr w:type="gramStart"/>
      <w:r w:rsidRPr="00D67B97">
        <w:rPr>
          <w:i/>
        </w:rPr>
        <w:t>v</w:t>
      </w:r>
      <w:proofErr w:type="gramEnd"/>
      <w:r w:rsidRPr="00D67B97">
        <w:rPr>
          <w:i/>
        </w:rPr>
        <w:t xml:space="preserve"> Lam Siu Tong</w:t>
      </w:r>
      <w:r>
        <w:t xml:space="preserve"> [2009] 5 HKLRD 601.</w:t>
      </w:r>
    </w:p>
  </w:footnote>
  <w:footnote w:id="20">
    <w:p w:rsidR="0022084C" w:rsidRDefault="0022084C" w:rsidP="0002174D">
      <w:pPr>
        <w:pStyle w:val="FootnoteText"/>
        <w:tabs>
          <w:tab w:val="clear" w:pos="274"/>
          <w:tab w:val="left" w:pos="360"/>
        </w:tabs>
      </w:pPr>
      <w:r>
        <w:rPr>
          <w:rStyle w:val="FootnoteReference"/>
        </w:rPr>
        <w:footnoteRef/>
      </w:r>
      <w:r>
        <w:t xml:space="preserve"> </w:t>
      </w:r>
      <w:r>
        <w:tab/>
      </w:r>
      <w:r w:rsidRPr="00D67B97">
        <w:rPr>
          <w:i/>
        </w:rPr>
        <w:t xml:space="preserve">Secretary for Justice v Wong </w:t>
      </w:r>
      <w:proofErr w:type="spellStart"/>
      <w:r w:rsidRPr="00D67B97">
        <w:rPr>
          <w:i/>
        </w:rPr>
        <w:t>Wai</w:t>
      </w:r>
      <w:proofErr w:type="spellEnd"/>
      <w:r w:rsidRPr="00D67B97">
        <w:rPr>
          <w:i/>
        </w:rPr>
        <w:t xml:space="preserve"> Hung</w:t>
      </w:r>
      <w:r>
        <w:t xml:space="preserve"> [2011] 2 HKC 224.</w:t>
      </w:r>
    </w:p>
  </w:footnote>
  <w:footnote w:id="21">
    <w:p w:rsidR="0022084C" w:rsidRPr="00E62466" w:rsidRDefault="0022084C" w:rsidP="00C8138E">
      <w:pPr>
        <w:pStyle w:val="FootnoteText"/>
        <w:tabs>
          <w:tab w:val="clear" w:pos="274"/>
          <w:tab w:val="left" w:pos="360"/>
        </w:tabs>
      </w:pPr>
      <w:r>
        <w:rPr>
          <w:rStyle w:val="FootnoteReference"/>
        </w:rPr>
        <w:footnoteRef/>
      </w:r>
      <w:r>
        <w:t xml:space="preserve"> </w:t>
      </w:r>
      <w:r>
        <w:tab/>
        <w:t>AB p 18I.</w:t>
      </w:r>
    </w:p>
  </w:footnote>
  <w:footnote w:id="22">
    <w:p w:rsidR="0022084C" w:rsidRPr="008E1112" w:rsidRDefault="0022084C" w:rsidP="00C8138E">
      <w:pPr>
        <w:pStyle w:val="FootnoteText"/>
        <w:tabs>
          <w:tab w:val="clear" w:pos="274"/>
          <w:tab w:val="left" w:pos="360"/>
        </w:tabs>
      </w:pPr>
      <w:r>
        <w:rPr>
          <w:rStyle w:val="FootnoteReference"/>
        </w:rPr>
        <w:footnoteRef/>
      </w:r>
      <w:r>
        <w:t xml:space="preserve"> </w:t>
      </w:r>
      <w:r>
        <w:tab/>
        <w:t>AB p 19N-O.</w:t>
      </w:r>
    </w:p>
  </w:footnote>
  <w:footnote w:id="23">
    <w:p w:rsidR="0022084C" w:rsidRDefault="0022084C" w:rsidP="00C8138E">
      <w:pPr>
        <w:pStyle w:val="FootnoteText"/>
        <w:tabs>
          <w:tab w:val="clear" w:pos="274"/>
          <w:tab w:val="left" w:pos="360"/>
        </w:tabs>
      </w:pPr>
      <w:r>
        <w:rPr>
          <w:rStyle w:val="FootnoteReference"/>
        </w:rPr>
        <w:footnoteRef/>
      </w:r>
      <w:r>
        <w:t xml:space="preserve"> </w:t>
      </w:r>
      <w:r>
        <w:tab/>
      </w:r>
      <w:r w:rsidRPr="008557BA">
        <w:rPr>
          <w:i/>
        </w:rPr>
        <w:t>Attorney General’s Reference No 4 of 1989</w:t>
      </w:r>
      <w:r>
        <w:t xml:space="preserve"> (1989) 11 Cr App R (S) 517.</w:t>
      </w:r>
    </w:p>
  </w:footnote>
  <w:footnote w:id="24">
    <w:p w:rsidR="0022084C" w:rsidRPr="003E6719" w:rsidRDefault="0022084C" w:rsidP="00C8138E">
      <w:pPr>
        <w:pStyle w:val="FootnoteText"/>
        <w:tabs>
          <w:tab w:val="clear" w:pos="274"/>
          <w:tab w:val="left" w:pos="360"/>
        </w:tabs>
        <w:rPr>
          <w:lang w:val="fr-FR"/>
        </w:rPr>
      </w:pPr>
      <w:r>
        <w:rPr>
          <w:rStyle w:val="FootnoteReference"/>
        </w:rPr>
        <w:footnoteRef/>
      </w:r>
      <w:r w:rsidRPr="003E6719">
        <w:rPr>
          <w:lang w:val="fr-FR"/>
        </w:rPr>
        <w:t xml:space="preserve"> </w:t>
      </w:r>
      <w:r w:rsidRPr="003E6719">
        <w:rPr>
          <w:lang w:val="fr-FR"/>
        </w:rPr>
        <w:tab/>
      </w:r>
      <w:r w:rsidRPr="003E6719">
        <w:rPr>
          <w:rFonts w:hint="eastAsia"/>
          <w:lang w:val="fr-FR"/>
        </w:rPr>
        <w:t>AB p 15J-K.</w:t>
      </w:r>
    </w:p>
  </w:footnote>
  <w:footnote w:id="25">
    <w:p w:rsidR="0022084C" w:rsidRPr="003E6719" w:rsidRDefault="0022084C" w:rsidP="00C8138E">
      <w:pPr>
        <w:pStyle w:val="FootnoteText"/>
        <w:tabs>
          <w:tab w:val="clear" w:pos="274"/>
          <w:tab w:val="left" w:pos="360"/>
        </w:tabs>
        <w:rPr>
          <w:lang w:val="fr-FR"/>
        </w:rPr>
      </w:pPr>
      <w:r>
        <w:rPr>
          <w:rStyle w:val="FootnoteReference"/>
        </w:rPr>
        <w:footnoteRef/>
      </w:r>
      <w:r w:rsidRPr="003E6719">
        <w:rPr>
          <w:lang w:val="fr-FR"/>
        </w:rPr>
        <w:t xml:space="preserve"> </w:t>
      </w:r>
      <w:r w:rsidRPr="003E6719">
        <w:rPr>
          <w:lang w:val="fr-FR"/>
        </w:rPr>
        <w:tab/>
      </w:r>
      <w:r w:rsidRPr="003E6719">
        <w:rPr>
          <w:rFonts w:hint="eastAsia"/>
          <w:lang w:val="fr-FR"/>
        </w:rPr>
        <w:t xml:space="preserve">AB </w:t>
      </w:r>
      <w:r w:rsidRPr="003E6719">
        <w:rPr>
          <w:rFonts w:hint="eastAsia"/>
          <w:lang w:val="fr-FR"/>
        </w:rPr>
        <w:t>p 18Q-R.</w:t>
      </w:r>
    </w:p>
  </w:footnote>
  <w:footnote w:id="26">
    <w:p w:rsidR="0022084C" w:rsidRDefault="0022084C" w:rsidP="00C8138E">
      <w:pPr>
        <w:pStyle w:val="FootnoteText"/>
        <w:tabs>
          <w:tab w:val="clear" w:pos="274"/>
          <w:tab w:val="left" w:pos="360"/>
        </w:tabs>
      </w:pPr>
      <w:r>
        <w:rPr>
          <w:rStyle w:val="FootnoteReference"/>
        </w:rPr>
        <w:footnoteRef/>
      </w:r>
      <w:r>
        <w:t xml:space="preserve"> </w:t>
      </w:r>
      <w:r>
        <w:tab/>
      </w:r>
      <w:r>
        <w:rPr>
          <w:rFonts w:hint="eastAsia"/>
        </w:rPr>
        <w:t>AB p 19H-I.</w:t>
      </w:r>
    </w:p>
  </w:footnote>
  <w:footnote w:id="27">
    <w:p w:rsidR="0022084C" w:rsidRDefault="0022084C" w:rsidP="00C8138E">
      <w:pPr>
        <w:pStyle w:val="FootnoteText"/>
        <w:tabs>
          <w:tab w:val="clear" w:pos="274"/>
          <w:tab w:val="left" w:pos="360"/>
        </w:tabs>
      </w:pPr>
      <w:r>
        <w:rPr>
          <w:rStyle w:val="FootnoteReference"/>
        </w:rPr>
        <w:footnoteRef/>
      </w:r>
      <w:r>
        <w:t xml:space="preserve"> </w:t>
      </w:r>
      <w:r>
        <w:tab/>
      </w:r>
      <w:r>
        <w:rPr>
          <w:rFonts w:hint="eastAsia"/>
        </w:rPr>
        <w:t>AB p 19G-H.</w:t>
      </w:r>
    </w:p>
  </w:footnote>
  <w:footnote w:id="28">
    <w:p w:rsidR="0022084C" w:rsidRDefault="0022084C" w:rsidP="00C8138E">
      <w:pPr>
        <w:pStyle w:val="FootnoteText"/>
        <w:tabs>
          <w:tab w:val="clear" w:pos="274"/>
          <w:tab w:val="left" w:pos="360"/>
        </w:tabs>
      </w:pPr>
      <w:r>
        <w:rPr>
          <w:rStyle w:val="FootnoteReference"/>
        </w:rPr>
        <w:footnoteRef/>
      </w:r>
      <w:r>
        <w:t xml:space="preserve"> </w:t>
      </w:r>
      <w:r>
        <w:tab/>
      </w:r>
      <w:r>
        <w:rPr>
          <w:rFonts w:hint="eastAsia"/>
        </w:rPr>
        <w:t xml:space="preserve">AB p 16C; </w:t>
      </w:r>
      <w:r>
        <w:t>see also pp</w:t>
      </w:r>
      <w:r>
        <w:rPr>
          <w:rFonts w:hint="eastAsia"/>
        </w:rPr>
        <w:t>16G</w:t>
      </w:r>
      <w:r>
        <w:t xml:space="preserve"> and 18U.</w:t>
      </w:r>
    </w:p>
  </w:footnote>
  <w:footnote w:id="29">
    <w:p w:rsidR="0022084C" w:rsidRPr="003E6719" w:rsidRDefault="0022084C" w:rsidP="00C8138E">
      <w:pPr>
        <w:pStyle w:val="FootnoteText"/>
        <w:tabs>
          <w:tab w:val="clear" w:pos="274"/>
          <w:tab w:val="left" w:pos="360"/>
        </w:tabs>
        <w:rPr>
          <w:lang w:val="fr-FR"/>
        </w:rPr>
      </w:pPr>
      <w:r>
        <w:rPr>
          <w:rStyle w:val="FootnoteReference"/>
        </w:rPr>
        <w:footnoteRef/>
      </w:r>
      <w:r w:rsidRPr="003E6719">
        <w:rPr>
          <w:lang w:val="fr-FR"/>
        </w:rPr>
        <w:t xml:space="preserve"> </w:t>
      </w:r>
      <w:r w:rsidRPr="003E6719">
        <w:rPr>
          <w:lang w:val="fr-FR"/>
        </w:rPr>
        <w:tab/>
      </w:r>
      <w:r w:rsidRPr="003E6719">
        <w:rPr>
          <w:rFonts w:hint="eastAsia"/>
          <w:lang w:val="fr-FR"/>
        </w:rPr>
        <w:t xml:space="preserve">AB </w:t>
      </w:r>
      <w:r w:rsidRPr="003E6719">
        <w:rPr>
          <w:lang w:val="fr-FR"/>
        </w:rPr>
        <w:t>pp 16D-G; 18Q-U;</w:t>
      </w:r>
      <w:r w:rsidRPr="003E6719">
        <w:rPr>
          <w:rFonts w:hint="eastAsia"/>
          <w:lang w:val="fr-FR"/>
        </w:rPr>
        <w:t xml:space="preserve"> 71N-R.</w:t>
      </w:r>
    </w:p>
  </w:footnote>
  <w:footnote w:id="30">
    <w:p w:rsidR="0022084C" w:rsidRDefault="0022084C" w:rsidP="00C8138E">
      <w:pPr>
        <w:pStyle w:val="FootnoteText"/>
        <w:tabs>
          <w:tab w:val="clear" w:pos="274"/>
          <w:tab w:val="left" w:pos="360"/>
        </w:tabs>
      </w:pPr>
      <w:r>
        <w:rPr>
          <w:rStyle w:val="FootnoteReference"/>
        </w:rPr>
        <w:footnoteRef/>
      </w:r>
      <w:r>
        <w:t xml:space="preserve"> </w:t>
      </w:r>
      <w:r>
        <w:tab/>
      </w:r>
      <w:r>
        <w:rPr>
          <w:rFonts w:hint="eastAsia"/>
        </w:rPr>
        <w:t>AB p 16A-B.</w:t>
      </w:r>
    </w:p>
  </w:footnote>
  <w:footnote w:id="31">
    <w:p w:rsidR="0022084C" w:rsidRDefault="0022084C" w:rsidP="00C8138E">
      <w:pPr>
        <w:pStyle w:val="FootnoteText"/>
        <w:tabs>
          <w:tab w:val="clear" w:pos="274"/>
          <w:tab w:val="left" w:pos="360"/>
        </w:tabs>
      </w:pPr>
      <w:r>
        <w:rPr>
          <w:rStyle w:val="FootnoteReference"/>
        </w:rPr>
        <w:footnoteRef/>
      </w:r>
      <w:r>
        <w:t xml:space="preserve"> </w:t>
      </w:r>
      <w:r>
        <w:tab/>
      </w:r>
      <w:r w:rsidRPr="005C68EC">
        <w:rPr>
          <w:rFonts w:hint="eastAsia"/>
          <w:i/>
        </w:rPr>
        <w:t xml:space="preserve">Secretary for Justice v Wong </w:t>
      </w:r>
      <w:proofErr w:type="spellStart"/>
      <w:r w:rsidRPr="005C68EC">
        <w:rPr>
          <w:rFonts w:hint="eastAsia"/>
          <w:i/>
        </w:rPr>
        <w:t>Wai</w:t>
      </w:r>
      <w:proofErr w:type="spellEnd"/>
      <w:r w:rsidRPr="005C68EC">
        <w:rPr>
          <w:rFonts w:hint="eastAsia"/>
          <w:i/>
        </w:rPr>
        <w:t xml:space="preserve"> Hung</w:t>
      </w:r>
      <w:r>
        <w:rPr>
          <w:rFonts w:hint="eastAsia"/>
        </w:rPr>
        <w:t xml:space="preserve"> [2011] 2 HKC 224.</w:t>
      </w:r>
    </w:p>
  </w:footnote>
  <w:footnote w:id="32">
    <w:p w:rsidR="0022084C" w:rsidRDefault="0022084C" w:rsidP="00C8138E">
      <w:pPr>
        <w:pStyle w:val="FootnoteText"/>
        <w:tabs>
          <w:tab w:val="clear" w:pos="274"/>
          <w:tab w:val="left" w:pos="360"/>
        </w:tabs>
      </w:pPr>
      <w:r>
        <w:rPr>
          <w:rStyle w:val="FootnoteReference"/>
        </w:rPr>
        <w:footnoteRef/>
      </w:r>
      <w:r>
        <w:t xml:space="preserve"> </w:t>
      </w:r>
      <w:r>
        <w:tab/>
      </w:r>
      <w:r w:rsidRPr="005C68EC">
        <w:rPr>
          <w:rFonts w:hint="eastAsia"/>
          <w:i/>
        </w:rPr>
        <w:t xml:space="preserve">Secretary for Justice </w:t>
      </w:r>
      <w:proofErr w:type="gramStart"/>
      <w:r>
        <w:rPr>
          <w:i/>
        </w:rPr>
        <w:t>v</w:t>
      </w:r>
      <w:proofErr w:type="gramEnd"/>
      <w:r w:rsidRPr="005C68EC">
        <w:rPr>
          <w:rFonts w:hint="eastAsia"/>
          <w:i/>
        </w:rPr>
        <w:t xml:space="preserve"> Lam Siu Tong</w:t>
      </w:r>
      <w:r>
        <w:rPr>
          <w:rFonts w:hint="eastAsia"/>
        </w:rPr>
        <w:t xml:space="preserve"> [2009] 5 HKLRD 601.</w:t>
      </w:r>
    </w:p>
  </w:footnote>
  <w:footnote w:id="33">
    <w:p w:rsidR="0022084C" w:rsidRPr="00CF17A8" w:rsidRDefault="0022084C" w:rsidP="00275ED8">
      <w:pPr>
        <w:pStyle w:val="FootnoteText"/>
        <w:tabs>
          <w:tab w:val="clear" w:pos="274"/>
          <w:tab w:val="left" w:pos="360"/>
        </w:tabs>
      </w:pPr>
      <w:r>
        <w:rPr>
          <w:rStyle w:val="FootnoteReference"/>
        </w:rPr>
        <w:footnoteRef/>
      </w:r>
      <w:r>
        <w:t xml:space="preserve"> </w:t>
      </w:r>
      <w:r>
        <w:tab/>
      </w:r>
      <w:r w:rsidRPr="00CF17A8">
        <w:rPr>
          <w:i/>
        </w:rPr>
        <w:t>R v Ellis</w:t>
      </w:r>
      <w:r>
        <w:t xml:space="preserve"> [2014] 2 Cr App R (S) 50, at [13].</w:t>
      </w:r>
    </w:p>
  </w:footnote>
  <w:footnote w:id="34">
    <w:p w:rsidR="0022084C" w:rsidRDefault="0022084C" w:rsidP="00275ED8">
      <w:pPr>
        <w:pStyle w:val="FootnoteText"/>
        <w:tabs>
          <w:tab w:val="clear" w:pos="274"/>
          <w:tab w:val="left" w:pos="360"/>
        </w:tabs>
      </w:pPr>
      <w:r>
        <w:rPr>
          <w:rStyle w:val="FootnoteReference"/>
        </w:rPr>
        <w:footnoteRef/>
      </w:r>
      <w:r>
        <w:t xml:space="preserve"> </w:t>
      </w:r>
      <w:r>
        <w:tab/>
      </w:r>
      <w:r w:rsidRPr="00CF17A8">
        <w:rPr>
          <w:rFonts w:hint="eastAsia"/>
          <w:i/>
        </w:rPr>
        <w:t>R v Dewdney</w:t>
      </w:r>
      <w:r>
        <w:rPr>
          <w:rFonts w:hint="eastAsia"/>
        </w:rPr>
        <w:t xml:space="preserve"> [2015] 1 Cr App R (S) 5, at [20]</w:t>
      </w:r>
      <w:r>
        <w:t xml:space="preserve"> </w:t>
      </w:r>
      <w:r>
        <w:rPr>
          <w:rFonts w:hint="eastAsia"/>
        </w:rPr>
        <w:t>-</w:t>
      </w:r>
      <w:r>
        <w:t xml:space="preserve"> </w:t>
      </w:r>
      <w:r>
        <w:rPr>
          <w:rFonts w:hint="eastAsia"/>
        </w:rPr>
        <w:t>[25].</w:t>
      </w:r>
    </w:p>
  </w:footnote>
  <w:footnote w:id="35">
    <w:p w:rsidR="0022084C" w:rsidRDefault="0022084C" w:rsidP="00275ED8">
      <w:pPr>
        <w:pStyle w:val="FootnoteText"/>
        <w:tabs>
          <w:tab w:val="clear" w:pos="274"/>
          <w:tab w:val="left" w:pos="360"/>
        </w:tabs>
      </w:pPr>
      <w:r>
        <w:rPr>
          <w:rStyle w:val="FootnoteReference"/>
        </w:rPr>
        <w:footnoteRef/>
      </w:r>
      <w:r>
        <w:t xml:space="preserve"> </w:t>
      </w:r>
      <w:r>
        <w:tab/>
      </w:r>
      <w:r w:rsidRPr="00CF17A8">
        <w:rPr>
          <w:rFonts w:hint="eastAsia"/>
          <w:i/>
        </w:rPr>
        <w:t>R v Miah</w:t>
      </w:r>
      <w:r>
        <w:rPr>
          <w:rFonts w:hint="eastAsia"/>
        </w:rPr>
        <w:t xml:space="preserve"> [2018] EWCA 364 (Crim), at [10].</w:t>
      </w:r>
    </w:p>
  </w:footnote>
  <w:footnote w:id="36">
    <w:p w:rsidR="0022084C" w:rsidRPr="00EB24C5" w:rsidRDefault="0022084C" w:rsidP="00BF0EB2">
      <w:pPr>
        <w:pStyle w:val="FootnoteText"/>
        <w:tabs>
          <w:tab w:val="clear" w:pos="274"/>
          <w:tab w:val="left" w:pos="360"/>
        </w:tabs>
      </w:pPr>
      <w:r>
        <w:rPr>
          <w:rStyle w:val="FootnoteReference"/>
        </w:rPr>
        <w:footnoteRef/>
      </w:r>
      <w:r>
        <w:t xml:space="preserve"> </w:t>
      </w:r>
      <w:r>
        <w:tab/>
      </w:r>
      <w:r w:rsidRPr="00EB24C5">
        <w:rPr>
          <w:i/>
        </w:rPr>
        <w:t>R v Hussain</w:t>
      </w:r>
      <w:r>
        <w:t xml:space="preserve"> [2015] 2 Cr App R (S) 52.</w:t>
      </w:r>
    </w:p>
  </w:footnote>
  <w:footnote w:id="37">
    <w:p w:rsidR="0022084C" w:rsidRPr="00EB24C5" w:rsidRDefault="0022084C" w:rsidP="00BF0EB2">
      <w:pPr>
        <w:pStyle w:val="FootnoteText"/>
        <w:tabs>
          <w:tab w:val="clear" w:pos="274"/>
          <w:tab w:val="left" w:pos="360"/>
        </w:tabs>
      </w:pPr>
      <w:r>
        <w:rPr>
          <w:rStyle w:val="FootnoteReference"/>
        </w:rPr>
        <w:footnoteRef/>
      </w:r>
      <w:r>
        <w:t xml:space="preserve"> </w:t>
      </w:r>
      <w:r>
        <w:tab/>
      </w:r>
      <w:r w:rsidRPr="00EB24C5">
        <w:rPr>
          <w:i/>
        </w:rPr>
        <w:t>Ibid.</w:t>
      </w:r>
      <w:r>
        <w:t>, at [12].</w:t>
      </w:r>
    </w:p>
  </w:footnote>
  <w:footnote w:id="38">
    <w:p w:rsidR="0022084C" w:rsidRDefault="0022084C" w:rsidP="00BF0EB2">
      <w:pPr>
        <w:pStyle w:val="FootnoteText"/>
        <w:tabs>
          <w:tab w:val="clear" w:pos="274"/>
          <w:tab w:val="left" w:pos="360"/>
        </w:tabs>
      </w:pPr>
      <w:r>
        <w:rPr>
          <w:rStyle w:val="FootnoteReference"/>
        </w:rPr>
        <w:footnoteRef/>
      </w:r>
      <w:r>
        <w:t xml:space="preserve"> </w:t>
      </w:r>
      <w:r>
        <w:tab/>
      </w:r>
      <w:r w:rsidRPr="00FC1F34">
        <w:rPr>
          <w:rFonts w:hint="eastAsia"/>
          <w:i/>
        </w:rPr>
        <w:t>R v Bennett</w:t>
      </w:r>
      <w:r>
        <w:rPr>
          <w:rFonts w:hint="eastAsia"/>
        </w:rPr>
        <w:t xml:space="preserve"> [2017] EWCA Crim 748.</w:t>
      </w:r>
    </w:p>
  </w:footnote>
  <w:footnote w:id="39">
    <w:p w:rsidR="0022084C" w:rsidRDefault="0022084C" w:rsidP="00275ED8">
      <w:pPr>
        <w:pStyle w:val="FootnoteText"/>
        <w:tabs>
          <w:tab w:val="clear" w:pos="274"/>
          <w:tab w:val="left" w:pos="360"/>
        </w:tabs>
      </w:pPr>
      <w:r>
        <w:rPr>
          <w:rStyle w:val="FootnoteReference"/>
        </w:rPr>
        <w:footnoteRef/>
      </w:r>
      <w:r>
        <w:t xml:space="preserve"> </w:t>
      </w:r>
      <w:r>
        <w:tab/>
      </w:r>
      <w:r w:rsidRPr="009C139D">
        <w:rPr>
          <w:rFonts w:hint="eastAsia"/>
          <w:i/>
        </w:rPr>
        <w:t xml:space="preserve">R v </w:t>
      </w:r>
      <w:proofErr w:type="spellStart"/>
      <w:r w:rsidRPr="009C139D">
        <w:rPr>
          <w:rFonts w:hint="eastAsia"/>
          <w:i/>
        </w:rPr>
        <w:t>Jurisic</w:t>
      </w:r>
      <w:proofErr w:type="spellEnd"/>
      <w:r>
        <w:rPr>
          <w:rFonts w:hint="eastAsia"/>
        </w:rPr>
        <w:t xml:space="preserve"> (1998) 45 NSWLR 209.</w:t>
      </w:r>
    </w:p>
  </w:footnote>
  <w:footnote w:id="40">
    <w:p w:rsidR="0022084C" w:rsidRPr="00143758" w:rsidRDefault="0022084C" w:rsidP="00275ED8">
      <w:pPr>
        <w:pStyle w:val="FootnoteText"/>
        <w:tabs>
          <w:tab w:val="clear" w:pos="274"/>
          <w:tab w:val="left" w:pos="360"/>
        </w:tabs>
      </w:pPr>
      <w:r>
        <w:rPr>
          <w:rStyle w:val="FootnoteReference"/>
        </w:rPr>
        <w:footnoteRef/>
      </w:r>
      <w:r>
        <w:t xml:space="preserve"> </w:t>
      </w:r>
      <w:r>
        <w:tab/>
      </w:r>
      <w:r w:rsidRPr="00143758">
        <w:rPr>
          <w:i/>
        </w:rPr>
        <w:t>Ibid.</w:t>
      </w:r>
      <w:r>
        <w:t>, at 231.</w:t>
      </w:r>
    </w:p>
  </w:footnote>
  <w:footnote w:id="41">
    <w:p w:rsidR="0022084C" w:rsidRPr="003F46E7" w:rsidRDefault="0022084C" w:rsidP="006738A3">
      <w:pPr>
        <w:pStyle w:val="FootnoteText"/>
        <w:tabs>
          <w:tab w:val="clear" w:pos="274"/>
          <w:tab w:val="left" w:pos="360"/>
        </w:tabs>
        <w:ind w:left="360" w:hanging="360"/>
        <w:jc w:val="both"/>
      </w:pPr>
      <w:r>
        <w:rPr>
          <w:rStyle w:val="FootnoteReference"/>
        </w:rPr>
        <w:footnoteRef/>
      </w:r>
      <w:r>
        <w:t xml:space="preserve"> </w:t>
      </w:r>
      <w:r w:rsidR="006738A3">
        <w:tab/>
      </w:r>
      <w:r>
        <w:t>It should be noted that in Hong Kong, it is specifically provided that a person commits the offence in circumstances of aggravation if, at the time of committing the offence, he exceeds the blood alcohol limit; or there is present in his blood or urine any concentration of a specified illicit drug: see section 36</w:t>
      </w:r>
      <w:proofErr w:type="gramStart"/>
      <w:r>
        <w:t>A(</w:t>
      </w:r>
      <w:proofErr w:type="gramEnd"/>
      <w:r>
        <w:t>7) of the R</w:t>
      </w:r>
      <w:r w:rsidR="00E03507">
        <w:t>TO</w:t>
      </w:r>
      <w:r>
        <w:t>.</w:t>
      </w:r>
    </w:p>
  </w:footnote>
  <w:footnote w:id="42">
    <w:p w:rsidR="0022084C" w:rsidRDefault="0022084C" w:rsidP="00275ED8">
      <w:pPr>
        <w:pStyle w:val="FootnoteText"/>
        <w:tabs>
          <w:tab w:val="clear" w:pos="274"/>
          <w:tab w:val="left" w:pos="360"/>
        </w:tabs>
      </w:pPr>
      <w:r>
        <w:rPr>
          <w:rStyle w:val="FootnoteReference"/>
        </w:rPr>
        <w:footnoteRef/>
      </w:r>
      <w:r>
        <w:t xml:space="preserve"> </w:t>
      </w:r>
      <w:r>
        <w:tab/>
      </w:r>
      <w:r w:rsidRPr="009C139D">
        <w:rPr>
          <w:rFonts w:hint="eastAsia"/>
          <w:i/>
        </w:rPr>
        <w:t>R v Whyte</w:t>
      </w:r>
      <w:r>
        <w:rPr>
          <w:rFonts w:hint="eastAsia"/>
        </w:rPr>
        <w:t xml:space="preserve"> [2002] NSWCCA 343, at [146].</w:t>
      </w:r>
    </w:p>
  </w:footnote>
  <w:footnote w:id="43">
    <w:p w:rsidR="0022084C" w:rsidRDefault="0022084C" w:rsidP="003E6719">
      <w:pPr>
        <w:pStyle w:val="FootnoteText"/>
        <w:tabs>
          <w:tab w:val="clear" w:pos="274"/>
          <w:tab w:val="left" w:pos="360"/>
        </w:tabs>
      </w:pPr>
      <w:r>
        <w:rPr>
          <w:rStyle w:val="FootnoteReference"/>
        </w:rPr>
        <w:footnoteRef/>
      </w:r>
      <w:r>
        <w:t xml:space="preserve"> </w:t>
      </w:r>
      <w:r>
        <w:tab/>
      </w:r>
      <w:r w:rsidRPr="008342DF">
        <w:rPr>
          <w:rFonts w:hint="eastAsia"/>
          <w:i/>
        </w:rPr>
        <w:t>Ibid.</w:t>
      </w:r>
      <w:r>
        <w:rPr>
          <w:rFonts w:hint="eastAsia"/>
        </w:rPr>
        <w:t>, at [145].</w:t>
      </w:r>
    </w:p>
  </w:footnote>
  <w:footnote w:id="44">
    <w:p w:rsidR="0022084C" w:rsidRDefault="0022084C" w:rsidP="00C326B4">
      <w:pPr>
        <w:pStyle w:val="FootnoteText"/>
        <w:tabs>
          <w:tab w:val="clear" w:pos="274"/>
          <w:tab w:val="left" w:pos="360"/>
        </w:tabs>
      </w:pPr>
      <w:r>
        <w:rPr>
          <w:rStyle w:val="FootnoteReference"/>
        </w:rPr>
        <w:footnoteRef/>
      </w:r>
      <w:r>
        <w:t xml:space="preserve"> </w:t>
      </w:r>
      <w:r w:rsidR="00C326B4">
        <w:tab/>
      </w:r>
      <w:r w:rsidRPr="00E824DD">
        <w:rPr>
          <w:rFonts w:hint="eastAsia"/>
          <w:i/>
        </w:rPr>
        <w:t>HKSAR v Man Chun Pun</w:t>
      </w:r>
      <w:r>
        <w:rPr>
          <w:rFonts w:hint="eastAsia"/>
        </w:rPr>
        <w:t xml:space="preserve"> (</w:t>
      </w:r>
      <w:proofErr w:type="spellStart"/>
      <w:r>
        <w:rPr>
          <w:rFonts w:hint="eastAsia"/>
        </w:rPr>
        <w:t>Unrep</w:t>
      </w:r>
      <w:proofErr w:type="spellEnd"/>
      <w:r>
        <w:rPr>
          <w:rFonts w:hint="eastAsia"/>
        </w:rPr>
        <w:t>.,</w:t>
      </w:r>
      <w:r>
        <w:t xml:space="preserve"> CACC 83/2018, 30 August 2019).</w:t>
      </w:r>
    </w:p>
  </w:footnote>
  <w:footnote w:id="45">
    <w:p w:rsidR="0022084C" w:rsidRDefault="0022084C" w:rsidP="00C326B4">
      <w:pPr>
        <w:pStyle w:val="FootnoteText"/>
        <w:tabs>
          <w:tab w:val="clear" w:pos="274"/>
          <w:tab w:val="left" w:pos="360"/>
        </w:tabs>
      </w:pPr>
      <w:r>
        <w:rPr>
          <w:rStyle w:val="FootnoteReference"/>
        </w:rPr>
        <w:footnoteRef/>
      </w:r>
      <w:r>
        <w:t xml:space="preserve"> </w:t>
      </w:r>
      <w:r w:rsidR="00C326B4">
        <w:tab/>
      </w:r>
      <w:r>
        <w:rPr>
          <w:rFonts w:hint="eastAsia"/>
        </w:rPr>
        <w:t>Sections</w:t>
      </w:r>
      <w:r>
        <w:t xml:space="preserve"> 36(7), 36</w:t>
      </w:r>
      <w:proofErr w:type="gramStart"/>
      <w:r>
        <w:t>A(</w:t>
      </w:r>
      <w:proofErr w:type="gramEnd"/>
      <w:r>
        <w:t>13) and 37(7) of the R</w:t>
      </w:r>
      <w:r w:rsidR="00E03507">
        <w:t>TO</w:t>
      </w:r>
      <w:r>
        <w:t>.</w:t>
      </w:r>
    </w:p>
  </w:footnote>
  <w:footnote w:id="46">
    <w:p w:rsidR="0022084C" w:rsidRDefault="0022084C" w:rsidP="00C326B4">
      <w:pPr>
        <w:pStyle w:val="FootnoteText"/>
        <w:tabs>
          <w:tab w:val="clear" w:pos="274"/>
          <w:tab w:val="left" w:pos="360"/>
        </w:tabs>
      </w:pPr>
      <w:r>
        <w:rPr>
          <w:rStyle w:val="FootnoteReference"/>
        </w:rPr>
        <w:footnoteRef/>
      </w:r>
      <w:r>
        <w:t xml:space="preserve"> </w:t>
      </w:r>
      <w:r w:rsidR="00C326B4">
        <w:tab/>
      </w:r>
      <w:r w:rsidRPr="00E14434">
        <w:rPr>
          <w:rFonts w:hint="eastAsia"/>
          <w:i/>
        </w:rPr>
        <w:t>Stephens v The Queen</w:t>
      </w:r>
      <w:r>
        <w:rPr>
          <w:rFonts w:hint="eastAsia"/>
        </w:rPr>
        <w:t xml:space="preserve"> (2016) 50 VR 740.</w:t>
      </w:r>
    </w:p>
  </w:footnote>
  <w:footnote w:id="47">
    <w:p w:rsidR="0022084C" w:rsidRDefault="0022084C" w:rsidP="00C326B4">
      <w:pPr>
        <w:pStyle w:val="FootnoteText"/>
        <w:tabs>
          <w:tab w:val="clear" w:pos="274"/>
          <w:tab w:val="left" w:pos="360"/>
        </w:tabs>
      </w:pPr>
      <w:r>
        <w:rPr>
          <w:rStyle w:val="FootnoteReference"/>
        </w:rPr>
        <w:footnoteRef/>
      </w:r>
      <w:r>
        <w:t xml:space="preserve"> </w:t>
      </w:r>
      <w:r w:rsidR="00C326B4">
        <w:tab/>
      </w:r>
      <w:r>
        <w:t>A</w:t>
      </w:r>
      <w:r>
        <w:rPr>
          <w:rFonts w:hint="eastAsia"/>
        </w:rPr>
        <w:t xml:space="preserve">t </w:t>
      </w:r>
      <w:r>
        <w:t>[25].</w:t>
      </w:r>
    </w:p>
  </w:footnote>
  <w:footnote w:id="48">
    <w:p w:rsidR="0022084C" w:rsidRDefault="0022084C" w:rsidP="00275ED8">
      <w:pPr>
        <w:pStyle w:val="FootnoteText"/>
        <w:tabs>
          <w:tab w:val="clear" w:pos="274"/>
          <w:tab w:val="left" w:pos="360"/>
        </w:tabs>
      </w:pPr>
      <w:r>
        <w:rPr>
          <w:rStyle w:val="FootnoteReference"/>
        </w:rPr>
        <w:footnoteRef/>
      </w:r>
      <w:r>
        <w:t xml:space="preserve"> </w:t>
      </w:r>
      <w:r>
        <w:tab/>
      </w:r>
      <w:r w:rsidRPr="00BF3498">
        <w:rPr>
          <w:rFonts w:hint="eastAsia"/>
          <w:i/>
        </w:rPr>
        <w:t xml:space="preserve">R v </w:t>
      </w:r>
      <w:proofErr w:type="spellStart"/>
      <w:r w:rsidRPr="00BF3498">
        <w:rPr>
          <w:rFonts w:hint="eastAsia"/>
          <w:i/>
        </w:rPr>
        <w:t>Wo</w:t>
      </w:r>
      <w:r w:rsidRPr="00BF3498">
        <w:rPr>
          <w:i/>
        </w:rPr>
        <w:t>l</w:t>
      </w:r>
      <w:r w:rsidRPr="00BF3498">
        <w:rPr>
          <w:rFonts w:hint="eastAsia"/>
          <w:i/>
        </w:rPr>
        <w:t>desila</w:t>
      </w:r>
      <w:r w:rsidRPr="00BF3498">
        <w:rPr>
          <w:i/>
        </w:rPr>
        <w:t>s</w:t>
      </w:r>
      <w:r w:rsidRPr="00BF3498">
        <w:rPr>
          <w:rFonts w:hint="eastAsia"/>
          <w:i/>
        </w:rPr>
        <w:t>sie</w:t>
      </w:r>
      <w:proofErr w:type="spellEnd"/>
      <w:r>
        <w:t xml:space="preserve"> [2018] VSCA 285.</w:t>
      </w:r>
    </w:p>
  </w:footnote>
  <w:footnote w:id="49">
    <w:p w:rsidR="0022084C" w:rsidRDefault="0022084C" w:rsidP="003E6719">
      <w:pPr>
        <w:pStyle w:val="FootnoteText"/>
        <w:tabs>
          <w:tab w:val="clear" w:pos="274"/>
          <w:tab w:val="left" w:pos="360"/>
        </w:tabs>
      </w:pPr>
      <w:r>
        <w:rPr>
          <w:rStyle w:val="FootnoteReference"/>
        </w:rPr>
        <w:footnoteRef/>
      </w:r>
      <w:r>
        <w:t xml:space="preserve"> </w:t>
      </w:r>
      <w:r>
        <w:tab/>
      </w:r>
      <w:r w:rsidRPr="008342DF">
        <w:rPr>
          <w:i/>
        </w:rPr>
        <w:t>I</w:t>
      </w:r>
      <w:r w:rsidRPr="008342DF">
        <w:rPr>
          <w:rFonts w:hint="eastAsia"/>
          <w:i/>
        </w:rPr>
        <w:t>bid.</w:t>
      </w:r>
      <w:r>
        <w:t>, at [23].</w:t>
      </w:r>
    </w:p>
  </w:footnote>
  <w:footnote w:id="50">
    <w:p w:rsidR="0022084C" w:rsidRDefault="0022084C" w:rsidP="00275ED8">
      <w:pPr>
        <w:pStyle w:val="FootnoteText"/>
        <w:tabs>
          <w:tab w:val="clear" w:pos="274"/>
          <w:tab w:val="left" w:pos="360"/>
        </w:tabs>
      </w:pPr>
      <w:r>
        <w:rPr>
          <w:rStyle w:val="FootnoteReference"/>
        </w:rPr>
        <w:footnoteRef/>
      </w:r>
      <w:r>
        <w:t xml:space="preserve"> </w:t>
      </w:r>
      <w:r>
        <w:tab/>
      </w:r>
      <w:r w:rsidRPr="00BF3498">
        <w:rPr>
          <w:i/>
        </w:rPr>
        <w:t>I</w:t>
      </w:r>
      <w:r w:rsidRPr="00BF3498">
        <w:rPr>
          <w:rFonts w:hint="eastAsia"/>
          <w:i/>
        </w:rPr>
        <w:t>bid.</w:t>
      </w:r>
      <w:r>
        <w:t>, at [30].</w:t>
      </w:r>
    </w:p>
  </w:footnote>
  <w:footnote w:id="51">
    <w:p w:rsidR="0022084C" w:rsidRDefault="0022084C" w:rsidP="003E6719">
      <w:pPr>
        <w:pStyle w:val="FootnoteText"/>
        <w:tabs>
          <w:tab w:val="clear" w:pos="274"/>
          <w:tab w:val="left" w:pos="360"/>
        </w:tabs>
      </w:pPr>
      <w:r>
        <w:rPr>
          <w:rStyle w:val="FootnoteReference"/>
        </w:rPr>
        <w:footnoteRef/>
      </w:r>
      <w:r>
        <w:t xml:space="preserve"> </w:t>
      </w:r>
      <w:r>
        <w:tab/>
      </w:r>
      <w:r w:rsidRPr="008342DF">
        <w:rPr>
          <w:i/>
        </w:rPr>
        <w:t>I</w:t>
      </w:r>
      <w:r w:rsidRPr="008342DF">
        <w:rPr>
          <w:rFonts w:hint="eastAsia"/>
          <w:i/>
        </w:rPr>
        <w:t>bid.</w:t>
      </w:r>
      <w:r>
        <w:t>, at [45].</w:t>
      </w:r>
    </w:p>
  </w:footnote>
  <w:footnote w:id="52">
    <w:p w:rsidR="0022084C" w:rsidRDefault="0022084C" w:rsidP="00E14434">
      <w:pPr>
        <w:pStyle w:val="FootnoteText"/>
        <w:tabs>
          <w:tab w:val="clear" w:pos="274"/>
          <w:tab w:val="left" w:pos="360"/>
        </w:tabs>
      </w:pPr>
      <w:r>
        <w:rPr>
          <w:rStyle w:val="FootnoteReference"/>
        </w:rPr>
        <w:footnoteRef/>
      </w:r>
      <w:r>
        <w:t xml:space="preserve"> </w:t>
      </w:r>
      <w:r>
        <w:tab/>
      </w:r>
      <w:r w:rsidRPr="00EF7660">
        <w:rPr>
          <w:i/>
        </w:rPr>
        <w:t>I</w:t>
      </w:r>
      <w:r w:rsidRPr="00EF7660">
        <w:rPr>
          <w:rFonts w:hint="eastAsia"/>
          <w:i/>
        </w:rPr>
        <w:t>bid.</w:t>
      </w:r>
      <w:r>
        <w:t>, at [36].</w:t>
      </w:r>
    </w:p>
  </w:footnote>
  <w:footnote w:id="53">
    <w:p w:rsidR="0022084C" w:rsidRPr="0021695A" w:rsidRDefault="0022084C" w:rsidP="00C326B4">
      <w:pPr>
        <w:pStyle w:val="FootnoteText"/>
        <w:tabs>
          <w:tab w:val="clear" w:pos="274"/>
          <w:tab w:val="left" w:pos="360"/>
        </w:tabs>
        <w:ind w:left="360" w:hanging="360"/>
        <w:jc w:val="both"/>
      </w:pPr>
      <w:r>
        <w:rPr>
          <w:rStyle w:val="FootnoteReference"/>
        </w:rPr>
        <w:footnoteRef/>
      </w:r>
      <w:r>
        <w:t xml:space="preserve"> </w:t>
      </w:r>
      <w:r w:rsidR="00C326B4">
        <w:tab/>
      </w:r>
      <w:r>
        <w:t>It may be noted that only the injuries on PW1 and PW2 were serious enough to warrant the respondent being charged with the offence, and their names included in the particulars of offence.  The injuries on PW3 did not amount to grievous bodily harm.</w:t>
      </w:r>
    </w:p>
  </w:footnote>
  <w:footnote w:id="54">
    <w:p w:rsidR="0022084C" w:rsidRDefault="0022084C" w:rsidP="003E6719">
      <w:pPr>
        <w:pStyle w:val="FootnoteText"/>
        <w:tabs>
          <w:tab w:val="clear" w:pos="274"/>
          <w:tab w:val="left" w:pos="360"/>
        </w:tabs>
      </w:pPr>
      <w:r>
        <w:rPr>
          <w:rStyle w:val="FootnoteReference"/>
        </w:rPr>
        <w:footnoteRef/>
      </w:r>
      <w:r>
        <w:t xml:space="preserve"> </w:t>
      </w:r>
      <w:r>
        <w:tab/>
      </w:r>
      <w:r w:rsidRPr="005E4F6E">
        <w:rPr>
          <w:rFonts w:hint="eastAsia"/>
          <w:i/>
        </w:rPr>
        <w:t xml:space="preserve">HKSAR v Wong </w:t>
      </w:r>
      <w:proofErr w:type="spellStart"/>
      <w:r w:rsidRPr="005E4F6E">
        <w:rPr>
          <w:rFonts w:hint="eastAsia"/>
          <w:i/>
        </w:rPr>
        <w:t>Kam</w:t>
      </w:r>
      <w:proofErr w:type="spellEnd"/>
      <w:r w:rsidRPr="005E4F6E">
        <w:rPr>
          <w:rFonts w:hint="eastAsia"/>
          <w:i/>
        </w:rPr>
        <w:t xml:space="preserve"> </w:t>
      </w:r>
      <w:proofErr w:type="spellStart"/>
      <w:r w:rsidRPr="005E4F6E">
        <w:rPr>
          <w:rFonts w:hint="eastAsia"/>
          <w:i/>
        </w:rPr>
        <w:t>Chuen</w:t>
      </w:r>
      <w:proofErr w:type="spellEnd"/>
      <w:r>
        <w:rPr>
          <w:rFonts w:hint="eastAsia"/>
        </w:rPr>
        <w:t xml:space="preserve"> (</w:t>
      </w:r>
      <w:proofErr w:type="spellStart"/>
      <w:r>
        <w:rPr>
          <w:rFonts w:hint="eastAsia"/>
        </w:rPr>
        <w:t>Unrep</w:t>
      </w:r>
      <w:proofErr w:type="spellEnd"/>
      <w:r>
        <w:rPr>
          <w:rFonts w:hint="eastAsia"/>
        </w:rPr>
        <w:t>.,</w:t>
      </w:r>
      <w:r>
        <w:t xml:space="preserve"> DCCC 351/2017, 21 September 2017).</w:t>
      </w:r>
    </w:p>
  </w:footnote>
  <w:footnote w:id="55">
    <w:p w:rsidR="0022084C" w:rsidRDefault="0022084C" w:rsidP="003E6719">
      <w:pPr>
        <w:pStyle w:val="FootnoteText"/>
        <w:tabs>
          <w:tab w:val="clear" w:pos="274"/>
          <w:tab w:val="left" w:pos="360"/>
        </w:tabs>
      </w:pPr>
      <w:r>
        <w:rPr>
          <w:rStyle w:val="FootnoteReference"/>
        </w:rPr>
        <w:footnoteRef/>
      </w:r>
      <w:r>
        <w:t xml:space="preserve"> </w:t>
      </w:r>
      <w:r>
        <w:tab/>
      </w:r>
      <w:r w:rsidRPr="00802050">
        <w:rPr>
          <w:i/>
        </w:rPr>
        <w:t>I</w:t>
      </w:r>
      <w:r w:rsidRPr="00802050">
        <w:rPr>
          <w:rFonts w:hint="eastAsia"/>
          <w:i/>
        </w:rPr>
        <w:t>bid.</w:t>
      </w:r>
      <w:r>
        <w:t>, at [18].</w:t>
      </w:r>
    </w:p>
  </w:footnote>
  <w:footnote w:id="56">
    <w:p w:rsidR="0022084C" w:rsidRDefault="0022084C" w:rsidP="003E6719">
      <w:pPr>
        <w:pStyle w:val="FootnoteText"/>
        <w:tabs>
          <w:tab w:val="clear" w:pos="274"/>
          <w:tab w:val="left" w:pos="360"/>
        </w:tabs>
      </w:pPr>
      <w:r>
        <w:rPr>
          <w:rStyle w:val="FootnoteReference"/>
        </w:rPr>
        <w:footnoteRef/>
      </w:r>
      <w:r>
        <w:t xml:space="preserve"> </w:t>
      </w:r>
      <w:r>
        <w:tab/>
      </w:r>
      <w:r>
        <w:rPr>
          <w:rFonts w:hint="eastAsia"/>
        </w:rPr>
        <w:t>AB p 19G-I.</w:t>
      </w:r>
    </w:p>
  </w:footnote>
  <w:footnote w:id="57">
    <w:p w:rsidR="0022084C" w:rsidRDefault="0022084C" w:rsidP="001F4A9B">
      <w:pPr>
        <w:pStyle w:val="FootnoteText"/>
        <w:tabs>
          <w:tab w:val="clear" w:pos="274"/>
          <w:tab w:val="left" w:pos="360"/>
        </w:tabs>
      </w:pPr>
      <w:r>
        <w:rPr>
          <w:rStyle w:val="FootnoteReference"/>
        </w:rPr>
        <w:footnoteRef/>
      </w:r>
      <w:r>
        <w:t xml:space="preserve"> </w:t>
      </w:r>
      <w:r>
        <w:tab/>
      </w:r>
      <w:r w:rsidRPr="00EF5329">
        <w:rPr>
          <w:rFonts w:hint="eastAsia"/>
          <w:i/>
        </w:rPr>
        <w:t xml:space="preserve">Secretary for Justice </w:t>
      </w:r>
      <w:proofErr w:type="gramStart"/>
      <w:r w:rsidRPr="00EF5329">
        <w:rPr>
          <w:rFonts w:hint="eastAsia"/>
          <w:i/>
        </w:rPr>
        <w:t>v</w:t>
      </w:r>
      <w:proofErr w:type="gramEnd"/>
      <w:r w:rsidRPr="00EF5329">
        <w:rPr>
          <w:i/>
        </w:rPr>
        <w:t xml:space="preserve"> Law </w:t>
      </w:r>
      <w:proofErr w:type="spellStart"/>
      <w:r w:rsidRPr="00EF5329">
        <w:rPr>
          <w:i/>
        </w:rPr>
        <w:t>Tat</w:t>
      </w:r>
      <w:proofErr w:type="spellEnd"/>
      <w:r w:rsidRPr="00EF5329">
        <w:rPr>
          <w:i/>
        </w:rPr>
        <w:t xml:space="preserve"> Leung</w:t>
      </w:r>
      <w:r>
        <w:t xml:space="preserve"> [2008] 5 HKLRD 927.</w:t>
      </w:r>
    </w:p>
  </w:footnote>
  <w:footnote w:id="58">
    <w:p w:rsidR="0022084C" w:rsidRDefault="0022084C" w:rsidP="001F4A9B">
      <w:pPr>
        <w:pStyle w:val="FootnoteText"/>
        <w:tabs>
          <w:tab w:val="clear" w:pos="274"/>
          <w:tab w:val="left" w:pos="360"/>
        </w:tabs>
      </w:pPr>
      <w:r>
        <w:rPr>
          <w:rStyle w:val="FootnoteReference"/>
        </w:rPr>
        <w:footnoteRef/>
      </w:r>
      <w:r>
        <w:t xml:space="preserve"> </w:t>
      </w:r>
      <w:r>
        <w:tab/>
      </w:r>
      <w:r w:rsidRPr="003351EB">
        <w:rPr>
          <w:rFonts w:hint="eastAsia"/>
          <w:i/>
        </w:rPr>
        <w:t xml:space="preserve">Secretary for Justice v </w:t>
      </w:r>
      <w:r>
        <w:rPr>
          <w:i/>
        </w:rPr>
        <w:t xml:space="preserve">Andrew </w:t>
      </w:r>
      <w:r w:rsidRPr="003351EB">
        <w:rPr>
          <w:rFonts w:hint="eastAsia"/>
          <w:i/>
        </w:rPr>
        <w:t>Marc Dank</w:t>
      </w:r>
      <w:r w:rsidRPr="003351EB">
        <w:rPr>
          <w:i/>
        </w:rPr>
        <w:t xml:space="preserve"> &amp; Anor</w:t>
      </w:r>
      <w:r>
        <w:rPr>
          <w:rFonts w:hint="eastAsia"/>
        </w:rPr>
        <w:t xml:space="preserve"> (</w:t>
      </w:r>
      <w:proofErr w:type="spellStart"/>
      <w:r>
        <w:rPr>
          <w:rFonts w:hint="eastAsia"/>
        </w:rPr>
        <w:t>Unrep</w:t>
      </w:r>
      <w:proofErr w:type="spellEnd"/>
      <w:r>
        <w:rPr>
          <w:rFonts w:hint="eastAsia"/>
        </w:rPr>
        <w:t>.,</w:t>
      </w:r>
      <w:r>
        <w:t xml:space="preserve"> CAAR 7/2007, 30 June 2007).</w:t>
      </w:r>
    </w:p>
  </w:footnote>
  <w:footnote w:id="59">
    <w:p w:rsidR="0022084C" w:rsidRDefault="0022084C" w:rsidP="001F4A9B">
      <w:pPr>
        <w:pStyle w:val="FootnoteText"/>
        <w:tabs>
          <w:tab w:val="clear" w:pos="274"/>
          <w:tab w:val="left" w:pos="360"/>
        </w:tabs>
      </w:pPr>
      <w:r>
        <w:rPr>
          <w:rStyle w:val="FootnoteReference"/>
        </w:rPr>
        <w:footnoteRef/>
      </w:r>
      <w:r>
        <w:t xml:space="preserve"> </w:t>
      </w:r>
      <w:r>
        <w:tab/>
      </w:r>
      <w:r w:rsidRPr="003351EB">
        <w:rPr>
          <w:rFonts w:hint="eastAsia"/>
          <w:i/>
        </w:rPr>
        <w:t>HKSAR v Pau Chin Hung Andy</w:t>
      </w:r>
      <w:r>
        <w:rPr>
          <w:rFonts w:hint="eastAsia"/>
        </w:rPr>
        <w:t xml:space="preserve"> [2014] 1 HKLRD 600.</w:t>
      </w:r>
    </w:p>
  </w:footnote>
  <w:footnote w:id="60">
    <w:p w:rsidR="0011044B" w:rsidRPr="00A52E14" w:rsidRDefault="0011044B" w:rsidP="0026262A">
      <w:pPr>
        <w:pStyle w:val="FootnoteText"/>
        <w:tabs>
          <w:tab w:val="clear" w:pos="274"/>
          <w:tab w:val="left" w:pos="360"/>
        </w:tabs>
      </w:pPr>
      <w:r>
        <w:rPr>
          <w:rStyle w:val="FootnoteReference"/>
        </w:rPr>
        <w:footnoteRef/>
      </w:r>
      <w:r>
        <w:t xml:space="preserve"> </w:t>
      </w:r>
      <w:r w:rsidR="0026262A">
        <w:tab/>
      </w:r>
      <w:r w:rsidR="0026262A">
        <w:rPr>
          <w:i/>
        </w:rPr>
        <w:t>Secretary for Justice</w:t>
      </w:r>
      <w:r w:rsidRPr="00A52E14">
        <w:rPr>
          <w:i/>
        </w:rPr>
        <w:t xml:space="preserve"> </w:t>
      </w:r>
      <w:proofErr w:type="gramStart"/>
      <w:r w:rsidRPr="00A52E14">
        <w:rPr>
          <w:i/>
        </w:rPr>
        <w:t>v</w:t>
      </w:r>
      <w:proofErr w:type="gramEnd"/>
      <w:r w:rsidRPr="00A52E14">
        <w:rPr>
          <w:i/>
        </w:rPr>
        <w:t xml:space="preserve"> Lam Siu Tong</w:t>
      </w:r>
      <w:r>
        <w:t xml:space="preserve"> [2009] 5 HKLRD 601.</w:t>
      </w:r>
    </w:p>
  </w:footnote>
  <w:footnote w:id="61">
    <w:p w:rsidR="0011044B" w:rsidRDefault="0011044B" w:rsidP="0011044B">
      <w:pPr>
        <w:pStyle w:val="FootnoteText"/>
        <w:tabs>
          <w:tab w:val="clear" w:pos="274"/>
          <w:tab w:val="left" w:pos="360"/>
        </w:tabs>
      </w:pPr>
      <w:r>
        <w:rPr>
          <w:rStyle w:val="FootnoteReference"/>
        </w:rPr>
        <w:footnoteRef/>
      </w:r>
      <w:r>
        <w:t xml:space="preserve"> </w:t>
      </w:r>
      <w:r>
        <w:tab/>
      </w:r>
      <w:r w:rsidRPr="00E61862">
        <w:rPr>
          <w:i/>
        </w:rPr>
        <w:t>HKSAR v Man Chun Pun</w:t>
      </w:r>
      <w:r>
        <w:t xml:space="preserve"> (</w:t>
      </w:r>
      <w:proofErr w:type="spellStart"/>
      <w:r>
        <w:t>Unrep</w:t>
      </w:r>
      <w:proofErr w:type="spellEnd"/>
      <w:r>
        <w:t>., CACC 83/2018, 30 August 2019).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84C" w:rsidRDefault="0022084C" w:rsidP="007C481B">
    <w:pPr>
      <w:tabs>
        <w:tab w:val="center" w:pos="4153"/>
        <w:tab w:val="left" w:pos="6877"/>
      </w:tabs>
      <w:jc w:val="left"/>
      <w:rPr>
        <w:rStyle w:val="PageNumber"/>
        <w:b w:val="0"/>
        <w:bCs w:val="0"/>
        <w:sz w:val="28"/>
      </w:rPr>
    </w:pPr>
    <w:r>
      <w:rPr>
        <w:rStyle w:val="PageNumber"/>
        <w:b w:val="0"/>
        <w:bCs w:val="0"/>
        <w:sz w:val="28"/>
      </w:rPr>
      <w:tab/>
    </w:r>
    <w:r>
      <w:rPr>
        <w:noProof/>
        <w:lang w:val="en-US"/>
      </w:rPr>
      <mc:AlternateContent>
        <mc:Choice Requires="wps">
          <w:drawing>
            <wp:anchor distT="0" distB="0" distL="114300" distR="114300" simplePos="0" relativeHeight="251657216" behindDoc="0" locked="0" layoutInCell="1" allowOverlap="1" wp14:anchorId="1C737A44" wp14:editId="15263DF9">
              <wp:simplePos x="0" y="0"/>
              <wp:positionH relativeFrom="page">
                <wp:align>right</wp:align>
              </wp:positionH>
              <wp:positionV relativeFrom="paragraph">
                <wp:posOffset>45720</wp:posOffset>
              </wp:positionV>
              <wp:extent cx="455295" cy="10099675"/>
              <wp:effectExtent l="0" t="0" r="1905"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84C" w:rsidRDefault="0022084C" w:rsidP="008244DC">
                          <w:pPr>
                            <w:ind w:left="-90"/>
                          </w:pPr>
                          <w:r>
                            <w:rPr>
                              <w:rFonts w:hint="eastAsia"/>
                            </w:rPr>
                            <w:t>A</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B</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C</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D</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E</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F</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G</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H</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I</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J</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K</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L</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M</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N</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O</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P</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Q</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R</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S</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T</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U</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37A44" id="_x0000_t202" coordsize="21600,21600" o:spt="202" path="m,l,21600r21600,l21600,xe">
              <v:stroke joinstyle="miter"/>
              <v:path gradientshapeok="t" o:connecttype="rect"/>
            </v:shapetype>
            <v:shape id="Text Box 5" o:spid="_x0000_s1026" type="#_x0000_t202" style="position:absolute;margin-left:-15.35pt;margin-top:3.6pt;width:35.8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iJgw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" stroked="f">
              <v:textbox>
                <w:txbxContent>
                  <w:p w:rsidR="0022084C" w:rsidRDefault="0022084C" w:rsidP="008244DC">
                    <w:pPr>
                      <w:ind w:left="-90"/>
                    </w:pPr>
                    <w:r>
                      <w:rPr>
                        <w:rFonts w:hint="eastAsia"/>
                      </w:rPr>
                      <w:t>A</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B</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C</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D</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E</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F</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G</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H</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I</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J</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K</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L</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M</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N</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O</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P</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Q</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R</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S</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T</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U</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6192" behindDoc="0" locked="0" layoutInCell="1" allowOverlap="1" wp14:anchorId="21BB966B" wp14:editId="34863A3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84C" w:rsidRDefault="0022084C">
                          <w:r>
                            <w:rPr>
                              <w:rFonts w:hint="eastAsia"/>
                            </w:rPr>
                            <w:t>A</w:t>
                          </w:r>
                        </w:p>
                        <w:p w:rsidR="0022084C" w:rsidRDefault="0022084C">
                          <w:pPr>
                            <w:rPr>
                              <w:sz w:val="10"/>
                            </w:rPr>
                          </w:pPr>
                        </w:p>
                        <w:p w:rsidR="0022084C" w:rsidRDefault="0022084C">
                          <w:pPr>
                            <w:rPr>
                              <w:sz w:val="16"/>
                            </w:rPr>
                          </w:pPr>
                        </w:p>
                        <w:p w:rsidR="0022084C" w:rsidRDefault="0022084C">
                          <w:pPr>
                            <w:rPr>
                              <w:sz w:val="16"/>
                            </w:rPr>
                          </w:pPr>
                        </w:p>
                        <w:p w:rsidR="0022084C" w:rsidRDefault="0022084C">
                          <w:r>
                            <w:rPr>
                              <w:rFonts w:hint="eastAsia"/>
                            </w:rPr>
                            <w:t>B</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C</w:t>
                          </w:r>
                        </w:p>
                        <w:p w:rsidR="0022084C" w:rsidRDefault="0022084C">
                          <w:pPr>
                            <w:rPr>
                              <w:sz w:val="10"/>
                            </w:rPr>
                          </w:pPr>
                        </w:p>
                        <w:p w:rsidR="0022084C" w:rsidRDefault="0022084C">
                          <w:pPr>
                            <w:rPr>
                              <w:sz w:val="16"/>
                            </w:rPr>
                          </w:pPr>
                        </w:p>
                        <w:p w:rsidR="0022084C" w:rsidRDefault="0022084C">
                          <w:pPr>
                            <w:rPr>
                              <w:sz w:val="16"/>
                            </w:rPr>
                          </w:pPr>
                        </w:p>
                        <w:p w:rsidR="0022084C" w:rsidRDefault="0022084C">
                          <w:r>
                            <w:rPr>
                              <w:rFonts w:hint="eastAsia"/>
                            </w:rPr>
                            <w:t>D</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E</w:t>
                          </w:r>
                        </w:p>
                        <w:p w:rsidR="0022084C" w:rsidRDefault="0022084C">
                          <w:pPr>
                            <w:rPr>
                              <w:sz w:val="10"/>
                            </w:rPr>
                          </w:pPr>
                        </w:p>
                        <w:p w:rsidR="0022084C" w:rsidRDefault="0022084C">
                          <w:pPr>
                            <w:rPr>
                              <w:sz w:val="16"/>
                            </w:rPr>
                          </w:pPr>
                        </w:p>
                        <w:p w:rsidR="0022084C" w:rsidRDefault="0022084C">
                          <w:pPr>
                            <w:rPr>
                              <w:sz w:val="16"/>
                            </w:rPr>
                          </w:pPr>
                        </w:p>
                        <w:p w:rsidR="0022084C" w:rsidRDefault="0022084C">
                          <w:r>
                            <w:rPr>
                              <w:rFonts w:hint="eastAsia"/>
                            </w:rPr>
                            <w:t>F</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G</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H</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I</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J</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K</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L</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M</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N</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O</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P</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Q</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R</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S</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T</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U</w:t>
                          </w:r>
                        </w:p>
                        <w:p w:rsidR="0022084C" w:rsidRDefault="0022084C">
                          <w:pPr>
                            <w:rPr>
                              <w:sz w:val="10"/>
                            </w:rPr>
                          </w:pPr>
                        </w:p>
                        <w:p w:rsidR="0022084C" w:rsidRDefault="0022084C">
                          <w:pPr>
                            <w:rPr>
                              <w:sz w:val="16"/>
                            </w:rPr>
                          </w:pPr>
                        </w:p>
                        <w:p w:rsidR="0022084C" w:rsidRDefault="0022084C">
                          <w:pPr>
                            <w:rPr>
                              <w:sz w:val="16"/>
                            </w:rPr>
                          </w:pPr>
                        </w:p>
                        <w:p w:rsidR="0022084C" w:rsidRDefault="0022084C">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B966B"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22084C" w:rsidRDefault="0022084C">
                    <w:r>
                      <w:rPr>
                        <w:rFonts w:hint="eastAsia"/>
                      </w:rPr>
                      <w:t>A</w:t>
                    </w:r>
                  </w:p>
                  <w:p w:rsidR="0022084C" w:rsidRDefault="0022084C">
                    <w:pPr>
                      <w:rPr>
                        <w:sz w:val="10"/>
                      </w:rPr>
                    </w:pPr>
                  </w:p>
                  <w:p w:rsidR="0022084C" w:rsidRDefault="0022084C">
                    <w:pPr>
                      <w:rPr>
                        <w:sz w:val="16"/>
                      </w:rPr>
                    </w:pPr>
                  </w:p>
                  <w:p w:rsidR="0022084C" w:rsidRDefault="0022084C">
                    <w:pPr>
                      <w:rPr>
                        <w:sz w:val="16"/>
                      </w:rPr>
                    </w:pPr>
                  </w:p>
                  <w:p w:rsidR="0022084C" w:rsidRDefault="0022084C">
                    <w:r>
                      <w:rPr>
                        <w:rFonts w:hint="eastAsia"/>
                      </w:rPr>
                      <w:t>B</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C</w:t>
                    </w:r>
                  </w:p>
                  <w:p w:rsidR="0022084C" w:rsidRDefault="0022084C">
                    <w:pPr>
                      <w:rPr>
                        <w:sz w:val="10"/>
                      </w:rPr>
                    </w:pPr>
                  </w:p>
                  <w:p w:rsidR="0022084C" w:rsidRDefault="0022084C">
                    <w:pPr>
                      <w:rPr>
                        <w:sz w:val="16"/>
                      </w:rPr>
                    </w:pPr>
                  </w:p>
                  <w:p w:rsidR="0022084C" w:rsidRDefault="0022084C">
                    <w:pPr>
                      <w:rPr>
                        <w:sz w:val="16"/>
                      </w:rPr>
                    </w:pPr>
                  </w:p>
                  <w:p w:rsidR="0022084C" w:rsidRDefault="0022084C">
                    <w:r>
                      <w:rPr>
                        <w:rFonts w:hint="eastAsia"/>
                      </w:rPr>
                      <w:t>D</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E</w:t>
                    </w:r>
                  </w:p>
                  <w:p w:rsidR="0022084C" w:rsidRDefault="0022084C">
                    <w:pPr>
                      <w:rPr>
                        <w:sz w:val="10"/>
                      </w:rPr>
                    </w:pPr>
                  </w:p>
                  <w:p w:rsidR="0022084C" w:rsidRDefault="0022084C">
                    <w:pPr>
                      <w:rPr>
                        <w:sz w:val="16"/>
                      </w:rPr>
                    </w:pPr>
                  </w:p>
                  <w:p w:rsidR="0022084C" w:rsidRDefault="0022084C">
                    <w:pPr>
                      <w:rPr>
                        <w:sz w:val="16"/>
                      </w:rPr>
                    </w:pPr>
                  </w:p>
                  <w:p w:rsidR="0022084C" w:rsidRDefault="0022084C">
                    <w:r>
                      <w:rPr>
                        <w:rFonts w:hint="eastAsia"/>
                      </w:rPr>
                      <w:t>F</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G</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H</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I</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J</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K</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L</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M</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N</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O</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P</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Q</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R</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S</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T</w:t>
                    </w:r>
                  </w:p>
                  <w:p w:rsidR="0022084C" w:rsidRDefault="0022084C">
                    <w:pPr>
                      <w:rPr>
                        <w:sz w:val="10"/>
                      </w:rPr>
                    </w:pPr>
                  </w:p>
                  <w:p w:rsidR="0022084C" w:rsidRDefault="0022084C">
                    <w:pPr>
                      <w:rPr>
                        <w:sz w:val="16"/>
                      </w:rPr>
                    </w:pPr>
                  </w:p>
                  <w:p w:rsidR="0022084C" w:rsidRDefault="0022084C">
                    <w:pPr>
                      <w:rPr>
                        <w:sz w:val="16"/>
                      </w:rPr>
                    </w:pPr>
                  </w:p>
                  <w:p w:rsidR="0022084C" w:rsidRDefault="0022084C">
                    <w:pPr>
                      <w:rPr>
                        <w:sz w:val="16"/>
                      </w:rPr>
                    </w:pPr>
                    <w:r>
                      <w:rPr>
                        <w:rFonts w:hint="eastAsia"/>
                      </w:rPr>
                      <w:t>U</w:t>
                    </w:r>
                  </w:p>
                  <w:p w:rsidR="0022084C" w:rsidRDefault="0022084C">
                    <w:pPr>
                      <w:rPr>
                        <w:sz w:val="10"/>
                      </w:rPr>
                    </w:pPr>
                  </w:p>
                  <w:p w:rsidR="0022084C" w:rsidRDefault="0022084C">
                    <w:pPr>
                      <w:rPr>
                        <w:sz w:val="16"/>
                      </w:rPr>
                    </w:pPr>
                  </w:p>
                  <w:p w:rsidR="0022084C" w:rsidRDefault="0022084C">
                    <w:pPr>
                      <w:rPr>
                        <w:sz w:val="16"/>
                      </w:rPr>
                    </w:pPr>
                  </w:p>
                  <w:p w:rsidR="0022084C" w:rsidRDefault="0022084C">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C161D0">
      <w:rPr>
        <w:rStyle w:val="PageNumber"/>
        <w:b w:val="0"/>
        <w:bCs w:val="0"/>
        <w:noProof/>
        <w:sz w:val="28"/>
      </w:rPr>
      <w:t>21</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84C" w:rsidRDefault="0022084C">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column">
                <wp:posOffset>5987644</wp:posOffset>
              </wp:positionH>
              <wp:positionV relativeFrom="paragraph">
                <wp:posOffset>45720</wp:posOffset>
              </wp:positionV>
              <wp:extent cx="455295" cy="10099675"/>
              <wp:effectExtent l="0" t="0" r="1905"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84C" w:rsidRDefault="0022084C" w:rsidP="008244DC">
                          <w:pPr>
                            <w:ind w:left="-90"/>
                          </w:pPr>
                          <w:r>
                            <w:rPr>
                              <w:rFonts w:hint="eastAsia"/>
                            </w:rPr>
                            <w:t>A</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pStyle w:val="Heading6"/>
                            <w:ind w:left="-90"/>
                          </w:pPr>
                          <w:r>
                            <w:rPr>
                              <w:rFonts w:hint="eastAsia"/>
                            </w:rPr>
                            <w:t>B</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C</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D</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E</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F</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G</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H</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I</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J</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K</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L</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M</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N</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O</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P</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Q</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R</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S</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T</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U</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8" type="#_x0000_t202" style="position:absolute;left:0;text-align:left;margin-left:471.45pt;margin-top:3.6pt;width:35.85pt;height:7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OhgIAABg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" stroked="f">
              <v:textbox>
                <w:txbxContent>
                  <w:p w:rsidR="0022084C" w:rsidRDefault="0022084C" w:rsidP="008244DC">
                    <w:pPr>
                      <w:ind w:left="-90"/>
                    </w:pPr>
                    <w:r>
                      <w:rPr>
                        <w:rFonts w:hint="eastAsia"/>
                      </w:rPr>
                      <w:t>A</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pStyle w:val="Heading6"/>
                      <w:ind w:left="-90"/>
                    </w:pPr>
                    <w:r>
                      <w:rPr>
                        <w:rFonts w:hint="eastAsia"/>
                      </w:rPr>
                      <w:t>B</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C</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D</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E</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F</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G</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H</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I</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J</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K</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L</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M</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N</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O</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P</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Q</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R</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S</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T</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rPr>
                        <w:sz w:val="16"/>
                      </w:rPr>
                    </w:pPr>
                    <w:r>
                      <w:rPr>
                        <w:rFonts w:hint="eastAsia"/>
                      </w:rPr>
                      <w:t>U</w:t>
                    </w:r>
                  </w:p>
                  <w:p w:rsidR="0022084C" w:rsidRDefault="0022084C" w:rsidP="008244DC">
                    <w:pPr>
                      <w:ind w:left="-90"/>
                      <w:rPr>
                        <w:sz w:val="10"/>
                      </w:rPr>
                    </w:pPr>
                  </w:p>
                  <w:p w:rsidR="0022084C" w:rsidRDefault="0022084C" w:rsidP="008244DC">
                    <w:pPr>
                      <w:ind w:left="-90"/>
                      <w:rPr>
                        <w:sz w:val="16"/>
                      </w:rPr>
                    </w:pPr>
                  </w:p>
                  <w:p w:rsidR="0022084C" w:rsidRDefault="0022084C" w:rsidP="008244DC">
                    <w:pPr>
                      <w:ind w:left="-90"/>
                      <w:rPr>
                        <w:sz w:val="16"/>
                      </w:rPr>
                    </w:pPr>
                  </w:p>
                  <w:p w:rsidR="0022084C" w:rsidRDefault="0022084C" w:rsidP="008244DC">
                    <w:pPr>
                      <w:ind w:left="-90"/>
                    </w:pPr>
                    <w:r>
                      <w:rPr>
                        <w:rFonts w:hint="eastAsia"/>
                      </w:rPr>
                      <w:t>V</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84C" w:rsidRDefault="0022084C" w:rsidP="0087327F">
                          <w:r>
                            <w:rPr>
                              <w:rFonts w:hint="eastAsia"/>
                            </w:rPr>
                            <w:t>A</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r>
                            <w:rPr>
                              <w:rFonts w:hint="eastAsia"/>
                            </w:rPr>
                            <w:t>B</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C</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r>
                            <w:rPr>
                              <w:rFonts w:hint="eastAsia"/>
                            </w:rPr>
                            <w:t>D</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E</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r>
                            <w:rPr>
                              <w:rFonts w:hint="eastAsia"/>
                            </w:rPr>
                            <w:t>F</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G</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H</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I</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J</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K</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L</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M</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N</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O</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P</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Q</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R</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S</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T</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U</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22084C" w:rsidRDefault="0022084C" w:rsidP="0087327F">
                    <w:r>
                      <w:rPr>
                        <w:rFonts w:hint="eastAsia"/>
                      </w:rPr>
                      <w:t>A</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r>
                      <w:rPr>
                        <w:rFonts w:hint="eastAsia"/>
                      </w:rPr>
                      <w:t>B</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C</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r>
                      <w:rPr>
                        <w:rFonts w:hint="eastAsia"/>
                      </w:rPr>
                      <w:t>D</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E</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r>
                      <w:rPr>
                        <w:rFonts w:hint="eastAsia"/>
                      </w:rPr>
                      <w:t>F</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G</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H</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I</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J</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K</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L</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M</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N</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O</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P</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Q</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R</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S</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T</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pPr>
                      <w:rPr>
                        <w:sz w:val="16"/>
                      </w:rPr>
                    </w:pPr>
                    <w:r>
                      <w:rPr>
                        <w:rFonts w:hint="eastAsia"/>
                      </w:rPr>
                      <w:t>U</w:t>
                    </w:r>
                  </w:p>
                  <w:p w:rsidR="0022084C" w:rsidRDefault="0022084C" w:rsidP="0087327F">
                    <w:pPr>
                      <w:rPr>
                        <w:sz w:val="10"/>
                      </w:rPr>
                    </w:pPr>
                  </w:p>
                  <w:p w:rsidR="0022084C" w:rsidRDefault="0022084C" w:rsidP="0087327F">
                    <w:pPr>
                      <w:rPr>
                        <w:sz w:val="16"/>
                      </w:rPr>
                    </w:pPr>
                  </w:p>
                  <w:p w:rsidR="0022084C" w:rsidRDefault="0022084C" w:rsidP="0087327F">
                    <w:pPr>
                      <w:rPr>
                        <w:sz w:val="16"/>
                      </w:rPr>
                    </w:pPr>
                  </w:p>
                  <w:p w:rsidR="0022084C" w:rsidRDefault="0022084C"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3B778D7"/>
    <w:multiLevelType w:val="hybridMultilevel"/>
    <w:tmpl w:val="B1EC272E"/>
    <w:lvl w:ilvl="0" w:tplc="A72A871C">
      <w:start w:val="1"/>
      <w:numFmt w:val="decimal"/>
      <w:pStyle w:val="T-Draft"/>
      <w:lvlText w:val="%1."/>
      <w:lvlJc w:val="left"/>
      <w:pPr>
        <w:ind w:left="0" w:firstLine="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6A6"/>
    <w:multiLevelType w:val="multilevel"/>
    <w:tmpl w:val="F8883D02"/>
    <w:numStyleLink w:val="1i"/>
  </w:abstractNum>
  <w:abstractNum w:abstractNumId="3"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7"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4B485ADB"/>
    <w:multiLevelType w:val="multilevel"/>
    <w:tmpl w:val="7C64A4D4"/>
    <w:numStyleLink w:val="1a"/>
  </w:abstractNum>
  <w:abstractNum w:abstractNumId="9" w15:restartNumberingAfterBreak="0">
    <w:nsid w:val="4F70399F"/>
    <w:multiLevelType w:val="multilevel"/>
    <w:tmpl w:val="7C64A4D4"/>
    <w:numStyleLink w:val="1a"/>
  </w:abstractNum>
  <w:abstractNum w:abstractNumId="10" w15:restartNumberingAfterBreak="0">
    <w:nsid w:val="56D90807"/>
    <w:multiLevelType w:val="multilevel"/>
    <w:tmpl w:val="84E4A6E2"/>
    <w:numStyleLink w:val="Iia"/>
  </w:abstractNum>
  <w:abstractNum w:abstractNumId="11"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2" w15:restartNumberingAfterBreak="0">
    <w:nsid w:val="66B045EC"/>
    <w:multiLevelType w:val="hybridMultilevel"/>
    <w:tmpl w:val="69766DF0"/>
    <w:lvl w:ilvl="0" w:tplc="1D4C3758">
      <w:start w:val="1"/>
      <w:numFmt w:val="lowerRoman"/>
      <w:lvlText w:val="(%1)"/>
      <w:lvlJc w:val="left"/>
      <w:pPr>
        <w:ind w:left="1440" w:hanging="360"/>
      </w:pPr>
      <w:rPr>
        <w:rFonts w:hint="eastAsia"/>
      </w:rPr>
    </w:lvl>
    <w:lvl w:ilvl="1" w:tplc="04090019" w:tentative="1">
      <w:start w:val="1"/>
      <w:numFmt w:val="lowerLetter"/>
      <w:lvlText w:val="%2."/>
      <w:lvlJc w:val="left"/>
      <w:pPr>
        <w:ind w:left="2160" w:hanging="360"/>
      </w:pPr>
    </w:lvl>
    <w:lvl w:ilvl="2" w:tplc="1D4C3758">
      <w:start w:val="1"/>
      <w:numFmt w:val="lowerRoman"/>
      <w:lvlText w:val="(%3)"/>
      <w:lvlJc w:val="left"/>
      <w:pPr>
        <w:ind w:left="2880" w:hanging="180"/>
      </w:pPr>
      <w:rPr>
        <w:rFonts w:hint="eastAsia"/>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6"/>
  </w:num>
  <w:num w:numId="3">
    <w:abstractNumId w:val="0"/>
  </w:num>
  <w:num w:numId="4">
    <w:abstractNumId w:val="1"/>
  </w:num>
  <w:num w:numId="5">
    <w:abstractNumId w:val="5"/>
  </w:num>
  <w:num w:numId="6">
    <w:abstractNumId w:val="4"/>
  </w:num>
  <w:num w:numId="7">
    <w:abstractNumId w:val="8"/>
  </w:num>
  <w:num w:numId="8">
    <w:abstractNumId w:val="7"/>
  </w:num>
  <w:num w:numId="9">
    <w:abstractNumId w:val="2"/>
  </w:num>
  <w:num w:numId="10">
    <w:abstractNumId w:val="3"/>
  </w:num>
  <w:num w:numId="11">
    <w:abstractNumId w:val="10"/>
  </w:num>
  <w:num w:numId="12">
    <w:abstractNumId w:val="9"/>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3A46"/>
    <w:rsid w:val="000050B7"/>
    <w:rsid w:val="0000516C"/>
    <w:rsid w:val="00011A8A"/>
    <w:rsid w:val="00012F63"/>
    <w:rsid w:val="00013BA4"/>
    <w:rsid w:val="000143C6"/>
    <w:rsid w:val="000166B7"/>
    <w:rsid w:val="000172B7"/>
    <w:rsid w:val="0002174D"/>
    <w:rsid w:val="00023F38"/>
    <w:rsid w:val="0002575C"/>
    <w:rsid w:val="00030B0F"/>
    <w:rsid w:val="00031D8E"/>
    <w:rsid w:val="00033154"/>
    <w:rsid w:val="0003606D"/>
    <w:rsid w:val="000368AD"/>
    <w:rsid w:val="0003790E"/>
    <w:rsid w:val="00040A9E"/>
    <w:rsid w:val="000410C4"/>
    <w:rsid w:val="000431AB"/>
    <w:rsid w:val="00043D1D"/>
    <w:rsid w:val="00046869"/>
    <w:rsid w:val="000521F3"/>
    <w:rsid w:val="00052B0F"/>
    <w:rsid w:val="00055C08"/>
    <w:rsid w:val="00056EA1"/>
    <w:rsid w:val="000606C7"/>
    <w:rsid w:val="00063752"/>
    <w:rsid w:val="000654E9"/>
    <w:rsid w:val="0007218A"/>
    <w:rsid w:val="00074E62"/>
    <w:rsid w:val="000753E3"/>
    <w:rsid w:val="0007598E"/>
    <w:rsid w:val="00075DD8"/>
    <w:rsid w:val="00081268"/>
    <w:rsid w:val="0008180B"/>
    <w:rsid w:val="00081CC6"/>
    <w:rsid w:val="00086337"/>
    <w:rsid w:val="00086827"/>
    <w:rsid w:val="0008745D"/>
    <w:rsid w:val="000929CE"/>
    <w:rsid w:val="00092DF8"/>
    <w:rsid w:val="00093882"/>
    <w:rsid w:val="000938F2"/>
    <w:rsid w:val="00093F41"/>
    <w:rsid w:val="000956EE"/>
    <w:rsid w:val="00095984"/>
    <w:rsid w:val="0009741D"/>
    <w:rsid w:val="000A0B09"/>
    <w:rsid w:val="000A402C"/>
    <w:rsid w:val="000A6DAF"/>
    <w:rsid w:val="000A7E7F"/>
    <w:rsid w:val="000A7FDA"/>
    <w:rsid w:val="000B09F3"/>
    <w:rsid w:val="000B2889"/>
    <w:rsid w:val="000B3B14"/>
    <w:rsid w:val="000B5ABD"/>
    <w:rsid w:val="000B7B03"/>
    <w:rsid w:val="000B7FAC"/>
    <w:rsid w:val="000C1EC8"/>
    <w:rsid w:val="000C3068"/>
    <w:rsid w:val="000C4FAB"/>
    <w:rsid w:val="000C6360"/>
    <w:rsid w:val="000C671C"/>
    <w:rsid w:val="000C6F10"/>
    <w:rsid w:val="000C7111"/>
    <w:rsid w:val="000C792C"/>
    <w:rsid w:val="000C7938"/>
    <w:rsid w:val="000C7B58"/>
    <w:rsid w:val="000C7E83"/>
    <w:rsid w:val="000D0874"/>
    <w:rsid w:val="000D3254"/>
    <w:rsid w:val="000D50D6"/>
    <w:rsid w:val="000D7D32"/>
    <w:rsid w:val="000E54F7"/>
    <w:rsid w:val="000E6F63"/>
    <w:rsid w:val="000F01F3"/>
    <w:rsid w:val="000F1532"/>
    <w:rsid w:val="000F5016"/>
    <w:rsid w:val="000F64DA"/>
    <w:rsid w:val="000F6E97"/>
    <w:rsid w:val="001004CD"/>
    <w:rsid w:val="001023EC"/>
    <w:rsid w:val="001035BD"/>
    <w:rsid w:val="001067FC"/>
    <w:rsid w:val="0011044B"/>
    <w:rsid w:val="00111020"/>
    <w:rsid w:val="00111D70"/>
    <w:rsid w:val="001205FB"/>
    <w:rsid w:val="00120B5D"/>
    <w:rsid w:val="001243EC"/>
    <w:rsid w:val="00127C14"/>
    <w:rsid w:val="00130BA6"/>
    <w:rsid w:val="00130E04"/>
    <w:rsid w:val="0013160D"/>
    <w:rsid w:val="00132F51"/>
    <w:rsid w:val="001400C1"/>
    <w:rsid w:val="0014211A"/>
    <w:rsid w:val="00143758"/>
    <w:rsid w:val="0014546D"/>
    <w:rsid w:val="00145BA1"/>
    <w:rsid w:val="00150975"/>
    <w:rsid w:val="00153291"/>
    <w:rsid w:val="00154982"/>
    <w:rsid w:val="001605E1"/>
    <w:rsid w:val="001610CB"/>
    <w:rsid w:val="00162B8D"/>
    <w:rsid w:val="00162B93"/>
    <w:rsid w:val="00162DC3"/>
    <w:rsid w:val="00162FE4"/>
    <w:rsid w:val="00163B93"/>
    <w:rsid w:val="00164109"/>
    <w:rsid w:val="001719B8"/>
    <w:rsid w:val="00172426"/>
    <w:rsid w:val="00176E3C"/>
    <w:rsid w:val="00177A4F"/>
    <w:rsid w:val="00183A1A"/>
    <w:rsid w:val="00183C3D"/>
    <w:rsid w:val="00184EF7"/>
    <w:rsid w:val="00185002"/>
    <w:rsid w:val="00185E9D"/>
    <w:rsid w:val="001874F2"/>
    <w:rsid w:val="00193703"/>
    <w:rsid w:val="001A09DB"/>
    <w:rsid w:val="001A131E"/>
    <w:rsid w:val="001A45CC"/>
    <w:rsid w:val="001A4E63"/>
    <w:rsid w:val="001A5794"/>
    <w:rsid w:val="001A5D61"/>
    <w:rsid w:val="001B319A"/>
    <w:rsid w:val="001B3AFE"/>
    <w:rsid w:val="001B7BA8"/>
    <w:rsid w:val="001C0085"/>
    <w:rsid w:val="001C1EB9"/>
    <w:rsid w:val="001C323E"/>
    <w:rsid w:val="001C5348"/>
    <w:rsid w:val="001C5D43"/>
    <w:rsid w:val="001C61D9"/>
    <w:rsid w:val="001D1B41"/>
    <w:rsid w:val="001D2208"/>
    <w:rsid w:val="001D3F8B"/>
    <w:rsid w:val="001D6F2B"/>
    <w:rsid w:val="001D70BC"/>
    <w:rsid w:val="001E0776"/>
    <w:rsid w:val="001E1E01"/>
    <w:rsid w:val="001E20A9"/>
    <w:rsid w:val="001E2C29"/>
    <w:rsid w:val="001E6D73"/>
    <w:rsid w:val="001E75AF"/>
    <w:rsid w:val="001F08AF"/>
    <w:rsid w:val="001F4A9B"/>
    <w:rsid w:val="002045C7"/>
    <w:rsid w:val="0020478E"/>
    <w:rsid w:val="0020514F"/>
    <w:rsid w:val="0020749D"/>
    <w:rsid w:val="002116CF"/>
    <w:rsid w:val="00211793"/>
    <w:rsid w:val="0021695A"/>
    <w:rsid w:val="00216DF9"/>
    <w:rsid w:val="0021759F"/>
    <w:rsid w:val="0022084C"/>
    <w:rsid w:val="00221E08"/>
    <w:rsid w:val="00223579"/>
    <w:rsid w:val="00223F1A"/>
    <w:rsid w:val="00231318"/>
    <w:rsid w:val="002319FD"/>
    <w:rsid w:val="00231AB7"/>
    <w:rsid w:val="00235458"/>
    <w:rsid w:val="00235E96"/>
    <w:rsid w:val="002371D3"/>
    <w:rsid w:val="00240A52"/>
    <w:rsid w:val="002414F4"/>
    <w:rsid w:val="00241A8D"/>
    <w:rsid w:val="00242EDA"/>
    <w:rsid w:val="0024484E"/>
    <w:rsid w:val="002448F8"/>
    <w:rsid w:val="00245971"/>
    <w:rsid w:val="00245F64"/>
    <w:rsid w:val="00246737"/>
    <w:rsid w:val="00252F3E"/>
    <w:rsid w:val="00260E1F"/>
    <w:rsid w:val="0026167D"/>
    <w:rsid w:val="0026262A"/>
    <w:rsid w:val="00262F90"/>
    <w:rsid w:val="00265999"/>
    <w:rsid w:val="00265A1E"/>
    <w:rsid w:val="002670F4"/>
    <w:rsid w:val="002672D8"/>
    <w:rsid w:val="002700B9"/>
    <w:rsid w:val="002707DD"/>
    <w:rsid w:val="002720EB"/>
    <w:rsid w:val="00272FF6"/>
    <w:rsid w:val="00275ED8"/>
    <w:rsid w:val="0027797E"/>
    <w:rsid w:val="00284B86"/>
    <w:rsid w:val="00284D2D"/>
    <w:rsid w:val="00292999"/>
    <w:rsid w:val="002970BA"/>
    <w:rsid w:val="002979E3"/>
    <w:rsid w:val="00297C34"/>
    <w:rsid w:val="00297FC5"/>
    <w:rsid w:val="002A58BA"/>
    <w:rsid w:val="002A6A79"/>
    <w:rsid w:val="002A7E1C"/>
    <w:rsid w:val="002B39A2"/>
    <w:rsid w:val="002B6959"/>
    <w:rsid w:val="002C283B"/>
    <w:rsid w:val="002C3FA8"/>
    <w:rsid w:val="002C5B01"/>
    <w:rsid w:val="002C6BE1"/>
    <w:rsid w:val="002C7444"/>
    <w:rsid w:val="002D13DE"/>
    <w:rsid w:val="002D2A71"/>
    <w:rsid w:val="002D589D"/>
    <w:rsid w:val="002E05FC"/>
    <w:rsid w:val="002E1FD1"/>
    <w:rsid w:val="002E2127"/>
    <w:rsid w:val="002E4DA7"/>
    <w:rsid w:val="002E5D20"/>
    <w:rsid w:val="002F0749"/>
    <w:rsid w:val="002F177E"/>
    <w:rsid w:val="002F2D62"/>
    <w:rsid w:val="002F5019"/>
    <w:rsid w:val="002F557F"/>
    <w:rsid w:val="00301ADC"/>
    <w:rsid w:val="003057E9"/>
    <w:rsid w:val="003162A0"/>
    <w:rsid w:val="00317703"/>
    <w:rsid w:val="00321E00"/>
    <w:rsid w:val="0032207E"/>
    <w:rsid w:val="003222DD"/>
    <w:rsid w:val="00333012"/>
    <w:rsid w:val="00334383"/>
    <w:rsid w:val="00334A07"/>
    <w:rsid w:val="003351EB"/>
    <w:rsid w:val="00335AC9"/>
    <w:rsid w:val="00335EDC"/>
    <w:rsid w:val="003364FE"/>
    <w:rsid w:val="00345F4E"/>
    <w:rsid w:val="003465AE"/>
    <w:rsid w:val="00351432"/>
    <w:rsid w:val="003515C1"/>
    <w:rsid w:val="00352CF9"/>
    <w:rsid w:val="00353101"/>
    <w:rsid w:val="00353898"/>
    <w:rsid w:val="00354F4B"/>
    <w:rsid w:val="003555EE"/>
    <w:rsid w:val="003557F5"/>
    <w:rsid w:val="00355E03"/>
    <w:rsid w:val="0035699D"/>
    <w:rsid w:val="00357AA0"/>
    <w:rsid w:val="003616DE"/>
    <w:rsid w:val="0036364A"/>
    <w:rsid w:val="00363FC1"/>
    <w:rsid w:val="00365632"/>
    <w:rsid w:val="003672F7"/>
    <w:rsid w:val="00370ED1"/>
    <w:rsid w:val="0037284F"/>
    <w:rsid w:val="00374EF0"/>
    <w:rsid w:val="00375FE2"/>
    <w:rsid w:val="00382E04"/>
    <w:rsid w:val="00384387"/>
    <w:rsid w:val="00386E58"/>
    <w:rsid w:val="00390EC6"/>
    <w:rsid w:val="00395084"/>
    <w:rsid w:val="003963DF"/>
    <w:rsid w:val="00396536"/>
    <w:rsid w:val="00396610"/>
    <w:rsid w:val="00397A0F"/>
    <w:rsid w:val="003A016D"/>
    <w:rsid w:val="003A13C4"/>
    <w:rsid w:val="003A33B7"/>
    <w:rsid w:val="003A3D1A"/>
    <w:rsid w:val="003A40C2"/>
    <w:rsid w:val="003A574F"/>
    <w:rsid w:val="003A57D3"/>
    <w:rsid w:val="003A6806"/>
    <w:rsid w:val="003A7ABB"/>
    <w:rsid w:val="003A7AEF"/>
    <w:rsid w:val="003B186B"/>
    <w:rsid w:val="003B5CE4"/>
    <w:rsid w:val="003C07C5"/>
    <w:rsid w:val="003C63EA"/>
    <w:rsid w:val="003C6FBA"/>
    <w:rsid w:val="003C7EFF"/>
    <w:rsid w:val="003D041F"/>
    <w:rsid w:val="003D0BA3"/>
    <w:rsid w:val="003D0FE6"/>
    <w:rsid w:val="003D241B"/>
    <w:rsid w:val="003E0626"/>
    <w:rsid w:val="003E201D"/>
    <w:rsid w:val="003E24A6"/>
    <w:rsid w:val="003E41BC"/>
    <w:rsid w:val="003E5369"/>
    <w:rsid w:val="003E5DB2"/>
    <w:rsid w:val="003E61FA"/>
    <w:rsid w:val="003E6719"/>
    <w:rsid w:val="003F3729"/>
    <w:rsid w:val="003F46E7"/>
    <w:rsid w:val="003F5ADC"/>
    <w:rsid w:val="00407E55"/>
    <w:rsid w:val="004102AB"/>
    <w:rsid w:val="004111C2"/>
    <w:rsid w:val="00411885"/>
    <w:rsid w:val="004119F1"/>
    <w:rsid w:val="00414F9F"/>
    <w:rsid w:val="0042007A"/>
    <w:rsid w:val="004209A5"/>
    <w:rsid w:val="00420FC9"/>
    <w:rsid w:val="00422106"/>
    <w:rsid w:val="004226EE"/>
    <w:rsid w:val="00431BEE"/>
    <w:rsid w:val="00434EEB"/>
    <w:rsid w:val="004409C9"/>
    <w:rsid w:val="00441132"/>
    <w:rsid w:val="00447189"/>
    <w:rsid w:val="00450C8B"/>
    <w:rsid w:val="004517B9"/>
    <w:rsid w:val="00452CF7"/>
    <w:rsid w:val="004540B7"/>
    <w:rsid w:val="00461E37"/>
    <w:rsid w:val="00464266"/>
    <w:rsid w:val="00464A2D"/>
    <w:rsid w:val="004656A3"/>
    <w:rsid w:val="00470645"/>
    <w:rsid w:val="004707D8"/>
    <w:rsid w:val="00472117"/>
    <w:rsid w:val="004731A5"/>
    <w:rsid w:val="004735A9"/>
    <w:rsid w:val="00473FB5"/>
    <w:rsid w:val="00475A61"/>
    <w:rsid w:val="0047735B"/>
    <w:rsid w:val="0047790F"/>
    <w:rsid w:val="0048549E"/>
    <w:rsid w:val="0048567E"/>
    <w:rsid w:val="00486E58"/>
    <w:rsid w:val="00492775"/>
    <w:rsid w:val="00492AD4"/>
    <w:rsid w:val="00492E6F"/>
    <w:rsid w:val="00492FF8"/>
    <w:rsid w:val="00493489"/>
    <w:rsid w:val="00494064"/>
    <w:rsid w:val="00496D98"/>
    <w:rsid w:val="004A20B2"/>
    <w:rsid w:val="004A3C6F"/>
    <w:rsid w:val="004B0862"/>
    <w:rsid w:val="004B1B72"/>
    <w:rsid w:val="004B3442"/>
    <w:rsid w:val="004B398C"/>
    <w:rsid w:val="004C0FE9"/>
    <w:rsid w:val="004C1BEF"/>
    <w:rsid w:val="004C2CCD"/>
    <w:rsid w:val="004C3F3B"/>
    <w:rsid w:val="004C4009"/>
    <w:rsid w:val="004C5A44"/>
    <w:rsid w:val="004C5D24"/>
    <w:rsid w:val="004D12FA"/>
    <w:rsid w:val="004D284B"/>
    <w:rsid w:val="004D4729"/>
    <w:rsid w:val="004D544D"/>
    <w:rsid w:val="004D71BD"/>
    <w:rsid w:val="004D71D5"/>
    <w:rsid w:val="004E1233"/>
    <w:rsid w:val="004E14F8"/>
    <w:rsid w:val="004E1A7C"/>
    <w:rsid w:val="004E62C0"/>
    <w:rsid w:val="004E65A9"/>
    <w:rsid w:val="004F0333"/>
    <w:rsid w:val="004F068C"/>
    <w:rsid w:val="004F591C"/>
    <w:rsid w:val="004F7EE5"/>
    <w:rsid w:val="00506CAA"/>
    <w:rsid w:val="00507236"/>
    <w:rsid w:val="005076C4"/>
    <w:rsid w:val="00512ADF"/>
    <w:rsid w:val="0051486F"/>
    <w:rsid w:val="005157F1"/>
    <w:rsid w:val="00515E9B"/>
    <w:rsid w:val="0051666A"/>
    <w:rsid w:val="00517271"/>
    <w:rsid w:val="00520423"/>
    <w:rsid w:val="00520771"/>
    <w:rsid w:val="00522E90"/>
    <w:rsid w:val="0052743E"/>
    <w:rsid w:val="00527CAD"/>
    <w:rsid w:val="005304A8"/>
    <w:rsid w:val="00532E36"/>
    <w:rsid w:val="00537C1E"/>
    <w:rsid w:val="00540F2E"/>
    <w:rsid w:val="005420CB"/>
    <w:rsid w:val="00543A6D"/>
    <w:rsid w:val="00544DA7"/>
    <w:rsid w:val="005463B2"/>
    <w:rsid w:val="0054700C"/>
    <w:rsid w:val="005501DC"/>
    <w:rsid w:val="00550672"/>
    <w:rsid w:val="005546ED"/>
    <w:rsid w:val="005578C0"/>
    <w:rsid w:val="00560A9D"/>
    <w:rsid w:val="00561A1B"/>
    <w:rsid w:val="0056302A"/>
    <w:rsid w:val="0056551F"/>
    <w:rsid w:val="00566CD8"/>
    <w:rsid w:val="00570B66"/>
    <w:rsid w:val="00570E7C"/>
    <w:rsid w:val="00571C6F"/>
    <w:rsid w:val="00571D6A"/>
    <w:rsid w:val="0057224A"/>
    <w:rsid w:val="00574D2B"/>
    <w:rsid w:val="0057593B"/>
    <w:rsid w:val="0057628A"/>
    <w:rsid w:val="005778AF"/>
    <w:rsid w:val="00583014"/>
    <w:rsid w:val="005858D2"/>
    <w:rsid w:val="0058667F"/>
    <w:rsid w:val="00586FC8"/>
    <w:rsid w:val="0058711C"/>
    <w:rsid w:val="00587DA0"/>
    <w:rsid w:val="005901E2"/>
    <w:rsid w:val="005939D5"/>
    <w:rsid w:val="00593C0A"/>
    <w:rsid w:val="005A1417"/>
    <w:rsid w:val="005A58EA"/>
    <w:rsid w:val="005B1326"/>
    <w:rsid w:val="005B1E73"/>
    <w:rsid w:val="005B295A"/>
    <w:rsid w:val="005B3805"/>
    <w:rsid w:val="005B6239"/>
    <w:rsid w:val="005C3266"/>
    <w:rsid w:val="005C3420"/>
    <w:rsid w:val="005C4EE1"/>
    <w:rsid w:val="005C6688"/>
    <w:rsid w:val="005C68EC"/>
    <w:rsid w:val="005C6DB9"/>
    <w:rsid w:val="005D2DD9"/>
    <w:rsid w:val="005D38C1"/>
    <w:rsid w:val="005D7797"/>
    <w:rsid w:val="005E1B8A"/>
    <w:rsid w:val="005E2B47"/>
    <w:rsid w:val="005E4F6E"/>
    <w:rsid w:val="005F14C9"/>
    <w:rsid w:val="005F1500"/>
    <w:rsid w:val="005F15CD"/>
    <w:rsid w:val="005F2163"/>
    <w:rsid w:val="005F3076"/>
    <w:rsid w:val="005F6971"/>
    <w:rsid w:val="00601579"/>
    <w:rsid w:val="0060337E"/>
    <w:rsid w:val="0060477F"/>
    <w:rsid w:val="006048B1"/>
    <w:rsid w:val="00605010"/>
    <w:rsid w:val="0060579B"/>
    <w:rsid w:val="00607D12"/>
    <w:rsid w:val="006148B1"/>
    <w:rsid w:val="00615883"/>
    <w:rsid w:val="00615BD0"/>
    <w:rsid w:val="006215ED"/>
    <w:rsid w:val="0062228D"/>
    <w:rsid w:val="006235F9"/>
    <w:rsid w:val="006244C8"/>
    <w:rsid w:val="006247F6"/>
    <w:rsid w:val="00624F79"/>
    <w:rsid w:val="00627160"/>
    <w:rsid w:val="00630240"/>
    <w:rsid w:val="00630CA5"/>
    <w:rsid w:val="00633529"/>
    <w:rsid w:val="00641D2C"/>
    <w:rsid w:val="00647082"/>
    <w:rsid w:val="00647815"/>
    <w:rsid w:val="00647D38"/>
    <w:rsid w:val="0065087F"/>
    <w:rsid w:val="00651136"/>
    <w:rsid w:val="00651F4B"/>
    <w:rsid w:val="00653227"/>
    <w:rsid w:val="00655B9D"/>
    <w:rsid w:val="006615B9"/>
    <w:rsid w:val="006648E1"/>
    <w:rsid w:val="00664E56"/>
    <w:rsid w:val="00666E17"/>
    <w:rsid w:val="00667F73"/>
    <w:rsid w:val="006738A3"/>
    <w:rsid w:val="006749F4"/>
    <w:rsid w:val="00681D1F"/>
    <w:rsid w:val="00687FBB"/>
    <w:rsid w:val="006905F4"/>
    <w:rsid w:val="006917E5"/>
    <w:rsid w:val="0069277F"/>
    <w:rsid w:val="00692AEB"/>
    <w:rsid w:val="00693F9A"/>
    <w:rsid w:val="0069500B"/>
    <w:rsid w:val="006A0D89"/>
    <w:rsid w:val="006A2661"/>
    <w:rsid w:val="006A31CF"/>
    <w:rsid w:val="006A3666"/>
    <w:rsid w:val="006A455B"/>
    <w:rsid w:val="006B1F41"/>
    <w:rsid w:val="006B24C8"/>
    <w:rsid w:val="006B441F"/>
    <w:rsid w:val="006B5CD0"/>
    <w:rsid w:val="006B659D"/>
    <w:rsid w:val="006C0797"/>
    <w:rsid w:val="006C0DDF"/>
    <w:rsid w:val="006C13BB"/>
    <w:rsid w:val="006C4F98"/>
    <w:rsid w:val="006C5801"/>
    <w:rsid w:val="006C6079"/>
    <w:rsid w:val="006C6EE5"/>
    <w:rsid w:val="006C76A0"/>
    <w:rsid w:val="006D081A"/>
    <w:rsid w:val="006D0E60"/>
    <w:rsid w:val="006D1F5E"/>
    <w:rsid w:val="006D37BB"/>
    <w:rsid w:val="006D392D"/>
    <w:rsid w:val="006D4D1C"/>
    <w:rsid w:val="006D4F53"/>
    <w:rsid w:val="006D504D"/>
    <w:rsid w:val="006E237D"/>
    <w:rsid w:val="006E320B"/>
    <w:rsid w:val="006E3CFE"/>
    <w:rsid w:val="006F075C"/>
    <w:rsid w:val="006F0C1B"/>
    <w:rsid w:val="006F18ED"/>
    <w:rsid w:val="006F20F4"/>
    <w:rsid w:val="006F3724"/>
    <w:rsid w:val="006F58A0"/>
    <w:rsid w:val="007012F3"/>
    <w:rsid w:val="0070202F"/>
    <w:rsid w:val="00703923"/>
    <w:rsid w:val="00704341"/>
    <w:rsid w:val="00704AE7"/>
    <w:rsid w:val="00707B06"/>
    <w:rsid w:val="00707E49"/>
    <w:rsid w:val="00710C91"/>
    <w:rsid w:val="00712F04"/>
    <w:rsid w:val="00714A41"/>
    <w:rsid w:val="00714C6B"/>
    <w:rsid w:val="00714D8B"/>
    <w:rsid w:val="00715868"/>
    <w:rsid w:val="00715CA3"/>
    <w:rsid w:val="00715E66"/>
    <w:rsid w:val="00716016"/>
    <w:rsid w:val="0071633D"/>
    <w:rsid w:val="00722373"/>
    <w:rsid w:val="00725B7D"/>
    <w:rsid w:val="00727EE9"/>
    <w:rsid w:val="007319F1"/>
    <w:rsid w:val="0073372C"/>
    <w:rsid w:val="00736596"/>
    <w:rsid w:val="00740F82"/>
    <w:rsid w:val="007423DF"/>
    <w:rsid w:val="00743831"/>
    <w:rsid w:val="007444E0"/>
    <w:rsid w:val="0074523D"/>
    <w:rsid w:val="00754740"/>
    <w:rsid w:val="0076102A"/>
    <w:rsid w:val="00766A92"/>
    <w:rsid w:val="007703AE"/>
    <w:rsid w:val="007709BC"/>
    <w:rsid w:val="00771690"/>
    <w:rsid w:val="00773920"/>
    <w:rsid w:val="00773A81"/>
    <w:rsid w:val="00774BB4"/>
    <w:rsid w:val="00775873"/>
    <w:rsid w:val="00777137"/>
    <w:rsid w:val="00780A8C"/>
    <w:rsid w:val="0078136B"/>
    <w:rsid w:val="00787299"/>
    <w:rsid w:val="00787460"/>
    <w:rsid w:val="007921D4"/>
    <w:rsid w:val="0079560C"/>
    <w:rsid w:val="007B10B9"/>
    <w:rsid w:val="007B1C16"/>
    <w:rsid w:val="007B5674"/>
    <w:rsid w:val="007B7A4A"/>
    <w:rsid w:val="007C0E00"/>
    <w:rsid w:val="007C481B"/>
    <w:rsid w:val="007C62C7"/>
    <w:rsid w:val="007C664C"/>
    <w:rsid w:val="007C6A8C"/>
    <w:rsid w:val="007C6FAB"/>
    <w:rsid w:val="007D0452"/>
    <w:rsid w:val="007D0504"/>
    <w:rsid w:val="007D14CA"/>
    <w:rsid w:val="007D578C"/>
    <w:rsid w:val="007D6A45"/>
    <w:rsid w:val="007D754C"/>
    <w:rsid w:val="007E0329"/>
    <w:rsid w:val="007E406B"/>
    <w:rsid w:val="007E6FA3"/>
    <w:rsid w:val="007F03E4"/>
    <w:rsid w:val="007F1E03"/>
    <w:rsid w:val="007F28BF"/>
    <w:rsid w:val="007F5629"/>
    <w:rsid w:val="00801203"/>
    <w:rsid w:val="00801AF4"/>
    <w:rsid w:val="00802050"/>
    <w:rsid w:val="00803A23"/>
    <w:rsid w:val="00803D7B"/>
    <w:rsid w:val="0080646B"/>
    <w:rsid w:val="00806631"/>
    <w:rsid w:val="008109FF"/>
    <w:rsid w:val="008130A3"/>
    <w:rsid w:val="0081493C"/>
    <w:rsid w:val="00817373"/>
    <w:rsid w:val="00817DC6"/>
    <w:rsid w:val="0082053C"/>
    <w:rsid w:val="00820A92"/>
    <w:rsid w:val="008244DC"/>
    <w:rsid w:val="00833C93"/>
    <w:rsid w:val="00833D64"/>
    <w:rsid w:val="008342DF"/>
    <w:rsid w:val="008365FC"/>
    <w:rsid w:val="00837FEC"/>
    <w:rsid w:val="00840861"/>
    <w:rsid w:val="008427AA"/>
    <w:rsid w:val="008442A1"/>
    <w:rsid w:val="00845DAC"/>
    <w:rsid w:val="008465C3"/>
    <w:rsid w:val="008472D0"/>
    <w:rsid w:val="00851E92"/>
    <w:rsid w:val="0085307D"/>
    <w:rsid w:val="00853A07"/>
    <w:rsid w:val="00854298"/>
    <w:rsid w:val="008546CF"/>
    <w:rsid w:val="008557BA"/>
    <w:rsid w:val="00857584"/>
    <w:rsid w:val="00857AD6"/>
    <w:rsid w:val="00860987"/>
    <w:rsid w:val="00865722"/>
    <w:rsid w:val="00865B81"/>
    <w:rsid w:val="00867766"/>
    <w:rsid w:val="00867C67"/>
    <w:rsid w:val="00871A20"/>
    <w:rsid w:val="0087327F"/>
    <w:rsid w:val="008735BE"/>
    <w:rsid w:val="00874CB3"/>
    <w:rsid w:val="00877748"/>
    <w:rsid w:val="00882CF8"/>
    <w:rsid w:val="0088406A"/>
    <w:rsid w:val="0088514C"/>
    <w:rsid w:val="00885F81"/>
    <w:rsid w:val="00886FCD"/>
    <w:rsid w:val="008922DB"/>
    <w:rsid w:val="00896AB7"/>
    <w:rsid w:val="00897EEE"/>
    <w:rsid w:val="008A0716"/>
    <w:rsid w:val="008A15F1"/>
    <w:rsid w:val="008A26F8"/>
    <w:rsid w:val="008A3AA8"/>
    <w:rsid w:val="008A44E0"/>
    <w:rsid w:val="008A66D9"/>
    <w:rsid w:val="008A7144"/>
    <w:rsid w:val="008A7BDA"/>
    <w:rsid w:val="008A7D80"/>
    <w:rsid w:val="008B0A75"/>
    <w:rsid w:val="008B0C5C"/>
    <w:rsid w:val="008B1A8A"/>
    <w:rsid w:val="008B5487"/>
    <w:rsid w:val="008B6753"/>
    <w:rsid w:val="008B6809"/>
    <w:rsid w:val="008C0A9D"/>
    <w:rsid w:val="008C22AC"/>
    <w:rsid w:val="008C24B6"/>
    <w:rsid w:val="008C2BD5"/>
    <w:rsid w:val="008C6285"/>
    <w:rsid w:val="008D197F"/>
    <w:rsid w:val="008D20EB"/>
    <w:rsid w:val="008D4853"/>
    <w:rsid w:val="008D532D"/>
    <w:rsid w:val="008D66A1"/>
    <w:rsid w:val="008D789B"/>
    <w:rsid w:val="008E1112"/>
    <w:rsid w:val="008E3597"/>
    <w:rsid w:val="008E47D5"/>
    <w:rsid w:val="008E4EEB"/>
    <w:rsid w:val="008F3F99"/>
    <w:rsid w:val="008F6EFA"/>
    <w:rsid w:val="00901215"/>
    <w:rsid w:val="009021A0"/>
    <w:rsid w:val="009024E9"/>
    <w:rsid w:val="00902992"/>
    <w:rsid w:val="00904065"/>
    <w:rsid w:val="00912160"/>
    <w:rsid w:val="009129AF"/>
    <w:rsid w:val="0091678F"/>
    <w:rsid w:val="009174CD"/>
    <w:rsid w:val="00921461"/>
    <w:rsid w:val="00924B6E"/>
    <w:rsid w:val="00927240"/>
    <w:rsid w:val="00931BC5"/>
    <w:rsid w:val="00931D46"/>
    <w:rsid w:val="0093212E"/>
    <w:rsid w:val="00932CAB"/>
    <w:rsid w:val="00934EB1"/>
    <w:rsid w:val="009350C6"/>
    <w:rsid w:val="00936DFF"/>
    <w:rsid w:val="00940E47"/>
    <w:rsid w:val="0094264F"/>
    <w:rsid w:val="00944061"/>
    <w:rsid w:val="009440F1"/>
    <w:rsid w:val="00944607"/>
    <w:rsid w:val="00945FE6"/>
    <w:rsid w:val="0095160E"/>
    <w:rsid w:val="00953450"/>
    <w:rsid w:val="00953D1C"/>
    <w:rsid w:val="00954DD2"/>
    <w:rsid w:val="00962DFF"/>
    <w:rsid w:val="00963607"/>
    <w:rsid w:val="009648BC"/>
    <w:rsid w:val="0097170D"/>
    <w:rsid w:val="00971A05"/>
    <w:rsid w:val="00972210"/>
    <w:rsid w:val="009722FF"/>
    <w:rsid w:val="009739AC"/>
    <w:rsid w:val="00974720"/>
    <w:rsid w:val="00974C86"/>
    <w:rsid w:val="00982849"/>
    <w:rsid w:val="00982BB0"/>
    <w:rsid w:val="00986AD4"/>
    <w:rsid w:val="00987548"/>
    <w:rsid w:val="00990799"/>
    <w:rsid w:val="00993B10"/>
    <w:rsid w:val="00994705"/>
    <w:rsid w:val="0099564C"/>
    <w:rsid w:val="009A1714"/>
    <w:rsid w:val="009A3C19"/>
    <w:rsid w:val="009A4A81"/>
    <w:rsid w:val="009A5035"/>
    <w:rsid w:val="009A5627"/>
    <w:rsid w:val="009A5DCC"/>
    <w:rsid w:val="009A7636"/>
    <w:rsid w:val="009B20A5"/>
    <w:rsid w:val="009B3C36"/>
    <w:rsid w:val="009B73B1"/>
    <w:rsid w:val="009B7B40"/>
    <w:rsid w:val="009C0FFD"/>
    <w:rsid w:val="009C139D"/>
    <w:rsid w:val="009C23F2"/>
    <w:rsid w:val="009C2B2F"/>
    <w:rsid w:val="009C3B4E"/>
    <w:rsid w:val="009C44A4"/>
    <w:rsid w:val="009C4832"/>
    <w:rsid w:val="009C5C0B"/>
    <w:rsid w:val="009C685E"/>
    <w:rsid w:val="009C6984"/>
    <w:rsid w:val="009D3318"/>
    <w:rsid w:val="009D5E6E"/>
    <w:rsid w:val="009E090F"/>
    <w:rsid w:val="009E30BE"/>
    <w:rsid w:val="009E7E74"/>
    <w:rsid w:val="009F04F8"/>
    <w:rsid w:val="009F553A"/>
    <w:rsid w:val="009F6C82"/>
    <w:rsid w:val="00A039A1"/>
    <w:rsid w:val="00A03FDC"/>
    <w:rsid w:val="00A0593F"/>
    <w:rsid w:val="00A103F4"/>
    <w:rsid w:val="00A1089D"/>
    <w:rsid w:val="00A12D66"/>
    <w:rsid w:val="00A13C7F"/>
    <w:rsid w:val="00A20C09"/>
    <w:rsid w:val="00A22D7F"/>
    <w:rsid w:val="00A243CD"/>
    <w:rsid w:val="00A30A43"/>
    <w:rsid w:val="00A3338E"/>
    <w:rsid w:val="00A34406"/>
    <w:rsid w:val="00A36575"/>
    <w:rsid w:val="00A4218F"/>
    <w:rsid w:val="00A4363F"/>
    <w:rsid w:val="00A477BF"/>
    <w:rsid w:val="00A47F4D"/>
    <w:rsid w:val="00A5075C"/>
    <w:rsid w:val="00A5222F"/>
    <w:rsid w:val="00A535BF"/>
    <w:rsid w:val="00A53901"/>
    <w:rsid w:val="00A570D5"/>
    <w:rsid w:val="00A5714B"/>
    <w:rsid w:val="00A60B0D"/>
    <w:rsid w:val="00A66483"/>
    <w:rsid w:val="00A718C2"/>
    <w:rsid w:val="00A71903"/>
    <w:rsid w:val="00A73E6F"/>
    <w:rsid w:val="00A7739A"/>
    <w:rsid w:val="00A77699"/>
    <w:rsid w:val="00A809AB"/>
    <w:rsid w:val="00A87F98"/>
    <w:rsid w:val="00A945FE"/>
    <w:rsid w:val="00A95387"/>
    <w:rsid w:val="00A96896"/>
    <w:rsid w:val="00A96DAD"/>
    <w:rsid w:val="00A97FCE"/>
    <w:rsid w:val="00AA07D7"/>
    <w:rsid w:val="00AA5569"/>
    <w:rsid w:val="00AA7C24"/>
    <w:rsid w:val="00AB1795"/>
    <w:rsid w:val="00AB1EBB"/>
    <w:rsid w:val="00AB20FA"/>
    <w:rsid w:val="00AB2217"/>
    <w:rsid w:val="00AB3F84"/>
    <w:rsid w:val="00AB3FB5"/>
    <w:rsid w:val="00AB72A8"/>
    <w:rsid w:val="00AB7F1B"/>
    <w:rsid w:val="00AC04F1"/>
    <w:rsid w:val="00AC474C"/>
    <w:rsid w:val="00AD31D6"/>
    <w:rsid w:val="00AD7F54"/>
    <w:rsid w:val="00AE2B86"/>
    <w:rsid w:val="00AE3B1E"/>
    <w:rsid w:val="00AE3C80"/>
    <w:rsid w:val="00AE3ECD"/>
    <w:rsid w:val="00AE40AE"/>
    <w:rsid w:val="00AF35A4"/>
    <w:rsid w:val="00AF3F07"/>
    <w:rsid w:val="00AF538D"/>
    <w:rsid w:val="00AF5725"/>
    <w:rsid w:val="00B02671"/>
    <w:rsid w:val="00B03ADC"/>
    <w:rsid w:val="00B04056"/>
    <w:rsid w:val="00B0766F"/>
    <w:rsid w:val="00B11196"/>
    <w:rsid w:val="00B11E23"/>
    <w:rsid w:val="00B15B08"/>
    <w:rsid w:val="00B179A7"/>
    <w:rsid w:val="00B17E87"/>
    <w:rsid w:val="00B20FB8"/>
    <w:rsid w:val="00B246FB"/>
    <w:rsid w:val="00B272B7"/>
    <w:rsid w:val="00B32754"/>
    <w:rsid w:val="00B33D9C"/>
    <w:rsid w:val="00B3535A"/>
    <w:rsid w:val="00B3685C"/>
    <w:rsid w:val="00B40086"/>
    <w:rsid w:val="00B41118"/>
    <w:rsid w:val="00B4162D"/>
    <w:rsid w:val="00B41A2A"/>
    <w:rsid w:val="00B4260E"/>
    <w:rsid w:val="00B42DAE"/>
    <w:rsid w:val="00B4311A"/>
    <w:rsid w:val="00B4326D"/>
    <w:rsid w:val="00B439FD"/>
    <w:rsid w:val="00B44CEA"/>
    <w:rsid w:val="00B46FAF"/>
    <w:rsid w:val="00B52B93"/>
    <w:rsid w:val="00B54A7E"/>
    <w:rsid w:val="00B563A3"/>
    <w:rsid w:val="00B5792D"/>
    <w:rsid w:val="00B60202"/>
    <w:rsid w:val="00B61758"/>
    <w:rsid w:val="00B627D5"/>
    <w:rsid w:val="00B70D2E"/>
    <w:rsid w:val="00B717A6"/>
    <w:rsid w:val="00B73939"/>
    <w:rsid w:val="00B75882"/>
    <w:rsid w:val="00B7761F"/>
    <w:rsid w:val="00B810A2"/>
    <w:rsid w:val="00B828CC"/>
    <w:rsid w:val="00B91FF6"/>
    <w:rsid w:val="00B97B72"/>
    <w:rsid w:val="00BA1CF3"/>
    <w:rsid w:val="00BA46B5"/>
    <w:rsid w:val="00BA58DA"/>
    <w:rsid w:val="00BA5B54"/>
    <w:rsid w:val="00BA76E9"/>
    <w:rsid w:val="00BA7851"/>
    <w:rsid w:val="00BB0621"/>
    <w:rsid w:val="00BB2F1D"/>
    <w:rsid w:val="00BB5C73"/>
    <w:rsid w:val="00BB776C"/>
    <w:rsid w:val="00BB7BF3"/>
    <w:rsid w:val="00BB7DB4"/>
    <w:rsid w:val="00BC1F46"/>
    <w:rsid w:val="00BD021C"/>
    <w:rsid w:val="00BE04C9"/>
    <w:rsid w:val="00BE2DBC"/>
    <w:rsid w:val="00BE58AD"/>
    <w:rsid w:val="00BE7469"/>
    <w:rsid w:val="00BF0EB2"/>
    <w:rsid w:val="00BF12AD"/>
    <w:rsid w:val="00BF2E43"/>
    <w:rsid w:val="00BF3498"/>
    <w:rsid w:val="00BF506A"/>
    <w:rsid w:val="00BF62EA"/>
    <w:rsid w:val="00BF6CA9"/>
    <w:rsid w:val="00BF6FC4"/>
    <w:rsid w:val="00BF7D7D"/>
    <w:rsid w:val="00C02808"/>
    <w:rsid w:val="00C03446"/>
    <w:rsid w:val="00C07CC6"/>
    <w:rsid w:val="00C12ED5"/>
    <w:rsid w:val="00C161D0"/>
    <w:rsid w:val="00C20235"/>
    <w:rsid w:val="00C22146"/>
    <w:rsid w:val="00C22DB8"/>
    <w:rsid w:val="00C2720C"/>
    <w:rsid w:val="00C27AD0"/>
    <w:rsid w:val="00C326B4"/>
    <w:rsid w:val="00C3318A"/>
    <w:rsid w:val="00C4026D"/>
    <w:rsid w:val="00C403BC"/>
    <w:rsid w:val="00C412EF"/>
    <w:rsid w:val="00C41EF1"/>
    <w:rsid w:val="00C45709"/>
    <w:rsid w:val="00C47435"/>
    <w:rsid w:val="00C5567A"/>
    <w:rsid w:val="00C578A9"/>
    <w:rsid w:val="00C6200A"/>
    <w:rsid w:val="00C621D3"/>
    <w:rsid w:val="00C62D26"/>
    <w:rsid w:val="00C651CB"/>
    <w:rsid w:val="00C706D5"/>
    <w:rsid w:val="00C721D2"/>
    <w:rsid w:val="00C77E85"/>
    <w:rsid w:val="00C8138E"/>
    <w:rsid w:val="00C85A6F"/>
    <w:rsid w:val="00C91C5C"/>
    <w:rsid w:val="00C95763"/>
    <w:rsid w:val="00C957DC"/>
    <w:rsid w:val="00C976FC"/>
    <w:rsid w:val="00CA34F5"/>
    <w:rsid w:val="00CA4252"/>
    <w:rsid w:val="00CA6291"/>
    <w:rsid w:val="00CA7BB9"/>
    <w:rsid w:val="00CB0862"/>
    <w:rsid w:val="00CB25F5"/>
    <w:rsid w:val="00CB30AE"/>
    <w:rsid w:val="00CB6615"/>
    <w:rsid w:val="00CC1A89"/>
    <w:rsid w:val="00CC3607"/>
    <w:rsid w:val="00CC36E5"/>
    <w:rsid w:val="00CC38E0"/>
    <w:rsid w:val="00CC3A3B"/>
    <w:rsid w:val="00CC5AE7"/>
    <w:rsid w:val="00CC62E3"/>
    <w:rsid w:val="00CD0B08"/>
    <w:rsid w:val="00CD0B96"/>
    <w:rsid w:val="00CD2F61"/>
    <w:rsid w:val="00CD406E"/>
    <w:rsid w:val="00CD558A"/>
    <w:rsid w:val="00CD747D"/>
    <w:rsid w:val="00CE014F"/>
    <w:rsid w:val="00CE23E4"/>
    <w:rsid w:val="00CF17A8"/>
    <w:rsid w:val="00CF3ED2"/>
    <w:rsid w:val="00CF3FB1"/>
    <w:rsid w:val="00CF539B"/>
    <w:rsid w:val="00D0051E"/>
    <w:rsid w:val="00D00F18"/>
    <w:rsid w:val="00D03381"/>
    <w:rsid w:val="00D03DA0"/>
    <w:rsid w:val="00D041D3"/>
    <w:rsid w:val="00D04E1D"/>
    <w:rsid w:val="00D11566"/>
    <w:rsid w:val="00D122B5"/>
    <w:rsid w:val="00D14624"/>
    <w:rsid w:val="00D17F28"/>
    <w:rsid w:val="00D24191"/>
    <w:rsid w:val="00D2624C"/>
    <w:rsid w:val="00D27961"/>
    <w:rsid w:val="00D32924"/>
    <w:rsid w:val="00D345A9"/>
    <w:rsid w:val="00D345BA"/>
    <w:rsid w:val="00D347A3"/>
    <w:rsid w:val="00D355CD"/>
    <w:rsid w:val="00D374D0"/>
    <w:rsid w:val="00D45FB2"/>
    <w:rsid w:val="00D51AF6"/>
    <w:rsid w:val="00D51C86"/>
    <w:rsid w:val="00D537E9"/>
    <w:rsid w:val="00D556F9"/>
    <w:rsid w:val="00D57FB2"/>
    <w:rsid w:val="00D57FF9"/>
    <w:rsid w:val="00D653F9"/>
    <w:rsid w:val="00D659AA"/>
    <w:rsid w:val="00D67B97"/>
    <w:rsid w:val="00D70A57"/>
    <w:rsid w:val="00D813BA"/>
    <w:rsid w:val="00D81626"/>
    <w:rsid w:val="00D81699"/>
    <w:rsid w:val="00D8319F"/>
    <w:rsid w:val="00D850B4"/>
    <w:rsid w:val="00D858F0"/>
    <w:rsid w:val="00D85A4A"/>
    <w:rsid w:val="00D91B49"/>
    <w:rsid w:val="00D9247F"/>
    <w:rsid w:val="00D9542D"/>
    <w:rsid w:val="00D971C5"/>
    <w:rsid w:val="00DA120F"/>
    <w:rsid w:val="00DA2B13"/>
    <w:rsid w:val="00DA4A61"/>
    <w:rsid w:val="00DA78FA"/>
    <w:rsid w:val="00DB011F"/>
    <w:rsid w:val="00DB418E"/>
    <w:rsid w:val="00DB6571"/>
    <w:rsid w:val="00DB7E86"/>
    <w:rsid w:val="00DC0714"/>
    <w:rsid w:val="00DC07B6"/>
    <w:rsid w:val="00DC5325"/>
    <w:rsid w:val="00DC5A9B"/>
    <w:rsid w:val="00DC66E1"/>
    <w:rsid w:val="00DC7C41"/>
    <w:rsid w:val="00DC7FDD"/>
    <w:rsid w:val="00DD1C11"/>
    <w:rsid w:val="00DD33D5"/>
    <w:rsid w:val="00DD383F"/>
    <w:rsid w:val="00DD5538"/>
    <w:rsid w:val="00DD56DB"/>
    <w:rsid w:val="00DD7D66"/>
    <w:rsid w:val="00DE083C"/>
    <w:rsid w:val="00DE15F1"/>
    <w:rsid w:val="00DE28B9"/>
    <w:rsid w:val="00DE3F51"/>
    <w:rsid w:val="00DE4639"/>
    <w:rsid w:val="00DE5BF3"/>
    <w:rsid w:val="00DF0609"/>
    <w:rsid w:val="00DF42EC"/>
    <w:rsid w:val="00DF70F9"/>
    <w:rsid w:val="00E01337"/>
    <w:rsid w:val="00E01419"/>
    <w:rsid w:val="00E015E9"/>
    <w:rsid w:val="00E03507"/>
    <w:rsid w:val="00E05982"/>
    <w:rsid w:val="00E07D4D"/>
    <w:rsid w:val="00E10745"/>
    <w:rsid w:val="00E10E3B"/>
    <w:rsid w:val="00E14078"/>
    <w:rsid w:val="00E14434"/>
    <w:rsid w:val="00E2002D"/>
    <w:rsid w:val="00E23AB0"/>
    <w:rsid w:val="00E23B1D"/>
    <w:rsid w:val="00E23D20"/>
    <w:rsid w:val="00E26324"/>
    <w:rsid w:val="00E26D7A"/>
    <w:rsid w:val="00E2718B"/>
    <w:rsid w:val="00E30F22"/>
    <w:rsid w:val="00E31B2B"/>
    <w:rsid w:val="00E34859"/>
    <w:rsid w:val="00E3789F"/>
    <w:rsid w:val="00E42324"/>
    <w:rsid w:val="00E42470"/>
    <w:rsid w:val="00E42C11"/>
    <w:rsid w:val="00E43A5D"/>
    <w:rsid w:val="00E46269"/>
    <w:rsid w:val="00E470AA"/>
    <w:rsid w:val="00E4715B"/>
    <w:rsid w:val="00E55285"/>
    <w:rsid w:val="00E56294"/>
    <w:rsid w:val="00E5666E"/>
    <w:rsid w:val="00E56A02"/>
    <w:rsid w:val="00E620F4"/>
    <w:rsid w:val="00E62466"/>
    <w:rsid w:val="00E70605"/>
    <w:rsid w:val="00E734E5"/>
    <w:rsid w:val="00E73671"/>
    <w:rsid w:val="00E77946"/>
    <w:rsid w:val="00E824DD"/>
    <w:rsid w:val="00E83679"/>
    <w:rsid w:val="00E84291"/>
    <w:rsid w:val="00E85F32"/>
    <w:rsid w:val="00E86DAC"/>
    <w:rsid w:val="00E94491"/>
    <w:rsid w:val="00E94744"/>
    <w:rsid w:val="00E95309"/>
    <w:rsid w:val="00E95873"/>
    <w:rsid w:val="00E95D19"/>
    <w:rsid w:val="00EA2C09"/>
    <w:rsid w:val="00EA3396"/>
    <w:rsid w:val="00EA360D"/>
    <w:rsid w:val="00EA41EB"/>
    <w:rsid w:val="00EA4542"/>
    <w:rsid w:val="00EA4CEB"/>
    <w:rsid w:val="00EA7C1F"/>
    <w:rsid w:val="00EB24C5"/>
    <w:rsid w:val="00EB31F9"/>
    <w:rsid w:val="00EB3CAF"/>
    <w:rsid w:val="00EC1F68"/>
    <w:rsid w:val="00EC63A9"/>
    <w:rsid w:val="00ED1762"/>
    <w:rsid w:val="00ED1AA3"/>
    <w:rsid w:val="00ED3A52"/>
    <w:rsid w:val="00ED5A00"/>
    <w:rsid w:val="00ED7469"/>
    <w:rsid w:val="00EE0BB5"/>
    <w:rsid w:val="00EE1A56"/>
    <w:rsid w:val="00EE26C3"/>
    <w:rsid w:val="00EE31B0"/>
    <w:rsid w:val="00EE6AEE"/>
    <w:rsid w:val="00EF4A78"/>
    <w:rsid w:val="00EF5329"/>
    <w:rsid w:val="00EF6D3E"/>
    <w:rsid w:val="00EF7660"/>
    <w:rsid w:val="00F00066"/>
    <w:rsid w:val="00F01238"/>
    <w:rsid w:val="00F013D1"/>
    <w:rsid w:val="00F01E03"/>
    <w:rsid w:val="00F01F96"/>
    <w:rsid w:val="00F03BC0"/>
    <w:rsid w:val="00F1151E"/>
    <w:rsid w:val="00F116FB"/>
    <w:rsid w:val="00F12AFF"/>
    <w:rsid w:val="00F14231"/>
    <w:rsid w:val="00F155A0"/>
    <w:rsid w:val="00F1624F"/>
    <w:rsid w:val="00F16390"/>
    <w:rsid w:val="00F22FE3"/>
    <w:rsid w:val="00F244E5"/>
    <w:rsid w:val="00F258C6"/>
    <w:rsid w:val="00F27F52"/>
    <w:rsid w:val="00F317D6"/>
    <w:rsid w:val="00F338DB"/>
    <w:rsid w:val="00F3624F"/>
    <w:rsid w:val="00F37A7A"/>
    <w:rsid w:val="00F41097"/>
    <w:rsid w:val="00F43C31"/>
    <w:rsid w:val="00F443D7"/>
    <w:rsid w:val="00F4525E"/>
    <w:rsid w:val="00F52054"/>
    <w:rsid w:val="00F61387"/>
    <w:rsid w:val="00F668E5"/>
    <w:rsid w:val="00F67A1A"/>
    <w:rsid w:val="00F70D93"/>
    <w:rsid w:val="00F71795"/>
    <w:rsid w:val="00F73490"/>
    <w:rsid w:val="00F7699C"/>
    <w:rsid w:val="00F82A4F"/>
    <w:rsid w:val="00F82F31"/>
    <w:rsid w:val="00F832EA"/>
    <w:rsid w:val="00F863DC"/>
    <w:rsid w:val="00F90861"/>
    <w:rsid w:val="00F93BF9"/>
    <w:rsid w:val="00F96150"/>
    <w:rsid w:val="00F96972"/>
    <w:rsid w:val="00FA01B7"/>
    <w:rsid w:val="00FA0583"/>
    <w:rsid w:val="00FA12F2"/>
    <w:rsid w:val="00FA1C1B"/>
    <w:rsid w:val="00FA5CF4"/>
    <w:rsid w:val="00FB0AB3"/>
    <w:rsid w:val="00FB19BB"/>
    <w:rsid w:val="00FB2CA6"/>
    <w:rsid w:val="00FB7FE3"/>
    <w:rsid w:val="00FC1F34"/>
    <w:rsid w:val="00FC278B"/>
    <w:rsid w:val="00FD051D"/>
    <w:rsid w:val="00FD0ED5"/>
    <w:rsid w:val="00FD418B"/>
    <w:rsid w:val="00FD4F3D"/>
    <w:rsid w:val="00FD706D"/>
    <w:rsid w:val="00FE05C5"/>
    <w:rsid w:val="00FE0A72"/>
    <w:rsid w:val="00FE22CE"/>
    <w:rsid w:val="00FE40C8"/>
    <w:rsid w:val="00FE447F"/>
    <w:rsid w:val="00FE4958"/>
    <w:rsid w:val="00FE4CC5"/>
    <w:rsid w:val="00FE5C63"/>
    <w:rsid w:val="00FE603B"/>
    <w:rsid w:val="00FF0B4A"/>
    <w:rsid w:val="00FF1521"/>
    <w:rsid w:val="00FF2430"/>
    <w:rsid w:val="00FF3FEF"/>
    <w:rsid w:val="00FF4C97"/>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718CB"/>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DA120F"/>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 w:type="table" w:styleId="TableGrid">
    <w:name w:val="Table Grid"/>
    <w:basedOn w:val="TableNormal"/>
    <w:uiPriority w:val="59"/>
    <w:rsid w:val="00414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2629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4EBB4-CB17-47A2-A103-75F21A909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7171</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47951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Leung Ka Yee</cp:lastModifiedBy>
  <cp:revision>2</cp:revision>
  <cp:lastPrinted>2019-12-23T03:49:00Z</cp:lastPrinted>
  <dcterms:created xsi:type="dcterms:W3CDTF">2019-12-23T06:55:00Z</dcterms:created>
  <dcterms:modified xsi:type="dcterms:W3CDTF">2019-12-23T06:55:00Z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