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BC4264" w:rsidRDefault="00690FCB" w:rsidP="0000516C">
      <w:pPr>
        <w:pStyle w:val="normal1"/>
        <w:jc w:val="right"/>
        <w:rPr>
          <w:caps/>
        </w:rPr>
      </w:pPr>
      <w:r w:rsidRPr="00BC4264">
        <w:rPr>
          <w:rFonts w:eastAsia="宋体"/>
          <w:caps/>
        </w:rPr>
        <w:t>CA</w:t>
      </w:r>
      <w:r w:rsidR="0000516C" w:rsidRPr="00BC4264">
        <w:rPr>
          <w:rFonts w:eastAsia="宋体"/>
          <w:caps/>
        </w:rPr>
        <w:t>C</w:t>
      </w:r>
      <w:r w:rsidR="00D01D69" w:rsidRPr="00BC4264">
        <w:rPr>
          <w:rFonts w:eastAsia="宋体"/>
          <w:caps/>
        </w:rPr>
        <w:t xml:space="preserve">C </w:t>
      </w:r>
      <w:r w:rsidR="00FE7A52" w:rsidRPr="00BC4264">
        <w:rPr>
          <w:rFonts w:eastAsia="宋体"/>
          <w:caps/>
        </w:rPr>
        <w:t>93</w:t>
      </w:r>
      <w:r w:rsidR="0000516C" w:rsidRPr="00BC4264">
        <w:rPr>
          <w:caps/>
        </w:rPr>
        <w:t>/</w:t>
      </w:r>
      <w:r w:rsidR="00FE7A52" w:rsidRPr="00BC4264">
        <w:rPr>
          <w:caps/>
        </w:rPr>
        <w:t>2019</w:t>
      </w:r>
    </w:p>
    <w:p w:rsidR="0000516C" w:rsidRPr="00BC4264" w:rsidRDefault="00B205B2" w:rsidP="0000516C">
      <w:pPr>
        <w:pStyle w:val="normal1"/>
        <w:tabs>
          <w:tab w:val="clear" w:pos="1411"/>
        </w:tabs>
        <w:jc w:val="right"/>
      </w:pPr>
      <w:r w:rsidRPr="00BC4264">
        <w:t>[2020</w:t>
      </w:r>
      <w:r w:rsidR="0000516C" w:rsidRPr="00BC4264">
        <w:t xml:space="preserve">] HKCA </w:t>
      </w:r>
      <w:r w:rsidR="00893DAE">
        <w:t>974</w:t>
      </w:r>
      <w:bookmarkStart w:id="0" w:name="_GoBack"/>
      <w:bookmarkEnd w:id="0"/>
    </w:p>
    <w:p w:rsidR="0000516C" w:rsidRPr="00BC4264" w:rsidRDefault="0000516C" w:rsidP="0000516C">
      <w:pPr>
        <w:pStyle w:val="normal1"/>
        <w:tabs>
          <w:tab w:val="clear" w:pos="1411"/>
        </w:tabs>
      </w:pPr>
    </w:p>
    <w:p w:rsidR="0000516C" w:rsidRPr="00BC4264" w:rsidRDefault="0000516C" w:rsidP="0000516C">
      <w:pPr>
        <w:pStyle w:val="normal2"/>
        <w:snapToGrid/>
        <w:spacing w:line="360" w:lineRule="auto"/>
        <w:rPr>
          <w:b/>
          <w:bCs/>
        </w:rPr>
      </w:pPr>
      <w:r w:rsidRPr="00BC4264">
        <w:rPr>
          <w:b/>
          <w:bCs/>
        </w:rPr>
        <w:t>in the high court of the</w:t>
      </w:r>
    </w:p>
    <w:p w:rsidR="0000516C" w:rsidRPr="00BC4264" w:rsidRDefault="0000516C" w:rsidP="0000516C">
      <w:pPr>
        <w:pStyle w:val="normal2"/>
        <w:snapToGrid/>
        <w:spacing w:line="360" w:lineRule="auto"/>
        <w:rPr>
          <w:b/>
          <w:bCs/>
        </w:rPr>
      </w:pPr>
      <w:r w:rsidRPr="00BC4264">
        <w:rPr>
          <w:b/>
          <w:bCs/>
        </w:rPr>
        <w:t>hong kong special administrative region</w:t>
      </w:r>
    </w:p>
    <w:p w:rsidR="0000516C" w:rsidRPr="00BC4264" w:rsidRDefault="0000516C" w:rsidP="0000516C">
      <w:pPr>
        <w:pStyle w:val="normal2"/>
        <w:snapToGrid/>
        <w:spacing w:line="360" w:lineRule="auto"/>
        <w:rPr>
          <w:b/>
          <w:bCs/>
        </w:rPr>
      </w:pPr>
      <w:r w:rsidRPr="00BC4264">
        <w:rPr>
          <w:b/>
          <w:bCs/>
        </w:rPr>
        <w:t>court of appeal</w:t>
      </w:r>
    </w:p>
    <w:p w:rsidR="0000516C" w:rsidRPr="00BC4264" w:rsidRDefault="00505CA8" w:rsidP="0000516C">
      <w:pPr>
        <w:pStyle w:val="normal3"/>
        <w:tabs>
          <w:tab w:val="clear" w:pos="4500"/>
          <w:tab w:val="clear" w:pos="9000"/>
        </w:tabs>
        <w:spacing w:line="360" w:lineRule="auto"/>
        <w:rPr>
          <w:rFonts w:eastAsia="宋体"/>
          <w:b w:val="0"/>
          <w:bCs/>
          <w:lang w:eastAsia="zh-CN"/>
        </w:rPr>
      </w:pPr>
      <w:r w:rsidRPr="00BC4264">
        <w:rPr>
          <w:rFonts w:eastAsia="宋体"/>
          <w:b w:val="0"/>
          <w:bCs/>
          <w:lang w:eastAsia="zh-CN"/>
        </w:rPr>
        <w:t>crimi</w:t>
      </w:r>
      <w:r w:rsidR="0093212E" w:rsidRPr="00BC4264">
        <w:rPr>
          <w:rFonts w:eastAsia="宋体"/>
          <w:b w:val="0"/>
          <w:bCs/>
          <w:lang w:eastAsia="zh-CN"/>
        </w:rPr>
        <w:t>nal</w:t>
      </w:r>
      <w:r w:rsidR="0000516C" w:rsidRPr="00BC4264">
        <w:rPr>
          <w:rFonts w:eastAsia="宋体"/>
          <w:b w:val="0"/>
          <w:bCs/>
          <w:lang w:eastAsia="zh-CN"/>
        </w:rPr>
        <w:t xml:space="preserve"> </w:t>
      </w:r>
      <w:r w:rsidR="0000516C" w:rsidRPr="00BC4264">
        <w:rPr>
          <w:b w:val="0"/>
          <w:bCs/>
        </w:rPr>
        <w:t xml:space="preserve">appeal no </w:t>
      </w:r>
      <w:r w:rsidR="00FE7A52" w:rsidRPr="00BC4264">
        <w:rPr>
          <w:b w:val="0"/>
          <w:bCs/>
        </w:rPr>
        <w:t>93</w:t>
      </w:r>
      <w:r w:rsidR="0000516C" w:rsidRPr="00BC4264">
        <w:rPr>
          <w:b w:val="0"/>
          <w:bCs/>
        </w:rPr>
        <w:t xml:space="preserve"> of</w:t>
      </w:r>
      <w:r w:rsidR="0093212E" w:rsidRPr="00BC4264">
        <w:rPr>
          <w:b w:val="0"/>
          <w:bCs/>
        </w:rPr>
        <w:t xml:space="preserve"> </w:t>
      </w:r>
      <w:r w:rsidR="00FE7A52" w:rsidRPr="00BC4264">
        <w:rPr>
          <w:b w:val="0"/>
          <w:bCs/>
        </w:rPr>
        <w:t>2019</w:t>
      </w:r>
    </w:p>
    <w:p w:rsidR="0000516C" w:rsidRPr="00BC4264" w:rsidRDefault="0000516C" w:rsidP="0000516C">
      <w:pPr>
        <w:pStyle w:val="normal3"/>
        <w:tabs>
          <w:tab w:val="clear" w:pos="4500"/>
          <w:tab w:val="clear" w:pos="9000"/>
        </w:tabs>
        <w:spacing w:after="0"/>
        <w:rPr>
          <w:b w:val="0"/>
          <w:bCs/>
        </w:rPr>
      </w:pPr>
      <w:r w:rsidRPr="00BC4264">
        <w:rPr>
          <w:b w:val="0"/>
          <w:bCs/>
        </w:rPr>
        <w:t>(on appeal from</w:t>
      </w:r>
      <w:r w:rsidR="0047735B" w:rsidRPr="00BC4264">
        <w:rPr>
          <w:b w:val="0"/>
          <w:bCs/>
        </w:rPr>
        <w:t xml:space="preserve"> </w:t>
      </w:r>
      <w:r w:rsidR="00FE7A52" w:rsidRPr="00BC4264">
        <w:rPr>
          <w:b w:val="0"/>
          <w:bCs/>
        </w:rPr>
        <w:t>HCCC</w:t>
      </w:r>
      <w:r w:rsidR="0047735B" w:rsidRPr="00BC4264">
        <w:rPr>
          <w:b w:val="0"/>
          <w:bCs/>
        </w:rPr>
        <w:t xml:space="preserve"> </w:t>
      </w:r>
      <w:r w:rsidRPr="00BC4264">
        <w:rPr>
          <w:rFonts w:eastAsia="宋体"/>
          <w:b w:val="0"/>
          <w:bCs/>
          <w:lang w:eastAsia="zh-CN"/>
        </w:rPr>
        <w:t>NO</w:t>
      </w:r>
      <w:r w:rsidR="0047735B" w:rsidRPr="00BC4264">
        <w:rPr>
          <w:rFonts w:eastAsia="宋体"/>
          <w:b w:val="0"/>
          <w:bCs/>
          <w:lang w:eastAsia="zh-CN"/>
        </w:rPr>
        <w:t xml:space="preserve"> </w:t>
      </w:r>
      <w:r w:rsidR="00FE7A52" w:rsidRPr="00BC4264">
        <w:rPr>
          <w:rFonts w:eastAsia="宋体"/>
          <w:b w:val="0"/>
          <w:bCs/>
          <w:lang w:eastAsia="zh-CN"/>
        </w:rPr>
        <w:t>195</w:t>
      </w:r>
      <w:r w:rsidRPr="00BC4264">
        <w:rPr>
          <w:rFonts w:eastAsia="宋体"/>
          <w:b w:val="0"/>
          <w:bCs/>
          <w:lang w:eastAsia="zh-CN"/>
        </w:rPr>
        <w:t xml:space="preserve"> </w:t>
      </w:r>
      <w:r w:rsidRPr="00BC4264">
        <w:rPr>
          <w:b w:val="0"/>
          <w:bCs/>
        </w:rPr>
        <w:t xml:space="preserve">of </w:t>
      </w:r>
      <w:r w:rsidR="00FE7A52" w:rsidRPr="00BC4264">
        <w:rPr>
          <w:b w:val="0"/>
          <w:bCs/>
        </w:rPr>
        <w:t>2018</w:t>
      </w:r>
      <w:r w:rsidRPr="00BC4264">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BC4264" w:rsidTr="00DD3434">
        <w:trPr>
          <w:jc w:val="center"/>
        </w:trPr>
        <w:tc>
          <w:tcPr>
            <w:tcW w:w="3150" w:type="dxa"/>
          </w:tcPr>
          <w:p w:rsidR="0000516C" w:rsidRPr="00BC4264" w:rsidRDefault="0000516C" w:rsidP="00DD3434">
            <w:pPr>
              <w:pStyle w:val="sh"/>
              <w:tabs>
                <w:tab w:val="clear" w:pos="720"/>
              </w:tabs>
              <w:snapToGrid w:val="0"/>
              <w:jc w:val="center"/>
              <w:rPr>
                <w:lang w:val="en-GB"/>
              </w:rPr>
            </w:pPr>
          </w:p>
        </w:tc>
      </w:tr>
    </w:tbl>
    <w:p w:rsidR="0000516C" w:rsidRPr="00BC4264" w:rsidRDefault="0000516C" w:rsidP="0000516C">
      <w:pPr>
        <w:pStyle w:val="Heading6"/>
        <w:spacing w:before="240" w:after="240"/>
        <w:rPr>
          <w:b w:val="0"/>
          <w:sz w:val="28"/>
          <w:szCs w:val="28"/>
        </w:rPr>
      </w:pPr>
      <w:r w:rsidRPr="00BC4264">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BC4264" w:rsidTr="00DD3434">
        <w:trPr>
          <w:cantSplit/>
          <w:trHeight w:val="504"/>
        </w:trPr>
        <w:tc>
          <w:tcPr>
            <w:tcW w:w="5310" w:type="dxa"/>
            <w:gridSpan w:val="3"/>
          </w:tcPr>
          <w:p w:rsidR="00D01D69" w:rsidRPr="00BC4264" w:rsidRDefault="00FE7A52" w:rsidP="00690FCB">
            <w:pPr>
              <w:pStyle w:val="sh"/>
              <w:tabs>
                <w:tab w:val="clear" w:pos="720"/>
                <w:tab w:val="clear" w:pos="1440"/>
                <w:tab w:val="clear" w:pos="4320"/>
              </w:tabs>
              <w:jc w:val="center"/>
              <w:rPr>
                <w:lang w:val="en-GB"/>
              </w:rPr>
            </w:pPr>
            <w:r w:rsidRPr="00BC4264">
              <w:rPr>
                <w:lang w:val="en-GB"/>
              </w:rPr>
              <w:t>HKSAR</w:t>
            </w:r>
          </w:p>
        </w:tc>
        <w:tc>
          <w:tcPr>
            <w:tcW w:w="1998" w:type="dxa"/>
          </w:tcPr>
          <w:p w:rsidR="00D01D69" w:rsidRPr="00BC4264" w:rsidRDefault="00D01D69" w:rsidP="00DD3434">
            <w:pPr>
              <w:pStyle w:val="sh"/>
              <w:tabs>
                <w:tab w:val="clear" w:pos="720"/>
                <w:tab w:val="clear" w:pos="1440"/>
              </w:tabs>
              <w:rPr>
                <w:lang w:val="en-GB"/>
              </w:rPr>
            </w:pPr>
            <w:r w:rsidRPr="00BC4264">
              <w:rPr>
                <w:lang w:val="en-GB"/>
              </w:rPr>
              <w:t>Respondent</w:t>
            </w:r>
          </w:p>
        </w:tc>
      </w:tr>
      <w:tr w:rsidR="00D01D69" w:rsidRPr="00BC4264" w:rsidTr="00DD3434">
        <w:trPr>
          <w:cantSplit/>
          <w:trHeight w:val="504"/>
        </w:trPr>
        <w:tc>
          <w:tcPr>
            <w:tcW w:w="5310" w:type="dxa"/>
            <w:gridSpan w:val="3"/>
          </w:tcPr>
          <w:p w:rsidR="00D01D69" w:rsidRPr="00BC4264" w:rsidRDefault="00D01D69" w:rsidP="00DD3434">
            <w:pPr>
              <w:pStyle w:val="sh"/>
              <w:tabs>
                <w:tab w:val="clear" w:pos="720"/>
                <w:tab w:val="clear" w:pos="1440"/>
                <w:tab w:val="clear" w:pos="4320"/>
              </w:tabs>
              <w:jc w:val="center"/>
              <w:rPr>
                <w:lang w:val="en-GB"/>
              </w:rPr>
            </w:pPr>
            <w:r w:rsidRPr="00BC4264">
              <w:rPr>
                <w:lang w:val="en-GB"/>
              </w:rPr>
              <w:t>and</w:t>
            </w:r>
          </w:p>
        </w:tc>
        <w:tc>
          <w:tcPr>
            <w:tcW w:w="1998" w:type="dxa"/>
          </w:tcPr>
          <w:p w:rsidR="00D01D69" w:rsidRPr="00BC4264" w:rsidRDefault="00D01D69" w:rsidP="00DD3434">
            <w:pPr>
              <w:pStyle w:val="sh"/>
              <w:tabs>
                <w:tab w:val="clear" w:pos="720"/>
                <w:tab w:val="clear" w:pos="1440"/>
              </w:tabs>
              <w:rPr>
                <w:lang w:val="en-GB"/>
              </w:rPr>
            </w:pPr>
          </w:p>
        </w:tc>
      </w:tr>
      <w:tr w:rsidR="00D01D69" w:rsidRPr="00BC4264" w:rsidTr="00DD3434">
        <w:trPr>
          <w:cantSplit/>
          <w:trHeight w:val="504"/>
        </w:trPr>
        <w:tc>
          <w:tcPr>
            <w:tcW w:w="5310" w:type="dxa"/>
            <w:gridSpan w:val="3"/>
          </w:tcPr>
          <w:p w:rsidR="00D01D69" w:rsidRPr="00BC4264" w:rsidRDefault="00FE7A52" w:rsidP="00DD3434">
            <w:pPr>
              <w:pStyle w:val="sh"/>
              <w:tabs>
                <w:tab w:val="clear" w:pos="720"/>
                <w:tab w:val="clear" w:pos="1440"/>
                <w:tab w:val="clear" w:pos="4320"/>
              </w:tabs>
              <w:jc w:val="center"/>
              <w:rPr>
                <w:lang w:val="en-GB"/>
              </w:rPr>
            </w:pPr>
            <w:r w:rsidRPr="00BC4264">
              <w:rPr>
                <w:lang w:val="en-GB"/>
              </w:rPr>
              <w:t>Herry Jane Yusuph</w:t>
            </w:r>
          </w:p>
        </w:tc>
        <w:tc>
          <w:tcPr>
            <w:tcW w:w="1998" w:type="dxa"/>
          </w:tcPr>
          <w:p w:rsidR="00D01D69" w:rsidRPr="00BC4264" w:rsidRDefault="00FE7A52" w:rsidP="00DD3434">
            <w:pPr>
              <w:pStyle w:val="sh"/>
              <w:tabs>
                <w:tab w:val="clear" w:pos="720"/>
                <w:tab w:val="clear" w:pos="1440"/>
              </w:tabs>
              <w:rPr>
                <w:lang w:val="en-GB"/>
              </w:rPr>
            </w:pPr>
            <w:r w:rsidRPr="00BC4264">
              <w:rPr>
                <w:lang w:val="en-GB"/>
              </w:rPr>
              <w:t>Appellant</w:t>
            </w:r>
          </w:p>
        </w:tc>
      </w:tr>
      <w:tr w:rsidR="0047735B" w:rsidRPr="00BC4264" w:rsidTr="00DD3434">
        <w:tblPrEx>
          <w:tblBorders>
            <w:bottom w:val="single" w:sz="4" w:space="0" w:color="auto"/>
          </w:tblBorders>
        </w:tblPrEx>
        <w:trPr>
          <w:gridBefore w:val="1"/>
          <w:gridAfter w:val="2"/>
          <w:wBefore w:w="1080" w:type="dxa"/>
          <w:wAfter w:w="3078" w:type="dxa"/>
        </w:trPr>
        <w:tc>
          <w:tcPr>
            <w:tcW w:w="3150" w:type="dxa"/>
          </w:tcPr>
          <w:p w:rsidR="0047735B" w:rsidRPr="00BC4264" w:rsidRDefault="0047735B" w:rsidP="00DD3434">
            <w:pPr>
              <w:pStyle w:val="sh"/>
              <w:tabs>
                <w:tab w:val="clear" w:pos="720"/>
              </w:tabs>
              <w:snapToGrid w:val="0"/>
              <w:jc w:val="center"/>
              <w:rPr>
                <w:lang w:val="en-GB"/>
              </w:rPr>
            </w:pPr>
          </w:p>
        </w:tc>
      </w:tr>
    </w:tbl>
    <w:p w:rsidR="00D01D69" w:rsidRPr="00BC4264" w:rsidRDefault="00D01D69" w:rsidP="00D01D69">
      <w:pPr>
        <w:spacing w:before="360" w:after="120"/>
        <w:jc w:val="left"/>
        <w:rPr>
          <w:rFonts w:eastAsia="宋体"/>
          <w:b w:val="0"/>
          <w:bCs/>
          <w:sz w:val="28"/>
        </w:rPr>
      </w:pPr>
      <w:r w:rsidRPr="00BC4264">
        <w:rPr>
          <w:rFonts w:eastAsia="宋体"/>
          <w:b w:val="0"/>
          <w:bCs/>
          <w:sz w:val="28"/>
        </w:rPr>
        <w:t xml:space="preserve">Before: Hon </w:t>
      </w:r>
      <w:r w:rsidR="00FE7A52" w:rsidRPr="00BC4264">
        <w:rPr>
          <w:rFonts w:eastAsia="宋体"/>
          <w:b w:val="0"/>
          <w:bCs/>
          <w:sz w:val="28"/>
        </w:rPr>
        <w:t>Y</w:t>
      </w:r>
      <w:r w:rsidR="00784203" w:rsidRPr="00BC4264">
        <w:rPr>
          <w:rFonts w:eastAsia="宋体"/>
          <w:b w:val="0"/>
          <w:bCs/>
          <w:sz w:val="28"/>
        </w:rPr>
        <w:t>e</w:t>
      </w:r>
      <w:r w:rsidR="00FE7A52" w:rsidRPr="00BC4264">
        <w:rPr>
          <w:rFonts w:eastAsia="宋体"/>
          <w:b w:val="0"/>
          <w:bCs/>
          <w:sz w:val="28"/>
        </w:rPr>
        <w:t xml:space="preserve">ung VP, </w:t>
      </w:r>
      <w:r w:rsidRPr="00BC4264">
        <w:rPr>
          <w:rFonts w:eastAsia="宋体"/>
          <w:b w:val="0"/>
          <w:bCs/>
          <w:sz w:val="28"/>
        </w:rPr>
        <w:t>Macrae VP</w:t>
      </w:r>
      <w:r w:rsidR="00FE7A52" w:rsidRPr="00BC4264">
        <w:rPr>
          <w:rFonts w:eastAsia="宋体"/>
          <w:b w:val="0"/>
          <w:bCs/>
          <w:sz w:val="28"/>
        </w:rPr>
        <w:t xml:space="preserve"> and Zervos JA</w:t>
      </w:r>
      <w:r w:rsidRPr="00BC4264">
        <w:rPr>
          <w:rFonts w:eastAsia="宋体"/>
          <w:b w:val="0"/>
          <w:bCs/>
          <w:sz w:val="28"/>
        </w:rPr>
        <w:t xml:space="preserve"> in Court</w:t>
      </w:r>
    </w:p>
    <w:p w:rsidR="006E72BD" w:rsidRPr="00BC4264" w:rsidRDefault="0000516C" w:rsidP="0000516C">
      <w:pPr>
        <w:spacing w:after="120"/>
        <w:jc w:val="left"/>
        <w:rPr>
          <w:b w:val="0"/>
          <w:bCs/>
          <w:sz w:val="28"/>
        </w:rPr>
      </w:pPr>
      <w:r w:rsidRPr="00BC4264">
        <w:rPr>
          <w:b w:val="0"/>
          <w:bCs/>
          <w:sz w:val="28"/>
        </w:rPr>
        <w:t xml:space="preserve">Date of Hearing: </w:t>
      </w:r>
      <w:r w:rsidR="00FE7A52" w:rsidRPr="00BC4264">
        <w:rPr>
          <w:b w:val="0"/>
          <w:bCs/>
          <w:sz w:val="28"/>
        </w:rPr>
        <w:t>20 May 2020</w:t>
      </w:r>
    </w:p>
    <w:p w:rsidR="0000516C" w:rsidRPr="00BC4264" w:rsidRDefault="0000516C" w:rsidP="0000516C">
      <w:pPr>
        <w:spacing w:after="120"/>
        <w:jc w:val="left"/>
        <w:rPr>
          <w:rFonts w:eastAsia="宋体"/>
          <w:b w:val="0"/>
          <w:bCs/>
          <w:sz w:val="28"/>
        </w:rPr>
      </w:pPr>
      <w:r w:rsidRPr="00BC4264">
        <w:rPr>
          <w:rFonts w:eastAsia="宋体"/>
          <w:b w:val="0"/>
          <w:bCs/>
          <w:sz w:val="28"/>
        </w:rPr>
        <w:t>Date of Judgment:</w:t>
      </w:r>
      <w:r w:rsidR="003C4424" w:rsidRPr="00BC4264">
        <w:rPr>
          <w:rFonts w:eastAsia="宋体"/>
          <w:b w:val="0"/>
          <w:bCs/>
          <w:sz w:val="28"/>
        </w:rPr>
        <w:t xml:space="preserve"> 2</w:t>
      </w:r>
      <w:r w:rsidR="0052596A" w:rsidRPr="00BC4264">
        <w:rPr>
          <w:rFonts w:eastAsia="宋体"/>
          <w:b w:val="0"/>
          <w:bCs/>
          <w:sz w:val="28"/>
        </w:rPr>
        <w:t>6</w:t>
      </w:r>
      <w:r w:rsidR="003C4424" w:rsidRPr="00BC4264">
        <w:rPr>
          <w:rFonts w:eastAsia="宋体"/>
          <w:b w:val="0"/>
          <w:bCs/>
          <w:sz w:val="28"/>
        </w:rPr>
        <w:t xml:space="preserve"> November 2020</w:t>
      </w:r>
      <w:r w:rsidRPr="00BC4264">
        <w:rPr>
          <w:rFonts w:eastAsia="宋体"/>
          <w:b w:val="0"/>
          <w:bCs/>
          <w:sz w:val="28"/>
        </w:rPr>
        <w:t xml:space="preserve"> </w:t>
      </w:r>
    </w:p>
    <w:p w:rsidR="0000516C" w:rsidRPr="00BC4264"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5F3076" w:rsidRPr="00BC4264" w:rsidTr="00DD3434">
        <w:trPr>
          <w:jc w:val="center"/>
        </w:trPr>
        <w:tc>
          <w:tcPr>
            <w:tcW w:w="3150" w:type="dxa"/>
            <w:vAlign w:val="center"/>
          </w:tcPr>
          <w:p w:rsidR="005F3076" w:rsidRPr="00BC4264" w:rsidRDefault="005F3076" w:rsidP="00DD3434">
            <w:pPr>
              <w:pStyle w:val="sh"/>
              <w:tabs>
                <w:tab w:val="clear" w:pos="720"/>
                <w:tab w:val="clear" w:pos="1440"/>
                <w:tab w:val="clear" w:pos="4320"/>
              </w:tabs>
              <w:snapToGrid w:val="0"/>
              <w:spacing w:before="200" w:after="200"/>
              <w:jc w:val="center"/>
              <w:rPr>
                <w:lang w:val="en-GB"/>
              </w:rPr>
            </w:pPr>
            <w:r w:rsidRPr="00BC4264">
              <w:rPr>
                <w:lang w:val="en-GB"/>
              </w:rPr>
              <w:t>J U D G M E N T</w:t>
            </w:r>
          </w:p>
        </w:tc>
      </w:tr>
    </w:tbl>
    <w:p w:rsidR="009024E9" w:rsidRPr="00BC4264" w:rsidRDefault="002B39A2" w:rsidP="0000516C">
      <w:pPr>
        <w:pStyle w:val="T-Draft"/>
        <w:keepNext/>
        <w:numPr>
          <w:ilvl w:val="0"/>
          <w:numId w:val="0"/>
        </w:numPr>
        <w:spacing w:before="240"/>
      </w:pPr>
      <w:r w:rsidRPr="00BC4264">
        <w:t xml:space="preserve">Hon </w:t>
      </w:r>
      <w:r w:rsidR="00D01D69" w:rsidRPr="00BC4264">
        <w:t xml:space="preserve">Macrae </w:t>
      </w:r>
      <w:r w:rsidR="00E55285" w:rsidRPr="00BC4264">
        <w:t>VP</w:t>
      </w:r>
      <w:r w:rsidR="00FE7A52" w:rsidRPr="00BC4264">
        <w:t xml:space="preserve"> </w:t>
      </w:r>
      <w:r w:rsidR="00D01D69" w:rsidRPr="00BC4264">
        <w:t>(giving the Judgment of the Court)</w:t>
      </w:r>
      <w:r w:rsidR="009024E9" w:rsidRPr="00BC4264">
        <w:t>:</w:t>
      </w:r>
    </w:p>
    <w:p w:rsidR="004E2AC1" w:rsidRPr="00BC4264" w:rsidRDefault="004E2AC1" w:rsidP="005E6E12">
      <w:pPr>
        <w:pStyle w:val="Heading1"/>
        <w:numPr>
          <w:ilvl w:val="0"/>
          <w:numId w:val="19"/>
        </w:numPr>
        <w:spacing w:before="360" w:after="0" w:line="360" w:lineRule="auto"/>
        <w:ind w:left="720" w:hanging="720"/>
        <w:jc w:val="left"/>
        <w:rPr>
          <w:i/>
          <w:sz w:val="28"/>
          <w:szCs w:val="28"/>
          <w:lang w:eastAsia="zh-TW"/>
        </w:rPr>
      </w:pPr>
      <w:r w:rsidRPr="00BC4264">
        <w:rPr>
          <w:i/>
          <w:sz w:val="28"/>
          <w:szCs w:val="28"/>
          <w:lang w:eastAsia="zh-TW"/>
        </w:rPr>
        <w:t>Introduction</w:t>
      </w:r>
    </w:p>
    <w:p w:rsidR="00FE7A52" w:rsidRPr="00BC4264" w:rsidRDefault="00FE7A52" w:rsidP="00FE7A52">
      <w:pPr>
        <w:pStyle w:val="T-Draft"/>
        <w:rPr>
          <w:rFonts w:eastAsia="PMingLiU"/>
          <w:lang w:eastAsia="zh-TW"/>
        </w:rPr>
      </w:pPr>
      <w:r w:rsidRPr="00BC4264">
        <w:rPr>
          <w:rFonts w:eastAsia="PMingLiU"/>
          <w:lang w:eastAsia="zh-TW"/>
        </w:rPr>
        <w:t xml:space="preserve">The appellant faced a single charge of trafficking in </w:t>
      </w:r>
      <w:r w:rsidR="00295B21" w:rsidRPr="00BC4264">
        <w:rPr>
          <w:rFonts w:eastAsia="PMingLiU"/>
          <w:b/>
          <w:lang w:eastAsia="zh-TW"/>
        </w:rPr>
        <w:t>‍</w:t>
      </w:r>
      <w:r w:rsidRPr="00BC4264">
        <w:rPr>
          <w:rFonts w:eastAsia="PMingLiU"/>
          <w:lang w:eastAsia="zh-TW"/>
        </w:rPr>
        <w:t xml:space="preserve">a </w:t>
      </w:r>
      <w:r w:rsidR="00295B21" w:rsidRPr="00BC4264">
        <w:rPr>
          <w:rFonts w:eastAsia="PMingLiU"/>
          <w:b/>
          <w:lang w:eastAsia="zh-TW"/>
        </w:rPr>
        <w:t>‍</w:t>
      </w:r>
      <w:r w:rsidRPr="00BC4264">
        <w:rPr>
          <w:rFonts w:eastAsia="PMingLiU"/>
          <w:lang w:eastAsia="zh-TW"/>
        </w:rPr>
        <w:t xml:space="preserve">dangerous drug, contrary to section 4(1)(a) and (3) of the Dangerous </w:t>
      </w:r>
      <w:r w:rsidR="00295B21" w:rsidRPr="00BC4264">
        <w:rPr>
          <w:rFonts w:eastAsia="PMingLiU"/>
          <w:b/>
          <w:lang w:eastAsia="zh-TW"/>
        </w:rPr>
        <w:t>‍</w:t>
      </w:r>
      <w:r w:rsidRPr="00BC4264">
        <w:rPr>
          <w:rFonts w:eastAsia="PMingLiU"/>
          <w:lang w:eastAsia="zh-TW"/>
        </w:rPr>
        <w:t xml:space="preserve">Drugs Ordinance, Cap 134 (“the DDO”), alleging that on 22 </w:t>
      </w:r>
      <w:r w:rsidR="00295B21" w:rsidRPr="00BC4264">
        <w:rPr>
          <w:rFonts w:eastAsia="PMingLiU"/>
          <w:b/>
          <w:lang w:eastAsia="zh-TW"/>
        </w:rPr>
        <w:t>‍</w:t>
      </w:r>
      <w:r w:rsidRPr="00BC4264">
        <w:rPr>
          <w:rFonts w:eastAsia="PMingLiU"/>
          <w:lang w:eastAsia="zh-TW"/>
        </w:rPr>
        <w:t xml:space="preserve">November 2017, at </w:t>
      </w:r>
      <w:r w:rsidR="00156FFE" w:rsidRPr="00BC4264">
        <w:rPr>
          <w:rFonts w:eastAsia="PMingLiU"/>
          <w:b/>
          <w:lang w:eastAsia="zh-TW"/>
        </w:rPr>
        <w:t>‍</w:t>
      </w:r>
      <w:r w:rsidRPr="00BC4264">
        <w:rPr>
          <w:rFonts w:eastAsia="PMingLiU"/>
          <w:lang w:eastAsia="zh-TW"/>
        </w:rPr>
        <w:t xml:space="preserve">Hong Kong International Airport, she unlawfully </w:t>
      </w:r>
      <w:r w:rsidRPr="00BC4264">
        <w:rPr>
          <w:rFonts w:eastAsia="PMingLiU"/>
          <w:lang w:eastAsia="zh-TW"/>
        </w:rPr>
        <w:lastRenderedPageBreak/>
        <w:t xml:space="preserve">trafficked in 63.5 </w:t>
      </w:r>
      <w:r w:rsidR="001727EE" w:rsidRPr="00BC4264">
        <w:rPr>
          <w:rFonts w:eastAsia="PMingLiU"/>
          <w:lang w:eastAsia="zh-TW"/>
        </w:rPr>
        <w:t>‍</w:t>
      </w:r>
      <w:r w:rsidRPr="00BC4264">
        <w:rPr>
          <w:rFonts w:eastAsia="PMingLiU"/>
          <w:lang w:eastAsia="zh-TW"/>
        </w:rPr>
        <w:t>grammes of a solid</w:t>
      </w:r>
      <w:r w:rsidR="00925F83" w:rsidRPr="00BC4264">
        <w:rPr>
          <w:rFonts w:eastAsia="PMingLiU"/>
          <w:lang w:eastAsia="zh-TW"/>
        </w:rPr>
        <w:t>,</w:t>
      </w:r>
      <w:r w:rsidRPr="00BC4264">
        <w:rPr>
          <w:rFonts w:eastAsia="PMingLiU"/>
          <w:lang w:eastAsia="zh-TW"/>
        </w:rPr>
        <w:t xml:space="preserve"> containing 48.3 grammes of cocaine </w:t>
      </w:r>
      <w:r w:rsidR="004243BD" w:rsidRPr="00BC4264">
        <w:rPr>
          <w:rFonts w:eastAsia="PMingLiU"/>
          <w:b/>
          <w:lang w:eastAsia="zh-TW"/>
        </w:rPr>
        <w:t>‍</w:t>
      </w:r>
      <w:r w:rsidRPr="00BC4264">
        <w:rPr>
          <w:rFonts w:eastAsia="PMingLiU"/>
          <w:lang w:eastAsia="zh-TW"/>
        </w:rPr>
        <w:t xml:space="preserve">narcotic. </w:t>
      </w:r>
    </w:p>
    <w:p w:rsidR="00FE7A52" w:rsidRPr="00BC4264" w:rsidRDefault="00FE7A52" w:rsidP="00FE7A52">
      <w:pPr>
        <w:pStyle w:val="T-Draft"/>
        <w:rPr>
          <w:rFonts w:eastAsia="PMingLiU"/>
          <w:lang w:eastAsia="zh-TW"/>
        </w:rPr>
      </w:pPr>
      <w:r w:rsidRPr="00BC4264">
        <w:rPr>
          <w:rFonts w:eastAsia="PMingLiU"/>
          <w:lang w:eastAsia="zh-TW"/>
        </w:rPr>
        <w:t>The appellant pleaded guilty to the charge before a magistrate, as a result of which she was committed to the High Court</w:t>
      </w:r>
      <w:r w:rsidR="00D36DBC" w:rsidRPr="00BC4264">
        <w:rPr>
          <w:rFonts w:eastAsia="PMingLiU"/>
          <w:lang w:eastAsia="zh-TW"/>
        </w:rPr>
        <w:t xml:space="preserve"> for sentence</w:t>
      </w:r>
      <w:r w:rsidRPr="00BC4264">
        <w:rPr>
          <w:rFonts w:eastAsia="PMingLiU"/>
          <w:lang w:eastAsia="zh-TW"/>
        </w:rPr>
        <w:t xml:space="preserve">.  On 5 November 2018, she was </w:t>
      </w:r>
      <w:r w:rsidR="00D36DBC" w:rsidRPr="00BC4264">
        <w:rPr>
          <w:rFonts w:eastAsia="PMingLiU"/>
          <w:lang w:eastAsia="zh-TW"/>
        </w:rPr>
        <w:t xml:space="preserve">duly </w:t>
      </w:r>
      <w:r w:rsidRPr="00BC4264">
        <w:rPr>
          <w:rFonts w:eastAsia="PMingLiU"/>
          <w:lang w:eastAsia="zh-TW"/>
        </w:rPr>
        <w:t xml:space="preserve">sentenced by Deputy Judge Lugar </w:t>
      </w:r>
      <w:r w:rsidR="004C5B0E" w:rsidRPr="00BC4264">
        <w:rPr>
          <w:rFonts w:eastAsia="PMingLiU"/>
          <w:b/>
          <w:lang w:eastAsia="zh-TW"/>
        </w:rPr>
        <w:t>‍</w:t>
      </w:r>
      <w:r w:rsidRPr="00BC4264">
        <w:rPr>
          <w:rFonts w:eastAsia="PMingLiU"/>
          <w:lang w:eastAsia="zh-TW"/>
        </w:rPr>
        <w:t>Mawson (“the judge”) to 5 years and 8 months</w:t>
      </w:r>
      <w:r w:rsidR="00B450AF" w:rsidRPr="00BC4264">
        <w:rPr>
          <w:rFonts w:eastAsia="PMingLiU"/>
          <w:lang w:eastAsia="zh-TW"/>
        </w:rPr>
        <w:t>’</w:t>
      </w:r>
      <w:r w:rsidRPr="00BC4264">
        <w:rPr>
          <w:rFonts w:eastAsia="PMingLiU"/>
          <w:lang w:eastAsia="zh-TW"/>
        </w:rPr>
        <w:t xml:space="preserve"> imprisonment</w:t>
      </w:r>
      <w:r w:rsidR="00925F83" w:rsidRPr="00BC4264">
        <w:rPr>
          <w:rFonts w:eastAsia="PMingLiU"/>
          <w:lang w:eastAsia="zh-TW"/>
        </w:rPr>
        <w:t>;</w:t>
      </w:r>
      <w:r w:rsidRPr="00BC4264">
        <w:rPr>
          <w:rFonts w:eastAsia="PMingLiU"/>
          <w:lang w:eastAsia="zh-TW"/>
        </w:rPr>
        <w:t xml:space="preserve"> the judge having adopted a starting point of 8 years’ imprisonment for the quantity </w:t>
      </w:r>
      <w:r w:rsidR="00925F83" w:rsidRPr="00BC4264">
        <w:rPr>
          <w:rFonts w:eastAsia="PMingLiU"/>
          <w:lang w:eastAsia="zh-TW"/>
        </w:rPr>
        <w:t xml:space="preserve">of cocaine </w:t>
      </w:r>
      <w:r w:rsidRPr="00BC4264">
        <w:rPr>
          <w:rFonts w:eastAsia="PMingLiU"/>
          <w:lang w:eastAsia="zh-TW"/>
        </w:rPr>
        <w:t>concerned, which he enhanced by 6 months for the international element of bringing the dangerous drugs across the border into Hong Kong, before reducing the resulting 8½ years’ imprisonment by one-third for her early plea</w:t>
      </w:r>
      <w:r w:rsidR="00925F83" w:rsidRPr="00BC4264">
        <w:rPr>
          <w:rFonts w:eastAsia="PMingLiU"/>
          <w:lang w:eastAsia="zh-TW"/>
        </w:rPr>
        <w:t xml:space="preserve"> of guilty</w:t>
      </w:r>
      <w:r w:rsidRPr="00BC4264">
        <w:rPr>
          <w:rFonts w:eastAsia="PMingLiU"/>
          <w:lang w:eastAsia="zh-TW"/>
        </w:rPr>
        <w:t>.</w:t>
      </w:r>
    </w:p>
    <w:p w:rsidR="00FE7A52" w:rsidRPr="00BC4264" w:rsidRDefault="00FE7A52" w:rsidP="00FE7A52">
      <w:pPr>
        <w:pStyle w:val="T-Draft"/>
        <w:rPr>
          <w:rFonts w:eastAsia="PMingLiU"/>
          <w:lang w:eastAsia="zh-TW"/>
        </w:rPr>
      </w:pPr>
      <w:r w:rsidRPr="00BC4264">
        <w:rPr>
          <w:rFonts w:eastAsia="PMingLiU"/>
          <w:lang w:eastAsia="zh-TW"/>
        </w:rPr>
        <w:t xml:space="preserve">Pursuant to section 56(1) of the DDO the prosecution </w:t>
      </w:r>
      <w:r w:rsidR="00D36DBC" w:rsidRPr="00BC4264">
        <w:rPr>
          <w:rFonts w:eastAsia="PMingLiU"/>
          <w:lang w:eastAsia="zh-TW"/>
        </w:rPr>
        <w:t xml:space="preserve">also </w:t>
      </w:r>
      <w:r w:rsidRPr="00BC4264">
        <w:rPr>
          <w:rFonts w:eastAsia="PMingLiU"/>
          <w:lang w:eastAsia="zh-TW"/>
        </w:rPr>
        <w:t>applied to forfeit US$1,800.00</w:t>
      </w:r>
      <w:r w:rsidR="00D36DBC" w:rsidRPr="00BC4264">
        <w:rPr>
          <w:rFonts w:eastAsia="PMingLiU"/>
          <w:lang w:eastAsia="zh-TW"/>
        </w:rPr>
        <w:t xml:space="preserve"> in cash</w:t>
      </w:r>
      <w:r w:rsidRPr="00BC4264">
        <w:rPr>
          <w:rFonts w:eastAsia="PMingLiU"/>
          <w:lang w:eastAsia="zh-TW"/>
        </w:rPr>
        <w:t xml:space="preserve">, which was found in the appellant’s possession at the time of the offence.  The appellant opposed the application and testified in support of her claim, stating that the money was unrelated to drug trafficking and came from a bank loan taken out </w:t>
      </w:r>
      <w:r w:rsidR="00C91499" w:rsidRPr="00BC4264">
        <w:rPr>
          <w:rFonts w:eastAsia="PMingLiU"/>
          <w:lang w:eastAsia="zh-TW"/>
        </w:rPr>
        <w:t>for the purpose of her business</w:t>
      </w:r>
      <w:r w:rsidRPr="00BC4264">
        <w:rPr>
          <w:rFonts w:eastAsia="PMingLiU"/>
          <w:lang w:eastAsia="zh-TW"/>
        </w:rPr>
        <w:t xml:space="preserve">.  The judge did not believe her </w:t>
      </w:r>
      <w:r w:rsidR="00D36DBC" w:rsidRPr="00BC4264">
        <w:rPr>
          <w:rFonts w:eastAsia="PMingLiU"/>
          <w:lang w:eastAsia="zh-TW"/>
        </w:rPr>
        <w:t xml:space="preserve">evidence </w:t>
      </w:r>
      <w:r w:rsidRPr="00BC4264">
        <w:rPr>
          <w:rFonts w:eastAsia="PMingLiU"/>
          <w:lang w:eastAsia="zh-TW"/>
        </w:rPr>
        <w:t>and ordered the money to be forfeited in full.</w:t>
      </w:r>
    </w:p>
    <w:p w:rsidR="00FE7A52" w:rsidRPr="00BC4264" w:rsidRDefault="00FE7A52" w:rsidP="00FE7A52">
      <w:pPr>
        <w:pStyle w:val="T-Draft"/>
        <w:rPr>
          <w:rFonts w:eastAsia="PMingLiU"/>
          <w:lang w:eastAsia="zh-TW"/>
        </w:rPr>
      </w:pPr>
      <w:r w:rsidRPr="00BC4264">
        <w:rPr>
          <w:rFonts w:eastAsia="PMingLiU"/>
          <w:lang w:eastAsia="zh-TW"/>
        </w:rPr>
        <w:t xml:space="preserve">The appellant sought leave to appeal out of time against </w:t>
      </w:r>
      <w:r w:rsidR="00250F1D" w:rsidRPr="00BC4264">
        <w:rPr>
          <w:rFonts w:eastAsia="PMingLiU"/>
          <w:lang w:eastAsia="zh-TW"/>
        </w:rPr>
        <w:t xml:space="preserve">both </w:t>
      </w:r>
      <w:r w:rsidR="00156FFE" w:rsidRPr="00BC4264">
        <w:rPr>
          <w:rFonts w:eastAsia="PMingLiU"/>
          <w:b/>
          <w:lang w:eastAsia="zh-TW"/>
        </w:rPr>
        <w:t>‍</w:t>
      </w:r>
      <w:r w:rsidRPr="00BC4264">
        <w:rPr>
          <w:rFonts w:eastAsia="PMingLiU"/>
          <w:lang w:eastAsia="zh-TW"/>
        </w:rPr>
        <w:t xml:space="preserve">her sentence </w:t>
      </w:r>
      <w:r w:rsidR="00250F1D" w:rsidRPr="00BC4264">
        <w:rPr>
          <w:rFonts w:eastAsia="PMingLiU"/>
          <w:lang w:eastAsia="zh-TW"/>
        </w:rPr>
        <w:t xml:space="preserve">of imprisonment </w:t>
      </w:r>
      <w:r w:rsidRPr="00BC4264">
        <w:rPr>
          <w:rFonts w:eastAsia="PMingLiU"/>
          <w:lang w:eastAsia="zh-TW"/>
        </w:rPr>
        <w:t xml:space="preserve">and the forfeiture order.  On 20 </w:t>
      </w:r>
      <w:r w:rsidR="00156FFE" w:rsidRPr="00BC4264">
        <w:rPr>
          <w:rFonts w:eastAsia="PMingLiU"/>
          <w:b/>
          <w:lang w:eastAsia="zh-TW"/>
        </w:rPr>
        <w:t>‍</w:t>
      </w:r>
      <w:r w:rsidRPr="00BC4264">
        <w:rPr>
          <w:rFonts w:eastAsia="PMingLiU"/>
          <w:lang w:eastAsia="zh-TW"/>
        </w:rPr>
        <w:t xml:space="preserve">August </w:t>
      </w:r>
      <w:r w:rsidR="00156FFE" w:rsidRPr="00BC4264">
        <w:rPr>
          <w:rFonts w:eastAsia="PMingLiU"/>
          <w:b/>
          <w:lang w:eastAsia="zh-TW"/>
        </w:rPr>
        <w:t>‍</w:t>
      </w:r>
      <w:r w:rsidRPr="00BC4264">
        <w:rPr>
          <w:rFonts w:eastAsia="PMingLiU"/>
          <w:lang w:eastAsia="zh-TW"/>
        </w:rPr>
        <w:t xml:space="preserve">2019, </w:t>
      </w:r>
      <w:r w:rsidR="00925F83" w:rsidRPr="00BC4264">
        <w:rPr>
          <w:rFonts w:eastAsia="PMingLiU"/>
          <w:lang w:eastAsia="zh-TW"/>
        </w:rPr>
        <w:t>the</w:t>
      </w:r>
      <w:r w:rsidRPr="00BC4264">
        <w:rPr>
          <w:rFonts w:eastAsia="PMingLiU"/>
          <w:lang w:eastAsia="zh-TW"/>
        </w:rPr>
        <w:t xml:space="preserve"> Single Judge</w:t>
      </w:r>
      <w:r w:rsidRPr="00BC4264">
        <w:rPr>
          <w:rFonts w:eastAsia="PMingLiU"/>
          <w:vertAlign w:val="superscript"/>
          <w:lang w:eastAsia="zh-TW"/>
        </w:rPr>
        <w:footnoteReference w:id="1"/>
      </w:r>
      <w:r w:rsidRPr="00BC4264">
        <w:rPr>
          <w:rFonts w:eastAsia="PMingLiU"/>
          <w:lang w:eastAsia="zh-TW"/>
        </w:rPr>
        <w:t xml:space="preserve"> granted her </w:t>
      </w:r>
      <w:r w:rsidR="00925F83" w:rsidRPr="00BC4264">
        <w:rPr>
          <w:rFonts w:eastAsia="PMingLiU"/>
          <w:lang w:eastAsia="zh-TW"/>
        </w:rPr>
        <w:t xml:space="preserve">both </w:t>
      </w:r>
      <w:r w:rsidRPr="00BC4264">
        <w:rPr>
          <w:rFonts w:eastAsia="PMingLiU"/>
          <w:lang w:eastAsia="zh-TW"/>
        </w:rPr>
        <w:t xml:space="preserve">an extension of time </w:t>
      </w:r>
      <w:r w:rsidR="00D36DBC" w:rsidRPr="00BC4264">
        <w:rPr>
          <w:rFonts w:eastAsia="PMingLiU"/>
          <w:lang w:eastAsia="zh-TW"/>
        </w:rPr>
        <w:t>in which to</w:t>
      </w:r>
      <w:r w:rsidRPr="00BC4264">
        <w:rPr>
          <w:rFonts w:eastAsia="PMingLiU"/>
          <w:lang w:eastAsia="zh-TW"/>
        </w:rPr>
        <w:t xml:space="preserve"> file a </w:t>
      </w:r>
      <w:r w:rsidR="004C5B0E" w:rsidRPr="00BC4264">
        <w:rPr>
          <w:rFonts w:eastAsia="PMingLiU"/>
          <w:lang w:eastAsia="zh-TW"/>
        </w:rPr>
        <w:t>N</w:t>
      </w:r>
      <w:r w:rsidRPr="00BC4264">
        <w:rPr>
          <w:rFonts w:eastAsia="PMingLiU"/>
          <w:lang w:eastAsia="zh-TW"/>
        </w:rPr>
        <w:t xml:space="preserve">otice of </w:t>
      </w:r>
      <w:r w:rsidR="004C5B0E" w:rsidRPr="00BC4264">
        <w:rPr>
          <w:rFonts w:eastAsia="PMingLiU"/>
          <w:lang w:eastAsia="zh-TW"/>
        </w:rPr>
        <w:t>A</w:t>
      </w:r>
      <w:r w:rsidRPr="00BC4264">
        <w:rPr>
          <w:rFonts w:eastAsia="PMingLiU"/>
          <w:lang w:eastAsia="zh-TW"/>
        </w:rPr>
        <w:t>pplication for leave to appeal and leave to appeal</w:t>
      </w:r>
      <w:r w:rsidR="00925F83" w:rsidRPr="00BC4264">
        <w:rPr>
          <w:rFonts w:eastAsia="PMingLiU"/>
          <w:lang w:eastAsia="zh-TW"/>
        </w:rPr>
        <w:t xml:space="preserve"> against sentence</w:t>
      </w:r>
      <w:r w:rsidRPr="00BC4264">
        <w:rPr>
          <w:rFonts w:eastAsia="PMingLiU"/>
          <w:lang w:eastAsia="zh-TW"/>
        </w:rPr>
        <w:t>.  He further granted the appellant an appeal aid certificate</w:t>
      </w:r>
      <w:r w:rsidR="00922919" w:rsidRPr="00BC4264">
        <w:rPr>
          <w:rFonts w:eastAsia="PMingLiU"/>
          <w:lang w:eastAsia="zh-TW"/>
        </w:rPr>
        <w:t xml:space="preserve"> so that she could be legally represented at the appeal</w:t>
      </w:r>
      <w:r w:rsidRPr="00BC4264">
        <w:rPr>
          <w:rFonts w:eastAsia="PMingLiU"/>
          <w:lang w:eastAsia="zh-TW"/>
        </w:rPr>
        <w:t xml:space="preserve">. </w:t>
      </w:r>
    </w:p>
    <w:p w:rsidR="00FE7A52" w:rsidRPr="00BC4264" w:rsidRDefault="00FE7A52" w:rsidP="005E6E12">
      <w:pPr>
        <w:pStyle w:val="Heading1"/>
        <w:numPr>
          <w:ilvl w:val="0"/>
          <w:numId w:val="19"/>
        </w:numPr>
        <w:spacing w:before="360" w:after="0" w:line="360" w:lineRule="auto"/>
        <w:ind w:left="720" w:hanging="720"/>
        <w:jc w:val="left"/>
        <w:rPr>
          <w:i/>
          <w:sz w:val="28"/>
          <w:szCs w:val="28"/>
          <w:lang w:eastAsia="zh-TW"/>
        </w:rPr>
      </w:pPr>
      <w:r w:rsidRPr="00BC4264">
        <w:rPr>
          <w:i/>
          <w:sz w:val="28"/>
          <w:szCs w:val="28"/>
          <w:lang w:eastAsia="zh-TW"/>
        </w:rPr>
        <w:lastRenderedPageBreak/>
        <w:t>The facts</w:t>
      </w:r>
    </w:p>
    <w:p w:rsidR="00FE7A52" w:rsidRPr="00BC4264" w:rsidRDefault="00FE7A52" w:rsidP="00FE7A52">
      <w:pPr>
        <w:pStyle w:val="T-Draft"/>
      </w:pPr>
      <w:r w:rsidRPr="00BC4264">
        <w:t xml:space="preserve">The appellant </w:t>
      </w:r>
      <w:r w:rsidR="004F691B" w:rsidRPr="00BC4264">
        <w:t>wa</w:t>
      </w:r>
      <w:r w:rsidRPr="00BC4264">
        <w:t>s</w:t>
      </w:r>
      <w:r w:rsidR="004F691B" w:rsidRPr="00BC4264">
        <w:t>, at the time of the offence,</w:t>
      </w:r>
      <w:r w:rsidRPr="00BC4264">
        <w:t xml:space="preserve"> a 43</w:t>
      </w:r>
      <w:r w:rsidR="004C5B0E" w:rsidRPr="00BC4264">
        <w:t>-</w:t>
      </w:r>
      <w:r w:rsidRPr="00BC4264">
        <w:t xml:space="preserve">year-old Tanzanian national.  On 22 </w:t>
      </w:r>
      <w:r w:rsidR="001727EE" w:rsidRPr="00BC4264">
        <w:rPr>
          <w:b/>
        </w:rPr>
        <w:t>‍</w:t>
      </w:r>
      <w:r w:rsidRPr="00BC4264">
        <w:t xml:space="preserve">November 2017, she arrived at Hong Kong International Airport on board an Ethiopian Airlines flight from Addis </w:t>
      </w:r>
      <w:r w:rsidR="00661CB6" w:rsidRPr="00BC4264">
        <w:rPr>
          <w:b/>
        </w:rPr>
        <w:t>‍</w:t>
      </w:r>
      <w:r w:rsidRPr="00BC4264">
        <w:t xml:space="preserve">Ababa in Ethiopia, her journey having originated in Dar </w:t>
      </w:r>
      <w:r w:rsidR="00D36DBC" w:rsidRPr="00BC4264">
        <w:t>E</w:t>
      </w:r>
      <w:r w:rsidRPr="00BC4264">
        <w:t>s Salaam in Tanzania.  Upon her arrival, she was intercepted by Customs officer</w:t>
      </w:r>
      <w:r w:rsidR="00D36DBC" w:rsidRPr="00BC4264">
        <w:t>s</w:t>
      </w:r>
      <w:r w:rsidRPr="00BC4264">
        <w:t xml:space="preserve"> and taken to a Customs </w:t>
      </w:r>
      <w:r w:rsidR="001727EE" w:rsidRPr="00BC4264">
        <w:rPr>
          <w:b/>
        </w:rPr>
        <w:t>‍</w:t>
      </w:r>
      <w:r w:rsidRPr="00BC4264">
        <w:t>clearance room</w:t>
      </w:r>
      <w:r w:rsidR="00F165FC" w:rsidRPr="00BC4264">
        <w:t xml:space="preserve"> for examination</w:t>
      </w:r>
      <w:r w:rsidRPr="00BC4264">
        <w:t xml:space="preserve">. </w:t>
      </w:r>
      <w:r w:rsidR="001727EE" w:rsidRPr="00BC4264">
        <w:rPr>
          <w:rFonts w:ascii="PMingLiU" w:eastAsia="PMingLiU" w:hAnsi="PMingLiU"/>
          <w:lang w:eastAsia="zh-TW"/>
        </w:rPr>
        <w:t xml:space="preserve"> </w:t>
      </w:r>
      <w:r w:rsidRPr="00BC4264">
        <w:t xml:space="preserve">An ion-scan test was conducted on her </w:t>
      </w:r>
      <w:r w:rsidR="00250F1D" w:rsidRPr="00BC4264">
        <w:t>body</w:t>
      </w:r>
      <w:r w:rsidR="00C91499" w:rsidRPr="00BC4264">
        <w:t>, which tested</w:t>
      </w:r>
      <w:r w:rsidRPr="00BC4264">
        <w:t xml:space="preserve"> positive for the presence of cocaine.  </w:t>
      </w:r>
      <w:r w:rsidR="00C91499" w:rsidRPr="00BC4264">
        <w:t>As a result, the appellant was</w:t>
      </w:r>
      <w:r w:rsidRPr="00BC4264">
        <w:t xml:space="preserve"> taken </w:t>
      </w:r>
      <w:r w:rsidR="001727EE" w:rsidRPr="00BC4264">
        <w:rPr>
          <w:b/>
        </w:rPr>
        <w:t>‍</w:t>
      </w:r>
      <w:r w:rsidRPr="00BC4264">
        <w:t xml:space="preserve">to North Lantau Hospital, where an X-ray examination identified foreign </w:t>
      </w:r>
      <w:r w:rsidR="001727EE" w:rsidRPr="00BC4264">
        <w:rPr>
          <w:b/>
        </w:rPr>
        <w:t>‍</w:t>
      </w:r>
      <w:r w:rsidRPr="00BC4264">
        <w:t>objects in</w:t>
      </w:r>
      <w:r w:rsidR="004E31E7" w:rsidRPr="00BC4264">
        <w:t xml:space="preserve">side </w:t>
      </w:r>
      <w:r w:rsidRPr="00BC4264">
        <w:t>her body.  She was</w:t>
      </w:r>
      <w:r w:rsidR="00C91499" w:rsidRPr="00BC4264">
        <w:t xml:space="preserve"> </w:t>
      </w:r>
      <w:r w:rsidR="00661CB6" w:rsidRPr="00BC4264">
        <w:t>‍</w:t>
      </w:r>
      <w:r w:rsidR="00C91499" w:rsidRPr="00BC4264">
        <w:t>then</w:t>
      </w:r>
      <w:r w:rsidRPr="00BC4264">
        <w:t xml:space="preserve"> transferred to</w:t>
      </w:r>
      <w:r w:rsidR="00C91499" w:rsidRPr="00BC4264">
        <w:t xml:space="preserve"> the custodial ward of</w:t>
      </w:r>
      <w:r w:rsidRPr="00BC4264">
        <w:t xml:space="preserve"> Queen </w:t>
      </w:r>
      <w:r w:rsidR="001727EE" w:rsidRPr="00BC4264">
        <w:rPr>
          <w:b/>
        </w:rPr>
        <w:t>‍</w:t>
      </w:r>
      <w:r w:rsidRPr="00BC4264">
        <w:t xml:space="preserve">Elizabeth </w:t>
      </w:r>
      <w:r w:rsidR="001727EE" w:rsidRPr="00BC4264">
        <w:rPr>
          <w:b/>
        </w:rPr>
        <w:t>‍</w:t>
      </w:r>
      <w:r w:rsidRPr="00BC4264">
        <w:t>Hospital</w:t>
      </w:r>
      <w:r w:rsidR="00250F1D" w:rsidRPr="00BC4264">
        <w:t>,</w:t>
      </w:r>
      <w:r w:rsidRPr="00BC4264">
        <w:t xml:space="preserve"> where she</w:t>
      </w:r>
      <w:r w:rsidR="00F165FC" w:rsidRPr="00BC4264">
        <w:t xml:space="preserve"> subsequently</w:t>
      </w:r>
      <w:r w:rsidRPr="00BC4264">
        <w:t xml:space="preserve"> discharged six plastic packets of </w:t>
      </w:r>
      <w:r w:rsidR="00922919" w:rsidRPr="00BC4264">
        <w:t>cocaine</w:t>
      </w:r>
      <w:r w:rsidRPr="00BC4264">
        <w:t>, in the quantit</w:t>
      </w:r>
      <w:r w:rsidR="00B450AF" w:rsidRPr="00BC4264">
        <w:t>y</w:t>
      </w:r>
      <w:r w:rsidRPr="00BC4264">
        <w:t xml:space="preserve"> particularised in the charge.  The estimated value of the </w:t>
      </w:r>
      <w:r w:rsidR="00922919" w:rsidRPr="00BC4264">
        <w:t>dangerous drugs</w:t>
      </w:r>
      <w:r w:rsidRPr="00BC4264">
        <w:t xml:space="preserve"> at the time was HK$58,356.50.</w:t>
      </w:r>
    </w:p>
    <w:p w:rsidR="00FC4AB6" w:rsidRPr="00BC4264" w:rsidRDefault="00FC4AB6" w:rsidP="005E6E12">
      <w:pPr>
        <w:pStyle w:val="Heading1"/>
        <w:numPr>
          <w:ilvl w:val="0"/>
          <w:numId w:val="19"/>
        </w:numPr>
        <w:spacing w:before="360" w:after="0" w:line="360" w:lineRule="auto"/>
        <w:ind w:left="720" w:hanging="720"/>
        <w:jc w:val="left"/>
        <w:rPr>
          <w:i/>
          <w:sz w:val="28"/>
          <w:szCs w:val="28"/>
          <w:lang w:eastAsia="zh-TW"/>
        </w:rPr>
      </w:pPr>
      <w:r w:rsidRPr="00BC4264">
        <w:rPr>
          <w:i/>
          <w:sz w:val="28"/>
          <w:szCs w:val="28"/>
          <w:lang w:eastAsia="zh-TW"/>
        </w:rPr>
        <w:t>The</w:t>
      </w:r>
      <w:r w:rsidR="00055FCE" w:rsidRPr="00BC4264">
        <w:rPr>
          <w:i/>
          <w:sz w:val="28"/>
          <w:szCs w:val="28"/>
          <w:lang w:eastAsia="zh-TW"/>
        </w:rPr>
        <w:t xml:space="preserve"> </w:t>
      </w:r>
      <w:r w:rsidRPr="00BC4264">
        <w:rPr>
          <w:i/>
          <w:sz w:val="28"/>
          <w:szCs w:val="28"/>
          <w:lang w:eastAsia="zh-TW"/>
        </w:rPr>
        <w:t>application for forfeiture</w:t>
      </w:r>
    </w:p>
    <w:p w:rsidR="00FE7A52" w:rsidRPr="00BC4264" w:rsidRDefault="00FE7A52" w:rsidP="00FE7A52">
      <w:pPr>
        <w:pStyle w:val="T-Draft"/>
      </w:pPr>
      <w:r w:rsidRPr="00BC4264">
        <w:t>Insofar as</w:t>
      </w:r>
      <w:r w:rsidR="00F165FC" w:rsidRPr="00BC4264">
        <w:t xml:space="preserve"> the application for</w:t>
      </w:r>
      <w:r w:rsidRPr="00BC4264">
        <w:t xml:space="preserve"> forfeiture was concerned, the prosecution relied </w:t>
      </w:r>
      <w:r w:rsidR="00156FFE" w:rsidRPr="00BC4264">
        <w:rPr>
          <w:b/>
        </w:rPr>
        <w:t>‍</w:t>
      </w:r>
      <w:r w:rsidR="00FC4AB6" w:rsidRPr="00BC4264">
        <w:t>up</w:t>
      </w:r>
      <w:r w:rsidRPr="00BC4264">
        <w:t xml:space="preserve">on the appellant’s conviction for drug trafficking, the admitted </w:t>
      </w:r>
      <w:r w:rsidR="00FC4AB6" w:rsidRPr="00BC4264">
        <w:t>S</w:t>
      </w:r>
      <w:r w:rsidRPr="00BC4264">
        <w:t xml:space="preserve">ummary </w:t>
      </w:r>
      <w:r w:rsidR="00156FFE" w:rsidRPr="00BC4264">
        <w:rPr>
          <w:b/>
        </w:rPr>
        <w:t>‍</w:t>
      </w:r>
      <w:r w:rsidRPr="00BC4264">
        <w:t xml:space="preserve">of </w:t>
      </w:r>
      <w:r w:rsidR="00FC4AB6" w:rsidRPr="00BC4264">
        <w:t>F</w:t>
      </w:r>
      <w:r w:rsidRPr="00BC4264">
        <w:t xml:space="preserve">acts and her antecedent statement to establish a </w:t>
      </w:r>
      <w:r w:rsidRPr="00BC4264">
        <w:rPr>
          <w:i/>
        </w:rPr>
        <w:t xml:space="preserve">prima facie </w:t>
      </w:r>
      <w:r w:rsidRPr="00BC4264">
        <w:t xml:space="preserve">case that the US$1,800.00 </w:t>
      </w:r>
      <w:r w:rsidR="00FC4AB6" w:rsidRPr="00BC4264">
        <w:t xml:space="preserve">in cash </w:t>
      </w:r>
      <w:r w:rsidRPr="00BC4264">
        <w:t xml:space="preserve">found on her was liable to be forfeited. </w:t>
      </w:r>
    </w:p>
    <w:p w:rsidR="00FE7A52" w:rsidRPr="00BC4264" w:rsidRDefault="00FE7A52" w:rsidP="00FE7A52">
      <w:pPr>
        <w:pStyle w:val="T-Draft"/>
      </w:pPr>
      <w:r w:rsidRPr="00BC4264">
        <w:t>A hearing was duly held</w:t>
      </w:r>
      <w:r w:rsidR="00FC4AB6" w:rsidRPr="00BC4264">
        <w:t xml:space="preserve"> by the judge</w:t>
      </w:r>
      <w:r w:rsidRPr="00BC4264">
        <w:t xml:space="preserve"> </w:t>
      </w:r>
      <w:r w:rsidR="00250F1D" w:rsidRPr="00BC4264">
        <w:t>to determine the question of forfeiture</w:t>
      </w:r>
      <w:r w:rsidR="00A93AC8" w:rsidRPr="00BC4264">
        <w:t>, in which</w:t>
      </w:r>
      <w:r w:rsidRPr="00BC4264">
        <w:t xml:space="preserve"> the appellant gave evidence.  She testified that she was a businesswoman in Tanzania, selling articles such as shoes, garments and hair pieces.  A business licence was produced</w:t>
      </w:r>
      <w:r w:rsidR="00FC4AB6" w:rsidRPr="00BC4264">
        <w:t>,</w:t>
      </w:r>
      <w:r w:rsidRPr="00BC4264">
        <w:t xml:space="preserve"> which described the appellant’s business as </w:t>
      </w:r>
      <w:r w:rsidR="00C91499" w:rsidRPr="00BC4264">
        <w:t>“</w:t>
      </w:r>
      <w:r w:rsidRPr="00BC4264">
        <w:t>Beauty</w:t>
      </w:r>
      <w:r w:rsidR="00C91499" w:rsidRPr="00BC4264">
        <w:t>”</w:t>
      </w:r>
      <w:r w:rsidRPr="00BC4264">
        <w:t xml:space="preserve"> and </w:t>
      </w:r>
      <w:r w:rsidR="00F165FC" w:rsidRPr="00BC4264">
        <w:t>detailed</w:t>
      </w:r>
      <w:r w:rsidRPr="00BC4264">
        <w:t xml:space="preserve"> her tax </w:t>
      </w:r>
      <w:r w:rsidRPr="00BC4264">
        <w:lastRenderedPageBreak/>
        <w:t xml:space="preserve">identification number.  The appellant </w:t>
      </w:r>
      <w:r w:rsidR="00A93AC8" w:rsidRPr="00BC4264">
        <w:t>said that</w:t>
      </w:r>
      <w:r w:rsidRPr="00BC4264">
        <w:t xml:space="preserve"> she </w:t>
      </w:r>
      <w:r w:rsidR="00A93AC8" w:rsidRPr="00BC4264">
        <w:t xml:space="preserve">had </w:t>
      </w:r>
      <w:r w:rsidRPr="00BC4264">
        <w:t>funded her business through loans from the bank and</w:t>
      </w:r>
      <w:r w:rsidR="0071611C" w:rsidRPr="00BC4264">
        <w:t>,</w:t>
      </w:r>
      <w:r w:rsidRPr="00BC4264">
        <w:t xml:space="preserve"> on 16 December 2016 and </w:t>
      </w:r>
      <w:r w:rsidR="00BC4264" w:rsidRPr="00BC4264">
        <w:rPr>
          <w:b/>
        </w:rPr>
        <w:t>‍</w:t>
      </w:r>
      <w:r w:rsidRPr="00BC4264">
        <w:t xml:space="preserve">16 </w:t>
      </w:r>
      <w:r w:rsidR="00156FFE" w:rsidRPr="00BC4264">
        <w:rPr>
          <w:b/>
        </w:rPr>
        <w:t>‍</w:t>
      </w:r>
      <w:r w:rsidRPr="00BC4264">
        <w:t>August 2017</w:t>
      </w:r>
      <w:r w:rsidR="00F165FC" w:rsidRPr="00BC4264">
        <w:t xml:space="preserve"> respectively</w:t>
      </w:r>
      <w:r w:rsidR="0071611C" w:rsidRPr="00BC4264">
        <w:t>,</w:t>
      </w:r>
      <w:r w:rsidRPr="00BC4264">
        <w:t xml:space="preserve"> had applied for two </w:t>
      </w:r>
      <w:r w:rsidR="001727EE" w:rsidRPr="00BC4264">
        <w:rPr>
          <w:b/>
        </w:rPr>
        <w:t>‍</w:t>
      </w:r>
      <w:r w:rsidRPr="00BC4264">
        <w:t xml:space="preserve">loans of 5 </w:t>
      </w:r>
      <w:r w:rsidR="00BC4264" w:rsidRPr="00BC4264">
        <w:rPr>
          <w:b/>
        </w:rPr>
        <w:t>‍</w:t>
      </w:r>
      <w:r w:rsidRPr="00BC4264">
        <w:t xml:space="preserve">million </w:t>
      </w:r>
      <w:r w:rsidR="00BC4264" w:rsidRPr="00BC4264">
        <w:rPr>
          <w:b/>
        </w:rPr>
        <w:t>‍</w:t>
      </w:r>
      <w:r w:rsidRPr="00BC4264">
        <w:t>shillings each</w:t>
      </w:r>
      <w:r w:rsidR="00FB7273" w:rsidRPr="00BC4264">
        <w:t xml:space="preserve"> (</w:t>
      </w:r>
      <w:r w:rsidRPr="00BC4264">
        <w:t>5 million shillings being the equivalent of about US$2,600.00</w:t>
      </w:r>
      <w:r w:rsidR="00FB7273" w:rsidRPr="00BC4264">
        <w:t>)</w:t>
      </w:r>
      <w:r w:rsidRPr="00BC4264">
        <w:t xml:space="preserve">.  She </w:t>
      </w:r>
      <w:r w:rsidR="00A93AC8" w:rsidRPr="00BC4264">
        <w:t>claimed that</w:t>
      </w:r>
      <w:r w:rsidRPr="00BC4264">
        <w:t xml:space="preserve"> the money from the loans was deposited into </w:t>
      </w:r>
      <w:r w:rsidR="00FC4AB6" w:rsidRPr="00BC4264">
        <w:t>her</w:t>
      </w:r>
      <w:r w:rsidRPr="00BC4264">
        <w:t xml:space="preserve"> bank account, </w:t>
      </w:r>
      <w:r w:rsidR="00F165FC" w:rsidRPr="00BC4264">
        <w:t>from</w:t>
      </w:r>
      <w:r w:rsidRPr="00BC4264">
        <w:t xml:space="preserve"> which </w:t>
      </w:r>
      <w:r w:rsidR="00A93AC8" w:rsidRPr="00BC4264">
        <w:t xml:space="preserve">funds </w:t>
      </w:r>
      <w:r w:rsidRPr="00BC4264">
        <w:t xml:space="preserve">she used US$700 </w:t>
      </w:r>
      <w:r w:rsidR="004E31E7" w:rsidRPr="00BC4264">
        <w:t>to purchase</w:t>
      </w:r>
      <w:r w:rsidRPr="00BC4264">
        <w:t xml:space="preserve"> her air </w:t>
      </w:r>
      <w:r w:rsidR="001727EE" w:rsidRPr="00BC4264">
        <w:rPr>
          <w:b/>
        </w:rPr>
        <w:t>‍</w:t>
      </w:r>
      <w:r w:rsidRPr="00BC4264">
        <w:t xml:space="preserve">ticket to Hong Kong, </w:t>
      </w:r>
      <w:r w:rsidR="00FC4AB6" w:rsidRPr="00BC4264">
        <w:t>and</w:t>
      </w:r>
      <w:r w:rsidRPr="00BC4264">
        <w:t xml:space="preserve"> US$100</w:t>
      </w:r>
      <w:r w:rsidR="00FC4AB6" w:rsidRPr="00BC4264">
        <w:t xml:space="preserve"> </w:t>
      </w:r>
      <w:r w:rsidR="00D36DBC" w:rsidRPr="00BC4264">
        <w:t>to provide for</w:t>
      </w:r>
      <w:r w:rsidR="00FC4AB6" w:rsidRPr="00BC4264">
        <w:t xml:space="preserve"> her children’s food while she was away.</w:t>
      </w:r>
      <w:r w:rsidRPr="00BC4264">
        <w:t xml:space="preserve"> </w:t>
      </w:r>
    </w:p>
    <w:p w:rsidR="00FE7A52" w:rsidRPr="00BC4264" w:rsidRDefault="00D36DBC" w:rsidP="00FE7A52">
      <w:pPr>
        <w:pStyle w:val="T-Draft"/>
      </w:pPr>
      <w:r w:rsidRPr="00BC4264">
        <w:t>Although</w:t>
      </w:r>
      <w:r w:rsidR="00FC4AB6" w:rsidRPr="00BC4264">
        <w:t xml:space="preserve"> she began her journey in </w:t>
      </w:r>
      <w:r w:rsidR="00FE7A52" w:rsidRPr="00BC4264">
        <w:t>Dar Es Salaam</w:t>
      </w:r>
      <w:r w:rsidR="00FC4AB6" w:rsidRPr="00BC4264">
        <w:t xml:space="preserve">, the appellant </w:t>
      </w:r>
      <w:r w:rsidR="004E31E7" w:rsidRPr="00BC4264">
        <w:t xml:space="preserve">had </w:t>
      </w:r>
      <w:r w:rsidR="00FC4AB6" w:rsidRPr="00BC4264">
        <w:t>stopped over in</w:t>
      </w:r>
      <w:r w:rsidR="00FE7A52" w:rsidRPr="00BC4264">
        <w:t xml:space="preserve"> Addis Ababa </w:t>
      </w:r>
      <w:r w:rsidR="00FC4AB6" w:rsidRPr="00BC4264">
        <w:t xml:space="preserve">for what she </w:t>
      </w:r>
      <w:r w:rsidR="005D1E78" w:rsidRPr="00BC4264">
        <w:t>claimed</w:t>
      </w:r>
      <w:r w:rsidR="00FC4AB6" w:rsidRPr="00BC4264">
        <w:t xml:space="preserve"> was a </w:t>
      </w:r>
      <w:r w:rsidR="00A93AC8" w:rsidRPr="00BC4264">
        <w:t>“</w:t>
      </w:r>
      <w:r w:rsidR="00FE7A52" w:rsidRPr="00BC4264">
        <w:t xml:space="preserve">get </w:t>
      </w:r>
      <w:r w:rsidR="00661CB6" w:rsidRPr="00BC4264">
        <w:rPr>
          <w:b/>
        </w:rPr>
        <w:t>‍</w:t>
      </w:r>
      <w:r w:rsidR="00FE7A52" w:rsidRPr="00BC4264">
        <w:t>together</w:t>
      </w:r>
      <w:r w:rsidR="00A93AC8" w:rsidRPr="00BC4264">
        <w:t>”</w:t>
      </w:r>
      <w:r w:rsidR="00FE7A52" w:rsidRPr="00BC4264">
        <w:t xml:space="preserve"> with </w:t>
      </w:r>
      <w:r w:rsidR="00FC4AB6" w:rsidRPr="00BC4264">
        <w:t>others</w:t>
      </w:r>
      <w:r w:rsidRPr="00BC4264">
        <w:t xml:space="preserve"> who were</w:t>
      </w:r>
      <w:r w:rsidR="00FC4AB6" w:rsidRPr="00BC4264">
        <w:t xml:space="preserve"> coming to Hong Kong for</w:t>
      </w:r>
      <w:r w:rsidR="00FE7A52" w:rsidRPr="00BC4264">
        <w:t xml:space="preserve"> a religious seminar</w:t>
      </w:r>
      <w:r w:rsidR="002A7281" w:rsidRPr="00BC4264">
        <w:rPr>
          <w:rStyle w:val="FootnoteReference"/>
        </w:rPr>
        <w:footnoteReference w:id="2"/>
      </w:r>
      <w:r w:rsidR="00FE7A52" w:rsidRPr="00BC4264">
        <w:t xml:space="preserve">.  It was </w:t>
      </w:r>
      <w:r w:rsidR="00FC4AB6" w:rsidRPr="00BC4264">
        <w:t xml:space="preserve">only </w:t>
      </w:r>
      <w:r w:rsidR="00084EC7" w:rsidRPr="00BC4264">
        <w:t xml:space="preserve">when she was </w:t>
      </w:r>
      <w:r w:rsidRPr="00BC4264">
        <w:t>in Addis Ababa</w:t>
      </w:r>
      <w:r w:rsidR="00FE7A52" w:rsidRPr="00BC4264">
        <w:t xml:space="preserve"> that she </w:t>
      </w:r>
      <w:r w:rsidR="00FC4AB6" w:rsidRPr="00BC4264">
        <w:t>was prevailed upon to</w:t>
      </w:r>
      <w:r w:rsidR="00FE7A52" w:rsidRPr="00BC4264">
        <w:t xml:space="preserve"> bring </w:t>
      </w:r>
      <w:r w:rsidRPr="00BC4264">
        <w:t xml:space="preserve">the </w:t>
      </w:r>
      <w:r w:rsidR="00FE7A52" w:rsidRPr="00BC4264">
        <w:t>drugs</w:t>
      </w:r>
      <w:r w:rsidRPr="00BC4264">
        <w:t xml:space="preserve"> in question</w:t>
      </w:r>
      <w:r w:rsidR="00FE7A52" w:rsidRPr="00BC4264">
        <w:t xml:space="preserve"> to Hong Kong. </w:t>
      </w:r>
    </w:p>
    <w:p w:rsidR="00FE7A52" w:rsidRPr="00BC4264" w:rsidRDefault="00922919" w:rsidP="00FE7A52">
      <w:pPr>
        <w:pStyle w:val="T-Draft"/>
      </w:pPr>
      <w:r w:rsidRPr="00BC4264">
        <w:t>The appellant</w:t>
      </w:r>
      <w:r w:rsidR="00FE7A52" w:rsidRPr="00BC4264">
        <w:t xml:space="preserve"> </w:t>
      </w:r>
      <w:r w:rsidR="00A93AC8" w:rsidRPr="00BC4264">
        <w:t>testified</w:t>
      </w:r>
      <w:r w:rsidR="00FE7A52" w:rsidRPr="00BC4264">
        <w:t xml:space="preserve"> th</w:t>
      </w:r>
      <w:r w:rsidR="00D36DBC" w:rsidRPr="00BC4264">
        <w:t>at the</w:t>
      </w:r>
      <w:r w:rsidR="00FE7A52" w:rsidRPr="00BC4264">
        <w:t xml:space="preserve"> US$1,800.00</w:t>
      </w:r>
      <w:r w:rsidR="00A93AC8" w:rsidRPr="00BC4264">
        <w:t xml:space="preserve"> found on her</w:t>
      </w:r>
      <w:r w:rsidR="00FE7A52" w:rsidRPr="00BC4264">
        <w:t xml:space="preserve"> was to be used to buy 10 </w:t>
      </w:r>
      <w:r w:rsidR="001E6579" w:rsidRPr="00BC4264">
        <w:t xml:space="preserve">dress </w:t>
      </w:r>
      <w:r w:rsidR="00FE7A52" w:rsidRPr="00BC4264">
        <w:t xml:space="preserve">suits in Hong Kong, for which she </w:t>
      </w:r>
      <w:r w:rsidR="00D36DBC" w:rsidRPr="00BC4264">
        <w:t xml:space="preserve">had </w:t>
      </w:r>
      <w:r w:rsidR="00FE7A52" w:rsidRPr="00BC4264">
        <w:t xml:space="preserve">already </w:t>
      </w:r>
      <w:r w:rsidR="00A93AC8" w:rsidRPr="00BC4264">
        <w:t xml:space="preserve">received </w:t>
      </w:r>
      <w:r w:rsidR="00FE7A52" w:rsidRPr="00BC4264">
        <w:t>orders</w:t>
      </w:r>
      <w:r w:rsidR="001E6579" w:rsidRPr="00BC4264">
        <w:t xml:space="preserve">; while the balance </w:t>
      </w:r>
      <w:r w:rsidR="00A93AC8" w:rsidRPr="00BC4264">
        <w:t xml:space="preserve">of the money </w:t>
      </w:r>
      <w:r w:rsidR="001E6579" w:rsidRPr="00BC4264">
        <w:t>would be used in the Mainland for her regular business</w:t>
      </w:r>
      <w:r w:rsidR="00FE7A52" w:rsidRPr="00BC4264">
        <w:t xml:space="preserve">.  </w:t>
      </w:r>
      <w:r w:rsidRPr="00BC4264">
        <w:t>Her</w:t>
      </w:r>
      <w:r w:rsidR="00FE7A52" w:rsidRPr="00BC4264">
        <w:t xml:space="preserve"> passport was </w:t>
      </w:r>
      <w:r w:rsidR="00A93AC8" w:rsidRPr="00BC4264">
        <w:t>adduced</w:t>
      </w:r>
      <w:r w:rsidR="00FE7A52" w:rsidRPr="00BC4264">
        <w:t xml:space="preserve"> in evidence, </w:t>
      </w:r>
      <w:r w:rsidR="003A74C4" w:rsidRPr="00BC4264">
        <w:t>containing</w:t>
      </w:r>
      <w:r w:rsidR="00FE7A52" w:rsidRPr="00BC4264">
        <w:t xml:space="preserve"> </w:t>
      </w:r>
      <w:r w:rsidR="00A93AC8" w:rsidRPr="00BC4264">
        <w:t>a number of visas for the</w:t>
      </w:r>
      <w:r w:rsidR="00FE7A52" w:rsidRPr="00BC4264">
        <w:t xml:space="preserve"> Mainland, which the appellant said had been </w:t>
      </w:r>
      <w:r w:rsidR="001E6579" w:rsidRPr="00BC4264">
        <w:t xml:space="preserve">previously </w:t>
      </w:r>
      <w:r w:rsidR="00FE7A52" w:rsidRPr="00BC4264">
        <w:t xml:space="preserve">issued </w:t>
      </w:r>
      <w:r w:rsidRPr="00BC4264">
        <w:t>to her for</w:t>
      </w:r>
      <w:r w:rsidR="00FE7A52" w:rsidRPr="00BC4264">
        <w:t xml:space="preserve"> </w:t>
      </w:r>
      <w:r w:rsidR="00A93AC8" w:rsidRPr="00BC4264">
        <w:t>travelling</w:t>
      </w:r>
      <w:r w:rsidR="00FE7A52" w:rsidRPr="00BC4264">
        <w:t xml:space="preserve"> directly from </w:t>
      </w:r>
      <w:r w:rsidR="008726B7" w:rsidRPr="00BC4264">
        <w:t>Tanzania</w:t>
      </w:r>
      <w:r w:rsidR="00FE7A52" w:rsidRPr="00BC4264">
        <w:t xml:space="preserve"> to China </w:t>
      </w:r>
      <w:r w:rsidR="003A74C4" w:rsidRPr="00BC4264">
        <w:t xml:space="preserve">in </w:t>
      </w:r>
      <w:r w:rsidR="00A93AC8" w:rsidRPr="00BC4264">
        <w:t>connection with</w:t>
      </w:r>
      <w:r w:rsidR="00FE7A52" w:rsidRPr="00BC4264">
        <w:t xml:space="preserve"> her business.  The appellant maintained that she </w:t>
      </w:r>
      <w:r w:rsidR="004E31E7" w:rsidRPr="00BC4264">
        <w:t>had</w:t>
      </w:r>
      <w:r w:rsidR="00FE7A52" w:rsidRPr="00BC4264">
        <w:t xml:space="preserve"> not receive</w:t>
      </w:r>
      <w:r w:rsidR="004E31E7" w:rsidRPr="00BC4264">
        <w:t>d</w:t>
      </w:r>
      <w:r w:rsidR="00FE7A52" w:rsidRPr="00BC4264">
        <w:t xml:space="preserve"> any reward for </w:t>
      </w:r>
      <w:r w:rsidRPr="00BC4264">
        <w:t>bringing</w:t>
      </w:r>
      <w:r w:rsidR="00FE7A52" w:rsidRPr="00BC4264">
        <w:t xml:space="preserve"> the </w:t>
      </w:r>
      <w:r w:rsidR="00FB7273" w:rsidRPr="00BC4264">
        <w:t xml:space="preserve">dangerous </w:t>
      </w:r>
      <w:r w:rsidR="00FE7A52" w:rsidRPr="00BC4264">
        <w:t xml:space="preserve">drugs into Hong </w:t>
      </w:r>
      <w:r w:rsidR="00355941" w:rsidRPr="00BC4264">
        <w:rPr>
          <w:b/>
        </w:rPr>
        <w:t>‍</w:t>
      </w:r>
      <w:r w:rsidR="00FE7A52" w:rsidRPr="00BC4264">
        <w:t>Kong.</w:t>
      </w:r>
    </w:p>
    <w:p w:rsidR="00FE7A52" w:rsidRPr="00BC4264" w:rsidRDefault="00FE7A52" w:rsidP="00FE7A52">
      <w:pPr>
        <w:pStyle w:val="T-Draft"/>
      </w:pPr>
      <w:r w:rsidRPr="00BC4264">
        <w:lastRenderedPageBreak/>
        <w:t>In his ruling</w:t>
      </w:r>
      <w:r w:rsidR="001E6579" w:rsidRPr="00BC4264">
        <w:t xml:space="preserve"> on forfeiture</w:t>
      </w:r>
      <w:r w:rsidRPr="00BC4264">
        <w:t xml:space="preserve">, the judge held that much of what the appellant had said in her evidence was </w:t>
      </w:r>
      <w:r w:rsidR="008726B7" w:rsidRPr="00BC4264">
        <w:t>untrue</w:t>
      </w:r>
      <w:r w:rsidRPr="00BC4264">
        <w:t xml:space="preserve"> and an attempt to confuse and mislead the court.  He </w:t>
      </w:r>
      <w:r w:rsidR="00084EC7" w:rsidRPr="00BC4264">
        <w:t xml:space="preserve">further </w:t>
      </w:r>
      <w:r w:rsidR="001E6579" w:rsidRPr="00BC4264">
        <w:t>found</w:t>
      </w:r>
      <w:r w:rsidRPr="00BC4264">
        <w:rPr>
          <w:vertAlign w:val="superscript"/>
        </w:rPr>
        <w:footnoteReference w:id="3"/>
      </w:r>
      <w:r w:rsidRPr="00BC4264">
        <w:t>:</w:t>
      </w:r>
    </w:p>
    <w:p w:rsidR="00FE7A52" w:rsidRPr="00BC4264" w:rsidRDefault="00FE7A52" w:rsidP="00FE7A52">
      <w:pPr>
        <w:pStyle w:val="j-quotation"/>
      </w:pPr>
      <w:r w:rsidRPr="00BC4264">
        <w:t xml:space="preserve">“I am satisfied from the cross-examination, it is quite clear from that, that counsel then representing the defendant found herself, as did the legal aid authorities, in the embarrassing situation of having to apply to this court for discharge of the legal aid certificate. </w:t>
      </w:r>
      <w:r w:rsidR="001727EE" w:rsidRPr="00BC4264">
        <w:t xml:space="preserve"> </w:t>
      </w:r>
      <w:r w:rsidRPr="00BC4264">
        <w:t>It is quite clear that I have been fed a cock and bull story.</w:t>
      </w:r>
      <w:r w:rsidR="00156FFE" w:rsidRPr="00BC4264">
        <w:t xml:space="preserve"> </w:t>
      </w:r>
      <w:r w:rsidRPr="00BC4264">
        <w:t xml:space="preserve"> I am satisfied on the balance of probabilities that the US$1,800.00 is liable to forfeiture under section 56(1)(a) of the Dangerous Drugs Ordinance.”</w:t>
      </w:r>
    </w:p>
    <w:p w:rsidR="00FE7A52" w:rsidRPr="00BC4264" w:rsidRDefault="00055FCE" w:rsidP="00661CB6">
      <w:pPr>
        <w:pStyle w:val="Heading1"/>
        <w:numPr>
          <w:ilvl w:val="0"/>
          <w:numId w:val="19"/>
        </w:numPr>
        <w:spacing w:before="360" w:after="0"/>
        <w:ind w:left="720" w:hanging="720"/>
        <w:jc w:val="left"/>
        <w:rPr>
          <w:i/>
          <w:sz w:val="28"/>
          <w:szCs w:val="28"/>
          <w:lang w:eastAsia="zh-TW"/>
        </w:rPr>
      </w:pPr>
      <w:r w:rsidRPr="00BC4264">
        <w:rPr>
          <w:i/>
          <w:sz w:val="28"/>
          <w:szCs w:val="28"/>
          <w:lang w:eastAsia="zh-TW"/>
        </w:rPr>
        <w:t xml:space="preserve">The appellant’s application to adduce fresh evidence on appeal – </w:t>
      </w:r>
      <w:r w:rsidR="00084EC7" w:rsidRPr="00BC4264">
        <w:rPr>
          <w:i/>
          <w:sz w:val="28"/>
          <w:szCs w:val="28"/>
          <w:lang w:eastAsia="zh-TW"/>
        </w:rPr>
        <w:t>a</w:t>
      </w:r>
      <w:r w:rsidR="00FE7A52" w:rsidRPr="00BC4264">
        <w:rPr>
          <w:i/>
          <w:sz w:val="28"/>
          <w:szCs w:val="28"/>
          <w:lang w:eastAsia="zh-TW"/>
        </w:rPr>
        <w:t>ffi</w:t>
      </w:r>
      <w:r w:rsidR="00084EC7" w:rsidRPr="00BC4264">
        <w:rPr>
          <w:i/>
          <w:sz w:val="28"/>
          <w:szCs w:val="28"/>
          <w:lang w:eastAsia="zh-TW"/>
        </w:rPr>
        <w:t>davit</w:t>
      </w:r>
      <w:r w:rsidR="00FE7A52" w:rsidRPr="00BC4264">
        <w:rPr>
          <w:i/>
          <w:sz w:val="28"/>
          <w:szCs w:val="28"/>
          <w:lang w:eastAsia="zh-TW"/>
        </w:rPr>
        <w:t xml:space="preserve"> of Father Wotherspoon</w:t>
      </w:r>
    </w:p>
    <w:p w:rsidR="00FE7A52" w:rsidRPr="00BC4264" w:rsidRDefault="00FB0C86" w:rsidP="00FE7A52">
      <w:pPr>
        <w:pStyle w:val="T-Draft"/>
      </w:pPr>
      <w:r w:rsidRPr="00BC4264">
        <w:t xml:space="preserve">For the purposes of </w:t>
      </w:r>
      <w:r w:rsidR="00B450AF" w:rsidRPr="00BC4264">
        <w:t>her appeal against sentence</w:t>
      </w:r>
      <w:r w:rsidRPr="00BC4264">
        <w:t>, the app</w:t>
      </w:r>
      <w:r w:rsidR="00832796" w:rsidRPr="00BC4264">
        <w:t>ell</w:t>
      </w:r>
      <w:r w:rsidRPr="00BC4264">
        <w:t xml:space="preserve">ant’s solicitors </w:t>
      </w:r>
      <w:r w:rsidR="004E31E7" w:rsidRPr="00BC4264">
        <w:t>also</w:t>
      </w:r>
      <w:r w:rsidRPr="00BC4264">
        <w:t xml:space="preserve"> filed</w:t>
      </w:r>
      <w:r w:rsidR="00832796" w:rsidRPr="00BC4264">
        <w:t>, on 20 December 2019,</w:t>
      </w:r>
      <w:r w:rsidRPr="00BC4264">
        <w:t xml:space="preserve"> an affidavit by </w:t>
      </w:r>
      <w:r w:rsidR="00FE7A52" w:rsidRPr="00BC4264">
        <w:t xml:space="preserve">Father </w:t>
      </w:r>
      <w:r w:rsidRPr="00BC4264">
        <w:t xml:space="preserve">John </w:t>
      </w:r>
      <w:r w:rsidR="00FE7A52" w:rsidRPr="00BC4264">
        <w:t>Wotherspoon</w:t>
      </w:r>
      <w:r w:rsidRPr="00BC4264">
        <w:t>,</w:t>
      </w:r>
      <w:r w:rsidR="00FE7A52" w:rsidRPr="00BC4264">
        <w:t xml:space="preserve"> </w:t>
      </w:r>
      <w:r w:rsidR="003A74C4" w:rsidRPr="00BC4264">
        <w:t xml:space="preserve">a </w:t>
      </w:r>
      <w:r w:rsidR="00D27366" w:rsidRPr="00BC4264">
        <w:rPr>
          <w:b/>
        </w:rPr>
        <w:t>‍</w:t>
      </w:r>
      <w:r w:rsidR="003A74C4" w:rsidRPr="00BC4264">
        <w:t>prison chaplain, outlining</w:t>
      </w:r>
      <w:r w:rsidR="00FE7A52" w:rsidRPr="00BC4264">
        <w:t xml:space="preserve"> the appellant’s </w:t>
      </w:r>
      <w:r w:rsidR="003A74C4" w:rsidRPr="00BC4264">
        <w:t>involvement</w:t>
      </w:r>
      <w:r w:rsidR="00FE7A52" w:rsidRPr="00BC4264">
        <w:t xml:space="preserve"> in his anti-drug</w:t>
      </w:r>
      <w:r w:rsidR="00832796" w:rsidRPr="00BC4264">
        <w:t>s</w:t>
      </w:r>
      <w:r w:rsidR="00FE7A52" w:rsidRPr="00BC4264">
        <w:t xml:space="preserve"> </w:t>
      </w:r>
      <w:r w:rsidR="00B450AF" w:rsidRPr="00BC4264">
        <w:t>‘</w:t>
      </w:r>
      <w:r w:rsidR="00FE7A52" w:rsidRPr="00BC4264">
        <w:t>campaign</w:t>
      </w:r>
      <w:r w:rsidR="00B450AF" w:rsidRPr="00BC4264">
        <w:t>’</w:t>
      </w:r>
      <w:r w:rsidR="00FE7A52" w:rsidRPr="00BC4264">
        <w:t xml:space="preserve">. </w:t>
      </w:r>
      <w:r w:rsidRPr="00BC4264">
        <w:t xml:space="preserve"> </w:t>
      </w:r>
      <w:r w:rsidR="00832796" w:rsidRPr="00BC4264">
        <w:t xml:space="preserve">That </w:t>
      </w:r>
      <w:r w:rsidR="003A74C4" w:rsidRPr="00BC4264">
        <w:t>involvement</w:t>
      </w:r>
      <w:r w:rsidR="00832796" w:rsidRPr="00BC4264">
        <w:t>, which he describe</w:t>
      </w:r>
      <w:r w:rsidR="00084EC7" w:rsidRPr="00BC4264">
        <w:t>d</w:t>
      </w:r>
      <w:r w:rsidR="00832796" w:rsidRPr="00BC4264">
        <w:t xml:space="preserve"> as “substantial”, comprises </w:t>
      </w:r>
      <w:r w:rsidR="004E31E7" w:rsidRPr="00BC4264">
        <w:t xml:space="preserve">a 2-page </w:t>
      </w:r>
      <w:r w:rsidR="00832796" w:rsidRPr="00BC4264">
        <w:t xml:space="preserve">letter written to him by the appellant </w:t>
      </w:r>
      <w:r w:rsidR="00084EC7" w:rsidRPr="00BC4264">
        <w:t xml:space="preserve">on 27 </w:t>
      </w:r>
      <w:r w:rsidR="00661CB6" w:rsidRPr="00BC4264">
        <w:rPr>
          <w:b/>
        </w:rPr>
        <w:t>‍</w:t>
      </w:r>
      <w:r w:rsidR="00084EC7" w:rsidRPr="00BC4264">
        <w:t xml:space="preserve">December </w:t>
      </w:r>
      <w:r w:rsidR="00661CB6" w:rsidRPr="00BC4264">
        <w:rPr>
          <w:b/>
        </w:rPr>
        <w:t>‍</w:t>
      </w:r>
      <w:r w:rsidR="00084EC7" w:rsidRPr="00BC4264">
        <w:t xml:space="preserve">2017 </w:t>
      </w:r>
      <w:r w:rsidR="003A74C4" w:rsidRPr="00BC4264">
        <w:t>and subsequently</w:t>
      </w:r>
      <w:r w:rsidR="00832796" w:rsidRPr="00BC4264">
        <w:t xml:space="preserve"> published on an Internet forum, and other assistance, which has been forwarded </w:t>
      </w:r>
      <w:r w:rsidR="00084EC7" w:rsidRPr="00BC4264">
        <w:t xml:space="preserve">by Father Wotherspoon </w:t>
      </w:r>
      <w:r w:rsidR="00832796" w:rsidRPr="00BC4264">
        <w:t>to the relevant authorities in the United States.</w:t>
      </w:r>
      <w:r w:rsidR="00FE7A52" w:rsidRPr="00BC4264">
        <w:t xml:space="preserve"> </w:t>
      </w:r>
    </w:p>
    <w:p w:rsidR="00FE7A52" w:rsidRPr="00BC4264" w:rsidRDefault="00055FCE" w:rsidP="005E6E12">
      <w:pPr>
        <w:pStyle w:val="Heading1"/>
        <w:numPr>
          <w:ilvl w:val="0"/>
          <w:numId w:val="19"/>
        </w:numPr>
        <w:spacing w:before="360" w:after="0" w:line="360" w:lineRule="auto"/>
        <w:ind w:left="720" w:hanging="720"/>
        <w:jc w:val="left"/>
        <w:rPr>
          <w:i/>
          <w:sz w:val="28"/>
          <w:szCs w:val="28"/>
          <w:lang w:eastAsia="zh-TW"/>
        </w:rPr>
      </w:pPr>
      <w:r w:rsidRPr="00BC4264">
        <w:rPr>
          <w:i/>
          <w:sz w:val="28"/>
          <w:szCs w:val="28"/>
          <w:lang w:eastAsia="zh-TW"/>
        </w:rPr>
        <w:t>An overview of the g</w:t>
      </w:r>
      <w:r w:rsidR="00FE7A52" w:rsidRPr="00BC4264">
        <w:rPr>
          <w:i/>
          <w:sz w:val="28"/>
          <w:szCs w:val="28"/>
          <w:lang w:eastAsia="zh-TW"/>
        </w:rPr>
        <w:t>rounds of appeal</w:t>
      </w:r>
    </w:p>
    <w:p w:rsidR="00FE7A52" w:rsidRPr="00BC4264" w:rsidRDefault="00FE7A52" w:rsidP="003A74C4">
      <w:pPr>
        <w:pStyle w:val="T-Draft"/>
      </w:pPr>
      <w:r w:rsidRPr="00BC4264">
        <w:t xml:space="preserve">The appellant, </w:t>
      </w:r>
      <w:r w:rsidR="00832796" w:rsidRPr="00BC4264">
        <w:t xml:space="preserve">who is now </w:t>
      </w:r>
      <w:r w:rsidRPr="00BC4264">
        <w:t xml:space="preserve">represented by Mr Walsh </w:t>
      </w:r>
      <w:r w:rsidR="00832796" w:rsidRPr="00BC4264">
        <w:t>SC, with him Mr Lee,</w:t>
      </w:r>
      <w:r w:rsidRPr="00BC4264">
        <w:t xml:space="preserve"> </w:t>
      </w:r>
      <w:r w:rsidR="00E267D1" w:rsidRPr="00BC4264">
        <w:t>has raised</w:t>
      </w:r>
      <w:r w:rsidRPr="00BC4264">
        <w:t xml:space="preserve"> two grounds of appeal</w:t>
      </w:r>
      <w:r w:rsidR="00832796" w:rsidRPr="00BC4264">
        <w:t>: the first concern</w:t>
      </w:r>
      <w:r w:rsidR="00E267D1" w:rsidRPr="00BC4264">
        <w:t>s the quantum of</w:t>
      </w:r>
      <w:r w:rsidR="00832796" w:rsidRPr="00BC4264">
        <w:t xml:space="preserve"> sentence</w:t>
      </w:r>
      <w:r w:rsidR="004E31E7" w:rsidRPr="00BC4264">
        <w:t>;</w:t>
      </w:r>
      <w:r w:rsidR="00832796" w:rsidRPr="00BC4264">
        <w:t xml:space="preserve"> the second</w:t>
      </w:r>
      <w:r w:rsidR="004E31E7" w:rsidRPr="00BC4264">
        <w:t>,</w:t>
      </w:r>
      <w:r w:rsidR="00832796" w:rsidRPr="00BC4264">
        <w:t xml:space="preserve"> the order for forfeiture.</w:t>
      </w:r>
      <w:r w:rsidR="00E267D1" w:rsidRPr="00BC4264">
        <w:t xml:space="preserve">  </w:t>
      </w:r>
      <w:r w:rsidRPr="00BC4264">
        <w:t>Ground 1 a</w:t>
      </w:r>
      <w:r w:rsidR="00E267D1" w:rsidRPr="00BC4264">
        <w:t>vers that</w:t>
      </w:r>
      <w:r w:rsidRPr="00BC4264">
        <w:t xml:space="preserve"> the judge erred in his calculation of the starting point by adopting one which exceeded the arithmetically calculated starting point</w:t>
      </w:r>
      <w:r w:rsidR="00E267D1" w:rsidRPr="00BC4264">
        <w:t xml:space="preserve">, thus resulting </w:t>
      </w:r>
      <w:r w:rsidR="00E267D1" w:rsidRPr="00BC4264">
        <w:lastRenderedPageBreak/>
        <w:t xml:space="preserve">in </w:t>
      </w:r>
      <w:r w:rsidRPr="00BC4264">
        <w:t xml:space="preserve">the sentence being </w:t>
      </w:r>
      <w:r w:rsidR="00E267D1" w:rsidRPr="00BC4264">
        <w:t>manifestly excessive and/or wrong in principle</w:t>
      </w:r>
      <w:r w:rsidR="005742B4" w:rsidRPr="00BC4264">
        <w:t xml:space="preserve"> (see </w:t>
      </w:r>
      <w:r w:rsidR="00661CB6" w:rsidRPr="00BC4264">
        <w:rPr>
          <w:b/>
        </w:rPr>
        <w:t>‍</w:t>
      </w:r>
      <w:r w:rsidR="005742B4" w:rsidRPr="00BC4264">
        <w:rPr>
          <w:b/>
        </w:rPr>
        <w:t>section F</w:t>
      </w:r>
      <w:r w:rsidR="005742B4" w:rsidRPr="00BC4264">
        <w:t xml:space="preserve"> </w:t>
      </w:r>
      <w:r w:rsidR="005742B4" w:rsidRPr="00BC4264">
        <w:rPr>
          <w:i/>
        </w:rPr>
        <w:t>infra</w:t>
      </w:r>
      <w:r w:rsidR="005742B4" w:rsidRPr="00BC4264">
        <w:t>)</w:t>
      </w:r>
      <w:r w:rsidR="00E267D1" w:rsidRPr="00BC4264">
        <w:t xml:space="preserve">.  </w:t>
      </w:r>
      <w:r w:rsidRPr="00BC4264">
        <w:t xml:space="preserve">Ground 2 alleges </w:t>
      </w:r>
      <w:r w:rsidR="00E267D1" w:rsidRPr="00BC4264">
        <w:t>that the judge erred in making the order for forfeiture by</w:t>
      </w:r>
      <w:r w:rsidR="003A74C4" w:rsidRPr="00BC4264">
        <w:t xml:space="preserve"> (i) </w:t>
      </w:r>
      <w:r w:rsidRPr="00BC4264">
        <w:t>g</w:t>
      </w:r>
      <w:r w:rsidR="00E267D1" w:rsidRPr="00BC4264">
        <w:t>iving</w:t>
      </w:r>
      <w:r w:rsidRPr="00BC4264">
        <w:t xml:space="preserve"> inadequate and insufficient reasons for rejecting the </w:t>
      </w:r>
      <w:r w:rsidR="00E267D1" w:rsidRPr="00BC4264">
        <w:t xml:space="preserve">appellant’s </w:t>
      </w:r>
      <w:r w:rsidRPr="00BC4264">
        <w:t>account; and/or</w:t>
      </w:r>
      <w:r w:rsidR="003A74C4" w:rsidRPr="00BC4264">
        <w:t xml:space="preserve"> (ii) </w:t>
      </w:r>
      <w:r w:rsidR="00E267D1" w:rsidRPr="00BC4264">
        <w:t>making an order which was</w:t>
      </w:r>
      <w:r w:rsidRPr="00BC4264">
        <w:t xml:space="preserve"> outside the scope of </w:t>
      </w:r>
      <w:r w:rsidR="00E267D1" w:rsidRPr="00BC4264">
        <w:t>s</w:t>
      </w:r>
      <w:r w:rsidRPr="00BC4264">
        <w:t xml:space="preserve">ection </w:t>
      </w:r>
      <w:r w:rsidR="004C5B0E" w:rsidRPr="00BC4264">
        <w:rPr>
          <w:b/>
        </w:rPr>
        <w:t>‍</w:t>
      </w:r>
      <w:r w:rsidRPr="00BC4264">
        <w:t>56(1) of the DDO</w:t>
      </w:r>
      <w:r w:rsidR="005742B4" w:rsidRPr="00BC4264">
        <w:t xml:space="preserve"> (see </w:t>
      </w:r>
      <w:r w:rsidR="005742B4" w:rsidRPr="00BC4264">
        <w:rPr>
          <w:b/>
        </w:rPr>
        <w:t>section G</w:t>
      </w:r>
      <w:r w:rsidR="005742B4" w:rsidRPr="00BC4264">
        <w:t xml:space="preserve"> </w:t>
      </w:r>
      <w:r w:rsidR="005742B4" w:rsidRPr="00BC4264">
        <w:rPr>
          <w:i/>
        </w:rPr>
        <w:t>infra</w:t>
      </w:r>
      <w:r w:rsidR="005742B4" w:rsidRPr="00BC4264">
        <w:t>)</w:t>
      </w:r>
      <w:r w:rsidRPr="00BC4264">
        <w:t xml:space="preserve">. </w:t>
      </w:r>
    </w:p>
    <w:p w:rsidR="00055FCE" w:rsidRPr="00BC4264" w:rsidRDefault="00055FCE" w:rsidP="00661CB6">
      <w:pPr>
        <w:pStyle w:val="Heading1"/>
        <w:numPr>
          <w:ilvl w:val="0"/>
          <w:numId w:val="19"/>
        </w:numPr>
        <w:spacing w:before="360" w:after="0" w:line="360" w:lineRule="auto"/>
        <w:ind w:left="720" w:hanging="720"/>
        <w:jc w:val="left"/>
        <w:rPr>
          <w:i/>
          <w:sz w:val="28"/>
          <w:szCs w:val="28"/>
          <w:lang w:eastAsia="zh-TW"/>
        </w:rPr>
      </w:pPr>
      <w:r w:rsidRPr="00BC4264">
        <w:rPr>
          <w:i/>
          <w:sz w:val="28"/>
          <w:szCs w:val="28"/>
          <w:lang w:eastAsia="zh-TW"/>
        </w:rPr>
        <w:t>Ground 1</w:t>
      </w:r>
    </w:p>
    <w:p w:rsidR="00055FCE" w:rsidRPr="00BC4264" w:rsidRDefault="00055FCE" w:rsidP="00661CB6">
      <w:pPr>
        <w:pStyle w:val="Heading2"/>
        <w:spacing w:before="360" w:line="240" w:lineRule="auto"/>
        <w:rPr>
          <w:sz w:val="28"/>
          <w:szCs w:val="28"/>
        </w:rPr>
      </w:pPr>
      <w:r w:rsidRPr="00BC4264">
        <w:rPr>
          <w:sz w:val="28"/>
          <w:szCs w:val="28"/>
        </w:rPr>
        <w:t>F</w:t>
      </w:r>
      <w:r w:rsidR="004E2AC1" w:rsidRPr="00BC4264">
        <w:rPr>
          <w:sz w:val="28"/>
          <w:szCs w:val="28"/>
        </w:rPr>
        <w:t>.1</w:t>
      </w:r>
      <w:r w:rsidR="00A56451" w:rsidRPr="00BC4264">
        <w:rPr>
          <w:sz w:val="28"/>
          <w:szCs w:val="28"/>
        </w:rPr>
        <w:t>.</w:t>
      </w:r>
      <w:r w:rsidR="00C67B46" w:rsidRPr="00BC4264">
        <w:rPr>
          <w:sz w:val="28"/>
          <w:szCs w:val="28"/>
        </w:rPr>
        <w:t xml:space="preserve"> </w:t>
      </w:r>
      <w:r w:rsidR="004E2AC1" w:rsidRPr="00BC4264">
        <w:rPr>
          <w:sz w:val="28"/>
          <w:szCs w:val="28"/>
        </w:rPr>
        <w:t xml:space="preserve"> </w:t>
      </w:r>
      <w:r w:rsidR="003A74C4" w:rsidRPr="00BC4264">
        <w:rPr>
          <w:sz w:val="28"/>
          <w:szCs w:val="28"/>
        </w:rPr>
        <w:t>The a</w:t>
      </w:r>
      <w:r w:rsidR="00FE7A52" w:rsidRPr="00BC4264">
        <w:rPr>
          <w:sz w:val="28"/>
          <w:szCs w:val="28"/>
        </w:rPr>
        <w:t xml:space="preserve">ppellant’s </w:t>
      </w:r>
      <w:r w:rsidR="00C91499" w:rsidRPr="00BC4264">
        <w:rPr>
          <w:sz w:val="28"/>
          <w:szCs w:val="28"/>
        </w:rPr>
        <w:t>submissions</w:t>
      </w:r>
      <w:r w:rsidRPr="00BC4264">
        <w:rPr>
          <w:sz w:val="28"/>
          <w:szCs w:val="28"/>
        </w:rPr>
        <w:t xml:space="preserve"> </w:t>
      </w:r>
      <w:r w:rsidR="003A74C4" w:rsidRPr="00BC4264">
        <w:rPr>
          <w:sz w:val="28"/>
          <w:szCs w:val="28"/>
        </w:rPr>
        <w:t xml:space="preserve">on </w:t>
      </w:r>
      <w:r w:rsidR="00E267D1" w:rsidRPr="00BC4264">
        <w:rPr>
          <w:sz w:val="28"/>
          <w:szCs w:val="28"/>
        </w:rPr>
        <w:t>G</w:t>
      </w:r>
      <w:r w:rsidR="00FE7A52" w:rsidRPr="00BC4264">
        <w:rPr>
          <w:sz w:val="28"/>
          <w:szCs w:val="28"/>
        </w:rPr>
        <w:t>round 1</w:t>
      </w:r>
    </w:p>
    <w:p w:rsidR="00055FCE" w:rsidRPr="00BC4264" w:rsidRDefault="00055FCE" w:rsidP="00661CB6">
      <w:pPr>
        <w:pStyle w:val="Heading3"/>
        <w:spacing w:before="360" w:line="360" w:lineRule="auto"/>
        <w:rPr>
          <w:i/>
          <w:sz w:val="28"/>
          <w:szCs w:val="28"/>
          <w:u w:val="none"/>
        </w:rPr>
      </w:pPr>
      <w:r w:rsidRPr="00BC4264">
        <w:rPr>
          <w:i/>
          <w:sz w:val="28"/>
          <w:szCs w:val="28"/>
          <w:u w:val="none"/>
        </w:rPr>
        <w:t>F.1.1</w:t>
      </w:r>
      <w:r w:rsidR="00A56451" w:rsidRPr="00BC4264">
        <w:rPr>
          <w:i/>
          <w:sz w:val="28"/>
          <w:szCs w:val="28"/>
          <w:u w:val="none"/>
        </w:rPr>
        <w:t>.</w:t>
      </w:r>
      <w:r w:rsidRPr="00BC4264">
        <w:rPr>
          <w:i/>
          <w:sz w:val="28"/>
          <w:szCs w:val="28"/>
          <w:u w:val="none"/>
        </w:rPr>
        <w:t xml:space="preserve">  The appellant’s </w:t>
      </w:r>
      <w:r w:rsidR="00C91499" w:rsidRPr="00BC4264">
        <w:rPr>
          <w:i/>
          <w:sz w:val="28"/>
          <w:szCs w:val="28"/>
          <w:u w:val="none"/>
        </w:rPr>
        <w:t>argument</w:t>
      </w:r>
      <w:r w:rsidRPr="00BC4264">
        <w:rPr>
          <w:i/>
          <w:sz w:val="28"/>
          <w:szCs w:val="28"/>
          <w:u w:val="none"/>
        </w:rPr>
        <w:t xml:space="preserve"> </w:t>
      </w:r>
      <w:r w:rsidR="00874FFC" w:rsidRPr="00BC4264">
        <w:rPr>
          <w:i/>
          <w:sz w:val="28"/>
          <w:szCs w:val="28"/>
          <w:u w:val="none"/>
        </w:rPr>
        <w:t>generally</w:t>
      </w:r>
    </w:p>
    <w:p w:rsidR="00FE7A52" w:rsidRPr="00BC4264" w:rsidRDefault="002E3EE8" w:rsidP="002E3EE8">
      <w:pPr>
        <w:pStyle w:val="T-Draft"/>
      </w:pPr>
      <w:r w:rsidRPr="00BC4264">
        <w:t xml:space="preserve">It </w:t>
      </w:r>
      <w:r w:rsidR="003A74C4" w:rsidRPr="00BC4264">
        <w:t>seems</w:t>
      </w:r>
      <w:r w:rsidR="00522A8F" w:rsidRPr="00BC4264">
        <w:t xml:space="preserve"> clear that</w:t>
      </w:r>
      <w:r w:rsidRPr="00BC4264">
        <w:t xml:space="preserve"> the genesis of this ground of appeal lay in the terms in which the Single Judge granted leave to appeal, having found that</w:t>
      </w:r>
      <w:r w:rsidR="00FE7A52" w:rsidRPr="00BC4264">
        <w:t xml:space="preserve"> the judge’s starting point exceeded </w:t>
      </w:r>
      <w:r w:rsidRPr="00BC4264">
        <w:t xml:space="preserve">a strict application of the </w:t>
      </w:r>
      <w:r w:rsidR="00B450AF" w:rsidRPr="00BC4264">
        <w:t xml:space="preserve">relevant sentencing </w:t>
      </w:r>
      <w:r w:rsidRPr="00BC4264">
        <w:t xml:space="preserve">guidelines to </w:t>
      </w:r>
      <w:r w:rsidR="00B450AF" w:rsidRPr="00BC4264">
        <w:t xml:space="preserve">the </w:t>
      </w:r>
      <w:r w:rsidRPr="00BC4264">
        <w:t>quantity</w:t>
      </w:r>
      <w:r w:rsidR="00FE7A52" w:rsidRPr="00BC4264">
        <w:t xml:space="preserve"> </w:t>
      </w:r>
      <w:r w:rsidR="00B450AF" w:rsidRPr="00BC4264">
        <w:t xml:space="preserve">concerned </w:t>
      </w:r>
      <w:r w:rsidR="00FE7A52" w:rsidRPr="00BC4264">
        <w:t xml:space="preserve">by some 6 weeks. </w:t>
      </w:r>
      <w:r w:rsidRPr="00BC4264">
        <w:t xml:space="preserve"> The </w:t>
      </w:r>
      <w:r w:rsidR="00FB7273" w:rsidRPr="00BC4264">
        <w:t>Single Judge had held</w:t>
      </w:r>
      <w:r w:rsidR="00922919" w:rsidRPr="00BC4264">
        <w:rPr>
          <w:rStyle w:val="FootnoteReference"/>
        </w:rPr>
        <w:footnoteReference w:id="4"/>
      </w:r>
      <w:r w:rsidRPr="00BC4264">
        <w:t>:</w:t>
      </w:r>
    </w:p>
    <w:p w:rsidR="00FE7A52" w:rsidRPr="00BC4264" w:rsidRDefault="00FE7A52" w:rsidP="00FE7A52">
      <w:pPr>
        <w:pStyle w:val="j-quotation"/>
      </w:pPr>
      <w:r w:rsidRPr="00BC4264">
        <w:t>“This raises the question of the effect of recent Court of Appeal authority in drug sentencing cases.</w:t>
      </w:r>
      <w:r w:rsidR="006D4C58" w:rsidRPr="00BC4264">
        <w:t xml:space="preserve"> </w:t>
      </w:r>
      <w:r w:rsidRPr="00BC4264">
        <w:t xml:space="preserve"> In my view it is reasonably arguable that:</w:t>
      </w:r>
    </w:p>
    <w:p w:rsidR="00FE7A52" w:rsidRPr="00BC4264" w:rsidRDefault="00FE7A52" w:rsidP="00FE7A52">
      <w:pPr>
        <w:pStyle w:val="j-quotation"/>
        <w:ind w:left="2160" w:hanging="742"/>
      </w:pPr>
      <w:r w:rsidRPr="00BC4264">
        <w:t>(i)</w:t>
      </w:r>
      <w:r w:rsidRPr="00BC4264">
        <w:tab/>
        <w:t>the initial starting point is reached by a discretionless arithmetic calculation within the relevant sentencing band;</w:t>
      </w:r>
    </w:p>
    <w:p w:rsidR="00FE7A52" w:rsidRPr="00BC4264" w:rsidRDefault="00FE7A52" w:rsidP="00FE7A52">
      <w:pPr>
        <w:pStyle w:val="j-quotation"/>
        <w:ind w:left="2160" w:hanging="742"/>
      </w:pPr>
      <w:r w:rsidRPr="00BC4264">
        <w:t>(ii)</w:t>
      </w:r>
      <w:r w:rsidRPr="00BC4264">
        <w:tab/>
        <w:t>once this arithmetic starting point is calculated the sentencing discretion comes into operation;</w:t>
      </w:r>
    </w:p>
    <w:p w:rsidR="00FE7A52" w:rsidRPr="00BC4264" w:rsidRDefault="00FE7A52" w:rsidP="00FE7A52">
      <w:pPr>
        <w:pStyle w:val="j-quotation"/>
        <w:ind w:left="2160" w:hanging="742"/>
      </w:pPr>
      <w:r w:rsidRPr="00BC4264">
        <w:t>(iii)</w:t>
      </w:r>
      <w:r w:rsidRPr="00BC4264">
        <w:tab/>
        <w:t>the sentencing discretion operates firstly to enhance the starting point by reference to any aggravating factor.</w:t>
      </w:r>
      <w:r w:rsidR="001727EE" w:rsidRPr="00BC4264">
        <w:t xml:space="preserve"> </w:t>
      </w:r>
      <w:r w:rsidRPr="00BC4264">
        <w:t xml:space="preserve"> This then becomes the court’s final starting point before allowing for any mitigation; and</w:t>
      </w:r>
    </w:p>
    <w:p w:rsidR="00FE7A52" w:rsidRPr="00BC4264" w:rsidRDefault="00FE7A52" w:rsidP="00FE7A52">
      <w:pPr>
        <w:pStyle w:val="j-quotation"/>
        <w:ind w:left="2160" w:hanging="742"/>
      </w:pPr>
      <w:r w:rsidRPr="00BC4264">
        <w:t>(iv)</w:t>
      </w:r>
      <w:r w:rsidRPr="00BC4264">
        <w:tab/>
        <w:t>this final starting point is then discounted for the mitigating factors which usually will be:</w:t>
      </w:r>
    </w:p>
    <w:p w:rsidR="00FE7A52" w:rsidRPr="00BC4264" w:rsidRDefault="00FE7A52" w:rsidP="00156FFE">
      <w:pPr>
        <w:pStyle w:val="j-quotation"/>
        <w:ind w:left="2880" w:hanging="720"/>
      </w:pPr>
      <w:r w:rsidRPr="00BC4264">
        <w:t>(a)</w:t>
      </w:r>
      <w:r w:rsidRPr="00BC4264">
        <w:tab/>
        <w:t>a plea of guilty (maximum of one-third);</w:t>
      </w:r>
    </w:p>
    <w:p w:rsidR="00FE7A52" w:rsidRPr="00BC4264" w:rsidRDefault="00FE7A52" w:rsidP="00156FFE">
      <w:pPr>
        <w:pStyle w:val="j-quotation"/>
        <w:ind w:left="2880" w:hanging="720"/>
      </w:pPr>
      <w:r w:rsidRPr="00BC4264">
        <w:lastRenderedPageBreak/>
        <w:t>(b)</w:t>
      </w:r>
      <w:r w:rsidRPr="00BC4264">
        <w:tab/>
        <w:t>assistance to the authorities (which can be up to a full one-third discount on its own and which in conjunction with a plea of guilty can take the normal one-third discount up to a maximum of two-thirds); and</w:t>
      </w:r>
    </w:p>
    <w:p w:rsidR="00FE7A52" w:rsidRPr="00BC4264" w:rsidRDefault="00FE7A52" w:rsidP="00156FFE">
      <w:pPr>
        <w:pStyle w:val="j-quotation"/>
        <w:ind w:left="2880" w:hanging="720"/>
      </w:pPr>
      <w:r w:rsidRPr="00BC4264">
        <w:t>(c)</w:t>
      </w:r>
      <w:r w:rsidRPr="00BC4264">
        <w:tab/>
        <w:t>any other mitigation.</w:t>
      </w:r>
      <w:r w:rsidR="00156FFE" w:rsidRPr="00BC4264">
        <w:t xml:space="preserve"> </w:t>
      </w:r>
      <w:r w:rsidRPr="00BC4264">
        <w:t xml:space="preserve"> It is unclear where this mitigation may come into play. </w:t>
      </w:r>
      <w:r w:rsidR="00156FFE" w:rsidRPr="00BC4264">
        <w:t xml:space="preserve"> </w:t>
      </w:r>
      <w:r w:rsidRPr="00BC4264">
        <w:t xml:space="preserve">Does it operate, where there is a plea of guilty, at step (iii) as a measure to lower the final starting point or does it operate as a separate and new step (v) at the end </w:t>
      </w:r>
      <w:r w:rsidR="00156FFE" w:rsidRPr="00BC4264">
        <w:rPr>
          <w:b/>
        </w:rPr>
        <w:t>‍</w:t>
      </w:r>
      <w:r w:rsidRPr="00BC4264">
        <w:t>of the sentencing process.</w:t>
      </w:r>
      <w:r w:rsidR="007D760A" w:rsidRPr="00BC4264">
        <w:t xml:space="preserve"> </w:t>
      </w:r>
      <w:r w:rsidRPr="00BC4264">
        <w:t xml:space="preserve"> Such form of mitigation may be a compassionate allowance by the </w:t>
      </w:r>
      <w:r w:rsidR="007D760A" w:rsidRPr="00BC4264">
        <w:rPr>
          <w:b/>
        </w:rPr>
        <w:t>‍</w:t>
      </w:r>
      <w:r w:rsidRPr="00BC4264">
        <w:t>courts in response to the defendant’s personal circumstances or a discount, as is claimed by this applicant, within the three months</w:t>
      </w:r>
      <w:r w:rsidR="00850EBF" w:rsidRPr="00BC4264">
        <w:t>’</w:t>
      </w:r>
      <w:r w:rsidRPr="00BC4264">
        <w:t xml:space="preserve"> maximum that the Court of Appeal has allowed for participation in Father Wotherspoon’s campaign.</w:t>
      </w:r>
    </w:p>
    <w:p w:rsidR="00FE7A52" w:rsidRPr="00BC4264" w:rsidRDefault="00FE7A52" w:rsidP="00FE7A52">
      <w:pPr>
        <w:pStyle w:val="j-quotation"/>
      </w:pPr>
      <w:r w:rsidRPr="00BC4264">
        <w:t>If this is the way the law has developed then it would seem appropriate for the prosecutor and the defence counsel to agree on the arithmetic calculation and to place that before the sentencing court.</w:t>
      </w:r>
      <w:r w:rsidR="007D760A" w:rsidRPr="00BC4264">
        <w:t xml:space="preserve"> </w:t>
      </w:r>
      <w:r w:rsidRPr="00BC4264">
        <w:t xml:space="preserve"> The sentencing court can then turn to the prosecutor and ask if they are relying on any aggravating factor to enhance that starting point before turning to defence counsel to hear what is being advanced in mitigation.”</w:t>
      </w:r>
    </w:p>
    <w:p w:rsidR="00FE7A52" w:rsidRPr="00BC4264" w:rsidRDefault="00183256" w:rsidP="006B7828">
      <w:pPr>
        <w:pStyle w:val="T-Draft"/>
      </w:pPr>
      <w:r w:rsidRPr="00BC4264">
        <w:t>Adopting this approach,</w:t>
      </w:r>
      <w:r w:rsidR="00850EBF" w:rsidRPr="00BC4264">
        <w:t xml:space="preserve"> </w:t>
      </w:r>
      <w:r w:rsidR="006B7828" w:rsidRPr="00BC4264">
        <w:t>Mr Walsh submitted that a sentencing court</w:t>
      </w:r>
      <w:r w:rsidR="00FE7A52" w:rsidRPr="00BC4264">
        <w:t xml:space="preserve"> should adopt a three-stage process when determining the starting point</w:t>
      </w:r>
      <w:r w:rsidR="006B7828" w:rsidRPr="00BC4264">
        <w:t xml:space="preserve"> in </w:t>
      </w:r>
      <w:r w:rsidR="00922919" w:rsidRPr="00BC4264">
        <w:t xml:space="preserve">drug </w:t>
      </w:r>
      <w:r w:rsidR="006B7828" w:rsidRPr="00BC4264">
        <w:t>trafficking cases</w:t>
      </w:r>
      <w:r w:rsidR="00FE7A52" w:rsidRPr="00BC4264">
        <w:t>.</w:t>
      </w:r>
      <w:r w:rsidR="007D760A" w:rsidRPr="00BC4264">
        <w:t xml:space="preserve"> </w:t>
      </w:r>
      <w:r w:rsidR="00FE7A52" w:rsidRPr="00BC4264">
        <w:t xml:space="preserve"> First, </w:t>
      </w:r>
      <w:r w:rsidR="00850EBF" w:rsidRPr="00BC4264">
        <w:t xml:space="preserve">the </w:t>
      </w:r>
      <w:r w:rsidR="00FE7A52" w:rsidRPr="00BC4264">
        <w:t>arithmetic</w:t>
      </w:r>
      <w:r w:rsidR="00FA2DE5" w:rsidRPr="00BC4264">
        <w:t>al</w:t>
      </w:r>
      <w:r w:rsidR="00FE7A52" w:rsidRPr="00BC4264">
        <w:t xml:space="preserve"> starting point</w:t>
      </w:r>
      <w:r w:rsidR="00522A8F" w:rsidRPr="00BC4264">
        <w:t xml:space="preserve"> should be calculated</w:t>
      </w:r>
      <w:r w:rsidR="00FE7A52" w:rsidRPr="00BC4264">
        <w:t xml:space="preserve">. </w:t>
      </w:r>
      <w:r w:rsidR="00850EBF" w:rsidRPr="00BC4264">
        <w:t xml:space="preserve"> </w:t>
      </w:r>
      <w:r w:rsidR="006B7828" w:rsidRPr="00BC4264">
        <w:t xml:space="preserve">Secondly, </w:t>
      </w:r>
      <w:r w:rsidR="00522A8F" w:rsidRPr="00BC4264">
        <w:t>the court</w:t>
      </w:r>
      <w:r w:rsidR="00FE7A52" w:rsidRPr="00BC4264">
        <w:t xml:space="preserve"> should consider any aggravating factors in order to work out a final </w:t>
      </w:r>
      <w:r w:rsidR="00B450AF" w:rsidRPr="00BC4264">
        <w:t>starting point</w:t>
      </w:r>
      <w:r w:rsidR="00FE7A52" w:rsidRPr="00BC4264">
        <w:t>.</w:t>
      </w:r>
      <w:r w:rsidR="006B7828" w:rsidRPr="00BC4264">
        <w:t xml:space="preserve">  Thirdly,</w:t>
      </w:r>
      <w:r w:rsidR="00FE7A52" w:rsidRPr="00BC4264">
        <w:t xml:space="preserve"> </w:t>
      </w:r>
      <w:r w:rsidR="00B450AF" w:rsidRPr="00BC4264">
        <w:t>the court</w:t>
      </w:r>
      <w:r w:rsidR="00FE7A52" w:rsidRPr="00BC4264">
        <w:t xml:space="preserve"> should consider any mitigating factors which would </w:t>
      </w:r>
      <w:r w:rsidR="006B7828" w:rsidRPr="00BC4264">
        <w:t xml:space="preserve">go to discount the </w:t>
      </w:r>
      <w:r w:rsidR="00B450AF" w:rsidRPr="00BC4264">
        <w:t>final starting point</w:t>
      </w:r>
      <w:r w:rsidR="00FE7A52" w:rsidRPr="00BC4264">
        <w:t xml:space="preserve">. </w:t>
      </w:r>
      <w:r w:rsidR="006B7828" w:rsidRPr="00BC4264">
        <w:t xml:space="preserve"> I</w:t>
      </w:r>
      <w:r w:rsidR="00850EBF" w:rsidRPr="00BC4264">
        <w:t xml:space="preserve">n this regard, </w:t>
      </w:r>
      <w:r w:rsidR="00522A8F" w:rsidRPr="00BC4264">
        <w:t>Mr Walsh</w:t>
      </w:r>
      <w:r w:rsidR="006B7828" w:rsidRPr="00BC4264">
        <w:t xml:space="preserve"> argued that i</w:t>
      </w:r>
      <w:r w:rsidR="00FE7A52" w:rsidRPr="00BC4264">
        <w:t xml:space="preserve">nsofar as the defendant’s personal </w:t>
      </w:r>
      <w:r w:rsidRPr="00BC4264">
        <w:t xml:space="preserve">mitigating </w:t>
      </w:r>
      <w:r w:rsidR="00FE7A52" w:rsidRPr="00BC4264">
        <w:t xml:space="preserve">circumstances </w:t>
      </w:r>
      <w:r w:rsidR="00850EBF" w:rsidRPr="00BC4264">
        <w:t>we</w:t>
      </w:r>
      <w:r w:rsidR="00FE7A52" w:rsidRPr="00BC4264">
        <w:t xml:space="preserve">re concerned, a </w:t>
      </w:r>
      <w:r w:rsidR="006B7828" w:rsidRPr="00BC4264">
        <w:t>reduction</w:t>
      </w:r>
      <w:r w:rsidR="00FE7A52" w:rsidRPr="00BC4264">
        <w:t xml:space="preserve"> should </w:t>
      </w:r>
      <w:r w:rsidR="00850EBF" w:rsidRPr="00BC4264">
        <w:t xml:space="preserve">only </w:t>
      </w:r>
      <w:r w:rsidR="00FE7A52" w:rsidRPr="00BC4264">
        <w:t xml:space="preserve">be given </w:t>
      </w:r>
      <w:r w:rsidR="00FE7A52" w:rsidRPr="00BC4264">
        <w:rPr>
          <w:i/>
        </w:rPr>
        <w:t>after</w:t>
      </w:r>
      <w:r w:rsidR="00FE7A52" w:rsidRPr="00BC4264">
        <w:t xml:space="preserve"> </w:t>
      </w:r>
      <w:r w:rsidR="006B7828" w:rsidRPr="00BC4264">
        <w:t xml:space="preserve">the appropriate discount for plea and, </w:t>
      </w:r>
      <w:r w:rsidR="00850EBF" w:rsidRPr="00BC4264">
        <w:t>where</w:t>
      </w:r>
      <w:r w:rsidR="006B7828" w:rsidRPr="00BC4264">
        <w:t xml:space="preserve"> appropriate, </w:t>
      </w:r>
      <w:r w:rsidR="00850EBF" w:rsidRPr="00BC4264">
        <w:t>any</w:t>
      </w:r>
      <w:r w:rsidR="00FE7A52" w:rsidRPr="00BC4264">
        <w:t xml:space="preserve"> </w:t>
      </w:r>
      <w:r w:rsidR="00084EC7" w:rsidRPr="00BC4264">
        <w:t xml:space="preserve">reduction for </w:t>
      </w:r>
      <w:r w:rsidR="006B7828" w:rsidRPr="00BC4264">
        <w:t xml:space="preserve">assistance to the authorities. </w:t>
      </w:r>
      <w:r w:rsidR="00FE7A52" w:rsidRPr="00BC4264">
        <w:t xml:space="preserve"> </w:t>
      </w:r>
    </w:p>
    <w:p w:rsidR="00FE7A52" w:rsidRPr="00BC4264" w:rsidRDefault="006B7828" w:rsidP="00745460">
      <w:pPr>
        <w:pStyle w:val="T-Draft"/>
      </w:pPr>
      <w:r w:rsidRPr="00BC4264">
        <w:lastRenderedPageBreak/>
        <w:t xml:space="preserve">In respect of this latter argument, leading counsel illustrated the advantage to </w:t>
      </w:r>
      <w:r w:rsidR="00FB7273" w:rsidRPr="00BC4264">
        <w:t>a</w:t>
      </w:r>
      <w:r w:rsidRPr="00BC4264">
        <w:t xml:space="preserve"> defendant of </w:t>
      </w:r>
      <w:r w:rsidR="00DA46AF" w:rsidRPr="00BC4264">
        <w:t>the sentencing judge applying a discount in respect of</w:t>
      </w:r>
      <w:r w:rsidRPr="00BC4264">
        <w:t xml:space="preserve"> other mitigating factors </w:t>
      </w:r>
      <w:r w:rsidRPr="00BC4264">
        <w:rPr>
          <w:i/>
        </w:rPr>
        <w:t>after</w:t>
      </w:r>
      <w:r w:rsidR="00183256" w:rsidRPr="00BC4264">
        <w:t xml:space="preserve"> </w:t>
      </w:r>
      <w:r w:rsidR="00DA46AF" w:rsidRPr="00BC4264">
        <w:t xml:space="preserve">the </w:t>
      </w:r>
      <w:r w:rsidRPr="00BC4264">
        <w:t>discount for plea.</w:t>
      </w:r>
      <w:r w:rsidR="00FE7A52" w:rsidRPr="00BC4264">
        <w:t xml:space="preserve"> </w:t>
      </w:r>
      <w:r w:rsidR="00DA46AF" w:rsidRPr="00BC4264">
        <w:t xml:space="preserve"> If the defendant were</w:t>
      </w:r>
      <w:r w:rsidR="00850EBF" w:rsidRPr="00BC4264">
        <w:t>, for example, to be</w:t>
      </w:r>
      <w:r w:rsidR="00DA46AF" w:rsidRPr="00BC4264">
        <w:t xml:space="preserve"> given a specific discount of 3 months for </w:t>
      </w:r>
      <w:r w:rsidR="00084EC7" w:rsidRPr="00BC4264">
        <w:t>excessive</w:t>
      </w:r>
      <w:r w:rsidR="00DA46AF" w:rsidRPr="00BC4264">
        <w:t xml:space="preserve"> delay in prosecution, his starting point of</w:t>
      </w:r>
      <w:r w:rsidR="00FE7A52" w:rsidRPr="00BC4264">
        <w:t xml:space="preserve"> 6 </w:t>
      </w:r>
      <w:r w:rsidR="007D760A" w:rsidRPr="00BC4264">
        <w:rPr>
          <w:b/>
        </w:rPr>
        <w:t>‍</w:t>
      </w:r>
      <w:r w:rsidR="007D760A" w:rsidRPr="00BC4264">
        <w:t>years</w:t>
      </w:r>
      <w:r w:rsidR="00E06254" w:rsidRPr="00BC4264">
        <w:t>’</w:t>
      </w:r>
      <w:r w:rsidR="007D760A" w:rsidRPr="00BC4264">
        <w:t xml:space="preserve"> (</w:t>
      </w:r>
      <w:r w:rsidR="00E06254" w:rsidRPr="00BC4264">
        <w:t>or</w:t>
      </w:r>
      <w:r w:rsidR="00FE7A52" w:rsidRPr="00BC4264">
        <w:t xml:space="preserve"> </w:t>
      </w:r>
      <w:r w:rsidR="00004AFA" w:rsidRPr="00004AFA">
        <w:rPr>
          <w:b/>
        </w:rPr>
        <w:t>‍</w:t>
      </w:r>
      <w:r w:rsidR="00FE7A52" w:rsidRPr="00BC4264">
        <w:t xml:space="preserve">72 </w:t>
      </w:r>
      <w:r w:rsidR="00004AFA" w:rsidRPr="00004AFA">
        <w:rPr>
          <w:b/>
        </w:rPr>
        <w:t>‍</w:t>
      </w:r>
      <w:r w:rsidR="00FE7A52" w:rsidRPr="00BC4264">
        <w:t>months</w:t>
      </w:r>
      <w:r w:rsidR="00E06254" w:rsidRPr="00BC4264">
        <w:t>’</w:t>
      </w:r>
      <w:r w:rsidR="00FE7A52" w:rsidRPr="00BC4264">
        <w:t>)</w:t>
      </w:r>
      <w:r w:rsidR="00DA46AF" w:rsidRPr="00BC4264">
        <w:t xml:space="preserve"> would be reduced to 69 months</w:t>
      </w:r>
      <w:r w:rsidR="00E06254" w:rsidRPr="00BC4264">
        <w:t>’ imprisonment</w:t>
      </w:r>
      <w:r w:rsidR="00FE7A52" w:rsidRPr="00BC4264">
        <w:t>.</w:t>
      </w:r>
      <w:r w:rsidR="00DA46AF" w:rsidRPr="00BC4264">
        <w:t xml:space="preserve">  A one</w:t>
      </w:r>
      <w:r w:rsidR="00914EBA">
        <w:noBreakHyphen/>
      </w:r>
      <w:r w:rsidR="00DA46AF" w:rsidRPr="00BC4264">
        <w:t xml:space="preserve">third discount for plea </w:t>
      </w:r>
      <w:r w:rsidR="00850EBF" w:rsidRPr="00BC4264">
        <w:t xml:space="preserve">from that starting point </w:t>
      </w:r>
      <w:r w:rsidR="00DA46AF" w:rsidRPr="00BC4264">
        <w:t xml:space="preserve">would then take the ultimate sentence to 46 months’ imprisonment.  </w:t>
      </w:r>
      <w:r w:rsidR="00F7762C" w:rsidRPr="00BC4264">
        <w:t>However</w:t>
      </w:r>
      <w:r w:rsidR="00850EBF" w:rsidRPr="00BC4264">
        <w:t>,</w:t>
      </w:r>
      <w:r w:rsidR="00DA46AF" w:rsidRPr="00BC4264">
        <w:t xml:space="preserve"> if the 3 months’ reduction </w:t>
      </w:r>
      <w:r w:rsidR="00850EBF" w:rsidRPr="00BC4264">
        <w:t xml:space="preserve">for delay </w:t>
      </w:r>
      <w:r w:rsidR="00DA46AF" w:rsidRPr="00BC4264">
        <w:t xml:space="preserve">were given </w:t>
      </w:r>
      <w:r w:rsidR="00DA46AF" w:rsidRPr="00BC4264">
        <w:rPr>
          <w:i/>
        </w:rPr>
        <w:t>after</w:t>
      </w:r>
      <w:r w:rsidR="00DA46AF" w:rsidRPr="00BC4264">
        <w:t xml:space="preserve"> the discount for plea, the ultimate sentence would be 45 months’ imprisonment.</w:t>
      </w:r>
      <w:r w:rsidR="00850EBF" w:rsidRPr="00BC4264">
        <w:t xml:space="preserve">  </w:t>
      </w:r>
      <w:r w:rsidR="00DA46AF" w:rsidRPr="00BC4264">
        <w:t xml:space="preserve">This was said to be particularly </w:t>
      </w:r>
      <w:r w:rsidR="00850EBF" w:rsidRPr="00BC4264">
        <w:t>important</w:t>
      </w:r>
      <w:r w:rsidR="00DA46AF" w:rsidRPr="00BC4264">
        <w:t xml:space="preserve"> in situation</w:t>
      </w:r>
      <w:r w:rsidR="00850EBF" w:rsidRPr="00BC4264">
        <w:t>s</w:t>
      </w:r>
      <w:r w:rsidR="00DA46AF" w:rsidRPr="00BC4264">
        <w:t xml:space="preserve"> where the notional sentence after trial exceeded the jurisdictional limit of the court.  </w:t>
      </w:r>
      <w:r w:rsidR="00FE7A52" w:rsidRPr="00BC4264">
        <w:t xml:space="preserve"> In such situation</w:t>
      </w:r>
      <w:r w:rsidR="00850EBF" w:rsidRPr="00BC4264">
        <w:t>s</w:t>
      </w:r>
      <w:r w:rsidR="00DA46AF" w:rsidRPr="00BC4264">
        <w:t xml:space="preserve">, only if further </w:t>
      </w:r>
      <w:r w:rsidR="00FE7A52" w:rsidRPr="00BC4264">
        <w:t xml:space="preserve">mitigating factors </w:t>
      </w:r>
      <w:r w:rsidR="00084EC7" w:rsidRPr="00BC4264">
        <w:t>were to be</w:t>
      </w:r>
      <w:r w:rsidR="00FE7A52" w:rsidRPr="00BC4264">
        <w:t xml:space="preserve"> considered </w:t>
      </w:r>
      <w:r w:rsidR="00FE7A52" w:rsidRPr="00BC4264">
        <w:rPr>
          <w:i/>
        </w:rPr>
        <w:t>after</w:t>
      </w:r>
      <w:r w:rsidR="00FE7A52" w:rsidRPr="00BC4264">
        <w:t xml:space="preserve"> the</w:t>
      </w:r>
      <w:r w:rsidR="00DA46AF" w:rsidRPr="00BC4264">
        <w:t xml:space="preserve"> one-third</w:t>
      </w:r>
      <w:r w:rsidR="00FE7A52" w:rsidRPr="00BC4264">
        <w:t xml:space="preserve"> discount</w:t>
      </w:r>
      <w:r w:rsidR="00850EBF" w:rsidRPr="00BC4264">
        <w:t xml:space="preserve"> </w:t>
      </w:r>
      <w:r w:rsidR="00922919" w:rsidRPr="00BC4264">
        <w:t xml:space="preserve">had been applied, </w:t>
      </w:r>
      <w:r w:rsidR="00850EBF" w:rsidRPr="00BC4264">
        <w:t>c</w:t>
      </w:r>
      <w:r w:rsidR="00084EC7" w:rsidRPr="00BC4264">
        <w:t>ould</w:t>
      </w:r>
      <w:r w:rsidR="00E06254" w:rsidRPr="00BC4264">
        <w:t xml:space="preserve"> </w:t>
      </w:r>
      <w:r w:rsidR="00850EBF" w:rsidRPr="00BC4264">
        <w:t>they be meaningfully reflected in the outcome.</w:t>
      </w:r>
      <w:r w:rsidR="00745460" w:rsidRPr="00BC4264">
        <w:t xml:space="preserve"> </w:t>
      </w:r>
    </w:p>
    <w:p w:rsidR="00FE7A52" w:rsidRPr="00BC4264" w:rsidRDefault="00055FCE" w:rsidP="00355941">
      <w:pPr>
        <w:pStyle w:val="Heading3"/>
        <w:spacing w:before="360" w:line="240" w:lineRule="auto"/>
        <w:ind w:left="990" w:hanging="990"/>
        <w:rPr>
          <w:i/>
          <w:sz w:val="28"/>
          <w:szCs w:val="28"/>
          <w:u w:val="none"/>
        </w:rPr>
      </w:pPr>
      <w:r w:rsidRPr="00BC4264">
        <w:rPr>
          <w:i/>
          <w:sz w:val="28"/>
          <w:szCs w:val="28"/>
          <w:u w:val="none"/>
        </w:rPr>
        <w:t>F</w:t>
      </w:r>
      <w:r w:rsidR="004E2AC1" w:rsidRPr="00BC4264">
        <w:rPr>
          <w:i/>
          <w:sz w:val="28"/>
          <w:szCs w:val="28"/>
          <w:u w:val="none"/>
        </w:rPr>
        <w:t>.1.</w:t>
      </w:r>
      <w:r w:rsidRPr="00BC4264">
        <w:rPr>
          <w:i/>
          <w:sz w:val="28"/>
          <w:szCs w:val="28"/>
          <w:u w:val="none"/>
        </w:rPr>
        <w:t>2</w:t>
      </w:r>
      <w:r w:rsidR="00A56451" w:rsidRPr="00BC4264">
        <w:rPr>
          <w:i/>
          <w:sz w:val="28"/>
          <w:szCs w:val="28"/>
          <w:u w:val="none"/>
        </w:rPr>
        <w:t>.</w:t>
      </w:r>
      <w:r w:rsidR="00C67B46" w:rsidRPr="00BC4264">
        <w:rPr>
          <w:i/>
          <w:sz w:val="28"/>
          <w:szCs w:val="28"/>
          <w:u w:val="none"/>
        </w:rPr>
        <w:t xml:space="preserve"> </w:t>
      </w:r>
      <w:r w:rsidR="004E2AC1" w:rsidRPr="00BC4264">
        <w:rPr>
          <w:i/>
          <w:sz w:val="28"/>
          <w:szCs w:val="28"/>
          <w:u w:val="none"/>
        </w:rPr>
        <w:t xml:space="preserve"> </w:t>
      </w:r>
      <w:r w:rsidRPr="00BC4264">
        <w:rPr>
          <w:i/>
          <w:sz w:val="28"/>
          <w:szCs w:val="28"/>
          <w:u w:val="none"/>
        </w:rPr>
        <w:t xml:space="preserve">The appellant’s submissions on </w:t>
      </w:r>
      <w:r w:rsidR="00084EC7" w:rsidRPr="00BC4264">
        <w:rPr>
          <w:i/>
          <w:sz w:val="28"/>
          <w:szCs w:val="28"/>
          <w:u w:val="none"/>
        </w:rPr>
        <w:t>a</w:t>
      </w:r>
      <w:r w:rsidRPr="00BC4264">
        <w:rPr>
          <w:i/>
          <w:sz w:val="28"/>
          <w:szCs w:val="28"/>
          <w:u w:val="none"/>
        </w:rPr>
        <w:t xml:space="preserve"> p</w:t>
      </w:r>
      <w:r w:rsidR="00FE7A52" w:rsidRPr="00BC4264">
        <w:rPr>
          <w:i/>
          <w:sz w:val="28"/>
          <w:szCs w:val="28"/>
          <w:u w:val="none"/>
        </w:rPr>
        <w:t>rior agreement as to starting point</w:t>
      </w:r>
    </w:p>
    <w:p w:rsidR="00FE7A52" w:rsidRPr="00BC4264" w:rsidRDefault="00FE7A52" w:rsidP="00FE7A52">
      <w:pPr>
        <w:pStyle w:val="T-Draft"/>
      </w:pPr>
      <w:r w:rsidRPr="00BC4264">
        <w:t xml:space="preserve">Mr Walsh </w:t>
      </w:r>
      <w:r w:rsidR="007649B5" w:rsidRPr="00BC4264">
        <w:t>contended that</w:t>
      </w:r>
      <w:r w:rsidRPr="00BC4264">
        <w:t xml:space="preserve"> a </w:t>
      </w:r>
      <w:r w:rsidR="00522A8F" w:rsidRPr="00BC4264">
        <w:t xml:space="preserve">necessary first step </w:t>
      </w:r>
      <w:r w:rsidR="001A13E6" w:rsidRPr="00BC4264">
        <w:t xml:space="preserve">in the sentencing process </w:t>
      </w:r>
      <w:r w:rsidRPr="00BC4264">
        <w:t>would be for the p</w:t>
      </w:r>
      <w:r w:rsidR="00522A8F" w:rsidRPr="00BC4264">
        <w:t xml:space="preserve">rosecution and defence to come </w:t>
      </w:r>
      <w:r w:rsidRPr="00BC4264">
        <w:t>to an agreement as to what the starting point should be by way of arithmetic</w:t>
      </w:r>
      <w:r w:rsidR="00922919" w:rsidRPr="00BC4264">
        <w:t>al</w:t>
      </w:r>
      <w:r w:rsidRPr="00BC4264">
        <w:t xml:space="preserve"> calculation. </w:t>
      </w:r>
      <w:r w:rsidR="007649B5" w:rsidRPr="00BC4264">
        <w:t xml:space="preserve"> </w:t>
      </w:r>
      <w:r w:rsidRPr="00BC4264">
        <w:t>This would minimi</w:t>
      </w:r>
      <w:r w:rsidR="007649B5" w:rsidRPr="00BC4264">
        <w:t>s</w:t>
      </w:r>
      <w:r w:rsidRPr="00BC4264">
        <w:t xml:space="preserve">e the risk of the sentencing court adopting an incorrect </w:t>
      </w:r>
      <w:r w:rsidR="00F7762C" w:rsidRPr="00BC4264">
        <w:t>arithmetic</w:t>
      </w:r>
      <w:r w:rsidR="00922919" w:rsidRPr="00BC4264">
        <w:t>al</w:t>
      </w:r>
      <w:r w:rsidR="00F7762C" w:rsidRPr="00BC4264">
        <w:t xml:space="preserve"> </w:t>
      </w:r>
      <w:r w:rsidRPr="00BC4264">
        <w:t xml:space="preserve">starting point. </w:t>
      </w:r>
      <w:r w:rsidR="007649B5" w:rsidRPr="00BC4264">
        <w:t xml:space="preserve"> </w:t>
      </w:r>
      <w:r w:rsidRPr="00BC4264">
        <w:t>It would also reduce the number of complaints by litigants acting in</w:t>
      </w:r>
      <w:r w:rsidR="007649B5" w:rsidRPr="00BC4264">
        <w:t xml:space="preserve"> </w:t>
      </w:r>
      <w:r w:rsidRPr="00BC4264">
        <w:t>person</w:t>
      </w:r>
      <w:r w:rsidR="007649B5" w:rsidRPr="00BC4264">
        <w:t>,</w:t>
      </w:r>
      <w:r w:rsidRPr="00BC4264">
        <w:t xml:space="preserve"> who perceive</w:t>
      </w:r>
      <w:r w:rsidR="007649B5" w:rsidRPr="00BC4264">
        <w:t>d</w:t>
      </w:r>
      <w:r w:rsidRPr="00BC4264">
        <w:t xml:space="preserve"> a miscarriage of justice ha</w:t>
      </w:r>
      <w:r w:rsidR="007649B5" w:rsidRPr="00BC4264">
        <w:t>d</w:t>
      </w:r>
      <w:r w:rsidRPr="00BC4264">
        <w:t xml:space="preserve"> been done</w:t>
      </w:r>
      <w:r w:rsidR="001A13E6" w:rsidRPr="00BC4264">
        <w:t xml:space="preserve"> to them </w:t>
      </w:r>
      <w:r w:rsidR="007649B5" w:rsidRPr="00BC4264">
        <w:t>if</w:t>
      </w:r>
      <w:r w:rsidRPr="00BC4264">
        <w:t xml:space="preserve"> another </w:t>
      </w:r>
      <w:r w:rsidR="001A13E6" w:rsidRPr="00BC4264">
        <w:t>defendant had</w:t>
      </w:r>
      <w:r w:rsidRPr="00BC4264">
        <w:t xml:space="preserve"> received a lighter sentence</w:t>
      </w:r>
      <w:r w:rsidR="007649B5" w:rsidRPr="00BC4264">
        <w:t xml:space="preserve"> for trafficking in the same</w:t>
      </w:r>
      <w:r w:rsidR="004E31E7" w:rsidRPr="00BC4264">
        <w:t>,</w:t>
      </w:r>
      <w:r w:rsidR="007649B5" w:rsidRPr="00BC4264">
        <w:t xml:space="preserve"> or even a larger</w:t>
      </w:r>
      <w:r w:rsidR="004E31E7" w:rsidRPr="00BC4264">
        <w:t>,</w:t>
      </w:r>
      <w:r w:rsidR="007649B5" w:rsidRPr="00BC4264">
        <w:t xml:space="preserve"> quantity of</w:t>
      </w:r>
      <w:r w:rsidRPr="00BC4264">
        <w:t xml:space="preserve"> dangerous drugs. </w:t>
      </w:r>
    </w:p>
    <w:p w:rsidR="00FE7A52" w:rsidRPr="00BC4264" w:rsidRDefault="007649B5" w:rsidP="00FE7A52">
      <w:pPr>
        <w:pStyle w:val="T-Draft"/>
      </w:pPr>
      <w:r w:rsidRPr="00BC4264">
        <w:lastRenderedPageBreak/>
        <w:t>Leading counsel referred to</w:t>
      </w:r>
      <w:r w:rsidR="00FE7A52" w:rsidRPr="00BC4264">
        <w:t xml:space="preserve"> </w:t>
      </w:r>
      <w:r w:rsidR="00FE7A52" w:rsidRPr="00BC4264">
        <w:rPr>
          <w:i/>
        </w:rPr>
        <w:t>Chan Chi</w:t>
      </w:r>
      <w:r w:rsidR="004E31E7" w:rsidRPr="00BC4264">
        <w:rPr>
          <w:i/>
        </w:rPr>
        <w:t>-mi</w:t>
      </w:r>
      <w:r w:rsidR="00FE7A52" w:rsidRPr="00BC4264">
        <w:rPr>
          <w:i/>
        </w:rPr>
        <w:t>ng v R</w:t>
      </w:r>
      <w:r w:rsidR="00FE7A52" w:rsidRPr="00BC4264">
        <w:rPr>
          <w:vertAlign w:val="superscript"/>
        </w:rPr>
        <w:footnoteReference w:id="5"/>
      </w:r>
      <w:r w:rsidRPr="00BC4264">
        <w:t xml:space="preserve">, </w:t>
      </w:r>
      <w:r w:rsidR="00FE7A52" w:rsidRPr="00BC4264">
        <w:t xml:space="preserve">where </w:t>
      </w:r>
      <w:r w:rsidR="00B161E1" w:rsidRPr="00BC4264">
        <w:t xml:space="preserve">from the outset </w:t>
      </w:r>
      <w:r w:rsidR="003C4424" w:rsidRPr="00BC4264">
        <w:t xml:space="preserve">of its judgment </w:t>
      </w:r>
      <w:r w:rsidR="00FE7A52" w:rsidRPr="00BC4264">
        <w:t>th</w:t>
      </w:r>
      <w:r w:rsidR="004D17B5" w:rsidRPr="00BC4264">
        <w:t>e</w:t>
      </w:r>
      <w:r w:rsidR="00FE7A52" w:rsidRPr="00BC4264">
        <w:t xml:space="preserve"> </w:t>
      </w:r>
      <w:r w:rsidR="007D760A" w:rsidRPr="00BC4264">
        <w:rPr>
          <w:b/>
        </w:rPr>
        <w:t>‍</w:t>
      </w:r>
      <w:r w:rsidR="00FE7A52" w:rsidRPr="00BC4264">
        <w:t xml:space="preserve">Court </w:t>
      </w:r>
      <w:r w:rsidRPr="00BC4264">
        <w:t xml:space="preserve">had </w:t>
      </w:r>
      <w:r w:rsidR="00FE7A52" w:rsidRPr="00BC4264">
        <w:t>emphasi</w:t>
      </w:r>
      <w:r w:rsidRPr="00BC4264">
        <w:t>s</w:t>
      </w:r>
      <w:r w:rsidR="00FE7A52" w:rsidRPr="00BC4264">
        <w:t xml:space="preserve">ed the need for consistency in the development of </w:t>
      </w:r>
      <w:r w:rsidRPr="00BC4264">
        <w:t>sentencing guidelines</w:t>
      </w:r>
      <w:r w:rsidRPr="00BC4264">
        <w:rPr>
          <w:rStyle w:val="FootnoteReference"/>
        </w:rPr>
        <w:footnoteReference w:id="6"/>
      </w:r>
      <w:r w:rsidR="00FE7A52" w:rsidRPr="00BC4264">
        <w:t>:</w:t>
      </w:r>
    </w:p>
    <w:p w:rsidR="00FE7A52" w:rsidRPr="00BC4264" w:rsidRDefault="00FE7A52" w:rsidP="00FE7A52">
      <w:pPr>
        <w:pStyle w:val="j-quotation"/>
      </w:pPr>
      <w:r w:rsidRPr="00BC4264">
        <w:t xml:space="preserve">“It may perhaps be objected that in attempting to prescribe a tariff for this offence, we are interfering improperly with the discretion of courts of trial. </w:t>
      </w:r>
      <w:r w:rsidR="00156FFE" w:rsidRPr="00BC4264">
        <w:t xml:space="preserve"> </w:t>
      </w:r>
      <w:r w:rsidRPr="00BC4264">
        <w:t>We do not think so, for the following reasons:-</w:t>
      </w:r>
    </w:p>
    <w:p w:rsidR="00FE7A52" w:rsidRPr="00BC4264" w:rsidRDefault="00FE7A52" w:rsidP="00FE7A52">
      <w:pPr>
        <w:pStyle w:val="j-quotation"/>
      </w:pPr>
      <w:r w:rsidRPr="00BC4264">
        <w:t>…</w:t>
      </w:r>
    </w:p>
    <w:p w:rsidR="00FE7A52" w:rsidRPr="00BC4264" w:rsidRDefault="00FE7A52" w:rsidP="007D760A">
      <w:pPr>
        <w:pStyle w:val="j-quotation"/>
        <w:tabs>
          <w:tab w:val="clear" w:pos="1418"/>
          <w:tab w:val="left" w:pos="2160"/>
        </w:tabs>
        <w:ind w:left="2160" w:hanging="742"/>
      </w:pPr>
      <w:r w:rsidRPr="00BC4264">
        <w:t>c)</w:t>
      </w:r>
      <w:r w:rsidR="007D760A" w:rsidRPr="00BC4264">
        <w:tab/>
      </w:r>
      <w:r w:rsidR="007649B5" w:rsidRPr="00BC4264">
        <w:t>F</w:t>
      </w:r>
      <w:r w:rsidRPr="00BC4264">
        <w:t>airness to convicted persons requires a substantial degree of consistency in the punishment to be imposed for similar offences;</w:t>
      </w:r>
    </w:p>
    <w:p w:rsidR="00FE7A52" w:rsidRPr="00BC4264" w:rsidRDefault="00FE7A52" w:rsidP="007D760A">
      <w:pPr>
        <w:pStyle w:val="j-quotation"/>
        <w:tabs>
          <w:tab w:val="clear" w:pos="1418"/>
          <w:tab w:val="left" w:pos="2160"/>
        </w:tabs>
        <w:ind w:left="2160" w:hanging="742"/>
      </w:pPr>
      <w:r w:rsidRPr="00BC4264">
        <w:t>d)</w:t>
      </w:r>
      <w:r w:rsidR="007D760A" w:rsidRPr="00BC4264">
        <w:tab/>
      </w:r>
      <w:r w:rsidR="007649B5" w:rsidRPr="00BC4264">
        <w:t>W</w:t>
      </w:r>
      <w:r w:rsidRPr="00BC4264">
        <w:t>hile there never can be perfect consistency</w:t>
      </w:r>
      <w:r w:rsidR="007649B5" w:rsidRPr="00BC4264">
        <w:t>,</w:t>
      </w:r>
      <w:r w:rsidRPr="00BC4264">
        <w:t xml:space="preserve"> since the facts of each case and the record, character and circumstances of convicted persons differ, justice requires that there should not be wide variations in punishment because of individual views of judges or magistrates”</w:t>
      </w:r>
      <w:r w:rsidR="007649B5" w:rsidRPr="00BC4264">
        <w:t>.</w:t>
      </w:r>
    </w:p>
    <w:p w:rsidR="00FE7A52" w:rsidRPr="00BC4264" w:rsidRDefault="007649B5" w:rsidP="007649B5">
      <w:pPr>
        <w:pStyle w:val="T-Draft"/>
      </w:pPr>
      <w:r w:rsidRPr="00BC4264">
        <w:t>Mr Walsh</w:t>
      </w:r>
      <w:r w:rsidR="00FE7A52" w:rsidRPr="00BC4264">
        <w:t xml:space="preserve"> </w:t>
      </w:r>
      <w:r w:rsidRPr="00BC4264">
        <w:t>argued</w:t>
      </w:r>
      <w:r w:rsidR="00FE7A52" w:rsidRPr="00BC4264">
        <w:t xml:space="preserve"> that, </w:t>
      </w:r>
      <w:r w:rsidRPr="00BC4264">
        <w:t>unless a strict arithmetical approach is adopted</w:t>
      </w:r>
      <w:r w:rsidR="00FE7A52" w:rsidRPr="00BC4264">
        <w:t xml:space="preserve">, starting points for </w:t>
      </w:r>
      <w:r w:rsidRPr="00BC4264">
        <w:t xml:space="preserve">offences of </w:t>
      </w:r>
      <w:r w:rsidR="00FE7A52" w:rsidRPr="00BC4264">
        <w:t>drug traffick</w:t>
      </w:r>
      <w:r w:rsidRPr="00BC4264">
        <w:t>ing</w:t>
      </w:r>
      <w:r w:rsidR="00A5239A" w:rsidRPr="00BC4264">
        <w:t xml:space="preserve"> in similar quantities</w:t>
      </w:r>
      <w:r w:rsidR="00FE7A52" w:rsidRPr="00BC4264">
        <w:t xml:space="preserve"> w</w:t>
      </w:r>
      <w:r w:rsidRPr="00BC4264">
        <w:t xml:space="preserve">ill vary.  He </w:t>
      </w:r>
      <w:r w:rsidR="00F7762C" w:rsidRPr="00BC4264">
        <w:t>produced</w:t>
      </w:r>
      <w:r w:rsidRPr="00BC4264">
        <w:t xml:space="preserve"> a table </w:t>
      </w:r>
      <w:r w:rsidR="00F7762C" w:rsidRPr="00BC4264">
        <w:t xml:space="preserve">of </w:t>
      </w:r>
      <w:r w:rsidR="00FF49B3" w:rsidRPr="00BC4264">
        <w:t xml:space="preserve">90 </w:t>
      </w:r>
      <w:r w:rsidR="00F7762C" w:rsidRPr="00BC4264">
        <w:t>cases</w:t>
      </w:r>
      <w:r w:rsidR="001A13E6" w:rsidRPr="00BC4264">
        <w:rPr>
          <w:rStyle w:val="FootnoteReference"/>
        </w:rPr>
        <w:footnoteReference w:id="7"/>
      </w:r>
      <w:r w:rsidR="00F7762C" w:rsidRPr="00BC4264">
        <w:t xml:space="preserve"> </w:t>
      </w:r>
      <w:r w:rsidR="00FF49B3" w:rsidRPr="00BC4264">
        <w:t xml:space="preserve">heard over the past 10 years, involving defendants who have trafficked in </w:t>
      </w:r>
      <w:r w:rsidR="004E31E7" w:rsidRPr="00BC4264">
        <w:t>quantities</w:t>
      </w:r>
      <w:r w:rsidR="00FF49B3" w:rsidRPr="00BC4264">
        <w:t xml:space="preserve"> of between 40 and 60 </w:t>
      </w:r>
      <w:r w:rsidR="007D760A" w:rsidRPr="00BC4264">
        <w:rPr>
          <w:b/>
        </w:rPr>
        <w:t>‍</w:t>
      </w:r>
      <w:r w:rsidR="00FF49B3" w:rsidRPr="00BC4264">
        <w:t xml:space="preserve">grammes of cocaine (or heroin) narcotic, </w:t>
      </w:r>
      <w:r w:rsidRPr="00BC4264">
        <w:t xml:space="preserve">which </w:t>
      </w:r>
      <w:r w:rsidR="00A5239A" w:rsidRPr="00BC4264">
        <w:t xml:space="preserve">revealed </w:t>
      </w:r>
      <w:r w:rsidRPr="00BC4264">
        <w:t>that</w:t>
      </w:r>
      <w:r w:rsidR="002E51D7" w:rsidRPr="00BC4264">
        <w:t xml:space="preserve"> </w:t>
      </w:r>
      <w:r w:rsidR="00FE7A52" w:rsidRPr="00BC4264">
        <w:t>the</w:t>
      </w:r>
      <w:r w:rsidRPr="00BC4264">
        <w:t>re were 54 cases in which the</w:t>
      </w:r>
      <w:r w:rsidR="00FE7A52" w:rsidRPr="00BC4264">
        <w:t xml:space="preserve"> defendant </w:t>
      </w:r>
      <w:r w:rsidRPr="00BC4264">
        <w:t xml:space="preserve">had </w:t>
      </w:r>
      <w:r w:rsidR="00FE7A52" w:rsidRPr="00BC4264">
        <w:t xml:space="preserve">obtained a lower starting point than a strict arithmetical </w:t>
      </w:r>
      <w:r w:rsidR="002E51D7" w:rsidRPr="00BC4264">
        <w:t>application of guideline to quantity would have produced</w:t>
      </w:r>
      <w:r w:rsidR="00A92A71" w:rsidRPr="00BC4264">
        <w:t>; while</w:t>
      </w:r>
      <w:r w:rsidR="00FE7A52" w:rsidRPr="00BC4264">
        <w:t xml:space="preserve"> in 14 cases</w:t>
      </w:r>
      <w:r w:rsidR="00E40738" w:rsidRPr="00BC4264">
        <w:t>,</w:t>
      </w:r>
      <w:r w:rsidR="00FE7A52" w:rsidRPr="00BC4264">
        <w:t xml:space="preserve"> the defendant </w:t>
      </w:r>
      <w:r w:rsidR="002E51D7" w:rsidRPr="00BC4264">
        <w:t xml:space="preserve">had </w:t>
      </w:r>
      <w:r w:rsidR="00FE7A52" w:rsidRPr="00BC4264">
        <w:t xml:space="preserve">received a </w:t>
      </w:r>
      <w:r w:rsidR="002E51D7" w:rsidRPr="00BC4264">
        <w:t xml:space="preserve">slightly </w:t>
      </w:r>
      <w:r w:rsidR="00FE7A52" w:rsidRPr="00BC4264">
        <w:t xml:space="preserve">higher starting point. </w:t>
      </w:r>
      <w:r w:rsidR="002E51D7" w:rsidRPr="00BC4264">
        <w:t xml:space="preserve"> In 22 cases, the </w:t>
      </w:r>
      <w:r w:rsidR="004D17B5" w:rsidRPr="00BC4264">
        <w:t xml:space="preserve">arithmetical </w:t>
      </w:r>
      <w:r w:rsidR="002E51D7" w:rsidRPr="00BC4264">
        <w:t xml:space="preserve">starting point indicated </w:t>
      </w:r>
      <w:r w:rsidR="001A13E6" w:rsidRPr="00BC4264">
        <w:t xml:space="preserve">under the guidelines was the </w:t>
      </w:r>
      <w:r w:rsidR="002E51D7" w:rsidRPr="00BC4264">
        <w:t xml:space="preserve">starting point </w:t>
      </w:r>
      <w:r w:rsidR="00A92A71" w:rsidRPr="00BC4264">
        <w:t>a</w:t>
      </w:r>
      <w:r w:rsidR="001A13E6" w:rsidRPr="00BC4264">
        <w:t>dopted by the sentencing judge</w:t>
      </w:r>
      <w:r w:rsidR="00FE7A52" w:rsidRPr="00BC4264">
        <w:t>.</w:t>
      </w:r>
    </w:p>
    <w:p w:rsidR="00DF207E" w:rsidRPr="00BC4264" w:rsidRDefault="00055FCE" w:rsidP="00645E8E">
      <w:pPr>
        <w:pStyle w:val="Heading3"/>
        <w:spacing w:before="360" w:line="360" w:lineRule="auto"/>
        <w:rPr>
          <w:i/>
          <w:sz w:val="28"/>
          <w:szCs w:val="28"/>
          <w:u w:val="none"/>
        </w:rPr>
      </w:pPr>
      <w:r w:rsidRPr="00BC4264">
        <w:rPr>
          <w:i/>
          <w:sz w:val="28"/>
          <w:szCs w:val="28"/>
          <w:u w:val="none"/>
        </w:rPr>
        <w:lastRenderedPageBreak/>
        <w:t>F.1.3</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00DF207E" w:rsidRPr="00BC4264">
        <w:rPr>
          <w:i/>
          <w:sz w:val="28"/>
          <w:szCs w:val="28"/>
          <w:u w:val="none"/>
        </w:rPr>
        <w:t xml:space="preserve">The </w:t>
      </w:r>
      <w:r w:rsidRPr="00BC4264">
        <w:rPr>
          <w:i/>
          <w:sz w:val="28"/>
          <w:szCs w:val="28"/>
          <w:u w:val="none"/>
        </w:rPr>
        <w:t xml:space="preserve">appellant’s submissions on the </w:t>
      </w:r>
      <w:r w:rsidR="00DF207E" w:rsidRPr="00BC4264">
        <w:rPr>
          <w:i/>
          <w:sz w:val="28"/>
          <w:szCs w:val="28"/>
          <w:u w:val="none"/>
        </w:rPr>
        <w:t>role of the defendant</w:t>
      </w:r>
    </w:p>
    <w:p w:rsidR="00FE7A52" w:rsidRPr="00BC4264" w:rsidRDefault="00FE7A52" w:rsidP="00FE7A52">
      <w:pPr>
        <w:pStyle w:val="T-Draft"/>
      </w:pPr>
      <w:r w:rsidRPr="00BC4264">
        <w:t>A</w:t>
      </w:r>
      <w:r w:rsidR="002E51D7" w:rsidRPr="00BC4264">
        <w:t xml:space="preserve">lthough Mr Walsh’s written submissions appeared to challenge the validity of the </w:t>
      </w:r>
      <w:r w:rsidRPr="00BC4264">
        <w:t>sentencing guidelines</w:t>
      </w:r>
      <w:r w:rsidR="002E51D7" w:rsidRPr="00BC4264">
        <w:t xml:space="preserve"> for heroin</w:t>
      </w:r>
      <w:r w:rsidRPr="00BC4264">
        <w:t xml:space="preserve"> in </w:t>
      </w:r>
      <w:r w:rsidRPr="00BC4264">
        <w:rPr>
          <w:i/>
        </w:rPr>
        <w:t xml:space="preserve">R v Lau </w:t>
      </w:r>
      <w:r w:rsidR="007D760A" w:rsidRPr="00BC4264">
        <w:rPr>
          <w:b/>
          <w:i/>
        </w:rPr>
        <w:t>‍</w:t>
      </w:r>
      <w:r w:rsidRPr="00BC4264">
        <w:rPr>
          <w:i/>
        </w:rPr>
        <w:t>Tak</w:t>
      </w:r>
      <w:r w:rsidR="007D760A" w:rsidRPr="00BC4264">
        <w:rPr>
          <w:i/>
        </w:rPr>
        <w:t>-m</w:t>
      </w:r>
      <w:r w:rsidRPr="00BC4264">
        <w:rPr>
          <w:i/>
        </w:rPr>
        <w:t>ing &amp; Anor</w:t>
      </w:r>
      <w:r w:rsidRPr="00BC4264">
        <w:rPr>
          <w:vertAlign w:val="superscript"/>
        </w:rPr>
        <w:footnoteReference w:id="8"/>
      </w:r>
      <w:r w:rsidR="00522A8F" w:rsidRPr="00BC4264">
        <w:t xml:space="preserve">, </w:t>
      </w:r>
      <w:r w:rsidR="002E51D7" w:rsidRPr="00BC4264">
        <w:t>and</w:t>
      </w:r>
      <w:r w:rsidR="005755B7" w:rsidRPr="00BC4264">
        <w:t xml:space="preserve"> their extension to cocaine</w:t>
      </w:r>
      <w:r w:rsidR="00816B22" w:rsidRPr="00BC4264">
        <w:t xml:space="preserve"> in</w:t>
      </w:r>
      <w:r w:rsidR="002E51D7" w:rsidRPr="00BC4264">
        <w:t xml:space="preserve"> </w:t>
      </w:r>
      <w:r w:rsidR="002E51D7" w:rsidRPr="00BC4264">
        <w:rPr>
          <w:i/>
        </w:rPr>
        <w:t>Attorney General</w:t>
      </w:r>
      <w:r w:rsidRPr="00BC4264">
        <w:rPr>
          <w:i/>
        </w:rPr>
        <w:t xml:space="preserve"> v </w:t>
      </w:r>
      <w:r w:rsidR="002E51D7" w:rsidRPr="00BC4264">
        <w:rPr>
          <w:i/>
        </w:rPr>
        <w:t xml:space="preserve">Pedro Nel </w:t>
      </w:r>
      <w:r w:rsidRPr="00BC4264">
        <w:rPr>
          <w:i/>
        </w:rPr>
        <w:t>Rojas</w:t>
      </w:r>
      <w:r w:rsidRPr="00BC4264">
        <w:rPr>
          <w:vertAlign w:val="superscript"/>
        </w:rPr>
        <w:footnoteReference w:id="9"/>
      </w:r>
      <w:r w:rsidR="00522A8F" w:rsidRPr="00BC4264">
        <w:t xml:space="preserve">, </w:t>
      </w:r>
      <w:r w:rsidR="002E51D7" w:rsidRPr="00BC4264">
        <w:t>as being out of date and out of step with sentencing practice in other common law jur</w:t>
      </w:r>
      <w:r w:rsidR="00E259B4" w:rsidRPr="00BC4264">
        <w:t>is</w:t>
      </w:r>
      <w:r w:rsidR="002E51D7" w:rsidRPr="00BC4264">
        <w:t>dictions</w:t>
      </w:r>
      <w:r w:rsidR="00E259B4" w:rsidRPr="00BC4264">
        <w:t xml:space="preserve">, he drew back from that position in oral argument, arguing instead that </w:t>
      </w:r>
      <w:r w:rsidR="004E31E7" w:rsidRPr="00BC4264">
        <w:t xml:space="preserve">sentencing practice in Hong </w:t>
      </w:r>
      <w:r w:rsidR="00661CB6" w:rsidRPr="00BC4264">
        <w:rPr>
          <w:b/>
        </w:rPr>
        <w:t>‍</w:t>
      </w:r>
      <w:r w:rsidR="004E31E7" w:rsidRPr="00BC4264">
        <w:t>Kong</w:t>
      </w:r>
      <w:r w:rsidR="00E259B4" w:rsidRPr="00BC4264">
        <w:t xml:space="preserve"> did not sufficiently </w:t>
      </w:r>
      <w:r w:rsidR="004E31E7" w:rsidRPr="00BC4264">
        <w:t>acknowledge</w:t>
      </w:r>
      <w:r w:rsidR="00E259B4" w:rsidRPr="00BC4264">
        <w:t xml:space="preserve"> the role of individual offenders </w:t>
      </w:r>
      <w:r w:rsidR="004E31E7" w:rsidRPr="00BC4264">
        <w:t>when identifying</w:t>
      </w:r>
      <w:r w:rsidR="00E259B4" w:rsidRPr="00BC4264">
        <w:t xml:space="preserve"> the starting point.  In particular, the present sentencing regime did not enable </w:t>
      </w:r>
      <w:r w:rsidR="00295B21" w:rsidRPr="00BC4264">
        <w:rPr>
          <w:b/>
        </w:rPr>
        <w:t>‍</w:t>
      </w:r>
      <w:r w:rsidR="00E259B4" w:rsidRPr="00BC4264">
        <w:t xml:space="preserve">the courts to distinguish </w:t>
      </w:r>
      <w:r w:rsidR="002B21FD" w:rsidRPr="00BC4264">
        <w:t xml:space="preserve">sufficiently </w:t>
      </w:r>
      <w:r w:rsidR="00E259B4" w:rsidRPr="00BC4264">
        <w:t xml:space="preserve">between the different roles of </w:t>
      </w:r>
      <w:r w:rsidR="002B21FD" w:rsidRPr="00BC4264">
        <w:t xml:space="preserve">different </w:t>
      </w:r>
      <w:r w:rsidR="00E259B4" w:rsidRPr="00BC4264">
        <w:t>offenders</w:t>
      </w:r>
      <w:r w:rsidRPr="00BC4264">
        <w:t xml:space="preserve">. </w:t>
      </w:r>
    </w:p>
    <w:p w:rsidR="00FE7A52" w:rsidRPr="00BC4264" w:rsidRDefault="00816B22" w:rsidP="00FE7A52">
      <w:pPr>
        <w:pStyle w:val="T-Draft"/>
      </w:pPr>
      <w:r w:rsidRPr="00BC4264">
        <w:t xml:space="preserve">In making this submission, </w:t>
      </w:r>
      <w:r w:rsidR="00A12989" w:rsidRPr="00BC4264">
        <w:t>Mr Walsh</w:t>
      </w:r>
      <w:r w:rsidR="00723B18" w:rsidRPr="00BC4264">
        <w:t xml:space="preserve"> seize</w:t>
      </w:r>
      <w:r w:rsidR="00A5239A" w:rsidRPr="00BC4264">
        <w:t>d in particular on the</w:t>
      </w:r>
      <w:r w:rsidR="00723B18" w:rsidRPr="00BC4264">
        <w:t xml:space="preserve"> </w:t>
      </w:r>
      <w:r w:rsidR="00FE7A52" w:rsidRPr="00BC4264">
        <w:rPr>
          <w:i/>
        </w:rPr>
        <w:t xml:space="preserve">obiter </w:t>
      </w:r>
      <w:r w:rsidR="00FE7A52" w:rsidRPr="00BC4264">
        <w:t>remarks of McWalters JA</w:t>
      </w:r>
      <w:r w:rsidR="00B775C3" w:rsidRPr="00BC4264">
        <w:t>,</w:t>
      </w:r>
      <w:r w:rsidR="00FE7A52" w:rsidRPr="00BC4264">
        <w:t xml:space="preserve"> in</w:t>
      </w:r>
      <w:r w:rsidR="00A92A71" w:rsidRPr="00BC4264">
        <w:t xml:space="preserve"> his separate judgment in</w:t>
      </w:r>
      <w:r w:rsidR="00FE7A52" w:rsidRPr="00BC4264">
        <w:t xml:space="preserve"> </w:t>
      </w:r>
      <w:r w:rsidR="00FC2032" w:rsidRPr="00BC4264">
        <w:rPr>
          <w:i/>
        </w:rPr>
        <w:t>HKSAR v</w:t>
      </w:r>
      <w:r w:rsidR="00FC2032" w:rsidRPr="00BC4264">
        <w:t xml:space="preserve"> </w:t>
      </w:r>
      <w:r w:rsidR="00FE7A52" w:rsidRPr="00BC4264">
        <w:rPr>
          <w:i/>
        </w:rPr>
        <w:t>Kilima</w:t>
      </w:r>
      <w:r w:rsidR="00FC2032" w:rsidRPr="00BC4264">
        <w:rPr>
          <w:i/>
        </w:rPr>
        <w:t xml:space="preserve"> Abubakar Abbas (“Kilima”)</w:t>
      </w:r>
      <w:r w:rsidR="000053F7" w:rsidRPr="00BC4264">
        <w:rPr>
          <w:rStyle w:val="FootnoteReference"/>
        </w:rPr>
        <w:footnoteReference w:id="10"/>
      </w:r>
      <w:r w:rsidR="00FE7A52" w:rsidRPr="00BC4264">
        <w:t>:</w:t>
      </w:r>
    </w:p>
    <w:p w:rsidR="00FE7A52" w:rsidRPr="00BC4264" w:rsidRDefault="00FE7A52" w:rsidP="00FE7A52">
      <w:pPr>
        <w:pStyle w:val="j-quotation"/>
      </w:pPr>
      <w:r w:rsidRPr="00BC4264">
        <w:t>“I agree with Lunn VP’s analysis of the law and with his conclusion.</w:t>
      </w:r>
      <w:r w:rsidR="000053F7" w:rsidRPr="00BC4264">
        <w:t xml:space="preserve"> </w:t>
      </w:r>
      <w:r w:rsidRPr="00BC4264">
        <w:t xml:space="preserve"> At [45] of his judgment Lunn VP refers to the effect of </w:t>
      </w:r>
      <w:r w:rsidRPr="00BC4264">
        <w:rPr>
          <w:i/>
        </w:rPr>
        <w:t>HKSAR v Abd</w:t>
      </w:r>
      <w:r w:rsidR="000053F7" w:rsidRPr="00BC4264">
        <w:rPr>
          <w:i/>
        </w:rPr>
        <w:t>a</w:t>
      </w:r>
      <w:r w:rsidRPr="00BC4264">
        <w:rPr>
          <w:i/>
        </w:rPr>
        <w:t>llah</w:t>
      </w:r>
      <w:r w:rsidR="003C4424" w:rsidRPr="00BC4264">
        <w:rPr>
          <w:rStyle w:val="FootnoteReference"/>
        </w:rPr>
        <w:footnoteReference w:id="11"/>
      </w:r>
      <w:r w:rsidRPr="00BC4264">
        <w:t xml:space="preserve"> in narrowing the room for reflecting the difference in role between a mere courier and those involved in a more major way in the organisation of the drug trafficking activity.</w:t>
      </w:r>
      <w:r w:rsidR="007D760A" w:rsidRPr="00BC4264">
        <w:t xml:space="preserve"> </w:t>
      </w:r>
      <w:r w:rsidRPr="00BC4264">
        <w:t xml:space="preserve"> This is a matter for concern. </w:t>
      </w:r>
      <w:r w:rsidR="007D760A" w:rsidRPr="00BC4264">
        <w:t xml:space="preserve"> </w:t>
      </w:r>
      <w:r w:rsidRPr="00BC4264">
        <w:t>The sentencing regime must allow for the possibility that there will be large seizures of dangerous drugs and also for the possibility that persons, other than c</w:t>
      </w:r>
      <w:r w:rsidR="000053F7" w:rsidRPr="00BC4264">
        <w:t>ouriers</w:t>
      </w:r>
      <w:r w:rsidRPr="00BC4264">
        <w:t xml:space="preserve">, who are more heavily involved in this criminal activity, will be prosecuted. </w:t>
      </w:r>
      <w:r w:rsidR="000053F7" w:rsidRPr="00BC4264">
        <w:t xml:space="preserve"> </w:t>
      </w:r>
      <w:r w:rsidRPr="00BC4264">
        <w:t>When these possibilities coincide, I fe</w:t>
      </w:r>
      <w:r w:rsidR="000053F7" w:rsidRPr="00BC4264">
        <w:t>ar</w:t>
      </w:r>
      <w:r w:rsidRPr="00BC4264">
        <w:t xml:space="preserve"> that courts may find that the sentencing range available to them to reflect these aggravating factors may not enable them to adequately distinguish the culpability of the courier from that of the organiser.”</w:t>
      </w:r>
      <w:r w:rsidR="003C4424" w:rsidRPr="00BC4264">
        <w:t xml:space="preserve"> (Citation added)</w:t>
      </w:r>
      <w:r w:rsidRPr="00BC4264">
        <w:t xml:space="preserve"> </w:t>
      </w:r>
    </w:p>
    <w:p w:rsidR="00FE7A52" w:rsidRPr="00BC4264" w:rsidRDefault="00FE7A52" w:rsidP="00FE7A52">
      <w:pPr>
        <w:pStyle w:val="T-Draft"/>
      </w:pPr>
      <w:r w:rsidRPr="00BC4264">
        <w:lastRenderedPageBreak/>
        <w:t xml:space="preserve">McWalters JA </w:t>
      </w:r>
      <w:r w:rsidR="00816B22" w:rsidRPr="00BC4264">
        <w:t>had then gone</w:t>
      </w:r>
      <w:r w:rsidRPr="00BC4264">
        <w:t xml:space="preserve"> on </w:t>
      </w:r>
      <w:r w:rsidR="005755B7" w:rsidRPr="00BC4264">
        <w:t xml:space="preserve">in </w:t>
      </w:r>
      <w:r w:rsidR="005755B7" w:rsidRPr="00BC4264">
        <w:rPr>
          <w:i/>
        </w:rPr>
        <w:t>Kilima</w:t>
      </w:r>
      <w:r w:rsidR="005755B7" w:rsidRPr="00BC4264">
        <w:t xml:space="preserve"> </w:t>
      </w:r>
      <w:r w:rsidRPr="00BC4264">
        <w:t xml:space="preserve">to express </w:t>
      </w:r>
      <w:r w:rsidR="000053F7" w:rsidRPr="00BC4264">
        <w:t xml:space="preserve">particular </w:t>
      </w:r>
      <w:r w:rsidRPr="00BC4264">
        <w:t xml:space="preserve">concern </w:t>
      </w:r>
      <w:r w:rsidR="00816B22" w:rsidRPr="00BC4264">
        <w:t>with</w:t>
      </w:r>
      <w:r w:rsidRPr="00BC4264">
        <w:t xml:space="preserve"> </w:t>
      </w:r>
      <w:r w:rsidR="00A5239A" w:rsidRPr="00BC4264">
        <w:t>the statement</w:t>
      </w:r>
      <w:r w:rsidRPr="00BC4264">
        <w:t xml:space="preserve"> of Stuart-Moore ACJHC</w:t>
      </w:r>
      <w:r w:rsidR="000053F7" w:rsidRPr="00BC4264">
        <w:t>,</w:t>
      </w:r>
      <w:r w:rsidRPr="00BC4264">
        <w:t xml:space="preserve"> in</w:t>
      </w:r>
      <w:r w:rsidR="00400AE3" w:rsidRPr="00BC4264">
        <w:t xml:space="preserve"> his separate judgment in</w:t>
      </w:r>
      <w:r w:rsidRPr="00BC4264">
        <w:t xml:space="preserve"> </w:t>
      </w:r>
      <w:r w:rsidRPr="00BC4264">
        <w:rPr>
          <w:i/>
        </w:rPr>
        <w:t>HKSAR v Man</w:t>
      </w:r>
      <w:r w:rsidR="00400AE3" w:rsidRPr="00BC4264">
        <w:rPr>
          <w:i/>
        </w:rPr>
        <w:t>a</w:t>
      </w:r>
      <w:r w:rsidRPr="00BC4264">
        <w:rPr>
          <w:i/>
        </w:rPr>
        <w:t>lo</w:t>
      </w:r>
      <w:r w:rsidRPr="00BC4264">
        <w:rPr>
          <w:vertAlign w:val="superscript"/>
        </w:rPr>
        <w:footnoteReference w:id="12"/>
      </w:r>
      <w:r w:rsidR="000053F7" w:rsidRPr="00BC4264">
        <w:rPr>
          <w:i/>
        </w:rPr>
        <w:t xml:space="preserve"> </w:t>
      </w:r>
      <w:r w:rsidR="000053F7" w:rsidRPr="00BC4264">
        <w:t>(</w:t>
      </w:r>
      <w:r w:rsidR="00400AE3" w:rsidRPr="00BC4264">
        <w:t xml:space="preserve">also cited </w:t>
      </w:r>
      <w:r w:rsidR="0021392F" w:rsidRPr="00BC4264">
        <w:t xml:space="preserve">in </w:t>
      </w:r>
      <w:r w:rsidR="00A12989" w:rsidRPr="00BC4264">
        <w:t xml:space="preserve">the </w:t>
      </w:r>
      <w:r w:rsidR="0021392F" w:rsidRPr="00BC4264">
        <w:t xml:space="preserve">Hong Kong </w:t>
      </w:r>
      <w:r w:rsidR="00C478AF" w:rsidRPr="00BC4264">
        <w:t>C</w:t>
      </w:r>
      <w:r w:rsidR="0021392F" w:rsidRPr="00BC4264">
        <w:t>ases</w:t>
      </w:r>
      <w:r w:rsidR="00C478AF" w:rsidRPr="00BC4264">
        <w:t xml:space="preserve"> reports</w:t>
      </w:r>
      <w:r w:rsidR="0021392F" w:rsidRPr="00BC4264">
        <w:t xml:space="preserve"> </w:t>
      </w:r>
      <w:r w:rsidR="00400AE3" w:rsidRPr="00BC4264">
        <w:t xml:space="preserve">as </w:t>
      </w:r>
      <w:r w:rsidR="00400AE3" w:rsidRPr="00BC4264">
        <w:rPr>
          <w:i/>
        </w:rPr>
        <w:t>HKSAR v Burnales</w:t>
      </w:r>
      <w:r w:rsidR="00400AE3" w:rsidRPr="00BC4264">
        <w:rPr>
          <w:rStyle w:val="FootnoteReference"/>
        </w:rPr>
        <w:footnoteReference w:id="13"/>
      </w:r>
      <w:r w:rsidR="000053F7" w:rsidRPr="00BC4264">
        <w:t>)</w:t>
      </w:r>
      <w:r w:rsidR="00A5239A" w:rsidRPr="00BC4264">
        <w:t>,</w:t>
      </w:r>
      <w:r w:rsidR="00400AE3" w:rsidRPr="00BC4264">
        <w:rPr>
          <w:i/>
        </w:rPr>
        <w:t xml:space="preserve"> </w:t>
      </w:r>
      <w:r w:rsidR="000053F7" w:rsidRPr="00BC4264">
        <w:t>in respect of consistency of sentence,</w:t>
      </w:r>
      <w:r w:rsidR="004D17B5" w:rsidRPr="00BC4264">
        <w:t xml:space="preserve"> where Stuart-Moore ACJHC had said</w:t>
      </w:r>
      <w:r w:rsidR="00365126" w:rsidRPr="00BC4264">
        <w:rPr>
          <w:rStyle w:val="FootnoteReference"/>
        </w:rPr>
        <w:footnoteReference w:id="14"/>
      </w:r>
      <w:r w:rsidRPr="00BC4264">
        <w:t>:</w:t>
      </w:r>
    </w:p>
    <w:p w:rsidR="00FE7A52" w:rsidRPr="00BC4264" w:rsidRDefault="00FE7A52" w:rsidP="00FE7A52">
      <w:pPr>
        <w:pStyle w:val="j-quotation"/>
      </w:pPr>
      <w:r w:rsidRPr="00BC4264">
        <w:t>“</w:t>
      </w:r>
      <w:r w:rsidR="00527C80" w:rsidRPr="00BC4264">
        <w:t xml:space="preserve">The policy of this Court in relation to trafficking in drugs of these kinds has been to maintain a </w:t>
      </w:r>
      <w:r w:rsidR="00527C80" w:rsidRPr="00BC4264">
        <w:rPr>
          <w:i/>
        </w:rPr>
        <w:t>consistent</w:t>
      </w:r>
      <w:r w:rsidR="00527C80" w:rsidRPr="00BC4264">
        <w:t xml:space="preserve"> level of sentencing under the guideline cases earlier mentioned so that potential traffickers who are frequently couriers or storekeepers, will be deterred from engaging in such activities.  </w:t>
      </w:r>
      <w:r w:rsidR="00365126" w:rsidRPr="00BC4264">
        <w:t xml:space="preserve">Consistency, in this context, is related to sentences which are largely based upon the </w:t>
      </w:r>
      <w:r w:rsidR="00365126" w:rsidRPr="00BC4264">
        <w:rPr>
          <w:i/>
        </w:rPr>
        <w:t>weight</w:t>
      </w:r>
      <w:r w:rsidR="00365126" w:rsidRPr="00BC4264">
        <w:t xml:space="preserve"> of the drugs being trafficked.  If this Court were to decide otherwise, the courts at first instance would find themselves endlessly being asked to consider the </w:t>
      </w:r>
      <w:r w:rsidR="00156FFE" w:rsidRPr="00BC4264">
        <w:rPr>
          <w:b/>
        </w:rPr>
        <w:t>‍</w:t>
      </w:r>
      <w:r w:rsidR="00365126" w:rsidRPr="00BC4264">
        <w:t xml:space="preserve">degree of culpability related to individual couriers and </w:t>
      </w:r>
      <w:r w:rsidR="00156FFE" w:rsidRPr="00BC4264">
        <w:rPr>
          <w:b/>
        </w:rPr>
        <w:t>‍</w:t>
      </w:r>
      <w:r w:rsidR="00365126" w:rsidRPr="00BC4264">
        <w:t>storekeepers.  The guidelines, whilst of course not strait</w:t>
      </w:r>
      <w:r w:rsidR="007D760A" w:rsidRPr="00BC4264">
        <w:noBreakHyphen/>
      </w:r>
      <w:r w:rsidR="00365126" w:rsidRPr="00BC4264">
        <w:t>jackets, are there to provide and maintain consistency of sentence</w:t>
      </w:r>
      <w:r w:rsidR="00C90CD6" w:rsidRPr="00BC4264">
        <w:t xml:space="preserve"> between all offenders who traffick in dangerous drugs.  </w:t>
      </w:r>
      <w:r w:rsidRPr="00BC4264">
        <w:rPr>
          <w:i/>
        </w:rPr>
        <w:t>It is important for the courts to avoid distinctions, which will often be irrational or speculative, being drawn between drug traffickers who are couriers or storekeepers because the resulting disparity in the levels of sentence will understandably lead to feelings of grievance</w:t>
      </w:r>
      <w:r w:rsidRPr="00BC4264">
        <w:t>.”</w:t>
      </w:r>
      <w:r w:rsidR="00527C80" w:rsidRPr="00BC4264">
        <w:t xml:space="preserve"> (Emphasis supplied)</w:t>
      </w:r>
      <w:r w:rsidRPr="00BC4264">
        <w:t xml:space="preserve">  </w:t>
      </w:r>
    </w:p>
    <w:p w:rsidR="00FE7A52" w:rsidRPr="00BC4264" w:rsidRDefault="00365126" w:rsidP="00E9670B">
      <w:pPr>
        <w:pStyle w:val="T-Draft"/>
      </w:pPr>
      <w:r w:rsidRPr="00BC4264">
        <w:t>Of the remarks</w:t>
      </w:r>
      <w:r w:rsidR="005755B7" w:rsidRPr="00BC4264">
        <w:t xml:space="preserve"> </w:t>
      </w:r>
      <w:r w:rsidR="00527C80" w:rsidRPr="00BC4264">
        <w:t xml:space="preserve">in the </w:t>
      </w:r>
      <w:r w:rsidR="00C478AF" w:rsidRPr="00BC4264">
        <w:t>italicised part</w:t>
      </w:r>
      <w:r w:rsidR="00527C80" w:rsidRPr="00BC4264">
        <w:t xml:space="preserve"> of this passage</w:t>
      </w:r>
      <w:r w:rsidRPr="00BC4264">
        <w:t xml:space="preserve">, </w:t>
      </w:r>
      <w:r w:rsidR="00FE7A52" w:rsidRPr="00BC4264">
        <w:t xml:space="preserve">McWalters JA </w:t>
      </w:r>
      <w:r w:rsidRPr="00BC4264">
        <w:t>said</w:t>
      </w:r>
      <w:r w:rsidR="00C90CD6" w:rsidRPr="00BC4264">
        <w:rPr>
          <w:rStyle w:val="FootnoteReference"/>
        </w:rPr>
        <w:footnoteReference w:id="15"/>
      </w:r>
      <w:r w:rsidR="00C90CD6" w:rsidRPr="00BC4264">
        <w:t>:</w:t>
      </w:r>
    </w:p>
    <w:p w:rsidR="00FE7A52" w:rsidRPr="00BC4264" w:rsidRDefault="00FE7A52" w:rsidP="00C90CD6">
      <w:pPr>
        <w:pStyle w:val="j-quotation"/>
      </w:pPr>
      <w:r w:rsidRPr="00BC4264">
        <w:t>“In my view the observations by Stuart</w:t>
      </w:r>
      <w:r w:rsidR="00816B22" w:rsidRPr="00BC4264">
        <w:t>-</w:t>
      </w:r>
      <w:r w:rsidRPr="00BC4264">
        <w:t xml:space="preserve">Moore ACJHC in </w:t>
      </w:r>
      <w:r w:rsidRPr="00BC4264">
        <w:rPr>
          <w:i/>
        </w:rPr>
        <w:t>HKSAR v Man</w:t>
      </w:r>
      <w:r w:rsidR="00C90CD6" w:rsidRPr="00BC4264">
        <w:rPr>
          <w:i/>
        </w:rPr>
        <w:t>a</w:t>
      </w:r>
      <w:r w:rsidRPr="00BC4264">
        <w:rPr>
          <w:i/>
        </w:rPr>
        <w:t>lo</w:t>
      </w:r>
      <w:r w:rsidRPr="00BC4264">
        <w:t xml:space="preserve"> are not a proper legal rationale for not </w:t>
      </w:r>
      <w:r w:rsidR="007D760A" w:rsidRPr="00BC4264">
        <w:rPr>
          <w:b/>
        </w:rPr>
        <w:t>‍</w:t>
      </w:r>
      <w:r w:rsidRPr="00BC4264">
        <w:t xml:space="preserve">distinguishing between the culpability of offenders. </w:t>
      </w:r>
      <w:r w:rsidR="00C90CD6" w:rsidRPr="00BC4264">
        <w:t xml:space="preserve"> </w:t>
      </w:r>
      <w:r w:rsidRPr="00BC4264">
        <w:t>Sentencing courts are daily being called upon to assess the culpability of offenders</w:t>
      </w:r>
      <w:r w:rsidR="00C90CD6" w:rsidRPr="00BC4264">
        <w:t xml:space="preserve">.  In </w:t>
      </w:r>
      <w:r w:rsidRPr="00BC4264">
        <w:t>doing so they listen to submissions advanced on behalf of a defendant and have to form a view of t</w:t>
      </w:r>
      <w:r w:rsidR="00C90CD6" w:rsidRPr="00BC4264">
        <w:t xml:space="preserve">he merit of those submissions.  </w:t>
      </w:r>
      <w:r w:rsidRPr="00BC4264">
        <w:t xml:space="preserve">This is usually not an onerous </w:t>
      </w:r>
      <w:r w:rsidR="00661CB6" w:rsidRPr="00BC4264">
        <w:rPr>
          <w:b/>
        </w:rPr>
        <w:t>‍</w:t>
      </w:r>
      <w:r w:rsidRPr="00BC4264">
        <w:t xml:space="preserve">task. </w:t>
      </w:r>
      <w:r w:rsidR="007D760A" w:rsidRPr="00BC4264">
        <w:t xml:space="preserve"> </w:t>
      </w:r>
      <w:r w:rsidRPr="00BC4264">
        <w:t>It may become complicated by the need for a</w:t>
      </w:r>
      <w:r w:rsidR="007D760A" w:rsidRPr="00BC4264">
        <w:t xml:space="preserve"> </w:t>
      </w:r>
      <w:r w:rsidRPr="00BC4264">
        <w:rPr>
          <w:i/>
          <w:iCs/>
        </w:rPr>
        <w:t>Newton</w:t>
      </w:r>
      <w:r w:rsidR="007D760A" w:rsidRPr="00BC4264">
        <w:t xml:space="preserve"> </w:t>
      </w:r>
      <w:r w:rsidR="00661CB6" w:rsidRPr="00BC4264">
        <w:rPr>
          <w:b/>
        </w:rPr>
        <w:t>‍</w:t>
      </w:r>
      <w:r w:rsidRPr="00BC4264">
        <w:t>enquiry but again that has become a regular feature of our sentencing process.</w:t>
      </w:r>
      <w:r w:rsidR="007D760A" w:rsidRPr="00BC4264">
        <w:t xml:space="preserve"> </w:t>
      </w:r>
      <w:r w:rsidRPr="00BC4264">
        <w:t xml:space="preserve"> I have complete confidence in the ability of our judicial officers to recognise irrational or </w:t>
      </w:r>
      <w:r w:rsidRPr="00BC4264">
        <w:lastRenderedPageBreak/>
        <w:t>speculative submissions being advanced on behalf of a defendant.</w:t>
      </w:r>
    </w:p>
    <w:p w:rsidR="00FE7A52" w:rsidRPr="00BC4264" w:rsidRDefault="00FE7A52" w:rsidP="00FE7A52">
      <w:pPr>
        <w:pStyle w:val="j-quotation"/>
      </w:pPr>
      <w:r w:rsidRPr="00BC4264">
        <w:t>Nor do I think the aggrieved feelings of offenders is a reason for not allowing judges to accept a legitimate distinction in culpability and to sentence an offender accordingly, even if that means departing from the tariffs and imposing an individuali</w:t>
      </w:r>
      <w:r w:rsidR="00C90CD6" w:rsidRPr="00BC4264">
        <w:t>s</w:t>
      </w:r>
      <w:r w:rsidRPr="00BC4264">
        <w:t>ed sentence.</w:t>
      </w:r>
      <w:r w:rsidR="007D760A" w:rsidRPr="00BC4264">
        <w:t xml:space="preserve"> </w:t>
      </w:r>
      <w:r w:rsidRPr="00BC4264">
        <w:t xml:space="preserve"> Offenders will always feel a sense of grievance with their sentences for the very simple reason that every o</w:t>
      </w:r>
      <w:r w:rsidR="007D760A" w:rsidRPr="00BC4264">
        <w:t>ffender wants a lower sentence.</w:t>
      </w:r>
    </w:p>
    <w:p w:rsidR="000053F7" w:rsidRPr="00BC4264" w:rsidRDefault="00FE7A52" w:rsidP="00FE7A52">
      <w:pPr>
        <w:pStyle w:val="j-quotation"/>
      </w:pPr>
      <w:r w:rsidRPr="00BC4264">
        <w:t>Drug traffickers regularly argue in the Court of Appeal that, compared with other offenders their sentence is too high.</w:t>
      </w:r>
      <w:r w:rsidR="007D760A" w:rsidRPr="00BC4264">
        <w:t xml:space="preserve"> </w:t>
      </w:r>
      <w:r w:rsidRPr="00BC4264">
        <w:t xml:space="preserve"> But they also point to personal circumstances that distinguish them from others.</w:t>
      </w:r>
      <w:r w:rsidR="007D760A" w:rsidRPr="00BC4264">
        <w:t xml:space="preserve"> </w:t>
      </w:r>
      <w:r w:rsidRPr="00BC4264">
        <w:t xml:space="preserve"> On the one hand they want consistent sentences in the sense that they do not want to be punished more severely than others, and on the other hand they want individuali</w:t>
      </w:r>
      <w:r w:rsidR="000053F7" w:rsidRPr="00BC4264">
        <w:t>s</w:t>
      </w:r>
      <w:r w:rsidRPr="00BC4264">
        <w:t xml:space="preserve">ed sentencing so that their sentences are less severe than others. </w:t>
      </w:r>
    </w:p>
    <w:p w:rsidR="00FE7A52" w:rsidRPr="00BC4264" w:rsidRDefault="00FE7A52" w:rsidP="00FE7A52">
      <w:pPr>
        <w:pStyle w:val="j-quotation"/>
      </w:pPr>
      <w:r w:rsidRPr="00BC4264">
        <w:t>The courts, especially the appellate courts, are not concerned with whether an offender has a grievance with his sentence but whether he has a</w:t>
      </w:r>
      <w:r w:rsidR="007D760A" w:rsidRPr="00BC4264">
        <w:t xml:space="preserve"> </w:t>
      </w:r>
      <w:r w:rsidRPr="00BC4264">
        <w:rPr>
          <w:i/>
          <w:iCs/>
        </w:rPr>
        <w:t>justifiable</w:t>
      </w:r>
      <w:r w:rsidR="007D760A" w:rsidRPr="00BC4264">
        <w:t xml:space="preserve"> </w:t>
      </w:r>
      <w:r w:rsidRPr="00BC4264">
        <w:t xml:space="preserve">grievance.” </w:t>
      </w:r>
    </w:p>
    <w:p w:rsidR="00FE7A52" w:rsidRPr="00BC4264" w:rsidRDefault="00FE7A52" w:rsidP="00BB1186">
      <w:pPr>
        <w:pStyle w:val="T-Draft"/>
      </w:pPr>
      <w:r w:rsidRPr="00BC4264">
        <w:t>Mr Walsh submit</w:t>
      </w:r>
      <w:r w:rsidR="00816B22" w:rsidRPr="00BC4264">
        <w:t>ted that</w:t>
      </w:r>
      <w:r w:rsidRPr="00BC4264">
        <w:t xml:space="preserve"> Hong Kong should follow approaches adopted in other jurisdictions insofar as </w:t>
      </w:r>
      <w:r w:rsidR="00247D7B" w:rsidRPr="00BC4264">
        <w:t>they</w:t>
      </w:r>
      <w:r w:rsidRPr="00BC4264">
        <w:t xml:space="preserve"> take into account the role of the offender, </w:t>
      </w:r>
      <w:r w:rsidR="00816B22" w:rsidRPr="00BC4264">
        <w:t xml:space="preserve">and that </w:t>
      </w:r>
      <w:r w:rsidRPr="00BC4264">
        <w:t xml:space="preserve">this should be done in addition to taking a strict arithmetical approach. </w:t>
      </w:r>
      <w:r w:rsidR="00816B22" w:rsidRPr="00BC4264">
        <w:t xml:space="preserve"> He referred to the salutary reminder of the High Court of Australia in</w:t>
      </w:r>
      <w:r w:rsidRPr="00BC4264">
        <w:t xml:space="preserve"> </w:t>
      </w:r>
      <w:r w:rsidRPr="00BC4264">
        <w:rPr>
          <w:i/>
        </w:rPr>
        <w:t>Wong v The Queen</w:t>
      </w:r>
      <w:r w:rsidRPr="00BC4264">
        <w:rPr>
          <w:vertAlign w:val="superscript"/>
        </w:rPr>
        <w:footnoteReference w:id="16"/>
      </w:r>
      <w:r w:rsidRPr="00BC4264">
        <w:rPr>
          <w:i/>
        </w:rPr>
        <w:t xml:space="preserve"> </w:t>
      </w:r>
      <w:r w:rsidRPr="00BC4264">
        <w:t>that a</w:t>
      </w:r>
      <w:r w:rsidR="002B21FD" w:rsidRPr="00BC4264">
        <w:t>n</w:t>
      </w:r>
      <w:r w:rsidRPr="00BC4264">
        <w:t xml:space="preserve"> arithmetical approach to sentencing, whilst </w:t>
      </w:r>
      <w:r w:rsidR="00816B22" w:rsidRPr="00BC4264">
        <w:t>simple</w:t>
      </w:r>
      <w:r w:rsidRPr="00BC4264">
        <w:t xml:space="preserve"> to apply, can be wrong in principle where the individual circumstances, including the role of the defendant, are considered less significant than the quantity of the drugs</w:t>
      </w:r>
      <w:r w:rsidR="002134D9" w:rsidRPr="00BC4264">
        <w:t xml:space="preserve"> concerned</w:t>
      </w:r>
      <w:r w:rsidRPr="00BC4264">
        <w:t xml:space="preserve">. </w:t>
      </w:r>
      <w:r w:rsidR="00816B22" w:rsidRPr="00BC4264">
        <w:t xml:space="preserve"> The Court </w:t>
      </w:r>
      <w:r w:rsidR="005755B7" w:rsidRPr="00BC4264">
        <w:t xml:space="preserve">in </w:t>
      </w:r>
      <w:r w:rsidR="005755B7" w:rsidRPr="00BC4264">
        <w:rPr>
          <w:i/>
        </w:rPr>
        <w:t>Wong</w:t>
      </w:r>
      <w:r w:rsidR="005755B7" w:rsidRPr="00BC4264">
        <w:t xml:space="preserve"> </w:t>
      </w:r>
      <w:r w:rsidRPr="00BC4264">
        <w:t xml:space="preserve">was critical of the use of the weight of the narcotic being used as the </w:t>
      </w:r>
      <w:r w:rsidR="00661CB6" w:rsidRPr="00BC4264">
        <w:rPr>
          <w:b/>
        </w:rPr>
        <w:t>‍</w:t>
      </w:r>
      <w:r w:rsidRPr="00BC4264">
        <w:t>primary factor in determining sentence.</w:t>
      </w:r>
      <w:r w:rsidR="00E21743" w:rsidRPr="00BC4264">
        <w:t xml:space="preserve">  </w:t>
      </w:r>
      <w:r w:rsidR="00A5239A" w:rsidRPr="00BC4264">
        <w:t>In</w:t>
      </w:r>
      <w:r w:rsidR="00A92A71" w:rsidRPr="00BC4264">
        <w:t xml:space="preserve"> their joint judgment</w:t>
      </w:r>
      <w:r w:rsidR="00A5239A" w:rsidRPr="00BC4264">
        <w:t xml:space="preserve">, </w:t>
      </w:r>
      <w:r w:rsidR="00661CB6" w:rsidRPr="00BC4264">
        <w:rPr>
          <w:b/>
        </w:rPr>
        <w:t>‍</w:t>
      </w:r>
      <w:r w:rsidR="00E21743" w:rsidRPr="00BC4264">
        <w:t xml:space="preserve">Gaudron, Gummow and Hayne JJ said of the </w:t>
      </w:r>
      <w:r w:rsidR="00A12989" w:rsidRPr="00BC4264">
        <w:t>arithmetical</w:t>
      </w:r>
      <w:r w:rsidR="00E21743" w:rsidRPr="00BC4264">
        <w:t xml:space="preserve"> approach to sentencing, with </w:t>
      </w:r>
      <w:r w:rsidR="00A12989" w:rsidRPr="00BC4264">
        <w:t xml:space="preserve">its </w:t>
      </w:r>
      <w:r w:rsidR="00E21743" w:rsidRPr="00BC4264">
        <w:t>increments or decrements from a predetermined range of sentences, that it was apt to give rise to error</w:t>
      </w:r>
      <w:r w:rsidR="00FE5D5C" w:rsidRPr="00BC4264">
        <w:t>,</w:t>
      </w:r>
      <w:r w:rsidR="00E21743" w:rsidRPr="00BC4264">
        <w:t xml:space="preserve"> as well as </w:t>
      </w:r>
      <w:r w:rsidR="00B775C3" w:rsidRPr="00BC4264">
        <w:t xml:space="preserve">be </w:t>
      </w:r>
      <w:r w:rsidR="00E21743" w:rsidRPr="00BC4264">
        <w:t>a departure from principle</w:t>
      </w:r>
      <w:r w:rsidR="00E21743" w:rsidRPr="00BC4264">
        <w:rPr>
          <w:rStyle w:val="FootnoteReference"/>
        </w:rPr>
        <w:footnoteReference w:id="17"/>
      </w:r>
      <w:r w:rsidR="00E21743" w:rsidRPr="00BC4264">
        <w:t>:</w:t>
      </w:r>
    </w:p>
    <w:p w:rsidR="00FE7A52" w:rsidRPr="00BC4264" w:rsidRDefault="00FE7A52" w:rsidP="00FE7A52">
      <w:pPr>
        <w:pStyle w:val="j-quotation"/>
      </w:pPr>
      <w:r w:rsidRPr="00BC4264">
        <w:lastRenderedPageBreak/>
        <w:t xml:space="preserve">“It departs from principle because it does not take account of the fact that there are many conflicting and contradictory elements which bear upon sentencing </w:t>
      </w:r>
      <w:r w:rsidR="00E21743" w:rsidRPr="00BC4264">
        <w:t xml:space="preserve">an </w:t>
      </w:r>
      <w:r w:rsidRPr="00BC4264">
        <w:t xml:space="preserve">offender. </w:t>
      </w:r>
      <w:r w:rsidR="00E21743" w:rsidRPr="00BC4264">
        <w:t xml:space="preserve"> </w:t>
      </w:r>
      <w:r w:rsidRPr="00BC4264">
        <w:t xml:space="preserve">Attributing a particular weight to some factors, while leaving the significance of all other factors substantially unaltered, may be quite wrong. </w:t>
      </w:r>
      <w:r w:rsidR="00247D7B" w:rsidRPr="00BC4264">
        <w:t xml:space="preserve"> </w:t>
      </w:r>
      <w:r w:rsidRPr="00BC4264">
        <w:t xml:space="preserve">We say </w:t>
      </w:r>
      <w:r w:rsidR="00247D7B" w:rsidRPr="00BC4264">
        <w:t>‘</w:t>
      </w:r>
      <w:r w:rsidRPr="00BC4264">
        <w:t>may be</w:t>
      </w:r>
      <w:r w:rsidR="00247D7B" w:rsidRPr="00BC4264">
        <w:t>’</w:t>
      </w:r>
      <w:r w:rsidRPr="00BC4264">
        <w:t xml:space="preserve"> quite wrong because the task of the sentencer is to take account of </w:t>
      </w:r>
      <w:r w:rsidRPr="00BC4264">
        <w:rPr>
          <w:i/>
        </w:rPr>
        <w:t xml:space="preserve">all </w:t>
      </w:r>
      <w:r w:rsidR="00247D7B" w:rsidRPr="00BC4264">
        <w:t xml:space="preserve">of </w:t>
      </w:r>
      <w:r w:rsidRPr="00BC4264">
        <w:t xml:space="preserve">the relevant factors and to arrive at a single result which takes due account of them all. </w:t>
      </w:r>
      <w:r w:rsidR="00247D7B" w:rsidRPr="00BC4264">
        <w:t xml:space="preserve"> </w:t>
      </w:r>
      <w:r w:rsidRPr="00BC4264">
        <w:t xml:space="preserve">That is what is meant by saying that the task is to arrive at an </w:t>
      </w:r>
      <w:r w:rsidR="00247D7B" w:rsidRPr="00BC4264">
        <w:t>‘</w:t>
      </w:r>
      <w:r w:rsidRPr="00BC4264">
        <w:t>instinctive synthesis’</w:t>
      </w:r>
      <w:r w:rsidR="00247D7B" w:rsidRPr="00BC4264">
        <w:rPr>
          <w:rStyle w:val="FootnoteReference"/>
        </w:rPr>
        <w:footnoteReference w:id="18"/>
      </w:r>
      <w:r w:rsidRPr="00BC4264">
        <w:t xml:space="preserve">. </w:t>
      </w:r>
      <w:r w:rsidR="00247D7B" w:rsidRPr="00BC4264">
        <w:t xml:space="preserve"> </w:t>
      </w:r>
      <w:r w:rsidRPr="00BC4264">
        <w:t>This expression is used, not as might be supposed, to cloak the task of the sentence</w:t>
      </w:r>
      <w:r w:rsidR="00247D7B" w:rsidRPr="00BC4264">
        <w:t>r</w:t>
      </w:r>
      <w:r w:rsidRPr="00BC4264">
        <w:t xml:space="preserve"> in some mystery, but to make plain that the sentencer is called on to reach a single sentence which, in the case of an offence like the one now under discussion, balances many different and conflicting features.”</w:t>
      </w:r>
      <w:r w:rsidR="003C4424" w:rsidRPr="00BC4264">
        <w:t xml:space="preserve"> (Citation added)</w:t>
      </w:r>
    </w:p>
    <w:p w:rsidR="00FE7A52" w:rsidRPr="00BC4264" w:rsidRDefault="00055FCE" w:rsidP="00355941">
      <w:pPr>
        <w:pStyle w:val="Heading3"/>
        <w:spacing w:before="360" w:line="240" w:lineRule="auto"/>
        <w:ind w:left="1080" w:hanging="1080"/>
        <w:rPr>
          <w:i/>
          <w:sz w:val="28"/>
          <w:szCs w:val="28"/>
          <w:u w:val="none"/>
        </w:rPr>
      </w:pPr>
      <w:r w:rsidRPr="00BC4264">
        <w:rPr>
          <w:i/>
          <w:sz w:val="28"/>
          <w:szCs w:val="28"/>
          <w:u w:val="none"/>
        </w:rPr>
        <w:t>F</w:t>
      </w:r>
      <w:r w:rsidR="00DF207E" w:rsidRPr="00BC4264">
        <w:rPr>
          <w:i/>
          <w:sz w:val="28"/>
          <w:szCs w:val="28"/>
          <w:u w:val="none"/>
        </w:rPr>
        <w:t>.1.</w:t>
      </w:r>
      <w:r w:rsidRPr="00BC4264">
        <w:rPr>
          <w:i/>
          <w:sz w:val="28"/>
          <w:szCs w:val="28"/>
          <w:u w:val="none"/>
        </w:rPr>
        <w:t>4</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Pr="00BC4264">
        <w:rPr>
          <w:i/>
          <w:sz w:val="28"/>
          <w:szCs w:val="28"/>
          <w:u w:val="none"/>
        </w:rPr>
        <w:t xml:space="preserve">The appellant’s submissions on </w:t>
      </w:r>
      <w:r w:rsidR="00874FFC" w:rsidRPr="00BC4264">
        <w:rPr>
          <w:i/>
          <w:sz w:val="28"/>
          <w:szCs w:val="28"/>
          <w:u w:val="none"/>
        </w:rPr>
        <w:t xml:space="preserve">the alleged </w:t>
      </w:r>
      <w:r w:rsidRPr="00BC4264">
        <w:rPr>
          <w:i/>
          <w:sz w:val="28"/>
          <w:szCs w:val="28"/>
          <w:u w:val="none"/>
        </w:rPr>
        <w:t>a</w:t>
      </w:r>
      <w:r w:rsidR="00FE7A52" w:rsidRPr="00BC4264">
        <w:rPr>
          <w:i/>
          <w:sz w:val="28"/>
          <w:szCs w:val="28"/>
          <w:u w:val="none"/>
        </w:rPr>
        <w:t xml:space="preserve">ssistance </w:t>
      </w:r>
      <w:r w:rsidR="00FC468C" w:rsidRPr="00BC4264">
        <w:rPr>
          <w:i/>
          <w:sz w:val="28"/>
          <w:szCs w:val="28"/>
          <w:u w:val="none"/>
        </w:rPr>
        <w:t>to</w:t>
      </w:r>
      <w:r w:rsidR="00FE7A52" w:rsidRPr="00BC4264">
        <w:rPr>
          <w:i/>
          <w:sz w:val="28"/>
          <w:szCs w:val="28"/>
          <w:u w:val="none"/>
        </w:rPr>
        <w:t xml:space="preserve"> Father </w:t>
      </w:r>
      <w:r w:rsidR="00661CB6" w:rsidRPr="00BC4264">
        <w:rPr>
          <w:b/>
          <w:i/>
          <w:sz w:val="28"/>
          <w:szCs w:val="28"/>
          <w:u w:val="none"/>
        </w:rPr>
        <w:t>‍</w:t>
      </w:r>
      <w:r w:rsidR="00FE7A52" w:rsidRPr="00BC4264">
        <w:rPr>
          <w:i/>
          <w:sz w:val="28"/>
          <w:szCs w:val="28"/>
          <w:u w:val="none"/>
        </w:rPr>
        <w:t xml:space="preserve">Wotherspoon’s </w:t>
      </w:r>
      <w:r w:rsidRPr="00BC4264">
        <w:rPr>
          <w:i/>
          <w:sz w:val="28"/>
          <w:szCs w:val="28"/>
          <w:u w:val="none"/>
        </w:rPr>
        <w:t>‘</w:t>
      </w:r>
      <w:r w:rsidR="00FE7A52" w:rsidRPr="00BC4264">
        <w:rPr>
          <w:i/>
          <w:sz w:val="28"/>
          <w:szCs w:val="28"/>
          <w:u w:val="none"/>
        </w:rPr>
        <w:t>campaign</w:t>
      </w:r>
      <w:r w:rsidRPr="00BC4264">
        <w:rPr>
          <w:i/>
          <w:sz w:val="28"/>
          <w:szCs w:val="28"/>
          <w:u w:val="none"/>
        </w:rPr>
        <w:t>’</w:t>
      </w:r>
    </w:p>
    <w:p w:rsidR="00FE7A52" w:rsidRPr="00BC4264" w:rsidRDefault="00FE7A52" w:rsidP="00FE7A52">
      <w:pPr>
        <w:pStyle w:val="T-Draft"/>
      </w:pPr>
      <w:r w:rsidRPr="00BC4264">
        <w:t xml:space="preserve">The appellant </w:t>
      </w:r>
      <w:r w:rsidR="005755B7" w:rsidRPr="00BC4264">
        <w:t>further sought</w:t>
      </w:r>
      <w:r w:rsidRPr="00BC4264">
        <w:t xml:space="preserve"> leave to rely on the contents of an affidavit filed by Father John Wotherspoon to support </w:t>
      </w:r>
      <w:r w:rsidR="005755B7" w:rsidRPr="00BC4264">
        <w:t>the</w:t>
      </w:r>
      <w:r w:rsidRPr="00BC4264">
        <w:t xml:space="preserve"> contention that her sentence should be reduced </w:t>
      </w:r>
      <w:r w:rsidR="005755B7" w:rsidRPr="00BC4264">
        <w:t>because of</w:t>
      </w:r>
      <w:r w:rsidRPr="00BC4264">
        <w:t xml:space="preserve"> her participation in his </w:t>
      </w:r>
      <w:r w:rsidR="005D1E78" w:rsidRPr="00BC4264">
        <w:t>‘</w:t>
      </w:r>
      <w:r w:rsidR="00156FFE" w:rsidRPr="00BC4264">
        <w:rPr>
          <w:b/>
        </w:rPr>
        <w:t>‍</w:t>
      </w:r>
      <w:r w:rsidRPr="00BC4264">
        <w:t>campaign</w:t>
      </w:r>
      <w:r w:rsidR="005D1E78" w:rsidRPr="00BC4264">
        <w:t>’</w:t>
      </w:r>
      <w:r w:rsidRPr="00BC4264">
        <w:t xml:space="preserve">. </w:t>
      </w:r>
      <w:r w:rsidR="00156FFE" w:rsidRPr="00BC4264">
        <w:t xml:space="preserve"> </w:t>
      </w:r>
      <w:r w:rsidRPr="00BC4264">
        <w:t xml:space="preserve">This information was not provided to the judge during mitigation but Mr Walsh </w:t>
      </w:r>
      <w:r w:rsidR="00A12989" w:rsidRPr="00BC4264">
        <w:t xml:space="preserve">nevertheless </w:t>
      </w:r>
      <w:r w:rsidRPr="00BC4264">
        <w:t>s</w:t>
      </w:r>
      <w:r w:rsidR="005755B7" w:rsidRPr="00BC4264">
        <w:t>ought</w:t>
      </w:r>
      <w:r w:rsidRPr="00BC4264">
        <w:t xml:space="preserve"> to introduce this evidence on the basis that it </w:t>
      </w:r>
      <w:r w:rsidR="005755B7" w:rsidRPr="00BC4264">
        <w:t>wa</w:t>
      </w:r>
      <w:r w:rsidRPr="00BC4264">
        <w:t>s in the interests of justice</w:t>
      </w:r>
      <w:r w:rsidR="00A12989" w:rsidRPr="00BC4264">
        <w:t xml:space="preserve"> for the Court to receive it</w:t>
      </w:r>
      <w:r w:rsidR="00A57DE0" w:rsidRPr="00BC4264">
        <w:t xml:space="preserve">, since it </w:t>
      </w:r>
      <w:r w:rsidR="00A12989" w:rsidRPr="00BC4264">
        <w:t>would fall</w:t>
      </w:r>
      <w:r w:rsidRPr="00BC4264">
        <w:t xml:space="preserve"> to th</w:t>
      </w:r>
      <w:r w:rsidR="00A12989" w:rsidRPr="00BC4264">
        <w:t>is</w:t>
      </w:r>
      <w:r w:rsidRPr="00BC4264">
        <w:t xml:space="preserve"> Court to re</w:t>
      </w:r>
      <w:r w:rsidR="007D760A" w:rsidRPr="00BC4264">
        <w:noBreakHyphen/>
      </w:r>
      <w:r w:rsidRPr="00BC4264">
        <w:t>sentence the appellant i</w:t>
      </w:r>
      <w:r w:rsidR="00A57DE0" w:rsidRPr="00BC4264">
        <w:t xml:space="preserve">f </w:t>
      </w:r>
      <w:r w:rsidR="005755B7" w:rsidRPr="00BC4264">
        <w:t xml:space="preserve">it considered that </w:t>
      </w:r>
      <w:r w:rsidR="00A57DE0" w:rsidRPr="00BC4264">
        <w:t xml:space="preserve">Ground 1 </w:t>
      </w:r>
      <w:r w:rsidR="005755B7" w:rsidRPr="00BC4264">
        <w:t>wa</w:t>
      </w:r>
      <w:r w:rsidR="00A57DE0" w:rsidRPr="00BC4264">
        <w:t>s made out</w:t>
      </w:r>
      <w:r w:rsidRPr="00BC4264">
        <w:t xml:space="preserve">. </w:t>
      </w:r>
      <w:r w:rsidR="00A57DE0" w:rsidRPr="00BC4264">
        <w:t xml:space="preserve"> </w:t>
      </w:r>
      <w:r w:rsidRPr="00BC4264">
        <w:t>The affidavit</w:t>
      </w:r>
      <w:r w:rsidR="00A92A71" w:rsidRPr="00BC4264">
        <w:t xml:space="preserve">, which we received on a </w:t>
      </w:r>
      <w:r w:rsidR="00A92A71" w:rsidRPr="00BC4264">
        <w:rPr>
          <w:i/>
        </w:rPr>
        <w:t xml:space="preserve">de </w:t>
      </w:r>
      <w:r w:rsidR="00D25DF5" w:rsidRPr="00BC4264">
        <w:rPr>
          <w:i/>
        </w:rPr>
        <w:t>‍</w:t>
      </w:r>
      <w:r w:rsidR="00A92A71" w:rsidRPr="00BC4264">
        <w:rPr>
          <w:i/>
        </w:rPr>
        <w:t>bene esse</w:t>
      </w:r>
      <w:r w:rsidR="00A92A71" w:rsidRPr="00BC4264">
        <w:t xml:space="preserve"> basis,</w:t>
      </w:r>
      <w:r w:rsidRPr="00BC4264">
        <w:t xml:space="preserve"> </w:t>
      </w:r>
      <w:r w:rsidR="005755B7" w:rsidRPr="00BC4264">
        <w:t>details</w:t>
      </w:r>
      <w:r w:rsidRPr="00BC4264">
        <w:t xml:space="preserve"> two types of assistance the </w:t>
      </w:r>
      <w:r w:rsidR="005755B7" w:rsidRPr="00BC4264">
        <w:t>a</w:t>
      </w:r>
      <w:r w:rsidRPr="00BC4264">
        <w:t xml:space="preserve">ppellant </w:t>
      </w:r>
      <w:r w:rsidR="00A92A71" w:rsidRPr="00BC4264">
        <w:t>is said to have</w:t>
      </w:r>
      <w:r w:rsidRPr="00BC4264">
        <w:t xml:space="preserve"> provided</w:t>
      </w:r>
      <w:r w:rsidR="005755B7" w:rsidRPr="00BC4264">
        <w:t>; namely,</w:t>
      </w:r>
      <w:r w:rsidRPr="00BC4264">
        <w:t xml:space="preserve"> a </w:t>
      </w:r>
      <w:r w:rsidR="00B775C3" w:rsidRPr="00BC4264">
        <w:t xml:space="preserve">2-page </w:t>
      </w:r>
      <w:r w:rsidRPr="00BC4264">
        <w:t xml:space="preserve">letter published on </w:t>
      </w:r>
      <w:r w:rsidR="00A57DE0" w:rsidRPr="00BC4264">
        <w:t xml:space="preserve">an Internet </w:t>
      </w:r>
      <w:r w:rsidRPr="00BC4264">
        <w:t>forum, and post</w:t>
      </w:r>
      <w:r w:rsidR="00B775C3" w:rsidRPr="00BC4264">
        <w:t>-</w:t>
      </w:r>
      <w:r w:rsidR="00D25DF5" w:rsidRPr="00BC4264">
        <w:rPr>
          <w:b/>
          <w:i/>
        </w:rPr>
        <w:t>‍</w:t>
      </w:r>
      <w:r w:rsidRPr="00BC4264">
        <w:t xml:space="preserve">sentence assistance in the form of information provided to Father </w:t>
      </w:r>
      <w:r w:rsidR="00D25DF5" w:rsidRPr="00BC4264">
        <w:rPr>
          <w:b/>
          <w:i/>
        </w:rPr>
        <w:t>‍</w:t>
      </w:r>
      <w:r w:rsidRPr="00BC4264">
        <w:t>Wotherspoon</w:t>
      </w:r>
      <w:r w:rsidR="005755B7" w:rsidRPr="00BC4264">
        <w:t>,</w:t>
      </w:r>
      <w:r w:rsidRPr="00BC4264">
        <w:t xml:space="preserve"> which </w:t>
      </w:r>
      <w:r w:rsidR="005755B7" w:rsidRPr="00BC4264">
        <w:t>he had</w:t>
      </w:r>
      <w:r w:rsidRPr="00BC4264">
        <w:t xml:space="preserve"> passed on to U</w:t>
      </w:r>
      <w:r w:rsidR="005D1E78" w:rsidRPr="00BC4264">
        <w:t xml:space="preserve">nited </w:t>
      </w:r>
      <w:r w:rsidRPr="00BC4264">
        <w:t>S</w:t>
      </w:r>
      <w:r w:rsidR="005D1E78" w:rsidRPr="00BC4264">
        <w:t>tates</w:t>
      </w:r>
      <w:r w:rsidRPr="00BC4264">
        <w:t xml:space="preserve"> authorities. </w:t>
      </w:r>
    </w:p>
    <w:p w:rsidR="00055FCE" w:rsidRPr="00BC4264" w:rsidRDefault="00055FCE" w:rsidP="009C1DA4">
      <w:pPr>
        <w:pStyle w:val="Heading2"/>
        <w:spacing w:before="360" w:line="240" w:lineRule="auto"/>
        <w:rPr>
          <w:sz w:val="28"/>
          <w:szCs w:val="28"/>
        </w:rPr>
      </w:pPr>
      <w:r w:rsidRPr="00BC4264">
        <w:rPr>
          <w:sz w:val="28"/>
          <w:szCs w:val="28"/>
        </w:rPr>
        <w:lastRenderedPageBreak/>
        <w:t>F</w:t>
      </w:r>
      <w:r w:rsidR="00DF207E" w:rsidRPr="00BC4264">
        <w:rPr>
          <w:sz w:val="28"/>
          <w:szCs w:val="28"/>
        </w:rPr>
        <w:t>.2</w:t>
      </w:r>
      <w:r w:rsidR="00A56451" w:rsidRPr="00BC4264">
        <w:rPr>
          <w:sz w:val="28"/>
          <w:szCs w:val="28"/>
        </w:rPr>
        <w:t>.</w:t>
      </w:r>
      <w:r w:rsidR="00DF207E" w:rsidRPr="00BC4264">
        <w:rPr>
          <w:sz w:val="28"/>
          <w:szCs w:val="28"/>
        </w:rPr>
        <w:t xml:space="preserve"> </w:t>
      </w:r>
      <w:r w:rsidR="00C67B46" w:rsidRPr="00BC4264">
        <w:rPr>
          <w:sz w:val="28"/>
          <w:szCs w:val="28"/>
        </w:rPr>
        <w:t xml:space="preserve"> </w:t>
      </w:r>
      <w:r w:rsidRPr="00BC4264">
        <w:rPr>
          <w:sz w:val="28"/>
          <w:szCs w:val="28"/>
        </w:rPr>
        <w:t>The respondent’s submissions on</w:t>
      </w:r>
      <w:r w:rsidR="00FE7A52" w:rsidRPr="00BC4264">
        <w:rPr>
          <w:sz w:val="28"/>
          <w:szCs w:val="28"/>
        </w:rPr>
        <w:t xml:space="preserve"> </w:t>
      </w:r>
      <w:r w:rsidR="00C67B46" w:rsidRPr="00BC4264">
        <w:rPr>
          <w:sz w:val="28"/>
          <w:szCs w:val="28"/>
        </w:rPr>
        <w:t>G</w:t>
      </w:r>
      <w:r w:rsidR="00FE7A52" w:rsidRPr="00BC4264">
        <w:rPr>
          <w:sz w:val="28"/>
          <w:szCs w:val="28"/>
        </w:rPr>
        <w:t>round 1</w:t>
      </w:r>
    </w:p>
    <w:p w:rsidR="00055FCE" w:rsidRPr="00BC4264" w:rsidRDefault="00055FCE" w:rsidP="00661CB6">
      <w:pPr>
        <w:pStyle w:val="Heading3"/>
        <w:spacing w:before="360" w:line="240" w:lineRule="auto"/>
        <w:ind w:left="990" w:hanging="990"/>
        <w:rPr>
          <w:i/>
          <w:sz w:val="28"/>
          <w:szCs w:val="28"/>
          <w:u w:val="none"/>
        </w:rPr>
      </w:pPr>
      <w:r w:rsidRPr="00BC4264">
        <w:rPr>
          <w:i/>
          <w:sz w:val="28"/>
          <w:szCs w:val="28"/>
          <w:u w:val="none"/>
        </w:rPr>
        <w:t>F.2.1</w:t>
      </w:r>
      <w:r w:rsidR="00A56451" w:rsidRPr="00BC4264">
        <w:rPr>
          <w:i/>
          <w:sz w:val="28"/>
          <w:szCs w:val="28"/>
          <w:u w:val="none"/>
        </w:rPr>
        <w:t>.</w:t>
      </w:r>
      <w:r w:rsidRPr="00BC4264">
        <w:rPr>
          <w:i/>
          <w:sz w:val="28"/>
          <w:szCs w:val="28"/>
          <w:u w:val="none"/>
        </w:rPr>
        <w:t xml:space="preserve">  The respondent’s</w:t>
      </w:r>
      <w:r w:rsidR="00FE5D5C" w:rsidRPr="00BC4264">
        <w:rPr>
          <w:i/>
          <w:sz w:val="28"/>
          <w:szCs w:val="28"/>
          <w:u w:val="none"/>
        </w:rPr>
        <w:t xml:space="preserve"> argument</w:t>
      </w:r>
      <w:r w:rsidRPr="00BC4264">
        <w:rPr>
          <w:i/>
          <w:sz w:val="28"/>
          <w:szCs w:val="28"/>
          <w:u w:val="none"/>
        </w:rPr>
        <w:t xml:space="preserve"> </w:t>
      </w:r>
      <w:r w:rsidR="00DC1AE1" w:rsidRPr="00BC4264">
        <w:rPr>
          <w:i/>
          <w:sz w:val="28"/>
          <w:szCs w:val="28"/>
          <w:u w:val="none"/>
        </w:rPr>
        <w:t>generally</w:t>
      </w:r>
    </w:p>
    <w:p w:rsidR="00FE7A52" w:rsidRPr="00BC4264" w:rsidRDefault="00BB1186" w:rsidP="00A57DE0">
      <w:pPr>
        <w:pStyle w:val="T-Draft"/>
      </w:pPr>
      <w:r w:rsidRPr="00BC4264">
        <w:t xml:space="preserve">It is </w:t>
      </w:r>
      <w:r w:rsidR="00DC1AE1" w:rsidRPr="00BC4264">
        <w:t xml:space="preserve">the firm position of </w:t>
      </w:r>
      <w:r w:rsidRPr="00BC4264">
        <w:t>Mr Lui, on</w:t>
      </w:r>
      <w:r w:rsidR="00A57DE0" w:rsidRPr="00BC4264">
        <w:t xml:space="preserve"> behalf of the</w:t>
      </w:r>
      <w:r w:rsidR="00FE7A52" w:rsidRPr="00BC4264">
        <w:t xml:space="preserve"> respondent</w:t>
      </w:r>
      <w:r w:rsidR="00A57DE0" w:rsidRPr="00BC4264">
        <w:t>, that the</w:t>
      </w:r>
      <w:r w:rsidR="00FE7A52" w:rsidRPr="00BC4264">
        <w:t xml:space="preserve"> sentencing regime </w:t>
      </w:r>
      <w:r w:rsidR="00A57DE0" w:rsidRPr="00BC4264">
        <w:t>in respect of</w:t>
      </w:r>
      <w:r w:rsidR="00FE7A52" w:rsidRPr="00BC4264">
        <w:t xml:space="preserve"> drug trafficking in Hong Kong has been </w:t>
      </w:r>
      <w:r w:rsidR="00A57DE0" w:rsidRPr="00BC4264">
        <w:t xml:space="preserve">devised, refined and successfully operated </w:t>
      </w:r>
      <w:r w:rsidR="00B775C3" w:rsidRPr="00BC4264">
        <w:t xml:space="preserve">and understood </w:t>
      </w:r>
      <w:r w:rsidR="00A57DE0" w:rsidRPr="00BC4264">
        <w:t>over several decades</w:t>
      </w:r>
      <w:r w:rsidR="00FE7A52" w:rsidRPr="00BC4264">
        <w:t xml:space="preserve"> </w:t>
      </w:r>
      <w:r w:rsidR="00A57DE0" w:rsidRPr="00BC4264">
        <w:t xml:space="preserve">in this jurisdiction, </w:t>
      </w:r>
      <w:r w:rsidR="00FE7A52" w:rsidRPr="00BC4264">
        <w:t xml:space="preserve">and </w:t>
      </w:r>
      <w:r w:rsidR="00A57DE0" w:rsidRPr="00BC4264">
        <w:t xml:space="preserve">there is no need to change it.  </w:t>
      </w:r>
      <w:r w:rsidR="0033165C" w:rsidRPr="00BC4264">
        <w:t>In this respect, h</w:t>
      </w:r>
      <w:r w:rsidR="00A57DE0" w:rsidRPr="00BC4264">
        <w:t xml:space="preserve">e </w:t>
      </w:r>
      <w:r w:rsidR="005755B7" w:rsidRPr="00BC4264">
        <w:t>cited</w:t>
      </w:r>
      <w:r w:rsidR="00A57DE0" w:rsidRPr="00BC4264">
        <w:t xml:space="preserve"> the </w:t>
      </w:r>
      <w:r w:rsidR="00A92A71" w:rsidRPr="00BC4264">
        <w:t>observations</w:t>
      </w:r>
      <w:r w:rsidR="00A57DE0" w:rsidRPr="00BC4264">
        <w:t xml:space="preserve"> of</w:t>
      </w:r>
      <w:r w:rsidR="00FE7A52" w:rsidRPr="00BC4264">
        <w:t xml:space="preserve"> Macrae VP</w:t>
      </w:r>
      <w:r w:rsidR="00A92A71" w:rsidRPr="00BC4264">
        <w:t>, in his judgment</w:t>
      </w:r>
      <w:r w:rsidR="00FE7A52" w:rsidRPr="00BC4264">
        <w:t xml:space="preserve"> in </w:t>
      </w:r>
      <w:r w:rsidR="00FE7A52" w:rsidRPr="00BC4264">
        <w:rPr>
          <w:i/>
        </w:rPr>
        <w:t>Kilima</w:t>
      </w:r>
      <w:r w:rsidR="00A57DE0" w:rsidRPr="00BC4264">
        <w:t xml:space="preserve">, </w:t>
      </w:r>
      <w:r w:rsidR="00A92A71" w:rsidRPr="00BC4264">
        <w:t>that</w:t>
      </w:r>
      <w:r w:rsidR="00A57DE0" w:rsidRPr="00BC4264">
        <w:rPr>
          <w:rStyle w:val="FootnoteReference"/>
        </w:rPr>
        <w:footnoteReference w:id="19"/>
      </w:r>
      <w:r w:rsidR="00FE7A52" w:rsidRPr="00BC4264">
        <w:t>:</w:t>
      </w:r>
    </w:p>
    <w:p w:rsidR="00FE7A52" w:rsidRPr="00BC4264" w:rsidRDefault="00FE7A52" w:rsidP="00FE7A52">
      <w:pPr>
        <w:pStyle w:val="j-quotation"/>
      </w:pPr>
      <w:r w:rsidRPr="00BC4264">
        <w:t>“The one thing that has struck me, having had to consider in the past few months the trends and statistics for the seizures, arrests and convictions in respect of a wide spectrum of dangerous drugs in Hong Kong since January 2015</w:t>
      </w:r>
      <w:r w:rsidR="008F0513" w:rsidRPr="00BC4264">
        <w:rPr>
          <w:rStyle w:val="FootnoteReference"/>
        </w:rPr>
        <w:footnoteReference w:id="20"/>
      </w:r>
      <w:r w:rsidRPr="00BC4264">
        <w:t>, is that rather than being swamped by a problem which is out of control, as other countries seem to have been, the problem in Hong Kong is being steadily contained, if not, in certain respects, reduced.</w:t>
      </w:r>
      <w:r w:rsidR="007D760A" w:rsidRPr="00BC4264">
        <w:t xml:space="preserve"> </w:t>
      </w:r>
      <w:r w:rsidRPr="00BC4264">
        <w:t xml:space="preserve"> And since in this jurisdiction we do not have the death penalty for drug trafficking, unlike almost all of our neighbours, that position is in no small measure due to our own particular policy of law enforcement, backed up by harsh, but consistent, sentencing for drug trafficking.”</w:t>
      </w:r>
    </w:p>
    <w:p w:rsidR="00FE7A52" w:rsidRPr="00BC4264" w:rsidRDefault="00FE7A52" w:rsidP="00FE7A52">
      <w:pPr>
        <w:pStyle w:val="T-Draft"/>
      </w:pPr>
      <w:r w:rsidRPr="00BC4264">
        <w:t xml:space="preserve">Insofar as the </w:t>
      </w:r>
      <w:r w:rsidR="00175E07" w:rsidRPr="00BC4264">
        <w:t xml:space="preserve">alleged </w:t>
      </w:r>
      <w:r w:rsidRPr="00BC4264">
        <w:t>rigidity</w:t>
      </w:r>
      <w:r w:rsidR="00175E07" w:rsidRPr="00BC4264">
        <w:t xml:space="preserve"> or arbitrariness</w:t>
      </w:r>
      <w:r w:rsidRPr="00BC4264">
        <w:t xml:space="preserve"> of such a</w:t>
      </w:r>
      <w:r w:rsidR="0033165C" w:rsidRPr="00BC4264">
        <w:t xml:space="preserve"> sentencing</w:t>
      </w:r>
      <w:r w:rsidRPr="00BC4264">
        <w:t xml:space="preserve"> </w:t>
      </w:r>
      <w:r w:rsidR="00295B21" w:rsidRPr="00BC4264">
        <w:rPr>
          <w:b/>
        </w:rPr>
        <w:t>‍</w:t>
      </w:r>
      <w:r w:rsidRPr="00BC4264">
        <w:t xml:space="preserve">approach is concerned, the respondent </w:t>
      </w:r>
      <w:r w:rsidR="00175E07" w:rsidRPr="00BC4264">
        <w:t>referred to the recent</w:t>
      </w:r>
      <w:r w:rsidR="00A5239A" w:rsidRPr="00BC4264">
        <w:t>,</w:t>
      </w:r>
      <w:r w:rsidR="00175E07" w:rsidRPr="00BC4264">
        <w:t xml:space="preserve"> comprehensive answer to that complaint given by Zervos JA, on behalf of a Court</w:t>
      </w:r>
      <w:r w:rsidR="00BB1186" w:rsidRPr="00BC4264">
        <w:t xml:space="preserve"> which</w:t>
      </w:r>
      <w:r w:rsidR="005C45EF" w:rsidRPr="00BC4264">
        <w:t xml:space="preserve"> </w:t>
      </w:r>
      <w:r w:rsidR="00BB1186" w:rsidRPr="00BC4264">
        <w:t xml:space="preserve">also </w:t>
      </w:r>
      <w:r w:rsidR="005C45EF" w:rsidRPr="00BC4264">
        <w:t>comprised</w:t>
      </w:r>
      <w:r w:rsidR="00175E07" w:rsidRPr="00BC4264">
        <w:t xml:space="preserve"> Macrae VP and McWalters JA, in</w:t>
      </w:r>
      <w:r w:rsidRPr="00BC4264">
        <w:t xml:space="preserve"> </w:t>
      </w:r>
      <w:r w:rsidRPr="00BC4264">
        <w:rPr>
          <w:i/>
        </w:rPr>
        <w:t xml:space="preserve">HKSAR v Godson </w:t>
      </w:r>
      <w:r w:rsidR="007D760A" w:rsidRPr="00BC4264">
        <w:rPr>
          <w:b/>
          <w:i/>
        </w:rPr>
        <w:t>‍</w:t>
      </w:r>
      <w:r w:rsidRPr="00BC4264">
        <w:rPr>
          <w:i/>
        </w:rPr>
        <w:t>Ugochukwu Okoro</w:t>
      </w:r>
      <w:r w:rsidRPr="00BC4264">
        <w:rPr>
          <w:vertAlign w:val="superscript"/>
        </w:rPr>
        <w:footnoteReference w:id="21"/>
      </w:r>
      <w:r w:rsidR="00175E07" w:rsidRPr="00BC4264">
        <w:t>:</w:t>
      </w:r>
    </w:p>
    <w:p w:rsidR="005C45EF" w:rsidRPr="00BC4264" w:rsidRDefault="00FE7A52" w:rsidP="005C45EF">
      <w:pPr>
        <w:pStyle w:val="j-quotation"/>
      </w:pPr>
      <w:r w:rsidRPr="00BC4264">
        <w:t>“</w:t>
      </w:r>
      <w:r w:rsidR="005C45EF" w:rsidRPr="00BC4264">
        <w:t>94.</w:t>
      </w:r>
      <w:r w:rsidR="007D760A" w:rsidRPr="00BC4264">
        <w:tab/>
      </w:r>
      <w:r w:rsidR="00175E07" w:rsidRPr="00BC4264">
        <w:t>The suggestion</w:t>
      </w:r>
      <w:r w:rsidR="005C45EF" w:rsidRPr="00BC4264">
        <w:t xml:space="preserve"> that the sentencing guidelines are fixed and compulsory is not correct. </w:t>
      </w:r>
      <w:r w:rsidR="007D760A" w:rsidRPr="00BC4264">
        <w:t xml:space="preserve"> </w:t>
      </w:r>
      <w:r w:rsidR="005C45EF" w:rsidRPr="00BC4264">
        <w:t>A sentencing court can depart from the sentencing guidelines when the circumstances warrant it</w:t>
      </w:r>
      <w:r w:rsidR="00F0498A" w:rsidRPr="00BC4264">
        <w:t>.  A</w:t>
      </w:r>
      <w:r w:rsidR="005C45EF" w:rsidRPr="00BC4264">
        <w:t>s one would expect, this can only be done when, as a matter of sentencing policy or princip</w:t>
      </w:r>
      <w:r w:rsidR="0080767A" w:rsidRPr="00BC4264">
        <w:t>le</w:t>
      </w:r>
      <w:r w:rsidR="005C45EF" w:rsidRPr="00BC4264">
        <w:t xml:space="preserve">, it is appropriate to do so. </w:t>
      </w:r>
      <w:r w:rsidR="007D760A" w:rsidRPr="00BC4264">
        <w:t xml:space="preserve"> </w:t>
      </w:r>
      <w:r w:rsidR="005C45EF" w:rsidRPr="00BC4264">
        <w:t xml:space="preserve">This Court has explained that the sentencing guidelines are not a ‘straitjacket’ and can be departed from when there is </w:t>
      </w:r>
      <w:r w:rsidR="005C45EF" w:rsidRPr="00BC4264">
        <w:lastRenderedPageBreak/>
        <w:t xml:space="preserve">‘a </w:t>
      </w:r>
      <w:r w:rsidR="00661CB6" w:rsidRPr="00BC4264">
        <w:rPr>
          <w:b/>
        </w:rPr>
        <w:t>‍</w:t>
      </w:r>
      <w:r w:rsidR="005C45EF" w:rsidRPr="00BC4264">
        <w:t>good reason’ for doing so.  A sentencing court will, applying the sentencing guidelines, determine an appropriate starting point, taking into account the facts and circumstances of the case, subject to increase for any aggravating factors or reduction for any mitigating factors.</w:t>
      </w:r>
    </w:p>
    <w:p w:rsidR="005C45EF" w:rsidRPr="00BC4264" w:rsidRDefault="005C45EF" w:rsidP="00FE7A52">
      <w:pPr>
        <w:pStyle w:val="j-quotation"/>
      </w:pPr>
      <w:r w:rsidRPr="00BC4264">
        <w:t>…</w:t>
      </w:r>
      <w:r w:rsidR="00661CB6" w:rsidRPr="00BC4264">
        <w:t>…</w:t>
      </w:r>
    </w:p>
    <w:p w:rsidR="00FE7A52" w:rsidRPr="00BC4264" w:rsidRDefault="005C45EF" w:rsidP="00FE7A52">
      <w:pPr>
        <w:pStyle w:val="j-quotation"/>
      </w:pPr>
      <w:r w:rsidRPr="00BC4264">
        <w:t>97.</w:t>
      </w:r>
      <w:r w:rsidR="007D760A" w:rsidRPr="00BC4264">
        <w:tab/>
      </w:r>
      <w:r w:rsidRPr="00BC4264">
        <w:t xml:space="preserve">In summary, this Court has reconfirmed in </w:t>
      </w:r>
      <w:r w:rsidR="00F0498A" w:rsidRPr="00BC4264">
        <w:rPr>
          <w:i/>
        </w:rPr>
        <w:t>Kilima</w:t>
      </w:r>
      <w:r w:rsidRPr="00BC4264">
        <w:t xml:space="preserve"> that the sentencing guidelines of </w:t>
      </w:r>
      <w:r w:rsidRPr="00BC4264">
        <w:rPr>
          <w:i/>
        </w:rPr>
        <w:t>Lau Tak Ming</w:t>
      </w:r>
      <w:r w:rsidRPr="00BC4264">
        <w:t xml:space="preserve"> and </w:t>
      </w:r>
      <w:r w:rsidRPr="00BC4264">
        <w:rPr>
          <w:i/>
        </w:rPr>
        <w:t>Abd</w:t>
      </w:r>
      <w:r w:rsidR="00A5239A" w:rsidRPr="00BC4264">
        <w:rPr>
          <w:i/>
        </w:rPr>
        <w:t>a</w:t>
      </w:r>
      <w:r w:rsidRPr="00BC4264">
        <w:rPr>
          <w:i/>
        </w:rPr>
        <w:t>lla</w:t>
      </w:r>
      <w:r w:rsidR="003C4424" w:rsidRPr="00BC4264">
        <w:rPr>
          <w:i/>
        </w:rPr>
        <w:t>h</w:t>
      </w:r>
      <w:r w:rsidRPr="00BC4264">
        <w:t xml:space="preserve"> apply to drug c</w:t>
      </w:r>
      <w:r w:rsidR="00F0498A" w:rsidRPr="00BC4264">
        <w:t>ouriers</w:t>
      </w:r>
      <w:r w:rsidRPr="00BC4264">
        <w:t xml:space="preserve">. </w:t>
      </w:r>
      <w:r w:rsidR="007D760A" w:rsidRPr="00BC4264">
        <w:t xml:space="preserve"> </w:t>
      </w:r>
      <w:r w:rsidRPr="00BC4264">
        <w:t xml:space="preserve">They provide important principles and guidance to sentencing courts, which still retain the flexibility to depart from them when there is good reason to do so, and impose an appropriate sentence in the circumstances of the offence and the offender. </w:t>
      </w:r>
      <w:r w:rsidR="007D760A" w:rsidRPr="00BC4264">
        <w:t xml:space="preserve"> </w:t>
      </w:r>
      <w:r w:rsidRPr="00BC4264">
        <w:t xml:space="preserve">They are not arbitrary and do not violate BOR </w:t>
      </w:r>
      <w:r w:rsidR="00355941" w:rsidRPr="00BC4264">
        <w:rPr>
          <w:b/>
        </w:rPr>
        <w:t>‍</w:t>
      </w:r>
      <w:r w:rsidRPr="00BC4264">
        <w:t>5(1) or BL 28.”</w:t>
      </w:r>
    </w:p>
    <w:p w:rsidR="00FE7A52" w:rsidRPr="00BC4264" w:rsidRDefault="005755B7" w:rsidP="00BF0D96">
      <w:pPr>
        <w:pStyle w:val="T-Draft"/>
      </w:pPr>
      <w:r w:rsidRPr="00BC4264">
        <w:t>Mr Lui made the point that t</w:t>
      </w:r>
      <w:r w:rsidR="00FE7A52" w:rsidRPr="00BC4264">
        <w:t>he appellant ha</w:t>
      </w:r>
      <w:r w:rsidR="002B21FD" w:rsidRPr="00BC4264">
        <w:t>d</w:t>
      </w:r>
      <w:r w:rsidR="00FE7A52" w:rsidRPr="00BC4264">
        <w:t xml:space="preserve"> provided no empirical data or legal argument to justify </w:t>
      </w:r>
      <w:r w:rsidR="0061091F" w:rsidRPr="00BC4264">
        <w:t>the</w:t>
      </w:r>
      <w:r w:rsidR="00FE7A52" w:rsidRPr="00BC4264">
        <w:t xml:space="preserve"> contention that developments in sentencing law and practice in other common law jurisdictions, </w:t>
      </w:r>
      <w:r w:rsidR="004E470C" w:rsidRPr="00BC4264">
        <w:t xml:space="preserve">in particular, </w:t>
      </w:r>
      <w:r w:rsidRPr="00BC4264">
        <w:t>concerning</w:t>
      </w:r>
      <w:r w:rsidR="00FE7A52" w:rsidRPr="00BC4264">
        <w:t xml:space="preserve"> an offender</w:t>
      </w:r>
      <w:r w:rsidR="008F0513" w:rsidRPr="00BC4264">
        <w:t>’</w:t>
      </w:r>
      <w:r w:rsidR="00FE7A52" w:rsidRPr="00BC4264">
        <w:t xml:space="preserve">s role and level of culpability, should be followed in Hong Kong. </w:t>
      </w:r>
      <w:r w:rsidR="00B60933" w:rsidRPr="00BC4264">
        <w:t xml:space="preserve"> </w:t>
      </w:r>
      <w:r w:rsidR="00FE7A52" w:rsidRPr="00BC4264">
        <w:t xml:space="preserve">Pointing out that the only </w:t>
      </w:r>
      <w:r w:rsidR="00A92A71" w:rsidRPr="00BC4264">
        <w:t>“new”</w:t>
      </w:r>
      <w:r w:rsidR="00FE7A52" w:rsidRPr="00BC4264">
        <w:t xml:space="preserve"> development advanced by </w:t>
      </w:r>
      <w:r w:rsidR="00C1076E" w:rsidRPr="00BC4264">
        <w:t>the appellant</w:t>
      </w:r>
      <w:r w:rsidR="00FE7A52" w:rsidRPr="00BC4264">
        <w:t xml:space="preserve"> </w:t>
      </w:r>
      <w:r w:rsidR="00A12989" w:rsidRPr="00BC4264">
        <w:t>wa</w:t>
      </w:r>
      <w:r w:rsidR="00FE7A52" w:rsidRPr="00BC4264">
        <w:t xml:space="preserve">s the </w:t>
      </w:r>
      <w:r w:rsidR="00BB1186" w:rsidRPr="00BC4264">
        <w:t xml:space="preserve">decision of the </w:t>
      </w:r>
      <w:r w:rsidR="00FE7A52" w:rsidRPr="00BC4264">
        <w:t xml:space="preserve">New </w:t>
      </w:r>
      <w:r w:rsidR="00156FFE" w:rsidRPr="00BC4264">
        <w:rPr>
          <w:b/>
        </w:rPr>
        <w:t>‍</w:t>
      </w:r>
      <w:r w:rsidR="00FE7A52" w:rsidRPr="00BC4264">
        <w:t xml:space="preserve">Zealand Court of Appeal </w:t>
      </w:r>
      <w:r w:rsidR="00BB1186" w:rsidRPr="00BC4264">
        <w:t>in</w:t>
      </w:r>
      <w:r w:rsidR="00FE7A52" w:rsidRPr="00BC4264">
        <w:t xml:space="preserve"> </w:t>
      </w:r>
      <w:r w:rsidR="00FE7A52" w:rsidRPr="00BC4264">
        <w:rPr>
          <w:i/>
        </w:rPr>
        <w:t>Zhang</w:t>
      </w:r>
      <w:r w:rsidR="00B60933" w:rsidRPr="00BC4264">
        <w:rPr>
          <w:i/>
        </w:rPr>
        <w:t xml:space="preserve"> &amp; Ors</w:t>
      </w:r>
      <w:r w:rsidR="00FE7A52" w:rsidRPr="00BC4264">
        <w:rPr>
          <w:i/>
        </w:rPr>
        <w:t xml:space="preserve"> v </w:t>
      </w:r>
      <w:r w:rsidR="00B60933" w:rsidRPr="00BC4264">
        <w:rPr>
          <w:i/>
        </w:rPr>
        <w:t>The Queen</w:t>
      </w:r>
      <w:r w:rsidR="00FE7A52" w:rsidRPr="00BC4264">
        <w:rPr>
          <w:vertAlign w:val="superscript"/>
        </w:rPr>
        <w:footnoteReference w:id="22"/>
      </w:r>
      <w:r w:rsidR="00BB1186" w:rsidRPr="00BC4264">
        <w:t xml:space="preserve">, </w:t>
      </w:r>
      <w:r w:rsidR="001B6F0C" w:rsidRPr="00BC4264">
        <w:t>Mr Lui</w:t>
      </w:r>
      <w:r w:rsidR="00FE7A52" w:rsidRPr="00BC4264">
        <w:t xml:space="preserve"> submit</w:t>
      </w:r>
      <w:r w:rsidRPr="00BC4264">
        <w:t>ted</w:t>
      </w:r>
      <w:r w:rsidR="00FE7A52" w:rsidRPr="00BC4264">
        <w:t xml:space="preserve"> </w:t>
      </w:r>
      <w:r w:rsidR="000E7DB9" w:rsidRPr="00BC4264">
        <w:t>that th</w:t>
      </w:r>
      <w:r w:rsidRPr="00BC4264">
        <w:t>e authority was</w:t>
      </w:r>
      <w:r w:rsidR="00BB1186" w:rsidRPr="00BC4264">
        <w:t xml:space="preserve"> distinguishable</w:t>
      </w:r>
      <w:r w:rsidR="006A5D03" w:rsidRPr="00BC4264">
        <w:t>,</w:t>
      </w:r>
      <w:r w:rsidR="000E7DB9" w:rsidRPr="00BC4264">
        <w:t xml:space="preserve"> not merely because the New Zealand guidelines </w:t>
      </w:r>
      <w:r w:rsidR="00A12989" w:rsidRPr="00BC4264">
        <w:t>we</w:t>
      </w:r>
      <w:r w:rsidR="000E7DB9" w:rsidRPr="00BC4264">
        <w:t>re based on a very different statutory fr</w:t>
      </w:r>
      <w:r w:rsidR="001B6F0C" w:rsidRPr="00BC4264">
        <w:t xml:space="preserve">amework, </w:t>
      </w:r>
      <w:r w:rsidR="006A5D03" w:rsidRPr="00BC4264">
        <w:t>namely</w:t>
      </w:r>
      <w:r w:rsidR="001B6F0C" w:rsidRPr="00BC4264">
        <w:t xml:space="preserve"> the Sentencing Act 2002</w:t>
      </w:r>
      <w:r w:rsidR="006A5D03" w:rsidRPr="00BC4264">
        <w:t xml:space="preserve">, which </w:t>
      </w:r>
      <w:r w:rsidR="001B6F0C" w:rsidRPr="00BC4264">
        <w:t>sets out the purpose and principles of sentencing in New Zealand</w:t>
      </w:r>
      <w:r w:rsidR="00B60933" w:rsidRPr="00BC4264">
        <w:t xml:space="preserve"> courts</w:t>
      </w:r>
      <w:r w:rsidR="006A5D03" w:rsidRPr="00BC4264">
        <w:t>;</w:t>
      </w:r>
      <w:r w:rsidR="001B6F0C" w:rsidRPr="00BC4264">
        <w:t xml:space="preserve"> but also </w:t>
      </w:r>
      <w:r w:rsidR="00B60933" w:rsidRPr="00BC4264">
        <w:t xml:space="preserve">because </w:t>
      </w:r>
      <w:r w:rsidR="006A5D03" w:rsidRPr="00BC4264">
        <w:t>it came about as a result of identifiable</w:t>
      </w:r>
      <w:r w:rsidR="00B60933" w:rsidRPr="00BC4264">
        <w:t xml:space="preserve"> </w:t>
      </w:r>
      <w:r w:rsidR="00FE7A52" w:rsidRPr="00BC4264">
        <w:t>criticism</w:t>
      </w:r>
      <w:r w:rsidR="00B60933" w:rsidRPr="00BC4264">
        <w:t>s</w:t>
      </w:r>
      <w:r w:rsidR="00FE7A52" w:rsidRPr="00BC4264">
        <w:t xml:space="preserve"> of </w:t>
      </w:r>
      <w:r w:rsidR="00BB1186" w:rsidRPr="00BC4264">
        <w:t xml:space="preserve">the </w:t>
      </w:r>
      <w:r w:rsidR="001B6F0C" w:rsidRPr="00BC4264">
        <w:t xml:space="preserve">previous </w:t>
      </w:r>
      <w:r w:rsidR="00FE7A52" w:rsidRPr="00BC4264">
        <w:t xml:space="preserve">guidelines in </w:t>
      </w:r>
      <w:r w:rsidR="00FE7A52" w:rsidRPr="00BC4264">
        <w:rPr>
          <w:i/>
        </w:rPr>
        <w:t xml:space="preserve">R </w:t>
      </w:r>
      <w:r w:rsidR="00156FFE" w:rsidRPr="00BC4264">
        <w:rPr>
          <w:b/>
          <w:i/>
        </w:rPr>
        <w:t>‍</w:t>
      </w:r>
      <w:r w:rsidR="00FE7A52" w:rsidRPr="00BC4264">
        <w:rPr>
          <w:i/>
        </w:rPr>
        <w:t xml:space="preserve">v </w:t>
      </w:r>
      <w:r w:rsidR="00156FFE" w:rsidRPr="00BC4264">
        <w:rPr>
          <w:b/>
          <w:i/>
        </w:rPr>
        <w:t>‍</w:t>
      </w:r>
      <w:r w:rsidR="00FE7A52" w:rsidRPr="00BC4264">
        <w:rPr>
          <w:i/>
        </w:rPr>
        <w:t>Fatu</w:t>
      </w:r>
      <w:r w:rsidR="00FE7A52" w:rsidRPr="00BC4264">
        <w:rPr>
          <w:vertAlign w:val="superscript"/>
        </w:rPr>
        <w:footnoteReference w:id="23"/>
      </w:r>
      <w:r w:rsidR="006A5D03" w:rsidRPr="00BC4264">
        <w:t xml:space="preserve">, none of which </w:t>
      </w:r>
      <w:r w:rsidR="00B775C3" w:rsidRPr="00BC4264">
        <w:t xml:space="preserve">criticisms </w:t>
      </w:r>
      <w:r w:rsidR="006A5D03" w:rsidRPr="00BC4264">
        <w:t>may be made of the guidelines in Hong Kong.</w:t>
      </w:r>
      <w:r w:rsidR="00FE7A52" w:rsidRPr="00BC4264">
        <w:t xml:space="preserve"> </w:t>
      </w:r>
      <w:r w:rsidR="00BF0D96" w:rsidRPr="00BC4264">
        <w:t xml:space="preserve"> </w:t>
      </w:r>
      <w:r w:rsidR="006A5D03" w:rsidRPr="00BC4264">
        <w:t>Furthermore,</w:t>
      </w:r>
      <w:r w:rsidR="00FE7A52" w:rsidRPr="00BC4264">
        <w:t xml:space="preserve"> </w:t>
      </w:r>
      <w:r w:rsidR="006A5D03" w:rsidRPr="00BC4264">
        <w:t>Mr Lui caution</w:t>
      </w:r>
      <w:r w:rsidR="00B775C3" w:rsidRPr="00BC4264">
        <w:t>ed</w:t>
      </w:r>
      <w:r w:rsidR="006A5D03" w:rsidRPr="00BC4264">
        <w:t xml:space="preserve"> that </w:t>
      </w:r>
      <w:r w:rsidR="00FE7A52" w:rsidRPr="00BC4264">
        <w:t xml:space="preserve">the new guidelines in </w:t>
      </w:r>
      <w:r w:rsidR="00FE7A52" w:rsidRPr="00BC4264">
        <w:rPr>
          <w:i/>
        </w:rPr>
        <w:t>Zhang</w:t>
      </w:r>
      <w:r w:rsidR="00FE7A52" w:rsidRPr="00BC4264">
        <w:t xml:space="preserve"> </w:t>
      </w:r>
      <w:r w:rsidR="006A5D03" w:rsidRPr="00BC4264">
        <w:t>were</w:t>
      </w:r>
      <w:r w:rsidR="00FE7A52" w:rsidRPr="00BC4264">
        <w:t xml:space="preserve"> only handed down</w:t>
      </w:r>
      <w:r w:rsidR="006A5D03" w:rsidRPr="00BC4264">
        <w:t xml:space="preserve"> in </w:t>
      </w:r>
      <w:r w:rsidR="00FE7A52" w:rsidRPr="00BC4264">
        <w:t>late October 2019</w:t>
      </w:r>
      <w:r w:rsidR="006A5D03" w:rsidRPr="00BC4264">
        <w:t>; accordingly</w:t>
      </w:r>
      <w:r w:rsidR="00DD212C" w:rsidRPr="00BC4264">
        <w:t>,</w:t>
      </w:r>
      <w:r w:rsidR="00FE7A52" w:rsidRPr="00BC4264">
        <w:t xml:space="preserve"> their effectiveness is not yet known</w:t>
      </w:r>
      <w:r w:rsidR="002134D9" w:rsidRPr="00BC4264">
        <w:t>,</w:t>
      </w:r>
      <w:r w:rsidR="00FE7A52" w:rsidRPr="00BC4264">
        <w:t xml:space="preserve"> </w:t>
      </w:r>
      <w:r w:rsidR="00DD212C" w:rsidRPr="00BC4264">
        <w:t>nor has</w:t>
      </w:r>
      <w:r w:rsidR="00FE7A52" w:rsidRPr="00BC4264">
        <w:t xml:space="preserve"> the appellant explained why the </w:t>
      </w:r>
      <w:r w:rsidR="00FE7A52" w:rsidRPr="00BC4264">
        <w:rPr>
          <w:i/>
        </w:rPr>
        <w:t>Zhang</w:t>
      </w:r>
      <w:r w:rsidR="00FE7A52" w:rsidRPr="00BC4264">
        <w:t xml:space="preserve"> guidelines would better suit </w:t>
      </w:r>
      <w:r w:rsidR="00B775C3" w:rsidRPr="00BC4264">
        <w:t>the</w:t>
      </w:r>
      <w:r w:rsidR="00DD212C" w:rsidRPr="00BC4264">
        <w:t xml:space="preserve"> needs </w:t>
      </w:r>
      <w:r w:rsidR="00B775C3" w:rsidRPr="00BC4264">
        <w:t>of Hong Kong society</w:t>
      </w:r>
      <w:r w:rsidR="00FE7A52" w:rsidRPr="00BC4264">
        <w:t xml:space="preserve">. </w:t>
      </w:r>
    </w:p>
    <w:p w:rsidR="00FE7A52" w:rsidRPr="00BC4264" w:rsidRDefault="00F64F8D" w:rsidP="00FE7A52">
      <w:pPr>
        <w:pStyle w:val="T-Draft"/>
      </w:pPr>
      <w:r w:rsidRPr="00BC4264">
        <w:lastRenderedPageBreak/>
        <w:t>So far as the alleged</w:t>
      </w:r>
      <w:r w:rsidR="00FE7A52" w:rsidRPr="00BC4264">
        <w:t xml:space="preserve"> inadequacy of the current sentencing regime in Hong Kong to cater for the individual needs</w:t>
      </w:r>
      <w:r w:rsidR="004E470C" w:rsidRPr="00BC4264">
        <w:t xml:space="preserve"> </w:t>
      </w:r>
      <w:r w:rsidR="002134D9" w:rsidRPr="00BC4264">
        <w:t>and</w:t>
      </w:r>
      <w:r w:rsidR="004E470C" w:rsidRPr="00BC4264">
        <w:t xml:space="preserve"> circumstances</w:t>
      </w:r>
      <w:r w:rsidR="00FE7A52" w:rsidRPr="00BC4264">
        <w:t xml:space="preserve"> of the defendant</w:t>
      </w:r>
      <w:r w:rsidR="002134D9" w:rsidRPr="00BC4264">
        <w:t xml:space="preserve"> is concerned</w:t>
      </w:r>
      <w:r w:rsidR="00FE7A52" w:rsidRPr="00BC4264">
        <w:t xml:space="preserve">, the </w:t>
      </w:r>
      <w:r w:rsidR="007D760A" w:rsidRPr="00BC4264">
        <w:rPr>
          <w:b/>
        </w:rPr>
        <w:t>‍</w:t>
      </w:r>
      <w:r w:rsidR="00FE7A52" w:rsidRPr="00BC4264">
        <w:t xml:space="preserve">respondent </w:t>
      </w:r>
      <w:r w:rsidRPr="00BC4264">
        <w:t xml:space="preserve">referred to the </w:t>
      </w:r>
      <w:r w:rsidR="00A12989" w:rsidRPr="00BC4264">
        <w:t xml:space="preserve">Court’s </w:t>
      </w:r>
      <w:r w:rsidRPr="00BC4264">
        <w:t>resolution of this complaint in</w:t>
      </w:r>
      <w:r w:rsidR="00FE7A52" w:rsidRPr="00BC4264">
        <w:rPr>
          <w:i/>
        </w:rPr>
        <w:t xml:space="preserve"> Godson </w:t>
      </w:r>
      <w:r w:rsidR="007D760A" w:rsidRPr="00BC4264">
        <w:rPr>
          <w:b/>
          <w:i/>
        </w:rPr>
        <w:t>‍</w:t>
      </w:r>
      <w:r w:rsidR="00FE7A52" w:rsidRPr="00BC4264">
        <w:rPr>
          <w:i/>
        </w:rPr>
        <w:t>Ugochukwu Okoro</w:t>
      </w:r>
      <w:r w:rsidR="00FE7A52" w:rsidRPr="00BC4264">
        <w:rPr>
          <w:vertAlign w:val="superscript"/>
        </w:rPr>
        <w:footnoteReference w:id="24"/>
      </w:r>
      <w:bookmarkStart w:id="1" w:name="p96"/>
      <w:r w:rsidR="00FE7A52" w:rsidRPr="00BC4264">
        <w:t>:</w:t>
      </w:r>
    </w:p>
    <w:bookmarkEnd w:id="1"/>
    <w:p w:rsidR="00FE7A52" w:rsidRPr="00BC4264" w:rsidRDefault="00FE7A52" w:rsidP="00FE7A52">
      <w:pPr>
        <w:pStyle w:val="j-quotation"/>
      </w:pPr>
      <w:r w:rsidRPr="00BC4264">
        <w:t xml:space="preserve">“This proposition is largely based on the premise that the sentencing guidelines cannot take into account the role of </w:t>
      </w:r>
      <w:r w:rsidR="007E5242" w:rsidRPr="00BC4264">
        <w:rPr>
          <w:b/>
        </w:rPr>
        <w:t>‍</w:t>
      </w:r>
      <w:r w:rsidRPr="00BC4264">
        <w:t xml:space="preserve">an </w:t>
      </w:r>
      <w:r w:rsidR="007D760A" w:rsidRPr="00BC4264">
        <w:rPr>
          <w:b/>
        </w:rPr>
        <w:t>‍</w:t>
      </w:r>
      <w:r w:rsidRPr="00BC4264">
        <w:t xml:space="preserve">offender, such as that of a courier, and therefore sentences </w:t>
      </w:r>
      <w:r w:rsidR="007D760A" w:rsidRPr="00BC4264">
        <w:rPr>
          <w:b/>
        </w:rPr>
        <w:t>‍</w:t>
      </w:r>
      <w:r w:rsidRPr="00BC4264">
        <w:t xml:space="preserve">imposed on couriers under the sentencing guidelines </w:t>
      </w:r>
      <w:r w:rsidR="007D760A" w:rsidRPr="00BC4264">
        <w:rPr>
          <w:b/>
        </w:rPr>
        <w:t>‍</w:t>
      </w:r>
      <w:r w:rsidRPr="00BC4264">
        <w:t xml:space="preserve">are </w:t>
      </w:r>
      <w:r w:rsidR="007D760A" w:rsidRPr="00BC4264">
        <w:rPr>
          <w:b/>
        </w:rPr>
        <w:t>‍</w:t>
      </w:r>
      <w:r w:rsidRPr="00BC4264">
        <w:t>manifestly disproportionate to the criminality involved.</w:t>
      </w:r>
      <w:r w:rsidR="007D760A" w:rsidRPr="00BC4264">
        <w:t xml:space="preserve"> </w:t>
      </w:r>
      <w:r w:rsidRPr="00BC4264">
        <w:t xml:space="preserve"> However, as already noted, the sentencing guidelines were specifically formulated to address the range of sentences that should be imposed on a courier or a storekeeper.</w:t>
      </w:r>
      <w:r w:rsidR="007D760A" w:rsidRPr="00BC4264">
        <w:t xml:space="preserve"> </w:t>
      </w:r>
      <w:r w:rsidRPr="00BC4264">
        <w:t xml:space="preserve"> It, therefore, cannot be argued that it is arbitrary because of this factor.</w:t>
      </w:r>
      <w:r w:rsidR="007D760A" w:rsidRPr="00BC4264">
        <w:t xml:space="preserve"> </w:t>
      </w:r>
      <w:r w:rsidRPr="00BC4264">
        <w:t xml:space="preserve"> The complaint is really not one of arbitrariness, but of the application of the sentencing guidelines to couriers, but that has been confirmed to be the case in</w:t>
      </w:r>
      <w:r w:rsidR="007D760A" w:rsidRPr="00BC4264">
        <w:t xml:space="preserve"> </w:t>
      </w:r>
      <w:r w:rsidRPr="00BC4264">
        <w:rPr>
          <w:i/>
          <w:iCs/>
        </w:rPr>
        <w:t>Kilima</w:t>
      </w:r>
      <w:r w:rsidRPr="00BC4264">
        <w:t>.</w:t>
      </w:r>
      <w:r w:rsidR="007D760A" w:rsidRPr="00BC4264">
        <w:t xml:space="preserve"> </w:t>
      </w:r>
      <w:r w:rsidRPr="00BC4264">
        <w:t xml:space="preserve"> The fact that a defendant may have played a more significant role in the trafficking of drugs would and should be visited with an upward adjustment of the sentencing guidelines.”</w:t>
      </w:r>
    </w:p>
    <w:p w:rsidR="00FE7A52" w:rsidRPr="00BC4264" w:rsidRDefault="00055FCE" w:rsidP="00661CB6">
      <w:pPr>
        <w:pStyle w:val="Heading3"/>
        <w:spacing w:before="360" w:line="240" w:lineRule="auto"/>
        <w:ind w:left="990" w:hanging="990"/>
        <w:rPr>
          <w:i/>
          <w:sz w:val="28"/>
          <w:szCs w:val="28"/>
          <w:u w:val="none"/>
        </w:rPr>
      </w:pPr>
      <w:r w:rsidRPr="00BC4264">
        <w:rPr>
          <w:i/>
          <w:sz w:val="28"/>
          <w:szCs w:val="28"/>
          <w:u w:val="none"/>
        </w:rPr>
        <w:t>F.2.2</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Pr="00BC4264">
        <w:rPr>
          <w:i/>
          <w:sz w:val="28"/>
          <w:szCs w:val="28"/>
          <w:u w:val="none"/>
        </w:rPr>
        <w:t xml:space="preserve">The respondent’s submissions </w:t>
      </w:r>
      <w:r w:rsidR="002E7077" w:rsidRPr="00BC4264">
        <w:rPr>
          <w:i/>
          <w:sz w:val="28"/>
          <w:szCs w:val="28"/>
          <w:u w:val="none"/>
        </w:rPr>
        <w:t>as to a</w:t>
      </w:r>
      <w:r w:rsidRPr="00BC4264">
        <w:rPr>
          <w:i/>
          <w:sz w:val="28"/>
          <w:szCs w:val="28"/>
          <w:u w:val="none"/>
        </w:rPr>
        <w:t xml:space="preserve"> d</w:t>
      </w:r>
      <w:r w:rsidR="00FE7A52" w:rsidRPr="00BC4264">
        <w:rPr>
          <w:i/>
          <w:sz w:val="28"/>
          <w:szCs w:val="28"/>
          <w:u w:val="none"/>
        </w:rPr>
        <w:t>iscretionless</w:t>
      </w:r>
      <w:r w:rsidR="002E7077" w:rsidRPr="00BC4264">
        <w:rPr>
          <w:i/>
          <w:sz w:val="28"/>
          <w:szCs w:val="28"/>
          <w:u w:val="none"/>
        </w:rPr>
        <w:t>,</w:t>
      </w:r>
      <w:r w:rsidR="00FE7A52" w:rsidRPr="00BC4264">
        <w:rPr>
          <w:i/>
          <w:sz w:val="28"/>
          <w:szCs w:val="28"/>
          <w:u w:val="none"/>
        </w:rPr>
        <w:t xml:space="preserve"> arithmetic calculation</w:t>
      </w:r>
    </w:p>
    <w:p w:rsidR="00FE7A52" w:rsidRPr="00BC4264" w:rsidRDefault="00DD212C" w:rsidP="00DD212C">
      <w:pPr>
        <w:pStyle w:val="T-Draft"/>
      </w:pPr>
      <w:r w:rsidRPr="00BC4264">
        <w:t>While Mr Lui t</w:t>
      </w:r>
      <w:r w:rsidR="00B775C3" w:rsidRPr="00BC4264">
        <w:t>ook</w:t>
      </w:r>
      <w:r w:rsidRPr="00BC4264">
        <w:t xml:space="preserve"> issue with the term </w:t>
      </w:r>
      <w:r w:rsidRPr="00BC4264">
        <w:rPr>
          <w:i/>
        </w:rPr>
        <w:t>discretionless</w:t>
      </w:r>
      <w:r w:rsidRPr="00BC4264">
        <w:t xml:space="preserve">, </w:t>
      </w:r>
      <w:r w:rsidR="00F64F8D" w:rsidRPr="00BC4264">
        <w:t xml:space="preserve">if </w:t>
      </w:r>
      <w:r w:rsidR="00B06104" w:rsidRPr="00BC4264">
        <w:t>by that term th</w:t>
      </w:r>
      <w:r w:rsidR="00F64F8D" w:rsidRPr="00BC4264">
        <w:t xml:space="preserve">e suggestion is that the judge has no discretion </w:t>
      </w:r>
      <w:r w:rsidR="00894A6D" w:rsidRPr="00BC4264">
        <w:t xml:space="preserve">at all </w:t>
      </w:r>
      <w:r w:rsidR="00F64F8D" w:rsidRPr="00BC4264">
        <w:t xml:space="preserve">in </w:t>
      </w:r>
      <w:r w:rsidR="00A6106B" w:rsidRPr="00BC4264">
        <w:t>calculating</w:t>
      </w:r>
      <w:r w:rsidR="00F64F8D" w:rsidRPr="00BC4264">
        <w:t xml:space="preserve"> </w:t>
      </w:r>
      <w:r w:rsidR="00AB52E8" w:rsidRPr="00BC4264">
        <w:rPr>
          <w:b/>
        </w:rPr>
        <w:t>‍</w:t>
      </w:r>
      <w:r w:rsidR="00F64F8D" w:rsidRPr="00BC4264">
        <w:t xml:space="preserve">the </w:t>
      </w:r>
      <w:r w:rsidR="00AB52E8" w:rsidRPr="00BC4264">
        <w:rPr>
          <w:b/>
        </w:rPr>
        <w:t>‍</w:t>
      </w:r>
      <w:r w:rsidR="00F64F8D" w:rsidRPr="00BC4264">
        <w:t xml:space="preserve">starting point, </w:t>
      </w:r>
      <w:r w:rsidRPr="00BC4264">
        <w:t xml:space="preserve">he </w:t>
      </w:r>
      <w:r w:rsidR="00B775C3" w:rsidRPr="00BC4264">
        <w:t>wa</w:t>
      </w:r>
      <w:r w:rsidRPr="00BC4264">
        <w:t xml:space="preserve">s </w:t>
      </w:r>
      <w:r w:rsidR="00B06104" w:rsidRPr="00BC4264">
        <w:t xml:space="preserve">nevertheless </w:t>
      </w:r>
      <w:r w:rsidRPr="00BC4264">
        <w:t xml:space="preserve">in broad agreement with the </w:t>
      </w:r>
      <w:r w:rsidR="00AB52E8" w:rsidRPr="00BC4264">
        <w:rPr>
          <w:b/>
        </w:rPr>
        <w:t>‍</w:t>
      </w:r>
      <w:r w:rsidRPr="00BC4264">
        <w:t>three</w:t>
      </w:r>
      <w:r w:rsidR="007E5242" w:rsidRPr="00BC4264">
        <w:noBreakHyphen/>
      </w:r>
      <w:r w:rsidRPr="00BC4264">
        <w:t xml:space="preserve">step </w:t>
      </w:r>
      <w:r w:rsidR="007E5242" w:rsidRPr="00BC4264">
        <w:rPr>
          <w:b/>
        </w:rPr>
        <w:t>‍</w:t>
      </w:r>
      <w:r w:rsidRPr="00BC4264">
        <w:t xml:space="preserve">approach to sentencing in drug trafficking offences, which </w:t>
      </w:r>
      <w:r w:rsidR="007E5242" w:rsidRPr="00BC4264">
        <w:rPr>
          <w:b/>
        </w:rPr>
        <w:t>‍</w:t>
      </w:r>
      <w:r w:rsidRPr="00BC4264">
        <w:t>accord</w:t>
      </w:r>
      <w:r w:rsidR="00894A6D" w:rsidRPr="00BC4264">
        <w:t>s</w:t>
      </w:r>
      <w:r w:rsidRPr="00BC4264">
        <w:t xml:space="preserve"> </w:t>
      </w:r>
      <w:r w:rsidR="007E5242" w:rsidRPr="00BC4264">
        <w:rPr>
          <w:b/>
        </w:rPr>
        <w:t>‍</w:t>
      </w:r>
      <w:r w:rsidRPr="00BC4264">
        <w:t>with</w:t>
      </w:r>
      <w:r w:rsidR="00FE7A52" w:rsidRPr="00BC4264">
        <w:t xml:space="preserve"> </w:t>
      </w:r>
      <w:r w:rsidR="007E5242" w:rsidRPr="00BC4264">
        <w:rPr>
          <w:b/>
        </w:rPr>
        <w:t>‍</w:t>
      </w:r>
      <w:r w:rsidR="00FE7A52" w:rsidRPr="00BC4264">
        <w:t>esta</w:t>
      </w:r>
      <w:r w:rsidRPr="00BC4264">
        <w:t xml:space="preserve">blished sentencing principles.  </w:t>
      </w:r>
      <w:r w:rsidR="00B06104" w:rsidRPr="00BC4264">
        <w:t xml:space="preserve">In </w:t>
      </w:r>
      <w:r w:rsidR="00B06104" w:rsidRPr="00BC4264">
        <w:rPr>
          <w:i/>
        </w:rPr>
        <w:t>HKSAR v Nwadiut</w:t>
      </w:r>
      <w:r w:rsidR="007E5242" w:rsidRPr="00BC4264">
        <w:rPr>
          <w:i/>
        </w:rPr>
        <w:t>o</w:t>
      </w:r>
      <w:r w:rsidR="00B06104" w:rsidRPr="00BC4264">
        <w:rPr>
          <w:i/>
        </w:rPr>
        <w:t xml:space="preserve"> </w:t>
      </w:r>
      <w:r w:rsidR="007E5242" w:rsidRPr="00BC4264">
        <w:rPr>
          <w:b/>
          <w:i/>
        </w:rPr>
        <w:t>‍</w:t>
      </w:r>
      <w:r w:rsidR="00B06104" w:rsidRPr="00BC4264">
        <w:rPr>
          <w:i/>
        </w:rPr>
        <w:t xml:space="preserve">Samuel </w:t>
      </w:r>
      <w:r w:rsidR="007E5242" w:rsidRPr="00BC4264">
        <w:rPr>
          <w:b/>
          <w:i/>
        </w:rPr>
        <w:t>‍</w:t>
      </w:r>
      <w:r w:rsidR="00B06104" w:rsidRPr="00BC4264">
        <w:rPr>
          <w:i/>
        </w:rPr>
        <w:t>Joseph</w:t>
      </w:r>
      <w:r w:rsidR="00B06104" w:rsidRPr="00BC4264">
        <w:rPr>
          <w:rStyle w:val="FootnoteReference"/>
        </w:rPr>
        <w:footnoteReference w:id="25"/>
      </w:r>
      <w:r w:rsidR="00B06104" w:rsidRPr="00BC4264">
        <w:t xml:space="preserve">, </w:t>
      </w:r>
      <w:r w:rsidR="00A92A71" w:rsidRPr="00BC4264">
        <w:t>the Court</w:t>
      </w:r>
      <w:r w:rsidR="00B06104" w:rsidRPr="00BC4264">
        <w:t xml:space="preserve"> explained the matter in this way</w:t>
      </w:r>
      <w:r w:rsidR="00B06104" w:rsidRPr="00BC4264">
        <w:rPr>
          <w:rStyle w:val="FootnoteReference"/>
        </w:rPr>
        <w:footnoteReference w:id="26"/>
      </w:r>
      <w:r w:rsidR="00B06104" w:rsidRPr="00BC4264">
        <w:t>:</w:t>
      </w:r>
      <w:r w:rsidR="00FE7A52" w:rsidRPr="00BC4264">
        <w:t xml:space="preserve"> </w:t>
      </w:r>
    </w:p>
    <w:p w:rsidR="00860469" w:rsidRPr="00BC4264" w:rsidRDefault="00B06104" w:rsidP="007E5242">
      <w:pPr>
        <w:pStyle w:val="j-quotation"/>
      </w:pPr>
      <w:r w:rsidRPr="00BC4264">
        <w:t xml:space="preserve">“Transparency in the sentencing process flows from the court demonstrating to the offender how the sentence is calculated. </w:t>
      </w:r>
      <w:r w:rsidR="007E5242" w:rsidRPr="00BC4264">
        <w:t xml:space="preserve"> </w:t>
      </w:r>
      <w:r w:rsidRPr="00BC4264">
        <w:t xml:space="preserve">This is essentially a three stage process composed of adopting a starting point, identifying the presence of any aggravating factors and then enhancing the starting point to allow for them and finally discounting that initial sentence, which would be the sentence after trial, to allow for the offender’s mitigation. </w:t>
      </w:r>
      <w:r w:rsidR="007E5242" w:rsidRPr="00BC4264">
        <w:t xml:space="preserve"> </w:t>
      </w:r>
      <w:r w:rsidRPr="00BC4264">
        <w:t xml:space="preserve">In </w:t>
      </w:r>
      <w:r w:rsidRPr="00BC4264">
        <w:lastRenderedPageBreak/>
        <w:t>most cases the only mitigation will be the offender’s plea of guilty which attracts a one-third discount.</w:t>
      </w:r>
      <w:r w:rsidR="007E5242" w:rsidRPr="00BC4264">
        <w:t xml:space="preserve"> </w:t>
      </w:r>
      <w:r w:rsidRPr="00BC4264">
        <w:t xml:space="preserve"> This Court has reiterated on many occasions that most of the matters that are raised in mitigation will be subsumed in this one-third discount. </w:t>
      </w:r>
      <w:r w:rsidR="007E5242" w:rsidRPr="00BC4264">
        <w:t xml:space="preserve"> </w:t>
      </w:r>
      <w:r w:rsidRPr="00BC4264">
        <w:t>This includes remorse and sympathetic personal circumstances of the offender which led him to commit the offence.</w:t>
      </w:r>
      <w:r w:rsidR="007E5242" w:rsidRPr="00BC4264">
        <w:t xml:space="preserve"> </w:t>
      </w:r>
      <w:r w:rsidRPr="00BC4264">
        <w:t xml:space="preserve"> It requires something exceptional, such as assistance to the authorities, to take the discount beyond the normal one-third.”</w:t>
      </w:r>
    </w:p>
    <w:p w:rsidR="00FE7A52" w:rsidRPr="00BC4264" w:rsidRDefault="00FE7A52" w:rsidP="00FE7A52">
      <w:pPr>
        <w:pStyle w:val="T-Draft"/>
      </w:pPr>
      <w:r w:rsidRPr="00BC4264">
        <w:t xml:space="preserve">The </w:t>
      </w:r>
      <w:r w:rsidR="00860469" w:rsidRPr="00BC4264">
        <w:t xml:space="preserve">authorities are replete with affirmations of the importance of consistency in sentencing for trafficking in dangerous drugs, beginning with </w:t>
      </w:r>
      <w:r w:rsidR="00860469" w:rsidRPr="00BC4264">
        <w:rPr>
          <w:i/>
        </w:rPr>
        <w:t>Chan Chi-ming</w:t>
      </w:r>
      <w:r w:rsidR="00860469" w:rsidRPr="00BC4264">
        <w:t>, decided more than 40 years ago.</w:t>
      </w:r>
      <w:r w:rsidR="00ED2F9A" w:rsidRPr="00BC4264">
        <w:t xml:space="preserve">  </w:t>
      </w:r>
      <w:r w:rsidR="00F54944" w:rsidRPr="00BC4264">
        <w:t>More recently, i</w:t>
      </w:r>
      <w:r w:rsidR="00ED2F9A" w:rsidRPr="00BC4264">
        <w:t xml:space="preserve">n </w:t>
      </w:r>
      <w:r w:rsidR="00ED2F9A" w:rsidRPr="00BC4264">
        <w:rPr>
          <w:i/>
        </w:rPr>
        <w:t>HKSAR v</w:t>
      </w:r>
      <w:r w:rsidRPr="00BC4264">
        <w:t xml:space="preserve"> </w:t>
      </w:r>
      <w:r w:rsidRPr="00BC4264">
        <w:rPr>
          <w:i/>
        </w:rPr>
        <w:t>Conde Nassou</w:t>
      </w:r>
      <w:r w:rsidR="00ED2F9A" w:rsidRPr="00BC4264">
        <w:rPr>
          <w:rStyle w:val="FootnoteReference"/>
        </w:rPr>
        <w:footnoteReference w:id="27"/>
      </w:r>
      <w:r w:rsidR="00ED2F9A" w:rsidRPr="00BC4264">
        <w:t xml:space="preserve">, </w:t>
      </w:r>
      <w:r w:rsidR="00533BDE" w:rsidRPr="00BC4264">
        <w:t>the Court</w:t>
      </w:r>
      <w:r w:rsidR="00ED2F9A" w:rsidRPr="00BC4264">
        <w:t xml:space="preserve"> reaffirmed </w:t>
      </w:r>
      <w:r w:rsidR="00F54944" w:rsidRPr="00BC4264">
        <w:t xml:space="preserve">and explained </w:t>
      </w:r>
      <w:r w:rsidR="00ED2F9A" w:rsidRPr="00BC4264">
        <w:t>this important principle</w:t>
      </w:r>
      <w:r w:rsidR="00ED2F9A" w:rsidRPr="00BC4264">
        <w:rPr>
          <w:rStyle w:val="FootnoteReference"/>
        </w:rPr>
        <w:footnoteReference w:id="28"/>
      </w:r>
      <w:r w:rsidR="00ED2F9A" w:rsidRPr="00BC4264">
        <w:t>:</w:t>
      </w:r>
      <w:r w:rsidRPr="00BC4264">
        <w:t xml:space="preserve"> </w:t>
      </w:r>
    </w:p>
    <w:p w:rsidR="00FE7A52" w:rsidRPr="00BC4264" w:rsidRDefault="00FE7A52" w:rsidP="00FE7A52">
      <w:pPr>
        <w:pStyle w:val="j-quotation"/>
      </w:pPr>
      <w:r w:rsidRPr="00BC4264">
        <w:t>“It must be remembered that the reason for having these sentencing tariffs is to promote consistency of sentencing.</w:t>
      </w:r>
      <w:r w:rsidR="007E5242" w:rsidRPr="00BC4264">
        <w:t xml:space="preserve"> </w:t>
      </w:r>
      <w:r w:rsidRPr="00BC4264">
        <w:t xml:space="preserve"> The goal of consistency is pursued because of the benefits it brings to the whole of the administration of criminal justice.</w:t>
      </w:r>
      <w:r w:rsidR="007E5242" w:rsidRPr="00BC4264">
        <w:t xml:space="preserve"> </w:t>
      </w:r>
      <w:r w:rsidRPr="00BC4264">
        <w:t xml:space="preserve"> They include:</w:t>
      </w:r>
    </w:p>
    <w:p w:rsidR="00FE7A52" w:rsidRPr="00BC4264" w:rsidRDefault="00FE7A52" w:rsidP="007E5242">
      <w:pPr>
        <w:pStyle w:val="j-quotation"/>
        <w:tabs>
          <w:tab w:val="clear" w:pos="1418"/>
          <w:tab w:val="left" w:pos="2160"/>
        </w:tabs>
        <w:ind w:left="2160" w:hanging="720"/>
      </w:pPr>
      <w:r w:rsidRPr="00BC4264">
        <w:t>(i)</w:t>
      </w:r>
      <w:r w:rsidR="007E5242" w:rsidRPr="00BC4264">
        <w:tab/>
      </w:r>
      <w:r w:rsidRPr="00BC4264">
        <w:t>it enables there to be transparency in the sentencing process so that all those affected can readily understand how a particular sentence was arrived at;</w:t>
      </w:r>
    </w:p>
    <w:p w:rsidR="00FE7A52" w:rsidRPr="00BC4264" w:rsidRDefault="00FE7A52" w:rsidP="007E5242">
      <w:pPr>
        <w:pStyle w:val="j-quotation"/>
        <w:tabs>
          <w:tab w:val="clear" w:pos="1418"/>
          <w:tab w:val="left" w:pos="2160"/>
        </w:tabs>
        <w:ind w:left="2160" w:hanging="720"/>
      </w:pPr>
      <w:r w:rsidRPr="00BC4264">
        <w:t>(ii)</w:t>
      </w:r>
      <w:r w:rsidR="007E5242" w:rsidRPr="00BC4264">
        <w:tab/>
      </w:r>
      <w:r w:rsidRPr="00BC4264">
        <w:t>it results in a fairer sentencing process with a lower likelihood of the offender being aggrieved by either the sentencing process or its outcome;</w:t>
      </w:r>
    </w:p>
    <w:p w:rsidR="00FE7A52" w:rsidRPr="00BC4264" w:rsidRDefault="00FE7A52" w:rsidP="007E5242">
      <w:pPr>
        <w:pStyle w:val="j-quotation"/>
        <w:tabs>
          <w:tab w:val="clear" w:pos="1418"/>
          <w:tab w:val="left" w:pos="2160"/>
        </w:tabs>
        <w:ind w:left="2160" w:hanging="720"/>
      </w:pPr>
      <w:r w:rsidRPr="00BC4264">
        <w:t>(iii)</w:t>
      </w:r>
      <w:r w:rsidR="007E5242" w:rsidRPr="00BC4264">
        <w:tab/>
      </w:r>
      <w:r w:rsidRPr="00BC4264">
        <w:t>it makes less likely judicial error and contributes to a reduction in sentencing appeals; and</w:t>
      </w:r>
    </w:p>
    <w:p w:rsidR="00FE7A52" w:rsidRPr="00BC4264" w:rsidRDefault="00FE7A52" w:rsidP="007E5242">
      <w:pPr>
        <w:pStyle w:val="j-quotation"/>
        <w:tabs>
          <w:tab w:val="clear" w:pos="1418"/>
          <w:tab w:val="left" w:pos="2160"/>
        </w:tabs>
        <w:ind w:left="2160" w:hanging="720"/>
      </w:pPr>
      <w:r w:rsidRPr="00BC4264">
        <w:t>(iv)</w:t>
      </w:r>
      <w:r w:rsidR="007E5242" w:rsidRPr="00BC4264">
        <w:tab/>
      </w:r>
      <w:r w:rsidRPr="00BC4264">
        <w:t>by making the likely punishment for the offence more publicly known it contributes to the deterrent character of the sentence.</w:t>
      </w:r>
      <w:r w:rsidR="00385ADE" w:rsidRPr="00BC4264">
        <w:t>”</w:t>
      </w:r>
    </w:p>
    <w:p w:rsidR="00F54944" w:rsidRPr="00BC4264" w:rsidRDefault="00F54944" w:rsidP="00FE7A52">
      <w:pPr>
        <w:pStyle w:val="T-Draft"/>
      </w:pPr>
      <w:r w:rsidRPr="00BC4264">
        <w:t xml:space="preserve">The Court in </w:t>
      </w:r>
      <w:r w:rsidRPr="00BC4264">
        <w:rPr>
          <w:i/>
        </w:rPr>
        <w:t>Conde Nassou</w:t>
      </w:r>
      <w:r w:rsidRPr="00BC4264">
        <w:t xml:space="preserve"> went on</w:t>
      </w:r>
      <w:r w:rsidR="00FE5D5C" w:rsidRPr="00BC4264">
        <w:rPr>
          <w:rStyle w:val="FootnoteReference"/>
        </w:rPr>
        <w:footnoteReference w:id="29"/>
      </w:r>
      <w:r w:rsidRPr="00BC4264">
        <w:t>:</w:t>
      </w:r>
    </w:p>
    <w:p w:rsidR="00F54944" w:rsidRPr="00BC4264" w:rsidRDefault="00F54944" w:rsidP="007E5242">
      <w:pPr>
        <w:pStyle w:val="j-quotation"/>
      </w:pPr>
      <w:r w:rsidRPr="00BC4264">
        <w:t>“The more courts depart from sentencing on the basis of the weight of the drug, the less consistency will be achieved.</w:t>
      </w:r>
      <w:r w:rsidR="007E5242" w:rsidRPr="00BC4264">
        <w:t xml:space="preserve"> </w:t>
      </w:r>
      <w:r w:rsidRPr="00BC4264">
        <w:t xml:space="preserve"> In the context of such a regime mathematics clearly plays a role in </w:t>
      </w:r>
      <w:r w:rsidRPr="00BC4264">
        <w:lastRenderedPageBreak/>
        <w:t>guiding the court to where within the relevant sentencing band it adopts an initial starting point for sentence.</w:t>
      </w:r>
    </w:p>
    <w:p w:rsidR="00F54944" w:rsidRPr="00BC4264" w:rsidRDefault="00F54944" w:rsidP="007E5242">
      <w:pPr>
        <w:pStyle w:val="j-quotation"/>
      </w:pPr>
      <w:r w:rsidRPr="00BC4264">
        <w:t>Because drug trafficking cases, especially those involving international c</w:t>
      </w:r>
      <w:r w:rsidR="0080767A" w:rsidRPr="00BC4264">
        <w:t>ouriers</w:t>
      </w:r>
      <w:r w:rsidRPr="00BC4264">
        <w:t>, can have great factual similarity there may be nothing in either the circumstances of the commission of the offence or the background of the offender which calls for the judge to depart from a mathematically determined starting point.</w:t>
      </w:r>
    </w:p>
    <w:p w:rsidR="00F54944" w:rsidRPr="00BC4264" w:rsidRDefault="00F54944" w:rsidP="007E5242">
      <w:pPr>
        <w:pStyle w:val="j-quotation"/>
      </w:pPr>
      <w:r w:rsidRPr="00BC4264">
        <w:t>However, where matters are brought to the attention of the judge which engage the exercise of his discretion then he will depart from what the mathematics might otherwise suggest is the appropriate starting point within the relevant sentencing band.</w:t>
      </w:r>
    </w:p>
    <w:p w:rsidR="00F54944" w:rsidRPr="00BC4264" w:rsidRDefault="00F54944" w:rsidP="007E5242">
      <w:pPr>
        <w:pStyle w:val="j-quotation"/>
      </w:pPr>
      <w:r w:rsidRPr="00BC4264">
        <w:t>But where</w:t>
      </w:r>
      <w:r w:rsidR="0080767A" w:rsidRPr="00BC4264">
        <w:t xml:space="preserve"> the</w:t>
      </w:r>
      <w:r w:rsidRPr="00BC4264">
        <w:t xml:space="preserve"> discretion is engaged the judge must explain why he has departed from the mathematical starting point, especially whe</w:t>
      </w:r>
      <w:r w:rsidR="0080767A" w:rsidRPr="00BC4264">
        <w:t>re</w:t>
      </w:r>
      <w:r w:rsidRPr="00BC4264">
        <w:t xml:space="preserve"> he intends</w:t>
      </w:r>
      <w:r w:rsidR="006461C6" w:rsidRPr="00BC4264">
        <w:t xml:space="preserve"> adopting a starting point within the band that is significantly higher than that which mathematics suggests is appropriate.”</w:t>
      </w:r>
    </w:p>
    <w:p w:rsidR="00AE60F2" w:rsidRPr="00BC4264" w:rsidRDefault="006461C6" w:rsidP="00FE7A52">
      <w:pPr>
        <w:pStyle w:val="T-Draft"/>
      </w:pPr>
      <w:r w:rsidRPr="00BC4264">
        <w:t xml:space="preserve">In reliance on these statements from </w:t>
      </w:r>
      <w:r w:rsidRPr="00BC4264">
        <w:rPr>
          <w:i/>
        </w:rPr>
        <w:t>Nwadiuto</w:t>
      </w:r>
      <w:r w:rsidR="00FE5D5C" w:rsidRPr="00BC4264">
        <w:rPr>
          <w:i/>
        </w:rPr>
        <w:t xml:space="preserve"> Samuel Joseph</w:t>
      </w:r>
      <w:r w:rsidRPr="00BC4264">
        <w:t xml:space="preserve"> and </w:t>
      </w:r>
      <w:r w:rsidRPr="00BC4264">
        <w:rPr>
          <w:i/>
        </w:rPr>
        <w:t xml:space="preserve">Conde </w:t>
      </w:r>
      <w:r w:rsidR="007E5242" w:rsidRPr="00BC4264">
        <w:rPr>
          <w:b/>
          <w:i/>
        </w:rPr>
        <w:t>‍</w:t>
      </w:r>
      <w:r w:rsidRPr="00BC4264">
        <w:rPr>
          <w:i/>
        </w:rPr>
        <w:t>Nassou</w:t>
      </w:r>
      <w:r w:rsidRPr="00BC4264">
        <w:t xml:space="preserve">, </w:t>
      </w:r>
      <w:r w:rsidR="00FE7A52" w:rsidRPr="00BC4264">
        <w:t>Mr Lui submit</w:t>
      </w:r>
      <w:r w:rsidR="00B775C3" w:rsidRPr="00BC4264">
        <w:t>ted</w:t>
      </w:r>
      <w:r w:rsidR="00FE7A52" w:rsidRPr="00BC4264">
        <w:t xml:space="preserve"> that </w:t>
      </w:r>
      <w:r w:rsidRPr="00BC4264">
        <w:t xml:space="preserve">in reality, </w:t>
      </w:r>
      <w:r w:rsidR="00533BDE" w:rsidRPr="00BC4264">
        <w:t>with</w:t>
      </w:r>
      <w:r w:rsidRPr="00BC4264">
        <w:t xml:space="preserve">in this branch of criminal sentencing, there is likely to be little mitigation beyond the plea which </w:t>
      </w:r>
      <w:r w:rsidR="00F86E3A" w:rsidRPr="00BC4264">
        <w:t>can</w:t>
      </w:r>
      <w:r w:rsidRPr="00BC4264">
        <w:t xml:space="preserve"> affect the sentence, unless it is some form of post-arrest assistance.  As </w:t>
      </w:r>
      <w:r w:rsidR="007E5242" w:rsidRPr="00BC4264">
        <w:rPr>
          <w:b/>
        </w:rPr>
        <w:t>‍</w:t>
      </w:r>
      <w:r w:rsidRPr="00BC4264">
        <w:t xml:space="preserve">Stock VP explained in </w:t>
      </w:r>
      <w:r w:rsidR="00FE7A52" w:rsidRPr="00BC4264">
        <w:rPr>
          <w:i/>
        </w:rPr>
        <w:t xml:space="preserve">HKSAR v An unknown person alias Stojanovic </w:t>
      </w:r>
      <w:r w:rsidR="007E5242" w:rsidRPr="00BC4264">
        <w:rPr>
          <w:b/>
          <w:i/>
        </w:rPr>
        <w:t>‍</w:t>
      </w:r>
      <w:r w:rsidR="00FE7A52" w:rsidRPr="00BC4264">
        <w:rPr>
          <w:i/>
        </w:rPr>
        <w:t>Milka and Skopljak Sara</w:t>
      </w:r>
      <w:r w:rsidR="00FE7A52" w:rsidRPr="00BC4264">
        <w:rPr>
          <w:vertAlign w:val="superscript"/>
        </w:rPr>
        <w:footnoteReference w:id="30"/>
      </w:r>
      <w:r w:rsidR="008726B7" w:rsidRPr="00BC4264">
        <w:rPr>
          <w:i/>
        </w:rPr>
        <w:t xml:space="preserve"> </w:t>
      </w:r>
      <w:r w:rsidR="008726B7" w:rsidRPr="00BC4264">
        <w:t>(which</w:t>
      </w:r>
      <w:r w:rsidR="00B775C3" w:rsidRPr="00BC4264">
        <w:t>,</w:t>
      </w:r>
      <w:r w:rsidR="008726B7" w:rsidRPr="00BC4264">
        <w:t xml:space="preserve"> for convenience</w:t>
      </w:r>
      <w:r w:rsidR="00B775C3" w:rsidRPr="00BC4264">
        <w:t>,</w:t>
      </w:r>
      <w:r w:rsidR="008726B7" w:rsidRPr="00BC4264">
        <w:t xml:space="preserve"> we shall call</w:t>
      </w:r>
      <w:r w:rsidR="00252E80" w:rsidRPr="00BC4264">
        <w:rPr>
          <w:i/>
        </w:rPr>
        <w:t xml:space="preserve"> Stojanovic Milka</w:t>
      </w:r>
      <w:r w:rsidR="00252E80" w:rsidRPr="00BC4264">
        <w:t>)</w:t>
      </w:r>
      <w:r w:rsidR="00AE60F2" w:rsidRPr="00BC4264">
        <w:t>:</w:t>
      </w:r>
    </w:p>
    <w:p w:rsidR="00AE60F2" w:rsidRPr="00BC4264" w:rsidRDefault="00AE60F2" w:rsidP="007E5242">
      <w:pPr>
        <w:pStyle w:val="j-quotation"/>
      </w:pPr>
      <w:r w:rsidRPr="00BC4264">
        <w:t>“It is true that in this category of offence, sentence is very largely based on quantity and whilst it is normally of limited avail in other categories of offence for applicants to point in respect of like offen</w:t>
      </w:r>
      <w:r w:rsidR="00F86E3A" w:rsidRPr="00BC4264">
        <w:t>c</w:t>
      </w:r>
      <w:r w:rsidRPr="00BC4264">
        <w:t xml:space="preserve">es to sentences by different courts, there is a particular need for consistency in a category of offence </w:t>
      </w:r>
      <w:r w:rsidRPr="00BC4264">
        <w:rPr>
          <w:i/>
        </w:rPr>
        <w:t>when individual mitigation tends, for policy reasons, to count for little</w:t>
      </w:r>
      <w:r w:rsidRPr="00BC4264">
        <w:t xml:space="preserve">, the point made by this court in </w:t>
      </w:r>
      <w:r w:rsidRPr="00BC4264">
        <w:rPr>
          <w:i/>
        </w:rPr>
        <w:t>HKSAR v Leung Wai Man</w:t>
      </w:r>
      <w:r w:rsidRPr="00BC4264">
        <w:rPr>
          <w:rStyle w:val="FootnoteReference"/>
        </w:rPr>
        <w:footnoteReference w:id="31"/>
      </w:r>
      <w:r w:rsidRPr="00BC4264">
        <w:t>…”</w:t>
      </w:r>
      <w:r w:rsidR="001561D7" w:rsidRPr="00BC4264">
        <w:t xml:space="preserve"> (Emphasis </w:t>
      </w:r>
      <w:r w:rsidR="00AB52E8" w:rsidRPr="00BC4264">
        <w:rPr>
          <w:b/>
        </w:rPr>
        <w:t>‍</w:t>
      </w:r>
      <w:r w:rsidR="001561D7" w:rsidRPr="00BC4264">
        <w:t>supplied)</w:t>
      </w:r>
    </w:p>
    <w:p w:rsidR="001561D7" w:rsidRPr="00BC4264" w:rsidRDefault="001561D7" w:rsidP="00FE7A52">
      <w:pPr>
        <w:pStyle w:val="T-Draft"/>
      </w:pPr>
      <w:r w:rsidRPr="00BC4264">
        <w:lastRenderedPageBreak/>
        <w:t xml:space="preserve">The reference to individual mitigation </w:t>
      </w:r>
      <w:r w:rsidR="00464DDC" w:rsidRPr="00BC4264">
        <w:t>counting for little</w:t>
      </w:r>
      <w:r w:rsidRPr="00BC4264">
        <w:t xml:space="preserve"> in this branch of criminal sentencing echoes </w:t>
      </w:r>
      <w:r w:rsidR="00533BDE" w:rsidRPr="00BC4264">
        <w:t>a similar sentiment</w:t>
      </w:r>
      <w:r w:rsidR="00464DDC" w:rsidRPr="00BC4264">
        <w:t xml:space="preserve"> of the Court made 30 years ago in </w:t>
      </w:r>
      <w:r w:rsidR="00464DDC" w:rsidRPr="00BC4264">
        <w:rPr>
          <w:i/>
        </w:rPr>
        <w:t>Lau Tak-ming &amp; Anor</w:t>
      </w:r>
      <w:r w:rsidR="00464DDC" w:rsidRPr="00BC4264">
        <w:rPr>
          <w:rStyle w:val="FootnoteReference"/>
        </w:rPr>
        <w:footnoteReference w:id="32"/>
      </w:r>
      <w:r w:rsidR="00464DDC" w:rsidRPr="00BC4264">
        <w:t>:</w:t>
      </w:r>
    </w:p>
    <w:p w:rsidR="00464DDC" w:rsidRPr="00BC4264" w:rsidRDefault="00464DDC" w:rsidP="00AB52E8">
      <w:pPr>
        <w:pStyle w:val="j-quotation"/>
      </w:pPr>
      <w:r w:rsidRPr="00BC4264">
        <w:t>“It must be borne in mind that these are offences of the utmost gravity, which may well result in mitigating factors which, for less serious offences could lead to a discount, having little weight.”</w:t>
      </w:r>
    </w:p>
    <w:p w:rsidR="000C0F29" w:rsidRPr="00BC4264" w:rsidRDefault="00AE60F2" w:rsidP="00FE7A52">
      <w:pPr>
        <w:pStyle w:val="T-Draft"/>
      </w:pPr>
      <w:r w:rsidRPr="00BC4264">
        <w:t>Mr Lui acknowledge</w:t>
      </w:r>
      <w:r w:rsidR="00B16AE1" w:rsidRPr="00BC4264">
        <w:t>d</w:t>
      </w:r>
      <w:r w:rsidRPr="00BC4264">
        <w:t xml:space="preserve"> that </w:t>
      </w:r>
      <w:r w:rsidR="00F86E3A" w:rsidRPr="00BC4264">
        <w:t>while the courts strive for consistency, there can never be perfect</w:t>
      </w:r>
      <w:r w:rsidR="000C0F29" w:rsidRPr="00BC4264">
        <w:t xml:space="preserve"> consistency.  He cite</w:t>
      </w:r>
      <w:r w:rsidR="00B16AE1" w:rsidRPr="00BC4264">
        <w:t>d</w:t>
      </w:r>
      <w:r w:rsidR="000C0F29" w:rsidRPr="00BC4264">
        <w:t xml:space="preserve"> </w:t>
      </w:r>
      <w:r w:rsidR="00533BDE" w:rsidRPr="00BC4264">
        <w:t>the judgment</w:t>
      </w:r>
      <w:r w:rsidR="0033165C" w:rsidRPr="00BC4264">
        <w:t xml:space="preserve"> of the Court </w:t>
      </w:r>
      <w:r w:rsidR="00533BDE" w:rsidRPr="00BC4264">
        <w:t>in</w:t>
      </w:r>
      <w:r w:rsidR="00FE7A52" w:rsidRPr="00BC4264">
        <w:t xml:space="preserve"> </w:t>
      </w:r>
      <w:r w:rsidR="00FE7A52" w:rsidRPr="00BC4264">
        <w:rPr>
          <w:i/>
        </w:rPr>
        <w:t>HKSAR</w:t>
      </w:r>
      <w:r w:rsidR="00C1076E" w:rsidRPr="00BC4264">
        <w:rPr>
          <w:i/>
        </w:rPr>
        <w:t xml:space="preserve"> v</w:t>
      </w:r>
      <w:r w:rsidR="00FE7A52" w:rsidRPr="00BC4264">
        <w:rPr>
          <w:i/>
        </w:rPr>
        <w:t xml:space="preserve"> Rawe Waikama Magarya</w:t>
      </w:r>
      <w:r w:rsidR="00FE7A52" w:rsidRPr="00BC4264">
        <w:rPr>
          <w:vertAlign w:val="superscript"/>
        </w:rPr>
        <w:footnoteReference w:id="33"/>
      </w:r>
      <w:r w:rsidR="000C0F29" w:rsidRPr="00BC4264">
        <w:t xml:space="preserve"> </w:t>
      </w:r>
      <w:r w:rsidR="00A12989" w:rsidRPr="00BC4264">
        <w:t xml:space="preserve">in support of the proposition </w:t>
      </w:r>
      <w:r w:rsidR="000C0F29" w:rsidRPr="00BC4264">
        <w:t>that:</w:t>
      </w:r>
    </w:p>
    <w:p w:rsidR="00FE7A52" w:rsidRPr="00BC4264" w:rsidRDefault="000C0F29" w:rsidP="007E5242">
      <w:pPr>
        <w:pStyle w:val="j-quotation"/>
      </w:pPr>
      <w:r w:rsidRPr="00BC4264">
        <w:t>“The purpose of the Court of Appeal</w:t>
      </w:r>
      <w:r w:rsidR="00A2676D" w:rsidRPr="00BC4264">
        <w:t>’</w:t>
      </w:r>
      <w:r w:rsidRPr="00BC4264">
        <w:t xml:space="preserve">s guidelines are to produce consistency in the approach to sentence; not to produce identical sentences. </w:t>
      </w:r>
      <w:r w:rsidR="00295B21" w:rsidRPr="00BC4264">
        <w:t xml:space="preserve"> </w:t>
      </w:r>
      <w:r w:rsidRPr="00BC4264">
        <w:t xml:space="preserve">They are not intended to deprive a judge of his sentencing discretion even though they may, through the creation of weight of narcotic-based tariff sentencing ranges, impose constraints on the operation of that discretion. </w:t>
      </w:r>
      <w:r w:rsidR="00295B21" w:rsidRPr="00BC4264">
        <w:t xml:space="preserve"> </w:t>
      </w:r>
      <w:r w:rsidRPr="00BC4264">
        <w:t>There always remains some room for the exercise of individual judicial office</w:t>
      </w:r>
      <w:r w:rsidR="00A2676D" w:rsidRPr="00BC4264">
        <w:t>r</w:t>
      </w:r>
      <w:r w:rsidRPr="00BC4264">
        <w:t>s of their sentencing discretion.”</w:t>
      </w:r>
      <w:r w:rsidR="00FE7A52" w:rsidRPr="00BC4264">
        <w:t xml:space="preserve"> </w:t>
      </w:r>
    </w:p>
    <w:p w:rsidR="00B16AE1" w:rsidRPr="00BC4264" w:rsidRDefault="00D27E08" w:rsidP="00B16AE1">
      <w:pPr>
        <w:pStyle w:val="T-Draft"/>
      </w:pPr>
      <w:r w:rsidRPr="00BC4264">
        <w:t xml:space="preserve">He emphasised that </w:t>
      </w:r>
      <w:r w:rsidR="00A6106B" w:rsidRPr="00BC4264">
        <w:t>since</w:t>
      </w:r>
      <w:r w:rsidR="00B16AE1" w:rsidRPr="00BC4264">
        <w:t xml:space="preserve"> there can never be perfect consistency, </w:t>
      </w:r>
      <w:r w:rsidRPr="00BC4264">
        <w:t>a</w:t>
      </w:r>
      <w:r w:rsidR="00FE7A52" w:rsidRPr="00BC4264">
        <w:t xml:space="preserve"> departure from </w:t>
      </w:r>
      <w:r w:rsidRPr="00BC4264">
        <w:t>a</w:t>
      </w:r>
      <w:r w:rsidR="00FE7A52" w:rsidRPr="00BC4264">
        <w:t xml:space="preserve"> strict arithmetical starting point </w:t>
      </w:r>
      <w:r w:rsidR="00B16AE1" w:rsidRPr="00BC4264">
        <w:t>should not for that reason alone be</w:t>
      </w:r>
      <w:r w:rsidRPr="00BC4264">
        <w:t xml:space="preserve"> </w:t>
      </w:r>
      <w:r w:rsidR="00B16AE1" w:rsidRPr="00BC4264">
        <w:t xml:space="preserve">appealable.  </w:t>
      </w:r>
      <w:r w:rsidR="004E470C" w:rsidRPr="00BC4264">
        <w:t xml:space="preserve">However, he accepted that where the departure was significant, the judge should explain why.  </w:t>
      </w:r>
      <w:r w:rsidR="00B16AE1" w:rsidRPr="00BC4264">
        <w:t>A</w:t>
      </w:r>
      <w:r w:rsidR="004E470C" w:rsidRPr="00BC4264">
        <w:t>n a</w:t>
      </w:r>
      <w:r w:rsidR="00B16AE1" w:rsidRPr="00BC4264">
        <w:t xml:space="preserve">ppellate court </w:t>
      </w:r>
      <w:r w:rsidR="004E470C" w:rsidRPr="00BC4264">
        <w:t>could certainly examine the reasons given for such a departure</w:t>
      </w:r>
      <w:r w:rsidR="00912166" w:rsidRPr="00BC4264">
        <w:t xml:space="preserve"> where it was significant</w:t>
      </w:r>
      <w:r w:rsidR="004E470C" w:rsidRPr="00BC4264">
        <w:t xml:space="preserve">, but it </w:t>
      </w:r>
      <w:r w:rsidR="00B16AE1" w:rsidRPr="00BC4264">
        <w:t xml:space="preserve">should not tinker with sentences. </w:t>
      </w:r>
    </w:p>
    <w:p w:rsidR="00FE7A52" w:rsidRPr="00BC4264" w:rsidRDefault="00055FCE" w:rsidP="00661CB6">
      <w:pPr>
        <w:pStyle w:val="Heading3"/>
        <w:spacing w:before="360" w:line="240" w:lineRule="auto"/>
        <w:ind w:left="900" w:hanging="900"/>
        <w:rPr>
          <w:i/>
          <w:sz w:val="28"/>
          <w:szCs w:val="28"/>
          <w:u w:val="none"/>
        </w:rPr>
      </w:pPr>
      <w:r w:rsidRPr="00BC4264">
        <w:rPr>
          <w:i/>
          <w:sz w:val="28"/>
          <w:szCs w:val="28"/>
          <w:u w:val="none"/>
        </w:rPr>
        <w:lastRenderedPageBreak/>
        <w:t>F</w:t>
      </w:r>
      <w:r w:rsidR="00C67B46" w:rsidRPr="00BC4264">
        <w:rPr>
          <w:i/>
          <w:sz w:val="28"/>
          <w:szCs w:val="28"/>
          <w:u w:val="none"/>
        </w:rPr>
        <w:t>.</w:t>
      </w:r>
      <w:r w:rsidRPr="00BC4264">
        <w:rPr>
          <w:i/>
          <w:sz w:val="28"/>
          <w:szCs w:val="28"/>
          <w:u w:val="none"/>
        </w:rPr>
        <w:t>2.3</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Pr="00BC4264">
        <w:rPr>
          <w:i/>
          <w:sz w:val="28"/>
          <w:szCs w:val="28"/>
          <w:u w:val="none"/>
        </w:rPr>
        <w:t xml:space="preserve">The respondent’s submissions </w:t>
      </w:r>
      <w:r w:rsidR="002E7077" w:rsidRPr="00BC4264">
        <w:rPr>
          <w:i/>
          <w:sz w:val="28"/>
          <w:szCs w:val="28"/>
          <w:u w:val="none"/>
        </w:rPr>
        <w:t>as to</w:t>
      </w:r>
      <w:r w:rsidRPr="00BC4264">
        <w:rPr>
          <w:i/>
          <w:sz w:val="28"/>
          <w:szCs w:val="28"/>
          <w:u w:val="none"/>
        </w:rPr>
        <w:t xml:space="preserve"> whether</w:t>
      </w:r>
      <w:r w:rsidR="00C46B81" w:rsidRPr="00BC4264">
        <w:rPr>
          <w:i/>
          <w:sz w:val="28"/>
          <w:szCs w:val="28"/>
          <w:u w:val="none"/>
        </w:rPr>
        <w:t xml:space="preserve"> there </w:t>
      </w:r>
      <w:r w:rsidR="002E7077" w:rsidRPr="00BC4264">
        <w:rPr>
          <w:i/>
          <w:sz w:val="28"/>
          <w:szCs w:val="28"/>
          <w:u w:val="none"/>
        </w:rPr>
        <w:t xml:space="preserve">should </w:t>
      </w:r>
      <w:r w:rsidR="00C46B81" w:rsidRPr="00BC4264">
        <w:rPr>
          <w:i/>
          <w:sz w:val="28"/>
          <w:szCs w:val="28"/>
          <w:u w:val="none"/>
        </w:rPr>
        <w:t>be an</w:t>
      </w:r>
      <w:r w:rsidR="00FE7A52" w:rsidRPr="00BC4264">
        <w:rPr>
          <w:i/>
          <w:sz w:val="28"/>
          <w:szCs w:val="28"/>
          <w:u w:val="none"/>
        </w:rPr>
        <w:t xml:space="preserve"> agreed starting point</w:t>
      </w:r>
    </w:p>
    <w:p w:rsidR="00FE7A52" w:rsidRPr="00BC4264" w:rsidRDefault="00FE7A52" w:rsidP="00FE7A52">
      <w:pPr>
        <w:pStyle w:val="T-Draft"/>
      </w:pPr>
      <w:r w:rsidRPr="00BC4264">
        <w:t>Mr Lui contend</w:t>
      </w:r>
      <w:r w:rsidR="002134D9" w:rsidRPr="00BC4264">
        <w:t>ed that</w:t>
      </w:r>
      <w:r w:rsidRPr="00BC4264">
        <w:t xml:space="preserve"> it would not be viable </w:t>
      </w:r>
      <w:r w:rsidR="0033165C" w:rsidRPr="00BC4264">
        <w:t xml:space="preserve">or appropriate </w:t>
      </w:r>
      <w:r w:rsidRPr="00BC4264">
        <w:t>for the prosecution and the defence to agree upon an exact</w:t>
      </w:r>
      <w:r w:rsidR="002B21FD" w:rsidRPr="00BC4264">
        <w:t>,</w:t>
      </w:r>
      <w:r w:rsidRPr="00BC4264">
        <w:t xml:space="preserve"> basic starting point to be determined by a discretionless arithmetic</w:t>
      </w:r>
      <w:r w:rsidR="002B21FD" w:rsidRPr="00BC4264">
        <w:t>al</w:t>
      </w:r>
      <w:r w:rsidRPr="00BC4264">
        <w:t xml:space="preserve"> calculation</w:t>
      </w:r>
      <w:r w:rsidR="00894A6D" w:rsidRPr="00BC4264">
        <w:t xml:space="preserve">, </w:t>
      </w:r>
      <w:r w:rsidR="00A40E0A" w:rsidRPr="00BC4264">
        <w:t xml:space="preserve">for the simple reason that </w:t>
      </w:r>
      <w:r w:rsidR="007B340D" w:rsidRPr="00BC4264">
        <w:t>the starting point</w:t>
      </w:r>
      <w:r w:rsidR="00A40E0A" w:rsidRPr="00BC4264">
        <w:t xml:space="preserve"> is not</w:t>
      </w:r>
      <w:r w:rsidR="00894A6D" w:rsidRPr="00BC4264">
        <w:t xml:space="preserve"> discretionless</w:t>
      </w:r>
      <w:r w:rsidRPr="00BC4264">
        <w:t xml:space="preserve">. </w:t>
      </w:r>
      <w:r w:rsidR="00BA72DE" w:rsidRPr="00BC4264">
        <w:t xml:space="preserve"> </w:t>
      </w:r>
      <w:r w:rsidR="00A40E0A" w:rsidRPr="00BC4264">
        <w:t>Moreover,</w:t>
      </w:r>
      <w:r w:rsidR="00894A6D" w:rsidRPr="00BC4264">
        <w:t xml:space="preserve"> s</w:t>
      </w:r>
      <w:r w:rsidR="00BA72DE" w:rsidRPr="00BC4264">
        <w:t xml:space="preserve">uch </w:t>
      </w:r>
      <w:r w:rsidR="00894A6D" w:rsidRPr="00BC4264">
        <w:t xml:space="preserve">an </w:t>
      </w:r>
      <w:r w:rsidR="00BA72DE" w:rsidRPr="00BC4264">
        <w:t>agreement would become extremely difficult</w:t>
      </w:r>
      <w:r w:rsidR="006A6DDA" w:rsidRPr="00BC4264">
        <w:t xml:space="preserve"> where there was more than one charge</w:t>
      </w:r>
      <w:r w:rsidR="00531ED9" w:rsidRPr="00BC4264">
        <w:t xml:space="preserve"> or count</w:t>
      </w:r>
      <w:r w:rsidR="00BA72DE" w:rsidRPr="00BC4264">
        <w:t>,</w:t>
      </w:r>
      <w:r w:rsidR="006A6DDA" w:rsidRPr="00BC4264">
        <w:t xml:space="preserve"> and impossible where there was </w:t>
      </w:r>
      <w:r w:rsidR="00531ED9" w:rsidRPr="00BC4264">
        <w:t>a “cocktail” of drugs in a</w:t>
      </w:r>
      <w:r w:rsidR="00985A88" w:rsidRPr="00BC4264">
        <w:t>ny</w:t>
      </w:r>
      <w:r w:rsidR="00531ED9" w:rsidRPr="00BC4264">
        <w:t xml:space="preserve"> charge </w:t>
      </w:r>
      <w:r w:rsidR="00985A88" w:rsidRPr="00BC4264">
        <w:t>or count</w:t>
      </w:r>
      <w:r w:rsidR="00BA72DE" w:rsidRPr="00BC4264">
        <w:t>.  For</w:t>
      </w:r>
      <w:r w:rsidR="00A40E0A" w:rsidRPr="00BC4264">
        <w:t>,</w:t>
      </w:r>
      <w:r w:rsidR="00BA72DE" w:rsidRPr="00BC4264">
        <w:t xml:space="preserve"> in </w:t>
      </w:r>
      <w:r w:rsidR="005854BA" w:rsidRPr="00BC4264">
        <w:t xml:space="preserve">the latter </w:t>
      </w:r>
      <w:r w:rsidR="00BA72DE" w:rsidRPr="00BC4264">
        <w:t xml:space="preserve">situation, the court is required </w:t>
      </w:r>
      <w:r w:rsidR="00912166" w:rsidRPr="00BC4264">
        <w:t xml:space="preserve">as an exercise of discretion </w:t>
      </w:r>
      <w:r w:rsidR="00BA72DE" w:rsidRPr="00BC4264">
        <w:t xml:space="preserve">to adjust the starting point for the more serious drug upward </w:t>
      </w:r>
      <w:r w:rsidR="00912166" w:rsidRPr="00BC4264">
        <w:t>by virtue of the other less serious drugs</w:t>
      </w:r>
      <w:r w:rsidR="00A40E0A" w:rsidRPr="00BC4264">
        <w:t xml:space="preserve">, which </w:t>
      </w:r>
      <w:r w:rsidR="00985A88" w:rsidRPr="00BC4264">
        <w:t xml:space="preserve">discretionary </w:t>
      </w:r>
      <w:r w:rsidR="00912166" w:rsidRPr="00BC4264">
        <w:t xml:space="preserve">exercise </w:t>
      </w:r>
      <w:r w:rsidR="00A40E0A" w:rsidRPr="00BC4264">
        <w:t xml:space="preserve">cannot be </w:t>
      </w:r>
      <w:r w:rsidR="00A2676D" w:rsidRPr="00BC4264">
        <w:t xml:space="preserve">dictated by the </w:t>
      </w:r>
      <w:r w:rsidR="00A40E0A" w:rsidRPr="00BC4264">
        <w:t xml:space="preserve">agreement </w:t>
      </w:r>
      <w:r w:rsidR="00A2676D" w:rsidRPr="00BC4264">
        <w:t>of counsel</w:t>
      </w:r>
      <w:r w:rsidR="00A40E0A" w:rsidRPr="00BC4264">
        <w:t>.</w:t>
      </w:r>
      <w:r w:rsidRPr="00BC4264">
        <w:t xml:space="preserve"> </w:t>
      </w:r>
    </w:p>
    <w:p w:rsidR="00FE7A52" w:rsidRPr="00BC4264" w:rsidRDefault="00055FCE" w:rsidP="005E6E12">
      <w:pPr>
        <w:pStyle w:val="Heading3"/>
        <w:spacing w:before="360" w:line="360" w:lineRule="auto"/>
        <w:rPr>
          <w:i/>
          <w:sz w:val="28"/>
          <w:szCs w:val="28"/>
          <w:u w:val="none"/>
        </w:rPr>
      </w:pPr>
      <w:r w:rsidRPr="00BC4264">
        <w:rPr>
          <w:i/>
          <w:sz w:val="28"/>
          <w:szCs w:val="28"/>
          <w:u w:val="none"/>
        </w:rPr>
        <w:t>F</w:t>
      </w:r>
      <w:r w:rsidR="00DF207E" w:rsidRPr="00BC4264">
        <w:rPr>
          <w:i/>
          <w:sz w:val="28"/>
          <w:szCs w:val="28"/>
          <w:u w:val="none"/>
        </w:rPr>
        <w:t>.2.</w:t>
      </w:r>
      <w:r w:rsidRPr="00BC4264">
        <w:rPr>
          <w:i/>
          <w:sz w:val="28"/>
          <w:szCs w:val="28"/>
          <w:u w:val="none"/>
        </w:rPr>
        <w:t>4</w:t>
      </w:r>
      <w:r w:rsidR="00A56451" w:rsidRPr="00BC4264">
        <w:rPr>
          <w:i/>
          <w:sz w:val="28"/>
          <w:szCs w:val="28"/>
          <w:u w:val="none"/>
        </w:rPr>
        <w:t>.</w:t>
      </w:r>
      <w:r w:rsidR="00C67B46" w:rsidRPr="00BC4264">
        <w:rPr>
          <w:i/>
          <w:sz w:val="28"/>
          <w:szCs w:val="28"/>
          <w:u w:val="none"/>
        </w:rPr>
        <w:t xml:space="preserve"> </w:t>
      </w:r>
      <w:r w:rsidR="00DF207E" w:rsidRPr="00BC4264">
        <w:rPr>
          <w:i/>
          <w:sz w:val="28"/>
          <w:szCs w:val="28"/>
          <w:u w:val="none"/>
        </w:rPr>
        <w:t xml:space="preserve"> </w:t>
      </w:r>
      <w:r w:rsidRPr="00BC4264">
        <w:rPr>
          <w:i/>
          <w:sz w:val="28"/>
          <w:szCs w:val="28"/>
          <w:u w:val="none"/>
        </w:rPr>
        <w:t>The respondent’s</w:t>
      </w:r>
      <w:r w:rsidR="003F2F35" w:rsidRPr="00BC4264">
        <w:rPr>
          <w:i/>
          <w:sz w:val="28"/>
          <w:szCs w:val="28"/>
          <w:u w:val="none"/>
        </w:rPr>
        <w:t xml:space="preserve"> submissions </w:t>
      </w:r>
      <w:r w:rsidR="002E7077" w:rsidRPr="00BC4264">
        <w:rPr>
          <w:i/>
          <w:sz w:val="28"/>
          <w:szCs w:val="28"/>
          <w:u w:val="none"/>
        </w:rPr>
        <w:t>as to</w:t>
      </w:r>
      <w:r w:rsidR="003F2F35" w:rsidRPr="00BC4264">
        <w:rPr>
          <w:i/>
          <w:sz w:val="28"/>
          <w:szCs w:val="28"/>
          <w:u w:val="none"/>
        </w:rPr>
        <w:t xml:space="preserve"> the </w:t>
      </w:r>
      <w:r w:rsidR="002E7077" w:rsidRPr="00BC4264">
        <w:rPr>
          <w:i/>
          <w:sz w:val="28"/>
          <w:szCs w:val="28"/>
          <w:u w:val="none"/>
        </w:rPr>
        <w:t>proposed</w:t>
      </w:r>
      <w:r w:rsidR="00A56451" w:rsidRPr="00BC4264">
        <w:rPr>
          <w:i/>
          <w:sz w:val="28"/>
          <w:szCs w:val="28"/>
          <w:u w:val="none"/>
        </w:rPr>
        <w:t xml:space="preserve"> </w:t>
      </w:r>
      <w:r w:rsidR="00C76758" w:rsidRPr="00BC4264">
        <w:rPr>
          <w:i/>
          <w:sz w:val="28"/>
          <w:szCs w:val="28"/>
          <w:u w:val="none"/>
        </w:rPr>
        <w:t>fresh evidence</w:t>
      </w:r>
    </w:p>
    <w:p w:rsidR="00DF72B8" w:rsidRPr="00BC4264" w:rsidRDefault="00BA72DE" w:rsidP="00DF72B8">
      <w:pPr>
        <w:pStyle w:val="T-Draft"/>
      </w:pPr>
      <w:r w:rsidRPr="00BC4264">
        <w:t>Mr Lui submitted that</w:t>
      </w:r>
      <w:r w:rsidR="00DF72B8" w:rsidRPr="00BC4264">
        <w:t xml:space="preserve"> there is nothing to suggest the information provided by the appellant was of any practical use to the authorities</w:t>
      </w:r>
      <w:r w:rsidR="002134D9" w:rsidRPr="00BC4264">
        <w:t>, either</w:t>
      </w:r>
      <w:r w:rsidR="00DF72B8" w:rsidRPr="00BC4264">
        <w:t xml:space="preserve"> </w:t>
      </w:r>
      <w:r w:rsidR="00531ED9" w:rsidRPr="00BC4264">
        <w:t>her</w:t>
      </w:r>
      <w:r w:rsidR="00DE2B2A" w:rsidRPr="00BC4264">
        <w:t>e</w:t>
      </w:r>
      <w:r w:rsidR="00531ED9" w:rsidRPr="00BC4264">
        <w:t xml:space="preserve"> </w:t>
      </w:r>
      <w:r w:rsidR="002134D9" w:rsidRPr="00BC4264">
        <w:t xml:space="preserve">in Hong Kong </w:t>
      </w:r>
      <w:r w:rsidR="00531ED9" w:rsidRPr="00BC4264">
        <w:t xml:space="preserve">or </w:t>
      </w:r>
      <w:r w:rsidR="00DF72B8" w:rsidRPr="00BC4264">
        <w:t xml:space="preserve">overseas. </w:t>
      </w:r>
      <w:r w:rsidRPr="00BC4264">
        <w:t xml:space="preserve"> Moreover, it</w:t>
      </w:r>
      <w:r w:rsidR="00DF72B8" w:rsidRPr="00BC4264">
        <w:t xml:space="preserve"> is significant </w:t>
      </w:r>
      <w:r w:rsidRPr="00BC4264">
        <w:t xml:space="preserve">that </w:t>
      </w:r>
      <w:r w:rsidR="00DF72B8" w:rsidRPr="00BC4264">
        <w:t xml:space="preserve">the appellant only </w:t>
      </w:r>
      <w:r w:rsidR="00894A6D" w:rsidRPr="00BC4264">
        <w:t>came to supply</w:t>
      </w:r>
      <w:r w:rsidR="00DF72B8" w:rsidRPr="00BC4264">
        <w:t xml:space="preserve"> the information more than 16 months after her arrest in November 2017. </w:t>
      </w:r>
      <w:r w:rsidRPr="00BC4264">
        <w:t xml:space="preserve"> </w:t>
      </w:r>
      <w:r w:rsidR="00DF72B8" w:rsidRPr="00BC4264">
        <w:t xml:space="preserve">Accordingly, </w:t>
      </w:r>
      <w:r w:rsidR="00894A6D" w:rsidRPr="00BC4264">
        <w:t xml:space="preserve">he argued that </w:t>
      </w:r>
      <w:r w:rsidR="00DF72B8" w:rsidRPr="00BC4264">
        <w:t>any change of circumstance</w:t>
      </w:r>
      <w:r w:rsidR="006B1C87" w:rsidRPr="00BC4264">
        <w:t>s</w:t>
      </w:r>
      <w:r w:rsidR="00DF72B8" w:rsidRPr="00BC4264">
        <w:t xml:space="preserve"> which might </w:t>
      </w:r>
      <w:r w:rsidR="00894A6D" w:rsidRPr="00BC4264">
        <w:t xml:space="preserve">now </w:t>
      </w:r>
      <w:r w:rsidR="00DF72B8" w:rsidRPr="00BC4264">
        <w:t>render the information useful could be submitted to</w:t>
      </w:r>
      <w:r w:rsidR="00894A6D" w:rsidRPr="00BC4264">
        <w:t xml:space="preserve">, and dealt with by, </w:t>
      </w:r>
      <w:r w:rsidR="00DF72B8" w:rsidRPr="00BC4264">
        <w:t xml:space="preserve">the </w:t>
      </w:r>
      <w:r w:rsidRPr="00BC4264">
        <w:t>E</w:t>
      </w:r>
      <w:r w:rsidR="00DF72B8" w:rsidRPr="00BC4264">
        <w:t>xecutive</w:t>
      </w:r>
      <w:r w:rsidR="00250F1D" w:rsidRPr="00BC4264">
        <w:t>.  Moreover,</w:t>
      </w:r>
      <w:r w:rsidR="006B1C87" w:rsidRPr="00BC4264">
        <w:t xml:space="preserve"> there was </w:t>
      </w:r>
      <w:r w:rsidR="00DF72B8" w:rsidRPr="00BC4264">
        <w:t xml:space="preserve">ample authority </w:t>
      </w:r>
      <w:r w:rsidR="006B1C87" w:rsidRPr="00BC4264">
        <w:t>for</w:t>
      </w:r>
      <w:r w:rsidR="00DF72B8" w:rsidRPr="00BC4264">
        <w:t xml:space="preserve"> the Court </w:t>
      </w:r>
      <w:r w:rsidR="000E7A61" w:rsidRPr="00BC4264">
        <w:t>to refuse any reduction in</w:t>
      </w:r>
      <w:r w:rsidR="00DF72B8" w:rsidRPr="00BC4264">
        <w:t xml:space="preserve"> sentence where the </w:t>
      </w:r>
      <w:r w:rsidR="00AB52E8" w:rsidRPr="00BC4264">
        <w:rPr>
          <w:b/>
        </w:rPr>
        <w:t>‍</w:t>
      </w:r>
      <w:r w:rsidR="00DF72B8" w:rsidRPr="00BC4264">
        <w:t xml:space="preserve">applicant’s participation in </w:t>
      </w:r>
      <w:r w:rsidR="007E5242" w:rsidRPr="00BC4264">
        <w:rPr>
          <w:b/>
        </w:rPr>
        <w:t>‍</w:t>
      </w:r>
      <w:r w:rsidR="00DF72B8" w:rsidRPr="00BC4264">
        <w:t xml:space="preserve">Father </w:t>
      </w:r>
      <w:r w:rsidR="007E5242" w:rsidRPr="00BC4264">
        <w:rPr>
          <w:b/>
        </w:rPr>
        <w:t>‍</w:t>
      </w:r>
      <w:r w:rsidR="00DF72B8" w:rsidRPr="00BC4264">
        <w:t xml:space="preserve">Wotherspoon’s </w:t>
      </w:r>
      <w:r w:rsidRPr="00BC4264">
        <w:t>‘</w:t>
      </w:r>
      <w:r w:rsidR="00DF72B8" w:rsidRPr="00BC4264">
        <w:t>campaign</w:t>
      </w:r>
      <w:r w:rsidRPr="00BC4264">
        <w:t>’</w:t>
      </w:r>
      <w:r w:rsidR="00DF72B8" w:rsidRPr="00BC4264">
        <w:t xml:space="preserve"> was </w:t>
      </w:r>
      <w:r w:rsidR="00AB52E8" w:rsidRPr="00BC4264">
        <w:rPr>
          <w:b/>
        </w:rPr>
        <w:t>‍</w:t>
      </w:r>
      <w:r w:rsidR="00DF72B8" w:rsidRPr="00BC4264">
        <w:t>limited</w:t>
      </w:r>
      <w:r w:rsidRPr="00BC4264">
        <w:t xml:space="preserve">: </w:t>
      </w:r>
      <w:r w:rsidR="00AB52E8" w:rsidRPr="00BC4264">
        <w:rPr>
          <w:b/>
        </w:rPr>
        <w:t>‍</w:t>
      </w:r>
      <w:r w:rsidRPr="00BC4264">
        <w:t>see, for example,</w:t>
      </w:r>
      <w:r w:rsidR="00A2676D" w:rsidRPr="00BC4264">
        <w:t xml:space="preserve"> the recent decisions</w:t>
      </w:r>
      <w:r w:rsidR="007B340D" w:rsidRPr="00BC4264">
        <w:t xml:space="preserve"> of this Court</w:t>
      </w:r>
      <w:r w:rsidR="00A2676D" w:rsidRPr="00BC4264">
        <w:t xml:space="preserve"> </w:t>
      </w:r>
      <w:r w:rsidR="00A2676D" w:rsidRPr="00BC4264">
        <w:lastRenderedPageBreak/>
        <w:t>in</w:t>
      </w:r>
      <w:r w:rsidR="00DF72B8" w:rsidRPr="00BC4264">
        <w:t xml:space="preserve"> </w:t>
      </w:r>
      <w:r w:rsidR="00DF72B8" w:rsidRPr="00BC4264">
        <w:rPr>
          <w:i/>
        </w:rPr>
        <w:t xml:space="preserve">HKSAR </w:t>
      </w:r>
      <w:r w:rsidR="007E5242" w:rsidRPr="00BC4264">
        <w:rPr>
          <w:b/>
          <w:i/>
        </w:rPr>
        <w:t>‍</w:t>
      </w:r>
      <w:r w:rsidR="00DF72B8" w:rsidRPr="00BC4264">
        <w:rPr>
          <w:i/>
        </w:rPr>
        <w:t xml:space="preserve">v </w:t>
      </w:r>
      <w:r w:rsidR="007E5242" w:rsidRPr="00BC4264">
        <w:rPr>
          <w:b/>
          <w:i/>
        </w:rPr>
        <w:t>‍</w:t>
      </w:r>
      <w:r w:rsidR="00DF72B8" w:rsidRPr="00BC4264">
        <w:rPr>
          <w:i/>
        </w:rPr>
        <w:t xml:space="preserve">Kisamo </w:t>
      </w:r>
      <w:r w:rsidR="00AB52E8" w:rsidRPr="00BC4264">
        <w:rPr>
          <w:b/>
          <w:i/>
        </w:rPr>
        <w:t>‍</w:t>
      </w:r>
      <w:r w:rsidR="00DF72B8" w:rsidRPr="00BC4264">
        <w:rPr>
          <w:i/>
        </w:rPr>
        <w:t xml:space="preserve">Diana </w:t>
      </w:r>
      <w:r w:rsidR="00AB52E8" w:rsidRPr="00BC4264">
        <w:rPr>
          <w:b/>
          <w:i/>
        </w:rPr>
        <w:t>‍</w:t>
      </w:r>
      <w:r w:rsidR="00DF72B8" w:rsidRPr="00BC4264">
        <w:rPr>
          <w:i/>
        </w:rPr>
        <w:t>Semali</w:t>
      </w:r>
      <w:r w:rsidR="00DF72B8" w:rsidRPr="00BC4264">
        <w:t>;</w:t>
      </w:r>
      <w:r w:rsidR="00DF72B8" w:rsidRPr="00BC4264">
        <w:rPr>
          <w:vertAlign w:val="superscript"/>
        </w:rPr>
        <w:footnoteReference w:id="34"/>
      </w:r>
      <w:r w:rsidR="00DF72B8" w:rsidRPr="00BC4264">
        <w:t xml:space="preserve"> </w:t>
      </w:r>
      <w:r w:rsidR="00A40E0A" w:rsidRPr="00BC4264">
        <w:rPr>
          <w:i/>
        </w:rPr>
        <w:t>HKSAR v Fundi Furaha Giles</w:t>
      </w:r>
      <w:r w:rsidR="00A40E0A" w:rsidRPr="00BC4264">
        <w:rPr>
          <w:rStyle w:val="FootnoteReference"/>
        </w:rPr>
        <w:footnoteReference w:id="35"/>
      </w:r>
      <w:r w:rsidR="00A40E0A" w:rsidRPr="00BC4264">
        <w:t>;</w:t>
      </w:r>
      <w:r w:rsidR="00A2676D" w:rsidRPr="00BC4264">
        <w:t xml:space="preserve"> and</w:t>
      </w:r>
      <w:r w:rsidR="00A40E0A" w:rsidRPr="00BC4264">
        <w:t xml:space="preserve"> </w:t>
      </w:r>
      <w:r w:rsidR="003D3EE7" w:rsidRPr="003D3EE7">
        <w:rPr>
          <w:b/>
        </w:rPr>
        <w:t>‍</w:t>
      </w:r>
      <w:r w:rsidR="00DF72B8" w:rsidRPr="00BC4264">
        <w:rPr>
          <w:i/>
        </w:rPr>
        <w:t>HKSAR v Camara Aboubacar</w:t>
      </w:r>
      <w:r w:rsidR="00DF72B8" w:rsidRPr="00BC4264">
        <w:rPr>
          <w:vertAlign w:val="superscript"/>
        </w:rPr>
        <w:footnoteReference w:id="36"/>
      </w:r>
      <w:r w:rsidR="006B1C87" w:rsidRPr="00BC4264">
        <w:t>.</w:t>
      </w:r>
    </w:p>
    <w:p w:rsidR="00DF72B8" w:rsidRPr="00BC4264" w:rsidRDefault="00055FCE" w:rsidP="00661CB6">
      <w:pPr>
        <w:pStyle w:val="Heading3"/>
        <w:spacing w:before="360" w:line="240" w:lineRule="auto"/>
        <w:ind w:left="900" w:hanging="900"/>
        <w:rPr>
          <w:i/>
          <w:sz w:val="28"/>
          <w:szCs w:val="28"/>
          <w:u w:val="none"/>
        </w:rPr>
      </w:pPr>
      <w:r w:rsidRPr="00BC4264">
        <w:rPr>
          <w:i/>
          <w:sz w:val="28"/>
          <w:szCs w:val="28"/>
          <w:u w:val="none"/>
        </w:rPr>
        <w:t>F</w:t>
      </w:r>
      <w:r w:rsidR="00DF207E" w:rsidRPr="00BC4264">
        <w:rPr>
          <w:i/>
          <w:sz w:val="28"/>
          <w:szCs w:val="28"/>
          <w:u w:val="none"/>
        </w:rPr>
        <w:t>.2.</w:t>
      </w:r>
      <w:r w:rsidR="003F2F35" w:rsidRPr="00BC4264">
        <w:rPr>
          <w:i/>
          <w:sz w:val="28"/>
          <w:szCs w:val="28"/>
          <w:u w:val="none"/>
        </w:rPr>
        <w:t>5</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00DF72B8" w:rsidRPr="00BC4264">
        <w:rPr>
          <w:i/>
          <w:sz w:val="28"/>
          <w:szCs w:val="28"/>
          <w:u w:val="none"/>
        </w:rPr>
        <w:t xml:space="preserve">The </w:t>
      </w:r>
      <w:r w:rsidR="003F2F35" w:rsidRPr="00BC4264">
        <w:rPr>
          <w:i/>
          <w:sz w:val="28"/>
          <w:szCs w:val="28"/>
          <w:u w:val="none"/>
        </w:rPr>
        <w:t xml:space="preserve">respondent’s submissions </w:t>
      </w:r>
      <w:r w:rsidR="00C76758" w:rsidRPr="00BC4264">
        <w:rPr>
          <w:i/>
          <w:sz w:val="28"/>
          <w:szCs w:val="28"/>
          <w:u w:val="none"/>
        </w:rPr>
        <w:t>as to</w:t>
      </w:r>
      <w:r w:rsidR="003F2F35" w:rsidRPr="00BC4264">
        <w:rPr>
          <w:i/>
          <w:sz w:val="28"/>
          <w:szCs w:val="28"/>
          <w:u w:val="none"/>
        </w:rPr>
        <w:t xml:space="preserve"> the </w:t>
      </w:r>
      <w:r w:rsidR="00DF72B8" w:rsidRPr="00BC4264">
        <w:rPr>
          <w:i/>
          <w:sz w:val="28"/>
          <w:szCs w:val="28"/>
          <w:u w:val="none"/>
        </w:rPr>
        <w:t>sentence passed on the appellant</w:t>
      </w:r>
    </w:p>
    <w:p w:rsidR="00DE1E15" w:rsidRPr="00BC4264" w:rsidRDefault="000F423C" w:rsidP="00DF72B8">
      <w:pPr>
        <w:pStyle w:val="T-Draft"/>
      </w:pPr>
      <w:r w:rsidRPr="00BC4264">
        <w:t xml:space="preserve">Acknowledging that where a judge </w:t>
      </w:r>
      <w:r w:rsidR="00DE1E15" w:rsidRPr="00BC4264">
        <w:t xml:space="preserve">has </w:t>
      </w:r>
      <w:r w:rsidRPr="00BC4264">
        <w:t>departed from the strict application of the guidelines in a significant way, whether by an increase or a decrease of the arithmetical starting point, he</w:t>
      </w:r>
      <w:r w:rsidR="007B340D" w:rsidRPr="00BC4264">
        <w:t xml:space="preserve"> or she</w:t>
      </w:r>
      <w:r w:rsidRPr="00BC4264">
        <w:t xml:space="preserve"> should explain why, </w:t>
      </w:r>
      <w:r w:rsidR="006B1C87" w:rsidRPr="00BC4264">
        <w:t>Mr Lui</w:t>
      </w:r>
      <w:r w:rsidR="00DF72B8" w:rsidRPr="00BC4264">
        <w:t xml:space="preserve"> submit</w:t>
      </w:r>
      <w:r w:rsidR="006B1C87" w:rsidRPr="00BC4264">
        <w:t>ted that</w:t>
      </w:r>
      <w:r w:rsidR="00DF72B8" w:rsidRPr="00BC4264">
        <w:t xml:space="preserve"> </w:t>
      </w:r>
      <w:r w:rsidR="00A40E0A" w:rsidRPr="00BC4264">
        <w:t>a mere</w:t>
      </w:r>
      <w:r w:rsidR="00DF72B8" w:rsidRPr="00BC4264">
        <w:t xml:space="preserve"> 6 weeks</w:t>
      </w:r>
      <w:r w:rsidRPr="00BC4264">
        <w:t>’ difference from a starting point arrived at arithmetically</w:t>
      </w:r>
      <w:r w:rsidR="00A40E0A" w:rsidRPr="00BC4264">
        <w:t xml:space="preserve"> did n</w:t>
      </w:r>
      <w:r w:rsidR="00DF72B8" w:rsidRPr="00BC4264">
        <w:t>ot warrant interference</w:t>
      </w:r>
      <w:r w:rsidR="006B1C87" w:rsidRPr="00BC4264">
        <w:t xml:space="preserve"> by this Court</w:t>
      </w:r>
      <w:r w:rsidR="00DF72B8" w:rsidRPr="00BC4264">
        <w:t xml:space="preserve">. </w:t>
      </w:r>
      <w:r w:rsidR="006B1C87" w:rsidRPr="00BC4264">
        <w:t xml:space="preserve"> He re</w:t>
      </w:r>
      <w:r w:rsidR="00A2676D" w:rsidRPr="00BC4264">
        <w:t>ferred to the decision in</w:t>
      </w:r>
      <w:r w:rsidR="006B1C87" w:rsidRPr="00BC4264">
        <w:t xml:space="preserve"> </w:t>
      </w:r>
      <w:r w:rsidR="006B1C87" w:rsidRPr="00BC4264">
        <w:rPr>
          <w:i/>
        </w:rPr>
        <w:t>HKSAR v</w:t>
      </w:r>
      <w:r w:rsidR="00DF72B8" w:rsidRPr="00BC4264">
        <w:t xml:space="preserve"> </w:t>
      </w:r>
      <w:r w:rsidR="00DF72B8" w:rsidRPr="00BC4264">
        <w:rPr>
          <w:i/>
        </w:rPr>
        <w:t xml:space="preserve">Zaripov </w:t>
      </w:r>
      <w:r w:rsidR="007E5242" w:rsidRPr="00BC4264">
        <w:rPr>
          <w:b/>
          <w:i/>
        </w:rPr>
        <w:t>‍</w:t>
      </w:r>
      <w:r w:rsidR="00DF72B8" w:rsidRPr="00BC4264">
        <w:rPr>
          <w:i/>
        </w:rPr>
        <w:t>Eduard</w:t>
      </w:r>
      <w:r w:rsidR="00DF72B8" w:rsidRPr="00BC4264">
        <w:rPr>
          <w:vertAlign w:val="superscript"/>
        </w:rPr>
        <w:footnoteReference w:id="37"/>
      </w:r>
      <w:r w:rsidR="00A2676D" w:rsidRPr="00BC4264">
        <w:t xml:space="preserve">, </w:t>
      </w:r>
      <w:r w:rsidR="00A12989" w:rsidRPr="00BC4264">
        <w:t>in which</w:t>
      </w:r>
      <w:r w:rsidR="00DF72B8" w:rsidRPr="00BC4264">
        <w:t xml:space="preserve"> the Court </w:t>
      </w:r>
      <w:r w:rsidRPr="00BC4264">
        <w:t xml:space="preserve">had </w:t>
      </w:r>
      <w:r w:rsidR="00DF72B8" w:rsidRPr="00BC4264">
        <w:t xml:space="preserve">refused to interfere with a sentence </w:t>
      </w:r>
      <w:r w:rsidR="006B1C87" w:rsidRPr="00BC4264">
        <w:t xml:space="preserve">where the starting point </w:t>
      </w:r>
      <w:r w:rsidR="00A2676D" w:rsidRPr="00BC4264">
        <w:t xml:space="preserve">adopted </w:t>
      </w:r>
      <w:r w:rsidR="006B1C87" w:rsidRPr="00BC4264">
        <w:t xml:space="preserve">was </w:t>
      </w:r>
      <w:r w:rsidR="006C2C90" w:rsidRPr="00BC4264">
        <w:t xml:space="preserve">just over 2 </w:t>
      </w:r>
      <w:r w:rsidR="006B1C87" w:rsidRPr="00BC4264">
        <w:t>months above the arithmetical starting point</w:t>
      </w:r>
      <w:r w:rsidR="007B340D" w:rsidRPr="00BC4264">
        <w:t>;</w:t>
      </w:r>
      <w:r w:rsidR="006C2C90" w:rsidRPr="00BC4264">
        <w:t xml:space="preserve"> albeit that the starting point for </w:t>
      </w:r>
      <w:r w:rsidR="000E7A61" w:rsidRPr="00BC4264">
        <w:t xml:space="preserve">the </w:t>
      </w:r>
      <w:r w:rsidR="006C2C90" w:rsidRPr="00BC4264">
        <w:t xml:space="preserve">quantity </w:t>
      </w:r>
      <w:r w:rsidR="000E7A61" w:rsidRPr="00BC4264">
        <w:t xml:space="preserve">of narcotic concerned </w:t>
      </w:r>
      <w:r w:rsidR="00A12989" w:rsidRPr="00BC4264">
        <w:t xml:space="preserve">in that case </w:t>
      </w:r>
      <w:r w:rsidR="006C2C90" w:rsidRPr="00BC4264">
        <w:t>was 20 years’ imprisonment</w:t>
      </w:r>
      <w:r w:rsidR="006C2C90" w:rsidRPr="00BC4264">
        <w:rPr>
          <w:rStyle w:val="FootnoteReference"/>
        </w:rPr>
        <w:footnoteReference w:id="38"/>
      </w:r>
      <w:r w:rsidR="006B1C87" w:rsidRPr="00BC4264">
        <w:t>.</w:t>
      </w:r>
      <w:r w:rsidR="00DF72B8" w:rsidRPr="00BC4264">
        <w:t xml:space="preserve"> </w:t>
      </w:r>
    </w:p>
    <w:p w:rsidR="00DE1E15" w:rsidRPr="00BC4264" w:rsidRDefault="003F2F35" w:rsidP="009C1DA4">
      <w:pPr>
        <w:pStyle w:val="Heading2"/>
        <w:spacing w:before="360" w:line="240" w:lineRule="auto"/>
        <w:rPr>
          <w:sz w:val="28"/>
          <w:szCs w:val="28"/>
        </w:rPr>
      </w:pPr>
      <w:r w:rsidRPr="00BC4264">
        <w:rPr>
          <w:sz w:val="28"/>
          <w:szCs w:val="28"/>
        </w:rPr>
        <w:t>F</w:t>
      </w:r>
      <w:r w:rsidR="00DF207E" w:rsidRPr="00BC4264">
        <w:rPr>
          <w:sz w:val="28"/>
          <w:szCs w:val="28"/>
        </w:rPr>
        <w:t>.3</w:t>
      </w:r>
      <w:r w:rsidR="00A56451" w:rsidRPr="00BC4264">
        <w:rPr>
          <w:sz w:val="28"/>
          <w:szCs w:val="28"/>
        </w:rPr>
        <w:t>.</w:t>
      </w:r>
      <w:r w:rsidR="00C67B46" w:rsidRPr="00BC4264">
        <w:rPr>
          <w:sz w:val="28"/>
          <w:szCs w:val="28"/>
        </w:rPr>
        <w:t xml:space="preserve"> </w:t>
      </w:r>
      <w:r w:rsidR="00DF207E" w:rsidRPr="00BC4264">
        <w:rPr>
          <w:sz w:val="28"/>
          <w:szCs w:val="28"/>
        </w:rPr>
        <w:t xml:space="preserve"> </w:t>
      </w:r>
      <w:r w:rsidR="00DE1E15" w:rsidRPr="00BC4264">
        <w:rPr>
          <w:sz w:val="28"/>
          <w:szCs w:val="28"/>
        </w:rPr>
        <w:t>Discussion</w:t>
      </w:r>
    </w:p>
    <w:p w:rsidR="00DF207E" w:rsidRPr="00BC4264" w:rsidRDefault="003F2F35" w:rsidP="005E6E12">
      <w:pPr>
        <w:pStyle w:val="Heading3"/>
        <w:spacing w:before="360" w:line="360" w:lineRule="auto"/>
        <w:rPr>
          <w:i/>
          <w:sz w:val="28"/>
          <w:szCs w:val="28"/>
          <w:u w:val="none"/>
        </w:rPr>
      </w:pPr>
      <w:r w:rsidRPr="00BC4264">
        <w:rPr>
          <w:i/>
          <w:sz w:val="28"/>
          <w:szCs w:val="28"/>
          <w:u w:val="none"/>
        </w:rPr>
        <w:t>F</w:t>
      </w:r>
      <w:r w:rsidR="00DF207E" w:rsidRPr="00BC4264">
        <w:rPr>
          <w:i/>
          <w:sz w:val="28"/>
          <w:szCs w:val="28"/>
          <w:u w:val="none"/>
        </w:rPr>
        <w:t>.3.1</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00DF207E" w:rsidRPr="00BC4264">
        <w:rPr>
          <w:i/>
          <w:sz w:val="28"/>
          <w:szCs w:val="28"/>
          <w:u w:val="none"/>
        </w:rPr>
        <w:t xml:space="preserve">The </w:t>
      </w:r>
      <w:r w:rsidR="00C46B81" w:rsidRPr="00BC4264">
        <w:rPr>
          <w:i/>
          <w:sz w:val="28"/>
          <w:szCs w:val="28"/>
          <w:u w:val="none"/>
        </w:rPr>
        <w:t xml:space="preserve">sentencing </w:t>
      </w:r>
      <w:r w:rsidR="00DF207E" w:rsidRPr="00BC4264">
        <w:rPr>
          <w:i/>
          <w:sz w:val="28"/>
          <w:szCs w:val="28"/>
          <w:u w:val="none"/>
        </w:rPr>
        <w:t>guidelines</w:t>
      </w:r>
    </w:p>
    <w:p w:rsidR="003E3B6C" w:rsidRPr="00BC4264" w:rsidRDefault="00533BDE" w:rsidP="00DE1E15">
      <w:pPr>
        <w:pStyle w:val="T-Draft"/>
      </w:pPr>
      <w:r w:rsidRPr="00BC4264">
        <w:t>It should be remembered that s</w:t>
      </w:r>
      <w:r w:rsidR="00DE1E15" w:rsidRPr="00BC4264">
        <w:t>entencing guidelines are exac</w:t>
      </w:r>
      <w:r w:rsidR="00E77A5E" w:rsidRPr="00BC4264">
        <w:t xml:space="preserve">tly that: they are lines to guide a judge in sentencing. </w:t>
      </w:r>
      <w:r w:rsidR="009C5C2E" w:rsidRPr="00BC4264">
        <w:t xml:space="preserve"> </w:t>
      </w:r>
      <w:r w:rsidR="00E77A5E" w:rsidRPr="00BC4264">
        <w:t>They are not fixed</w:t>
      </w:r>
      <w:r w:rsidR="003E3B6C" w:rsidRPr="00BC4264">
        <w:t>,</w:t>
      </w:r>
      <w:r w:rsidR="00E77A5E" w:rsidRPr="00BC4264">
        <w:t xml:space="preserve"> compulsory</w:t>
      </w:r>
      <w:r w:rsidR="005A23D9" w:rsidRPr="00BC4264">
        <w:t xml:space="preserve"> or arbitrary</w:t>
      </w:r>
      <w:r w:rsidR="003E3B6C" w:rsidRPr="00BC4264">
        <w:t xml:space="preserve"> straitjackets</w:t>
      </w:r>
      <w:r w:rsidR="00E77A5E" w:rsidRPr="00BC4264">
        <w:t xml:space="preserve">, </w:t>
      </w:r>
      <w:r w:rsidR="00CF493D" w:rsidRPr="00BC4264">
        <w:t>nor should they</w:t>
      </w:r>
      <w:r w:rsidR="00B0793D" w:rsidRPr="00BC4264">
        <w:t xml:space="preserve"> be </w:t>
      </w:r>
      <w:r w:rsidR="00E77A5E" w:rsidRPr="00BC4264">
        <w:t xml:space="preserve">slavishly applied. </w:t>
      </w:r>
      <w:r w:rsidR="005A23D9" w:rsidRPr="00BC4264">
        <w:t xml:space="preserve"> </w:t>
      </w:r>
      <w:r w:rsidR="00E77A5E" w:rsidRPr="00BC4264">
        <w:t>The word “tariff” is</w:t>
      </w:r>
      <w:r w:rsidR="005A23D9" w:rsidRPr="00BC4264">
        <w:t xml:space="preserve"> </w:t>
      </w:r>
      <w:r w:rsidR="00CF493D" w:rsidRPr="00BC4264">
        <w:t>sometimes</w:t>
      </w:r>
      <w:r w:rsidR="005A23D9" w:rsidRPr="00BC4264">
        <w:t xml:space="preserve"> used </w:t>
      </w:r>
      <w:r w:rsidR="00B0793D" w:rsidRPr="00BC4264">
        <w:t>loosely</w:t>
      </w:r>
      <w:r w:rsidR="005A23D9" w:rsidRPr="00BC4264">
        <w:t xml:space="preserve"> to refer to sentencing guidelines but it is </w:t>
      </w:r>
      <w:r w:rsidR="00CF493D" w:rsidRPr="00BC4264">
        <w:t xml:space="preserve">perhaps </w:t>
      </w:r>
      <w:r w:rsidR="005A23D9" w:rsidRPr="00BC4264">
        <w:t>a</w:t>
      </w:r>
      <w:r w:rsidR="00E77A5E" w:rsidRPr="00BC4264">
        <w:t xml:space="preserve"> </w:t>
      </w:r>
      <w:r w:rsidR="008C5AC9" w:rsidRPr="00BC4264">
        <w:t>misnomer</w:t>
      </w:r>
      <w:r w:rsidR="005A23D9" w:rsidRPr="00BC4264">
        <w:t xml:space="preserve"> in this context,</w:t>
      </w:r>
      <w:r w:rsidR="00E77A5E" w:rsidRPr="00BC4264">
        <w:t xml:space="preserve"> </w:t>
      </w:r>
      <w:r w:rsidR="003E3B6C" w:rsidRPr="00BC4264">
        <w:t>because</w:t>
      </w:r>
      <w:r w:rsidR="005A23D9" w:rsidRPr="00BC4264">
        <w:t xml:space="preserve"> a tariff in its </w:t>
      </w:r>
      <w:r w:rsidR="003E3B6C" w:rsidRPr="00BC4264">
        <w:t xml:space="preserve">more </w:t>
      </w:r>
      <w:r w:rsidR="005A23D9" w:rsidRPr="00BC4264">
        <w:t>technical sense is a fixed custom</w:t>
      </w:r>
      <w:r w:rsidR="00CF493D" w:rsidRPr="00BC4264">
        <w:t>s</w:t>
      </w:r>
      <w:r w:rsidR="005A23D9" w:rsidRPr="00BC4264">
        <w:t xml:space="preserve"> duty levied according </w:t>
      </w:r>
      <w:r w:rsidR="005A23D9" w:rsidRPr="00BC4264">
        <w:lastRenderedPageBreak/>
        <w:t>to an official schedule or table of charges.</w:t>
      </w:r>
      <w:r w:rsidR="00131B95" w:rsidRPr="00BC4264">
        <w:t xml:space="preserve">  </w:t>
      </w:r>
      <w:r w:rsidR="008C5AC9" w:rsidRPr="00BC4264">
        <w:t>However,</w:t>
      </w:r>
      <w:r w:rsidR="00131B95" w:rsidRPr="00BC4264">
        <w:t xml:space="preserve"> unlike tariffs, guidelines </w:t>
      </w:r>
      <w:r w:rsidR="00E74E80" w:rsidRPr="00BC4264">
        <w:t>cater for</w:t>
      </w:r>
      <w:r w:rsidR="00131B95" w:rsidRPr="00BC4264">
        <w:t xml:space="preserve"> a discretionary element.</w:t>
      </w:r>
      <w:r w:rsidR="003E3B6C" w:rsidRPr="00BC4264">
        <w:t xml:space="preserve">  As Lord Woolf CJ</w:t>
      </w:r>
      <w:r w:rsidR="00A6106B" w:rsidRPr="00BC4264">
        <w:t xml:space="preserve"> explained</w:t>
      </w:r>
      <w:r w:rsidR="003E3B6C" w:rsidRPr="00BC4264">
        <w:t xml:space="preserve"> in </w:t>
      </w:r>
      <w:r w:rsidR="003E3B6C" w:rsidRPr="00BC4264">
        <w:rPr>
          <w:i/>
        </w:rPr>
        <w:t>R v Milberry</w:t>
      </w:r>
      <w:r w:rsidR="003E3B6C" w:rsidRPr="00BC4264">
        <w:rPr>
          <w:rStyle w:val="FootnoteReference"/>
        </w:rPr>
        <w:footnoteReference w:id="39"/>
      </w:r>
      <w:r w:rsidR="003E3B6C" w:rsidRPr="00BC4264">
        <w:t xml:space="preserve">, albeit in the context of </w:t>
      </w:r>
      <w:r w:rsidR="00A6106B" w:rsidRPr="00BC4264">
        <w:t>sentencing</w:t>
      </w:r>
      <w:r w:rsidR="003E3B6C" w:rsidRPr="00BC4264">
        <w:t xml:space="preserve"> guidelines in England and Wales for rape</w:t>
      </w:r>
      <w:r w:rsidR="003E3B6C" w:rsidRPr="00BC4264">
        <w:rPr>
          <w:rStyle w:val="FootnoteReference"/>
        </w:rPr>
        <w:footnoteReference w:id="40"/>
      </w:r>
      <w:r w:rsidR="003E3B6C" w:rsidRPr="00BC4264">
        <w:t>:</w:t>
      </w:r>
    </w:p>
    <w:p w:rsidR="003E3B6C" w:rsidRPr="00BC4264" w:rsidRDefault="003E3B6C" w:rsidP="00AB52E8">
      <w:pPr>
        <w:pStyle w:val="j-quotation"/>
      </w:pPr>
      <w:r w:rsidRPr="00BC4264">
        <w:t>“Guideline judgments are intended to assist the judge arrive at the correct sentence.  They do not purport to identify the correct sentence.  Doing so is the task of the trial judge.”</w:t>
      </w:r>
    </w:p>
    <w:p w:rsidR="008C1D7E" w:rsidRPr="00BC4264" w:rsidRDefault="00F00909" w:rsidP="00B61FAF">
      <w:pPr>
        <w:pStyle w:val="T-Draft"/>
      </w:pPr>
      <w:r w:rsidRPr="00BC4264">
        <w:t xml:space="preserve">In </w:t>
      </w:r>
      <w:r w:rsidRPr="00BC4264">
        <w:rPr>
          <w:i/>
        </w:rPr>
        <w:t>Wong</w:t>
      </w:r>
      <w:r w:rsidRPr="00BC4264">
        <w:t xml:space="preserve">, </w:t>
      </w:r>
      <w:r w:rsidR="008C1D7E" w:rsidRPr="00BC4264">
        <w:t>Gleeson CJ (as Gleeson NPJ then was) put the matter in this way</w:t>
      </w:r>
      <w:r w:rsidR="008C1D7E" w:rsidRPr="00BC4264">
        <w:rPr>
          <w:rStyle w:val="FootnoteReference"/>
          <w:szCs w:val="28"/>
        </w:rPr>
        <w:footnoteReference w:id="41"/>
      </w:r>
      <w:r w:rsidRPr="00BC4264">
        <w:t>:</w:t>
      </w:r>
    </w:p>
    <w:p w:rsidR="008C1D7E" w:rsidRPr="00BC4264" w:rsidRDefault="008C1D7E" w:rsidP="00382003">
      <w:pPr>
        <w:pStyle w:val="j-quotation"/>
      </w:pPr>
      <w:r w:rsidRPr="00BC4264">
        <w:t>“The expressions “guidelines” and “guidelines judgments” have no precise connotation.  They cover a variety of methods adopted by appellate courts for the purpose of giving guidance to primary judges charged with the exercise of judicial discretion.  Those methods range from statements of general principle, to more specific indications of particular factors to be taken into account of given particular weight, and sometimes to indications of the kind of outcome that might be expected in a certain kind of outcome, other than in exceptional circumstances.”</w:t>
      </w:r>
    </w:p>
    <w:p w:rsidR="008C1D7E" w:rsidRPr="00BC4264" w:rsidRDefault="008C1D7E" w:rsidP="00382003">
      <w:pPr>
        <w:pStyle w:val="T-Draft"/>
        <w:numPr>
          <w:ilvl w:val="0"/>
          <w:numId w:val="0"/>
        </w:numPr>
      </w:pPr>
      <w:r w:rsidRPr="00BC4264">
        <w:t xml:space="preserve">He went on to </w:t>
      </w:r>
      <w:r w:rsidR="00B61FAF" w:rsidRPr="00BC4264">
        <w:t>accept</w:t>
      </w:r>
      <w:r w:rsidRPr="00BC4264">
        <w:t xml:space="preserve"> that </w:t>
      </w:r>
      <w:r w:rsidR="00146747" w:rsidRPr="00BC4264">
        <w:t>“[</w:t>
      </w:r>
      <w:r w:rsidRPr="00BC4264">
        <w:t>a</w:t>
      </w:r>
      <w:r w:rsidR="00146747" w:rsidRPr="00BC4264">
        <w:t>]</w:t>
      </w:r>
      <w:r w:rsidRPr="00BC4264">
        <w:t>ll discretionary decision-making carrie</w:t>
      </w:r>
      <w:r w:rsidR="00B61FAF" w:rsidRPr="00BC4264">
        <w:t>s</w:t>
      </w:r>
      <w:r w:rsidRPr="00BC4264">
        <w:t xml:space="preserve"> with it the probability </w:t>
      </w:r>
      <w:r w:rsidR="00146747" w:rsidRPr="00BC4264">
        <w:t>of</w:t>
      </w:r>
      <w:r w:rsidR="00B61FAF" w:rsidRPr="00BC4264">
        <w:t xml:space="preserve"> some degree of inconsistency</w:t>
      </w:r>
      <w:r w:rsidR="00146747" w:rsidRPr="00BC4264">
        <w:t>”</w:t>
      </w:r>
      <w:r w:rsidR="00B61FAF" w:rsidRPr="00BC4264">
        <w:t xml:space="preserve">: however, one of the legitimate objectives of </w:t>
      </w:r>
      <w:r w:rsidR="00595B7C" w:rsidRPr="00BC4264">
        <w:t xml:space="preserve">having </w:t>
      </w:r>
      <w:r w:rsidR="00B61FAF" w:rsidRPr="00BC4264">
        <w:t xml:space="preserve">guidelines </w:t>
      </w:r>
      <w:r w:rsidR="00531ED9" w:rsidRPr="00BC4264">
        <w:t>i</w:t>
      </w:r>
      <w:r w:rsidR="00B61FAF" w:rsidRPr="00BC4264">
        <w:t>s “to reduce the incidence of unnecessary and inappropriate inconsistency”</w:t>
      </w:r>
      <w:r w:rsidR="00146747" w:rsidRPr="00BC4264">
        <w:t>.  The administration of criminal justice “should be systematically fair, and that involves, amongst other things, reasonable consistency”</w:t>
      </w:r>
      <w:r w:rsidR="00B61FAF" w:rsidRPr="00BC4264">
        <w:rPr>
          <w:vertAlign w:val="superscript"/>
        </w:rPr>
        <w:footnoteReference w:id="42"/>
      </w:r>
      <w:r w:rsidR="00382003" w:rsidRPr="00BC4264">
        <w:t>.</w:t>
      </w:r>
      <w:r w:rsidR="00531ED9" w:rsidRPr="00BC4264">
        <w:t xml:space="preserve">  In our judgment, the goal of sentencing guidelines must be to achieve reasonable consistency in general, and justice in a specific, individual case.</w:t>
      </w:r>
    </w:p>
    <w:p w:rsidR="00DF207E" w:rsidRPr="00BC4264" w:rsidRDefault="003F2F35" w:rsidP="005E6E12">
      <w:pPr>
        <w:pStyle w:val="Heading3"/>
        <w:spacing w:before="360" w:line="360" w:lineRule="auto"/>
        <w:rPr>
          <w:i/>
          <w:sz w:val="28"/>
          <w:szCs w:val="28"/>
          <w:u w:val="none"/>
        </w:rPr>
      </w:pPr>
      <w:r w:rsidRPr="00BC4264">
        <w:rPr>
          <w:i/>
          <w:sz w:val="28"/>
          <w:szCs w:val="28"/>
          <w:u w:val="none"/>
        </w:rPr>
        <w:lastRenderedPageBreak/>
        <w:t>F</w:t>
      </w:r>
      <w:r w:rsidR="00DF207E" w:rsidRPr="00BC4264">
        <w:rPr>
          <w:i/>
          <w:sz w:val="28"/>
          <w:szCs w:val="28"/>
          <w:u w:val="none"/>
        </w:rPr>
        <w:t>.3.2</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00DF207E" w:rsidRPr="00BC4264">
        <w:rPr>
          <w:i/>
          <w:sz w:val="28"/>
          <w:szCs w:val="28"/>
          <w:u w:val="none"/>
        </w:rPr>
        <w:t>Two particular facets of sentencing</w:t>
      </w:r>
      <w:r w:rsidR="00C46B81" w:rsidRPr="00BC4264">
        <w:rPr>
          <w:i/>
          <w:sz w:val="28"/>
          <w:szCs w:val="28"/>
          <w:u w:val="none"/>
        </w:rPr>
        <w:t xml:space="preserve"> in trafficking cases</w:t>
      </w:r>
    </w:p>
    <w:p w:rsidR="0046426C" w:rsidRPr="00BC4264" w:rsidRDefault="00C71CE0" w:rsidP="002550F8">
      <w:pPr>
        <w:pStyle w:val="T-Draft"/>
      </w:pPr>
      <w:r w:rsidRPr="00BC4264">
        <w:t xml:space="preserve">In </w:t>
      </w:r>
      <w:r w:rsidR="009D00B7" w:rsidRPr="00BC4264">
        <w:t>respect of the offence of</w:t>
      </w:r>
      <w:r w:rsidRPr="00BC4264">
        <w:t xml:space="preserve"> trafficki</w:t>
      </w:r>
      <w:r w:rsidR="009D00B7" w:rsidRPr="00BC4264">
        <w:t>ng in dangerous drugs</w:t>
      </w:r>
      <w:r w:rsidR="007B340D" w:rsidRPr="00BC4264">
        <w:t>,</w:t>
      </w:r>
      <w:r w:rsidR="009D00B7" w:rsidRPr="00BC4264">
        <w:t xml:space="preserve"> </w:t>
      </w:r>
      <w:r w:rsidRPr="00BC4264">
        <w:t xml:space="preserve">two </w:t>
      </w:r>
      <w:r w:rsidR="000E032F" w:rsidRPr="00BC4264">
        <w:t xml:space="preserve">particular facets of </w:t>
      </w:r>
      <w:r w:rsidR="00A0134D" w:rsidRPr="00BC4264">
        <w:t>sentencing</w:t>
      </w:r>
      <w:r w:rsidR="000E032F" w:rsidRPr="00BC4264">
        <w:t xml:space="preserve"> need to be noted</w:t>
      </w:r>
      <w:r w:rsidRPr="00BC4264">
        <w:t>.  First,</w:t>
      </w:r>
      <w:r w:rsidR="008D518F" w:rsidRPr="00BC4264">
        <w:t xml:space="preserve"> </w:t>
      </w:r>
      <w:r w:rsidR="0046426C" w:rsidRPr="00BC4264">
        <w:t xml:space="preserve">in </w:t>
      </w:r>
      <w:r w:rsidR="00C17407" w:rsidRPr="00BC4264">
        <w:t>this realm of criminal sentencing</w:t>
      </w:r>
      <w:r w:rsidR="0046426C" w:rsidRPr="00BC4264">
        <w:t>,</w:t>
      </w:r>
      <w:r w:rsidR="00A0134D" w:rsidRPr="00BC4264">
        <w:t xml:space="preserve"> </w:t>
      </w:r>
      <w:r w:rsidR="009D00B7" w:rsidRPr="00BC4264">
        <w:t xml:space="preserve">there is </w:t>
      </w:r>
      <w:r w:rsidR="00533BDE" w:rsidRPr="00BC4264">
        <w:t>often</w:t>
      </w:r>
      <w:r w:rsidR="00CF493D" w:rsidRPr="00BC4264">
        <w:t xml:space="preserve"> </w:t>
      </w:r>
      <w:r w:rsidR="00A0134D" w:rsidRPr="00BC4264">
        <w:t xml:space="preserve">little to differentiate between </w:t>
      </w:r>
      <w:r w:rsidR="008D518F" w:rsidRPr="00BC4264">
        <w:t xml:space="preserve">the facts of different </w:t>
      </w:r>
      <w:r w:rsidR="00A0134D" w:rsidRPr="00BC4264">
        <w:t xml:space="preserve">cases, save </w:t>
      </w:r>
      <w:r w:rsidR="00452649" w:rsidRPr="00BC4264">
        <w:t xml:space="preserve">for the quantity </w:t>
      </w:r>
      <w:r w:rsidR="008D518F" w:rsidRPr="00BC4264">
        <w:t>of drug involved</w:t>
      </w:r>
      <w:r w:rsidR="00452649" w:rsidRPr="00BC4264">
        <w:t xml:space="preserve"> and, </w:t>
      </w:r>
      <w:r w:rsidR="002B21FD" w:rsidRPr="00BC4264">
        <w:t>where it can be established</w:t>
      </w:r>
      <w:r w:rsidR="00452649" w:rsidRPr="00BC4264">
        <w:t>,</w:t>
      </w:r>
      <w:r w:rsidR="00A0134D" w:rsidRPr="00BC4264">
        <w:t xml:space="preserve"> the role played by a defendant</w:t>
      </w:r>
      <w:r w:rsidR="009D00B7" w:rsidRPr="00BC4264">
        <w:t>.  However</w:t>
      </w:r>
      <w:r w:rsidR="00A0134D" w:rsidRPr="00BC4264">
        <w:t xml:space="preserve">, </w:t>
      </w:r>
      <w:r w:rsidR="009D00B7" w:rsidRPr="00BC4264">
        <w:t xml:space="preserve">the true role and purpose of a defendant arrested for trafficking in dangerous drugs is not often </w:t>
      </w:r>
      <w:r w:rsidR="00A0134D" w:rsidRPr="00BC4264">
        <w:t xml:space="preserve">easy to discern with any </w:t>
      </w:r>
      <w:r w:rsidR="00452649" w:rsidRPr="00BC4264">
        <w:t xml:space="preserve">great </w:t>
      </w:r>
      <w:r w:rsidR="00A0134D" w:rsidRPr="00BC4264">
        <w:t xml:space="preserve">certainty.  </w:t>
      </w:r>
      <w:r w:rsidR="00452649" w:rsidRPr="00BC4264">
        <w:t xml:space="preserve">When </w:t>
      </w:r>
      <w:r w:rsidR="00C17407" w:rsidRPr="00BC4264">
        <w:t xml:space="preserve">a defendant is stopped </w:t>
      </w:r>
      <w:r w:rsidR="00E74E80" w:rsidRPr="00BC4264">
        <w:t>i</w:t>
      </w:r>
      <w:r w:rsidR="00C17407" w:rsidRPr="00BC4264">
        <w:t xml:space="preserve">n the street and found to be in </w:t>
      </w:r>
      <w:r w:rsidR="00452649" w:rsidRPr="00BC4264">
        <w:t xml:space="preserve">possession of dangerous drugs, it </w:t>
      </w:r>
      <w:r w:rsidR="009D00B7" w:rsidRPr="00BC4264">
        <w:t>can be unclear</w:t>
      </w:r>
      <w:r w:rsidR="00452649" w:rsidRPr="00BC4264">
        <w:t xml:space="preserve"> whether he is taking the</w:t>
      </w:r>
      <w:r w:rsidR="00AA35D3" w:rsidRPr="00BC4264">
        <w:t xml:space="preserve"> drugs</w:t>
      </w:r>
      <w:r w:rsidR="00452649" w:rsidRPr="00BC4264">
        <w:t xml:space="preserve"> home to store them</w:t>
      </w:r>
      <w:r w:rsidR="007A6E2E" w:rsidRPr="00BC4264">
        <w:t>,</w:t>
      </w:r>
      <w:r w:rsidR="00452649" w:rsidRPr="00BC4264">
        <w:t xml:space="preserve"> </w:t>
      </w:r>
      <w:r w:rsidR="00AA35D3" w:rsidRPr="00BC4264">
        <w:t xml:space="preserve">whether </w:t>
      </w:r>
      <w:r w:rsidR="00382003" w:rsidRPr="00BC4264">
        <w:rPr>
          <w:b/>
        </w:rPr>
        <w:t>‍</w:t>
      </w:r>
      <w:r w:rsidR="00AA35D3" w:rsidRPr="00BC4264">
        <w:t>he is</w:t>
      </w:r>
      <w:r w:rsidR="00452649" w:rsidRPr="00BC4264">
        <w:t xml:space="preserve"> </w:t>
      </w:r>
      <w:r w:rsidR="008D518F" w:rsidRPr="00BC4264">
        <w:t>delivering</w:t>
      </w:r>
      <w:r w:rsidR="00452649" w:rsidRPr="00BC4264">
        <w:t xml:space="preserve"> them </w:t>
      </w:r>
      <w:r w:rsidR="00AA35D3" w:rsidRPr="00BC4264">
        <w:t xml:space="preserve">to a customer on behalf of </w:t>
      </w:r>
      <w:r w:rsidR="003E77AC" w:rsidRPr="00BC4264">
        <w:t>a dealer</w:t>
      </w:r>
      <w:r w:rsidR="00C17407" w:rsidRPr="00BC4264">
        <w:t xml:space="preserve"> or</w:t>
      </w:r>
      <w:r w:rsidR="00AA35D3" w:rsidRPr="00BC4264">
        <w:t xml:space="preserve"> acting </w:t>
      </w:r>
      <w:r w:rsidR="00382003" w:rsidRPr="00BC4264">
        <w:rPr>
          <w:b/>
        </w:rPr>
        <w:t>‍</w:t>
      </w:r>
      <w:r w:rsidR="00AA35D3" w:rsidRPr="00BC4264">
        <w:t xml:space="preserve">as a </w:t>
      </w:r>
      <w:r w:rsidR="00382003" w:rsidRPr="00BC4264">
        <w:rPr>
          <w:b/>
        </w:rPr>
        <w:t>‍</w:t>
      </w:r>
      <w:r w:rsidR="00C17407" w:rsidRPr="00BC4264">
        <w:t>go</w:t>
      </w:r>
      <w:r w:rsidR="00382003" w:rsidRPr="00BC4264">
        <w:noBreakHyphen/>
      </w:r>
      <w:r w:rsidR="00C17407" w:rsidRPr="00BC4264">
        <w:t>between for two</w:t>
      </w:r>
      <w:r w:rsidR="00AA35D3" w:rsidRPr="00BC4264">
        <w:t xml:space="preserve"> dealer</w:t>
      </w:r>
      <w:r w:rsidR="00C17407" w:rsidRPr="00BC4264">
        <w:t>s</w:t>
      </w:r>
      <w:r w:rsidR="00AA35D3" w:rsidRPr="00BC4264">
        <w:t>, or whether he is actually</w:t>
      </w:r>
      <w:r w:rsidR="0046426C" w:rsidRPr="00BC4264">
        <w:t xml:space="preserve"> dealing</w:t>
      </w:r>
      <w:r w:rsidR="00452649" w:rsidRPr="00BC4264">
        <w:t xml:space="preserve"> </w:t>
      </w:r>
      <w:r w:rsidR="00382003" w:rsidRPr="00BC4264">
        <w:rPr>
          <w:b/>
        </w:rPr>
        <w:t>‍</w:t>
      </w:r>
      <w:r w:rsidR="00452649" w:rsidRPr="00BC4264">
        <w:t xml:space="preserve">in </w:t>
      </w:r>
      <w:r w:rsidR="00382003" w:rsidRPr="00BC4264">
        <w:rPr>
          <w:b/>
        </w:rPr>
        <w:t>‍</w:t>
      </w:r>
      <w:r w:rsidR="00452649" w:rsidRPr="00BC4264">
        <w:t xml:space="preserve">them </w:t>
      </w:r>
      <w:r w:rsidR="00382003" w:rsidRPr="00BC4264">
        <w:rPr>
          <w:b/>
        </w:rPr>
        <w:t>‍</w:t>
      </w:r>
      <w:r w:rsidR="007A6E2E" w:rsidRPr="00BC4264">
        <w:t xml:space="preserve">himself </w:t>
      </w:r>
      <w:r w:rsidR="008D518F" w:rsidRPr="00BC4264">
        <w:t>on the street</w:t>
      </w:r>
      <w:r w:rsidR="00295B21" w:rsidRPr="00BC4264">
        <w:t xml:space="preserve">. </w:t>
      </w:r>
      <w:r w:rsidR="00452649" w:rsidRPr="00BC4264">
        <w:t xml:space="preserve"> </w:t>
      </w:r>
      <w:r w:rsidR="006212C3" w:rsidRPr="00BC4264">
        <w:t>In</w:t>
      </w:r>
      <w:r w:rsidR="007B340D" w:rsidRPr="00BC4264">
        <w:t xml:space="preserve"> his judgment in</w:t>
      </w:r>
      <w:r w:rsidR="006212C3" w:rsidRPr="00BC4264">
        <w:t xml:space="preserve"> </w:t>
      </w:r>
      <w:r w:rsidR="006212C3" w:rsidRPr="00BC4264">
        <w:rPr>
          <w:i/>
        </w:rPr>
        <w:t>Kilima</w:t>
      </w:r>
      <w:r w:rsidR="006212C3" w:rsidRPr="00BC4264">
        <w:t xml:space="preserve">, Macrae </w:t>
      </w:r>
      <w:r w:rsidR="00382003" w:rsidRPr="00BC4264">
        <w:rPr>
          <w:b/>
        </w:rPr>
        <w:t>‍</w:t>
      </w:r>
      <w:r w:rsidR="006212C3" w:rsidRPr="00BC4264">
        <w:t xml:space="preserve">VP </w:t>
      </w:r>
      <w:r w:rsidR="00382003" w:rsidRPr="00BC4264">
        <w:rPr>
          <w:b/>
        </w:rPr>
        <w:t>‍</w:t>
      </w:r>
      <w:r w:rsidR="0046426C" w:rsidRPr="00BC4264">
        <w:t xml:space="preserve">voiced </w:t>
      </w:r>
      <w:r w:rsidR="00382003" w:rsidRPr="00BC4264">
        <w:rPr>
          <w:b/>
        </w:rPr>
        <w:t>‍</w:t>
      </w:r>
      <w:r w:rsidR="00C17407" w:rsidRPr="00BC4264">
        <w:t>certain misgivings</w:t>
      </w:r>
      <w:r w:rsidR="00AA35D3" w:rsidRPr="00BC4264">
        <w:t xml:space="preserve"> about</w:t>
      </w:r>
      <w:r w:rsidR="0046426C" w:rsidRPr="00BC4264">
        <w:t xml:space="preserve"> </w:t>
      </w:r>
      <w:r w:rsidR="008D518F" w:rsidRPr="00BC4264">
        <w:t xml:space="preserve">the </w:t>
      </w:r>
      <w:r w:rsidR="00295B21" w:rsidRPr="00BC4264">
        <w:rPr>
          <w:b/>
        </w:rPr>
        <w:t>‍</w:t>
      </w:r>
      <w:r w:rsidR="008D518F" w:rsidRPr="00BC4264">
        <w:t xml:space="preserve">application of </w:t>
      </w:r>
      <w:r w:rsidR="0046426C" w:rsidRPr="00BC4264">
        <w:t xml:space="preserve">the </w:t>
      </w:r>
      <w:r w:rsidR="0046426C" w:rsidRPr="00BC4264">
        <w:rPr>
          <w:i/>
        </w:rPr>
        <w:t>D</w:t>
      </w:r>
      <w:r w:rsidR="00625878" w:rsidRPr="00BC4264">
        <w:rPr>
          <w:i/>
        </w:rPr>
        <w:t xml:space="preserve">rug </w:t>
      </w:r>
      <w:r w:rsidR="00382003" w:rsidRPr="00BC4264">
        <w:rPr>
          <w:b/>
          <w:i/>
        </w:rPr>
        <w:t>‍</w:t>
      </w:r>
      <w:r w:rsidR="00625878" w:rsidRPr="00BC4264">
        <w:rPr>
          <w:i/>
        </w:rPr>
        <w:t xml:space="preserve">Offences </w:t>
      </w:r>
      <w:r w:rsidR="00382003" w:rsidRPr="00BC4264">
        <w:rPr>
          <w:b/>
          <w:i/>
        </w:rPr>
        <w:t>‍</w:t>
      </w:r>
      <w:r w:rsidR="00625878" w:rsidRPr="00BC4264">
        <w:rPr>
          <w:i/>
        </w:rPr>
        <w:t>D</w:t>
      </w:r>
      <w:r w:rsidR="0046426C" w:rsidRPr="00BC4264">
        <w:rPr>
          <w:i/>
        </w:rPr>
        <w:t xml:space="preserve">efinitive </w:t>
      </w:r>
      <w:r w:rsidR="00382003" w:rsidRPr="00BC4264">
        <w:rPr>
          <w:b/>
          <w:i/>
        </w:rPr>
        <w:t>‍</w:t>
      </w:r>
      <w:r w:rsidR="0046426C" w:rsidRPr="00BC4264">
        <w:rPr>
          <w:i/>
        </w:rPr>
        <w:t>Guideline</w:t>
      </w:r>
      <w:r w:rsidR="0046426C" w:rsidRPr="00BC4264">
        <w:t xml:space="preserve"> </w:t>
      </w:r>
      <w:r w:rsidR="008D518F" w:rsidRPr="00BC4264">
        <w:t xml:space="preserve">of the United </w:t>
      </w:r>
      <w:r w:rsidR="00295B21" w:rsidRPr="00BC4264">
        <w:rPr>
          <w:b/>
        </w:rPr>
        <w:t>‍</w:t>
      </w:r>
      <w:r w:rsidR="008D518F" w:rsidRPr="00BC4264">
        <w:t xml:space="preserve">Kingdom </w:t>
      </w:r>
      <w:r w:rsidR="00AA35D3" w:rsidRPr="00BC4264">
        <w:t>to</w:t>
      </w:r>
      <w:r w:rsidR="0046426C" w:rsidRPr="00BC4264">
        <w:t xml:space="preserve"> sentencing in drugs cases in </w:t>
      </w:r>
      <w:r w:rsidR="003E77AC" w:rsidRPr="00BC4264">
        <w:t>this jurisdiction</w:t>
      </w:r>
      <w:r w:rsidR="008D518F" w:rsidRPr="00BC4264">
        <w:t>,</w:t>
      </w:r>
      <w:r w:rsidR="0046426C" w:rsidRPr="00BC4264">
        <w:t xml:space="preserve"> </w:t>
      </w:r>
      <w:r w:rsidR="00C17407" w:rsidRPr="00BC4264">
        <w:t>because</w:t>
      </w:r>
      <w:r w:rsidR="0046426C" w:rsidRPr="00BC4264">
        <w:rPr>
          <w:rStyle w:val="FootnoteReference"/>
        </w:rPr>
        <w:footnoteReference w:id="43"/>
      </w:r>
      <w:r w:rsidR="0046426C" w:rsidRPr="00BC4264">
        <w:t>:</w:t>
      </w:r>
    </w:p>
    <w:p w:rsidR="0046426C" w:rsidRPr="00BC4264" w:rsidRDefault="006212C3" w:rsidP="00AB52E8">
      <w:pPr>
        <w:pStyle w:val="j-quotation"/>
      </w:pPr>
      <w:r w:rsidRPr="00BC4264">
        <w:t>“Absent clear admissions or, perhaps, accomplice evidence, a defendant’s precise role or place in the hierarchy of a drug trafficking organisation is always more difficult to establish”.</w:t>
      </w:r>
    </w:p>
    <w:p w:rsidR="0046426C" w:rsidRPr="00BC4264" w:rsidRDefault="0046426C" w:rsidP="00A0134D">
      <w:pPr>
        <w:pStyle w:val="T-Draft"/>
        <w:numPr>
          <w:ilvl w:val="0"/>
          <w:numId w:val="0"/>
        </w:numPr>
      </w:pPr>
      <w:r w:rsidRPr="00BC4264">
        <w:t>He went on</w:t>
      </w:r>
      <w:r w:rsidR="00625878" w:rsidRPr="00BC4264">
        <w:rPr>
          <w:rStyle w:val="FootnoteReference"/>
        </w:rPr>
        <w:footnoteReference w:id="44"/>
      </w:r>
      <w:r w:rsidRPr="00BC4264">
        <w:t>:</w:t>
      </w:r>
    </w:p>
    <w:p w:rsidR="008D518F" w:rsidRPr="00BC4264" w:rsidRDefault="0046426C" w:rsidP="00AB52E8">
      <w:pPr>
        <w:pStyle w:val="j-quotation"/>
      </w:pPr>
      <w:r w:rsidRPr="00BC4264">
        <w:t>“In reality</w:t>
      </w:r>
      <w:r w:rsidR="00625878" w:rsidRPr="00BC4264">
        <w:t>, in most cases it is very difficult to know how closely a defendant is linked with the original source of the drugs</w:t>
      </w:r>
      <w:r w:rsidR="00625878" w:rsidRPr="00BC4264">
        <w:rPr>
          <w:rStyle w:val="FootnoteReference"/>
        </w:rPr>
        <w:footnoteReference w:id="45"/>
      </w:r>
      <w:r w:rsidR="00625878" w:rsidRPr="00BC4264">
        <w:t xml:space="preserve">, what </w:t>
      </w:r>
      <w:r w:rsidR="00651296" w:rsidRPr="00BC4264">
        <w:t>h</w:t>
      </w:r>
      <w:r w:rsidR="00625878" w:rsidRPr="00BC4264">
        <w:t>is awareness and understanding of the scale of the operation might be</w:t>
      </w:r>
      <w:r w:rsidR="00625878" w:rsidRPr="00BC4264">
        <w:rPr>
          <w:rStyle w:val="FootnoteReference"/>
        </w:rPr>
        <w:footnoteReference w:id="46"/>
      </w:r>
      <w:r w:rsidR="00625878" w:rsidRPr="00BC4264">
        <w:t xml:space="preserve"> or how limited his function really is</w:t>
      </w:r>
      <w:r w:rsidR="00625878" w:rsidRPr="00BC4264">
        <w:rPr>
          <w:rStyle w:val="FootnoteReference"/>
        </w:rPr>
        <w:footnoteReference w:id="47"/>
      </w:r>
      <w:r w:rsidR="00625878" w:rsidRPr="00BC4264">
        <w:t xml:space="preserve">; questions which become even more difficult to answer with a foreign defendant who has travelled across the world on an elaborate </w:t>
      </w:r>
      <w:r w:rsidR="00625878" w:rsidRPr="00BC4264">
        <w:lastRenderedPageBreak/>
        <w:t>itinerary from one country or continent to another before entering Hong Kong with cocaine secreted within his body worth hundreds of thousands, if not millions, of dollars.</w:t>
      </w:r>
      <w:r w:rsidR="00AB52E8" w:rsidRPr="00BC4264">
        <w:t xml:space="preserve"> </w:t>
      </w:r>
      <w:r w:rsidR="00625878" w:rsidRPr="00BC4264">
        <w:t xml:space="preserve"> That is perhaps why we set the bar at the level of the courier, raising it if there is an international element and when the scale of the applicant’s role becomes clear.”</w:t>
      </w:r>
    </w:p>
    <w:p w:rsidR="008D518F" w:rsidRPr="00BC4264" w:rsidRDefault="008D518F" w:rsidP="00AA35D3">
      <w:pPr>
        <w:pStyle w:val="T-Draft"/>
      </w:pPr>
      <w:r w:rsidRPr="00BC4264">
        <w:t>A</w:t>
      </w:r>
      <w:r w:rsidR="00AA35D3" w:rsidRPr="00BC4264">
        <w:t>nd</w:t>
      </w:r>
      <w:r w:rsidR="00871DE1" w:rsidRPr="00BC4264">
        <w:t>,</w:t>
      </w:r>
      <w:r w:rsidR="00AA35D3" w:rsidRPr="00BC4264">
        <w:t xml:space="preserve"> a</w:t>
      </w:r>
      <w:r w:rsidRPr="00BC4264">
        <w:t xml:space="preserve">s McWalters JA </w:t>
      </w:r>
      <w:r w:rsidR="002134D9" w:rsidRPr="00BC4264">
        <w:t xml:space="preserve">has </w:t>
      </w:r>
      <w:r w:rsidRPr="00BC4264">
        <w:t xml:space="preserve">pointed out in </w:t>
      </w:r>
      <w:r w:rsidRPr="00BC4264">
        <w:rPr>
          <w:i/>
        </w:rPr>
        <w:t>Conde Nassou</w:t>
      </w:r>
      <w:r w:rsidRPr="00BC4264">
        <w:rPr>
          <w:rStyle w:val="FootnoteReference"/>
        </w:rPr>
        <w:footnoteReference w:id="48"/>
      </w:r>
      <w:r w:rsidRPr="00BC4264">
        <w:t>:</w:t>
      </w:r>
    </w:p>
    <w:p w:rsidR="00AA35D3" w:rsidRPr="00BC4264" w:rsidRDefault="008D518F" w:rsidP="00AB52E8">
      <w:pPr>
        <w:pStyle w:val="j-quotation"/>
      </w:pPr>
      <w:r w:rsidRPr="00BC4264">
        <w:t>“Because drug trafficking cases, especially those involving international couriers, can have great factual similarity there may be nothing in either the circumstances of the commission of the offence or the background of the offender which calls for the judge to depart from a mathematically determined starting point.”</w:t>
      </w:r>
    </w:p>
    <w:p w:rsidR="008D518F" w:rsidRPr="00BC4264" w:rsidRDefault="00C47194" w:rsidP="00AA35D3">
      <w:pPr>
        <w:pStyle w:val="T-Draft"/>
      </w:pPr>
      <w:r w:rsidRPr="00BC4264">
        <w:t>I</w:t>
      </w:r>
      <w:r w:rsidR="008D518F" w:rsidRPr="00BC4264">
        <w:t xml:space="preserve">t is, we think, </w:t>
      </w:r>
      <w:r w:rsidR="002550F8" w:rsidRPr="00BC4264">
        <w:t>because of the difficulty</w:t>
      </w:r>
      <w:r w:rsidR="002A3583" w:rsidRPr="00BC4264">
        <w:t xml:space="preserve"> sometimes</w:t>
      </w:r>
      <w:r w:rsidR="002550F8" w:rsidRPr="00BC4264">
        <w:t xml:space="preserve"> of proving the exact </w:t>
      </w:r>
      <w:r w:rsidR="003E77AC" w:rsidRPr="00BC4264">
        <w:t xml:space="preserve">role and </w:t>
      </w:r>
      <w:r w:rsidR="002550F8" w:rsidRPr="00BC4264">
        <w:t xml:space="preserve">purpose of the defendant who is found in possession of dangerous drugs, coupled with the </w:t>
      </w:r>
      <w:r w:rsidR="00AA35D3" w:rsidRPr="00BC4264">
        <w:t xml:space="preserve">reality </w:t>
      </w:r>
      <w:r w:rsidR="002550F8" w:rsidRPr="00BC4264">
        <w:t xml:space="preserve">that there is little to distinguish between the </w:t>
      </w:r>
      <w:r w:rsidR="00AA35D3" w:rsidRPr="00BC4264">
        <w:t xml:space="preserve">essential </w:t>
      </w:r>
      <w:r w:rsidR="002550F8" w:rsidRPr="00BC4264">
        <w:t>facts of different cases,</w:t>
      </w:r>
      <w:r w:rsidR="00AA35D3" w:rsidRPr="00BC4264">
        <w:t xml:space="preserve"> except for the quantity involved,</w:t>
      </w:r>
      <w:r w:rsidR="002550F8" w:rsidRPr="00BC4264">
        <w:t xml:space="preserve"> </w:t>
      </w:r>
      <w:r w:rsidR="008D518F" w:rsidRPr="00BC4264">
        <w:t xml:space="preserve">that sentencing policy in </w:t>
      </w:r>
      <w:r w:rsidR="00AA35D3" w:rsidRPr="00BC4264">
        <w:t>this jurisdiction</w:t>
      </w:r>
      <w:r w:rsidR="008D518F" w:rsidRPr="00BC4264">
        <w:t xml:space="preserve"> </w:t>
      </w:r>
      <w:r w:rsidR="009D00B7" w:rsidRPr="00BC4264">
        <w:t>proceeds on the basis that the defendant is</w:t>
      </w:r>
      <w:r w:rsidR="008D518F" w:rsidRPr="00BC4264">
        <w:t xml:space="preserve"> a</w:t>
      </w:r>
      <w:r w:rsidR="002B21FD" w:rsidRPr="00BC4264">
        <w:t xml:space="preserve"> </w:t>
      </w:r>
      <w:r w:rsidR="007B340D" w:rsidRPr="00BC4264">
        <w:t xml:space="preserve">courier or </w:t>
      </w:r>
      <w:r w:rsidR="008D518F" w:rsidRPr="00BC4264">
        <w:t>storekeeper unless it can be demonstrated otherwise.</w:t>
      </w:r>
      <w:r w:rsidR="002550F8" w:rsidRPr="00BC4264">
        <w:t xml:space="preserve">  </w:t>
      </w:r>
      <w:r w:rsidR="00A6106B" w:rsidRPr="00BC4264">
        <w:t>However, w</w:t>
      </w:r>
      <w:r w:rsidR="002550F8" w:rsidRPr="00BC4264">
        <w:t xml:space="preserve">here a greater </w:t>
      </w:r>
      <w:r w:rsidR="00E74E80" w:rsidRPr="00BC4264">
        <w:t xml:space="preserve">(or lesser) </w:t>
      </w:r>
      <w:r w:rsidR="002550F8" w:rsidRPr="00BC4264">
        <w:t>role or purpose can be demonstrated on the facts</w:t>
      </w:r>
      <w:r w:rsidR="009D00B7" w:rsidRPr="00BC4264">
        <w:t xml:space="preserve"> of a particular case</w:t>
      </w:r>
      <w:r w:rsidR="002550F8" w:rsidRPr="00BC4264">
        <w:t>, then the starting point for sentence can be appropriately increased</w:t>
      </w:r>
      <w:r w:rsidR="00E74E80" w:rsidRPr="00BC4264">
        <w:t xml:space="preserve"> (or decreased)</w:t>
      </w:r>
      <w:r w:rsidR="002550F8" w:rsidRPr="00BC4264">
        <w:t>.</w:t>
      </w:r>
    </w:p>
    <w:p w:rsidR="00AD5D58" w:rsidRPr="00BC4264" w:rsidRDefault="003E77AC" w:rsidP="00AA35D3">
      <w:pPr>
        <w:pStyle w:val="T-Draft"/>
      </w:pPr>
      <w:r w:rsidRPr="00BC4264">
        <w:t xml:space="preserve">Secondly, </w:t>
      </w:r>
      <w:r w:rsidR="00C17407" w:rsidRPr="00BC4264">
        <w:t>the offence of trafficking in dangerous drugs is an extremely serious crime in this jurisdiction</w:t>
      </w:r>
      <w:r w:rsidR="007B340D" w:rsidRPr="00BC4264">
        <w:t>,</w:t>
      </w:r>
      <w:r w:rsidR="00F23AEE" w:rsidRPr="00BC4264">
        <w:t xml:space="preserve"> where the offence carries a maximum sentence of life imprisonment</w:t>
      </w:r>
      <w:r w:rsidR="000E032F" w:rsidRPr="00BC4264">
        <w:t xml:space="preserve"> and a fine of </w:t>
      </w:r>
      <w:r w:rsidR="009B5A1D" w:rsidRPr="00BC4264">
        <w:t>HK</w:t>
      </w:r>
      <w:r w:rsidR="000E032F" w:rsidRPr="00BC4264">
        <w:t>$5 million</w:t>
      </w:r>
      <w:r w:rsidR="00AD5D58" w:rsidRPr="00BC4264">
        <w:t>;</w:t>
      </w:r>
      <w:r w:rsidR="00C17407" w:rsidRPr="00BC4264">
        <w:t xml:space="preserve"> </w:t>
      </w:r>
      <w:r w:rsidR="00F23AEE" w:rsidRPr="00BC4264">
        <w:t xml:space="preserve">indeed, in many </w:t>
      </w:r>
      <w:r w:rsidR="009D00B7" w:rsidRPr="00BC4264">
        <w:t xml:space="preserve">neighbouring </w:t>
      </w:r>
      <w:r w:rsidR="000E032F" w:rsidRPr="00BC4264">
        <w:t>jurisdictions</w:t>
      </w:r>
      <w:r w:rsidR="00F23AEE" w:rsidRPr="00BC4264">
        <w:t xml:space="preserve"> in this region</w:t>
      </w:r>
      <w:r w:rsidR="000E032F" w:rsidRPr="00BC4264">
        <w:t xml:space="preserve"> of the world</w:t>
      </w:r>
      <w:r w:rsidR="00F23AEE" w:rsidRPr="00BC4264">
        <w:t>, the offence carries the death penalty</w:t>
      </w:r>
      <w:r w:rsidR="00F23AEE" w:rsidRPr="00BC4264">
        <w:rPr>
          <w:rStyle w:val="FootnoteReference"/>
        </w:rPr>
        <w:footnoteReference w:id="49"/>
      </w:r>
      <w:r w:rsidR="00F23AEE" w:rsidRPr="00BC4264">
        <w:t>.</w:t>
      </w:r>
      <w:r w:rsidR="005E5684" w:rsidRPr="00BC4264">
        <w:t xml:space="preserve">  Given the appalling consequences </w:t>
      </w:r>
      <w:r w:rsidR="009D00B7" w:rsidRPr="00BC4264">
        <w:t>which</w:t>
      </w:r>
      <w:r w:rsidR="005E5684" w:rsidRPr="00BC4264">
        <w:t xml:space="preserve"> the proliferation of </w:t>
      </w:r>
      <w:r w:rsidR="008E3C31" w:rsidRPr="00BC4264">
        <w:t>dangerous, particularly addictive,</w:t>
      </w:r>
      <w:r w:rsidR="005E5684" w:rsidRPr="00BC4264">
        <w:t xml:space="preserve"> drugs </w:t>
      </w:r>
      <w:r w:rsidR="00F23AEE" w:rsidRPr="00BC4264">
        <w:t>has on</w:t>
      </w:r>
      <w:r w:rsidR="005E5684" w:rsidRPr="00BC4264">
        <w:t xml:space="preserve"> </w:t>
      </w:r>
      <w:r w:rsidR="00E74E80" w:rsidRPr="00BC4264">
        <w:t xml:space="preserve">families, communities, the workplace, indeed, on the </w:t>
      </w:r>
      <w:r w:rsidR="00AD5D58" w:rsidRPr="00BC4264">
        <w:t xml:space="preserve">whole </w:t>
      </w:r>
      <w:r w:rsidR="005E5684" w:rsidRPr="00BC4264">
        <w:t xml:space="preserve">fabric </w:t>
      </w:r>
      <w:r w:rsidR="00533BDE" w:rsidRPr="00BC4264">
        <w:t xml:space="preserve">and </w:t>
      </w:r>
      <w:r w:rsidR="00533BDE" w:rsidRPr="00BC4264">
        <w:lastRenderedPageBreak/>
        <w:t xml:space="preserve">functioning </w:t>
      </w:r>
      <w:r w:rsidR="005E5684" w:rsidRPr="00BC4264">
        <w:t xml:space="preserve">of society, the reasons for a defendant’s involvement in the crime and his personal circumstances </w:t>
      </w:r>
      <w:r w:rsidR="00AD5D58" w:rsidRPr="00BC4264">
        <w:t>are of far less importance than</w:t>
      </w:r>
      <w:r w:rsidR="005E5684" w:rsidRPr="00BC4264">
        <w:t xml:space="preserve"> </w:t>
      </w:r>
      <w:r w:rsidR="000E032F" w:rsidRPr="00BC4264">
        <w:t xml:space="preserve">society’s duty to protect its citizens and the courts’ </w:t>
      </w:r>
      <w:r w:rsidR="009D00B7" w:rsidRPr="00BC4264">
        <w:t xml:space="preserve">paramount </w:t>
      </w:r>
      <w:r w:rsidR="000E032F" w:rsidRPr="00BC4264">
        <w:t xml:space="preserve">function </w:t>
      </w:r>
      <w:r w:rsidR="0053033C" w:rsidRPr="00BC4264">
        <w:t>of “denunciation, deterrence and punishment”</w:t>
      </w:r>
      <w:r w:rsidR="0053033C" w:rsidRPr="00BC4264">
        <w:rPr>
          <w:rStyle w:val="FootnoteReference"/>
        </w:rPr>
        <w:footnoteReference w:id="50"/>
      </w:r>
      <w:r w:rsidR="0053033C" w:rsidRPr="00BC4264">
        <w:t xml:space="preserve"> of those who would</w:t>
      </w:r>
      <w:r w:rsidR="008E3C31" w:rsidRPr="00BC4264">
        <w:t xml:space="preserve"> seek to</w:t>
      </w:r>
      <w:r w:rsidR="0053033C" w:rsidRPr="00BC4264">
        <w:t xml:space="preserve"> traffick in dangerous drugs.</w:t>
      </w:r>
      <w:r w:rsidR="00AD5D58" w:rsidRPr="00BC4264">
        <w:t xml:space="preserve">  As the Court </w:t>
      </w:r>
      <w:r w:rsidR="00C478AF" w:rsidRPr="00BC4264">
        <w:t xml:space="preserve">said </w:t>
      </w:r>
      <w:r w:rsidR="00AD5D58" w:rsidRPr="00BC4264">
        <w:t xml:space="preserve">in </w:t>
      </w:r>
      <w:r w:rsidR="00AD5D58" w:rsidRPr="00BC4264">
        <w:rPr>
          <w:i/>
        </w:rPr>
        <w:t>Lau Tak</w:t>
      </w:r>
      <w:r w:rsidR="00A6106B" w:rsidRPr="00BC4264">
        <w:rPr>
          <w:i/>
        </w:rPr>
        <w:t>-m</w:t>
      </w:r>
      <w:r w:rsidR="00AD5D58" w:rsidRPr="00BC4264">
        <w:rPr>
          <w:i/>
        </w:rPr>
        <w:t>ing</w:t>
      </w:r>
      <w:r w:rsidR="00A6106B" w:rsidRPr="00BC4264">
        <w:rPr>
          <w:i/>
        </w:rPr>
        <w:t xml:space="preserve"> &amp; Anor</w:t>
      </w:r>
      <w:r w:rsidR="00AD5D58" w:rsidRPr="00BC4264">
        <w:t xml:space="preserve"> </w:t>
      </w:r>
      <w:r w:rsidR="00F23AEE" w:rsidRPr="00BC4264">
        <w:t>in 1990</w:t>
      </w:r>
      <w:r w:rsidR="00AD5D58" w:rsidRPr="00BC4264">
        <w:t>,</w:t>
      </w:r>
      <w:r w:rsidR="002B21FD" w:rsidRPr="00BC4264">
        <w:t xml:space="preserve"> mitigating factors in cases of this nature will have less weight than they might otherwise have for less serious offences</w:t>
      </w:r>
      <w:r w:rsidR="00AD5D58" w:rsidRPr="00BC4264">
        <w:rPr>
          <w:rStyle w:val="FootnoteReference"/>
        </w:rPr>
        <w:footnoteReference w:id="51"/>
      </w:r>
      <w:r w:rsidR="000A0A7B" w:rsidRPr="00BC4264">
        <w:t xml:space="preserve">; a point emphasised </w:t>
      </w:r>
      <w:r w:rsidR="00A6106B" w:rsidRPr="00BC4264">
        <w:t xml:space="preserve">again </w:t>
      </w:r>
      <w:r w:rsidR="000A0A7B" w:rsidRPr="00BC4264">
        <w:t xml:space="preserve">two decades later in </w:t>
      </w:r>
      <w:r w:rsidR="000A0A7B" w:rsidRPr="00BC4264">
        <w:rPr>
          <w:i/>
        </w:rPr>
        <w:t>Stojanovic Milka</w:t>
      </w:r>
      <w:r w:rsidR="000A0A7B" w:rsidRPr="00BC4264">
        <w:rPr>
          <w:rStyle w:val="FootnoteReference"/>
          <w:i/>
        </w:rPr>
        <w:footnoteReference w:id="52"/>
      </w:r>
      <w:r w:rsidR="00A6106B" w:rsidRPr="00BC4264">
        <w:t xml:space="preserve">, </w:t>
      </w:r>
      <w:r w:rsidR="00F23AEE" w:rsidRPr="00BC4264">
        <w:t xml:space="preserve">and </w:t>
      </w:r>
      <w:r w:rsidR="00A6106B" w:rsidRPr="00BC4264">
        <w:t>reiterated</w:t>
      </w:r>
      <w:r w:rsidR="00F23AEE" w:rsidRPr="00BC4264">
        <w:t xml:space="preserve"> in </w:t>
      </w:r>
      <w:r w:rsidR="00F23AEE" w:rsidRPr="00BC4264">
        <w:rPr>
          <w:i/>
        </w:rPr>
        <w:t>Kilima</w:t>
      </w:r>
      <w:r w:rsidR="00F23AEE" w:rsidRPr="00BC4264">
        <w:rPr>
          <w:rStyle w:val="FootnoteReference"/>
        </w:rPr>
        <w:footnoteReference w:id="53"/>
      </w:r>
      <w:r w:rsidR="00F23AEE" w:rsidRPr="00BC4264">
        <w:t>.</w:t>
      </w:r>
    </w:p>
    <w:p w:rsidR="003E77AC" w:rsidRPr="00BC4264" w:rsidRDefault="003C6C0E" w:rsidP="003C6C0E">
      <w:pPr>
        <w:pStyle w:val="T-Draft"/>
      </w:pPr>
      <w:r w:rsidRPr="00BC4264">
        <w:t xml:space="preserve">It is because of these two particular facets of sentencing for offences of this nature that consistency </w:t>
      </w:r>
      <w:r w:rsidR="00A6106B" w:rsidRPr="00BC4264">
        <w:t>in sentencing</w:t>
      </w:r>
      <w:r w:rsidRPr="00BC4264">
        <w:t xml:space="preserve"> </w:t>
      </w:r>
      <w:r w:rsidR="007B340D" w:rsidRPr="00BC4264">
        <w:t xml:space="preserve">in trafficking cases </w:t>
      </w:r>
      <w:r w:rsidRPr="00BC4264">
        <w:t xml:space="preserve">becomes so important.  For, if one cannot readily distinguish between different cases of trafficking except as to the quantity of the drug being trafficked, and if personal mitigation has little weight in sentencing for such a crime, then consistency in sentence becomes all the more imperative.  </w:t>
      </w:r>
      <w:r w:rsidR="00B73B38" w:rsidRPr="00BC4264">
        <w:t>Where</w:t>
      </w:r>
      <w:r w:rsidR="003E77AC" w:rsidRPr="00BC4264">
        <w:t xml:space="preserve">, for example, there is nothing otherwise to distinguish </w:t>
      </w:r>
      <w:r w:rsidR="009E4745" w:rsidRPr="00BC4264">
        <w:t xml:space="preserve">between </w:t>
      </w:r>
      <w:r w:rsidR="00F04D89" w:rsidRPr="00BC4264">
        <w:t xml:space="preserve">two </w:t>
      </w:r>
      <w:r w:rsidR="00FE5890" w:rsidRPr="00BC4264">
        <w:rPr>
          <w:b/>
        </w:rPr>
        <w:t>‍</w:t>
      </w:r>
      <w:r w:rsidR="00F04D89" w:rsidRPr="00BC4264">
        <w:t xml:space="preserve">couriers, </w:t>
      </w:r>
      <w:r w:rsidR="00FE5890" w:rsidRPr="00BC4264">
        <w:rPr>
          <w:b/>
        </w:rPr>
        <w:t>‍</w:t>
      </w:r>
      <w:r w:rsidR="00F04D89" w:rsidRPr="00BC4264">
        <w:t xml:space="preserve">one, </w:t>
      </w:r>
      <w:r w:rsidR="003E77AC" w:rsidRPr="00BC4264">
        <w:t xml:space="preserve">an impoverished defendant </w:t>
      </w:r>
      <w:r w:rsidR="00F04D89" w:rsidRPr="00BC4264">
        <w:t>arriving</w:t>
      </w:r>
      <w:r w:rsidR="003E77AC" w:rsidRPr="00BC4264">
        <w:t xml:space="preserve"> at Hong Kong International </w:t>
      </w:r>
      <w:r w:rsidR="00FE5890" w:rsidRPr="00BC4264">
        <w:rPr>
          <w:b/>
        </w:rPr>
        <w:t>‍</w:t>
      </w:r>
      <w:r w:rsidR="003E77AC" w:rsidRPr="00BC4264">
        <w:t xml:space="preserve">Airport from South </w:t>
      </w:r>
      <w:r w:rsidR="00295B21" w:rsidRPr="00BC4264">
        <w:rPr>
          <w:b/>
        </w:rPr>
        <w:t>‍</w:t>
      </w:r>
      <w:r w:rsidR="003E77AC" w:rsidRPr="00BC4264">
        <w:t xml:space="preserve">America </w:t>
      </w:r>
      <w:r w:rsidR="00F04D89" w:rsidRPr="00BC4264">
        <w:t>carrying</w:t>
      </w:r>
      <w:r w:rsidR="003E77AC" w:rsidRPr="00BC4264">
        <w:t xml:space="preserve"> a kilogramme of cocaine secreted </w:t>
      </w:r>
      <w:r w:rsidR="00497C16" w:rsidRPr="00BC4264">
        <w:t>within</w:t>
      </w:r>
      <w:r w:rsidR="00E74E80" w:rsidRPr="00BC4264">
        <w:t xml:space="preserve"> his body</w:t>
      </w:r>
      <w:r w:rsidRPr="00BC4264">
        <w:t>,</w:t>
      </w:r>
      <w:r w:rsidR="003E77AC" w:rsidRPr="00BC4264">
        <w:t xml:space="preserve"> </w:t>
      </w:r>
      <w:r w:rsidR="00F04D89" w:rsidRPr="00BC4264">
        <w:t>the other,</w:t>
      </w:r>
      <w:r w:rsidR="003E77AC" w:rsidRPr="00BC4264">
        <w:t xml:space="preserve"> an </w:t>
      </w:r>
      <w:r w:rsidR="00F04D89" w:rsidRPr="00BC4264">
        <w:t>i</w:t>
      </w:r>
      <w:r w:rsidR="003E77AC" w:rsidRPr="00BC4264">
        <w:t xml:space="preserve">ndebted defendant </w:t>
      </w:r>
      <w:r w:rsidR="00F04D89" w:rsidRPr="00BC4264">
        <w:t>arriving from</w:t>
      </w:r>
      <w:r w:rsidR="003E77AC" w:rsidRPr="00BC4264">
        <w:t xml:space="preserve"> Africa with a kilogramme of cocaine</w:t>
      </w:r>
      <w:r w:rsidRPr="00BC4264">
        <w:t xml:space="preserve"> hidden in</w:t>
      </w:r>
      <w:r w:rsidR="00497C16" w:rsidRPr="00BC4264">
        <w:t>side</w:t>
      </w:r>
      <w:r w:rsidRPr="00BC4264">
        <w:t xml:space="preserve"> his suitcase</w:t>
      </w:r>
      <w:r w:rsidR="003E77AC" w:rsidRPr="00BC4264">
        <w:t>, it is important that</w:t>
      </w:r>
      <w:r w:rsidR="00CD0C5B" w:rsidRPr="00BC4264">
        <w:t xml:space="preserve"> they should be dealt with </w:t>
      </w:r>
      <w:r w:rsidRPr="00BC4264">
        <w:t xml:space="preserve">in </w:t>
      </w:r>
      <w:r w:rsidR="00F04D89" w:rsidRPr="00BC4264">
        <w:t>a similar</w:t>
      </w:r>
      <w:r w:rsidRPr="00BC4264">
        <w:t xml:space="preserve"> way</w:t>
      </w:r>
      <w:r w:rsidR="00F04D89" w:rsidRPr="00BC4264">
        <w:t xml:space="preserve"> so far as determining the starting point for their respective offences.  As the Court in </w:t>
      </w:r>
      <w:r w:rsidR="00F04D89" w:rsidRPr="00BC4264">
        <w:rPr>
          <w:i/>
        </w:rPr>
        <w:t>HKSAR v Leung Wai Man</w:t>
      </w:r>
      <w:r w:rsidR="00F04D89" w:rsidRPr="00BC4264">
        <w:rPr>
          <w:rStyle w:val="FootnoteReference"/>
        </w:rPr>
        <w:footnoteReference w:id="54"/>
      </w:r>
      <w:r w:rsidR="00F04D89" w:rsidRPr="00BC4264">
        <w:t xml:space="preserve"> put it:</w:t>
      </w:r>
    </w:p>
    <w:p w:rsidR="00F04D89" w:rsidRPr="00BC4264" w:rsidRDefault="00F04D89" w:rsidP="00295B21">
      <w:pPr>
        <w:pStyle w:val="j-quotation"/>
      </w:pPr>
      <w:r w:rsidRPr="00BC4264">
        <w:t xml:space="preserve">“The final consideration we wish to mention is that of consistency in sentence.  Underpinning our system of criminal sentences is a recognition that like offences should attract like </w:t>
      </w:r>
      <w:r w:rsidRPr="00BC4264">
        <w:lastRenderedPageBreak/>
        <w:t xml:space="preserve">sentences.  Unjustified disparity in sentencing undermines confidence in the justice system, and it is important that there </w:t>
      </w:r>
      <w:r w:rsidR="005C63E3" w:rsidRPr="00BC4264">
        <w:t>b</w:t>
      </w:r>
      <w:r w:rsidRPr="00BC4264">
        <w:t>e consistency in the category of offence where individual mitigation tends, for polic</w:t>
      </w:r>
      <w:r w:rsidR="004E4323" w:rsidRPr="00BC4264">
        <w:t>y</w:t>
      </w:r>
      <w:r w:rsidRPr="00BC4264">
        <w:t xml:space="preserve"> reasons, to count for little.”</w:t>
      </w:r>
    </w:p>
    <w:p w:rsidR="00F04D89" w:rsidRPr="00BC4264" w:rsidRDefault="009E4745" w:rsidP="003C6C0E">
      <w:pPr>
        <w:pStyle w:val="T-Draft"/>
      </w:pPr>
      <w:r w:rsidRPr="00BC4264">
        <w:t>Nevertheless,</w:t>
      </w:r>
      <w:r w:rsidR="00F04D89" w:rsidRPr="00BC4264">
        <w:t xml:space="preserve"> th</w:t>
      </w:r>
      <w:r w:rsidR="00D17745" w:rsidRPr="00BC4264">
        <w:t xml:space="preserve">e court </w:t>
      </w:r>
      <w:r w:rsidR="00CF493D" w:rsidRPr="00BC4264">
        <w:t xml:space="preserve">must </w:t>
      </w:r>
      <w:r w:rsidR="00E74E80" w:rsidRPr="00BC4264">
        <w:t xml:space="preserve">still </w:t>
      </w:r>
      <w:r w:rsidR="00CF493D" w:rsidRPr="00BC4264">
        <w:t>retain</w:t>
      </w:r>
      <w:r w:rsidR="00D17745" w:rsidRPr="00BC4264">
        <w:t xml:space="preserve"> an </w:t>
      </w:r>
      <w:r w:rsidR="003E3F1B" w:rsidRPr="00BC4264">
        <w:t xml:space="preserve">important </w:t>
      </w:r>
      <w:r w:rsidR="00D17745" w:rsidRPr="00BC4264">
        <w:t>element of discretion in sentencing</w:t>
      </w:r>
      <w:r w:rsidR="0031679D" w:rsidRPr="00BC4264">
        <w:t xml:space="preserve"> for such offences</w:t>
      </w:r>
      <w:r w:rsidR="00D17745" w:rsidRPr="00BC4264">
        <w:t xml:space="preserve"> and, as we have said, consistent sentencing does not mean identical sentencing.</w:t>
      </w:r>
      <w:r w:rsidR="0053033C" w:rsidRPr="00BC4264">
        <w:t xml:space="preserve">  </w:t>
      </w:r>
      <w:r w:rsidR="004E4323" w:rsidRPr="00BC4264">
        <w:t xml:space="preserve">There will </w:t>
      </w:r>
      <w:r w:rsidR="00CF3260" w:rsidRPr="00BC4264">
        <w:rPr>
          <w:b/>
        </w:rPr>
        <w:t>‍</w:t>
      </w:r>
      <w:r w:rsidR="00B12971" w:rsidRPr="00BC4264">
        <w:t>often</w:t>
      </w:r>
      <w:r w:rsidR="004E4323" w:rsidRPr="00BC4264">
        <w:t xml:space="preserve"> be differences, however slight, between </w:t>
      </w:r>
      <w:r w:rsidR="00CF493D" w:rsidRPr="00BC4264">
        <w:t xml:space="preserve">defendants </w:t>
      </w:r>
      <w:r w:rsidRPr="00BC4264">
        <w:t xml:space="preserve">(and </w:t>
      </w:r>
      <w:r w:rsidR="00CF3260" w:rsidRPr="00BC4264">
        <w:rPr>
          <w:b/>
        </w:rPr>
        <w:t>‍</w:t>
      </w:r>
      <w:r w:rsidRPr="00BC4264">
        <w:t>co-</w:t>
      </w:r>
      <w:r w:rsidR="004F795A" w:rsidRPr="00BC4264">
        <w:rPr>
          <w:b/>
        </w:rPr>
        <w:t>‍</w:t>
      </w:r>
      <w:r w:rsidRPr="00BC4264">
        <w:t xml:space="preserve">defendants) </w:t>
      </w:r>
      <w:r w:rsidR="00C478AF" w:rsidRPr="00BC4264">
        <w:t xml:space="preserve">and the roles they play </w:t>
      </w:r>
      <w:r w:rsidR="00CF493D" w:rsidRPr="00BC4264">
        <w:t xml:space="preserve">in different </w:t>
      </w:r>
      <w:r w:rsidR="004E4323" w:rsidRPr="00BC4264">
        <w:t>cases</w:t>
      </w:r>
      <w:r w:rsidR="00CF493D" w:rsidRPr="00BC4264">
        <w:t>,</w:t>
      </w:r>
      <w:r w:rsidR="0031679D" w:rsidRPr="00BC4264">
        <w:t xml:space="preserve"> which may </w:t>
      </w:r>
      <w:r w:rsidR="004F795A" w:rsidRPr="00BC4264">
        <w:rPr>
          <w:b/>
        </w:rPr>
        <w:t>‍</w:t>
      </w:r>
      <w:r w:rsidR="0031679D" w:rsidRPr="00BC4264">
        <w:t xml:space="preserve">be </w:t>
      </w:r>
      <w:r w:rsidR="004F795A" w:rsidRPr="00BC4264">
        <w:rPr>
          <w:b/>
        </w:rPr>
        <w:t>‍</w:t>
      </w:r>
      <w:r w:rsidR="0031679D" w:rsidRPr="00BC4264">
        <w:t xml:space="preserve">reflected in different </w:t>
      </w:r>
      <w:r w:rsidR="00382003" w:rsidRPr="00BC4264">
        <w:rPr>
          <w:b/>
        </w:rPr>
        <w:t>‍</w:t>
      </w:r>
      <w:r w:rsidR="0031679D" w:rsidRPr="00BC4264">
        <w:t>sentences by different judges</w:t>
      </w:r>
      <w:r w:rsidR="004E4323" w:rsidRPr="00BC4264">
        <w:t>.</w:t>
      </w:r>
      <w:r w:rsidR="0031679D" w:rsidRPr="00BC4264">
        <w:t xml:space="preserve">  In </w:t>
      </w:r>
      <w:r w:rsidR="0031679D" w:rsidRPr="00BC4264">
        <w:rPr>
          <w:i/>
        </w:rPr>
        <w:t xml:space="preserve">Nwadiuto </w:t>
      </w:r>
      <w:r w:rsidR="004F795A" w:rsidRPr="00BC4264">
        <w:rPr>
          <w:b/>
          <w:i/>
        </w:rPr>
        <w:t>‍</w:t>
      </w:r>
      <w:r w:rsidR="0031679D" w:rsidRPr="00BC4264">
        <w:rPr>
          <w:i/>
        </w:rPr>
        <w:t xml:space="preserve">Samuel </w:t>
      </w:r>
      <w:r w:rsidR="004F795A" w:rsidRPr="00BC4264">
        <w:rPr>
          <w:b/>
          <w:i/>
        </w:rPr>
        <w:t>‍</w:t>
      </w:r>
      <w:r w:rsidR="0031679D" w:rsidRPr="00BC4264">
        <w:rPr>
          <w:i/>
        </w:rPr>
        <w:t>Joseph</w:t>
      </w:r>
      <w:r w:rsidR="0031679D" w:rsidRPr="00BC4264">
        <w:rPr>
          <w:rStyle w:val="FootnoteReference"/>
        </w:rPr>
        <w:footnoteReference w:id="55"/>
      </w:r>
      <w:r w:rsidR="0031679D" w:rsidRPr="00BC4264">
        <w:t xml:space="preserve">, </w:t>
      </w:r>
      <w:r w:rsidR="005C63E3" w:rsidRPr="00BC4264">
        <w:t xml:space="preserve">McWalters </w:t>
      </w:r>
      <w:r w:rsidR="00382003" w:rsidRPr="00BC4264">
        <w:rPr>
          <w:b/>
        </w:rPr>
        <w:t>‍</w:t>
      </w:r>
      <w:r w:rsidR="005C63E3" w:rsidRPr="00BC4264">
        <w:t>JA</w:t>
      </w:r>
      <w:r w:rsidR="0031679D" w:rsidRPr="00BC4264">
        <w:t xml:space="preserve"> explained:</w:t>
      </w:r>
    </w:p>
    <w:p w:rsidR="0031679D" w:rsidRPr="00BC4264" w:rsidRDefault="0031679D" w:rsidP="00295B21">
      <w:pPr>
        <w:pStyle w:val="j-quotation"/>
      </w:pPr>
      <w:r w:rsidRPr="00BC4264">
        <w:t>“The drug trafficking sentencing guidelines seek to achieve both transparency in the sentencing process and consistency in the sentencing outcome.  Although arithmetic plays a role in achieving both these goals it is not intended that it should usurp the function of the judge or eliminate the exercise of discretion by him in the determination of what is a just and fair sentence.”</w:t>
      </w:r>
    </w:p>
    <w:p w:rsidR="007B5E35" w:rsidRPr="00BC4264" w:rsidRDefault="007B5E35" w:rsidP="007B5E35">
      <w:pPr>
        <w:pStyle w:val="BodyText"/>
        <w:rPr>
          <w:lang w:eastAsia="en-US"/>
        </w:rPr>
      </w:pPr>
      <w:r w:rsidRPr="00BC4264">
        <w:rPr>
          <w:lang w:eastAsia="en-US"/>
        </w:rPr>
        <w:t xml:space="preserve">See also his earlier comments in </w:t>
      </w:r>
      <w:r w:rsidRPr="00BC4264">
        <w:rPr>
          <w:i/>
          <w:lang w:eastAsia="en-US"/>
        </w:rPr>
        <w:t>Rawe Waikama Magarya</w:t>
      </w:r>
      <w:r w:rsidRPr="00BC4264">
        <w:rPr>
          <w:lang w:eastAsia="en-US"/>
        </w:rPr>
        <w:t>, to which we have already referred</w:t>
      </w:r>
      <w:r w:rsidRPr="00BC4264">
        <w:rPr>
          <w:rStyle w:val="FootnoteReference"/>
          <w:lang w:eastAsia="en-US"/>
        </w:rPr>
        <w:footnoteReference w:id="56"/>
      </w:r>
      <w:r w:rsidRPr="00BC4264">
        <w:rPr>
          <w:lang w:eastAsia="en-US"/>
        </w:rPr>
        <w:t>.</w:t>
      </w:r>
    </w:p>
    <w:p w:rsidR="00E70136" w:rsidRPr="00BC4264" w:rsidRDefault="00FB7D5E" w:rsidP="00E70136">
      <w:pPr>
        <w:pStyle w:val="T-Draft"/>
      </w:pPr>
      <w:r w:rsidRPr="00BC4264">
        <w:t>Similarly, in</w:t>
      </w:r>
      <w:r w:rsidR="005C63E3" w:rsidRPr="00BC4264">
        <w:t xml:space="preserve"> </w:t>
      </w:r>
      <w:r w:rsidR="005C63E3" w:rsidRPr="00BC4264">
        <w:rPr>
          <w:i/>
        </w:rPr>
        <w:t>HKSAR v Tsang Ka Man</w:t>
      </w:r>
      <w:r w:rsidR="002833F3" w:rsidRPr="00BC4264">
        <w:rPr>
          <w:rStyle w:val="FootnoteReference"/>
        </w:rPr>
        <w:footnoteReference w:id="57"/>
      </w:r>
      <w:r w:rsidR="005C63E3" w:rsidRPr="00BC4264">
        <w:t>, Yeung VP</w:t>
      </w:r>
      <w:r w:rsidR="002833F3" w:rsidRPr="00BC4264">
        <w:t xml:space="preserve"> held</w:t>
      </w:r>
      <w:r w:rsidR="009858CD" w:rsidRPr="00BC4264">
        <w:rPr>
          <w:rStyle w:val="FootnoteReference"/>
        </w:rPr>
        <w:footnoteReference w:id="58"/>
      </w:r>
      <w:r w:rsidR="002833F3" w:rsidRPr="00BC4264">
        <w:t>:</w:t>
      </w:r>
    </w:p>
    <w:p w:rsidR="002833F3" w:rsidRPr="00BC4264" w:rsidRDefault="00FB7D5E" w:rsidP="002833F3">
      <w:pPr>
        <w:pStyle w:val="j-quotation"/>
      </w:pPr>
      <w:r w:rsidRPr="00BC4264">
        <w:t>“</w:t>
      </w:r>
      <w:r w:rsidR="002833F3" w:rsidRPr="00BC4264">
        <w:t>In ‘drug trafficking’ cases, in order to ensure consistency in sentencing and sufficient deterrent effect and prevent offenders from trying their luck, the Court of Appeal has laid down fundamental sentencing guidelines according to the nature and quantity of the dangerous drugs.”</w:t>
      </w:r>
    </w:p>
    <w:p w:rsidR="002833F3" w:rsidRPr="00BC4264" w:rsidRDefault="002833F3" w:rsidP="002833F3">
      <w:pPr>
        <w:pStyle w:val="BodyText"/>
        <w:rPr>
          <w:lang w:eastAsia="en-US"/>
        </w:rPr>
      </w:pPr>
      <w:r w:rsidRPr="00BC4264">
        <w:rPr>
          <w:lang w:eastAsia="en-US"/>
        </w:rPr>
        <w:t>Nevertheless, he cautioned</w:t>
      </w:r>
      <w:r w:rsidR="009858CD" w:rsidRPr="00BC4264">
        <w:rPr>
          <w:rStyle w:val="FootnoteReference"/>
          <w:lang w:eastAsia="en-US"/>
        </w:rPr>
        <w:footnoteReference w:id="59"/>
      </w:r>
      <w:r w:rsidRPr="00BC4264">
        <w:rPr>
          <w:lang w:eastAsia="en-US"/>
        </w:rPr>
        <w:t>:</w:t>
      </w:r>
    </w:p>
    <w:p w:rsidR="00FB7D5E" w:rsidRPr="00BC4264" w:rsidRDefault="002833F3" w:rsidP="007B5E35">
      <w:pPr>
        <w:pStyle w:val="j-quotation"/>
      </w:pPr>
      <w:r w:rsidRPr="00BC4264">
        <w:lastRenderedPageBreak/>
        <w:t>“The guidelines laid down by the Court of Appeal according to the types and quantity of dangerous drugs, however, are not a straitjacket.”</w:t>
      </w:r>
    </w:p>
    <w:p w:rsidR="00A444F2" w:rsidRPr="00BC4264" w:rsidRDefault="00A444F2" w:rsidP="00333419">
      <w:pPr>
        <w:pStyle w:val="T-Draft"/>
      </w:pPr>
      <w:r w:rsidRPr="00BC4264">
        <w:t>In</w:t>
      </w:r>
      <w:r w:rsidR="00FB7D5E" w:rsidRPr="00BC4264">
        <w:t xml:space="preserve"> the same vein, in</w:t>
      </w:r>
      <w:r w:rsidRPr="00BC4264">
        <w:t xml:space="preserve"> </w:t>
      </w:r>
      <w:r w:rsidRPr="00BC4264">
        <w:rPr>
          <w:i/>
        </w:rPr>
        <w:t>Stojanovic Milka</w:t>
      </w:r>
      <w:r w:rsidRPr="00BC4264">
        <w:t xml:space="preserve">, whilst acknowledging the need for consistency of sentence, </w:t>
      </w:r>
      <w:r w:rsidR="002134D9" w:rsidRPr="00BC4264">
        <w:t>Stock VP</w:t>
      </w:r>
      <w:r w:rsidRPr="00BC4264">
        <w:t xml:space="preserve"> </w:t>
      </w:r>
      <w:r w:rsidR="00333419" w:rsidRPr="00333419">
        <w:t>(as Stock NPJ then was)</w:t>
      </w:r>
      <w:r w:rsidR="00333419">
        <w:t xml:space="preserve"> </w:t>
      </w:r>
      <w:r w:rsidRPr="00BC4264">
        <w:t xml:space="preserve">sounded a warning about the </w:t>
      </w:r>
      <w:r w:rsidR="00262E4E" w:rsidRPr="00BC4264">
        <w:t xml:space="preserve">indiscriminate </w:t>
      </w:r>
      <w:r w:rsidRPr="00BC4264">
        <w:t>comparison that is often made between sentences by different courts for like offences</w:t>
      </w:r>
      <w:r w:rsidRPr="00BC4264">
        <w:rPr>
          <w:rStyle w:val="FootnoteReference"/>
        </w:rPr>
        <w:footnoteReference w:id="60"/>
      </w:r>
      <w:r w:rsidRPr="00BC4264">
        <w:t>:</w:t>
      </w:r>
    </w:p>
    <w:p w:rsidR="00A444F2" w:rsidRPr="00BC4264" w:rsidRDefault="00A444F2" w:rsidP="00295B21">
      <w:pPr>
        <w:pStyle w:val="j-quotation"/>
      </w:pPr>
      <w:r w:rsidRPr="00BC4264">
        <w:t>“… there is a limit to which this can be taken, for there is a danger of the exercise of comparison getting out of hand with a view to such fine tuning as to denude sentencing discretion of any meaning at all.  Some differences between different courts are bound to occur if sentencing is not to be an entirely mathematical exercise.”</w:t>
      </w:r>
    </w:p>
    <w:p w:rsidR="00DF207E" w:rsidRPr="00BC4264" w:rsidRDefault="003F2F35" w:rsidP="005E6E12">
      <w:pPr>
        <w:pStyle w:val="Heading3"/>
        <w:spacing w:before="360" w:line="360" w:lineRule="auto"/>
        <w:rPr>
          <w:i/>
          <w:sz w:val="28"/>
          <w:szCs w:val="28"/>
          <w:u w:val="none"/>
        </w:rPr>
      </w:pPr>
      <w:r w:rsidRPr="00BC4264">
        <w:rPr>
          <w:i/>
          <w:sz w:val="28"/>
          <w:szCs w:val="28"/>
          <w:u w:val="none"/>
        </w:rPr>
        <w:t>F</w:t>
      </w:r>
      <w:r w:rsidR="00DF207E" w:rsidRPr="00BC4264">
        <w:rPr>
          <w:i/>
          <w:sz w:val="28"/>
          <w:szCs w:val="28"/>
          <w:u w:val="none"/>
        </w:rPr>
        <w:t>.3.3</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00DF207E" w:rsidRPr="00BC4264">
        <w:rPr>
          <w:i/>
          <w:sz w:val="28"/>
          <w:szCs w:val="28"/>
          <w:u w:val="none"/>
        </w:rPr>
        <w:t>Couriers and storekeepers</w:t>
      </w:r>
    </w:p>
    <w:p w:rsidR="004A6964" w:rsidRPr="00BC4264" w:rsidRDefault="004A6964" w:rsidP="004A6964">
      <w:pPr>
        <w:pStyle w:val="T-Draft"/>
      </w:pPr>
      <w:r w:rsidRPr="00BC4264">
        <w:t xml:space="preserve">It is here that we should make </w:t>
      </w:r>
      <w:r w:rsidR="00497C16" w:rsidRPr="00BC4264">
        <w:t>an important</w:t>
      </w:r>
      <w:r w:rsidRPr="00BC4264">
        <w:t xml:space="preserve"> point that simply because the guidelines in various drug trafficking cases are devised for those at the bottom of the trafficking hierarchy, namely, </w:t>
      </w:r>
      <w:r w:rsidR="002E4DAC" w:rsidRPr="00BC4264">
        <w:t xml:space="preserve">couriers and </w:t>
      </w:r>
      <w:r w:rsidRPr="00BC4264">
        <w:t xml:space="preserve">storekeepers, it does not mean that once one of those labels </w:t>
      </w:r>
      <w:r w:rsidR="000A7DF1" w:rsidRPr="00BC4264">
        <w:t>can be</w:t>
      </w:r>
      <w:r w:rsidRPr="00BC4264">
        <w:t xml:space="preserve"> applied to the actions of a defendant, there is no discretion to go above or below the arithmetically determined starting point.  During argument, we contrasted the example</w:t>
      </w:r>
      <w:r w:rsidR="00E36322" w:rsidRPr="00BC4264">
        <w:t>s</w:t>
      </w:r>
      <w:r w:rsidRPr="00BC4264">
        <w:t xml:space="preserve"> of the mother of a drug addict who permits her son to store 50 </w:t>
      </w:r>
      <w:r w:rsidR="00295B21" w:rsidRPr="00BC4264">
        <w:rPr>
          <w:b/>
        </w:rPr>
        <w:t>‍</w:t>
      </w:r>
      <w:r w:rsidRPr="00BC4264">
        <w:t xml:space="preserve">grammes of </w:t>
      </w:r>
      <w:r w:rsidR="000A7DF1" w:rsidRPr="00BC4264">
        <w:t>Ice</w:t>
      </w:r>
      <w:r w:rsidRPr="00BC4264">
        <w:t xml:space="preserve"> in her home, knowing that he is trafficking in those drugs, partly to satisfy his own habit</w:t>
      </w:r>
      <w:r w:rsidR="00B73B38" w:rsidRPr="00BC4264">
        <w:t>,</w:t>
      </w:r>
      <w:r w:rsidRPr="00BC4264">
        <w:t xml:space="preserve"> with the </w:t>
      </w:r>
      <w:r w:rsidR="002009E5" w:rsidRPr="00BC4264">
        <w:t xml:space="preserve">home </w:t>
      </w:r>
      <w:r w:rsidRPr="00BC4264">
        <w:t xml:space="preserve">owner </w:t>
      </w:r>
      <w:r w:rsidR="002009E5" w:rsidRPr="00BC4264">
        <w:t xml:space="preserve">or tenant </w:t>
      </w:r>
      <w:r w:rsidRPr="00BC4264">
        <w:t xml:space="preserve">who permits </w:t>
      </w:r>
      <w:r w:rsidR="00C478AF" w:rsidRPr="00BC4264">
        <w:t>another</w:t>
      </w:r>
      <w:r w:rsidRPr="00BC4264">
        <w:t xml:space="preserve"> to store the same quantity of drugs in </w:t>
      </w:r>
      <w:r w:rsidR="002009E5" w:rsidRPr="00BC4264">
        <w:t>his home</w:t>
      </w:r>
      <w:r w:rsidRPr="00BC4264">
        <w:t xml:space="preserve"> for the purposes of trafficking for </w:t>
      </w:r>
      <w:r w:rsidR="002009E5" w:rsidRPr="00BC4264">
        <w:t>a fee of</w:t>
      </w:r>
      <w:r w:rsidRPr="00BC4264">
        <w:t xml:space="preserve"> $2,000 per month</w:t>
      </w:r>
      <w:r w:rsidR="00B73B38" w:rsidRPr="00BC4264">
        <w:t>,</w:t>
      </w:r>
      <w:r w:rsidRPr="00BC4264">
        <w:t xml:space="preserve"> and posed the question, who is the more culpable?  We could </w:t>
      </w:r>
      <w:r w:rsidR="000A7DF1" w:rsidRPr="00BC4264">
        <w:t>ask</w:t>
      </w:r>
      <w:r w:rsidRPr="00BC4264">
        <w:t xml:space="preserve"> the same question of the courier who, on a single occasion, is asked to take a parcel of 50 </w:t>
      </w:r>
      <w:r w:rsidR="006B05FF" w:rsidRPr="00BC4264">
        <w:rPr>
          <w:b/>
        </w:rPr>
        <w:t>‍</w:t>
      </w:r>
      <w:r w:rsidRPr="00BC4264">
        <w:t xml:space="preserve">grammes of </w:t>
      </w:r>
      <w:r w:rsidR="000A7DF1" w:rsidRPr="00BC4264">
        <w:t>Ice</w:t>
      </w:r>
      <w:r w:rsidRPr="00BC4264">
        <w:t xml:space="preserve"> from one part of Hong Kong to another without fee for </w:t>
      </w:r>
      <w:r w:rsidRPr="00BC4264">
        <w:lastRenderedPageBreak/>
        <w:t>her boyfriend and the defendant who, on the instruction</w:t>
      </w:r>
      <w:r w:rsidR="00C478AF" w:rsidRPr="00BC4264">
        <w:t>s</w:t>
      </w:r>
      <w:r w:rsidRPr="00BC4264">
        <w:t xml:space="preserve"> of a dealer, delivers 10 packets of 5 grammes of </w:t>
      </w:r>
      <w:r w:rsidR="000A7DF1" w:rsidRPr="00BC4264">
        <w:t>Ice</w:t>
      </w:r>
      <w:r w:rsidRPr="00BC4264">
        <w:t xml:space="preserve"> each to different customers in different parts of Hong Kong during the course of a day for a fee of $2,000.</w:t>
      </w:r>
      <w:r w:rsidR="00FB7D5E" w:rsidRPr="00BC4264">
        <w:t xml:space="preserve">  And, if we were to compare the mother in the first example with the distributor of drugs in the last example, the distinction becomes even more obvious.  Yet they all </w:t>
      </w:r>
      <w:r w:rsidR="00CF493D" w:rsidRPr="00BC4264">
        <w:t xml:space="preserve">fall within the label of </w:t>
      </w:r>
      <w:r w:rsidR="008E3C31" w:rsidRPr="00BC4264">
        <w:t>‘</w:t>
      </w:r>
      <w:r w:rsidR="00497C16" w:rsidRPr="00BC4264">
        <w:t>courier</w:t>
      </w:r>
      <w:r w:rsidR="008E3C31" w:rsidRPr="00BC4264">
        <w:t>’</w:t>
      </w:r>
      <w:r w:rsidR="00497C16" w:rsidRPr="00BC4264">
        <w:t xml:space="preserve"> or </w:t>
      </w:r>
      <w:r w:rsidR="008E3C31" w:rsidRPr="00BC4264">
        <w:t>‘</w:t>
      </w:r>
      <w:r w:rsidR="00497C16" w:rsidRPr="00BC4264">
        <w:t>storekeeper</w:t>
      </w:r>
      <w:r w:rsidR="008E3C31" w:rsidRPr="00BC4264">
        <w:t>’</w:t>
      </w:r>
      <w:r w:rsidR="00FB7D5E" w:rsidRPr="00BC4264">
        <w:t>.</w:t>
      </w:r>
    </w:p>
    <w:p w:rsidR="00B61FAF" w:rsidRPr="00BC4264" w:rsidRDefault="00896828" w:rsidP="004A6964">
      <w:pPr>
        <w:pStyle w:val="T-Draft"/>
      </w:pPr>
      <w:r w:rsidRPr="00BC4264">
        <w:t xml:space="preserve">Labels can be easily applied, but they can sometimes be </w:t>
      </w:r>
      <w:r w:rsidR="007C22E7" w:rsidRPr="00BC4264">
        <w:t xml:space="preserve">inapposite in conveying the real role of the defendant in question.  </w:t>
      </w:r>
      <w:r w:rsidR="00B61FAF" w:rsidRPr="00BC4264">
        <w:t xml:space="preserve">In </w:t>
      </w:r>
      <w:r w:rsidR="007C22E7" w:rsidRPr="00BC4264">
        <w:rPr>
          <w:i/>
        </w:rPr>
        <w:t xml:space="preserve">R </w:t>
      </w:r>
      <w:r w:rsidR="00382003" w:rsidRPr="00BC4264">
        <w:rPr>
          <w:b/>
          <w:i/>
        </w:rPr>
        <w:t>‍</w:t>
      </w:r>
      <w:r w:rsidR="007C22E7" w:rsidRPr="00BC4264">
        <w:rPr>
          <w:i/>
        </w:rPr>
        <w:t xml:space="preserve">v </w:t>
      </w:r>
      <w:r w:rsidR="00382003" w:rsidRPr="00BC4264">
        <w:rPr>
          <w:b/>
          <w:i/>
        </w:rPr>
        <w:t>‍</w:t>
      </w:r>
      <w:r w:rsidR="00B61FAF" w:rsidRPr="00BC4264">
        <w:rPr>
          <w:i/>
        </w:rPr>
        <w:t>Yavuz</w:t>
      </w:r>
      <w:r w:rsidRPr="00BC4264">
        <w:rPr>
          <w:rStyle w:val="FootnoteReference"/>
        </w:rPr>
        <w:footnoteReference w:id="61"/>
      </w:r>
      <w:r w:rsidR="00B61FAF" w:rsidRPr="00BC4264">
        <w:t xml:space="preserve">, the </w:t>
      </w:r>
      <w:r w:rsidR="007C22E7" w:rsidRPr="00BC4264">
        <w:t xml:space="preserve">Supreme </w:t>
      </w:r>
      <w:r w:rsidRPr="00BC4264">
        <w:t xml:space="preserve">Court </w:t>
      </w:r>
      <w:r w:rsidR="007C22E7" w:rsidRPr="00BC4264">
        <w:t>of South Australia cautioned</w:t>
      </w:r>
      <w:r w:rsidRPr="00BC4264">
        <w:t xml:space="preserve"> judges sentencing in drug trafficking cases </w:t>
      </w:r>
      <w:r w:rsidR="00146747" w:rsidRPr="00BC4264">
        <w:t>to exercise</w:t>
      </w:r>
      <w:r w:rsidRPr="00BC4264">
        <w:t xml:space="preserve"> care </w:t>
      </w:r>
      <w:r w:rsidR="00146747" w:rsidRPr="00BC4264">
        <w:t>when</w:t>
      </w:r>
      <w:r w:rsidR="00F163B8" w:rsidRPr="00BC4264">
        <w:t xml:space="preserve"> </w:t>
      </w:r>
      <w:r w:rsidRPr="00BC4264">
        <w:t>applying labels</w:t>
      </w:r>
      <w:r w:rsidR="007C22E7" w:rsidRPr="00BC4264">
        <w:t xml:space="preserve"> such as </w:t>
      </w:r>
      <w:r w:rsidR="00F163B8" w:rsidRPr="00BC4264">
        <w:t>‘</w:t>
      </w:r>
      <w:r w:rsidR="007C22E7" w:rsidRPr="00BC4264">
        <w:t>courier</w:t>
      </w:r>
      <w:r w:rsidR="00F163B8" w:rsidRPr="00BC4264">
        <w:t>’</w:t>
      </w:r>
      <w:r w:rsidR="007C22E7" w:rsidRPr="00BC4264">
        <w:t xml:space="preserve">, </w:t>
      </w:r>
      <w:r w:rsidR="00F163B8" w:rsidRPr="00BC4264">
        <w:t>‘street level dealer’ and ‘principal’,</w:t>
      </w:r>
      <w:r w:rsidRPr="00BC4264">
        <w:t xml:space="preserve"> </w:t>
      </w:r>
      <w:r w:rsidR="00595B7C" w:rsidRPr="00BC4264">
        <w:t>so that “</w:t>
      </w:r>
      <w:r w:rsidRPr="00BC4264">
        <w:t>they do not mask a true assessment of the individual’s culpability”</w:t>
      </w:r>
      <w:r w:rsidR="00B85783" w:rsidRPr="00BC4264">
        <w:rPr>
          <w:rStyle w:val="FootnoteReference"/>
        </w:rPr>
        <w:footnoteReference w:id="62"/>
      </w:r>
      <w:r w:rsidRPr="00BC4264">
        <w:t>.</w:t>
      </w:r>
      <w:r w:rsidR="00F163B8" w:rsidRPr="00BC4264">
        <w:t xml:space="preserve">  </w:t>
      </w:r>
      <w:r w:rsidR="00B85783" w:rsidRPr="00BC4264">
        <w:t>It is important that h</w:t>
      </w:r>
      <w:r w:rsidR="00146747" w:rsidRPr="00BC4264">
        <w:t>owever the judge characterises</w:t>
      </w:r>
      <w:r w:rsidR="00F163B8" w:rsidRPr="00BC4264">
        <w:t xml:space="preserve"> the trafficker concerned, it should ultimately be assessed on an individualised basis.</w:t>
      </w:r>
    </w:p>
    <w:p w:rsidR="00DF207E" w:rsidRPr="00BC4264" w:rsidRDefault="003F2F35" w:rsidP="005E6E12">
      <w:pPr>
        <w:pStyle w:val="Heading3"/>
        <w:spacing w:before="360" w:line="360" w:lineRule="auto"/>
        <w:rPr>
          <w:i/>
          <w:sz w:val="28"/>
          <w:szCs w:val="28"/>
          <w:u w:val="none"/>
        </w:rPr>
      </w:pPr>
      <w:r w:rsidRPr="00BC4264">
        <w:rPr>
          <w:i/>
          <w:sz w:val="28"/>
          <w:szCs w:val="28"/>
          <w:u w:val="none"/>
        </w:rPr>
        <w:t>F</w:t>
      </w:r>
      <w:r w:rsidR="00DF207E" w:rsidRPr="00BC4264">
        <w:rPr>
          <w:i/>
          <w:sz w:val="28"/>
          <w:szCs w:val="28"/>
          <w:u w:val="none"/>
        </w:rPr>
        <w:t>.3.4</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006C700A" w:rsidRPr="00BC4264">
        <w:rPr>
          <w:i/>
          <w:sz w:val="28"/>
          <w:szCs w:val="28"/>
          <w:u w:val="none"/>
        </w:rPr>
        <w:t xml:space="preserve">The correctness of </w:t>
      </w:r>
      <w:r w:rsidR="00DF207E" w:rsidRPr="00BC4264">
        <w:rPr>
          <w:i/>
          <w:sz w:val="28"/>
          <w:szCs w:val="28"/>
          <w:u w:val="none"/>
        </w:rPr>
        <w:t>HKSAR v Manalo</w:t>
      </w:r>
    </w:p>
    <w:p w:rsidR="004A6964" w:rsidRPr="00BC4264" w:rsidRDefault="004A6964" w:rsidP="004A6964">
      <w:pPr>
        <w:pStyle w:val="T-Draft"/>
      </w:pPr>
      <w:r w:rsidRPr="00BC4264">
        <w:t>The point about the examples</w:t>
      </w:r>
      <w:r w:rsidR="00F163B8" w:rsidRPr="00BC4264">
        <w:t xml:space="preserve"> we have given</w:t>
      </w:r>
      <w:r w:rsidR="00B95F02" w:rsidRPr="00BC4264">
        <w:t>, and the danger of labels,</w:t>
      </w:r>
      <w:r w:rsidRPr="00BC4264">
        <w:t xml:space="preserve"> is that not all </w:t>
      </w:r>
      <w:r w:rsidR="00497C16" w:rsidRPr="00BC4264">
        <w:t xml:space="preserve">couriers and </w:t>
      </w:r>
      <w:r w:rsidRPr="00BC4264">
        <w:t xml:space="preserve">storekeepers </w:t>
      </w:r>
      <w:r w:rsidR="0006397C" w:rsidRPr="00BC4264">
        <w:t>may be</w:t>
      </w:r>
      <w:r w:rsidRPr="00BC4264">
        <w:t xml:space="preserve"> as culpable as each other, even though they </w:t>
      </w:r>
      <w:r w:rsidR="0006397C" w:rsidRPr="00BC4264">
        <w:t>are</w:t>
      </w:r>
      <w:r w:rsidRPr="00BC4264">
        <w:t xml:space="preserve"> trafficking in the same quantity of dangerous drugs.</w:t>
      </w:r>
      <w:r w:rsidR="00B95F02" w:rsidRPr="00BC4264">
        <w:t xml:space="preserve">  Thus put, there is, w</w:t>
      </w:r>
      <w:r w:rsidR="00780936" w:rsidRPr="00BC4264">
        <w:t>e think</w:t>
      </w:r>
      <w:r w:rsidR="00B95F02" w:rsidRPr="00BC4264">
        <w:t>, a problem with the judgment of Stuart</w:t>
      </w:r>
      <w:r w:rsidR="006B05FF" w:rsidRPr="00BC4264">
        <w:noBreakHyphen/>
      </w:r>
      <w:r w:rsidR="00B95F02" w:rsidRPr="00BC4264">
        <w:t xml:space="preserve">Moore </w:t>
      </w:r>
      <w:r w:rsidR="006B05FF" w:rsidRPr="00BC4264">
        <w:rPr>
          <w:b/>
        </w:rPr>
        <w:t>‍</w:t>
      </w:r>
      <w:r w:rsidR="00B95F02" w:rsidRPr="00BC4264">
        <w:t xml:space="preserve">ACJHC in </w:t>
      </w:r>
      <w:r w:rsidR="00B95F02" w:rsidRPr="00BC4264">
        <w:rPr>
          <w:i/>
        </w:rPr>
        <w:t>Manalo</w:t>
      </w:r>
      <w:r w:rsidR="0006397C" w:rsidRPr="00BC4264">
        <w:t>, which we feel we must address</w:t>
      </w:r>
      <w:r w:rsidR="00B95F02" w:rsidRPr="00BC4264">
        <w:t>.</w:t>
      </w:r>
      <w:r w:rsidR="0006397C" w:rsidRPr="00BC4264">
        <w:t xml:space="preserve">  In that case, Keith JA, sitting as a Single Judge</w:t>
      </w:r>
      <w:r w:rsidR="000A7DF1" w:rsidRPr="00BC4264">
        <w:t xml:space="preserve"> of the Court of Appeal</w:t>
      </w:r>
      <w:r w:rsidR="0006397C" w:rsidRPr="00BC4264">
        <w:t>, had granted leave to appeal against sentence because it appeared that the trial judge had decided on a starting point of 9 years’ imprisonment by a “mathematical and mechanical application of the tariff”</w:t>
      </w:r>
      <w:r w:rsidR="00D10BBC" w:rsidRPr="00BC4264">
        <w:t>,</w:t>
      </w:r>
      <w:r w:rsidR="0006397C" w:rsidRPr="00BC4264">
        <w:t xml:space="preserve"> </w:t>
      </w:r>
      <w:r w:rsidR="00D10BBC" w:rsidRPr="00BC4264">
        <w:t xml:space="preserve">in which he </w:t>
      </w:r>
      <w:r w:rsidR="00D10BBC" w:rsidRPr="00BC4264">
        <w:lastRenderedPageBreak/>
        <w:t>had taken into ac</w:t>
      </w:r>
      <w:r w:rsidR="0006397C" w:rsidRPr="00BC4264">
        <w:t xml:space="preserve">count only the amount of </w:t>
      </w:r>
      <w:r w:rsidR="00D10BBC" w:rsidRPr="00BC4264">
        <w:t>Ice</w:t>
      </w:r>
      <w:r w:rsidR="0006397C" w:rsidRPr="00BC4264">
        <w:t xml:space="preserve"> </w:t>
      </w:r>
      <w:r w:rsidR="00C1076E" w:rsidRPr="00BC4264">
        <w:t>concerned</w:t>
      </w:r>
      <w:r w:rsidR="0006397C" w:rsidRPr="00BC4264">
        <w:t xml:space="preserve"> and </w:t>
      </w:r>
      <w:r w:rsidR="00D10BBC" w:rsidRPr="00BC4264">
        <w:t xml:space="preserve">not </w:t>
      </w:r>
      <w:r w:rsidR="0006397C" w:rsidRPr="00BC4264">
        <w:t xml:space="preserve">the degree of </w:t>
      </w:r>
      <w:r w:rsidR="00C1076E" w:rsidRPr="00BC4264">
        <w:t>involvement in the</w:t>
      </w:r>
      <w:r w:rsidR="0006397C" w:rsidRPr="00BC4264">
        <w:t xml:space="preserve"> drugs trade</w:t>
      </w:r>
      <w:r w:rsidR="00C1076E" w:rsidRPr="00BC4264">
        <w:t xml:space="preserve"> of the appellant</w:t>
      </w:r>
      <w:r w:rsidR="0006397C" w:rsidRPr="00BC4264">
        <w:t xml:space="preserve">, whom </w:t>
      </w:r>
      <w:r w:rsidR="003E3F1B" w:rsidRPr="00BC4264">
        <w:t>Keith JA</w:t>
      </w:r>
      <w:r w:rsidR="0006397C" w:rsidRPr="00BC4264">
        <w:t xml:space="preserve"> described as “</w:t>
      </w:r>
      <w:r w:rsidR="0006397C" w:rsidRPr="00BC4264">
        <w:rPr>
          <w:i/>
        </w:rPr>
        <w:t>simply a courier</w:t>
      </w:r>
      <w:r w:rsidR="0006397C" w:rsidRPr="00BC4264">
        <w:t xml:space="preserve"> taking Ice from one point of the chain of distribution to another”</w:t>
      </w:r>
      <w:r w:rsidR="0006397C" w:rsidRPr="00BC4264">
        <w:rPr>
          <w:rStyle w:val="FootnoteReference"/>
        </w:rPr>
        <w:footnoteReference w:id="63"/>
      </w:r>
      <w:r w:rsidR="00B85783" w:rsidRPr="00BC4264">
        <w:t xml:space="preserve"> </w:t>
      </w:r>
      <w:r w:rsidR="003E3F1B" w:rsidRPr="00BC4264">
        <w:t>(Original emphasis)</w:t>
      </w:r>
      <w:r w:rsidR="0006397C" w:rsidRPr="00BC4264">
        <w:t>.</w:t>
      </w:r>
    </w:p>
    <w:p w:rsidR="00E9670B" w:rsidRPr="00BC4264" w:rsidRDefault="00F13711" w:rsidP="00E9670B">
      <w:pPr>
        <w:pStyle w:val="T-Draft"/>
      </w:pPr>
      <w:r w:rsidRPr="00BC4264">
        <w:t xml:space="preserve">Stuart-Moore ACJHC took issue with this determination, “if </w:t>
      </w:r>
      <w:r w:rsidR="00C47194" w:rsidRPr="00BC4264">
        <w:rPr>
          <w:b/>
        </w:rPr>
        <w:t>‍</w:t>
      </w:r>
      <w:r w:rsidRPr="00BC4264">
        <w:t xml:space="preserve">what was being implied by Keith JA was the suggestion that a ‘simple </w:t>
      </w:r>
      <w:r w:rsidR="00C47194" w:rsidRPr="00BC4264">
        <w:rPr>
          <w:b/>
        </w:rPr>
        <w:t>‍</w:t>
      </w:r>
      <w:r w:rsidRPr="00BC4264">
        <w:t>courier’ is deserving of less than a tariff sentence under the guidelines”</w:t>
      </w:r>
      <w:r w:rsidRPr="00BC4264">
        <w:rPr>
          <w:rStyle w:val="FootnoteReference"/>
        </w:rPr>
        <w:footnoteReference w:id="64"/>
      </w:r>
      <w:r w:rsidRPr="00BC4264">
        <w:t xml:space="preserve">.  Holding that the Court in </w:t>
      </w:r>
      <w:r w:rsidRPr="00BC4264">
        <w:rPr>
          <w:i/>
        </w:rPr>
        <w:t>Lau Tak</w:t>
      </w:r>
      <w:r w:rsidR="00BA1114" w:rsidRPr="00BC4264">
        <w:rPr>
          <w:i/>
        </w:rPr>
        <w:t>-m</w:t>
      </w:r>
      <w:r w:rsidRPr="00BC4264">
        <w:rPr>
          <w:i/>
        </w:rPr>
        <w:t>ing</w:t>
      </w:r>
      <w:r w:rsidR="002009E5" w:rsidRPr="00BC4264">
        <w:rPr>
          <w:i/>
        </w:rPr>
        <w:t xml:space="preserve"> &amp; Anor</w:t>
      </w:r>
      <w:r w:rsidRPr="00BC4264">
        <w:t xml:space="preserve"> had no intention of treating couriers or storekeepers of heroin as if they were deserving of more lenient treatment than the guideline tariffs </w:t>
      </w:r>
      <w:r w:rsidR="00E9670B" w:rsidRPr="00BC4264">
        <w:t xml:space="preserve">generally suggest, he went on to make the statement </w:t>
      </w:r>
      <w:r w:rsidR="000A7DF1" w:rsidRPr="00BC4264">
        <w:t xml:space="preserve">to which we have earlier referred in para 21 </w:t>
      </w:r>
      <w:r w:rsidR="000A7DF1" w:rsidRPr="00BC4264">
        <w:rPr>
          <w:i/>
        </w:rPr>
        <w:t>supra</w:t>
      </w:r>
      <w:r w:rsidR="000A7DF1" w:rsidRPr="00BC4264">
        <w:t xml:space="preserve">.  </w:t>
      </w:r>
      <w:r w:rsidR="00753B8E" w:rsidRPr="00BC4264">
        <w:t xml:space="preserve">In effect, he deprecated the notion of the courts “being asked to consider the degree of culpability related to individual couriers and storekeepers”.  Had </w:t>
      </w:r>
      <w:r w:rsidR="000A7DF1" w:rsidRPr="00BC4264">
        <w:t>Stuart-Moore ACJHC</w:t>
      </w:r>
      <w:r w:rsidR="00A24E7D" w:rsidRPr="00BC4264">
        <w:t xml:space="preserve"> </w:t>
      </w:r>
      <w:r w:rsidR="00753B8E" w:rsidRPr="00BC4264">
        <w:t>confined himself to</w:t>
      </w:r>
      <w:r w:rsidR="00780936" w:rsidRPr="00BC4264">
        <w:t xml:space="preserve"> the point that the guidelines were intended for couriers and storekeepers</w:t>
      </w:r>
      <w:r w:rsidR="00753B8E" w:rsidRPr="00BC4264">
        <w:t>, we would not have disagreed</w:t>
      </w:r>
      <w:r w:rsidR="00780936" w:rsidRPr="00BC4264">
        <w:t xml:space="preserve">: however, he appears to have gone rather further and held that once </w:t>
      </w:r>
      <w:r w:rsidR="00AD607B" w:rsidRPr="00BC4264">
        <w:t xml:space="preserve">the label of ‘courier’ or ‘storekeeper’ can be applied to </w:t>
      </w:r>
      <w:r w:rsidR="00780936" w:rsidRPr="00BC4264">
        <w:t>a</w:t>
      </w:r>
      <w:r w:rsidR="000A7DF1" w:rsidRPr="00BC4264">
        <w:t xml:space="preserve"> defendant</w:t>
      </w:r>
      <w:r w:rsidR="00AD607B" w:rsidRPr="00BC4264">
        <w:t>, then</w:t>
      </w:r>
      <w:r w:rsidR="00750BD7" w:rsidRPr="00BC4264">
        <w:t xml:space="preserve"> his precise role in that regard is irrelevant and the courts </w:t>
      </w:r>
      <w:r w:rsidR="00863CD4" w:rsidRPr="00BC4264">
        <w:t>should</w:t>
      </w:r>
      <w:r w:rsidR="00750BD7" w:rsidRPr="00BC4264">
        <w:t xml:space="preserve"> avoid being drawn into making nice distinctions between different types of </w:t>
      </w:r>
      <w:r w:rsidR="00497C16" w:rsidRPr="00BC4264">
        <w:t xml:space="preserve">courier or </w:t>
      </w:r>
      <w:r w:rsidR="00750BD7" w:rsidRPr="00BC4264">
        <w:t>storekeeper.</w:t>
      </w:r>
    </w:p>
    <w:p w:rsidR="00750BD7" w:rsidRPr="00BC4264" w:rsidRDefault="00750BD7" w:rsidP="00E9670B">
      <w:pPr>
        <w:pStyle w:val="T-Draft"/>
      </w:pPr>
      <w:r w:rsidRPr="00BC4264">
        <w:t xml:space="preserve">With respect, we cannot accept this </w:t>
      </w:r>
      <w:r w:rsidR="00780936" w:rsidRPr="00BC4264">
        <w:t xml:space="preserve">latter </w:t>
      </w:r>
      <w:r w:rsidRPr="00BC4264">
        <w:t xml:space="preserve">proposition which, to our mind, runs counter to what the Court in </w:t>
      </w:r>
      <w:r w:rsidRPr="00BC4264">
        <w:rPr>
          <w:i/>
        </w:rPr>
        <w:t>Lau Tak</w:t>
      </w:r>
      <w:r w:rsidR="00BA1114" w:rsidRPr="00BC4264">
        <w:rPr>
          <w:i/>
        </w:rPr>
        <w:t>-m</w:t>
      </w:r>
      <w:r w:rsidRPr="00BC4264">
        <w:rPr>
          <w:i/>
        </w:rPr>
        <w:t>ing</w:t>
      </w:r>
      <w:r w:rsidR="002009E5" w:rsidRPr="00BC4264">
        <w:rPr>
          <w:i/>
        </w:rPr>
        <w:t xml:space="preserve"> &amp; Anor</w:t>
      </w:r>
      <w:r w:rsidRPr="00BC4264">
        <w:t xml:space="preserve"> </w:t>
      </w:r>
      <w:r w:rsidR="00475708" w:rsidRPr="00BC4264">
        <w:t xml:space="preserve">originally </w:t>
      </w:r>
      <w:r w:rsidRPr="00BC4264">
        <w:t>said about sentencing judges having regard to “the degree of involvement of the offender”</w:t>
      </w:r>
      <w:r w:rsidR="00871DE1" w:rsidRPr="00BC4264">
        <w:rPr>
          <w:rStyle w:val="FootnoteReference"/>
        </w:rPr>
        <w:footnoteReference w:id="65"/>
      </w:r>
      <w:r w:rsidRPr="00BC4264">
        <w:t xml:space="preserve">.  </w:t>
      </w:r>
      <w:r w:rsidR="00497C16" w:rsidRPr="00BC4264">
        <w:t>Moreover, i</w:t>
      </w:r>
      <w:r w:rsidR="00A24E7D" w:rsidRPr="00BC4264">
        <w:t xml:space="preserve">t is to be noted that </w:t>
      </w:r>
      <w:r w:rsidRPr="00BC4264">
        <w:t xml:space="preserve">the </w:t>
      </w:r>
      <w:r w:rsidRPr="00BC4264">
        <w:lastRenderedPageBreak/>
        <w:t>principal judgment of the Court</w:t>
      </w:r>
      <w:r w:rsidR="00982BF9" w:rsidRPr="00BC4264">
        <w:t xml:space="preserve"> in </w:t>
      </w:r>
      <w:r w:rsidR="00982BF9" w:rsidRPr="00BC4264">
        <w:rPr>
          <w:i/>
        </w:rPr>
        <w:t>Manalo</w:t>
      </w:r>
      <w:r w:rsidRPr="00BC4264">
        <w:t>, which was given by Leong JA</w:t>
      </w:r>
      <w:r w:rsidR="00A24E7D" w:rsidRPr="00BC4264">
        <w:t xml:space="preserve"> (as Leong CJHC </w:t>
      </w:r>
      <w:r w:rsidR="00780936" w:rsidRPr="00BC4264">
        <w:t xml:space="preserve">then </w:t>
      </w:r>
      <w:r w:rsidR="00A24E7D" w:rsidRPr="00BC4264">
        <w:t>was)</w:t>
      </w:r>
      <w:r w:rsidR="008C5AC9" w:rsidRPr="00BC4264">
        <w:t xml:space="preserve">, was </w:t>
      </w:r>
      <w:r w:rsidR="002009E5" w:rsidRPr="00BC4264">
        <w:t xml:space="preserve">in fact </w:t>
      </w:r>
      <w:r w:rsidR="008C5AC9" w:rsidRPr="00BC4264">
        <w:t xml:space="preserve">expressly endorsed by both </w:t>
      </w:r>
      <w:r w:rsidR="00C1076E" w:rsidRPr="00BC4264">
        <w:t>of the other two judges in the appeal, includ</w:t>
      </w:r>
      <w:r w:rsidR="00E36322" w:rsidRPr="00BC4264">
        <w:t>ing</w:t>
      </w:r>
      <w:r w:rsidR="00C1076E" w:rsidRPr="00BC4264">
        <w:t xml:space="preserve"> </w:t>
      </w:r>
      <w:r w:rsidR="008C5AC9" w:rsidRPr="00BC4264">
        <w:t>Stuart</w:t>
      </w:r>
      <w:r w:rsidR="00FE5890" w:rsidRPr="00BC4264">
        <w:noBreakHyphen/>
      </w:r>
      <w:r w:rsidR="008C5AC9" w:rsidRPr="00BC4264">
        <w:t>Moore ACJHC</w:t>
      </w:r>
      <w:r w:rsidR="00E36322" w:rsidRPr="00BC4264">
        <w:t xml:space="preserve"> himself</w:t>
      </w:r>
      <w:r w:rsidRPr="00BC4264">
        <w:t>.</w:t>
      </w:r>
      <w:r w:rsidR="002D21B4" w:rsidRPr="00BC4264">
        <w:t xml:space="preserve">  </w:t>
      </w:r>
      <w:r w:rsidR="00B73B38" w:rsidRPr="00BC4264">
        <w:t>Yet</w:t>
      </w:r>
      <w:r w:rsidR="002D21B4" w:rsidRPr="00BC4264">
        <w:t>, Leong JA had correctly stated</w:t>
      </w:r>
      <w:r w:rsidR="00B73B38" w:rsidRPr="00BC4264">
        <w:t xml:space="preserve"> the principle</w:t>
      </w:r>
      <w:r w:rsidR="002D21B4" w:rsidRPr="00BC4264">
        <w:t xml:space="preserve"> in his judgment, that “the role played by an offender is </w:t>
      </w:r>
      <w:r w:rsidR="002D21B4" w:rsidRPr="00BC4264">
        <w:rPr>
          <w:i/>
        </w:rPr>
        <w:t>always</w:t>
      </w:r>
      <w:r w:rsidR="002D21B4" w:rsidRPr="00BC4264">
        <w:t xml:space="preserve"> part of the circumstances for a sentencing judge to consider”</w:t>
      </w:r>
      <w:r w:rsidR="002D21B4" w:rsidRPr="00BC4264">
        <w:rPr>
          <w:rStyle w:val="FootnoteReference"/>
        </w:rPr>
        <w:footnoteReference w:id="66"/>
      </w:r>
      <w:r w:rsidR="005B3EC7" w:rsidRPr="00BC4264">
        <w:t>; however</w:t>
      </w:r>
      <w:r w:rsidR="002D21B4" w:rsidRPr="00BC4264">
        <w:t>, on the particular facts</w:t>
      </w:r>
      <w:r w:rsidR="005B3EC7" w:rsidRPr="00BC4264">
        <w:t xml:space="preserve"> of the case</w:t>
      </w:r>
      <w:r w:rsidR="002D21B4" w:rsidRPr="00BC4264">
        <w:t xml:space="preserve"> (from </w:t>
      </w:r>
      <w:r w:rsidR="009B14D2" w:rsidRPr="00BC4264">
        <w:rPr>
          <w:b/>
        </w:rPr>
        <w:t>‍</w:t>
      </w:r>
      <w:r w:rsidR="002D21B4" w:rsidRPr="00BC4264">
        <w:t xml:space="preserve">which our </w:t>
      </w:r>
      <w:r w:rsidR="00B73B38" w:rsidRPr="00BC4264">
        <w:t>third</w:t>
      </w:r>
      <w:r w:rsidR="002D21B4" w:rsidRPr="00BC4264">
        <w:t xml:space="preserve"> example above</w:t>
      </w:r>
      <w:r w:rsidR="00B12971" w:rsidRPr="00BC4264">
        <w:rPr>
          <w:rStyle w:val="FootnoteReference"/>
        </w:rPr>
        <w:footnoteReference w:id="67"/>
      </w:r>
      <w:r w:rsidR="002D21B4" w:rsidRPr="00BC4264">
        <w:t xml:space="preserve"> is </w:t>
      </w:r>
      <w:r w:rsidR="00780936" w:rsidRPr="00BC4264">
        <w:t>in fact derived</w:t>
      </w:r>
      <w:r w:rsidR="002D21B4" w:rsidRPr="00BC4264">
        <w:t xml:space="preserve">), </w:t>
      </w:r>
      <w:r w:rsidR="005B3EC7" w:rsidRPr="00BC4264">
        <w:t xml:space="preserve">he </w:t>
      </w:r>
      <w:r w:rsidR="002D21B4" w:rsidRPr="00BC4264">
        <w:t xml:space="preserve">went on to </w:t>
      </w:r>
      <w:r w:rsidR="00453A8C" w:rsidRPr="00BC4264">
        <w:t>find</w:t>
      </w:r>
      <w:r w:rsidR="002D21B4" w:rsidRPr="00BC4264">
        <w:t xml:space="preserve"> that the appellant was no mere courier but “his partner in the trade of trafficking in dangerous drugs”</w:t>
      </w:r>
      <w:r w:rsidR="002D21B4" w:rsidRPr="00BC4264">
        <w:rPr>
          <w:rStyle w:val="FootnoteReference"/>
        </w:rPr>
        <w:footnoteReference w:id="68"/>
      </w:r>
      <w:r w:rsidR="002D21B4" w:rsidRPr="00BC4264">
        <w:t>.</w:t>
      </w:r>
    </w:p>
    <w:p w:rsidR="001A3D8D" w:rsidRPr="00BC4264" w:rsidRDefault="002D21B4" w:rsidP="00E9670B">
      <w:pPr>
        <w:pStyle w:val="T-Draft"/>
      </w:pPr>
      <w:r w:rsidRPr="00BC4264">
        <w:t xml:space="preserve">In our </w:t>
      </w:r>
      <w:r w:rsidR="00A45DA8" w:rsidRPr="00BC4264">
        <w:t>view</w:t>
      </w:r>
      <w:r w:rsidRPr="00BC4264">
        <w:t xml:space="preserve">, the judgment of Stuart-Moore ACJHC in </w:t>
      </w:r>
      <w:r w:rsidRPr="00BC4264">
        <w:rPr>
          <w:i/>
        </w:rPr>
        <w:t>Manalo</w:t>
      </w:r>
      <w:r w:rsidRPr="00BC4264">
        <w:t xml:space="preserve"> </w:t>
      </w:r>
      <w:r w:rsidR="00B73B38" w:rsidRPr="00BC4264">
        <w:t>on this matter cannot be right and</w:t>
      </w:r>
      <w:r w:rsidR="001A3D8D" w:rsidRPr="00BC4264">
        <w:t xml:space="preserve">, quite apart from it being </w:t>
      </w:r>
      <w:r w:rsidR="001A3D8D" w:rsidRPr="00BC4264">
        <w:rPr>
          <w:i/>
        </w:rPr>
        <w:t>obiter</w:t>
      </w:r>
      <w:r w:rsidR="001A3D8D" w:rsidRPr="00BC4264">
        <w:t>, since the principal judgment of the Court was given by Leong JA</w:t>
      </w:r>
      <w:r w:rsidR="006B53C9" w:rsidRPr="00BC4264">
        <w:t>, with whom the other two judges agreed</w:t>
      </w:r>
      <w:r w:rsidR="001A3D8D" w:rsidRPr="00BC4264">
        <w:t>, it</w:t>
      </w:r>
      <w:r w:rsidR="00B73B38" w:rsidRPr="00BC4264">
        <w:t xml:space="preserve"> </w:t>
      </w:r>
      <w:r w:rsidRPr="00BC4264">
        <w:t>must now be considered</w:t>
      </w:r>
      <w:r w:rsidR="00C1076E" w:rsidRPr="00BC4264">
        <w:t xml:space="preserve"> to have been made</w:t>
      </w:r>
      <w:r w:rsidRPr="00BC4264">
        <w:t xml:space="preserve"> </w:t>
      </w:r>
      <w:r w:rsidRPr="00BC4264">
        <w:rPr>
          <w:i/>
        </w:rPr>
        <w:t>per incuriam</w:t>
      </w:r>
      <w:r w:rsidRPr="00BC4264">
        <w:t xml:space="preserve">.  </w:t>
      </w:r>
      <w:r w:rsidR="008A56DE" w:rsidRPr="00BC4264">
        <w:t>The Single Judge, at the leave application, had raised</w:t>
      </w:r>
      <w:r w:rsidRPr="00BC4264">
        <w:t xml:space="preserve"> a perfectly valid point</w:t>
      </w:r>
      <w:r w:rsidR="00A45DA8" w:rsidRPr="00BC4264">
        <w:t xml:space="preserve"> for consideration on appeal</w:t>
      </w:r>
      <w:r w:rsidRPr="00BC4264">
        <w:t xml:space="preserve">, </w:t>
      </w:r>
      <w:r w:rsidR="008A56DE" w:rsidRPr="00BC4264">
        <w:t>and</w:t>
      </w:r>
      <w:r w:rsidRPr="00BC4264">
        <w:t xml:space="preserve"> it was </w:t>
      </w:r>
      <w:r w:rsidR="00A45DA8" w:rsidRPr="00BC4264">
        <w:t>resolved</w:t>
      </w:r>
      <w:r w:rsidRPr="00BC4264">
        <w:t xml:space="preserve"> entirely properly </w:t>
      </w:r>
      <w:r w:rsidR="00453A8C" w:rsidRPr="00BC4264">
        <w:t xml:space="preserve">at the appeal </w:t>
      </w:r>
      <w:r w:rsidRPr="00BC4264">
        <w:t xml:space="preserve">in the judgment of Leong </w:t>
      </w:r>
      <w:r w:rsidR="00FF27ED" w:rsidRPr="00BC4264">
        <w:rPr>
          <w:b/>
        </w:rPr>
        <w:t>‍</w:t>
      </w:r>
      <w:r w:rsidRPr="00BC4264">
        <w:t xml:space="preserve">JA, which must now be </w:t>
      </w:r>
      <w:r w:rsidR="001A3D8D" w:rsidRPr="00BC4264">
        <w:t>regarded as</w:t>
      </w:r>
      <w:r w:rsidRPr="00BC4264">
        <w:t xml:space="preserve"> the judgment of the Court.</w:t>
      </w:r>
      <w:r w:rsidR="0029598E" w:rsidRPr="00BC4264">
        <w:t xml:space="preserve">  </w:t>
      </w:r>
    </w:p>
    <w:p w:rsidR="002D21B4" w:rsidRPr="00BC4264" w:rsidRDefault="00780936" w:rsidP="00E9670B">
      <w:pPr>
        <w:pStyle w:val="T-Draft"/>
      </w:pPr>
      <w:r w:rsidRPr="00BC4264">
        <w:t xml:space="preserve">Moreover, </w:t>
      </w:r>
      <w:r w:rsidR="0029598E" w:rsidRPr="00BC4264">
        <w:t xml:space="preserve">it seems to us that if the </w:t>
      </w:r>
      <w:r w:rsidR="00A24E7D" w:rsidRPr="00BC4264">
        <w:t xml:space="preserve">courts were “to </w:t>
      </w:r>
      <w:r w:rsidR="00FF27ED" w:rsidRPr="00BC4264">
        <w:rPr>
          <w:b/>
        </w:rPr>
        <w:t>‍</w:t>
      </w:r>
      <w:r w:rsidR="00A24E7D" w:rsidRPr="00BC4264">
        <w:t xml:space="preserve">avoid </w:t>
      </w:r>
      <w:r w:rsidR="006B05FF" w:rsidRPr="00BC4264">
        <w:rPr>
          <w:b/>
        </w:rPr>
        <w:t>‍</w:t>
      </w:r>
      <w:r w:rsidR="00A24E7D" w:rsidRPr="00BC4264">
        <w:t>distinctions” when sentencing</w:t>
      </w:r>
      <w:r w:rsidR="0029598E" w:rsidRPr="00BC4264">
        <w:t xml:space="preserve"> couriers and storekeepers</w:t>
      </w:r>
      <w:r w:rsidR="001A3D8D" w:rsidRPr="00BC4264">
        <w:t>, as Stuart</w:t>
      </w:r>
      <w:r w:rsidR="006B05FF" w:rsidRPr="00BC4264">
        <w:noBreakHyphen/>
      </w:r>
      <w:r w:rsidR="001A3D8D" w:rsidRPr="00BC4264">
        <w:t xml:space="preserve">Moore </w:t>
      </w:r>
      <w:r w:rsidR="006B05FF" w:rsidRPr="00BC4264">
        <w:rPr>
          <w:b/>
        </w:rPr>
        <w:t>‍</w:t>
      </w:r>
      <w:r w:rsidR="001A3D8D" w:rsidRPr="00BC4264">
        <w:t xml:space="preserve">ACJHC </w:t>
      </w:r>
      <w:r w:rsidR="006B53C9" w:rsidRPr="00BC4264">
        <w:t>advocated</w:t>
      </w:r>
      <w:r w:rsidR="001A3D8D" w:rsidRPr="00BC4264">
        <w:t>, then the guidelines would</w:t>
      </w:r>
      <w:r w:rsidR="00A24E7D" w:rsidRPr="00BC4264">
        <w:t>, indeed,</w:t>
      </w:r>
      <w:r w:rsidR="001A3D8D" w:rsidRPr="00BC4264">
        <w:t xml:space="preserve"> be</w:t>
      </w:r>
      <w:r w:rsidR="00A24E7D" w:rsidRPr="00BC4264">
        <w:t>come</w:t>
      </w:r>
      <w:r w:rsidR="001A3D8D" w:rsidRPr="00BC4264">
        <w:t xml:space="preserve"> discretionless exercises</w:t>
      </w:r>
      <w:r w:rsidR="00863CD4" w:rsidRPr="00BC4264">
        <w:t xml:space="preserve">, for the same arithmetical starting point would be applied to all couriers and storekeepers regardless of their individual </w:t>
      </w:r>
      <w:r w:rsidR="00E84381" w:rsidRPr="00BC4264">
        <w:t>role</w:t>
      </w:r>
      <w:r w:rsidR="003E3F1B" w:rsidRPr="00BC4264">
        <w:t>s</w:t>
      </w:r>
      <w:r w:rsidR="00E84381" w:rsidRPr="00BC4264">
        <w:t xml:space="preserve"> and </w:t>
      </w:r>
      <w:r w:rsidR="00863CD4" w:rsidRPr="00BC4264">
        <w:t>culpability</w:t>
      </w:r>
      <w:r w:rsidR="001A3D8D" w:rsidRPr="00BC4264">
        <w:t>.  For the reasons we have discussed</w:t>
      </w:r>
      <w:r w:rsidR="00A24E7D" w:rsidRPr="00BC4264">
        <w:t xml:space="preserve">, we cannot accept that this was ever the intention of the Court in </w:t>
      </w:r>
      <w:r w:rsidR="00A24E7D" w:rsidRPr="00BC4264">
        <w:rPr>
          <w:i/>
        </w:rPr>
        <w:t>Lau Tak</w:t>
      </w:r>
      <w:r w:rsidR="00BA1114" w:rsidRPr="00BC4264">
        <w:rPr>
          <w:i/>
        </w:rPr>
        <w:t>-m</w:t>
      </w:r>
      <w:r w:rsidR="00A24E7D" w:rsidRPr="00BC4264">
        <w:rPr>
          <w:i/>
        </w:rPr>
        <w:t>ing</w:t>
      </w:r>
      <w:r w:rsidR="002009E5" w:rsidRPr="00BC4264">
        <w:rPr>
          <w:i/>
        </w:rPr>
        <w:t xml:space="preserve"> </w:t>
      </w:r>
      <w:r w:rsidR="002009E5" w:rsidRPr="00BC4264">
        <w:rPr>
          <w:i/>
        </w:rPr>
        <w:lastRenderedPageBreak/>
        <w:t>&amp; Anor</w:t>
      </w:r>
      <w:r w:rsidR="006B53C9" w:rsidRPr="00BC4264">
        <w:t xml:space="preserve">, </w:t>
      </w:r>
      <w:r w:rsidR="00A24E7D" w:rsidRPr="00BC4264">
        <w:t>and it runs counter to countless expressions of judicial opinion since.</w:t>
      </w:r>
    </w:p>
    <w:p w:rsidR="009C0D4F" w:rsidRPr="00BC4264" w:rsidRDefault="006B53C9" w:rsidP="00E9670B">
      <w:pPr>
        <w:pStyle w:val="T-Draft"/>
      </w:pPr>
      <w:r w:rsidRPr="00BC4264">
        <w:t xml:space="preserve">There has been a considerable body of case-law generated on sentencing in dangerous drug cases in this jurisdiction </w:t>
      </w:r>
      <w:r w:rsidR="00F92041" w:rsidRPr="00BC4264">
        <w:t xml:space="preserve">over the past 30 </w:t>
      </w:r>
      <w:r w:rsidR="006B05FF" w:rsidRPr="00BC4264">
        <w:rPr>
          <w:b/>
        </w:rPr>
        <w:t>‍</w:t>
      </w:r>
      <w:r w:rsidR="00F92041" w:rsidRPr="00BC4264">
        <w:t xml:space="preserve">years since </w:t>
      </w:r>
      <w:r w:rsidR="00F92041" w:rsidRPr="00BC4264">
        <w:rPr>
          <w:i/>
        </w:rPr>
        <w:t>Lau Tak</w:t>
      </w:r>
      <w:r w:rsidR="00BA1114" w:rsidRPr="00BC4264">
        <w:rPr>
          <w:i/>
        </w:rPr>
        <w:t>-m</w:t>
      </w:r>
      <w:r w:rsidR="00F92041" w:rsidRPr="00BC4264">
        <w:rPr>
          <w:i/>
        </w:rPr>
        <w:t>ing</w:t>
      </w:r>
      <w:r w:rsidR="002009E5" w:rsidRPr="00BC4264">
        <w:rPr>
          <w:i/>
        </w:rPr>
        <w:t xml:space="preserve"> &amp; Anor</w:t>
      </w:r>
      <w:r w:rsidR="00F92041" w:rsidRPr="00BC4264">
        <w:t xml:space="preserve"> </w:t>
      </w:r>
      <w:r w:rsidR="00E74E80" w:rsidRPr="00BC4264">
        <w:t xml:space="preserve">was decided </w:t>
      </w:r>
      <w:r w:rsidRPr="00BC4264">
        <w:t xml:space="preserve">and, although most of it is consistent with the notion that a defendant’s role </w:t>
      </w:r>
      <w:r w:rsidRPr="00BC4264">
        <w:rPr>
          <w:i/>
        </w:rPr>
        <w:t>always</w:t>
      </w:r>
      <w:r w:rsidRPr="00BC4264">
        <w:t xml:space="preserve"> has a part to play in assessing the notional sentence after trial, there is a strain of </w:t>
      </w:r>
      <w:r w:rsidR="00497C16" w:rsidRPr="00BC4264">
        <w:t xml:space="preserve">more recent </w:t>
      </w:r>
      <w:r w:rsidRPr="00BC4264">
        <w:t xml:space="preserve">authority which has applied the judgment of Stuart-Moore ACJHC in </w:t>
      </w:r>
      <w:r w:rsidR="00F92041" w:rsidRPr="00BC4264">
        <w:rPr>
          <w:i/>
        </w:rPr>
        <w:t>Manalo</w:t>
      </w:r>
      <w:r w:rsidR="00F92041" w:rsidRPr="00BC4264">
        <w:t xml:space="preserve"> in </w:t>
      </w:r>
      <w:r w:rsidR="007747AC" w:rsidRPr="00BC4264">
        <w:t xml:space="preserve">strict and </w:t>
      </w:r>
      <w:r w:rsidR="00F92041" w:rsidRPr="00BC4264">
        <w:t>unyielding</w:t>
      </w:r>
      <w:r w:rsidRPr="00BC4264">
        <w:t xml:space="preserve"> terms</w:t>
      </w:r>
      <w:r w:rsidR="00F92041" w:rsidRPr="00BC4264">
        <w:t>, and which</w:t>
      </w:r>
      <w:r w:rsidRPr="00BC4264">
        <w:t xml:space="preserve"> is not consistent</w:t>
      </w:r>
      <w:r w:rsidR="00F92041" w:rsidRPr="00BC4264">
        <w:t xml:space="preserve"> with this approach</w:t>
      </w:r>
      <w:r w:rsidRPr="00BC4264">
        <w:t xml:space="preserve">.  </w:t>
      </w:r>
      <w:r w:rsidR="00F92041" w:rsidRPr="00BC4264">
        <w:t>It may be helpful</w:t>
      </w:r>
      <w:r w:rsidR="00F33697" w:rsidRPr="00BC4264">
        <w:t>, therefore,</w:t>
      </w:r>
      <w:r w:rsidR="00F92041" w:rsidRPr="00BC4264">
        <w:t xml:space="preserve"> if we remind judges of the approach to sentencing in cases of trafficking in dangerous drugs to which sentencing guidelines apply.</w:t>
      </w:r>
      <w:r w:rsidR="009C0D4F" w:rsidRPr="00BC4264">
        <w:t xml:space="preserve">  We stress </w:t>
      </w:r>
      <w:r w:rsidR="00F92041" w:rsidRPr="00BC4264">
        <w:t>we are concerned only with cases of trafficking in dangerous drugs to which sentencing guidelines apply</w:t>
      </w:r>
      <w:r w:rsidR="009C0D4F" w:rsidRPr="00BC4264">
        <w:t xml:space="preserve"> because </w:t>
      </w:r>
      <w:r w:rsidR="00F92041" w:rsidRPr="00BC4264">
        <w:t xml:space="preserve">other </w:t>
      </w:r>
      <w:r w:rsidR="009C0D4F" w:rsidRPr="00BC4264">
        <w:t xml:space="preserve">guidelines in </w:t>
      </w:r>
      <w:r w:rsidR="00F92041" w:rsidRPr="00BC4264">
        <w:t>respect of</w:t>
      </w:r>
      <w:r w:rsidR="009C0D4F" w:rsidRPr="00BC4264">
        <w:t xml:space="preserve"> other offences, such as rape</w:t>
      </w:r>
      <w:r w:rsidR="00D10BBC" w:rsidRPr="00BC4264">
        <w:t xml:space="preserve"> and</w:t>
      </w:r>
      <w:r w:rsidR="009C0D4F" w:rsidRPr="00BC4264">
        <w:t xml:space="preserve"> robbery, do not </w:t>
      </w:r>
      <w:r w:rsidR="00F92041" w:rsidRPr="00BC4264">
        <w:t xml:space="preserve">have a known but variable </w:t>
      </w:r>
      <w:r w:rsidR="0035203A" w:rsidRPr="00BC4264">
        <w:t xml:space="preserve">element, namely the quantity of </w:t>
      </w:r>
      <w:r w:rsidR="002009E5" w:rsidRPr="00BC4264">
        <w:t xml:space="preserve">a particular </w:t>
      </w:r>
      <w:r w:rsidR="0035203A" w:rsidRPr="00BC4264">
        <w:t>dangerous drug,</w:t>
      </w:r>
      <w:r w:rsidR="00F92041" w:rsidRPr="00BC4264">
        <w:t xml:space="preserve"> nor </w:t>
      </w:r>
      <w:r w:rsidR="00EC0CE0" w:rsidRPr="00BC4264">
        <w:t>are</w:t>
      </w:r>
      <w:r w:rsidR="009C0D4F" w:rsidRPr="00BC4264">
        <w:t xml:space="preserve"> the two distinct facets of sentencing</w:t>
      </w:r>
      <w:r w:rsidR="00EC0CE0" w:rsidRPr="00BC4264">
        <w:t>,</w:t>
      </w:r>
      <w:r w:rsidR="009C0D4F" w:rsidRPr="00BC4264">
        <w:t xml:space="preserve"> which we have earlier </w:t>
      </w:r>
      <w:r w:rsidR="00F92041" w:rsidRPr="00BC4264">
        <w:t>discussed</w:t>
      </w:r>
      <w:r w:rsidR="009E4745" w:rsidRPr="00BC4264">
        <w:rPr>
          <w:rStyle w:val="FootnoteReference"/>
        </w:rPr>
        <w:footnoteReference w:id="69"/>
      </w:r>
      <w:r w:rsidR="00EC0CE0" w:rsidRPr="00BC4264">
        <w:t>, as prominent</w:t>
      </w:r>
      <w:r w:rsidR="00F92041" w:rsidRPr="00BC4264">
        <w:t>.</w:t>
      </w:r>
    </w:p>
    <w:p w:rsidR="00AD607B" w:rsidRPr="00BC4264" w:rsidRDefault="003F2F35" w:rsidP="00AD607B">
      <w:pPr>
        <w:pStyle w:val="Heading3"/>
        <w:spacing w:before="360" w:line="240" w:lineRule="auto"/>
        <w:rPr>
          <w:i/>
          <w:sz w:val="28"/>
          <w:szCs w:val="28"/>
          <w:u w:val="none"/>
        </w:rPr>
      </w:pPr>
      <w:r w:rsidRPr="00BC4264">
        <w:rPr>
          <w:i/>
          <w:sz w:val="28"/>
          <w:szCs w:val="28"/>
          <w:u w:val="none"/>
        </w:rPr>
        <w:t>F</w:t>
      </w:r>
      <w:r w:rsidR="00DF207E" w:rsidRPr="00BC4264">
        <w:rPr>
          <w:i/>
          <w:sz w:val="28"/>
          <w:szCs w:val="28"/>
          <w:u w:val="none"/>
        </w:rPr>
        <w:t>.3.5</w:t>
      </w:r>
      <w:r w:rsidR="00A56451" w:rsidRPr="00BC4264">
        <w:rPr>
          <w:i/>
          <w:sz w:val="28"/>
          <w:szCs w:val="28"/>
          <w:u w:val="none"/>
        </w:rPr>
        <w:t>.</w:t>
      </w:r>
      <w:r w:rsidR="00DF207E" w:rsidRPr="00BC4264">
        <w:rPr>
          <w:i/>
          <w:sz w:val="28"/>
          <w:szCs w:val="28"/>
          <w:u w:val="none"/>
        </w:rPr>
        <w:t xml:space="preserve"> </w:t>
      </w:r>
      <w:r w:rsidR="00C67B46" w:rsidRPr="00BC4264">
        <w:rPr>
          <w:i/>
          <w:sz w:val="28"/>
          <w:szCs w:val="28"/>
          <w:u w:val="none"/>
        </w:rPr>
        <w:t xml:space="preserve"> </w:t>
      </w:r>
      <w:r w:rsidR="004F691B" w:rsidRPr="00BC4264">
        <w:rPr>
          <w:i/>
          <w:sz w:val="28"/>
          <w:szCs w:val="28"/>
          <w:u w:val="none"/>
        </w:rPr>
        <w:t>An</w:t>
      </w:r>
      <w:r w:rsidR="00C46B81" w:rsidRPr="00BC4264">
        <w:rPr>
          <w:i/>
          <w:sz w:val="28"/>
          <w:szCs w:val="28"/>
          <w:u w:val="none"/>
        </w:rPr>
        <w:t xml:space="preserve"> a</w:t>
      </w:r>
      <w:r w:rsidR="00DF207E" w:rsidRPr="00BC4264">
        <w:rPr>
          <w:i/>
          <w:sz w:val="28"/>
          <w:szCs w:val="28"/>
          <w:u w:val="none"/>
        </w:rPr>
        <w:t xml:space="preserve">ssessment of </w:t>
      </w:r>
      <w:r w:rsidR="00C76758" w:rsidRPr="00BC4264">
        <w:rPr>
          <w:i/>
          <w:sz w:val="28"/>
          <w:szCs w:val="28"/>
          <w:u w:val="none"/>
        </w:rPr>
        <w:t>the</w:t>
      </w:r>
      <w:r w:rsidR="00DF207E" w:rsidRPr="00BC4264">
        <w:rPr>
          <w:i/>
          <w:sz w:val="28"/>
          <w:szCs w:val="28"/>
          <w:u w:val="none"/>
        </w:rPr>
        <w:t xml:space="preserve"> </w:t>
      </w:r>
      <w:r w:rsidR="00595B7C" w:rsidRPr="00BC4264">
        <w:rPr>
          <w:i/>
          <w:sz w:val="28"/>
          <w:szCs w:val="28"/>
          <w:u w:val="none"/>
        </w:rPr>
        <w:t>gravity of the offence</w:t>
      </w:r>
    </w:p>
    <w:p w:rsidR="00AD607B" w:rsidRPr="00BC4264" w:rsidRDefault="00AD607B" w:rsidP="00AD607B">
      <w:pPr>
        <w:pStyle w:val="Heading4"/>
        <w:spacing w:before="360" w:line="360" w:lineRule="auto"/>
        <w:jc w:val="left"/>
        <w:rPr>
          <w:i/>
          <w:sz w:val="28"/>
          <w:szCs w:val="28"/>
        </w:rPr>
      </w:pPr>
      <w:r w:rsidRPr="00BC4264">
        <w:rPr>
          <w:i/>
          <w:sz w:val="28"/>
          <w:szCs w:val="28"/>
        </w:rPr>
        <w:t>F.3.5.1.</w:t>
      </w:r>
      <w:r w:rsidR="00E6625C" w:rsidRPr="00BC4264">
        <w:rPr>
          <w:i/>
          <w:sz w:val="28"/>
          <w:szCs w:val="28"/>
        </w:rPr>
        <w:t xml:space="preserve">  The relevant guideline</w:t>
      </w:r>
      <w:r w:rsidR="00595B7C" w:rsidRPr="00BC4264">
        <w:rPr>
          <w:i/>
          <w:sz w:val="28"/>
          <w:szCs w:val="28"/>
        </w:rPr>
        <w:t>s</w:t>
      </w:r>
    </w:p>
    <w:p w:rsidR="00AD607B" w:rsidRPr="00BC4264" w:rsidRDefault="003E3F1B" w:rsidP="007E4A6B">
      <w:pPr>
        <w:pStyle w:val="T-Draft"/>
        <w:rPr>
          <w:b/>
          <w:snapToGrid w:val="0"/>
        </w:rPr>
      </w:pPr>
      <w:r w:rsidRPr="00BC4264">
        <w:rPr>
          <w:snapToGrid w:val="0"/>
        </w:rPr>
        <w:t xml:space="preserve">When we </w:t>
      </w:r>
      <w:r w:rsidR="00E36322" w:rsidRPr="00BC4264">
        <w:rPr>
          <w:snapToGrid w:val="0"/>
        </w:rPr>
        <w:t xml:space="preserve">speak </w:t>
      </w:r>
      <w:r w:rsidRPr="00BC4264">
        <w:rPr>
          <w:snapToGrid w:val="0"/>
        </w:rPr>
        <w:t xml:space="preserve">of the gravity of the offence in </w:t>
      </w:r>
      <w:r w:rsidR="00E12826" w:rsidRPr="00BC4264">
        <w:rPr>
          <w:snapToGrid w:val="0"/>
        </w:rPr>
        <w:t>cases</w:t>
      </w:r>
      <w:r w:rsidRPr="00BC4264">
        <w:rPr>
          <w:snapToGrid w:val="0"/>
        </w:rPr>
        <w:t xml:space="preserve"> of trafficking in dangerous drugs, we are focussing on the harm caused or created by the offence, which is </w:t>
      </w:r>
      <w:r w:rsidR="00E36322" w:rsidRPr="00BC4264">
        <w:rPr>
          <w:snapToGrid w:val="0"/>
        </w:rPr>
        <w:t xml:space="preserve">principally </w:t>
      </w:r>
      <w:r w:rsidRPr="00BC4264">
        <w:rPr>
          <w:snapToGrid w:val="0"/>
        </w:rPr>
        <w:t>gauged by the type and quantity of the particular drug concerned.  Accordingly, t</w:t>
      </w:r>
      <w:r w:rsidR="00AD607B" w:rsidRPr="00BC4264">
        <w:rPr>
          <w:snapToGrid w:val="0"/>
        </w:rPr>
        <w:t xml:space="preserve">he first step </w:t>
      </w:r>
      <w:r w:rsidR="00E6625C" w:rsidRPr="00BC4264">
        <w:rPr>
          <w:snapToGrid w:val="0"/>
        </w:rPr>
        <w:t>when</w:t>
      </w:r>
      <w:r w:rsidR="00AD607B" w:rsidRPr="00BC4264">
        <w:rPr>
          <w:snapToGrid w:val="0"/>
        </w:rPr>
        <w:t xml:space="preserve"> approaching sentence</w:t>
      </w:r>
      <w:r w:rsidR="00510084" w:rsidRPr="00BC4264">
        <w:rPr>
          <w:snapToGrid w:val="0"/>
        </w:rPr>
        <w:t xml:space="preserve"> for an offence of trafficking in dangerous drugs</w:t>
      </w:r>
      <w:r w:rsidR="00AD607B" w:rsidRPr="00BC4264">
        <w:rPr>
          <w:snapToGrid w:val="0"/>
        </w:rPr>
        <w:t xml:space="preserve"> is</w:t>
      </w:r>
      <w:r w:rsidRPr="00BC4264">
        <w:rPr>
          <w:snapToGrid w:val="0"/>
        </w:rPr>
        <w:t xml:space="preserve"> </w:t>
      </w:r>
      <w:r w:rsidRPr="00BC4264">
        <w:rPr>
          <w:snapToGrid w:val="0"/>
        </w:rPr>
        <w:lastRenderedPageBreak/>
        <w:t>for the judge</w:t>
      </w:r>
      <w:r w:rsidR="00AD607B" w:rsidRPr="00BC4264">
        <w:rPr>
          <w:snapToGrid w:val="0"/>
        </w:rPr>
        <w:t xml:space="preserve"> to identify the relevant guideline </w:t>
      </w:r>
      <w:r w:rsidRPr="00BC4264">
        <w:rPr>
          <w:snapToGrid w:val="0"/>
        </w:rPr>
        <w:t xml:space="preserve">band (or bracket) </w:t>
      </w:r>
      <w:r w:rsidR="00AD607B" w:rsidRPr="00BC4264">
        <w:rPr>
          <w:snapToGrid w:val="0"/>
        </w:rPr>
        <w:t xml:space="preserve">applicable to the quantity </w:t>
      </w:r>
      <w:r w:rsidR="003E2522" w:rsidRPr="00BC4264">
        <w:rPr>
          <w:snapToGrid w:val="0"/>
        </w:rPr>
        <w:t xml:space="preserve">of drug </w:t>
      </w:r>
      <w:r w:rsidR="00AD607B" w:rsidRPr="00BC4264">
        <w:rPr>
          <w:snapToGrid w:val="0"/>
        </w:rPr>
        <w:t>concerned.  Thus</w:t>
      </w:r>
      <w:r w:rsidR="003E2522" w:rsidRPr="00BC4264">
        <w:rPr>
          <w:snapToGrid w:val="0"/>
        </w:rPr>
        <w:t>, for 48.3 grammes of heroin or cocaine narcotic</w:t>
      </w:r>
      <w:r w:rsidR="00207E78" w:rsidRPr="00BC4264">
        <w:rPr>
          <w:snapToGrid w:val="0"/>
        </w:rPr>
        <w:t xml:space="preserve"> (as in this case)</w:t>
      </w:r>
      <w:r w:rsidR="003E2522" w:rsidRPr="00BC4264">
        <w:rPr>
          <w:snapToGrid w:val="0"/>
        </w:rPr>
        <w:t xml:space="preserve">, the relevant guideline </w:t>
      </w:r>
      <w:r w:rsidRPr="00BC4264">
        <w:rPr>
          <w:snapToGrid w:val="0"/>
        </w:rPr>
        <w:t xml:space="preserve">band </w:t>
      </w:r>
      <w:r w:rsidR="003E2522" w:rsidRPr="00BC4264">
        <w:rPr>
          <w:snapToGrid w:val="0"/>
        </w:rPr>
        <w:t xml:space="preserve">under </w:t>
      </w:r>
      <w:r w:rsidR="003E2522" w:rsidRPr="00BC4264">
        <w:rPr>
          <w:i/>
          <w:snapToGrid w:val="0"/>
        </w:rPr>
        <w:t xml:space="preserve">Lau </w:t>
      </w:r>
      <w:r w:rsidR="003D3EE7" w:rsidRPr="003D3EE7">
        <w:rPr>
          <w:b/>
          <w:i/>
          <w:snapToGrid w:val="0"/>
        </w:rPr>
        <w:t>‍</w:t>
      </w:r>
      <w:r w:rsidR="003E2522" w:rsidRPr="00BC4264">
        <w:rPr>
          <w:i/>
          <w:snapToGrid w:val="0"/>
        </w:rPr>
        <w:t>Tak-ming &amp; Anor</w:t>
      </w:r>
      <w:r w:rsidR="003E2522" w:rsidRPr="00BC4264">
        <w:rPr>
          <w:snapToGrid w:val="0"/>
        </w:rPr>
        <w:t xml:space="preserve"> would be between 5 and 8 </w:t>
      </w:r>
      <w:r w:rsidR="007E4A6B" w:rsidRPr="00BC4264">
        <w:rPr>
          <w:b/>
          <w:snapToGrid w:val="0"/>
        </w:rPr>
        <w:t>‍</w:t>
      </w:r>
      <w:r w:rsidR="003E2522" w:rsidRPr="00BC4264">
        <w:rPr>
          <w:snapToGrid w:val="0"/>
        </w:rPr>
        <w:t xml:space="preserve">years’ imprisonment.  Had the </w:t>
      </w:r>
      <w:r w:rsidR="00E6625C" w:rsidRPr="00BC4264">
        <w:rPr>
          <w:snapToGrid w:val="0"/>
        </w:rPr>
        <w:t xml:space="preserve">same </w:t>
      </w:r>
      <w:r w:rsidR="003E2522" w:rsidRPr="00BC4264">
        <w:rPr>
          <w:snapToGrid w:val="0"/>
        </w:rPr>
        <w:t>quantity been methamphetamine hydrochloride</w:t>
      </w:r>
      <w:r w:rsidR="00E6625C" w:rsidRPr="00BC4264">
        <w:rPr>
          <w:snapToGrid w:val="0"/>
        </w:rPr>
        <w:t xml:space="preserve"> (commonly known as “Ice”)</w:t>
      </w:r>
      <w:r w:rsidR="003E2522" w:rsidRPr="00BC4264">
        <w:rPr>
          <w:snapToGrid w:val="0"/>
        </w:rPr>
        <w:t xml:space="preserve">, the relevant guideline </w:t>
      </w:r>
      <w:r w:rsidRPr="00BC4264">
        <w:rPr>
          <w:snapToGrid w:val="0"/>
        </w:rPr>
        <w:t xml:space="preserve">band </w:t>
      </w:r>
      <w:r w:rsidR="003E2522" w:rsidRPr="00BC4264">
        <w:rPr>
          <w:snapToGrid w:val="0"/>
        </w:rPr>
        <w:t xml:space="preserve">under </w:t>
      </w:r>
      <w:r w:rsidR="00E6625C" w:rsidRPr="00BC4264">
        <w:rPr>
          <w:i/>
          <w:snapToGrid w:val="0"/>
        </w:rPr>
        <w:t xml:space="preserve">HKSAR v Tam </w:t>
      </w:r>
      <w:r w:rsidR="003D3EE7" w:rsidRPr="003D3EE7">
        <w:rPr>
          <w:b/>
          <w:i/>
          <w:snapToGrid w:val="0"/>
        </w:rPr>
        <w:t>‍</w:t>
      </w:r>
      <w:r w:rsidR="00E6625C" w:rsidRPr="00BC4264">
        <w:rPr>
          <w:i/>
          <w:snapToGrid w:val="0"/>
        </w:rPr>
        <w:t xml:space="preserve">Yi </w:t>
      </w:r>
      <w:r w:rsidR="003D3EE7" w:rsidRPr="003D3EE7">
        <w:rPr>
          <w:b/>
          <w:i/>
          <w:snapToGrid w:val="0"/>
        </w:rPr>
        <w:t>‍</w:t>
      </w:r>
      <w:r w:rsidR="00E6625C" w:rsidRPr="00BC4264">
        <w:rPr>
          <w:i/>
          <w:snapToGrid w:val="0"/>
        </w:rPr>
        <w:t>Chun</w:t>
      </w:r>
      <w:r w:rsidR="00E6625C" w:rsidRPr="00BC4264">
        <w:rPr>
          <w:snapToGrid w:val="0"/>
          <w:vertAlign w:val="superscript"/>
        </w:rPr>
        <w:footnoteReference w:id="70"/>
      </w:r>
      <w:r w:rsidR="00E6625C" w:rsidRPr="00BC4264">
        <w:rPr>
          <w:snapToGrid w:val="0"/>
        </w:rPr>
        <w:t xml:space="preserve"> </w:t>
      </w:r>
      <w:r w:rsidR="003E2522" w:rsidRPr="00BC4264">
        <w:rPr>
          <w:snapToGrid w:val="0"/>
        </w:rPr>
        <w:t>would have been</w:t>
      </w:r>
      <w:r w:rsidR="00E6625C" w:rsidRPr="00BC4264">
        <w:rPr>
          <w:snapToGrid w:val="0"/>
        </w:rPr>
        <w:t xml:space="preserve"> between 7 and 11 years’ imprisonment.</w:t>
      </w:r>
      <w:r w:rsidR="003E2522" w:rsidRPr="00BC4264">
        <w:rPr>
          <w:snapToGrid w:val="0"/>
        </w:rPr>
        <w:t xml:space="preserve"> </w:t>
      </w:r>
      <w:r w:rsidR="00E6625C" w:rsidRPr="00BC4264">
        <w:rPr>
          <w:snapToGrid w:val="0"/>
        </w:rPr>
        <w:t xml:space="preserve"> </w:t>
      </w:r>
      <w:r w:rsidR="00207E78" w:rsidRPr="00BC4264">
        <w:rPr>
          <w:snapToGrid w:val="0"/>
        </w:rPr>
        <w:t>H</w:t>
      </w:r>
      <w:r w:rsidR="00E6625C" w:rsidRPr="00BC4264">
        <w:rPr>
          <w:snapToGrid w:val="0"/>
        </w:rPr>
        <w:t xml:space="preserve">ad the quantity been ketamine or ecstasy, the relevant guideline </w:t>
      </w:r>
      <w:r w:rsidRPr="00BC4264">
        <w:rPr>
          <w:snapToGrid w:val="0"/>
        </w:rPr>
        <w:t xml:space="preserve">band </w:t>
      </w:r>
      <w:r w:rsidR="00E6625C" w:rsidRPr="00BC4264">
        <w:rPr>
          <w:snapToGrid w:val="0"/>
        </w:rPr>
        <w:t xml:space="preserve">under </w:t>
      </w:r>
      <w:r w:rsidR="00E6625C" w:rsidRPr="00BC4264">
        <w:rPr>
          <w:i/>
          <w:snapToGrid w:val="0"/>
        </w:rPr>
        <w:t>Secretary for Justice v Hii Siew Cheng</w:t>
      </w:r>
      <w:r w:rsidR="00E6625C" w:rsidRPr="00BC4264">
        <w:rPr>
          <w:snapToGrid w:val="0"/>
          <w:vertAlign w:val="superscript"/>
        </w:rPr>
        <w:footnoteReference w:id="71"/>
      </w:r>
      <w:r w:rsidR="00E6625C" w:rsidRPr="00BC4264">
        <w:rPr>
          <w:snapToGrid w:val="0"/>
        </w:rPr>
        <w:t xml:space="preserve"> would have been between 4 and 6 years’ imprisonment.</w:t>
      </w:r>
    </w:p>
    <w:p w:rsidR="00E36322" w:rsidRPr="003D3EE7" w:rsidRDefault="00E36322" w:rsidP="003D3EE7">
      <w:pPr>
        <w:pStyle w:val="Heading3"/>
        <w:spacing w:before="360" w:line="240" w:lineRule="auto"/>
        <w:rPr>
          <w:i/>
          <w:sz w:val="28"/>
          <w:szCs w:val="28"/>
          <w:u w:val="none"/>
        </w:rPr>
      </w:pPr>
      <w:r w:rsidRPr="003D3EE7">
        <w:rPr>
          <w:i/>
          <w:sz w:val="28"/>
          <w:szCs w:val="28"/>
          <w:u w:val="none"/>
        </w:rPr>
        <w:t>F.3.6.  An assessment of role and culpability</w:t>
      </w:r>
    </w:p>
    <w:p w:rsidR="00E36322" w:rsidRPr="00BC4264" w:rsidRDefault="00E36322" w:rsidP="00E36322">
      <w:pPr>
        <w:pStyle w:val="T-Draft"/>
        <w:numPr>
          <w:ilvl w:val="0"/>
          <w:numId w:val="0"/>
        </w:numPr>
        <w:rPr>
          <w:b/>
          <w:snapToGrid w:val="0"/>
        </w:rPr>
      </w:pPr>
      <w:r w:rsidRPr="00BC4264">
        <w:rPr>
          <w:snapToGrid w:val="0"/>
        </w:rPr>
        <w:t>58.</w:t>
      </w:r>
      <w:r w:rsidR="003D3EE7">
        <w:rPr>
          <w:snapToGrid w:val="0"/>
        </w:rPr>
        <w:tab/>
      </w:r>
      <w:r w:rsidRPr="00BC4264">
        <w:rPr>
          <w:snapToGrid w:val="0"/>
        </w:rPr>
        <w:t>The next, or second, step in the process of determining the appropriate sentence in a case of trafficking in dangerous drugs is an assessment by the judge of the role and culpability of the defendant based upon the evidence before the court.  The authorities have identified the more common classifications of trafficker which come before the courts.</w:t>
      </w:r>
    </w:p>
    <w:p w:rsidR="006C700A" w:rsidRPr="00BC4264" w:rsidRDefault="003F2F35" w:rsidP="00AD607B">
      <w:pPr>
        <w:pStyle w:val="Heading4"/>
        <w:spacing w:before="360" w:line="360" w:lineRule="auto"/>
        <w:jc w:val="left"/>
        <w:rPr>
          <w:i/>
          <w:sz w:val="28"/>
          <w:szCs w:val="28"/>
        </w:rPr>
      </w:pPr>
      <w:r w:rsidRPr="00BC4264">
        <w:rPr>
          <w:i/>
          <w:sz w:val="28"/>
          <w:szCs w:val="28"/>
        </w:rPr>
        <w:t>F</w:t>
      </w:r>
      <w:r w:rsidR="006C700A" w:rsidRPr="00BC4264">
        <w:rPr>
          <w:i/>
          <w:sz w:val="28"/>
          <w:szCs w:val="28"/>
        </w:rPr>
        <w:t>.3.</w:t>
      </w:r>
      <w:r w:rsidR="00E36322" w:rsidRPr="00BC4264">
        <w:rPr>
          <w:i/>
          <w:sz w:val="28"/>
          <w:szCs w:val="28"/>
        </w:rPr>
        <w:t>6</w:t>
      </w:r>
      <w:r w:rsidR="006C700A" w:rsidRPr="00BC4264">
        <w:rPr>
          <w:i/>
          <w:sz w:val="28"/>
          <w:szCs w:val="28"/>
        </w:rPr>
        <w:t>.</w:t>
      </w:r>
      <w:r w:rsidR="00E36322" w:rsidRPr="00BC4264">
        <w:rPr>
          <w:i/>
          <w:sz w:val="28"/>
          <w:szCs w:val="28"/>
        </w:rPr>
        <w:t>1</w:t>
      </w:r>
      <w:r w:rsidR="00A56451" w:rsidRPr="00BC4264">
        <w:rPr>
          <w:i/>
          <w:sz w:val="28"/>
          <w:szCs w:val="28"/>
        </w:rPr>
        <w:t>.</w:t>
      </w:r>
      <w:r w:rsidR="006C700A" w:rsidRPr="00BC4264">
        <w:rPr>
          <w:i/>
          <w:sz w:val="28"/>
          <w:szCs w:val="28"/>
        </w:rPr>
        <w:t xml:space="preserve"> </w:t>
      </w:r>
      <w:r w:rsidR="00C67B46" w:rsidRPr="00BC4264">
        <w:rPr>
          <w:i/>
          <w:sz w:val="28"/>
          <w:szCs w:val="28"/>
        </w:rPr>
        <w:t xml:space="preserve"> </w:t>
      </w:r>
      <w:r w:rsidR="006C700A" w:rsidRPr="00BC4264">
        <w:rPr>
          <w:i/>
          <w:sz w:val="28"/>
          <w:szCs w:val="28"/>
        </w:rPr>
        <w:t>The courier or storekeeper</w:t>
      </w:r>
    </w:p>
    <w:p w:rsidR="00D948A0" w:rsidRPr="00BC4264" w:rsidRDefault="00D948A0" w:rsidP="001D6E20">
      <w:pPr>
        <w:pStyle w:val="T-Draft"/>
        <w:numPr>
          <w:ilvl w:val="0"/>
          <w:numId w:val="28"/>
        </w:numPr>
      </w:pPr>
      <w:r w:rsidRPr="00BC4264">
        <w:t xml:space="preserve">The guidelines </w:t>
      </w:r>
      <w:r w:rsidR="00595B7C" w:rsidRPr="00BC4264">
        <w:t xml:space="preserve">for </w:t>
      </w:r>
      <w:r w:rsidR="00EC64C6" w:rsidRPr="00BC4264">
        <w:t xml:space="preserve">trafficking in </w:t>
      </w:r>
      <w:r w:rsidR="00595B7C" w:rsidRPr="00BC4264">
        <w:t xml:space="preserve">dangerous drugs </w:t>
      </w:r>
      <w:r w:rsidRPr="00BC4264">
        <w:t xml:space="preserve">are </w:t>
      </w:r>
      <w:r w:rsidR="00EC64C6" w:rsidRPr="00BC4264">
        <w:t>based upon</w:t>
      </w:r>
      <w:r w:rsidR="005C49FD" w:rsidRPr="00BC4264">
        <w:t xml:space="preserve"> the</w:t>
      </w:r>
      <w:r w:rsidRPr="00BC4264">
        <w:rPr>
          <w:i/>
        </w:rPr>
        <w:t xml:space="preserve"> </w:t>
      </w:r>
      <w:r w:rsidRPr="00BC4264">
        <w:t>courier or storekeeper</w:t>
      </w:r>
      <w:r w:rsidR="008F4F47" w:rsidRPr="00BC4264">
        <w:rPr>
          <w:rStyle w:val="FootnoteReference"/>
        </w:rPr>
        <w:footnoteReference w:id="72"/>
      </w:r>
      <w:r w:rsidR="00F8070C" w:rsidRPr="00BC4264">
        <w:t>;</w:t>
      </w:r>
      <w:r w:rsidRPr="00BC4264">
        <w:t xml:space="preserve"> that is the person who is delivering</w:t>
      </w:r>
      <w:r w:rsidR="00786540" w:rsidRPr="00BC4264">
        <w:t>, distributing</w:t>
      </w:r>
      <w:r w:rsidR="005C49FD" w:rsidRPr="00BC4264">
        <w:t xml:space="preserve"> </w:t>
      </w:r>
      <w:r w:rsidR="002E0665" w:rsidRPr="00BC4264">
        <w:t xml:space="preserve">or conveying </w:t>
      </w:r>
      <w:r w:rsidRPr="00BC4264">
        <w:t xml:space="preserve">the drugs in question for a dealer; or storing the consignment of drugs on behalf of </w:t>
      </w:r>
      <w:r w:rsidR="00701839" w:rsidRPr="00BC4264">
        <w:t xml:space="preserve">himself or </w:t>
      </w:r>
      <w:r w:rsidR="00F33697" w:rsidRPr="00BC4264">
        <w:t>someone else</w:t>
      </w:r>
      <w:r w:rsidRPr="00BC4264">
        <w:t>.</w:t>
      </w:r>
      <w:r w:rsidR="00786540" w:rsidRPr="00BC4264">
        <w:t xml:space="preserve"> </w:t>
      </w:r>
      <w:r w:rsidR="005C49FD" w:rsidRPr="00BC4264">
        <w:t xml:space="preserve"> However, it is important that the term ‘courier’ </w:t>
      </w:r>
      <w:r w:rsidR="00350D4D" w:rsidRPr="00BC4264">
        <w:t>should not be</w:t>
      </w:r>
      <w:r w:rsidR="00EC64C6" w:rsidRPr="00BC4264">
        <w:t xml:space="preserve"> </w:t>
      </w:r>
      <w:r w:rsidR="005C49FD" w:rsidRPr="00BC4264">
        <w:t>stretched</w:t>
      </w:r>
      <w:r w:rsidR="00CF391A" w:rsidRPr="00BC4264">
        <w:t>,</w:t>
      </w:r>
      <w:r w:rsidR="00350D4D" w:rsidRPr="00BC4264">
        <w:t xml:space="preserve"> simply because it is recognised to be the lowest </w:t>
      </w:r>
      <w:r w:rsidR="00CF391A" w:rsidRPr="00BC4264">
        <w:t>rank</w:t>
      </w:r>
      <w:r w:rsidR="00350D4D" w:rsidRPr="00BC4264">
        <w:t xml:space="preserve"> in the </w:t>
      </w:r>
      <w:r w:rsidR="008F4F47" w:rsidRPr="00BC4264">
        <w:t xml:space="preserve">trafficking </w:t>
      </w:r>
      <w:r w:rsidR="00350D4D" w:rsidRPr="00BC4264">
        <w:t>hierarchy</w:t>
      </w:r>
      <w:r w:rsidR="004B1F99" w:rsidRPr="00BC4264">
        <w:t xml:space="preserve"> upon </w:t>
      </w:r>
      <w:r w:rsidR="004B1F99" w:rsidRPr="00BC4264">
        <w:lastRenderedPageBreak/>
        <w:t>which the guidelines are based</w:t>
      </w:r>
      <w:r w:rsidR="00350D4D" w:rsidRPr="00BC4264">
        <w:t xml:space="preserve">, </w:t>
      </w:r>
      <w:r w:rsidR="00CF391A" w:rsidRPr="00BC4264">
        <w:t>to embrace the defendant whose</w:t>
      </w:r>
      <w:r w:rsidR="005C49FD" w:rsidRPr="00BC4264">
        <w:t xml:space="preserve"> acti</w:t>
      </w:r>
      <w:r w:rsidR="008F4F47" w:rsidRPr="00BC4264">
        <w:t>ons do not</w:t>
      </w:r>
      <w:r w:rsidR="00A803F0" w:rsidRPr="00BC4264">
        <w:t xml:space="preserve"> come</w:t>
      </w:r>
      <w:r w:rsidR="00EC64C6" w:rsidRPr="00BC4264">
        <w:t xml:space="preserve"> within this term</w:t>
      </w:r>
      <w:r w:rsidR="00CF391A" w:rsidRPr="00BC4264">
        <w:t>,</w:t>
      </w:r>
      <w:r w:rsidR="00EC64C6" w:rsidRPr="00BC4264">
        <w:t xml:space="preserve"> in the sense </w:t>
      </w:r>
      <w:r w:rsidR="00A803F0" w:rsidRPr="00BC4264">
        <w:t xml:space="preserve">in which it is </w:t>
      </w:r>
      <w:r w:rsidR="008F4F47" w:rsidRPr="00BC4264">
        <w:t>meant</w:t>
      </w:r>
      <w:r w:rsidR="00EC64C6" w:rsidRPr="00BC4264">
        <w:t xml:space="preserve"> by the authorities.  In the recent case of </w:t>
      </w:r>
      <w:r w:rsidR="00EC64C6" w:rsidRPr="00BC4264">
        <w:rPr>
          <w:i/>
        </w:rPr>
        <w:t>HKSAR v SK Wasim</w:t>
      </w:r>
      <w:r w:rsidR="00EC64C6" w:rsidRPr="00BC4264">
        <w:rPr>
          <w:rStyle w:val="FootnoteReference"/>
        </w:rPr>
        <w:footnoteReference w:id="73"/>
      </w:r>
      <w:r w:rsidR="00EC64C6" w:rsidRPr="00BC4264">
        <w:t xml:space="preserve">, </w:t>
      </w:r>
      <w:r w:rsidR="008F4F47" w:rsidRPr="00BC4264">
        <w:t xml:space="preserve">for example, </w:t>
      </w:r>
      <w:r w:rsidR="00EC64C6" w:rsidRPr="00BC4264">
        <w:t xml:space="preserve">the appellant was </w:t>
      </w:r>
      <w:r w:rsidR="00A803F0" w:rsidRPr="00BC4264">
        <w:t xml:space="preserve">simply </w:t>
      </w:r>
      <w:r w:rsidR="00EC64C6" w:rsidRPr="00BC4264">
        <w:t xml:space="preserve">asked to move 15 cartons of cannabis resin from </w:t>
      </w:r>
      <w:r w:rsidR="00350D4D" w:rsidRPr="00BC4264">
        <w:t>the corridor into a unit</w:t>
      </w:r>
      <w:r w:rsidR="00EC64C6" w:rsidRPr="00BC4264">
        <w:t xml:space="preserve"> on the 7</w:t>
      </w:r>
      <w:r w:rsidR="00EC64C6" w:rsidRPr="00BC4264">
        <w:rPr>
          <w:vertAlign w:val="superscript"/>
        </w:rPr>
        <w:t>th</w:t>
      </w:r>
      <w:r w:rsidR="00EC64C6" w:rsidRPr="00BC4264">
        <w:t xml:space="preserve"> floor of Chun</w:t>
      </w:r>
      <w:r w:rsidR="00A8464E" w:rsidRPr="00BC4264">
        <w:t>gk</w:t>
      </w:r>
      <w:r w:rsidR="00EC64C6" w:rsidRPr="00BC4264">
        <w:t>ing Mansions</w:t>
      </w:r>
      <w:r w:rsidR="00350D4D" w:rsidRPr="00BC4264">
        <w:t>,</w:t>
      </w:r>
      <w:r w:rsidR="00EC64C6" w:rsidRPr="00BC4264">
        <w:t xml:space="preserve"> Tsim Sha Tsui for HK$200.</w:t>
      </w:r>
      <w:r w:rsidR="005C49FD" w:rsidRPr="00BC4264">
        <w:t xml:space="preserve"> </w:t>
      </w:r>
      <w:r w:rsidR="00EC64C6" w:rsidRPr="00BC4264">
        <w:t xml:space="preserve"> He was arrested after moving </w:t>
      </w:r>
      <w:r w:rsidR="00350D4D" w:rsidRPr="00BC4264">
        <w:t>5</w:t>
      </w:r>
      <w:r w:rsidR="00EC64C6" w:rsidRPr="00BC4264">
        <w:t xml:space="preserve"> </w:t>
      </w:r>
      <w:r w:rsidR="00350D4D" w:rsidRPr="00BC4264">
        <w:t>cartons</w:t>
      </w:r>
      <w:r w:rsidR="00EC64C6" w:rsidRPr="00BC4264">
        <w:t xml:space="preserve">.  </w:t>
      </w:r>
      <w:r w:rsidR="00A803F0" w:rsidRPr="00BC4264">
        <w:t xml:space="preserve">Although he knew he was moving </w:t>
      </w:r>
      <w:r w:rsidR="00350D4D" w:rsidRPr="00BC4264">
        <w:t>cartons</w:t>
      </w:r>
      <w:r w:rsidR="00A803F0" w:rsidRPr="00BC4264">
        <w:t xml:space="preserve"> of cannabis resin, h</w:t>
      </w:r>
      <w:r w:rsidR="00EC64C6" w:rsidRPr="00BC4264">
        <w:t>e was not</w:t>
      </w:r>
      <w:r w:rsidR="00A803F0" w:rsidRPr="00BC4264">
        <w:t>, in our judgment,</w:t>
      </w:r>
      <w:r w:rsidR="00EC64C6" w:rsidRPr="00BC4264">
        <w:t xml:space="preserve"> a ‘courier’ in the proper sense in which that term is intended in the authorities.</w:t>
      </w:r>
      <w:r w:rsidR="00786540" w:rsidRPr="00BC4264">
        <w:t xml:space="preserve"> </w:t>
      </w:r>
    </w:p>
    <w:p w:rsidR="00F33697" w:rsidRPr="00BC4264" w:rsidRDefault="00A803F0" w:rsidP="00E9670B">
      <w:pPr>
        <w:pStyle w:val="T-Draft"/>
      </w:pPr>
      <w:r w:rsidRPr="00BC4264">
        <w:t xml:space="preserve">Even where the term ‘courier’ would embrace a defendant’s </w:t>
      </w:r>
      <w:r w:rsidR="008F4F47" w:rsidRPr="00BC4264">
        <w:t>conduct</w:t>
      </w:r>
      <w:r w:rsidRPr="00BC4264">
        <w:t xml:space="preserve">, it </w:t>
      </w:r>
      <w:r w:rsidR="00F33697" w:rsidRPr="00BC4264">
        <w:t xml:space="preserve">is not without its difficulty </w:t>
      </w:r>
      <w:r w:rsidR="000B7A5A" w:rsidRPr="00BC4264">
        <w:t>of</w:t>
      </w:r>
      <w:r w:rsidR="00E057E6" w:rsidRPr="00BC4264">
        <w:t xml:space="preserve"> definition </w:t>
      </w:r>
      <w:r w:rsidR="00F33697" w:rsidRPr="00BC4264">
        <w:t>because</w:t>
      </w:r>
      <w:r w:rsidR="002009E5" w:rsidRPr="00BC4264">
        <w:t xml:space="preserve"> it can</w:t>
      </w:r>
      <w:r w:rsidR="00F8070C" w:rsidRPr="00BC4264">
        <w:t>not</w:t>
      </w:r>
      <w:r w:rsidR="002009E5" w:rsidRPr="00BC4264">
        <w:t xml:space="preserve"> often be said with certainty</w:t>
      </w:r>
      <w:r w:rsidR="00F33697" w:rsidRPr="00BC4264">
        <w:t xml:space="preserve"> why a person arrested in possession of </w:t>
      </w:r>
      <w:r w:rsidR="00EE7D89" w:rsidRPr="00BC4264">
        <w:t xml:space="preserve">a sizeable quantity of </w:t>
      </w:r>
      <w:r w:rsidR="00F33697" w:rsidRPr="00BC4264">
        <w:t>dangerous drugs has them in his possession.  It may be that he has just collected them</w:t>
      </w:r>
      <w:r w:rsidR="000B7A5A" w:rsidRPr="00BC4264">
        <w:t xml:space="preserve"> for some </w:t>
      </w:r>
      <w:r w:rsidR="00A71A7F" w:rsidRPr="00BC4264">
        <w:t xml:space="preserve">unexplained </w:t>
      </w:r>
      <w:r w:rsidR="000B7A5A" w:rsidRPr="00BC4264">
        <w:t>purpose</w:t>
      </w:r>
      <w:r w:rsidR="00E057E6" w:rsidRPr="00BC4264">
        <w:t xml:space="preserve">, or he is delivering them somewhere to someone, </w:t>
      </w:r>
      <w:r w:rsidR="000B7A5A" w:rsidRPr="00BC4264">
        <w:t>but it could also be that</w:t>
      </w:r>
      <w:r w:rsidR="00E057E6" w:rsidRPr="00BC4264">
        <w:t xml:space="preserve"> he is </w:t>
      </w:r>
      <w:r w:rsidR="000B7A5A" w:rsidRPr="00BC4264">
        <w:t xml:space="preserve">actually </w:t>
      </w:r>
      <w:r w:rsidR="00E057E6" w:rsidRPr="00BC4264">
        <w:t xml:space="preserve">dealing </w:t>
      </w:r>
      <w:r w:rsidR="00D97B13" w:rsidRPr="00BC4264">
        <w:t xml:space="preserve">in </w:t>
      </w:r>
      <w:r w:rsidR="00895A18" w:rsidRPr="00BC4264">
        <w:t xml:space="preserve">those </w:t>
      </w:r>
      <w:r w:rsidR="00D97B13" w:rsidRPr="00BC4264">
        <w:t xml:space="preserve">dangerous </w:t>
      </w:r>
      <w:r w:rsidR="00E057E6" w:rsidRPr="00BC4264">
        <w:t xml:space="preserve">drugs </w:t>
      </w:r>
      <w:r w:rsidR="007274E7" w:rsidRPr="00BC4264">
        <w:t xml:space="preserve">himself </w:t>
      </w:r>
      <w:r w:rsidR="00895A18" w:rsidRPr="00BC4264">
        <w:t>to others</w:t>
      </w:r>
      <w:r w:rsidR="00E057E6" w:rsidRPr="00BC4264">
        <w:t>.  Absent an admission</w:t>
      </w:r>
      <w:r w:rsidR="00347707" w:rsidRPr="00BC4264">
        <w:t>,</w:t>
      </w:r>
      <w:r w:rsidR="00E057E6" w:rsidRPr="00BC4264">
        <w:t xml:space="preserve"> or </w:t>
      </w:r>
      <w:r w:rsidR="000B7A5A" w:rsidRPr="00BC4264">
        <w:t xml:space="preserve">direct or </w:t>
      </w:r>
      <w:r w:rsidR="00E057E6" w:rsidRPr="00BC4264">
        <w:t>circumstantial evidence</w:t>
      </w:r>
      <w:r w:rsidR="00347707" w:rsidRPr="00BC4264">
        <w:t>,</w:t>
      </w:r>
      <w:r w:rsidR="00E057E6" w:rsidRPr="00BC4264">
        <w:t xml:space="preserve"> establishing </w:t>
      </w:r>
      <w:r w:rsidR="004D0BC3" w:rsidRPr="00BC4264">
        <w:t xml:space="preserve">that he is </w:t>
      </w:r>
      <w:r w:rsidR="000470EA" w:rsidRPr="00BC4264">
        <w:t xml:space="preserve">himself </w:t>
      </w:r>
      <w:r w:rsidR="004D0BC3" w:rsidRPr="00BC4264">
        <w:t xml:space="preserve">dealing with </w:t>
      </w:r>
      <w:r w:rsidR="000B7A5A" w:rsidRPr="00BC4264">
        <w:t>dangerous drugs</w:t>
      </w:r>
      <w:r w:rsidR="004D0BC3" w:rsidRPr="00BC4264">
        <w:t xml:space="preserve"> </w:t>
      </w:r>
      <w:r w:rsidR="00895A18" w:rsidRPr="00BC4264">
        <w:t>to others</w:t>
      </w:r>
      <w:r w:rsidR="00E057E6" w:rsidRPr="00BC4264">
        <w:t>, the courts have generally treated him as a courier</w:t>
      </w:r>
      <w:r w:rsidR="004F691B" w:rsidRPr="00BC4264">
        <w:t xml:space="preserve"> or storekeeper,</w:t>
      </w:r>
      <w:r w:rsidR="00E057E6" w:rsidRPr="00BC4264">
        <w:t xml:space="preserve"> to which the guidelines apply</w:t>
      </w:r>
      <w:r w:rsidR="00A01113" w:rsidRPr="00BC4264">
        <w:t xml:space="preserve"> </w:t>
      </w:r>
      <w:r w:rsidR="004F691B" w:rsidRPr="00BC4264">
        <w:t>arithmetically</w:t>
      </w:r>
      <w:r w:rsidR="00E057E6" w:rsidRPr="00BC4264">
        <w:t>.</w:t>
      </w:r>
      <w:r w:rsidR="00D10BBC" w:rsidRPr="00BC4264">
        <w:t xml:space="preserve">  </w:t>
      </w:r>
      <w:r w:rsidR="004F691B" w:rsidRPr="00BC4264">
        <w:t xml:space="preserve">Subject to our observation that the </w:t>
      </w:r>
      <w:r w:rsidR="00E84381" w:rsidRPr="00BC4264">
        <w:t xml:space="preserve">role and </w:t>
      </w:r>
      <w:r w:rsidR="004F691B" w:rsidRPr="00BC4264">
        <w:t xml:space="preserve">culpability of couriers and storekeepers may differ, </w:t>
      </w:r>
      <w:r w:rsidR="00350D4D" w:rsidRPr="00BC4264">
        <w:t xml:space="preserve">and that </w:t>
      </w:r>
      <w:r w:rsidR="00A8464E" w:rsidRPr="00BC4264">
        <w:t>occasionally</w:t>
      </w:r>
      <w:r w:rsidR="00350D4D" w:rsidRPr="00BC4264">
        <w:t xml:space="preserve"> a defendant’s</w:t>
      </w:r>
      <w:r w:rsidR="00354AB0" w:rsidRPr="00BC4264">
        <w:t xml:space="preserve"> actions</w:t>
      </w:r>
      <w:r w:rsidR="00350D4D" w:rsidRPr="00BC4264">
        <w:t xml:space="preserve"> may fall short of acting as </w:t>
      </w:r>
      <w:r w:rsidR="00354AB0" w:rsidRPr="00BC4264">
        <w:t>either</w:t>
      </w:r>
      <w:r w:rsidR="00A8464E" w:rsidRPr="00BC4264">
        <w:t xml:space="preserve"> in its intended sense</w:t>
      </w:r>
      <w:r w:rsidR="00350D4D" w:rsidRPr="00BC4264">
        <w:t xml:space="preserve">, </w:t>
      </w:r>
      <w:r w:rsidR="004F691B" w:rsidRPr="00BC4264">
        <w:t>w</w:t>
      </w:r>
      <w:r w:rsidR="00D10BBC" w:rsidRPr="00BC4264">
        <w:t xml:space="preserve">e </w:t>
      </w:r>
      <w:r w:rsidR="00A8464E" w:rsidRPr="00BC4264">
        <w:t xml:space="preserve">would </w:t>
      </w:r>
      <w:r w:rsidR="00D10BBC" w:rsidRPr="00BC4264">
        <w:t>not wish to disturb this approach.</w:t>
      </w:r>
    </w:p>
    <w:p w:rsidR="006C700A" w:rsidRPr="00BC4264" w:rsidRDefault="003F2F35" w:rsidP="005E6E12">
      <w:pPr>
        <w:pStyle w:val="Heading4"/>
        <w:spacing w:before="360" w:line="360" w:lineRule="auto"/>
        <w:jc w:val="left"/>
        <w:rPr>
          <w:i/>
          <w:sz w:val="28"/>
          <w:szCs w:val="28"/>
        </w:rPr>
      </w:pPr>
      <w:r w:rsidRPr="00BC4264">
        <w:rPr>
          <w:i/>
          <w:sz w:val="28"/>
          <w:szCs w:val="28"/>
        </w:rPr>
        <w:lastRenderedPageBreak/>
        <w:t>F</w:t>
      </w:r>
      <w:r w:rsidR="006C700A" w:rsidRPr="00BC4264">
        <w:rPr>
          <w:i/>
          <w:sz w:val="28"/>
          <w:szCs w:val="28"/>
        </w:rPr>
        <w:t>.3.</w:t>
      </w:r>
      <w:r w:rsidR="00CF391A" w:rsidRPr="00BC4264">
        <w:rPr>
          <w:i/>
          <w:sz w:val="28"/>
          <w:szCs w:val="28"/>
        </w:rPr>
        <w:t>6.2.</w:t>
      </w:r>
      <w:r w:rsidR="006C700A" w:rsidRPr="00BC4264">
        <w:rPr>
          <w:i/>
          <w:sz w:val="28"/>
          <w:szCs w:val="28"/>
        </w:rPr>
        <w:t xml:space="preserve"> </w:t>
      </w:r>
      <w:r w:rsidR="00C67B46" w:rsidRPr="00BC4264">
        <w:rPr>
          <w:i/>
          <w:sz w:val="28"/>
          <w:szCs w:val="28"/>
        </w:rPr>
        <w:t xml:space="preserve"> </w:t>
      </w:r>
      <w:r w:rsidR="006C700A" w:rsidRPr="00BC4264">
        <w:rPr>
          <w:i/>
          <w:sz w:val="28"/>
          <w:szCs w:val="28"/>
        </w:rPr>
        <w:t>The actual</w:t>
      </w:r>
      <w:r w:rsidR="00F95F11" w:rsidRPr="00BC4264">
        <w:rPr>
          <w:i/>
          <w:sz w:val="28"/>
          <w:szCs w:val="28"/>
        </w:rPr>
        <w:t xml:space="preserve"> (</w:t>
      </w:r>
      <w:r w:rsidR="006C700A" w:rsidRPr="00BC4264">
        <w:rPr>
          <w:i/>
          <w:sz w:val="28"/>
          <w:szCs w:val="28"/>
        </w:rPr>
        <w:t>or direct</w:t>
      </w:r>
      <w:r w:rsidR="00F95F11" w:rsidRPr="00BC4264">
        <w:rPr>
          <w:i/>
          <w:sz w:val="28"/>
          <w:szCs w:val="28"/>
        </w:rPr>
        <w:t>)</w:t>
      </w:r>
      <w:r w:rsidR="006C700A" w:rsidRPr="00BC4264">
        <w:rPr>
          <w:i/>
          <w:sz w:val="28"/>
          <w:szCs w:val="28"/>
        </w:rPr>
        <w:t xml:space="preserve"> trafficker</w:t>
      </w:r>
    </w:p>
    <w:p w:rsidR="00260A3B" w:rsidRPr="00BC4264" w:rsidRDefault="000B7A5A" w:rsidP="00260A3B">
      <w:pPr>
        <w:pStyle w:val="T-Draft"/>
      </w:pPr>
      <w:r w:rsidRPr="00BC4264">
        <w:t xml:space="preserve">However, the </w:t>
      </w:r>
      <w:r w:rsidR="00347707" w:rsidRPr="00BC4264">
        <w:t>defendant</w:t>
      </w:r>
      <w:r w:rsidRPr="00BC4264">
        <w:t xml:space="preserve"> who can be shown by admission</w:t>
      </w:r>
      <w:r w:rsidR="00095F63" w:rsidRPr="00BC4264">
        <w:t>,</w:t>
      </w:r>
      <w:r w:rsidRPr="00BC4264">
        <w:t xml:space="preserve"> or</w:t>
      </w:r>
      <w:r w:rsidR="00095F63" w:rsidRPr="00BC4264">
        <w:t xml:space="preserve"> by</w:t>
      </w:r>
      <w:r w:rsidRPr="00BC4264">
        <w:t xml:space="preserve"> direct or circumstantial evidence</w:t>
      </w:r>
      <w:r w:rsidR="00095F63" w:rsidRPr="00BC4264">
        <w:t>,</w:t>
      </w:r>
      <w:r w:rsidRPr="00BC4264">
        <w:t xml:space="preserve"> to be dealing in dangerous drugs </w:t>
      </w:r>
      <w:r w:rsidR="00895A18" w:rsidRPr="00BC4264">
        <w:t>to others</w:t>
      </w:r>
      <w:r w:rsidR="00260A3B" w:rsidRPr="00BC4264">
        <w:t xml:space="preserve">, sometimes referred to as </w:t>
      </w:r>
      <w:r w:rsidR="00260A3B" w:rsidRPr="00BC4264">
        <w:rPr>
          <w:i/>
        </w:rPr>
        <w:t>actual</w:t>
      </w:r>
      <w:r w:rsidR="00260A3B" w:rsidRPr="00BC4264">
        <w:t xml:space="preserve"> </w:t>
      </w:r>
      <w:r w:rsidR="00F95F11" w:rsidRPr="00BC4264">
        <w:t>(</w:t>
      </w:r>
      <w:r w:rsidR="00260A3B" w:rsidRPr="00BC4264">
        <w:t xml:space="preserve">or </w:t>
      </w:r>
      <w:r w:rsidR="00260A3B" w:rsidRPr="00BC4264">
        <w:rPr>
          <w:i/>
        </w:rPr>
        <w:t>direct</w:t>
      </w:r>
      <w:r w:rsidR="00F95F11" w:rsidRPr="00BC4264">
        <w:t>)</w:t>
      </w:r>
      <w:r w:rsidR="00260A3B" w:rsidRPr="00BC4264">
        <w:t xml:space="preserve"> trafficking,</w:t>
      </w:r>
      <w:r w:rsidRPr="00BC4264">
        <w:t xml:space="preserve"> is not a</w:t>
      </w:r>
      <w:r w:rsidR="00354AB0" w:rsidRPr="00BC4264">
        <w:t xml:space="preserve"> </w:t>
      </w:r>
      <w:r w:rsidRPr="00BC4264">
        <w:t>courier or storekeeper</w:t>
      </w:r>
      <w:r w:rsidR="00D10BBC" w:rsidRPr="00BC4264">
        <w:t>,</w:t>
      </w:r>
      <w:r w:rsidRPr="00BC4264">
        <w:t xml:space="preserve"> and is in a more serious position. </w:t>
      </w:r>
      <w:r w:rsidR="00260A3B" w:rsidRPr="00BC4264">
        <w:t xml:space="preserve"> This </w:t>
      </w:r>
      <w:r w:rsidR="00895A18" w:rsidRPr="00BC4264">
        <w:t>point</w:t>
      </w:r>
      <w:r w:rsidR="00260A3B" w:rsidRPr="00BC4264">
        <w:t xml:space="preserve"> was made by this Court as long ago as 1984 in </w:t>
      </w:r>
      <w:r w:rsidR="00260A3B" w:rsidRPr="00BC4264">
        <w:rPr>
          <w:i/>
        </w:rPr>
        <w:t xml:space="preserve">R v Yeung Ying-kan </w:t>
      </w:r>
      <w:r w:rsidR="00EE766D" w:rsidRPr="00BC4264">
        <w:rPr>
          <w:i/>
        </w:rPr>
        <w:t>&amp; Anor</w:t>
      </w:r>
      <w:r w:rsidR="00751D3F" w:rsidRPr="00BC4264">
        <w:rPr>
          <w:rStyle w:val="FootnoteReference"/>
        </w:rPr>
        <w:footnoteReference w:id="74"/>
      </w:r>
      <w:r w:rsidR="00D97B13" w:rsidRPr="00BC4264">
        <w:t>, where Silke JA (</w:t>
      </w:r>
      <w:r w:rsidR="002E0665" w:rsidRPr="00BC4264">
        <w:t xml:space="preserve">who, as Silke VP, was later to give the judgment of the Court in </w:t>
      </w:r>
      <w:r w:rsidR="002E0665" w:rsidRPr="00BC4264">
        <w:rPr>
          <w:i/>
        </w:rPr>
        <w:t>Lau Tak-ming</w:t>
      </w:r>
      <w:r w:rsidR="00100761" w:rsidRPr="00BC4264">
        <w:rPr>
          <w:i/>
        </w:rPr>
        <w:t xml:space="preserve"> &amp; Anor</w:t>
      </w:r>
      <w:r w:rsidR="00D97B13" w:rsidRPr="00BC4264">
        <w:t xml:space="preserve">) </w:t>
      </w:r>
      <w:r w:rsidR="00895A18" w:rsidRPr="00BC4264">
        <w:t>illustrated the distinction</w:t>
      </w:r>
      <w:r w:rsidR="00D97B13" w:rsidRPr="00BC4264">
        <w:t>:</w:t>
      </w:r>
    </w:p>
    <w:p w:rsidR="00E057E6" w:rsidRPr="00BC4264" w:rsidRDefault="00260A3B" w:rsidP="00EC769A">
      <w:pPr>
        <w:pStyle w:val="j-quotation"/>
      </w:pPr>
      <w:r w:rsidRPr="00BC4264">
        <w:t xml:space="preserve">“Mr Nguyen had sought comfort from various expressions used in the judgment in </w:t>
      </w:r>
      <w:r w:rsidRPr="00BC4264">
        <w:rPr>
          <w:i/>
        </w:rPr>
        <w:t>Chan Chi-ming</w:t>
      </w:r>
      <w:r w:rsidR="00751D3F" w:rsidRPr="00BC4264">
        <w:rPr>
          <w:rStyle w:val="FootnoteReference"/>
        </w:rPr>
        <w:footnoteReference w:id="75"/>
      </w:r>
      <w:r w:rsidRPr="00BC4264">
        <w:t>.  There was reference to: “Trafficking in dangerous drugs, and possession for this purpose, are offen</w:t>
      </w:r>
      <w:r w:rsidR="00751D3F" w:rsidRPr="00BC4264">
        <w:t>c</w:t>
      </w:r>
      <w:r w:rsidRPr="00BC4264">
        <w:t>es of the upmost gravity”</w:t>
      </w:r>
      <w:r w:rsidR="00895A18" w:rsidRPr="00BC4264">
        <w:t xml:space="preserve"> </w:t>
      </w:r>
      <w:r w:rsidRPr="00BC4264">
        <w:t xml:space="preserve">and there was a further reference to the general level of sentences which should be imposed for the offence of “unlawful trafficking” in dangerous drugs. </w:t>
      </w:r>
      <w:r w:rsidR="00751D3F" w:rsidRPr="00BC4264">
        <w:t xml:space="preserve"> </w:t>
      </w:r>
      <w:r w:rsidRPr="00BC4264">
        <w:t xml:space="preserve">In the light of these references he seeks to persuade us that the tariffs in </w:t>
      </w:r>
      <w:r w:rsidRPr="00BC4264">
        <w:rPr>
          <w:i/>
        </w:rPr>
        <w:t>Chan Chi-ming</w:t>
      </w:r>
      <w:r w:rsidRPr="00BC4264">
        <w:t xml:space="preserve"> have application not only to the offence of possession of dangerous drugs for the purpose of unlawful trafficking but also to direct trafficking and, further, that we should here consider the quantity of drugs found as being the criterion upon which sentence should be based. </w:t>
      </w:r>
      <w:r w:rsidR="00751D3F" w:rsidRPr="00BC4264">
        <w:t xml:space="preserve"> </w:t>
      </w:r>
      <w:r w:rsidRPr="00BC4264">
        <w:t xml:space="preserve">This would be the “very small” category for which </w:t>
      </w:r>
      <w:r w:rsidRPr="00BC4264">
        <w:rPr>
          <w:i/>
        </w:rPr>
        <w:t>Chan Chi-ming</w:t>
      </w:r>
      <w:r w:rsidRPr="00BC4264">
        <w:t xml:space="preserve"> suggested a tariff of two to three years.</w:t>
      </w:r>
    </w:p>
    <w:p w:rsidR="00260A3B" w:rsidRPr="00BC4264" w:rsidRDefault="00260A3B" w:rsidP="0098038A">
      <w:pPr>
        <w:pStyle w:val="j-quotation"/>
      </w:pPr>
      <w:r w:rsidRPr="00BC4264">
        <w:t xml:space="preserve">We are not so persuaded. </w:t>
      </w:r>
      <w:r w:rsidR="00751D3F" w:rsidRPr="00BC4264">
        <w:t xml:space="preserve"> </w:t>
      </w:r>
      <w:r w:rsidRPr="00BC4264">
        <w:t xml:space="preserve">The charge of possession for the purpose of unlawful trafficking frequently arises where the quantity falls into that category which raises the presumption in the Dangerous Drugs Ordinance and covers the storekeeper, the courier and the conveyor of these substances. </w:t>
      </w:r>
      <w:r w:rsidR="00751D3F" w:rsidRPr="00BC4264">
        <w:t xml:space="preserve"> </w:t>
      </w:r>
      <w:r w:rsidRPr="00BC4264">
        <w:t xml:space="preserve">It is this offence alone with which </w:t>
      </w:r>
      <w:r w:rsidRPr="00BC4264">
        <w:rPr>
          <w:i/>
        </w:rPr>
        <w:t>Chan Chi-ming</w:t>
      </w:r>
      <w:r w:rsidRPr="00BC4264">
        <w:t xml:space="preserve"> was concerned. </w:t>
      </w:r>
      <w:r w:rsidR="00751D3F" w:rsidRPr="00BC4264">
        <w:t xml:space="preserve"> </w:t>
      </w:r>
      <w:r w:rsidRPr="00BC4264">
        <w:t>The passages prayed in aid by Mr Nguyen</w:t>
      </w:r>
      <w:r w:rsidR="00751D3F" w:rsidRPr="00BC4264">
        <w:t xml:space="preserve"> are simply shorthand references to that offence.</w:t>
      </w:r>
    </w:p>
    <w:p w:rsidR="00751D3F" w:rsidRPr="00BC4264" w:rsidRDefault="00751D3F" w:rsidP="0098038A">
      <w:pPr>
        <w:pStyle w:val="j-quotation"/>
      </w:pPr>
      <w:r w:rsidRPr="00BC4264">
        <w:t xml:space="preserve">Trafficking, on the other hand, is the end result of the activities of the storekeeper or courier and it is even more serious than possession for the purposes of unlawful trafficking.  It cannot be right, in our view, that the quantity found can be the only criterion upon which sentence is based even though the maximum sentence provided by the legislation is the same for each offence.  It is undoubtedly a relevant factor for the </w:t>
      </w:r>
      <w:r w:rsidRPr="00BC4264">
        <w:lastRenderedPageBreak/>
        <w:t xml:space="preserve">consideration of a sentencing judge but the overall consideration must be the actual selling of these drugs to the public.  The internal scale within the maximum permitted must be graduated to the nature of the offence charged.  We do not therefore think that the tariffs in </w:t>
      </w:r>
      <w:r w:rsidRPr="00BC4264">
        <w:rPr>
          <w:i/>
        </w:rPr>
        <w:t>Chan Chi-ming</w:t>
      </w:r>
      <w:r w:rsidRPr="00BC4264">
        <w:t xml:space="preserve"> are applicable whe</w:t>
      </w:r>
      <w:r w:rsidR="002E2735" w:rsidRPr="00BC4264">
        <w:t>re the</w:t>
      </w:r>
      <w:r w:rsidRPr="00BC4264">
        <w:t xml:space="preserve"> charge is that of direct trafficking.”</w:t>
      </w:r>
    </w:p>
    <w:p w:rsidR="00D64EE7" w:rsidRPr="00BC4264" w:rsidRDefault="00695D62" w:rsidP="00D64EE7">
      <w:pPr>
        <w:pStyle w:val="T-Draft"/>
      </w:pPr>
      <w:r w:rsidRPr="00BC4264">
        <w:t>More recently, i</w:t>
      </w:r>
      <w:r w:rsidR="00D64EE7" w:rsidRPr="00BC4264">
        <w:t xml:space="preserve">n </w:t>
      </w:r>
      <w:r w:rsidR="00D64EE7" w:rsidRPr="00BC4264">
        <w:rPr>
          <w:i/>
        </w:rPr>
        <w:t>HKSAR v Islam Azharul</w:t>
      </w:r>
      <w:r w:rsidR="00D64EE7" w:rsidRPr="00BC4264">
        <w:rPr>
          <w:rStyle w:val="FootnoteReference"/>
        </w:rPr>
        <w:footnoteReference w:id="76"/>
      </w:r>
      <w:r w:rsidR="00D64EE7" w:rsidRPr="00BC4264">
        <w:t>, Zervos JA said of an appellant</w:t>
      </w:r>
      <w:r w:rsidRPr="00BC4264">
        <w:t>, a Form 8 recognizance holder,</w:t>
      </w:r>
      <w:r w:rsidR="00D64EE7" w:rsidRPr="00BC4264">
        <w:t xml:space="preserve"> who was </w:t>
      </w:r>
      <w:r w:rsidRPr="00BC4264">
        <w:t xml:space="preserve">intercepted by the police when </w:t>
      </w:r>
      <w:r w:rsidR="00D64EE7" w:rsidRPr="00BC4264">
        <w:t>emerging from his room in a guesthouse</w:t>
      </w:r>
      <w:r w:rsidR="00AA0484" w:rsidRPr="00BC4264">
        <w:t xml:space="preserve"> for which he was paying $240 per day,</w:t>
      </w:r>
      <w:r w:rsidR="00D64EE7" w:rsidRPr="00BC4264">
        <w:t xml:space="preserve"> carrying </w:t>
      </w:r>
      <w:r w:rsidR="00AA0484" w:rsidRPr="00BC4264">
        <w:t>four kinds of dangerous drugs</w:t>
      </w:r>
      <w:r w:rsidR="00D64EE7" w:rsidRPr="00BC4264">
        <w:t xml:space="preserve"> </w:t>
      </w:r>
      <w:r w:rsidR="00AA0484" w:rsidRPr="00BC4264">
        <w:t xml:space="preserve">in over 90 </w:t>
      </w:r>
      <w:r w:rsidR="00C47194" w:rsidRPr="00BC4264">
        <w:rPr>
          <w:b/>
        </w:rPr>
        <w:t>‍</w:t>
      </w:r>
      <w:r w:rsidR="00AA0484" w:rsidRPr="00BC4264">
        <w:t>small packets worth more than $73,000, an electronic scale, a knife with traces of cocaine and Ecstasy and $1,800 in cash</w:t>
      </w:r>
      <w:r w:rsidR="00EE45FA" w:rsidRPr="00BC4264">
        <w:rPr>
          <w:rStyle w:val="FootnoteReference"/>
        </w:rPr>
        <w:footnoteReference w:id="77"/>
      </w:r>
      <w:r w:rsidR="00D64EE7" w:rsidRPr="00BC4264">
        <w:t>:</w:t>
      </w:r>
    </w:p>
    <w:p w:rsidR="00D64EE7" w:rsidRPr="00BC4264" w:rsidRDefault="00D64EE7" w:rsidP="00F23FAA">
      <w:pPr>
        <w:pStyle w:val="j-quotation"/>
      </w:pPr>
      <w:r w:rsidRPr="00BC4264">
        <w:t xml:space="preserve">“We observe, however, that the facts in this case reveal that </w:t>
      </w:r>
      <w:r w:rsidRPr="00BC4264">
        <w:rPr>
          <w:i/>
        </w:rPr>
        <w:t xml:space="preserve">the </w:t>
      </w:r>
      <w:r w:rsidR="00F23FAA" w:rsidRPr="00BC4264">
        <w:rPr>
          <w:b/>
          <w:i/>
        </w:rPr>
        <w:t>‍</w:t>
      </w:r>
      <w:r w:rsidRPr="00BC4264">
        <w:rPr>
          <w:i/>
        </w:rPr>
        <w:t>appellant was heavily involved in the packaging and dissemination of the dangerous drugs and as a consequence this heightened his culpability or aggravated his offending</w:t>
      </w:r>
      <w:r w:rsidRPr="00BC4264">
        <w:t xml:space="preserve">.  We consider that an enhancement of 6 months’ imprisonment would be appropriate for this factor, although we point out that </w:t>
      </w:r>
      <w:r w:rsidRPr="00BC4264">
        <w:rPr>
          <w:i/>
        </w:rPr>
        <w:t xml:space="preserve">this is a matter that could easily have been taken into account when determining the starting point that should be adopted.  As a matter of general principle, a starting point </w:t>
      </w:r>
      <w:r w:rsidR="007B5E35" w:rsidRPr="00BC4264">
        <w:rPr>
          <w:i/>
        </w:rPr>
        <w:t xml:space="preserve">is </w:t>
      </w:r>
      <w:r w:rsidRPr="00BC4264">
        <w:rPr>
          <w:i/>
        </w:rPr>
        <w:t>based on the gravity of the criminal conduct and the responsibility for it by the offender.</w:t>
      </w:r>
      <w:r w:rsidRPr="00BC4264">
        <w:t>” (Emphasis supplied)</w:t>
      </w:r>
    </w:p>
    <w:p w:rsidR="00252E80" w:rsidRPr="00BC4264" w:rsidRDefault="00354AB0" w:rsidP="00EF52B7">
      <w:pPr>
        <w:pStyle w:val="T-Draft"/>
      </w:pPr>
      <w:r w:rsidRPr="00BC4264">
        <w:t>And m</w:t>
      </w:r>
      <w:r w:rsidR="007274E7" w:rsidRPr="00BC4264">
        <w:t>ost recently</w:t>
      </w:r>
      <w:r w:rsidR="002E760B" w:rsidRPr="00BC4264">
        <w:t>, i</w:t>
      </w:r>
      <w:r w:rsidR="00252E80" w:rsidRPr="00BC4264">
        <w:t xml:space="preserve">n </w:t>
      </w:r>
      <w:r w:rsidR="00252E80" w:rsidRPr="00BC4264">
        <w:rPr>
          <w:i/>
        </w:rPr>
        <w:t>HKSAR v Islam Shafiqul</w:t>
      </w:r>
      <w:r w:rsidR="00252E80" w:rsidRPr="00BC4264">
        <w:rPr>
          <w:rStyle w:val="FootnoteReference"/>
        </w:rPr>
        <w:footnoteReference w:id="78"/>
      </w:r>
      <w:r w:rsidR="00252E80" w:rsidRPr="00BC4264">
        <w:t xml:space="preserve">, McWalters </w:t>
      </w:r>
      <w:r w:rsidR="00973F4D" w:rsidRPr="00973F4D">
        <w:rPr>
          <w:b/>
        </w:rPr>
        <w:t>‍</w:t>
      </w:r>
      <w:r w:rsidR="00252E80" w:rsidRPr="00BC4264">
        <w:t>JA held</w:t>
      </w:r>
      <w:r w:rsidR="00701839" w:rsidRPr="00BC4264">
        <w:rPr>
          <w:rStyle w:val="FootnoteReference"/>
        </w:rPr>
        <w:footnoteReference w:id="79"/>
      </w:r>
      <w:r w:rsidR="00252E80" w:rsidRPr="00BC4264">
        <w:t>:</w:t>
      </w:r>
    </w:p>
    <w:p w:rsidR="00252E80" w:rsidRPr="00BC4264" w:rsidRDefault="00252E80" w:rsidP="00C47194">
      <w:pPr>
        <w:pStyle w:val="j-quotation"/>
      </w:pPr>
      <w:r w:rsidRPr="00BC4264">
        <w:t>“</w:t>
      </w:r>
      <w:r w:rsidR="002E760B" w:rsidRPr="00BC4264">
        <w:t xml:space="preserve">(The respondent) asserted that the appellant’s role was more than that of a mere courier.  </w:t>
      </w:r>
      <w:r w:rsidRPr="00BC4264">
        <w:rPr>
          <w:i/>
        </w:rPr>
        <w:t>Determining whether the appellant had a more culpable role in the commission of this offence depends on what can be inferred from the Summary of Facts which he admitted and which was used for his sentencing</w:t>
      </w:r>
      <w:r w:rsidRPr="00BC4264">
        <w:t>.  This document reveals that the appellant had a key to premises in which dangerous drugs were being stored and in which there were an electronic scale and a large quantity of resealable plastic bags.  Furthermore, the appellant’s fingerprints were found on a notebook and on piece</w:t>
      </w:r>
      <w:r w:rsidR="00701839" w:rsidRPr="00BC4264">
        <w:t>s</w:t>
      </w:r>
      <w:r w:rsidRPr="00BC4264">
        <w:t xml:space="preserve"> of paper both of which were suspected </w:t>
      </w:r>
      <w:r w:rsidRPr="00BC4264">
        <w:lastRenderedPageBreak/>
        <w:t>of being used to record drug transactions.</w:t>
      </w:r>
      <w:r w:rsidR="00C47194" w:rsidRPr="00BC4264">
        <w:t xml:space="preserve"> </w:t>
      </w:r>
      <w:r w:rsidRPr="00BC4264">
        <w:t xml:space="preserve"> Finally, there was an amount of HK$36,170 in cash, which is a very large amount of money for an unemployed asylum seeker whose sole source of income should be a welfare payment.  </w:t>
      </w:r>
      <w:r w:rsidRPr="00BC4264">
        <w:rPr>
          <w:i/>
        </w:rPr>
        <w:t>The only reasonable inference is that, together with D</w:t>
      </w:r>
      <w:r w:rsidR="00701839" w:rsidRPr="00BC4264">
        <w:rPr>
          <w:i/>
        </w:rPr>
        <w:t>1</w:t>
      </w:r>
      <w:r w:rsidRPr="00BC4264">
        <w:rPr>
          <w:i/>
        </w:rPr>
        <w:t>, the appellant was operating a packaging and distribution centre for dangerous drugs</w:t>
      </w:r>
      <w:r w:rsidRPr="00BC4264">
        <w:t>.”</w:t>
      </w:r>
      <w:r w:rsidR="00A71A7F" w:rsidRPr="00BC4264">
        <w:t xml:space="preserve"> (Emphasis supplied)</w:t>
      </w:r>
    </w:p>
    <w:p w:rsidR="00EF52B7" w:rsidRPr="00BC4264" w:rsidRDefault="00A01113" w:rsidP="00EF52B7">
      <w:pPr>
        <w:pStyle w:val="T-Draft"/>
      </w:pPr>
      <w:r w:rsidRPr="00BC4264">
        <w:t>The principles which emerge from these and other authorities are, firstly, that</w:t>
      </w:r>
      <w:r w:rsidR="00D97B13" w:rsidRPr="00BC4264">
        <w:t xml:space="preserve"> the </w:t>
      </w:r>
      <w:r w:rsidR="00895A18" w:rsidRPr="00BC4264">
        <w:t xml:space="preserve">role </w:t>
      </w:r>
      <w:r w:rsidR="00EE7D89" w:rsidRPr="00BC4264">
        <w:t xml:space="preserve">and culpability </w:t>
      </w:r>
      <w:r w:rsidR="00895A18" w:rsidRPr="00BC4264">
        <w:t>of the trafficker is a</w:t>
      </w:r>
      <w:r w:rsidR="00B21D19" w:rsidRPr="00BC4264">
        <w:t>n important</w:t>
      </w:r>
      <w:r w:rsidR="00895A18" w:rsidRPr="00BC4264">
        <w:t xml:space="preserve"> consideration in </w:t>
      </w:r>
      <w:r w:rsidR="00695D62" w:rsidRPr="00BC4264">
        <w:t>identifying the starting point</w:t>
      </w:r>
      <w:r w:rsidR="00895A18" w:rsidRPr="00BC4264">
        <w:t xml:space="preserve"> for this offence.  Secondly, the </w:t>
      </w:r>
      <w:r w:rsidR="00D97B13" w:rsidRPr="00BC4264">
        <w:t>sentencing guidelines were intended for</w:t>
      </w:r>
      <w:r w:rsidR="00695D62" w:rsidRPr="00BC4264">
        <w:t xml:space="preserve"> </w:t>
      </w:r>
      <w:r w:rsidR="00D97B13" w:rsidRPr="00BC4264">
        <w:t>couriers</w:t>
      </w:r>
      <w:r w:rsidR="00447EF5" w:rsidRPr="00BC4264">
        <w:t xml:space="preserve"> and</w:t>
      </w:r>
      <w:r w:rsidR="00D97B13" w:rsidRPr="00BC4264">
        <w:t xml:space="preserve"> storekeepers of dangerous drugs, which includes those who are found </w:t>
      </w:r>
      <w:r w:rsidR="008F4F47" w:rsidRPr="00BC4264">
        <w:t>dealing with</w:t>
      </w:r>
      <w:r w:rsidR="00D97B13" w:rsidRPr="00BC4264">
        <w:t xml:space="preserve"> dangerous drugs in circumstances </w:t>
      </w:r>
      <w:r w:rsidR="007274E7" w:rsidRPr="00BC4264">
        <w:t>falling</w:t>
      </w:r>
      <w:r w:rsidR="00D97B13" w:rsidRPr="00BC4264">
        <w:t xml:space="preserve"> short of actual or direct trafficking</w:t>
      </w:r>
      <w:r w:rsidR="004B2672" w:rsidRPr="00BC4264">
        <w:t xml:space="preserve"> in the sense of dissemination on the streets</w:t>
      </w:r>
      <w:r w:rsidR="00D97B13" w:rsidRPr="00BC4264">
        <w:t xml:space="preserve">.  </w:t>
      </w:r>
      <w:r w:rsidR="00895A18" w:rsidRPr="00BC4264">
        <w:t>Thirdly</w:t>
      </w:r>
      <w:r w:rsidR="00D97B13" w:rsidRPr="00BC4264">
        <w:t xml:space="preserve">, actual or direct trafficking of dangerous drugs to others </w:t>
      </w:r>
      <w:r w:rsidR="004B2672" w:rsidRPr="00BC4264">
        <w:t xml:space="preserve">on the streets </w:t>
      </w:r>
      <w:r w:rsidR="00D97B13" w:rsidRPr="00BC4264">
        <w:t xml:space="preserve">is more serious than where </w:t>
      </w:r>
      <w:r w:rsidR="00701839" w:rsidRPr="00BC4264">
        <w:t>a defendant’s</w:t>
      </w:r>
      <w:r w:rsidR="00F0164B" w:rsidRPr="00BC4264">
        <w:t xml:space="preserve"> purpose cannot be proved or explained</w:t>
      </w:r>
      <w:r w:rsidR="00D97B13" w:rsidRPr="00BC4264">
        <w:t>.</w:t>
      </w:r>
    </w:p>
    <w:p w:rsidR="006C700A" w:rsidRPr="00BC4264" w:rsidRDefault="003F2F35" w:rsidP="005E6E12">
      <w:pPr>
        <w:pStyle w:val="Heading4"/>
        <w:spacing w:before="360" w:line="360" w:lineRule="auto"/>
        <w:jc w:val="left"/>
        <w:rPr>
          <w:i/>
          <w:sz w:val="28"/>
          <w:szCs w:val="28"/>
        </w:rPr>
      </w:pPr>
      <w:r w:rsidRPr="00BC4264">
        <w:rPr>
          <w:i/>
          <w:sz w:val="28"/>
          <w:szCs w:val="28"/>
        </w:rPr>
        <w:t>F</w:t>
      </w:r>
      <w:r w:rsidR="006C700A" w:rsidRPr="00BC4264">
        <w:rPr>
          <w:i/>
          <w:sz w:val="28"/>
          <w:szCs w:val="28"/>
        </w:rPr>
        <w:t>.3.</w:t>
      </w:r>
      <w:r w:rsidR="00CF391A" w:rsidRPr="00BC4264">
        <w:rPr>
          <w:i/>
          <w:sz w:val="28"/>
          <w:szCs w:val="28"/>
        </w:rPr>
        <w:t>6.3.</w:t>
      </w:r>
      <w:r w:rsidR="006C700A" w:rsidRPr="00BC4264">
        <w:rPr>
          <w:i/>
          <w:sz w:val="28"/>
          <w:szCs w:val="28"/>
        </w:rPr>
        <w:t xml:space="preserve"> </w:t>
      </w:r>
      <w:r w:rsidR="00C67B46" w:rsidRPr="00BC4264">
        <w:rPr>
          <w:i/>
          <w:sz w:val="28"/>
          <w:szCs w:val="28"/>
        </w:rPr>
        <w:t xml:space="preserve"> </w:t>
      </w:r>
      <w:r w:rsidR="006C700A" w:rsidRPr="00BC4264">
        <w:rPr>
          <w:i/>
          <w:sz w:val="28"/>
          <w:szCs w:val="28"/>
        </w:rPr>
        <w:t xml:space="preserve">The </w:t>
      </w:r>
      <w:r w:rsidR="008E7A6D" w:rsidRPr="00BC4264">
        <w:rPr>
          <w:i/>
          <w:sz w:val="28"/>
          <w:szCs w:val="28"/>
        </w:rPr>
        <w:t xml:space="preserve">manager or </w:t>
      </w:r>
      <w:r w:rsidR="006C700A" w:rsidRPr="00BC4264">
        <w:rPr>
          <w:i/>
          <w:sz w:val="28"/>
          <w:szCs w:val="28"/>
        </w:rPr>
        <w:t>organiser</w:t>
      </w:r>
    </w:p>
    <w:p w:rsidR="00A72AA4" w:rsidRPr="00BC4264" w:rsidRDefault="00695D62" w:rsidP="00E9670B">
      <w:pPr>
        <w:pStyle w:val="T-Draft"/>
      </w:pPr>
      <w:r w:rsidRPr="00BC4264">
        <w:t xml:space="preserve">Above the defendant who is actually trafficking or disseminating drugs on the streets is the </w:t>
      </w:r>
      <w:r w:rsidR="008E7A6D" w:rsidRPr="00BC4264">
        <w:t>manager or o</w:t>
      </w:r>
      <w:r w:rsidR="009A71B6" w:rsidRPr="00BC4264">
        <w:t>rganiser</w:t>
      </w:r>
      <w:r w:rsidR="00F04F63" w:rsidRPr="00BC4264">
        <w:t xml:space="preserve"> </w:t>
      </w:r>
      <w:r w:rsidR="009A71B6" w:rsidRPr="00BC4264">
        <w:t>of those who are dealing in</w:t>
      </w:r>
      <w:r w:rsidR="00CE265A" w:rsidRPr="00BC4264">
        <w:t>,</w:t>
      </w:r>
      <w:r w:rsidR="009A71B6" w:rsidRPr="00BC4264">
        <w:t xml:space="preserve"> or distributing</w:t>
      </w:r>
      <w:r w:rsidR="00CE265A" w:rsidRPr="00BC4264">
        <w:t>,</w:t>
      </w:r>
      <w:r w:rsidR="009A71B6" w:rsidRPr="00BC4264">
        <w:t xml:space="preserve"> drugs on his behalf.</w:t>
      </w:r>
      <w:r w:rsidR="000470EA" w:rsidRPr="00BC4264">
        <w:t xml:space="preserve">  </w:t>
      </w:r>
      <w:r w:rsidR="00A72AA4" w:rsidRPr="00BC4264">
        <w:t xml:space="preserve">In </w:t>
      </w:r>
      <w:r w:rsidR="00A72AA4" w:rsidRPr="00BC4264">
        <w:rPr>
          <w:i/>
        </w:rPr>
        <w:t xml:space="preserve">HKSAR v Chung </w:t>
      </w:r>
      <w:r w:rsidR="00267A4C" w:rsidRPr="00BC4264">
        <w:rPr>
          <w:b/>
          <w:i/>
        </w:rPr>
        <w:t>‍</w:t>
      </w:r>
      <w:r w:rsidR="00A72AA4" w:rsidRPr="00BC4264">
        <w:rPr>
          <w:i/>
        </w:rPr>
        <w:t xml:space="preserve">Ka </w:t>
      </w:r>
      <w:r w:rsidR="00267A4C" w:rsidRPr="00BC4264">
        <w:rPr>
          <w:b/>
          <w:i/>
        </w:rPr>
        <w:t>‍</w:t>
      </w:r>
      <w:r w:rsidR="00A72AA4" w:rsidRPr="00BC4264">
        <w:rPr>
          <w:i/>
        </w:rPr>
        <w:t>Lun</w:t>
      </w:r>
      <w:r w:rsidR="00A72AA4" w:rsidRPr="00BC4264">
        <w:rPr>
          <w:rStyle w:val="FootnoteReference"/>
        </w:rPr>
        <w:footnoteReference w:id="80"/>
      </w:r>
      <w:r w:rsidR="00A72AA4" w:rsidRPr="00BC4264">
        <w:t xml:space="preserve">, </w:t>
      </w:r>
      <w:r w:rsidR="00CE265A" w:rsidRPr="00BC4264">
        <w:t xml:space="preserve">where the co-accused </w:t>
      </w:r>
      <w:r w:rsidR="00F77955" w:rsidRPr="00BC4264">
        <w:t xml:space="preserve">had </w:t>
      </w:r>
      <w:r w:rsidR="00CE265A" w:rsidRPr="00BC4264">
        <w:t xml:space="preserve">testified for the prosecution that he would deliver dangerous drugs at the instruction of the applicant to various different customers, for which he would then be rewarded with money as well as drugs for his own consumption, </w:t>
      </w:r>
      <w:r w:rsidR="00A72AA4" w:rsidRPr="00BC4264">
        <w:t xml:space="preserve">the Court </w:t>
      </w:r>
      <w:r w:rsidR="00F77955" w:rsidRPr="00BC4264">
        <w:t>declared</w:t>
      </w:r>
      <w:r w:rsidR="00CE265A" w:rsidRPr="00BC4264">
        <w:rPr>
          <w:rStyle w:val="FootnoteReference"/>
        </w:rPr>
        <w:footnoteReference w:id="81"/>
      </w:r>
      <w:r w:rsidR="00A72AA4" w:rsidRPr="00BC4264">
        <w:t>:</w:t>
      </w:r>
    </w:p>
    <w:p w:rsidR="00A72AA4" w:rsidRPr="00BC4264" w:rsidRDefault="00A72AA4" w:rsidP="00993102">
      <w:pPr>
        <w:pStyle w:val="j-quotation"/>
      </w:pPr>
      <w:r w:rsidRPr="00BC4264">
        <w:t>“When it is clear that a defendant is more than a mere courier of dangerous drugs, as in this case the organiser of a conspiracy to supp</w:t>
      </w:r>
      <w:r w:rsidR="00CE265A" w:rsidRPr="00BC4264">
        <w:t>l</w:t>
      </w:r>
      <w:r w:rsidRPr="00BC4264">
        <w:t>y ‘Ice’ to drug addicts, it is right that the sentence should be enhanced to reflect this more culpable role.”</w:t>
      </w:r>
    </w:p>
    <w:p w:rsidR="006C700A" w:rsidRPr="00BC4264" w:rsidRDefault="003F2F35" w:rsidP="005E6E12">
      <w:pPr>
        <w:pStyle w:val="Heading4"/>
        <w:spacing w:before="360" w:line="360" w:lineRule="auto"/>
        <w:jc w:val="left"/>
        <w:rPr>
          <w:i/>
          <w:sz w:val="28"/>
          <w:szCs w:val="28"/>
        </w:rPr>
      </w:pPr>
      <w:r w:rsidRPr="00BC4264">
        <w:rPr>
          <w:i/>
          <w:sz w:val="28"/>
          <w:szCs w:val="28"/>
        </w:rPr>
        <w:lastRenderedPageBreak/>
        <w:t>F</w:t>
      </w:r>
      <w:r w:rsidR="006C700A" w:rsidRPr="00BC4264">
        <w:rPr>
          <w:i/>
          <w:sz w:val="28"/>
          <w:szCs w:val="28"/>
        </w:rPr>
        <w:t>.3.</w:t>
      </w:r>
      <w:r w:rsidR="00CF391A" w:rsidRPr="00BC4264">
        <w:rPr>
          <w:i/>
          <w:sz w:val="28"/>
          <w:szCs w:val="28"/>
        </w:rPr>
        <w:t>6.4</w:t>
      </w:r>
      <w:r w:rsidR="00A56451" w:rsidRPr="00BC4264">
        <w:rPr>
          <w:i/>
          <w:sz w:val="28"/>
          <w:szCs w:val="28"/>
        </w:rPr>
        <w:t>.</w:t>
      </w:r>
      <w:r w:rsidR="006C700A" w:rsidRPr="00BC4264">
        <w:rPr>
          <w:i/>
          <w:sz w:val="28"/>
          <w:szCs w:val="28"/>
        </w:rPr>
        <w:t xml:space="preserve"> </w:t>
      </w:r>
      <w:r w:rsidR="00C67B46" w:rsidRPr="00BC4264">
        <w:rPr>
          <w:i/>
          <w:sz w:val="28"/>
          <w:szCs w:val="28"/>
        </w:rPr>
        <w:t xml:space="preserve"> </w:t>
      </w:r>
      <w:r w:rsidR="006C700A" w:rsidRPr="00BC4264">
        <w:rPr>
          <w:i/>
          <w:sz w:val="28"/>
          <w:szCs w:val="28"/>
        </w:rPr>
        <w:t>The operator or financial controller</w:t>
      </w:r>
    </w:p>
    <w:p w:rsidR="00F95F11" w:rsidRPr="00BC4264" w:rsidRDefault="00F0164B" w:rsidP="00E9670B">
      <w:pPr>
        <w:pStyle w:val="T-Draft"/>
      </w:pPr>
      <w:r w:rsidRPr="00BC4264">
        <w:t>A</w:t>
      </w:r>
      <w:r w:rsidR="00695D62" w:rsidRPr="00BC4264">
        <w:t xml:space="preserve">bove the </w:t>
      </w:r>
      <w:r w:rsidR="008E7A6D" w:rsidRPr="00BC4264">
        <w:t xml:space="preserve">manager or </w:t>
      </w:r>
      <w:r w:rsidR="00695D62" w:rsidRPr="00BC4264">
        <w:t>organiser</w:t>
      </w:r>
      <w:r w:rsidR="00F04F63" w:rsidRPr="00BC4264">
        <w:t xml:space="preserve"> </w:t>
      </w:r>
      <w:r w:rsidR="00695D62" w:rsidRPr="00BC4264">
        <w:t>o</w:t>
      </w:r>
      <w:r w:rsidR="004B2672" w:rsidRPr="00BC4264">
        <w:t>f</w:t>
      </w:r>
      <w:r w:rsidR="00695D62" w:rsidRPr="00BC4264">
        <w:t xml:space="preserve"> the distribut</w:t>
      </w:r>
      <w:r w:rsidR="004B2672" w:rsidRPr="00BC4264">
        <w:t>ion</w:t>
      </w:r>
      <w:r w:rsidR="004F691B" w:rsidRPr="00BC4264">
        <w:t xml:space="preserve"> or trafficking</w:t>
      </w:r>
      <w:r w:rsidR="00695D62" w:rsidRPr="00BC4264">
        <w:t xml:space="preserve"> of dangerous drugs</w:t>
      </w:r>
      <w:r w:rsidR="009A71B6" w:rsidRPr="00BC4264">
        <w:t xml:space="preserve">, is the </w:t>
      </w:r>
      <w:r w:rsidR="007747AC" w:rsidRPr="00BC4264">
        <w:t xml:space="preserve">operator </w:t>
      </w:r>
      <w:r w:rsidR="00A72AA4" w:rsidRPr="00BC4264">
        <w:t>or</w:t>
      </w:r>
      <w:r w:rsidR="007747AC" w:rsidRPr="00BC4264">
        <w:t xml:space="preserve"> </w:t>
      </w:r>
      <w:r w:rsidR="009A71B6" w:rsidRPr="00BC4264">
        <w:t>financial controller of organised trafficking</w:t>
      </w:r>
      <w:r w:rsidR="00C76758" w:rsidRPr="00BC4264">
        <w:t>,</w:t>
      </w:r>
      <w:r w:rsidR="009A71B6" w:rsidRPr="00BC4264">
        <w:t xml:space="preserve"> who is making substantial gains</w:t>
      </w:r>
      <w:r w:rsidR="003D0C8C" w:rsidRPr="00BC4264">
        <w:t xml:space="preserve"> from the trade of trafficking in dangerous drugs</w:t>
      </w:r>
      <w:r w:rsidR="009A71B6" w:rsidRPr="00BC4264">
        <w:t>.</w:t>
      </w:r>
      <w:r w:rsidR="00AB34F8" w:rsidRPr="00BC4264">
        <w:t xml:space="preserve">  </w:t>
      </w:r>
      <w:r w:rsidR="005E7B33" w:rsidRPr="00BC4264">
        <w:t>T</w:t>
      </w:r>
      <w:r w:rsidR="00B82657" w:rsidRPr="00BC4264">
        <w:t xml:space="preserve">here is a </w:t>
      </w:r>
      <w:r w:rsidR="00873B67" w:rsidRPr="00BC4264">
        <w:t>useful</w:t>
      </w:r>
      <w:r w:rsidR="00B82657" w:rsidRPr="00BC4264">
        <w:t xml:space="preserve"> analysis of the roles of </w:t>
      </w:r>
      <w:r w:rsidR="00E84381" w:rsidRPr="00BC4264">
        <w:t xml:space="preserve">different </w:t>
      </w:r>
      <w:r w:rsidR="00B82657" w:rsidRPr="00BC4264">
        <w:t>defendants in trafficking cases in</w:t>
      </w:r>
      <w:r w:rsidR="00AB34F8" w:rsidRPr="00BC4264">
        <w:t xml:space="preserve"> </w:t>
      </w:r>
      <w:r w:rsidR="00AB34F8" w:rsidRPr="00BC4264">
        <w:rPr>
          <w:i/>
        </w:rPr>
        <w:t>R v Xiong Xu and Others</w:t>
      </w:r>
      <w:r w:rsidR="00AB34F8" w:rsidRPr="00BC4264">
        <w:rPr>
          <w:rStyle w:val="FootnoteReference"/>
        </w:rPr>
        <w:footnoteReference w:id="82"/>
      </w:r>
      <w:r w:rsidR="005E7B33" w:rsidRPr="00BC4264">
        <w:t>,</w:t>
      </w:r>
      <w:r w:rsidR="004F691B" w:rsidRPr="00BC4264">
        <w:t xml:space="preserve"> albeit </w:t>
      </w:r>
      <w:r w:rsidR="002C371A" w:rsidRPr="00BC4264">
        <w:t>in the context of the</w:t>
      </w:r>
      <w:r w:rsidR="004F691B" w:rsidRPr="00BC4264">
        <w:t xml:space="preserve"> cultivation of cannabis,</w:t>
      </w:r>
      <w:r w:rsidR="00B82657" w:rsidRPr="00BC4264">
        <w:t xml:space="preserve"> where </w:t>
      </w:r>
      <w:r w:rsidR="005E7B33" w:rsidRPr="00BC4264">
        <w:t xml:space="preserve">the functions of those involved </w:t>
      </w:r>
      <w:r w:rsidR="00C21930" w:rsidRPr="00BC4264">
        <w:t xml:space="preserve">in such an offence </w:t>
      </w:r>
      <w:r w:rsidR="005E7B33" w:rsidRPr="00BC4264">
        <w:t xml:space="preserve">are necessarily different.  Nevertheless, </w:t>
      </w:r>
      <w:r w:rsidR="00B82657" w:rsidRPr="00BC4264">
        <w:t xml:space="preserve">those who control </w:t>
      </w:r>
      <w:r w:rsidR="008E7A6D" w:rsidRPr="00BC4264">
        <w:t xml:space="preserve">and finance </w:t>
      </w:r>
      <w:r w:rsidR="00873B67" w:rsidRPr="00BC4264">
        <w:t xml:space="preserve">what are described as </w:t>
      </w:r>
      <w:r w:rsidR="00B82657" w:rsidRPr="00BC4264">
        <w:t xml:space="preserve">“extremely profitable” </w:t>
      </w:r>
      <w:r w:rsidR="00873B67" w:rsidRPr="00BC4264">
        <w:t xml:space="preserve">drugs operations </w:t>
      </w:r>
      <w:r w:rsidR="00B82657" w:rsidRPr="00BC4264">
        <w:t>are placed at the highe</w:t>
      </w:r>
      <w:r w:rsidR="005E7B33" w:rsidRPr="00BC4264">
        <w:t>st</w:t>
      </w:r>
      <w:r w:rsidR="00B82657" w:rsidRPr="00BC4264">
        <w:t xml:space="preserve"> end of the hierarchy above </w:t>
      </w:r>
      <w:r w:rsidR="005E7B33" w:rsidRPr="00BC4264">
        <w:t>th</w:t>
      </w:r>
      <w:r w:rsidR="00BA1114" w:rsidRPr="00BC4264">
        <w:t>os</w:t>
      </w:r>
      <w:r w:rsidR="005E7B33" w:rsidRPr="00BC4264">
        <w:t xml:space="preserve">e </w:t>
      </w:r>
      <w:r w:rsidR="00BA1114" w:rsidRPr="00BC4264">
        <w:t xml:space="preserve">who </w:t>
      </w:r>
      <w:r w:rsidR="00B82657" w:rsidRPr="00BC4264">
        <w:t>organise</w:t>
      </w:r>
      <w:r w:rsidR="00BA1114" w:rsidRPr="00BC4264">
        <w:t xml:space="preserve"> such</w:t>
      </w:r>
      <w:r w:rsidR="005E7B33" w:rsidRPr="00BC4264">
        <w:t xml:space="preserve"> operations</w:t>
      </w:r>
      <w:r w:rsidR="005E7B33" w:rsidRPr="00BC4264">
        <w:rPr>
          <w:rStyle w:val="FootnoteReference"/>
        </w:rPr>
        <w:footnoteReference w:id="83"/>
      </w:r>
      <w:r w:rsidR="00B82657" w:rsidRPr="00BC4264">
        <w:t>.</w:t>
      </w:r>
    </w:p>
    <w:p w:rsidR="00F95F11" w:rsidRPr="00BC4264" w:rsidRDefault="003F2F35" w:rsidP="005E6E12">
      <w:pPr>
        <w:pStyle w:val="Heading4"/>
        <w:spacing w:before="360" w:line="360" w:lineRule="auto"/>
        <w:jc w:val="left"/>
        <w:rPr>
          <w:i/>
          <w:sz w:val="28"/>
          <w:szCs w:val="28"/>
        </w:rPr>
      </w:pPr>
      <w:r w:rsidRPr="00BC4264">
        <w:rPr>
          <w:i/>
          <w:sz w:val="28"/>
          <w:szCs w:val="28"/>
        </w:rPr>
        <w:t>F</w:t>
      </w:r>
      <w:r w:rsidR="00F95F11" w:rsidRPr="00BC4264">
        <w:rPr>
          <w:i/>
          <w:sz w:val="28"/>
          <w:szCs w:val="28"/>
        </w:rPr>
        <w:t>.3.</w:t>
      </w:r>
      <w:r w:rsidR="00CF391A" w:rsidRPr="00BC4264">
        <w:rPr>
          <w:i/>
          <w:sz w:val="28"/>
          <w:szCs w:val="28"/>
        </w:rPr>
        <w:t>6.5</w:t>
      </w:r>
      <w:r w:rsidR="00A56451" w:rsidRPr="00BC4264">
        <w:rPr>
          <w:i/>
          <w:sz w:val="28"/>
          <w:szCs w:val="28"/>
        </w:rPr>
        <w:t xml:space="preserve">. </w:t>
      </w:r>
      <w:r w:rsidR="00F95F11" w:rsidRPr="00BC4264">
        <w:rPr>
          <w:i/>
          <w:sz w:val="28"/>
          <w:szCs w:val="28"/>
        </w:rPr>
        <w:t xml:space="preserve"> The international operator or financial controller</w:t>
      </w:r>
    </w:p>
    <w:p w:rsidR="00F0164B" w:rsidRPr="00BC4264" w:rsidRDefault="002E760B" w:rsidP="00E9670B">
      <w:pPr>
        <w:pStyle w:val="T-Draft"/>
      </w:pPr>
      <w:r w:rsidRPr="00BC4264">
        <w:t>Finally, w</w:t>
      </w:r>
      <w:r w:rsidR="00F0164B" w:rsidRPr="00BC4264">
        <w:t xml:space="preserve">here the defendant is the organiser or controller of a </w:t>
      </w:r>
      <w:r w:rsidR="00E84381" w:rsidRPr="00BC4264">
        <w:t xml:space="preserve">large and lucrative </w:t>
      </w:r>
      <w:r w:rsidR="00F0164B" w:rsidRPr="00BC4264">
        <w:t xml:space="preserve">commercial operation which transcends </w:t>
      </w:r>
      <w:r w:rsidR="00873B67" w:rsidRPr="00BC4264">
        <w:t>jurisdictional</w:t>
      </w:r>
      <w:r w:rsidR="00F0164B" w:rsidRPr="00BC4264">
        <w:t xml:space="preserve"> boundaries, </w:t>
      </w:r>
      <w:r w:rsidR="00873B67" w:rsidRPr="00BC4264">
        <w:t>including</w:t>
      </w:r>
      <w:r w:rsidR="00701839" w:rsidRPr="00BC4264">
        <w:t xml:space="preserve"> the border with the Mainland, </w:t>
      </w:r>
      <w:r w:rsidR="00F0164B" w:rsidRPr="00BC4264">
        <w:t>he will be in an even more serious position.</w:t>
      </w:r>
      <w:r w:rsidR="004B2672" w:rsidRPr="00BC4264">
        <w:t xml:space="preserve"> </w:t>
      </w:r>
    </w:p>
    <w:p w:rsidR="005202FC" w:rsidRPr="00BC4264" w:rsidRDefault="004B2672" w:rsidP="00E9670B">
      <w:pPr>
        <w:pStyle w:val="T-Draft"/>
      </w:pPr>
      <w:r w:rsidRPr="00BC4264">
        <w:t>We emphasise that these are the most common categories of trafficker likely to be encountered in practice</w:t>
      </w:r>
      <w:r w:rsidR="004F691B" w:rsidRPr="00BC4264">
        <w:t xml:space="preserve"> </w:t>
      </w:r>
      <w:r w:rsidR="00E84381" w:rsidRPr="00BC4264">
        <w:t xml:space="preserve">by the courts </w:t>
      </w:r>
      <w:r w:rsidR="004F691B" w:rsidRPr="00BC4264">
        <w:t>in Hong Kong</w:t>
      </w:r>
      <w:r w:rsidRPr="00BC4264">
        <w:t xml:space="preserve">.  It may be that there are </w:t>
      </w:r>
      <w:r w:rsidR="00336E0D" w:rsidRPr="00BC4264">
        <w:t>some forms of trafficking which do not fit</w:t>
      </w:r>
      <w:r w:rsidRPr="00BC4264">
        <w:t xml:space="preserve"> neatly </w:t>
      </w:r>
      <w:r w:rsidR="007274E7" w:rsidRPr="00BC4264">
        <w:t xml:space="preserve">or precisely </w:t>
      </w:r>
      <w:r w:rsidRPr="00BC4264">
        <w:t xml:space="preserve">into </w:t>
      </w:r>
      <w:r w:rsidR="00A01113" w:rsidRPr="00BC4264">
        <w:t>a</w:t>
      </w:r>
      <w:r w:rsidR="00336E0D" w:rsidRPr="00BC4264">
        <w:t xml:space="preserve"> particular category, or, indeed, others where the </w:t>
      </w:r>
      <w:r w:rsidR="00336E0D" w:rsidRPr="00BC4264">
        <w:lastRenderedPageBreak/>
        <w:t>functions overlap</w:t>
      </w:r>
      <w:r w:rsidR="008F4F47" w:rsidRPr="00BC4264">
        <w:t xml:space="preserve"> to </w:t>
      </w:r>
      <w:r w:rsidR="004B1F99" w:rsidRPr="00BC4264">
        <w:t xml:space="preserve">a greater or lesser </w:t>
      </w:r>
      <w:r w:rsidR="008F4F47" w:rsidRPr="00BC4264">
        <w:t>extent</w:t>
      </w:r>
      <w:r w:rsidRPr="00BC4264">
        <w:t xml:space="preserve">.  Where a defendant’s role and culpability fall in determining the starting point </w:t>
      </w:r>
      <w:r w:rsidR="00F0164B" w:rsidRPr="00BC4264">
        <w:t>must be</w:t>
      </w:r>
      <w:r w:rsidRPr="00BC4264">
        <w:t xml:space="preserve"> a matter for the </w:t>
      </w:r>
      <w:r w:rsidR="008E7A6D" w:rsidRPr="00BC4264">
        <w:t xml:space="preserve">sentencing </w:t>
      </w:r>
      <w:r w:rsidRPr="00BC4264">
        <w:t>judge based on the evidence before the court.</w:t>
      </w:r>
    </w:p>
    <w:p w:rsidR="006C700A" w:rsidRPr="00BC4264" w:rsidRDefault="003F2F35" w:rsidP="005E6E12">
      <w:pPr>
        <w:pStyle w:val="Heading3"/>
        <w:spacing w:before="360" w:line="360" w:lineRule="auto"/>
        <w:rPr>
          <w:i/>
          <w:sz w:val="28"/>
          <w:szCs w:val="28"/>
          <w:u w:val="none"/>
        </w:rPr>
      </w:pPr>
      <w:r w:rsidRPr="00BC4264">
        <w:rPr>
          <w:i/>
          <w:sz w:val="28"/>
          <w:szCs w:val="28"/>
          <w:u w:val="none"/>
        </w:rPr>
        <w:t>F</w:t>
      </w:r>
      <w:r w:rsidR="006C700A" w:rsidRPr="00BC4264">
        <w:rPr>
          <w:i/>
          <w:sz w:val="28"/>
          <w:szCs w:val="28"/>
          <w:u w:val="none"/>
        </w:rPr>
        <w:t>.3.</w:t>
      </w:r>
      <w:r w:rsidR="00CF391A" w:rsidRPr="00BC4264">
        <w:rPr>
          <w:i/>
          <w:sz w:val="28"/>
          <w:szCs w:val="28"/>
          <w:u w:val="none"/>
        </w:rPr>
        <w:t>7</w:t>
      </w:r>
      <w:r w:rsidR="00A56451" w:rsidRPr="00BC4264">
        <w:rPr>
          <w:i/>
          <w:sz w:val="28"/>
          <w:szCs w:val="28"/>
          <w:u w:val="none"/>
        </w:rPr>
        <w:t>.</w:t>
      </w:r>
      <w:r w:rsidR="006C700A" w:rsidRPr="00BC4264">
        <w:rPr>
          <w:i/>
          <w:sz w:val="28"/>
          <w:szCs w:val="28"/>
          <w:u w:val="none"/>
        </w:rPr>
        <w:t xml:space="preserve"> </w:t>
      </w:r>
      <w:r w:rsidR="00C67B46" w:rsidRPr="00BC4264">
        <w:rPr>
          <w:i/>
          <w:sz w:val="28"/>
          <w:szCs w:val="28"/>
          <w:u w:val="none"/>
        </w:rPr>
        <w:t xml:space="preserve"> </w:t>
      </w:r>
      <w:r w:rsidR="006C700A" w:rsidRPr="00BC4264">
        <w:rPr>
          <w:i/>
          <w:sz w:val="28"/>
          <w:szCs w:val="28"/>
          <w:u w:val="none"/>
        </w:rPr>
        <w:t>The relevant b</w:t>
      </w:r>
      <w:r w:rsidR="008A56DE" w:rsidRPr="00BC4264">
        <w:rPr>
          <w:i/>
          <w:sz w:val="28"/>
          <w:szCs w:val="28"/>
          <w:u w:val="none"/>
        </w:rPr>
        <w:t>and</w:t>
      </w:r>
      <w:r w:rsidR="006C700A" w:rsidRPr="00BC4264">
        <w:rPr>
          <w:i/>
          <w:sz w:val="28"/>
          <w:szCs w:val="28"/>
          <w:u w:val="none"/>
        </w:rPr>
        <w:t xml:space="preserve"> within the guidelines</w:t>
      </w:r>
    </w:p>
    <w:p w:rsidR="00F95F11" w:rsidRPr="00BC4264" w:rsidRDefault="005202FC" w:rsidP="00EE766D">
      <w:pPr>
        <w:pStyle w:val="T-Draft"/>
      </w:pPr>
      <w:r w:rsidRPr="00BC4264">
        <w:t xml:space="preserve">Having </w:t>
      </w:r>
      <w:r w:rsidR="00510084" w:rsidRPr="00BC4264">
        <w:t>assessed</w:t>
      </w:r>
      <w:r w:rsidRPr="00BC4264">
        <w:t xml:space="preserve"> the defendant’s role</w:t>
      </w:r>
      <w:r w:rsidR="004B2672" w:rsidRPr="00BC4264">
        <w:t xml:space="preserve"> and culpability</w:t>
      </w:r>
      <w:r w:rsidRPr="00BC4264">
        <w:t>, the sentenc</w:t>
      </w:r>
      <w:r w:rsidR="004F691B" w:rsidRPr="00BC4264">
        <w:t>ing judge</w:t>
      </w:r>
      <w:r w:rsidRPr="00BC4264">
        <w:t xml:space="preserve"> will then</w:t>
      </w:r>
      <w:r w:rsidR="00510084" w:rsidRPr="00BC4264">
        <w:t>, as a third step in the sentencing process,</w:t>
      </w:r>
      <w:r w:rsidRPr="00BC4264">
        <w:t xml:space="preserve"> identify</w:t>
      </w:r>
      <w:r w:rsidR="003E19C3" w:rsidRPr="00BC4264">
        <w:t xml:space="preserve"> </w:t>
      </w:r>
      <w:r w:rsidR="00F7213B" w:rsidRPr="00BC4264">
        <w:t xml:space="preserve">where in </w:t>
      </w:r>
      <w:r w:rsidR="003E19C3" w:rsidRPr="00BC4264">
        <w:t>the relevant b</w:t>
      </w:r>
      <w:r w:rsidR="008A56DE" w:rsidRPr="00BC4264">
        <w:t>and</w:t>
      </w:r>
      <w:r w:rsidR="003E19C3" w:rsidRPr="00BC4264">
        <w:t xml:space="preserve"> </w:t>
      </w:r>
      <w:r w:rsidR="00F7213B" w:rsidRPr="00BC4264">
        <w:t>of the guidelines the defendant comes</w:t>
      </w:r>
      <w:r w:rsidR="0010234A" w:rsidRPr="00BC4264">
        <w:t>;</w:t>
      </w:r>
      <w:r w:rsidR="003E19C3" w:rsidRPr="00BC4264">
        <w:t xml:space="preserve"> always bearing in mind that </w:t>
      </w:r>
      <w:r w:rsidR="007A3CB4" w:rsidRPr="00BC4264">
        <w:t>it</w:t>
      </w:r>
      <w:r w:rsidR="003E19C3" w:rsidRPr="00BC4264">
        <w:t xml:space="preserve"> may</w:t>
      </w:r>
      <w:r w:rsidR="00354AB0" w:rsidRPr="00BC4264">
        <w:t>,</w:t>
      </w:r>
      <w:r w:rsidR="003E19C3" w:rsidRPr="00BC4264">
        <w:t xml:space="preserve"> in appropriate circumstances</w:t>
      </w:r>
      <w:r w:rsidR="00354AB0" w:rsidRPr="00BC4264">
        <w:t>,</w:t>
      </w:r>
      <w:r w:rsidR="003E19C3" w:rsidRPr="00BC4264">
        <w:t xml:space="preserve"> </w:t>
      </w:r>
      <w:r w:rsidR="00ED3DAD" w:rsidRPr="00BC4264">
        <w:t xml:space="preserve">be necessary to </w:t>
      </w:r>
      <w:r w:rsidR="003E19C3" w:rsidRPr="00BC4264">
        <w:t>go outside that b</w:t>
      </w:r>
      <w:r w:rsidR="008A56DE" w:rsidRPr="00BC4264">
        <w:t>and</w:t>
      </w:r>
      <w:r w:rsidR="00EE7D89" w:rsidRPr="00BC4264">
        <w:t xml:space="preserve"> (whether above or below)</w:t>
      </w:r>
      <w:r w:rsidR="003E19C3" w:rsidRPr="00BC4264">
        <w:t xml:space="preserve">, given the </w:t>
      </w:r>
      <w:r w:rsidR="00100761" w:rsidRPr="00BC4264">
        <w:t>particular</w:t>
      </w:r>
      <w:r w:rsidR="003E19C3" w:rsidRPr="00BC4264">
        <w:t xml:space="preserve"> circumstances of the commission of the offence</w:t>
      </w:r>
      <w:r w:rsidR="00B52306" w:rsidRPr="00BC4264">
        <w:t xml:space="preserve"> and the role of the defendant</w:t>
      </w:r>
      <w:r w:rsidR="003E19C3" w:rsidRPr="00BC4264">
        <w:t xml:space="preserve">. </w:t>
      </w:r>
      <w:r w:rsidR="00F7213B" w:rsidRPr="00BC4264">
        <w:t xml:space="preserve"> </w:t>
      </w:r>
      <w:r w:rsidR="004F691B" w:rsidRPr="00BC4264">
        <w:t>The matter was succinctly put by</w:t>
      </w:r>
      <w:r w:rsidR="00F7213B" w:rsidRPr="00BC4264">
        <w:t xml:space="preserve"> Keith</w:t>
      </w:r>
      <w:r w:rsidR="004F691B" w:rsidRPr="00BC4264">
        <w:t xml:space="preserve"> JA</w:t>
      </w:r>
      <w:r w:rsidR="00BA1114" w:rsidRPr="00BC4264">
        <w:t>,</w:t>
      </w:r>
      <w:r w:rsidR="004F691B" w:rsidRPr="00BC4264">
        <w:t xml:space="preserve"> when granting leave to appeal</w:t>
      </w:r>
      <w:r w:rsidR="00F7213B" w:rsidRPr="00BC4264">
        <w:t xml:space="preserve"> in </w:t>
      </w:r>
      <w:r w:rsidR="00F7213B" w:rsidRPr="00BC4264">
        <w:rPr>
          <w:i/>
        </w:rPr>
        <w:t>HKSAR v Leung Kwai Ping</w:t>
      </w:r>
      <w:r w:rsidR="00F7213B" w:rsidRPr="00BC4264">
        <w:rPr>
          <w:rStyle w:val="FootnoteReference"/>
        </w:rPr>
        <w:footnoteReference w:id="84"/>
      </w:r>
      <w:r w:rsidR="00F7213B" w:rsidRPr="00BC4264">
        <w:t>:</w:t>
      </w:r>
    </w:p>
    <w:p w:rsidR="00F7213B" w:rsidRPr="00BC4264" w:rsidRDefault="00F7213B" w:rsidP="00873B67">
      <w:pPr>
        <w:pStyle w:val="T-Draft"/>
        <w:numPr>
          <w:ilvl w:val="0"/>
          <w:numId w:val="0"/>
        </w:numPr>
        <w:tabs>
          <w:tab w:val="left" w:pos="7650"/>
        </w:tabs>
        <w:spacing w:line="240" w:lineRule="auto"/>
        <w:ind w:left="1530" w:right="656"/>
        <w:rPr>
          <w:sz w:val="24"/>
          <w:szCs w:val="24"/>
        </w:rPr>
      </w:pPr>
      <w:r w:rsidRPr="00BC4264">
        <w:rPr>
          <w:sz w:val="24"/>
          <w:szCs w:val="24"/>
        </w:rPr>
        <w:t xml:space="preserve">“The offender’s role in the drugs trade is, however, a highly relevant factor in deciding </w:t>
      </w:r>
      <w:r w:rsidRPr="00BC4264">
        <w:rPr>
          <w:i/>
          <w:sz w:val="24"/>
          <w:szCs w:val="24"/>
        </w:rPr>
        <w:t>at what point within the tariff</w:t>
      </w:r>
      <w:r w:rsidRPr="00BC4264">
        <w:rPr>
          <w:sz w:val="24"/>
          <w:szCs w:val="24"/>
        </w:rPr>
        <w:t xml:space="preserve"> his sentence should be.</w:t>
      </w:r>
      <w:r w:rsidR="004106F9" w:rsidRPr="00BC4264">
        <w:rPr>
          <w:sz w:val="24"/>
          <w:szCs w:val="24"/>
        </w:rPr>
        <w:t>”</w:t>
      </w:r>
      <w:r w:rsidR="0010234A" w:rsidRPr="00BC4264">
        <w:rPr>
          <w:sz w:val="24"/>
          <w:szCs w:val="24"/>
        </w:rPr>
        <w:t xml:space="preserve"> (Original emphasis)</w:t>
      </w:r>
    </w:p>
    <w:p w:rsidR="00A01113" w:rsidRPr="00BC4264" w:rsidRDefault="003F2F35" w:rsidP="005E6E12">
      <w:pPr>
        <w:pStyle w:val="Heading3"/>
        <w:spacing w:before="360" w:line="360" w:lineRule="auto"/>
        <w:rPr>
          <w:i/>
          <w:sz w:val="28"/>
          <w:szCs w:val="28"/>
          <w:u w:val="none"/>
        </w:rPr>
      </w:pPr>
      <w:r w:rsidRPr="00BC4264">
        <w:rPr>
          <w:i/>
          <w:sz w:val="28"/>
          <w:szCs w:val="28"/>
          <w:u w:val="none"/>
        </w:rPr>
        <w:t>F</w:t>
      </w:r>
      <w:r w:rsidR="00F95F11" w:rsidRPr="00BC4264">
        <w:rPr>
          <w:i/>
          <w:sz w:val="28"/>
          <w:szCs w:val="28"/>
          <w:u w:val="none"/>
        </w:rPr>
        <w:t>.3.</w:t>
      </w:r>
      <w:r w:rsidR="00CF391A" w:rsidRPr="00BC4264">
        <w:rPr>
          <w:i/>
          <w:sz w:val="28"/>
          <w:szCs w:val="28"/>
          <w:u w:val="none"/>
        </w:rPr>
        <w:t>8</w:t>
      </w:r>
      <w:r w:rsidR="00A56451" w:rsidRPr="00BC4264">
        <w:rPr>
          <w:i/>
          <w:sz w:val="28"/>
          <w:szCs w:val="28"/>
          <w:u w:val="none"/>
        </w:rPr>
        <w:t>.</w:t>
      </w:r>
      <w:r w:rsidR="00F95F11" w:rsidRPr="00BC4264">
        <w:rPr>
          <w:i/>
          <w:sz w:val="28"/>
          <w:szCs w:val="28"/>
          <w:u w:val="none"/>
        </w:rPr>
        <w:t xml:space="preserve"> </w:t>
      </w:r>
      <w:r w:rsidR="00C67B46" w:rsidRPr="00BC4264">
        <w:rPr>
          <w:i/>
          <w:sz w:val="28"/>
          <w:szCs w:val="28"/>
          <w:u w:val="none"/>
        </w:rPr>
        <w:t xml:space="preserve"> </w:t>
      </w:r>
      <w:r w:rsidR="00F95F11" w:rsidRPr="00BC4264">
        <w:rPr>
          <w:i/>
          <w:sz w:val="28"/>
          <w:szCs w:val="28"/>
          <w:u w:val="none"/>
        </w:rPr>
        <w:t>Aggravating factors</w:t>
      </w:r>
    </w:p>
    <w:p w:rsidR="00EE7D89" w:rsidRPr="00BC4264" w:rsidRDefault="00A01113" w:rsidP="00B961C2">
      <w:pPr>
        <w:pStyle w:val="T-Draft"/>
      </w:pPr>
      <w:r w:rsidRPr="00BC4264">
        <w:t xml:space="preserve">Having identified the </w:t>
      </w:r>
      <w:r w:rsidR="00266776" w:rsidRPr="00BC4264">
        <w:t>starting point</w:t>
      </w:r>
      <w:r w:rsidR="002E760B" w:rsidRPr="00BC4264">
        <w:t xml:space="preserve"> by reference to </w:t>
      </w:r>
      <w:r w:rsidR="00EE7D89" w:rsidRPr="00BC4264">
        <w:t xml:space="preserve">the </w:t>
      </w:r>
      <w:r w:rsidR="002E760B" w:rsidRPr="00BC4264">
        <w:t xml:space="preserve">quantity </w:t>
      </w:r>
      <w:r w:rsidR="00EE7D89" w:rsidRPr="00BC4264">
        <w:t xml:space="preserve">of the dangerous drugs </w:t>
      </w:r>
      <w:r w:rsidR="002E760B" w:rsidRPr="00BC4264">
        <w:t xml:space="preserve">and </w:t>
      </w:r>
      <w:r w:rsidR="00EE7D89" w:rsidRPr="00BC4264">
        <w:t xml:space="preserve">the </w:t>
      </w:r>
      <w:r w:rsidR="002E760B" w:rsidRPr="00BC4264">
        <w:t>role</w:t>
      </w:r>
      <w:r w:rsidR="00EE7D89" w:rsidRPr="00BC4264">
        <w:t xml:space="preserve"> and culpability of the defendant</w:t>
      </w:r>
      <w:r w:rsidR="00266776" w:rsidRPr="00BC4264">
        <w:t>,</w:t>
      </w:r>
      <w:r w:rsidR="00570936" w:rsidRPr="00BC4264">
        <w:t xml:space="preserve"> </w:t>
      </w:r>
      <w:r w:rsidR="00266776" w:rsidRPr="00BC4264">
        <w:t>the sentenc</w:t>
      </w:r>
      <w:r w:rsidR="00244765" w:rsidRPr="00BC4264">
        <w:t>ing judge</w:t>
      </w:r>
      <w:r w:rsidR="00266776" w:rsidRPr="00BC4264">
        <w:t xml:space="preserve"> will</w:t>
      </w:r>
      <w:r w:rsidR="00510084" w:rsidRPr="00BC4264">
        <w:t>, fourthly,</w:t>
      </w:r>
      <w:r w:rsidR="00266776" w:rsidRPr="00BC4264">
        <w:t xml:space="preserve"> consider the</w:t>
      </w:r>
      <w:r w:rsidR="00EE766D" w:rsidRPr="00BC4264">
        <w:t xml:space="preserve"> factors which bear on the </w:t>
      </w:r>
      <w:r w:rsidR="00266776" w:rsidRPr="00BC4264">
        <w:t xml:space="preserve">eventual starting point to be adopted (which is better referred to as </w:t>
      </w:r>
      <w:r w:rsidR="00244765" w:rsidRPr="00BC4264">
        <w:t>‘</w:t>
      </w:r>
      <w:r w:rsidR="00266776" w:rsidRPr="00BC4264">
        <w:t>the notional sentence after trial</w:t>
      </w:r>
      <w:r w:rsidR="00244765" w:rsidRPr="00BC4264">
        <w:t>’</w:t>
      </w:r>
      <w:r w:rsidR="00266776" w:rsidRPr="00BC4264">
        <w:t xml:space="preserve"> in order to distinguish it from </w:t>
      </w:r>
      <w:r w:rsidR="00244765" w:rsidRPr="00BC4264">
        <w:t>the</w:t>
      </w:r>
      <w:r w:rsidR="00266776" w:rsidRPr="00BC4264">
        <w:t xml:space="preserve"> </w:t>
      </w:r>
      <w:r w:rsidR="003223E8" w:rsidRPr="00BC4264">
        <w:t>‘</w:t>
      </w:r>
      <w:r w:rsidR="00EE766D" w:rsidRPr="00BC4264">
        <w:t>starting point</w:t>
      </w:r>
      <w:r w:rsidR="003223E8" w:rsidRPr="00BC4264">
        <w:t>’</w:t>
      </w:r>
      <w:r w:rsidR="00ED3DAD" w:rsidRPr="00BC4264">
        <w:t>,</w:t>
      </w:r>
      <w:r w:rsidR="00266776" w:rsidRPr="00BC4264">
        <w:t xml:space="preserve"> since strictly</w:t>
      </w:r>
      <w:r w:rsidR="00ED3DAD" w:rsidRPr="00BC4264">
        <w:t xml:space="preserve"> speaking</w:t>
      </w:r>
      <w:r w:rsidR="00266776" w:rsidRPr="00BC4264">
        <w:t xml:space="preserve"> a </w:t>
      </w:r>
      <w:r w:rsidR="003223E8" w:rsidRPr="00BC4264">
        <w:t>‘</w:t>
      </w:r>
      <w:r w:rsidR="00266776" w:rsidRPr="00BC4264">
        <w:t>starting point</w:t>
      </w:r>
      <w:r w:rsidR="003223E8" w:rsidRPr="00BC4264">
        <w:t>’</w:t>
      </w:r>
      <w:r w:rsidR="00266776" w:rsidRPr="00BC4264">
        <w:t xml:space="preserve"> is that figure determined before consideration of aggravating and mitigating </w:t>
      </w:r>
      <w:r w:rsidR="0086259F" w:rsidRPr="00BC4264">
        <w:t>factors</w:t>
      </w:r>
      <w:r w:rsidR="00ED3DAD" w:rsidRPr="00BC4264">
        <w:rPr>
          <w:rStyle w:val="FootnoteReference"/>
        </w:rPr>
        <w:footnoteReference w:id="85"/>
      </w:r>
      <w:r w:rsidR="00266776" w:rsidRPr="00BC4264">
        <w:t>)</w:t>
      </w:r>
      <w:r w:rsidR="00EE766D" w:rsidRPr="00BC4264">
        <w:t xml:space="preserve">.  </w:t>
      </w:r>
      <w:r w:rsidR="00EE7D89" w:rsidRPr="00BC4264">
        <w:t xml:space="preserve">In the special supplement to the United Kingdom Archbold </w:t>
      </w:r>
      <w:r w:rsidR="00EE7D89" w:rsidRPr="00BC4264">
        <w:rPr>
          <w:b/>
        </w:rPr>
        <w:t>‍</w:t>
      </w:r>
      <w:r w:rsidR="00EE7D89" w:rsidRPr="00BC4264">
        <w:t xml:space="preserve">2021 </w:t>
      </w:r>
      <w:r w:rsidR="00EE7D89" w:rsidRPr="00BC4264">
        <w:lastRenderedPageBreak/>
        <w:t xml:space="preserve">concerning </w:t>
      </w:r>
      <w:r w:rsidR="00EE7D89" w:rsidRPr="00BC4264">
        <w:rPr>
          <w:i/>
        </w:rPr>
        <w:t>Sentences &amp; Orders on Conviction (Sentencing Code)</w:t>
      </w:r>
      <w:r w:rsidR="00EE7D89" w:rsidRPr="00BC4264">
        <w:rPr>
          <w:rStyle w:val="FootnoteReference"/>
        </w:rPr>
        <w:footnoteReference w:id="86"/>
      </w:r>
      <w:r w:rsidR="00EE7D89" w:rsidRPr="00BC4264">
        <w:t>, ‘aggravating factors’ are defined as:</w:t>
      </w:r>
    </w:p>
    <w:p w:rsidR="00EE7D89" w:rsidRPr="00BC4264" w:rsidRDefault="00EE7D89" w:rsidP="003F3F41">
      <w:pPr>
        <w:pStyle w:val="j-quotation"/>
      </w:pPr>
      <w:r w:rsidRPr="00BC4264">
        <w:t>“those factors which indicate a higher level of culpability on the part of the offender or greater degree of harm than that inherently present in the offence.  The presence of such factors aggravates the seriousness of the offending, and accordingly increases the appropriate sentence.  Aggravating factors must always be considered in the context of the offence itself, and factors indicating harm or culpability which form an inherent part of the offence should not be “double-counted”.”</w:t>
      </w:r>
    </w:p>
    <w:p w:rsidR="00896EFB" w:rsidRPr="00BC4264" w:rsidRDefault="00EE766D" w:rsidP="00EE766D">
      <w:pPr>
        <w:pStyle w:val="T-Draft"/>
      </w:pPr>
      <w:r w:rsidRPr="00BC4264">
        <w:t>Some of those factors</w:t>
      </w:r>
      <w:r w:rsidR="009279B7" w:rsidRPr="00BC4264">
        <w:t>, in the context of sentencing for drug trafficking offences,</w:t>
      </w:r>
      <w:r w:rsidRPr="00BC4264">
        <w:t xml:space="preserve"> have been identified by the Court in </w:t>
      </w:r>
      <w:r w:rsidRPr="00BC4264">
        <w:rPr>
          <w:i/>
        </w:rPr>
        <w:t xml:space="preserve">Lau </w:t>
      </w:r>
      <w:r w:rsidR="00F04DF2" w:rsidRPr="00BC4264">
        <w:rPr>
          <w:b/>
          <w:i/>
        </w:rPr>
        <w:t>‍</w:t>
      </w:r>
      <w:r w:rsidRPr="00BC4264">
        <w:rPr>
          <w:i/>
        </w:rPr>
        <w:t>Tak-ming</w:t>
      </w:r>
      <w:r w:rsidR="000470EA" w:rsidRPr="00BC4264">
        <w:rPr>
          <w:i/>
        </w:rPr>
        <w:t xml:space="preserve"> &amp; Anor</w:t>
      </w:r>
      <w:r w:rsidRPr="00BC4264">
        <w:t>, but they are by no means exhaustive.  The Courts have established, for example, that a previous conviction for trafficking in dangerous drugs</w:t>
      </w:r>
      <w:r w:rsidR="003223E8" w:rsidRPr="00BC4264">
        <w:rPr>
          <w:rStyle w:val="FootnoteReference"/>
        </w:rPr>
        <w:footnoteReference w:id="87"/>
      </w:r>
      <w:r w:rsidRPr="00BC4264">
        <w:t xml:space="preserve">, </w:t>
      </w:r>
      <w:r w:rsidR="00E84381" w:rsidRPr="00BC4264">
        <w:t xml:space="preserve">the </w:t>
      </w:r>
      <w:r w:rsidR="00896EFB" w:rsidRPr="00BC4264">
        <w:t>carrying</w:t>
      </w:r>
      <w:r w:rsidRPr="00BC4264">
        <w:t xml:space="preserve"> </w:t>
      </w:r>
      <w:r w:rsidR="00E84381" w:rsidRPr="00BC4264">
        <w:t xml:space="preserve">of </w:t>
      </w:r>
      <w:r w:rsidRPr="00BC4264">
        <w:t>dangerous drugs across the border</w:t>
      </w:r>
      <w:r w:rsidR="00D41ADF" w:rsidRPr="00BC4264">
        <w:rPr>
          <w:rStyle w:val="FootnoteReference"/>
        </w:rPr>
        <w:footnoteReference w:id="88"/>
      </w:r>
      <w:r w:rsidRPr="00BC4264">
        <w:t xml:space="preserve">, </w:t>
      </w:r>
      <w:r w:rsidR="00E84381" w:rsidRPr="00BC4264">
        <w:t xml:space="preserve">the </w:t>
      </w:r>
      <w:r w:rsidRPr="00BC4264">
        <w:t>dealing in more than one type of dangerous drug</w:t>
      </w:r>
      <w:r w:rsidR="00D41ADF" w:rsidRPr="00BC4264">
        <w:rPr>
          <w:rStyle w:val="FootnoteReference"/>
        </w:rPr>
        <w:footnoteReference w:id="89"/>
      </w:r>
      <w:r w:rsidRPr="00BC4264">
        <w:t xml:space="preserve"> and the use of </w:t>
      </w:r>
      <w:r w:rsidR="00B52306" w:rsidRPr="00BC4264">
        <w:t xml:space="preserve">young persons or </w:t>
      </w:r>
      <w:r w:rsidRPr="00BC4264">
        <w:t xml:space="preserve">minors </w:t>
      </w:r>
      <w:r w:rsidR="00896EFB" w:rsidRPr="00BC4264">
        <w:t xml:space="preserve">to </w:t>
      </w:r>
      <w:r w:rsidR="004B2672" w:rsidRPr="00BC4264">
        <w:t>carry or deal in</w:t>
      </w:r>
      <w:r w:rsidR="00896EFB" w:rsidRPr="00BC4264">
        <w:t xml:space="preserve"> dangerous drugs</w:t>
      </w:r>
      <w:r w:rsidR="000570CE" w:rsidRPr="00BC4264">
        <w:rPr>
          <w:rStyle w:val="FootnoteReference"/>
        </w:rPr>
        <w:footnoteReference w:id="90"/>
      </w:r>
      <w:r w:rsidR="00896EFB" w:rsidRPr="00BC4264">
        <w:t xml:space="preserve"> </w:t>
      </w:r>
      <w:r w:rsidRPr="00BC4264">
        <w:t>will justify an enhancement of the starting point for sentence.</w:t>
      </w:r>
      <w:r w:rsidR="003E19C3" w:rsidRPr="00BC4264">
        <w:t xml:space="preserve"> </w:t>
      </w:r>
      <w:r w:rsidRPr="00BC4264">
        <w:t xml:space="preserve"> </w:t>
      </w:r>
    </w:p>
    <w:p w:rsidR="00F95F11" w:rsidRPr="00BC4264" w:rsidRDefault="00896EFB" w:rsidP="00EE766D">
      <w:pPr>
        <w:pStyle w:val="T-Draft"/>
      </w:pPr>
      <w:r w:rsidRPr="00BC4264">
        <w:t xml:space="preserve">However, </w:t>
      </w:r>
      <w:r w:rsidR="009279B7" w:rsidRPr="00BC4264">
        <w:t xml:space="preserve">it is right that </w:t>
      </w:r>
      <w:r w:rsidRPr="00BC4264">
        <w:t>i</w:t>
      </w:r>
      <w:r w:rsidR="00EE766D" w:rsidRPr="00BC4264">
        <w:t>f</w:t>
      </w:r>
      <w:r w:rsidR="003E19C3" w:rsidRPr="00BC4264">
        <w:t xml:space="preserve"> </w:t>
      </w:r>
      <w:r w:rsidR="00EE766D" w:rsidRPr="00BC4264">
        <w:t>a</w:t>
      </w:r>
      <w:r w:rsidR="003E19C3" w:rsidRPr="00BC4264">
        <w:t xml:space="preserve"> judge </w:t>
      </w:r>
      <w:r w:rsidR="002E760B" w:rsidRPr="00BC4264">
        <w:t xml:space="preserve">appears to have </w:t>
      </w:r>
      <w:r w:rsidR="003E19C3" w:rsidRPr="00BC4264">
        <w:t>depart</w:t>
      </w:r>
      <w:r w:rsidR="002E760B" w:rsidRPr="00BC4264">
        <w:t>ed</w:t>
      </w:r>
      <w:r w:rsidR="003E19C3" w:rsidRPr="00BC4264">
        <w:t xml:space="preserve"> </w:t>
      </w:r>
      <w:r w:rsidR="00973F4D" w:rsidRPr="00973F4D">
        <w:rPr>
          <w:b/>
        </w:rPr>
        <w:t>‍</w:t>
      </w:r>
      <w:r w:rsidR="003E19C3" w:rsidRPr="00BC4264">
        <w:t xml:space="preserve">significantly </w:t>
      </w:r>
      <w:r w:rsidR="009279B7" w:rsidRPr="00BC4264">
        <w:t>(</w:t>
      </w:r>
      <w:r w:rsidR="00347707" w:rsidRPr="00BC4264">
        <w:t>in either direction</w:t>
      </w:r>
      <w:r w:rsidR="009279B7" w:rsidRPr="00BC4264">
        <w:t>)</w:t>
      </w:r>
      <w:r w:rsidR="00347707" w:rsidRPr="00BC4264">
        <w:t xml:space="preserve"> </w:t>
      </w:r>
      <w:r w:rsidR="003E19C3" w:rsidRPr="00BC4264">
        <w:t xml:space="preserve">from the starting point indicated </w:t>
      </w:r>
      <w:r w:rsidR="00973F4D" w:rsidRPr="00973F4D">
        <w:rPr>
          <w:b/>
        </w:rPr>
        <w:t>‍</w:t>
      </w:r>
      <w:r w:rsidR="003E19C3" w:rsidRPr="00BC4264">
        <w:t>arithmetically</w:t>
      </w:r>
      <w:r w:rsidR="000A6855" w:rsidRPr="00BC4264">
        <w:t xml:space="preserve">, </w:t>
      </w:r>
      <w:r w:rsidR="00EE766D" w:rsidRPr="00BC4264">
        <w:t>then the departure should be explained</w:t>
      </w:r>
      <w:r w:rsidR="004C55E2" w:rsidRPr="00BC4264">
        <w:t xml:space="preserve">: see </w:t>
      </w:r>
      <w:r w:rsidR="00973F4D" w:rsidRPr="00973F4D">
        <w:rPr>
          <w:b/>
        </w:rPr>
        <w:t>‍</w:t>
      </w:r>
      <w:r w:rsidR="004C55E2" w:rsidRPr="00BC4264">
        <w:rPr>
          <w:i/>
        </w:rPr>
        <w:t xml:space="preserve">Smit </w:t>
      </w:r>
      <w:r w:rsidR="00973F4D" w:rsidRPr="00973F4D">
        <w:rPr>
          <w:b/>
          <w:i/>
        </w:rPr>
        <w:t>‍</w:t>
      </w:r>
      <w:r w:rsidR="004C55E2" w:rsidRPr="00BC4264">
        <w:rPr>
          <w:i/>
        </w:rPr>
        <w:t xml:space="preserve">Hector </w:t>
      </w:r>
      <w:r w:rsidR="00973F4D" w:rsidRPr="00973F4D">
        <w:rPr>
          <w:b/>
          <w:i/>
        </w:rPr>
        <w:t>‍</w:t>
      </w:r>
      <w:r w:rsidR="004C55E2" w:rsidRPr="00BC4264">
        <w:rPr>
          <w:i/>
        </w:rPr>
        <w:t>Edward</w:t>
      </w:r>
      <w:r w:rsidR="004C55E2" w:rsidRPr="00BC4264">
        <w:rPr>
          <w:rStyle w:val="FootnoteReference"/>
        </w:rPr>
        <w:footnoteReference w:id="91"/>
      </w:r>
      <w:r w:rsidR="00EE766D" w:rsidRPr="00BC4264">
        <w:t>.</w:t>
      </w:r>
      <w:r w:rsidR="00100761" w:rsidRPr="00BC4264">
        <w:t xml:space="preserve">  This</w:t>
      </w:r>
      <w:r w:rsidR="00506C82" w:rsidRPr="00BC4264">
        <w:t xml:space="preserve"> requires the judge to evaluate </w:t>
      </w:r>
      <w:r w:rsidR="002E760B" w:rsidRPr="00BC4264">
        <w:t xml:space="preserve">and explain </w:t>
      </w:r>
      <w:r w:rsidR="00506C82" w:rsidRPr="00BC4264">
        <w:t xml:space="preserve">the defendant’s role in assessing culpability and </w:t>
      </w:r>
      <w:r w:rsidR="00100761" w:rsidRPr="00BC4264">
        <w:t xml:space="preserve">allows the appellate </w:t>
      </w:r>
      <w:r w:rsidR="000470EA" w:rsidRPr="00BC4264">
        <w:t>Court to understand the basis of the sentence</w:t>
      </w:r>
      <w:r w:rsidR="00100761" w:rsidRPr="00BC4264">
        <w:t xml:space="preserve"> and fulfil its function </w:t>
      </w:r>
      <w:r w:rsidR="00E17A42" w:rsidRPr="00BC4264">
        <w:t>in</w:t>
      </w:r>
      <w:r w:rsidR="00EE766D" w:rsidRPr="00BC4264">
        <w:t xml:space="preserve"> reviewing the </w:t>
      </w:r>
      <w:r w:rsidR="00E17A42" w:rsidRPr="00BC4264">
        <w:t xml:space="preserve">propriety of the </w:t>
      </w:r>
      <w:r w:rsidR="00EE766D" w:rsidRPr="00BC4264">
        <w:t>sentence</w:t>
      </w:r>
      <w:r w:rsidR="00506C82" w:rsidRPr="00BC4264">
        <w:t>.  It also</w:t>
      </w:r>
      <w:r w:rsidR="00100761" w:rsidRPr="00BC4264">
        <w:t xml:space="preserve"> </w:t>
      </w:r>
      <w:r w:rsidR="00EE766D" w:rsidRPr="00BC4264">
        <w:t xml:space="preserve">enables </w:t>
      </w:r>
      <w:r w:rsidR="00100761" w:rsidRPr="00BC4264">
        <w:t xml:space="preserve">other </w:t>
      </w:r>
      <w:r w:rsidR="00100761" w:rsidRPr="00BC4264">
        <w:lastRenderedPageBreak/>
        <w:t>defendants charged with similar amounts to understand why the judge has sentenced in the way as he has.</w:t>
      </w:r>
      <w:r w:rsidR="002E760B" w:rsidRPr="00BC4264">
        <w:t xml:space="preserve">  It is important that judges, counsel and defendants understand that </w:t>
      </w:r>
      <w:r w:rsidR="007D75C1" w:rsidRPr="00BC4264">
        <w:t xml:space="preserve">comparisons between cases </w:t>
      </w:r>
      <w:r w:rsidR="00CF391A" w:rsidRPr="00BC4264">
        <w:t>are</w:t>
      </w:r>
      <w:r w:rsidR="007D75C1" w:rsidRPr="00BC4264">
        <w:t xml:space="preserve"> of limited utility because one is not simply comparing the quantity and sentence in one case with the quantity and sentence in another.  There are</w:t>
      </w:r>
      <w:r w:rsidR="00244765" w:rsidRPr="00BC4264">
        <w:t>, as we have explained,</w:t>
      </w:r>
      <w:r w:rsidR="007D75C1" w:rsidRPr="00BC4264">
        <w:t xml:space="preserve"> other factors which </w:t>
      </w:r>
      <w:r w:rsidR="00E74E80" w:rsidRPr="00BC4264">
        <w:t xml:space="preserve">may </w:t>
      </w:r>
      <w:r w:rsidR="007D75C1" w:rsidRPr="00BC4264">
        <w:t xml:space="preserve">go to the </w:t>
      </w:r>
      <w:r w:rsidR="00791633" w:rsidRPr="00BC4264">
        <w:t xml:space="preserve">gravity of the offence and the role and culpability of the </w:t>
      </w:r>
      <w:r w:rsidR="007D75C1" w:rsidRPr="00BC4264">
        <w:t>defendant in a particular case, the assessment of which is within the discretion of the sentencing judge.</w:t>
      </w:r>
    </w:p>
    <w:p w:rsidR="00EC01D1" w:rsidRPr="00BC4264" w:rsidRDefault="003F2F35" w:rsidP="005E6E12">
      <w:pPr>
        <w:pStyle w:val="Heading3"/>
        <w:spacing w:before="360" w:line="360" w:lineRule="auto"/>
        <w:rPr>
          <w:i/>
          <w:sz w:val="28"/>
          <w:szCs w:val="28"/>
          <w:u w:val="none"/>
        </w:rPr>
      </w:pPr>
      <w:r w:rsidRPr="00BC4264">
        <w:rPr>
          <w:i/>
          <w:sz w:val="28"/>
          <w:szCs w:val="28"/>
          <w:u w:val="none"/>
        </w:rPr>
        <w:t>F</w:t>
      </w:r>
      <w:r w:rsidR="00F95F11" w:rsidRPr="00BC4264">
        <w:rPr>
          <w:i/>
          <w:sz w:val="28"/>
          <w:szCs w:val="28"/>
          <w:u w:val="none"/>
        </w:rPr>
        <w:t>.3.</w:t>
      </w:r>
      <w:r w:rsidR="00CF391A" w:rsidRPr="00BC4264">
        <w:rPr>
          <w:i/>
          <w:sz w:val="28"/>
          <w:szCs w:val="28"/>
          <w:u w:val="none"/>
        </w:rPr>
        <w:t>9</w:t>
      </w:r>
      <w:r w:rsidR="00A56451" w:rsidRPr="00BC4264">
        <w:rPr>
          <w:i/>
          <w:sz w:val="28"/>
          <w:szCs w:val="28"/>
          <w:u w:val="none"/>
        </w:rPr>
        <w:t>.</w:t>
      </w:r>
      <w:r w:rsidR="00C67B46" w:rsidRPr="00BC4264">
        <w:rPr>
          <w:i/>
          <w:sz w:val="28"/>
          <w:szCs w:val="28"/>
          <w:u w:val="none"/>
        </w:rPr>
        <w:t xml:space="preserve"> </w:t>
      </w:r>
      <w:r w:rsidR="00F95F11" w:rsidRPr="00BC4264">
        <w:rPr>
          <w:i/>
          <w:sz w:val="28"/>
          <w:szCs w:val="28"/>
          <w:u w:val="none"/>
        </w:rPr>
        <w:t xml:space="preserve"> Mitigating factors</w:t>
      </w:r>
    </w:p>
    <w:p w:rsidR="00EB1A7C" w:rsidRPr="00BC4264" w:rsidRDefault="00EB1A7C" w:rsidP="00E9670B">
      <w:pPr>
        <w:pStyle w:val="T-Draft"/>
      </w:pPr>
      <w:r w:rsidRPr="00BC4264">
        <w:t>Fi</w:t>
      </w:r>
      <w:r w:rsidR="00063167" w:rsidRPr="00BC4264">
        <w:t>fthly</w:t>
      </w:r>
      <w:r w:rsidRPr="00BC4264">
        <w:t xml:space="preserve">, the </w:t>
      </w:r>
      <w:r w:rsidR="007D75C1" w:rsidRPr="00BC4264">
        <w:t xml:space="preserve">judge tasked with passing </w:t>
      </w:r>
      <w:r w:rsidRPr="00BC4264">
        <w:t xml:space="preserve">sentence will have regard to any </w:t>
      </w:r>
      <w:r w:rsidR="00347707" w:rsidRPr="00BC4264">
        <w:t xml:space="preserve">matters of mitigation, </w:t>
      </w:r>
      <w:r w:rsidR="00E74E80" w:rsidRPr="00BC4264">
        <w:t xml:space="preserve">always </w:t>
      </w:r>
      <w:r w:rsidRPr="00BC4264">
        <w:t xml:space="preserve">bearing firmly in mind that in this </w:t>
      </w:r>
      <w:r w:rsidR="00570936" w:rsidRPr="00BC4264">
        <w:t xml:space="preserve">particular </w:t>
      </w:r>
      <w:r w:rsidRPr="00BC4264">
        <w:t>branch of criminal sentencing,</w:t>
      </w:r>
      <w:r w:rsidR="000470EA" w:rsidRPr="00BC4264">
        <w:t xml:space="preserve"> as we and countless other appellate courts have said</w:t>
      </w:r>
      <w:r w:rsidR="00E17A42" w:rsidRPr="00BC4264">
        <w:t xml:space="preserve"> before</w:t>
      </w:r>
      <w:r w:rsidR="000470EA" w:rsidRPr="00BC4264">
        <w:t>,</w:t>
      </w:r>
      <w:r w:rsidRPr="00BC4264">
        <w:t xml:space="preserve"> personal circumstances </w:t>
      </w:r>
      <w:r w:rsidR="00347707" w:rsidRPr="00BC4264">
        <w:t>will</w:t>
      </w:r>
      <w:r w:rsidRPr="00BC4264">
        <w:t xml:space="preserve"> count for little</w:t>
      </w:r>
      <w:r w:rsidR="00347707" w:rsidRPr="00BC4264">
        <w:t>, unless they are exceptional</w:t>
      </w:r>
      <w:r w:rsidRPr="00BC4264">
        <w:t>.</w:t>
      </w:r>
      <w:r w:rsidR="00DC0F4D" w:rsidRPr="00BC4264">
        <w:t xml:space="preserve">  As the Court in </w:t>
      </w:r>
      <w:r w:rsidR="00DC0F4D" w:rsidRPr="00BC4264">
        <w:rPr>
          <w:i/>
        </w:rPr>
        <w:t>Abdallah</w:t>
      </w:r>
      <w:r w:rsidR="00DC0F4D" w:rsidRPr="00BC4264">
        <w:t xml:space="preserve"> </w:t>
      </w:r>
      <w:r w:rsidR="00CF391A" w:rsidRPr="00BC4264">
        <w:t>also emphasised</w:t>
      </w:r>
      <w:r w:rsidR="003C5F36" w:rsidRPr="00BC4264">
        <w:rPr>
          <w:rStyle w:val="FootnoteReference"/>
        </w:rPr>
        <w:footnoteReference w:id="92"/>
      </w:r>
      <w:r w:rsidR="00DC0F4D" w:rsidRPr="00BC4264">
        <w:t>:</w:t>
      </w:r>
    </w:p>
    <w:p w:rsidR="00DC0F4D" w:rsidRPr="00BC4264" w:rsidRDefault="00DC0F4D" w:rsidP="00F04DF2">
      <w:pPr>
        <w:pStyle w:val="j-quotation"/>
      </w:pPr>
      <w:r w:rsidRPr="00BC4264">
        <w:t>“As for mitigation, the grievousness of the offence – a description that is born of the recognition of the dreadful misery caused to victims and their families and the serious harm to society generally – dictates that</w:t>
      </w:r>
      <w:r w:rsidR="003C5F36" w:rsidRPr="00BC4264">
        <w:t xml:space="preserve"> meaningful mitigation, apart from the plea of guilty, is rarely available.”</w:t>
      </w:r>
    </w:p>
    <w:p w:rsidR="00B961C2" w:rsidRPr="00BC4264" w:rsidRDefault="00B961C2" w:rsidP="003F3F41">
      <w:pPr>
        <w:pStyle w:val="T-Draft"/>
      </w:pPr>
      <w:r w:rsidRPr="00BC4264">
        <w:t>One peculiar feature in this area of sentencing concerns the defendant who claims that he was not trafficking in all of the drugs</w:t>
      </w:r>
      <w:r w:rsidR="00791633" w:rsidRPr="00BC4264">
        <w:t xml:space="preserve"> found in his possession</w:t>
      </w:r>
      <w:r w:rsidRPr="00BC4264">
        <w:t>.  Where a “significant proportion” of the dangerous drugs found in a defendant’s possession are accepted or shown to be for his own consumption, the sentence may be reduced</w:t>
      </w:r>
      <w:r w:rsidRPr="00BC4264">
        <w:rPr>
          <w:rStyle w:val="FootnoteReference"/>
          <w:szCs w:val="28"/>
        </w:rPr>
        <w:footnoteReference w:id="93"/>
      </w:r>
      <w:r w:rsidRPr="00BC4264">
        <w:t>.</w:t>
      </w:r>
    </w:p>
    <w:p w:rsidR="003F2F35" w:rsidRPr="00BC4264" w:rsidRDefault="003F2F35" w:rsidP="003F3F41">
      <w:pPr>
        <w:pStyle w:val="Heading4"/>
        <w:spacing w:before="360" w:line="360" w:lineRule="auto"/>
        <w:jc w:val="both"/>
        <w:rPr>
          <w:i/>
          <w:sz w:val="28"/>
          <w:szCs w:val="28"/>
        </w:rPr>
      </w:pPr>
      <w:r w:rsidRPr="00BC4264">
        <w:rPr>
          <w:i/>
          <w:sz w:val="28"/>
          <w:szCs w:val="28"/>
        </w:rPr>
        <w:lastRenderedPageBreak/>
        <w:t>F.3.</w:t>
      </w:r>
      <w:r w:rsidR="005A6FD6" w:rsidRPr="00BC4264">
        <w:rPr>
          <w:i/>
          <w:sz w:val="28"/>
          <w:szCs w:val="28"/>
        </w:rPr>
        <w:t>9</w:t>
      </w:r>
      <w:r w:rsidRPr="00BC4264">
        <w:rPr>
          <w:i/>
          <w:sz w:val="28"/>
          <w:szCs w:val="28"/>
        </w:rPr>
        <w:t>.1</w:t>
      </w:r>
      <w:r w:rsidR="00A56451" w:rsidRPr="00BC4264">
        <w:rPr>
          <w:i/>
          <w:sz w:val="28"/>
          <w:szCs w:val="28"/>
        </w:rPr>
        <w:t>.</w:t>
      </w:r>
      <w:r w:rsidRPr="00BC4264">
        <w:rPr>
          <w:i/>
          <w:sz w:val="28"/>
          <w:szCs w:val="28"/>
        </w:rPr>
        <w:t xml:space="preserve">  Is</w:t>
      </w:r>
      <w:r w:rsidR="009B3212" w:rsidRPr="00BC4264">
        <w:rPr>
          <w:i/>
          <w:sz w:val="28"/>
          <w:szCs w:val="28"/>
        </w:rPr>
        <w:t xml:space="preserve"> </w:t>
      </w:r>
      <w:r w:rsidR="00D5567B" w:rsidRPr="00BC4264">
        <w:rPr>
          <w:i/>
          <w:sz w:val="28"/>
          <w:szCs w:val="28"/>
        </w:rPr>
        <w:t>the</w:t>
      </w:r>
      <w:r w:rsidRPr="00BC4264">
        <w:rPr>
          <w:i/>
          <w:sz w:val="28"/>
          <w:szCs w:val="28"/>
        </w:rPr>
        <w:t xml:space="preserve"> one-third discount the </w:t>
      </w:r>
      <w:r w:rsidR="00985A88" w:rsidRPr="00BC4264">
        <w:rPr>
          <w:i/>
          <w:sz w:val="28"/>
          <w:szCs w:val="28"/>
        </w:rPr>
        <w:t>‘</w:t>
      </w:r>
      <w:r w:rsidRPr="00BC4264">
        <w:rPr>
          <w:i/>
          <w:sz w:val="28"/>
          <w:szCs w:val="28"/>
        </w:rPr>
        <w:t>high watermark</w:t>
      </w:r>
      <w:r w:rsidR="00985A88" w:rsidRPr="00BC4264">
        <w:rPr>
          <w:i/>
          <w:sz w:val="28"/>
          <w:szCs w:val="28"/>
        </w:rPr>
        <w:t>’</w:t>
      </w:r>
      <w:r w:rsidRPr="00BC4264">
        <w:rPr>
          <w:i/>
          <w:sz w:val="28"/>
          <w:szCs w:val="28"/>
        </w:rPr>
        <w:t xml:space="preserve"> for a timely plea?</w:t>
      </w:r>
    </w:p>
    <w:p w:rsidR="00B75801" w:rsidRPr="00BC4264" w:rsidRDefault="00B961C2" w:rsidP="003F3F41">
      <w:pPr>
        <w:pStyle w:val="T-Draft"/>
      </w:pPr>
      <w:r w:rsidRPr="00BC4264">
        <w:t>I</w:t>
      </w:r>
      <w:r w:rsidR="00F04F63" w:rsidRPr="00BC4264">
        <w:t xml:space="preserve">t is here that we must engage Mr Walsh’s argument as to whether other mitigation, that is other than </w:t>
      </w:r>
      <w:r w:rsidR="007F3A8C" w:rsidRPr="00BC4264">
        <w:t xml:space="preserve">the </w:t>
      </w:r>
      <w:r w:rsidR="00F04F63" w:rsidRPr="00BC4264">
        <w:t xml:space="preserve">plea of guilty and any assistance to the authorities, comes into play </w:t>
      </w:r>
      <w:r w:rsidR="007F3A8C" w:rsidRPr="00BC4264">
        <w:t>so as</w:t>
      </w:r>
      <w:r w:rsidR="00672F77" w:rsidRPr="00BC4264">
        <w:t>, effectively,</w:t>
      </w:r>
      <w:r w:rsidR="007F3A8C" w:rsidRPr="00BC4264">
        <w:t xml:space="preserve"> </w:t>
      </w:r>
      <w:r w:rsidR="00F04F63" w:rsidRPr="00BC4264">
        <w:t xml:space="preserve">to </w:t>
      </w:r>
      <w:r w:rsidR="009B3212" w:rsidRPr="00BC4264">
        <w:t>lower</w:t>
      </w:r>
      <w:r w:rsidR="00F04F63" w:rsidRPr="00BC4264">
        <w:t xml:space="preserve"> the </w:t>
      </w:r>
      <w:r w:rsidR="00FF27ED" w:rsidRPr="00BC4264">
        <w:rPr>
          <w:b/>
        </w:rPr>
        <w:t>‍</w:t>
      </w:r>
      <w:r w:rsidR="00F04F63" w:rsidRPr="00BC4264">
        <w:t xml:space="preserve">starting point </w:t>
      </w:r>
      <w:r w:rsidR="00672F77" w:rsidRPr="00BC4264">
        <w:t xml:space="preserve">before the discount for plea is considered, </w:t>
      </w:r>
      <w:r w:rsidR="005F0FE6" w:rsidRPr="00BC4264">
        <w:t>rather than</w:t>
      </w:r>
      <w:r w:rsidR="00F04F63" w:rsidRPr="00BC4264">
        <w:t xml:space="preserve"> </w:t>
      </w:r>
      <w:r w:rsidR="00FF27ED" w:rsidRPr="00BC4264">
        <w:rPr>
          <w:b/>
        </w:rPr>
        <w:t>‍</w:t>
      </w:r>
      <w:r w:rsidR="007F3A8C" w:rsidRPr="00BC4264">
        <w:t xml:space="preserve">to </w:t>
      </w:r>
      <w:r w:rsidR="00FF27ED" w:rsidRPr="00BC4264">
        <w:rPr>
          <w:b/>
        </w:rPr>
        <w:t>‍</w:t>
      </w:r>
      <w:r w:rsidR="007F3A8C" w:rsidRPr="00BC4264">
        <w:t>increase</w:t>
      </w:r>
      <w:r w:rsidR="00F04F63" w:rsidRPr="00BC4264">
        <w:t xml:space="preserve"> the </w:t>
      </w:r>
      <w:r w:rsidR="00672F77" w:rsidRPr="00BC4264">
        <w:t xml:space="preserve">overall </w:t>
      </w:r>
      <w:r w:rsidR="00F04F63" w:rsidRPr="00BC4264">
        <w:t>discount.  This argument derives from paragraph (iv)(c) of the questions raised by the Single Judge when granting leave in the present case.  The short answer is that mitigation comes at the final stage</w:t>
      </w:r>
      <w:r w:rsidR="00E84381" w:rsidRPr="00BC4264">
        <w:t>,</w:t>
      </w:r>
      <w:r w:rsidR="00F04F63" w:rsidRPr="00BC4264">
        <w:t xml:space="preserve"> when assessing the overall discount</w:t>
      </w:r>
      <w:r w:rsidR="0086259F" w:rsidRPr="00BC4264">
        <w:t xml:space="preserve"> from the starting point</w:t>
      </w:r>
      <w:r w:rsidR="00F04F63" w:rsidRPr="00BC4264">
        <w:t xml:space="preserve">.  Although the answer </w:t>
      </w:r>
      <w:r w:rsidR="007F3A8C" w:rsidRPr="00BC4264">
        <w:t>seems</w:t>
      </w:r>
      <w:r w:rsidR="00F04F63" w:rsidRPr="00BC4264">
        <w:t xml:space="preserve"> obvious, we think that what may have prompted the Single Judge’s que</w:t>
      </w:r>
      <w:r w:rsidR="00E16C1D" w:rsidRPr="00BC4264">
        <w:t>ry</w:t>
      </w:r>
      <w:r w:rsidR="00F04F63" w:rsidRPr="00BC4264">
        <w:t xml:space="preserve"> </w:t>
      </w:r>
      <w:r w:rsidR="007F3A8C" w:rsidRPr="00BC4264">
        <w:t xml:space="preserve">and Mr Walsh’s argument </w:t>
      </w:r>
      <w:r w:rsidR="00F04F63" w:rsidRPr="00BC4264">
        <w:t>is the statement</w:t>
      </w:r>
      <w:r w:rsidR="005146CF" w:rsidRPr="00BC4264">
        <w:t xml:space="preserve"> originally made by Stuart-Moore</w:t>
      </w:r>
      <w:r w:rsidR="00BA6B7F" w:rsidRPr="00BC4264">
        <w:t xml:space="preserve"> JA (as he then was) in </w:t>
      </w:r>
      <w:r w:rsidR="00BA6B7F" w:rsidRPr="00BC4264">
        <w:rPr>
          <w:i/>
        </w:rPr>
        <w:t xml:space="preserve">HKSAR </w:t>
      </w:r>
      <w:r w:rsidR="003F3F41" w:rsidRPr="00BC4264">
        <w:rPr>
          <w:b/>
          <w:i/>
        </w:rPr>
        <w:t>‍</w:t>
      </w:r>
      <w:r w:rsidR="00BA6B7F" w:rsidRPr="00BC4264">
        <w:rPr>
          <w:i/>
        </w:rPr>
        <w:t>v Wong Chi-ming</w:t>
      </w:r>
      <w:r w:rsidR="00BA6B7F" w:rsidRPr="00BC4264">
        <w:rPr>
          <w:rStyle w:val="FootnoteReference"/>
        </w:rPr>
        <w:footnoteReference w:id="94"/>
      </w:r>
      <w:r w:rsidR="00BA6B7F" w:rsidRPr="00BC4264">
        <w:t xml:space="preserve"> that “[a] one-third discount is really to be regarded as the high watermark for a plea entered at the earliest opportunity…”</w:t>
      </w:r>
      <w:r w:rsidR="00CF391A" w:rsidRPr="00BC4264">
        <w:t>.</w:t>
      </w:r>
    </w:p>
    <w:p w:rsidR="00E16C1D" w:rsidRPr="00BC4264" w:rsidRDefault="00E16C1D" w:rsidP="00E9670B">
      <w:pPr>
        <w:pStyle w:val="T-Draft"/>
      </w:pPr>
      <w:r w:rsidRPr="00BC4264">
        <w:t xml:space="preserve">In </w:t>
      </w:r>
      <w:r w:rsidRPr="00BC4264">
        <w:rPr>
          <w:i/>
        </w:rPr>
        <w:t>HKSAR v Leung Shuk-man</w:t>
      </w:r>
      <w:r w:rsidRPr="00BC4264">
        <w:rPr>
          <w:rStyle w:val="FootnoteReference"/>
        </w:rPr>
        <w:footnoteReference w:id="95"/>
      </w:r>
      <w:r w:rsidRPr="00BC4264">
        <w:t xml:space="preserve">, Stuart-Moore ACJHC (as he had </w:t>
      </w:r>
      <w:r w:rsidR="007F3A8C" w:rsidRPr="00BC4264">
        <w:t xml:space="preserve">by </w:t>
      </w:r>
      <w:r w:rsidRPr="00BC4264">
        <w:t xml:space="preserve">then become) </w:t>
      </w:r>
      <w:r w:rsidR="00B10AA2" w:rsidRPr="00BC4264">
        <w:t>again held</w:t>
      </w:r>
      <w:r w:rsidRPr="00BC4264">
        <w:t>:</w:t>
      </w:r>
    </w:p>
    <w:p w:rsidR="00E16C1D" w:rsidRPr="00BC4264" w:rsidRDefault="00E16C1D" w:rsidP="00AB0E9B">
      <w:pPr>
        <w:pStyle w:val="j-quotation"/>
      </w:pPr>
      <w:r w:rsidRPr="00BC4264">
        <w:t xml:space="preserve">“In any event, the Appellant was given a one-third discount which is </w:t>
      </w:r>
      <w:r w:rsidRPr="00BC4264">
        <w:rPr>
          <w:i/>
        </w:rPr>
        <w:t>normally</w:t>
      </w:r>
      <w:r w:rsidRPr="00BC4264">
        <w:t xml:space="preserve"> to be regarded as the high watermark of the discount accorded to a defendant showing remorse by pleading guilty, whether or not a defendant is able to claim previous ‘good character’ in the sense of ‘clear record’.</w:t>
      </w:r>
      <w:r w:rsidR="00B75801" w:rsidRPr="00BC4264">
        <w:t>” (Emphasis supplied)</w:t>
      </w:r>
    </w:p>
    <w:p w:rsidR="00B75801" w:rsidRPr="00BC4264" w:rsidRDefault="00B75801" w:rsidP="00E16C1D">
      <w:pPr>
        <w:pStyle w:val="T-Draft"/>
        <w:numPr>
          <w:ilvl w:val="0"/>
          <w:numId w:val="0"/>
        </w:numPr>
      </w:pPr>
      <w:r w:rsidRPr="00BC4264">
        <w:t xml:space="preserve">In </w:t>
      </w:r>
      <w:r w:rsidRPr="00BC4264">
        <w:rPr>
          <w:i/>
        </w:rPr>
        <w:t>HKSAR v Tang Kai-hi</w:t>
      </w:r>
      <w:r w:rsidRPr="00BC4264">
        <w:rPr>
          <w:rStyle w:val="FootnoteReference"/>
        </w:rPr>
        <w:footnoteReference w:id="96"/>
      </w:r>
      <w:r w:rsidRPr="00BC4264">
        <w:t xml:space="preserve">, the same judge had used the word </w:t>
      </w:r>
      <w:r w:rsidRPr="00BC4264">
        <w:rPr>
          <w:i/>
        </w:rPr>
        <w:t>usually</w:t>
      </w:r>
      <w:r w:rsidRPr="00BC4264">
        <w:t xml:space="preserve"> in place of </w:t>
      </w:r>
      <w:r w:rsidRPr="00BC4264">
        <w:rPr>
          <w:i/>
        </w:rPr>
        <w:t>normally</w:t>
      </w:r>
      <w:r w:rsidRPr="00BC4264">
        <w:t xml:space="preserve"> to explain the</w:t>
      </w:r>
      <w:r w:rsidR="0086259F" w:rsidRPr="00BC4264">
        <w:t xml:space="preserve"> limit of the</w:t>
      </w:r>
      <w:r w:rsidRPr="00BC4264">
        <w:t xml:space="preserve"> one-third discount</w:t>
      </w:r>
      <w:r w:rsidR="004700DF" w:rsidRPr="00BC4264">
        <w:t>; w</w:t>
      </w:r>
      <w:r w:rsidRPr="00BC4264">
        <w:t xml:space="preserve">hile in </w:t>
      </w:r>
      <w:r w:rsidRPr="00BC4264">
        <w:rPr>
          <w:i/>
        </w:rPr>
        <w:t>HKSAR v Yan Wai Ming</w:t>
      </w:r>
      <w:r w:rsidRPr="00BC4264">
        <w:rPr>
          <w:rStyle w:val="FootnoteReference"/>
        </w:rPr>
        <w:footnoteReference w:id="97"/>
      </w:r>
      <w:r w:rsidRPr="00BC4264">
        <w:t xml:space="preserve">, he </w:t>
      </w:r>
      <w:r w:rsidR="00B10AA2" w:rsidRPr="00BC4264">
        <w:t>explained</w:t>
      </w:r>
      <w:r w:rsidRPr="00BC4264">
        <w:t>:</w:t>
      </w:r>
    </w:p>
    <w:p w:rsidR="00B75801" w:rsidRPr="00BC4264" w:rsidRDefault="00B75801" w:rsidP="00AB0E9B">
      <w:pPr>
        <w:pStyle w:val="j-quotation"/>
      </w:pPr>
      <w:r w:rsidRPr="00BC4264">
        <w:lastRenderedPageBreak/>
        <w:t xml:space="preserve">“The one-third discount is </w:t>
      </w:r>
      <w:r w:rsidRPr="00BC4264">
        <w:rPr>
          <w:i/>
        </w:rPr>
        <w:t>usually</w:t>
      </w:r>
      <w:r w:rsidRPr="00BC4264">
        <w:t xml:space="preserve">, as we have said on numerous occasions, to be taken as the high watermark of the discount </w:t>
      </w:r>
      <w:r w:rsidRPr="00BC4264">
        <w:rPr>
          <w:i/>
        </w:rPr>
        <w:t>unless there are very special factors to be taken into account</w:t>
      </w:r>
      <w:r w:rsidRPr="00BC4264">
        <w:t>.” (Emphasis supplied)</w:t>
      </w:r>
    </w:p>
    <w:p w:rsidR="003F2F35" w:rsidRPr="00BC4264" w:rsidRDefault="003F2F35" w:rsidP="00267A4C">
      <w:pPr>
        <w:pStyle w:val="Heading4"/>
        <w:spacing w:before="360" w:line="360" w:lineRule="auto"/>
        <w:jc w:val="left"/>
        <w:rPr>
          <w:i/>
          <w:sz w:val="28"/>
          <w:szCs w:val="28"/>
        </w:rPr>
      </w:pPr>
      <w:r w:rsidRPr="00BC4264">
        <w:rPr>
          <w:i/>
          <w:sz w:val="28"/>
          <w:szCs w:val="28"/>
        </w:rPr>
        <w:t>F.3.</w:t>
      </w:r>
      <w:r w:rsidR="005A6FD6" w:rsidRPr="00BC4264">
        <w:rPr>
          <w:i/>
          <w:sz w:val="28"/>
          <w:szCs w:val="28"/>
        </w:rPr>
        <w:t>9</w:t>
      </w:r>
      <w:r w:rsidRPr="00BC4264">
        <w:rPr>
          <w:i/>
          <w:sz w:val="28"/>
          <w:szCs w:val="28"/>
        </w:rPr>
        <w:t>.2</w:t>
      </w:r>
      <w:r w:rsidR="00A56451" w:rsidRPr="00BC4264">
        <w:rPr>
          <w:i/>
          <w:sz w:val="28"/>
          <w:szCs w:val="28"/>
        </w:rPr>
        <w:t>.</w:t>
      </w:r>
      <w:r w:rsidRPr="00BC4264">
        <w:rPr>
          <w:i/>
          <w:sz w:val="28"/>
          <w:szCs w:val="28"/>
        </w:rPr>
        <w:t xml:space="preserve">  </w:t>
      </w:r>
      <w:r w:rsidR="00D5567B" w:rsidRPr="00BC4264">
        <w:rPr>
          <w:i/>
          <w:sz w:val="28"/>
          <w:szCs w:val="28"/>
        </w:rPr>
        <w:t>The position post-Ngo Van Nam</w:t>
      </w:r>
    </w:p>
    <w:p w:rsidR="00F04F63" w:rsidRPr="00BC4264" w:rsidRDefault="002167D8" w:rsidP="00E9670B">
      <w:pPr>
        <w:pStyle w:val="T-Draft"/>
      </w:pPr>
      <w:r w:rsidRPr="00BC4264">
        <w:t xml:space="preserve">Since the above four cases were heard, of course, the courts have applied a new sentencing regime for discounts following the decision in </w:t>
      </w:r>
      <w:r w:rsidRPr="00BC4264">
        <w:rPr>
          <w:i/>
        </w:rPr>
        <w:t>Ngo Van Nam</w:t>
      </w:r>
      <w:r w:rsidR="00A9743A" w:rsidRPr="00BC4264">
        <w:t>, whereby</w:t>
      </w:r>
      <w:r w:rsidRPr="00BC4264">
        <w:t xml:space="preserve"> </w:t>
      </w:r>
      <w:r w:rsidR="00B10AA2" w:rsidRPr="00BC4264">
        <w:t xml:space="preserve">the range of </w:t>
      </w:r>
      <w:r w:rsidRPr="00BC4264">
        <w:t xml:space="preserve">discounts now depend upon the stage at which </w:t>
      </w:r>
      <w:r w:rsidR="007F2FD1" w:rsidRPr="00BC4264">
        <w:t>guilty pleas</w:t>
      </w:r>
      <w:r w:rsidRPr="00BC4264">
        <w:t xml:space="preserve"> are tendered.</w:t>
      </w:r>
      <w:r w:rsidR="00E16C1D" w:rsidRPr="00BC4264">
        <w:t xml:space="preserve">  </w:t>
      </w:r>
      <w:r w:rsidRPr="00BC4264">
        <w:t>Although the “high watermark” reference</w:t>
      </w:r>
      <w:r w:rsidR="0086259F" w:rsidRPr="00BC4264">
        <w:t xml:space="preserve"> to discount</w:t>
      </w:r>
      <w:r w:rsidRPr="00BC4264">
        <w:t xml:space="preserve"> </w:t>
      </w:r>
      <w:r w:rsidR="00FA2DE5" w:rsidRPr="00BC4264">
        <w:t>“</w:t>
      </w:r>
      <w:r w:rsidR="00A9743A" w:rsidRPr="00BC4264">
        <w:t>normally</w:t>
      </w:r>
      <w:r w:rsidR="00FA2DE5" w:rsidRPr="00BC4264">
        <w:t>”</w:t>
      </w:r>
      <w:r w:rsidR="00A9743A" w:rsidRPr="00BC4264">
        <w:t xml:space="preserve"> or </w:t>
      </w:r>
      <w:r w:rsidR="00FA2DE5" w:rsidRPr="00BC4264">
        <w:t>“</w:t>
      </w:r>
      <w:r w:rsidR="00A9743A" w:rsidRPr="00BC4264">
        <w:t>usually</w:t>
      </w:r>
      <w:r w:rsidR="00FA2DE5" w:rsidRPr="00BC4264">
        <w:t>”</w:t>
      </w:r>
      <w:r w:rsidR="00A9743A" w:rsidRPr="00BC4264">
        <w:t xml:space="preserve"> applies to the vast majority of cases in which a plea is entered at the earliest opportunity, </w:t>
      </w:r>
      <w:r w:rsidR="00FA2DE5" w:rsidRPr="00BC4264">
        <w:t>“</w:t>
      </w:r>
      <w:r w:rsidR="00A9743A" w:rsidRPr="00BC4264">
        <w:t>unless there are very special factors to be taken into account</w:t>
      </w:r>
      <w:r w:rsidR="00FA2DE5" w:rsidRPr="00BC4264">
        <w:t>”</w:t>
      </w:r>
      <w:r w:rsidR="00A9743A" w:rsidRPr="00BC4264">
        <w:t>,</w:t>
      </w:r>
      <w:r w:rsidR="00B10AA2" w:rsidRPr="00BC4264">
        <w:t xml:space="preserve"> the </w:t>
      </w:r>
      <w:r w:rsidR="00A9743A" w:rsidRPr="00BC4264">
        <w:t>one-third</w:t>
      </w:r>
      <w:r w:rsidR="00B10AA2" w:rsidRPr="00BC4264">
        <w:t xml:space="preserve"> discount was</w:t>
      </w:r>
      <w:r w:rsidRPr="00BC4264">
        <w:t xml:space="preserve"> not intended to be an impenetrable ceiling beyond which a judge cannot go if he has</w:t>
      </w:r>
      <w:r w:rsidR="00B10AA2" w:rsidRPr="00BC4264">
        <w:t xml:space="preserve"> good reasons in the proper exercise of his discretion </w:t>
      </w:r>
      <w:r w:rsidRPr="00BC4264">
        <w:t>for doing so.</w:t>
      </w:r>
      <w:r w:rsidR="00B10AA2" w:rsidRPr="00BC4264">
        <w:t xml:space="preserve">  In reality, </w:t>
      </w:r>
      <w:r w:rsidR="009B3212" w:rsidRPr="00BC4264">
        <w:t xml:space="preserve">in the context of drug trafficking cases, </w:t>
      </w:r>
      <w:r w:rsidR="00B10AA2" w:rsidRPr="00BC4264">
        <w:t xml:space="preserve">sentencing judges </w:t>
      </w:r>
      <w:r w:rsidR="008A56DE" w:rsidRPr="00BC4264">
        <w:t xml:space="preserve">are </w:t>
      </w:r>
      <w:r w:rsidR="00B10AA2" w:rsidRPr="00BC4264">
        <w:t xml:space="preserve">sometimes </w:t>
      </w:r>
      <w:r w:rsidR="004700DF" w:rsidRPr="00BC4264">
        <w:t>required to go</w:t>
      </w:r>
      <w:r w:rsidR="00B10AA2" w:rsidRPr="00BC4264">
        <w:t xml:space="preserve"> beyond the one-third discount for various levels of assistance to </w:t>
      </w:r>
      <w:r w:rsidR="00886493" w:rsidRPr="00BC4264">
        <w:t xml:space="preserve">the </w:t>
      </w:r>
      <w:r w:rsidR="00B10AA2" w:rsidRPr="00BC4264">
        <w:t>authorities</w:t>
      </w:r>
      <w:r w:rsidR="002E487B" w:rsidRPr="00BC4264">
        <w:t>; such as the</w:t>
      </w:r>
      <w:r w:rsidR="00886493" w:rsidRPr="00BC4264">
        <w:t xml:space="preserve"> giving of information</w:t>
      </w:r>
      <w:r w:rsidR="002E487B" w:rsidRPr="00BC4264">
        <w:t xml:space="preserve"> which is of practical use</w:t>
      </w:r>
      <w:r w:rsidR="00886493" w:rsidRPr="00BC4264">
        <w:t xml:space="preserve">, the giving of evidence or being ready to give evidence, </w:t>
      </w:r>
      <w:r w:rsidR="001752FD" w:rsidRPr="00BC4264">
        <w:t>successful or</w:t>
      </w:r>
      <w:r w:rsidR="00354AB0" w:rsidRPr="00BC4264">
        <w:t xml:space="preserve"> sometimes</w:t>
      </w:r>
      <w:r w:rsidR="001752FD" w:rsidRPr="00BC4264">
        <w:t xml:space="preserve"> </w:t>
      </w:r>
      <w:r w:rsidR="00B10AA2" w:rsidRPr="00BC4264">
        <w:t>genuine</w:t>
      </w:r>
      <w:r w:rsidR="00354AB0" w:rsidRPr="00BC4264">
        <w:t>, protracted</w:t>
      </w:r>
      <w:r w:rsidR="00B10AA2" w:rsidRPr="00BC4264">
        <w:t xml:space="preserve"> participation in a controlled delivery, </w:t>
      </w:r>
      <w:r w:rsidR="009B3212" w:rsidRPr="00BC4264">
        <w:t xml:space="preserve">unconscionable </w:t>
      </w:r>
      <w:r w:rsidR="00B10AA2" w:rsidRPr="00BC4264">
        <w:t>delay and positive good character (which, as the authorities make clear, means something more than a clear record).</w:t>
      </w:r>
    </w:p>
    <w:p w:rsidR="00A16D0B" w:rsidRPr="00BC4264" w:rsidRDefault="00886493" w:rsidP="00E9670B">
      <w:pPr>
        <w:pStyle w:val="T-Draft"/>
      </w:pPr>
      <w:r w:rsidRPr="00BC4264">
        <w:t>We do not accept that certain forms of mitigation should</w:t>
      </w:r>
      <w:r w:rsidR="009B3212" w:rsidRPr="00BC4264">
        <w:t>, therefore,</w:t>
      </w:r>
      <w:r w:rsidRPr="00BC4264">
        <w:t xml:space="preserve"> </w:t>
      </w:r>
      <w:r w:rsidR="00672F77" w:rsidRPr="00BC4264">
        <w:t xml:space="preserve">be taken into consideration </w:t>
      </w:r>
      <w:r w:rsidR="00672F77" w:rsidRPr="00BC4264">
        <w:rPr>
          <w:i/>
        </w:rPr>
        <w:t>before</w:t>
      </w:r>
      <w:r w:rsidR="00672F77" w:rsidRPr="00BC4264">
        <w:t xml:space="preserve"> the discount for plea is considered</w:t>
      </w:r>
      <w:r w:rsidRPr="00BC4264">
        <w:t>.  In our judgment, the proper approach to all mitigating circumstances, and the approach least likely to lead to confusion</w:t>
      </w:r>
      <w:r w:rsidR="001752FD" w:rsidRPr="00BC4264">
        <w:t>, disparity</w:t>
      </w:r>
      <w:r w:rsidRPr="00BC4264">
        <w:t xml:space="preserve"> </w:t>
      </w:r>
      <w:r w:rsidRPr="00BC4264">
        <w:lastRenderedPageBreak/>
        <w:t xml:space="preserve">and </w:t>
      </w:r>
      <w:r w:rsidR="00710F5A" w:rsidRPr="00BC4264">
        <w:t xml:space="preserve">the </w:t>
      </w:r>
      <w:r w:rsidRPr="00BC4264">
        <w:t>distortion</w:t>
      </w:r>
      <w:r w:rsidR="00710F5A" w:rsidRPr="00BC4264">
        <w:t xml:space="preserve"> of the sentence</w:t>
      </w:r>
      <w:r w:rsidRPr="00BC4264">
        <w:t xml:space="preserve">, is to </w:t>
      </w:r>
      <w:r w:rsidR="002E487B" w:rsidRPr="00BC4264">
        <w:t>consider them at the same time when assessing the overall discount</w:t>
      </w:r>
      <w:r w:rsidR="003625F4" w:rsidRPr="00BC4264">
        <w:t xml:space="preserve"> from the </w:t>
      </w:r>
      <w:r w:rsidR="005A6FD6" w:rsidRPr="00BC4264">
        <w:t>notional sentence after trial</w:t>
      </w:r>
      <w:r w:rsidR="00710F5A" w:rsidRPr="00BC4264">
        <w:t>.</w:t>
      </w:r>
    </w:p>
    <w:p w:rsidR="00A16D0B" w:rsidRPr="00BC4264" w:rsidRDefault="00A16D0B" w:rsidP="007E4A6B">
      <w:pPr>
        <w:pStyle w:val="Heading3"/>
        <w:spacing w:before="360" w:line="360" w:lineRule="auto"/>
        <w:rPr>
          <w:i/>
          <w:sz w:val="28"/>
          <w:szCs w:val="28"/>
          <w:u w:val="none"/>
        </w:rPr>
      </w:pPr>
      <w:r w:rsidRPr="00BC4264">
        <w:rPr>
          <w:i/>
          <w:sz w:val="28"/>
          <w:szCs w:val="28"/>
          <w:u w:val="none"/>
        </w:rPr>
        <w:t>F.3.</w:t>
      </w:r>
      <w:r w:rsidR="005A6FD6" w:rsidRPr="00BC4264">
        <w:rPr>
          <w:i/>
          <w:sz w:val="28"/>
          <w:szCs w:val="28"/>
          <w:u w:val="none"/>
        </w:rPr>
        <w:t>10</w:t>
      </w:r>
      <w:r w:rsidR="007E4A6B" w:rsidRPr="00BC4264">
        <w:rPr>
          <w:rFonts w:eastAsia="PMingLiU"/>
          <w:i/>
          <w:sz w:val="28"/>
          <w:szCs w:val="28"/>
          <w:u w:val="none"/>
          <w:lang w:eastAsia="zh-TW"/>
        </w:rPr>
        <w:t>.</w:t>
      </w:r>
      <w:r w:rsidRPr="00BC4264">
        <w:rPr>
          <w:i/>
          <w:sz w:val="28"/>
          <w:szCs w:val="28"/>
          <w:u w:val="none"/>
        </w:rPr>
        <w:t xml:space="preserve">  Totality</w:t>
      </w:r>
    </w:p>
    <w:p w:rsidR="00A16D0B" w:rsidRPr="00BC4264" w:rsidRDefault="00A16D0B" w:rsidP="007E4A6B">
      <w:pPr>
        <w:pStyle w:val="T-Draft"/>
      </w:pPr>
      <w:r w:rsidRPr="00BC4264">
        <w:t xml:space="preserve">The sixth, and final, stage of the sentencing process is for the judge to stand back and look at the overall sentence passed in order to ensure that it is a fair, just and balanced sentence in all the circumstances of the offence and the offender.  Where there is more than one </w:t>
      </w:r>
      <w:r w:rsidR="00B24DAD" w:rsidRPr="00BC4264">
        <w:t>count or charge</w:t>
      </w:r>
      <w:r w:rsidRPr="00BC4264">
        <w:t xml:space="preserve"> involved, or more than one aggravating feature justifying enhancement of the starting point, the sentencing judge must be careful that the ultimate sentence is not out of proportion to the defendant’s overall criminality.  As Zervos JA put it in respect of the accumulation of enhancements for aggravating features in </w:t>
      </w:r>
      <w:r w:rsidRPr="00BC4264">
        <w:rPr>
          <w:i/>
        </w:rPr>
        <w:t>Islam Azharul</w:t>
      </w:r>
      <w:r w:rsidRPr="00BC4264">
        <w:rPr>
          <w:rStyle w:val="FootnoteReference"/>
        </w:rPr>
        <w:footnoteReference w:id="98"/>
      </w:r>
      <w:r w:rsidRPr="00BC4264">
        <w:t>:</w:t>
      </w:r>
    </w:p>
    <w:p w:rsidR="00A16D0B" w:rsidRPr="00BC4264" w:rsidRDefault="00A16D0B" w:rsidP="007E4A6B">
      <w:pPr>
        <w:pStyle w:val="j-quotation"/>
      </w:pPr>
      <w:r w:rsidRPr="00BC4264">
        <w:t>“Having specified the enhancements given for the aggravating factors, it is important for the sentencing court to ensure that the aggregation of the enhancements does not result in an oppressive and overloaded sentence, and by the application of the totality principle this will require determining an appropriate effective total of the enhancements.”</w:t>
      </w:r>
    </w:p>
    <w:p w:rsidR="00B10AA2" w:rsidRPr="00BC4264" w:rsidRDefault="00A16D0B" w:rsidP="00A16D0B">
      <w:pPr>
        <w:pStyle w:val="T-Draft"/>
        <w:numPr>
          <w:ilvl w:val="0"/>
          <w:numId w:val="0"/>
        </w:numPr>
      </w:pPr>
      <w:r w:rsidRPr="00BC4264">
        <w:t xml:space="preserve">Similar statements have recently been made by this Court in </w:t>
      </w:r>
      <w:r w:rsidRPr="00BC4264">
        <w:rPr>
          <w:i/>
        </w:rPr>
        <w:t xml:space="preserve">HKSAR v Ali </w:t>
      </w:r>
      <w:r w:rsidR="007E4A6B" w:rsidRPr="00BC4264">
        <w:rPr>
          <w:i/>
        </w:rPr>
        <w:t>‍</w:t>
      </w:r>
      <w:r w:rsidRPr="00BC4264">
        <w:rPr>
          <w:i/>
        </w:rPr>
        <w:t>Qasim</w:t>
      </w:r>
      <w:r w:rsidRPr="00BC4264">
        <w:rPr>
          <w:rStyle w:val="FootnoteReference"/>
        </w:rPr>
        <w:footnoteReference w:id="99"/>
      </w:r>
      <w:r w:rsidRPr="00BC4264">
        <w:t xml:space="preserve"> and </w:t>
      </w:r>
      <w:r w:rsidRPr="00BC4264">
        <w:rPr>
          <w:i/>
        </w:rPr>
        <w:t>HKSAR v Islam Shafiqul</w:t>
      </w:r>
      <w:r w:rsidRPr="00BC4264">
        <w:rPr>
          <w:rStyle w:val="FootnoteReference"/>
        </w:rPr>
        <w:footnoteReference w:id="100"/>
      </w:r>
      <w:r w:rsidRPr="00BC4264">
        <w:t>.</w:t>
      </w:r>
    </w:p>
    <w:p w:rsidR="00F95F11" w:rsidRPr="00BC4264" w:rsidRDefault="00A56451" w:rsidP="005E6E12">
      <w:pPr>
        <w:pStyle w:val="Heading3"/>
        <w:spacing w:before="360" w:line="360" w:lineRule="auto"/>
        <w:rPr>
          <w:i/>
          <w:sz w:val="28"/>
          <w:szCs w:val="28"/>
          <w:u w:val="none"/>
        </w:rPr>
      </w:pPr>
      <w:r w:rsidRPr="00BC4264">
        <w:rPr>
          <w:i/>
          <w:sz w:val="28"/>
          <w:szCs w:val="28"/>
          <w:u w:val="none"/>
        </w:rPr>
        <w:t>F</w:t>
      </w:r>
      <w:r w:rsidR="00F95F11" w:rsidRPr="00BC4264">
        <w:rPr>
          <w:i/>
          <w:sz w:val="28"/>
          <w:szCs w:val="28"/>
          <w:u w:val="none"/>
        </w:rPr>
        <w:t>.3.</w:t>
      </w:r>
      <w:r w:rsidR="00A16D0B" w:rsidRPr="00BC4264">
        <w:rPr>
          <w:i/>
          <w:sz w:val="28"/>
          <w:szCs w:val="28"/>
          <w:u w:val="none"/>
        </w:rPr>
        <w:t>1</w:t>
      </w:r>
      <w:r w:rsidR="005A6FD6" w:rsidRPr="00BC4264">
        <w:rPr>
          <w:i/>
          <w:sz w:val="28"/>
          <w:szCs w:val="28"/>
          <w:u w:val="none"/>
        </w:rPr>
        <w:t>1</w:t>
      </w:r>
      <w:r w:rsidRPr="00BC4264">
        <w:rPr>
          <w:i/>
          <w:sz w:val="28"/>
          <w:szCs w:val="28"/>
          <w:u w:val="none"/>
        </w:rPr>
        <w:t>.</w:t>
      </w:r>
      <w:r w:rsidR="00C67B46" w:rsidRPr="00BC4264">
        <w:rPr>
          <w:i/>
          <w:sz w:val="28"/>
          <w:szCs w:val="28"/>
          <w:u w:val="none"/>
        </w:rPr>
        <w:t xml:space="preserve"> </w:t>
      </w:r>
      <w:r w:rsidR="00F95F11" w:rsidRPr="00BC4264">
        <w:rPr>
          <w:i/>
          <w:sz w:val="28"/>
          <w:szCs w:val="28"/>
          <w:u w:val="none"/>
        </w:rPr>
        <w:t xml:space="preserve"> Conclusion</w:t>
      </w:r>
    </w:p>
    <w:p w:rsidR="001B0EB5" w:rsidRPr="00BC4264" w:rsidRDefault="001B0EB5" w:rsidP="00E9670B">
      <w:pPr>
        <w:pStyle w:val="T-Draft"/>
      </w:pPr>
      <w:r w:rsidRPr="00BC4264">
        <w:t xml:space="preserve">Accordingly, we </w:t>
      </w:r>
      <w:r w:rsidR="00570936" w:rsidRPr="00BC4264">
        <w:t xml:space="preserve">do not </w:t>
      </w:r>
      <w:r w:rsidRPr="00BC4264">
        <w:t xml:space="preserve">think that the notion of a discretionless starting point based </w:t>
      </w:r>
      <w:r w:rsidR="001752FD" w:rsidRPr="00BC4264">
        <w:t>up</w:t>
      </w:r>
      <w:r w:rsidRPr="00BC4264">
        <w:t xml:space="preserve">on the quantity of a dangerous drug alone </w:t>
      </w:r>
      <w:r w:rsidR="007D75C1" w:rsidRPr="00BC4264">
        <w:t xml:space="preserve">is a correct, or </w:t>
      </w:r>
      <w:r w:rsidR="00570936" w:rsidRPr="00BC4264">
        <w:t xml:space="preserve">a </w:t>
      </w:r>
      <w:r w:rsidR="007D75C1" w:rsidRPr="00BC4264">
        <w:t xml:space="preserve">particularly </w:t>
      </w:r>
      <w:r w:rsidRPr="00BC4264">
        <w:t>helpful</w:t>
      </w:r>
      <w:r w:rsidR="007D75C1" w:rsidRPr="00BC4264">
        <w:t>,</w:t>
      </w:r>
      <w:r w:rsidRPr="00BC4264">
        <w:t xml:space="preserve"> way of </w:t>
      </w:r>
      <w:r w:rsidR="00506C82" w:rsidRPr="00BC4264">
        <w:t>looking at</w:t>
      </w:r>
      <w:r w:rsidRPr="00BC4264">
        <w:t xml:space="preserve"> sentencing in </w:t>
      </w:r>
      <w:r w:rsidR="007F2FD1" w:rsidRPr="00BC4264">
        <w:lastRenderedPageBreak/>
        <w:t xml:space="preserve">drug </w:t>
      </w:r>
      <w:r w:rsidR="001752FD" w:rsidRPr="00BC4264">
        <w:t>trafficking</w:t>
      </w:r>
      <w:r w:rsidRPr="00BC4264">
        <w:t xml:space="preserve"> cases.</w:t>
      </w:r>
      <w:r w:rsidR="00937DB0" w:rsidRPr="00BC4264">
        <w:t xml:space="preserve">  </w:t>
      </w:r>
      <w:r w:rsidR="00354AB0" w:rsidRPr="00BC4264">
        <w:t>And, as</w:t>
      </w:r>
      <w:r w:rsidR="00E74E80" w:rsidRPr="00BC4264">
        <w:t xml:space="preserve"> Mr Lui has pointed out, i</w:t>
      </w:r>
      <w:r w:rsidR="00937DB0" w:rsidRPr="00BC4264">
        <w:t xml:space="preserve">t is certainly not helpful when dealing with </w:t>
      </w:r>
      <w:r w:rsidR="00E74E80" w:rsidRPr="00BC4264">
        <w:t xml:space="preserve">cases involving </w:t>
      </w:r>
      <w:r w:rsidR="00937DB0" w:rsidRPr="00BC4264">
        <w:t>more than one</w:t>
      </w:r>
      <w:r w:rsidR="00495920" w:rsidRPr="00BC4264">
        <w:t xml:space="preserve"> c</w:t>
      </w:r>
      <w:r w:rsidR="00570936" w:rsidRPr="00BC4264">
        <w:t>harge or count</w:t>
      </w:r>
      <w:r w:rsidR="00495920" w:rsidRPr="00BC4264">
        <w:t>, or more than one</w:t>
      </w:r>
      <w:r w:rsidR="00937DB0" w:rsidRPr="00BC4264">
        <w:t xml:space="preserve"> type of dangerous drug</w:t>
      </w:r>
      <w:r w:rsidR="00495920" w:rsidRPr="00BC4264">
        <w:t>.</w:t>
      </w:r>
      <w:r w:rsidRPr="00BC4264">
        <w:t xml:space="preserve">  The danger of such </w:t>
      </w:r>
      <w:r w:rsidR="00937DB0" w:rsidRPr="00BC4264">
        <w:t>a discretionless</w:t>
      </w:r>
      <w:r w:rsidRPr="00BC4264">
        <w:t xml:space="preserve"> approach is that it makes the same erroneous assumption as Stuart-Moore ACJHC</w:t>
      </w:r>
      <w:r w:rsidR="00B52306" w:rsidRPr="00BC4264">
        <w:t xml:space="preserve"> </w:t>
      </w:r>
      <w:r w:rsidR="00D5567B" w:rsidRPr="00BC4264">
        <w:t>made</w:t>
      </w:r>
      <w:r w:rsidRPr="00BC4264">
        <w:t xml:space="preserve"> in </w:t>
      </w:r>
      <w:r w:rsidRPr="00BC4264">
        <w:rPr>
          <w:i/>
        </w:rPr>
        <w:t>Manalo</w:t>
      </w:r>
      <w:r w:rsidR="00B52306" w:rsidRPr="00BC4264">
        <w:t xml:space="preserve">, </w:t>
      </w:r>
      <w:r w:rsidRPr="00BC4264">
        <w:t xml:space="preserve">that there is a </w:t>
      </w:r>
      <w:r w:rsidR="00495920" w:rsidRPr="00BC4264">
        <w:t>precise</w:t>
      </w:r>
      <w:r w:rsidRPr="00BC4264">
        <w:t xml:space="preserve"> </w:t>
      </w:r>
      <w:r w:rsidR="00E74E80" w:rsidRPr="00BC4264">
        <w:t>arithmetic</w:t>
      </w:r>
      <w:r w:rsidR="000A28AA" w:rsidRPr="00BC4264">
        <w:t>al</w:t>
      </w:r>
      <w:r w:rsidRPr="00BC4264">
        <w:t xml:space="preserve"> starting point for anyone who comes within the </w:t>
      </w:r>
      <w:r w:rsidR="00893545" w:rsidRPr="00BC4264">
        <w:t xml:space="preserve">general </w:t>
      </w:r>
      <w:r w:rsidRPr="00BC4264">
        <w:t xml:space="preserve">description of </w:t>
      </w:r>
      <w:r w:rsidR="001752FD" w:rsidRPr="00BC4264">
        <w:t>‘</w:t>
      </w:r>
      <w:r w:rsidRPr="00BC4264">
        <w:t>courier</w:t>
      </w:r>
      <w:r w:rsidR="001752FD" w:rsidRPr="00BC4264">
        <w:t>’</w:t>
      </w:r>
      <w:r w:rsidRPr="00BC4264">
        <w:t xml:space="preserve"> or </w:t>
      </w:r>
      <w:r w:rsidR="001752FD" w:rsidRPr="00BC4264">
        <w:t>‘</w:t>
      </w:r>
      <w:r w:rsidRPr="00BC4264">
        <w:t>storekeeper</w:t>
      </w:r>
      <w:r w:rsidR="001752FD" w:rsidRPr="00BC4264">
        <w:t>’</w:t>
      </w:r>
      <w:r w:rsidR="00937DB0" w:rsidRPr="00BC4264">
        <w:t xml:space="preserve">, which is a </w:t>
      </w:r>
      <w:r w:rsidR="000A28AA" w:rsidRPr="00BC4264">
        <w:t>label</w:t>
      </w:r>
      <w:r w:rsidR="00506C82" w:rsidRPr="00BC4264">
        <w:t xml:space="preserve"> </w:t>
      </w:r>
      <w:r w:rsidR="002E487B" w:rsidRPr="00BC4264">
        <w:t>that can be applied</w:t>
      </w:r>
      <w:r w:rsidR="00506C82" w:rsidRPr="00BC4264">
        <w:t xml:space="preserve"> to the majority of </w:t>
      </w:r>
      <w:r w:rsidR="00D5567B" w:rsidRPr="00BC4264">
        <w:t xml:space="preserve">trafficking </w:t>
      </w:r>
      <w:r w:rsidR="00937DB0" w:rsidRPr="00BC4264">
        <w:t>cases coming before the courts</w:t>
      </w:r>
      <w:r w:rsidRPr="00BC4264">
        <w:t xml:space="preserve">.  </w:t>
      </w:r>
      <w:r w:rsidR="001752FD" w:rsidRPr="00BC4264">
        <w:t>I</w:t>
      </w:r>
      <w:r w:rsidRPr="00BC4264">
        <w:t>n reality,</w:t>
      </w:r>
      <w:r w:rsidR="001752FD" w:rsidRPr="00BC4264">
        <w:t xml:space="preserve"> however,</w:t>
      </w:r>
      <w:r w:rsidRPr="00BC4264">
        <w:t xml:space="preserve"> there are different couriers and different storekeepers</w:t>
      </w:r>
      <w:r w:rsidR="00893545" w:rsidRPr="00BC4264">
        <w:t xml:space="preserve"> and, therefore, different degrees of culpability</w:t>
      </w:r>
      <w:r w:rsidRPr="00BC4264">
        <w:t xml:space="preserve">.  </w:t>
      </w:r>
      <w:r w:rsidR="00AD111B" w:rsidRPr="00BC4264">
        <w:t xml:space="preserve">Indeed, sometimes, </w:t>
      </w:r>
      <w:r w:rsidR="00495920" w:rsidRPr="00BC4264">
        <w:t>a defendant’s actions may fall short</w:t>
      </w:r>
      <w:r w:rsidR="00AD111B" w:rsidRPr="00BC4264">
        <w:t xml:space="preserve"> of either classification.  </w:t>
      </w:r>
      <w:r w:rsidRPr="00BC4264">
        <w:t xml:space="preserve">The sentencing court must have a discretion in </w:t>
      </w:r>
      <w:r w:rsidRPr="00BC4264">
        <w:rPr>
          <w:i/>
        </w:rPr>
        <w:t>all</w:t>
      </w:r>
      <w:r w:rsidRPr="00BC4264">
        <w:t xml:space="preserve"> cases to assess the role </w:t>
      </w:r>
      <w:r w:rsidR="007F2FD1" w:rsidRPr="00BC4264">
        <w:t xml:space="preserve">and culpability </w:t>
      </w:r>
      <w:r w:rsidRPr="00BC4264">
        <w:t>of the defendant when deciding where in the</w:t>
      </w:r>
      <w:r w:rsidR="00937DB0" w:rsidRPr="00BC4264">
        <w:t xml:space="preserve"> sentencing </w:t>
      </w:r>
      <w:r w:rsidR="002E487B" w:rsidRPr="00BC4264">
        <w:t>band</w:t>
      </w:r>
      <w:r w:rsidR="00937DB0" w:rsidRPr="00BC4264">
        <w:t xml:space="preserve"> (or, perhaps, outside the b</w:t>
      </w:r>
      <w:r w:rsidR="002E487B" w:rsidRPr="00BC4264">
        <w:t>and</w:t>
      </w:r>
      <w:r w:rsidR="00937DB0" w:rsidRPr="00BC4264">
        <w:t>) the defendant falls.</w:t>
      </w:r>
    </w:p>
    <w:p w:rsidR="00CD3137" w:rsidRPr="00BC4264" w:rsidRDefault="00AD111B" w:rsidP="00E9670B">
      <w:pPr>
        <w:pStyle w:val="T-Draft"/>
      </w:pPr>
      <w:r w:rsidRPr="00BC4264">
        <w:t>We note</w:t>
      </w:r>
      <w:r w:rsidR="00CD3137" w:rsidRPr="00BC4264">
        <w:t xml:space="preserve"> that the five-member New Zealand Court of Appeal in its decision in </w:t>
      </w:r>
      <w:r w:rsidR="00CD3137" w:rsidRPr="00BC4264">
        <w:rPr>
          <w:i/>
        </w:rPr>
        <w:t>Zhang</w:t>
      </w:r>
      <w:r w:rsidR="00CD3137" w:rsidRPr="00BC4264">
        <w:t xml:space="preserve">, whilst acknowledging the force of the Australian </w:t>
      </w:r>
      <w:r w:rsidR="00973F4D" w:rsidRPr="00973F4D">
        <w:rPr>
          <w:b/>
        </w:rPr>
        <w:t>‍</w:t>
      </w:r>
      <w:r w:rsidR="00CD3137" w:rsidRPr="00BC4264">
        <w:t>High Court</w:t>
      </w:r>
      <w:r w:rsidR="00D83E8C" w:rsidRPr="00BC4264">
        <w:t xml:space="preserve">’s reservations about </w:t>
      </w:r>
      <w:r w:rsidR="00932C64" w:rsidRPr="00BC4264">
        <w:t>weight</w:t>
      </w:r>
      <w:r w:rsidR="00D83E8C" w:rsidRPr="00BC4264">
        <w:t>-based guidelines</w:t>
      </w:r>
      <w:r w:rsidR="00CD3137" w:rsidRPr="00BC4264">
        <w:t xml:space="preserve"> in </w:t>
      </w:r>
      <w:r w:rsidR="00CD3137" w:rsidRPr="00BC4264">
        <w:rPr>
          <w:i/>
        </w:rPr>
        <w:t>Wong</w:t>
      </w:r>
      <w:r w:rsidR="00CD3137" w:rsidRPr="00BC4264">
        <w:t xml:space="preserve">, was not prepared to dispense with quantity as “the first determinant of sentencing”.  The Court explained that </w:t>
      </w:r>
      <w:r w:rsidRPr="00BC4264">
        <w:t>“[</w:t>
      </w:r>
      <w:r w:rsidR="00CD3137" w:rsidRPr="00BC4264">
        <w:t>q</w:t>
      </w:r>
      <w:r w:rsidRPr="00BC4264">
        <w:t>]</w:t>
      </w:r>
      <w:r w:rsidR="00CD3137" w:rsidRPr="00BC4264">
        <w:t>uantity remains a reasonable proxy both for the social harm done by the drug and the illicit gains made from making, importing and selling it</w:t>
      </w:r>
      <w:r w:rsidRPr="00BC4264">
        <w:t>”</w:t>
      </w:r>
      <w:r w:rsidRPr="00BC4264">
        <w:rPr>
          <w:rStyle w:val="FootnoteReference"/>
        </w:rPr>
        <w:footnoteReference w:id="101"/>
      </w:r>
      <w:r w:rsidR="00CD3137" w:rsidRPr="00BC4264">
        <w:t>, whilst emphasising that quantity alone could not determine culpability.  Variations in starting points in respect of the same quantity</w:t>
      </w:r>
      <w:r w:rsidR="00B24DAD" w:rsidRPr="00BC4264">
        <w:t xml:space="preserve"> a</w:t>
      </w:r>
      <w:r w:rsidR="00CD3137" w:rsidRPr="00BC4264">
        <w:t xml:space="preserve">re explicable on the basis of differing degrees of culpability derived from the different roles played by </w:t>
      </w:r>
      <w:r w:rsidR="00CD3137" w:rsidRPr="00BC4264">
        <w:lastRenderedPageBreak/>
        <w:t>offenders.  Sentencing involves a full evaluation of the circumstances to achieve justice in an individual case</w:t>
      </w:r>
      <w:r w:rsidRPr="00BC4264">
        <w:rPr>
          <w:rStyle w:val="FootnoteReference"/>
        </w:rPr>
        <w:footnoteReference w:id="102"/>
      </w:r>
      <w:r w:rsidR="00CD3137" w:rsidRPr="00BC4264">
        <w:t>.</w:t>
      </w:r>
    </w:p>
    <w:p w:rsidR="004700DF" w:rsidRPr="00BC4264" w:rsidRDefault="00B24DAD" w:rsidP="004700DF">
      <w:pPr>
        <w:pStyle w:val="T-Draft"/>
      </w:pPr>
      <w:r w:rsidRPr="00BC4264">
        <w:t>In our judgment, t</w:t>
      </w:r>
      <w:r w:rsidR="00937DB0" w:rsidRPr="00BC4264">
        <w:t xml:space="preserve">he danger of </w:t>
      </w:r>
      <w:r w:rsidR="0086259F" w:rsidRPr="00BC4264">
        <w:t xml:space="preserve">a </w:t>
      </w:r>
      <w:r w:rsidR="00571E06" w:rsidRPr="00BC4264">
        <w:t>s</w:t>
      </w:r>
      <w:r w:rsidR="005D106A" w:rsidRPr="00BC4264">
        <w:t>trict</w:t>
      </w:r>
      <w:r w:rsidR="00937DB0" w:rsidRPr="00BC4264">
        <w:t xml:space="preserve"> </w:t>
      </w:r>
      <w:r w:rsidR="00E74E80" w:rsidRPr="00BC4264">
        <w:t>arithmetic</w:t>
      </w:r>
      <w:r w:rsidR="000A28AA" w:rsidRPr="00BC4264">
        <w:t>al</w:t>
      </w:r>
      <w:r w:rsidR="0086259F" w:rsidRPr="00BC4264">
        <w:t xml:space="preserve"> approach</w:t>
      </w:r>
      <w:r w:rsidR="00E74E80" w:rsidRPr="00BC4264">
        <w:t xml:space="preserve"> </w:t>
      </w:r>
      <w:r w:rsidR="00937DB0" w:rsidRPr="00BC4264">
        <w:t xml:space="preserve">is that </w:t>
      </w:r>
      <w:r w:rsidR="00506C82" w:rsidRPr="00BC4264">
        <w:t>a defendant’s role can become</w:t>
      </w:r>
      <w:r w:rsidR="00937DB0" w:rsidRPr="00BC4264">
        <w:t xml:space="preserve"> eclipsed as long as the defendant can be said to fit within the </w:t>
      </w:r>
      <w:r w:rsidR="00893545" w:rsidRPr="00BC4264">
        <w:t>label of</w:t>
      </w:r>
      <w:r w:rsidR="009279B7" w:rsidRPr="00BC4264">
        <w:t xml:space="preserve"> a</w:t>
      </w:r>
      <w:r w:rsidR="00937DB0" w:rsidRPr="00BC4264">
        <w:t xml:space="preserve"> </w:t>
      </w:r>
      <w:r w:rsidR="00B52306" w:rsidRPr="00BC4264">
        <w:t>‘</w:t>
      </w:r>
      <w:r w:rsidR="00937DB0" w:rsidRPr="00BC4264">
        <w:t>courier</w:t>
      </w:r>
      <w:r w:rsidR="00B52306" w:rsidRPr="00BC4264">
        <w:t>’</w:t>
      </w:r>
      <w:r w:rsidR="00937DB0" w:rsidRPr="00BC4264">
        <w:t xml:space="preserve"> or </w:t>
      </w:r>
      <w:r w:rsidR="00B52306" w:rsidRPr="00BC4264">
        <w:t>‘</w:t>
      </w:r>
      <w:r w:rsidR="00937DB0" w:rsidRPr="00BC4264">
        <w:t>storekeeper</w:t>
      </w:r>
      <w:r w:rsidR="00B52306" w:rsidRPr="00BC4264">
        <w:t>’</w:t>
      </w:r>
      <w:r w:rsidR="00937DB0" w:rsidRPr="00BC4264">
        <w:t xml:space="preserve">.  </w:t>
      </w:r>
      <w:r w:rsidR="00893545" w:rsidRPr="00BC4264">
        <w:t xml:space="preserve">The </w:t>
      </w:r>
      <w:r w:rsidR="0086259F" w:rsidRPr="00BC4264">
        <w:t>arithmetic</w:t>
      </w:r>
      <w:r w:rsidR="00FA2DE5" w:rsidRPr="00BC4264">
        <w:t>al</w:t>
      </w:r>
      <w:r w:rsidR="00893545" w:rsidRPr="00BC4264">
        <w:t xml:space="preserve"> approach is at its most obvious and extreme where sentences are </w:t>
      </w:r>
      <w:r w:rsidR="005D106A" w:rsidRPr="00BC4264">
        <w:t>arrived at</w:t>
      </w:r>
      <w:r w:rsidR="00893545" w:rsidRPr="00BC4264">
        <w:t xml:space="preserve"> with such precision that they are</w:t>
      </w:r>
      <w:r w:rsidR="005D106A" w:rsidRPr="00BC4264">
        <w:t xml:space="preserve"> expressed in</w:t>
      </w:r>
      <w:r w:rsidR="00937DB0" w:rsidRPr="00BC4264">
        <w:t xml:space="preserve"> </w:t>
      </w:r>
      <w:r w:rsidR="00506C82" w:rsidRPr="00BC4264">
        <w:t>years, months</w:t>
      </w:r>
      <w:r w:rsidR="00C16227" w:rsidRPr="00BC4264">
        <w:t>,</w:t>
      </w:r>
      <w:r w:rsidR="00506C82" w:rsidRPr="00BC4264">
        <w:t xml:space="preserve"> weeks</w:t>
      </w:r>
      <w:r w:rsidR="00C16227" w:rsidRPr="00BC4264">
        <w:t xml:space="preserve"> and </w:t>
      </w:r>
      <w:r w:rsidR="00FF27ED" w:rsidRPr="00BC4264">
        <w:rPr>
          <w:b/>
        </w:rPr>
        <w:t>‍</w:t>
      </w:r>
      <w:r w:rsidR="00C16227" w:rsidRPr="00BC4264">
        <w:t>even days</w:t>
      </w:r>
      <w:r w:rsidR="00E76E8E" w:rsidRPr="00BC4264">
        <w:rPr>
          <w:rStyle w:val="FootnoteReference"/>
        </w:rPr>
        <w:footnoteReference w:id="103"/>
      </w:r>
      <w:r w:rsidR="00937DB0" w:rsidRPr="00BC4264">
        <w:t>.</w:t>
      </w:r>
      <w:r w:rsidR="00571E06" w:rsidRPr="00BC4264">
        <w:t xml:space="preserve">  If a judge of the High Court or District Court</w:t>
      </w:r>
      <w:r w:rsidR="005D106A" w:rsidRPr="00BC4264">
        <w:t xml:space="preserve"> (different </w:t>
      </w:r>
      <w:r w:rsidR="00FF27ED" w:rsidRPr="00BC4264">
        <w:rPr>
          <w:b/>
        </w:rPr>
        <w:t>‍</w:t>
      </w:r>
      <w:r w:rsidR="005D106A" w:rsidRPr="00BC4264">
        <w:t xml:space="preserve">considerations may apply in </w:t>
      </w:r>
      <w:r w:rsidR="00C16227" w:rsidRPr="00BC4264">
        <w:t>a magistrate’s court</w:t>
      </w:r>
      <w:r w:rsidR="005D106A" w:rsidRPr="00BC4264">
        <w:t>)</w:t>
      </w:r>
      <w:r w:rsidR="00571E06" w:rsidRPr="00BC4264">
        <w:t xml:space="preserve"> finds himself </w:t>
      </w:r>
      <w:r w:rsidR="005D106A" w:rsidRPr="00BC4264">
        <w:t xml:space="preserve">or herself </w:t>
      </w:r>
      <w:r w:rsidR="00571E06" w:rsidRPr="00BC4264">
        <w:t xml:space="preserve">resorting to </w:t>
      </w:r>
      <w:r w:rsidR="00C16227" w:rsidRPr="00BC4264">
        <w:t>quantifying a starting point or</w:t>
      </w:r>
      <w:r w:rsidR="00571E06" w:rsidRPr="00BC4264">
        <w:t xml:space="preserve"> a</w:t>
      </w:r>
      <w:r w:rsidR="00C16227" w:rsidRPr="00BC4264">
        <w:t>n eventual</w:t>
      </w:r>
      <w:r w:rsidR="00571E06" w:rsidRPr="00BC4264">
        <w:t xml:space="preserve"> sentence</w:t>
      </w:r>
      <w:r w:rsidR="005D106A" w:rsidRPr="00BC4264">
        <w:t xml:space="preserve"> for trafficking</w:t>
      </w:r>
      <w:r w:rsidR="00571E06" w:rsidRPr="00BC4264">
        <w:t xml:space="preserve"> </w:t>
      </w:r>
      <w:r w:rsidR="00B52306" w:rsidRPr="00BC4264">
        <w:t>in a term that involves</w:t>
      </w:r>
      <w:r w:rsidR="00571E06" w:rsidRPr="00BC4264">
        <w:t xml:space="preserve"> weeks</w:t>
      </w:r>
      <w:r w:rsidR="00C16227" w:rsidRPr="00BC4264">
        <w:t xml:space="preserve"> or days</w:t>
      </w:r>
      <w:r w:rsidR="00571E06" w:rsidRPr="00BC4264">
        <w:t>, then he</w:t>
      </w:r>
      <w:r w:rsidR="00E76E8E" w:rsidRPr="00BC4264">
        <w:t xml:space="preserve"> or she</w:t>
      </w:r>
      <w:r w:rsidR="00571E06" w:rsidRPr="00BC4264">
        <w:t xml:space="preserve"> is almost certainly adopting a discretionless approach to sentencing based on </w:t>
      </w:r>
      <w:r w:rsidR="00C16227" w:rsidRPr="00BC4264">
        <w:t>arithmetic</w:t>
      </w:r>
      <w:r w:rsidR="00571E06" w:rsidRPr="00BC4264">
        <w:t xml:space="preserve"> alone</w:t>
      </w:r>
      <w:r w:rsidR="00C16227" w:rsidRPr="00BC4264">
        <w:t>,</w:t>
      </w:r>
      <w:r w:rsidR="00571E06" w:rsidRPr="00BC4264">
        <w:t xml:space="preserve"> </w:t>
      </w:r>
      <w:r w:rsidR="006204F0" w:rsidRPr="00BC4264">
        <w:t xml:space="preserve">rather than a discretionary approach based on </w:t>
      </w:r>
      <w:r w:rsidR="00495920" w:rsidRPr="00BC4264">
        <w:t xml:space="preserve">the </w:t>
      </w:r>
      <w:r w:rsidR="002E487B" w:rsidRPr="00BC4264">
        <w:t xml:space="preserve">gravity </w:t>
      </w:r>
      <w:r w:rsidR="007F2FD1" w:rsidRPr="00BC4264">
        <w:t>of the offence (as reflected principally in the nature and quantity of the dangerous drug concerned)</w:t>
      </w:r>
      <w:r w:rsidR="002E487B" w:rsidRPr="00BC4264">
        <w:t xml:space="preserve"> and </w:t>
      </w:r>
      <w:r w:rsidR="00495920" w:rsidRPr="00BC4264">
        <w:t>the role and culpability of the defendant</w:t>
      </w:r>
      <w:r w:rsidR="002E487B" w:rsidRPr="00BC4264">
        <w:t>.</w:t>
      </w:r>
    </w:p>
    <w:p w:rsidR="006C700A" w:rsidRPr="00BC4264" w:rsidRDefault="00A56451" w:rsidP="009E3E41">
      <w:pPr>
        <w:pStyle w:val="Heading1"/>
        <w:numPr>
          <w:ilvl w:val="0"/>
          <w:numId w:val="19"/>
        </w:numPr>
        <w:spacing w:before="360" w:after="0" w:line="360" w:lineRule="auto"/>
        <w:ind w:left="720" w:hanging="720"/>
        <w:jc w:val="left"/>
        <w:rPr>
          <w:i/>
          <w:sz w:val="28"/>
          <w:szCs w:val="28"/>
          <w:lang w:eastAsia="zh-TW"/>
        </w:rPr>
      </w:pPr>
      <w:r w:rsidRPr="00BC4264">
        <w:rPr>
          <w:i/>
          <w:sz w:val="28"/>
          <w:szCs w:val="28"/>
          <w:lang w:eastAsia="zh-TW"/>
        </w:rPr>
        <w:t>Ground 2</w:t>
      </w:r>
    </w:p>
    <w:p w:rsidR="00DF72B8" w:rsidRPr="00BC4264" w:rsidRDefault="00A56451" w:rsidP="009E3E41">
      <w:pPr>
        <w:pStyle w:val="Heading2"/>
        <w:spacing w:before="360" w:line="240" w:lineRule="auto"/>
        <w:ind w:left="720" w:hanging="720"/>
        <w:rPr>
          <w:sz w:val="28"/>
          <w:szCs w:val="28"/>
        </w:rPr>
      </w:pPr>
      <w:r w:rsidRPr="00BC4264">
        <w:rPr>
          <w:sz w:val="28"/>
          <w:szCs w:val="28"/>
        </w:rPr>
        <w:t>G.</w:t>
      </w:r>
      <w:r w:rsidR="006C700A" w:rsidRPr="00BC4264">
        <w:rPr>
          <w:sz w:val="28"/>
          <w:szCs w:val="28"/>
        </w:rPr>
        <w:t>1</w:t>
      </w:r>
      <w:r w:rsidRPr="00BC4264">
        <w:rPr>
          <w:sz w:val="28"/>
          <w:szCs w:val="28"/>
        </w:rPr>
        <w:t>.</w:t>
      </w:r>
      <w:r w:rsidR="006C700A" w:rsidRPr="00BC4264">
        <w:rPr>
          <w:sz w:val="28"/>
          <w:szCs w:val="28"/>
        </w:rPr>
        <w:t xml:space="preserve"> </w:t>
      </w:r>
      <w:r w:rsidR="00C67B46" w:rsidRPr="00BC4264">
        <w:rPr>
          <w:sz w:val="28"/>
          <w:szCs w:val="28"/>
        </w:rPr>
        <w:t xml:space="preserve"> </w:t>
      </w:r>
      <w:r w:rsidR="006C700A" w:rsidRPr="00BC4264">
        <w:rPr>
          <w:sz w:val="28"/>
          <w:szCs w:val="28"/>
        </w:rPr>
        <w:t>Does</w:t>
      </w:r>
      <w:r w:rsidR="00DF72B8" w:rsidRPr="00BC4264">
        <w:rPr>
          <w:sz w:val="28"/>
          <w:szCs w:val="28"/>
        </w:rPr>
        <w:t xml:space="preserve"> the Court of Appeal ha</w:t>
      </w:r>
      <w:r w:rsidR="006C700A" w:rsidRPr="00BC4264">
        <w:rPr>
          <w:sz w:val="28"/>
          <w:szCs w:val="28"/>
        </w:rPr>
        <w:t>ve</w:t>
      </w:r>
      <w:r w:rsidR="00DF72B8" w:rsidRPr="00BC4264">
        <w:rPr>
          <w:sz w:val="28"/>
          <w:szCs w:val="28"/>
        </w:rPr>
        <w:t xml:space="preserve"> jurisdiction to deal with an appeal against a forfeiture order</w:t>
      </w:r>
      <w:r w:rsidR="006C700A" w:rsidRPr="00BC4264">
        <w:rPr>
          <w:sz w:val="28"/>
          <w:szCs w:val="28"/>
        </w:rPr>
        <w:t>?</w:t>
      </w:r>
    </w:p>
    <w:p w:rsidR="00B82B6A" w:rsidRPr="00BC4264" w:rsidRDefault="00522213" w:rsidP="00522213">
      <w:pPr>
        <w:pStyle w:val="T-Draft"/>
      </w:pPr>
      <w:r w:rsidRPr="00BC4264">
        <w:t xml:space="preserve">There has been some </w:t>
      </w:r>
      <w:r w:rsidR="00E76E8E" w:rsidRPr="00BC4264">
        <w:t xml:space="preserve">lingering </w:t>
      </w:r>
      <w:r w:rsidRPr="00BC4264">
        <w:t xml:space="preserve">controversy as to whether an order for forfeiture forms part of the sentence. </w:t>
      </w:r>
      <w:r w:rsidR="00F76ADC" w:rsidRPr="00BC4264">
        <w:t xml:space="preserve"> </w:t>
      </w:r>
      <w:r w:rsidR="00F622BC" w:rsidRPr="00BC4264">
        <w:t xml:space="preserve">Although </w:t>
      </w:r>
      <w:r w:rsidR="00322A2F" w:rsidRPr="00BC4264">
        <w:t>various</w:t>
      </w:r>
      <w:r w:rsidR="00F76ADC" w:rsidRPr="00BC4264">
        <w:t xml:space="preserve"> Courts</w:t>
      </w:r>
      <w:r w:rsidR="00A638AF" w:rsidRPr="00BC4264">
        <w:t>, in both the English and Chinese divisions</w:t>
      </w:r>
      <w:r w:rsidR="006914CB" w:rsidRPr="00BC4264">
        <w:t xml:space="preserve"> of the Court of Appeal</w:t>
      </w:r>
      <w:r w:rsidR="00A638AF" w:rsidRPr="00BC4264">
        <w:t>,</w:t>
      </w:r>
      <w:r w:rsidR="00F76ADC" w:rsidRPr="00BC4264">
        <w:t xml:space="preserve"> have </w:t>
      </w:r>
      <w:r w:rsidR="00F76ADC" w:rsidRPr="00BC4264">
        <w:lastRenderedPageBreak/>
        <w:t xml:space="preserve">consistently held </w:t>
      </w:r>
      <w:r w:rsidR="00322A2F" w:rsidRPr="00BC4264">
        <w:t xml:space="preserve">over many years </w:t>
      </w:r>
      <w:r w:rsidR="00F76ADC" w:rsidRPr="00BC4264">
        <w:t>that a forfeiture order forms part of the sentence which may be appealed</w:t>
      </w:r>
      <w:r w:rsidR="00F76ADC" w:rsidRPr="00BC4264">
        <w:rPr>
          <w:rStyle w:val="FootnoteReference"/>
        </w:rPr>
        <w:footnoteReference w:id="104"/>
      </w:r>
      <w:r w:rsidR="00F76ADC" w:rsidRPr="00BC4264">
        <w:t xml:space="preserve">, </w:t>
      </w:r>
      <w:r w:rsidR="006D508F" w:rsidRPr="00BC4264">
        <w:t>and</w:t>
      </w:r>
      <w:r w:rsidR="00322A2F" w:rsidRPr="00BC4264">
        <w:t xml:space="preserve"> in consequence</w:t>
      </w:r>
      <w:r w:rsidR="00B82B6A" w:rsidRPr="00BC4264">
        <w:t xml:space="preserve"> </w:t>
      </w:r>
      <w:r w:rsidR="006D508F" w:rsidRPr="00BC4264">
        <w:t xml:space="preserve">entertained </w:t>
      </w:r>
      <w:r w:rsidR="00B82B6A" w:rsidRPr="00BC4264">
        <w:t xml:space="preserve">numerous </w:t>
      </w:r>
      <w:r w:rsidR="006D508F" w:rsidRPr="00BC4264">
        <w:t>appeals by appellants against forfeiture orders</w:t>
      </w:r>
      <w:r w:rsidR="006D508F" w:rsidRPr="00BC4264">
        <w:rPr>
          <w:rStyle w:val="FootnoteReference"/>
        </w:rPr>
        <w:footnoteReference w:id="105"/>
      </w:r>
      <w:r w:rsidR="006D508F" w:rsidRPr="00BC4264">
        <w:t xml:space="preserve">, </w:t>
      </w:r>
      <w:r w:rsidR="00F76ADC" w:rsidRPr="00BC4264">
        <w:t xml:space="preserve">it has been doubted whether the Court has jurisdiction to entertain such an appeal.  In </w:t>
      </w:r>
      <w:r w:rsidR="00F76ADC" w:rsidRPr="00BC4264">
        <w:rPr>
          <w:i/>
        </w:rPr>
        <w:t xml:space="preserve">HKSAR v </w:t>
      </w:r>
      <w:r w:rsidR="00B82B6A" w:rsidRPr="00BC4264">
        <w:rPr>
          <w:i/>
        </w:rPr>
        <w:t>Valencia</w:t>
      </w:r>
      <w:r w:rsidR="00B82B6A" w:rsidRPr="00BC4264">
        <w:rPr>
          <w:rStyle w:val="FootnoteReference"/>
        </w:rPr>
        <w:footnoteReference w:id="106"/>
      </w:r>
      <w:r w:rsidR="00B82B6A" w:rsidRPr="00BC4264">
        <w:t xml:space="preserve">, McWalters JA </w:t>
      </w:r>
      <w:r w:rsidR="00E76E8E" w:rsidRPr="00BC4264">
        <w:t>went so far as to caution</w:t>
      </w:r>
      <w:r w:rsidR="00B82B6A" w:rsidRPr="00BC4264">
        <w:t xml:space="preserve"> that:</w:t>
      </w:r>
    </w:p>
    <w:p w:rsidR="00522213" w:rsidRPr="00BC4264" w:rsidRDefault="00B82B6A" w:rsidP="009E5565">
      <w:pPr>
        <w:pStyle w:val="j-quotation"/>
      </w:pPr>
      <w:r w:rsidRPr="00BC4264">
        <w:t>“The fact that the Court of Appeal has always treated a forfeiture order as part of the sentence of an offender does not mean that such an approach is correct.”</w:t>
      </w:r>
      <w:r w:rsidR="00522213" w:rsidRPr="00BC4264">
        <w:t xml:space="preserve"> </w:t>
      </w:r>
    </w:p>
    <w:p w:rsidR="00B82B6A" w:rsidRPr="00BC4264" w:rsidRDefault="00B82B6A" w:rsidP="00B82B6A">
      <w:pPr>
        <w:pStyle w:val="T-Draft"/>
        <w:numPr>
          <w:ilvl w:val="0"/>
          <w:numId w:val="0"/>
        </w:numPr>
      </w:pPr>
      <w:r w:rsidRPr="00BC4264">
        <w:t>While</w:t>
      </w:r>
      <w:r w:rsidR="00F052D5" w:rsidRPr="00BC4264">
        <w:t>,</w:t>
      </w:r>
      <w:r w:rsidRPr="00BC4264">
        <w:t xml:space="preserve"> in a </w:t>
      </w:r>
      <w:r w:rsidR="00954104" w:rsidRPr="00BC4264">
        <w:t xml:space="preserve">decision on a </w:t>
      </w:r>
      <w:r w:rsidRPr="00BC4264">
        <w:t xml:space="preserve">Single Judge leave application in </w:t>
      </w:r>
      <w:r w:rsidRPr="00BC4264">
        <w:rPr>
          <w:i/>
        </w:rPr>
        <w:t xml:space="preserve">HKSAR v Chukwuleta </w:t>
      </w:r>
      <w:r w:rsidR="009E5565" w:rsidRPr="00BC4264">
        <w:rPr>
          <w:b/>
          <w:i/>
        </w:rPr>
        <w:t>‍</w:t>
      </w:r>
      <w:r w:rsidRPr="00BC4264">
        <w:rPr>
          <w:i/>
        </w:rPr>
        <w:t xml:space="preserve">Sunday </w:t>
      </w:r>
      <w:r w:rsidR="009E5565" w:rsidRPr="00BC4264">
        <w:rPr>
          <w:i/>
        </w:rPr>
        <w:t>‍</w:t>
      </w:r>
      <w:r w:rsidRPr="00BC4264">
        <w:rPr>
          <w:i/>
        </w:rPr>
        <w:t>Freedaline</w:t>
      </w:r>
      <w:r w:rsidR="00F052D5" w:rsidRPr="00BC4264">
        <w:rPr>
          <w:i/>
        </w:rPr>
        <w:t xml:space="preserve"> &amp; Anor</w:t>
      </w:r>
      <w:r w:rsidRPr="00BC4264">
        <w:rPr>
          <w:rStyle w:val="FootnoteReference"/>
        </w:rPr>
        <w:footnoteReference w:id="107"/>
      </w:r>
      <w:r w:rsidRPr="00BC4264">
        <w:t>, he held:</w:t>
      </w:r>
    </w:p>
    <w:p w:rsidR="00B82B6A" w:rsidRPr="00BC4264" w:rsidRDefault="00B82B6A" w:rsidP="00913FF0">
      <w:pPr>
        <w:pStyle w:val="j-quotation"/>
        <w:keepLines/>
        <w:ind w:left="1411" w:right="734"/>
      </w:pPr>
      <w:r w:rsidRPr="00BC4264">
        <w:t>“Furthermore, in my view, notwithstanding past Court of Appeal practice to the contrary, there is a large question mark over whether an appeal against sentence can be used as an appeal mechanism for appealing a forfeiture order.”</w:t>
      </w:r>
    </w:p>
    <w:p w:rsidR="00F052D5" w:rsidRPr="00BC4264" w:rsidRDefault="00F052D5" w:rsidP="00B82B6A">
      <w:pPr>
        <w:pStyle w:val="T-Draft"/>
        <w:numPr>
          <w:ilvl w:val="0"/>
          <w:numId w:val="0"/>
        </w:numPr>
      </w:pPr>
      <w:r w:rsidRPr="00BC4264">
        <w:t xml:space="preserve">Indeed, it was because of the reservations he had expressed in </w:t>
      </w:r>
      <w:r w:rsidRPr="00BC4264">
        <w:rPr>
          <w:i/>
        </w:rPr>
        <w:t>Valencia</w:t>
      </w:r>
      <w:r w:rsidRPr="00BC4264">
        <w:t xml:space="preserve"> </w:t>
      </w:r>
      <w:r w:rsidR="00E76E8E" w:rsidRPr="00BC4264">
        <w:t xml:space="preserve">as to jurisdiction </w:t>
      </w:r>
      <w:r w:rsidRPr="00BC4264">
        <w:t>that McWalters JA gave leave to appeal the forfeiture order in the present case.</w:t>
      </w:r>
    </w:p>
    <w:p w:rsidR="00522213" w:rsidRPr="00BC4264" w:rsidRDefault="00F052D5" w:rsidP="00DF72B8">
      <w:pPr>
        <w:pStyle w:val="T-Draft"/>
      </w:pPr>
      <w:r w:rsidRPr="00BC4264">
        <w:lastRenderedPageBreak/>
        <w:t xml:space="preserve">We consider it necessary to address this controversy, so </w:t>
      </w:r>
      <w:r w:rsidR="0086259F" w:rsidRPr="00BC4264">
        <w:t>as to lay to rest any</w:t>
      </w:r>
      <w:r w:rsidRPr="00BC4264">
        <w:t xml:space="preserve"> </w:t>
      </w:r>
      <w:r w:rsidR="00826AE0" w:rsidRPr="00BC4264">
        <w:t>doubt about</w:t>
      </w:r>
      <w:r w:rsidRPr="00BC4264">
        <w:t xml:space="preserve"> </w:t>
      </w:r>
      <w:r w:rsidR="0072213D" w:rsidRPr="00BC4264">
        <w:t>the legitimacy of such</w:t>
      </w:r>
      <w:r w:rsidRPr="00BC4264">
        <w:t xml:space="preserve"> appeals.  </w:t>
      </w:r>
      <w:r w:rsidR="009B3212" w:rsidRPr="00BC4264">
        <w:t>In doing so, w</w:t>
      </w:r>
      <w:r w:rsidRPr="00BC4264">
        <w:t xml:space="preserve">e </w:t>
      </w:r>
      <w:r w:rsidR="00B52306" w:rsidRPr="00BC4264">
        <w:t>should</w:t>
      </w:r>
      <w:r w:rsidRPr="00BC4264">
        <w:t xml:space="preserve"> point out that </w:t>
      </w:r>
      <w:r w:rsidR="0072213D" w:rsidRPr="00BC4264">
        <w:t xml:space="preserve">counsel for </w:t>
      </w:r>
      <w:r w:rsidR="00954104" w:rsidRPr="00BC4264">
        <w:t xml:space="preserve">both </w:t>
      </w:r>
      <w:r w:rsidRPr="00BC4264">
        <w:t xml:space="preserve">the </w:t>
      </w:r>
      <w:r w:rsidR="00954104" w:rsidRPr="00BC4264">
        <w:t xml:space="preserve">appellant and </w:t>
      </w:r>
      <w:r w:rsidRPr="00BC4264">
        <w:t>respondent</w:t>
      </w:r>
      <w:r w:rsidR="00954104" w:rsidRPr="00BC4264">
        <w:t xml:space="preserve"> in this appeal were entirely</w:t>
      </w:r>
      <w:r w:rsidRPr="00BC4264">
        <w:t xml:space="preserve"> </w:t>
      </w:r>
      <w:r w:rsidRPr="00BC4264">
        <w:rPr>
          <w:i/>
        </w:rPr>
        <w:t>ad idem</w:t>
      </w:r>
      <w:r w:rsidRPr="00BC4264">
        <w:t xml:space="preserve"> on th</w:t>
      </w:r>
      <w:r w:rsidR="006C5D07" w:rsidRPr="00BC4264">
        <w:t>e</w:t>
      </w:r>
      <w:r w:rsidRPr="00BC4264">
        <w:t xml:space="preserve"> issue and have </w:t>
      </w:r>
      <w:r w:rsidR="00954104" w:rsidRPr="00BC4264">
        <w:t>each</w:t>
      </w:r>
      <w:r w:rsidRPr="00BC4264">
        <w:t xml:space="preserve"> submitted that this Court does have jurisdiction to entertain an appeal against forfeiture.</w:t>
      </w:r>
    </w:p>
    <w:p w:rsidR="00DF72B8" w:rsidRPr="00BC4264" w:rsidRDefault="00A53F3A" w:rsidP="00DF72B8">
      <w:pPr>
        <w:pStyle w:val="T-Draft"/>
      </w:pPr>
      <w:r w:rsidRPr="00BC4264">
        <w:t>As we have noted, t</w:t>
      </w:r>
      <w:r w:rsidR="00DF72B8" w:rsidRPr="00BC4264">
        <w:t xml:space="preserve">he appellant pleaded guilty before a magistrate and was </w:t>
      </w:r>
      <w:r w:rsidRPr="00BC4264">
        <w:t xml:space="preserve">thereby </w:t>
      </w:r>
      <w:r w:rsidR="00DF72B8" w:rsidRPr="00BC4264">
        <w:t xml:space="preserve">committed to the </w:t>
      </w:r>
      <w:r w:rsidRPr="00BC4264">
        <w:t>High Court</w:t>
      </w:r>
      <w:r w:rsidR="00DF72B8" w:rsidRPr="00BC4264">
        <w:t xml:space="preserve"> for sentence. </w:t>
      </w:r>
      <w:r w:rsidR="007E5242" w:rsidRPr="00BC4264">
        <w:t xml:space="preserve"> </w:t>
      </w:r>
      <w:r w:rsidR="00DF72B8" w:rsidRPr="00BC4264">
        <w:t>Accordingly, her appeal against sentence f</w:t>
      </w:r>
      <w:r w:rsidR="006C5D07" w:rsidRPr="00BC4264">
        <w:t>ell</w:t>
      </w:r>
      <w:r w:rsidR="00DF72B8" w:rsidRPr="00BC4264">
        <w:t xml:space="preserve"> </w:t>
      </w:r>
      <w:r w:rsidR="001B3078" w:rsidRPr="00BC4264">
        <w:t>within</w:t>
      </w:r>
      <w:r w:rsidR="00DF72B8" w:rsidRPr="00BC4264">
        <w:t xml:space="preserve"> section 83H of the Criminal Procedure Ordinance</w:t>
      </w:r>
      <w:r w:rsidR="000A28AA" w:rsidRPr="00BC4264">
        <w:t xml:space="preserve">, </w:t>
      </w:r>
      <w:r w:rsidR="00DF72B8" w:rsidRPr="00BC4264">
        <w:t>Cap 221 (</w:t>
      </w:r>
      <w:r w:rsidR="006C5D07" w:rsidRPr="00BC4264">
        <w:t xml:space="preserve">“the </w:t>
      </w:r>
      <w:r w:rsidR="00DF72B8" w:rsidRPr="00BC4264">
        <w:t>CPO</w:t>
      </w:r>
      <w:r w:rsidR="006C5D07" w:rsidRPr="00BC4264">
        <w:t>”</w:t>
      </w:r>
      <w:r w:rsidR="00DF72B8" w:rsidRPr="00BC4264">
        <w:t>)</w:t>
      </w:r>
      <w:r w:rsidR="006C5D07" w:rsidRPr="00BC4264">
        <w:t>, which</w:t>
      </w:r>
      <w:r w:rsidR="00DF72B8" w:rsidRPr="00BC4264">
        <w:t xml:space="preserve"> provides:</w:t>
      </w:r>
    </w:p>
    <w:p w:rsidR="00DF72B8" w:rsidRPr="00BC4264" w:rsidRDefault="00DF72B8" w:rsidP="00DF72B8">
      <w:pPr>
        <w:pStyle w:val="j-quotation"/>
      </w:pPr>
      <w:r w:rsidRPr="00BC4264">
        <w:t>“1)</w:t>
      </w:r>
      <w:r w:rsidRPr="00BC4264">
        <w:tab/>
        <w:t xml:space="preserve">This section has effect for providing rights of appeal against sentence when a person is dealt with by the </w:t>
      </w:r>
      <w:r w:rsidR="00EE45FA" w:rsidRPr="00BC4264">
        <w:t>C</w:t>
      </w:r>
      <w:r w:rsidRPr="00BC4264">
        <w:t xml:space="preserve">ourt of </w:t>
      </w:r>
      <w:r w:rsidR="00EE45FA" w:rsidRPr="00BC4264">
        <w:t>F</w:t>
      </w:r>
      <w:r w:rsidRPr="00BC4264">
        <w:t xml:space="preserve">irst </w:t>
      </w:r>
      <w:r w:rsidR="00EE45FA" w:rsidRPr="00BC4264">
        <w:t>I</w:t>
      </w:r>
      <w:r w:rsidRPr="00BC4264">
        <w:t xml:space="preserve">nstance (otherwise than on appeal from a magistrate) for an offence of which he was not convicted on indictment. </w:t>
      </w:r>
    </w:p>
    <w:p w:rsidR="00DF72B8" w:rsidRPr="00BC4264" w:rsidRDefault="00DF72B8" w:rsidP="00DF72B8">
      <w:pPr>
        <w:pStyle w:val="j-quotation"/>
      </w:pPr>
      <w:r w:rsidRPr="00BC4264">
        <w:t>2)</w:t>
      </w:r>
      <w:r w:rsidRPr="00BC4264">
        <w:tab/>
      </w:r>
      <w:r w:rsidR="00EE45FA" w:rsidRPr="00BC4264">
        <w:t>T</w:t>
      </w:r>
      <w:r w:rsidRPr="00BC4264">
        <w:t>he proceedings from which an appeal against sentence lies under this section are those where an offender</w:t>
      </w:r>
      <w:r w:rsidR="000B2F56" w:rsidRPr="00BC4264">
        <w:t xml:space="preserve"> </w:t>
      </w:r>
      <w:r w:rsidR="000B2F56" w:rsidRPr="00BC4264">
        <w:rPr>
          <w:b/>
        </w:rPr>
        <w:t>−</w:t>
      </w:r>
    </w:p>
    <w:p w:rsidR="00DF72B8" w:rsidRPr="00BC4264" w:rsidRDefault="00DF72B8" w:rsidP="00DF72B8">
      <w:pPr>
        <w:pStyle w:val="j-quotation"/>
        <w:tabs>
          <w:tab w:val="clear" w:pos="1418"/>
          <w:tab w:val="left" w:pos="2160"/>
        </w:tabs>
        <w:ind w:left="2160" w:hanging="360"/>
      </w:pPr>
      <w:r w:rsidRPr="00BC4264">
        <w:t>a)</w:t>
      </w:r>
      <w:r w:rsidRPr="00BC4264">
        <w:tab/>
        <w:t xml:space="preserve">is committed by a magistrate under section 81B(3) of the Magistrates Ordinance (Cap. 227); or </w:t>
      </w:r>
    </w:p>
    <w:p w:rsidR="00DF72B8" w:rsidRPr="00BC4264" w:rsidRDefault="00DF72B8" w:rsidP="00DF72B8">
      <w:pPr>
        <w:pStyle w:val="j-quotation"/>
        <w:tabs>
          <w:tab w:val="clear" w:pos="1418"/>
          <w:tab w:val="left" w:pos="2160"/>
        </w:tabs>
        <w:ind w:left="2160" w:hanging="360"/>
      </w:pPr>
      <w:r w:rsidRPr="00BC4264">
        <w:t>b)</w:t>
      </w:r>
      <w:r w:rsidRPr="00BC4264">
        <w:tab/>
        <w:t>having been made the subject of a probation order or an order for conditional discharge or given a suspended sentence, appears or is brought before the court to be dealt with for his offence.</w:t>
      </w:r>
    </w:p>
    <w:p w:rsidR="00DF72B8" w:rsidRPr="00BC4264" w:rsidRDefault="00DF72B8" w:rsidP="00DF72B8">
      <w:pPr>
        <w:pStyle w:val="j-quotation"/>
      </w:pPr>
      <w:r w:rsidRPr="00BC4264">
        <w:t>3)</w:t>
      </w:r>
      <w:r w:rsidRPr="00BC4264">
        <w:tab/>
      </w:r>
      <w:r w:rsidR="00EE45FA" w:rsidRPr="00BC4264">
        <w:t>A</w:t>
      </w:r>
      <w:r w:rsidRPr="00BC4264">
        <w:t xml:space="preserve">n offender dealt with for an offence in the </w:t>
      </w:r>
      <w:r w:rsidR="00EE45FA" w:rsidRPr="00BC4264">
        <w:t>C</w:t>
      </w:r>
      <w:r w:rsidRPr="00BC4264">
        <w:t xml:space="preserve">ourt of </w:t>
      </w:r>
      <w:r w:rsidR="00EE45FA" w:rsidRPr="00BC4264">
        <w:t>F</w:t>
      </w:r>
      <w:r w:rsidRPr="00BC4264">
        <w:t xml:space="preserve">irst </w:t>
      </w:r>
      <w:r w:rsidR="009E3E41" w:rsidRPr="00BC4264">
        <w:rPr>
          <w:b/>
        </w:rPr>
        <w:t>‍</w:t>
      </w:r>
      <w:r w:rsidR="00EE45FA" w:rsidRPr="00BC4264">
        <w:t>I</w:t>
      </w:r>
      <w:r w:rsidRPr="00BC4264">
        <w:t>nstance in a proceeding to which subsection two applies may appeal to the court of appeal in any of the following cases</w:t>
      </w:r>
      <w:r w:rsidR="000B2F56" w:rsidRPr="00BC4264">
        <w:t xml:space="preserve"> </w:t>
      </w:r>
      <w:r w:rsidR="000B2F56" w:rsidRPr="00BC4264">
        <w:rPr>
          <w:b/>
        </w:rPr>
        <w:t>−</w:t>
      </w:r>
    </w:p>
    <w:p w:rsidR="00DF72B8" w:rsidRPr="00BC4264" w:rsidRDefault="00DF72B8" w:rsidP="00DF72B8">
      <w:pPr>
        <w:pStyle w:val="j-quotation"/>
        <w:tabs>
          <w:tab w:val="clear" w:pos="1418"/>
        </w:tabs>
        <w:ind w:left="2160" w:hanging="360"/>
      </w:pPr>
      <w:r w:rsidRPr="00BC4264">
        <w:t>a)</w:t>
      </w:r>
      <w:r w:rsidRPr="00BC4264">
        <w:tab/>
        <w:t xml:space="preserve">where either for that offence alone or for that offence and other offences for which sentence is passed in the same proceeding, he is sentenced to imprisonment for a term of 6 months or more; or </w:t>
      </w:r>
    </w:p>
    <w:p w:rsidR="00DF72B8" w:rsidRPr="00BC4264" w:rsidRDefault="00DF72B8" w:rsidP="00DF72B8">
      <w:pPr>
        <w:pStyle w:val="j-quotation"/>
        <w:tabs>
          <w:tab w:val="clear" w:pos="1418"/>
        </w:tabs>
        <w:ind w:left="2160" w:hanging="360"/>
      </w:pPr>
      <w:r w:rsidRPr="00BC4264">
        <w:t>b)</w:t>
      </w:r>
      <w:r w:rsidRPr="00BC4264">
        <w:tab/>
        <w:t>where the sentence is one which the court convicting him had not power to pass; or</w:t>
      </w:r>
    </w:p>
    <w:p w:rsidR="00DF72B8" w:rsidRPr="00BC4264" w:rsidRDefault="00DF72B8" w:rsidP="00DF72B8">
      <w:pPr>
        <w:pStyle w:val="j-quotation"/>
        <w:tabs>
          <w:tab w:val="clear" w:pos="1418"/>
        </w:tabs>
        <w:ind w:left="2160" w:hanging="360"/>
      </w:pPr>
      <w:r w:rsidRPr="00BC4264">
        <w:t>c)</w:t>
      </w:r>
      <w:r w:rsidRPr="00BC4264">
        <w:tab/>
        <w:t xml:space="preserve">where the court in dealing with him for the offence makes in respect of him </w:t>
      </w:r>
      <w:r w:rsidR="000B2F56" w:rsidRPr="00BC4264">
        <w:rPr>
          <w:b/>
        </w:rPr>
        <w:t>−</w:t>
      </w:r>
    </w:p>
    <w:p w:rsidR="00DF72B8" w:rsidRPr="00BC4264" w:rsidRDefault="00DF72B8" w:rsidP="00DF72B8">
      <w:pPr>
        <w:pStyle w:val="j-quotation"/>
        <w:tabs>
          <w:tab w:val="clear" w:pos="1418"/>
        </w:tabs>
        <w:ind w:left="2880" w:hanging="720"/>
      </w:pPr>
      <w:r w:rsidRPr="00BC4264">
        <w:t>(i)</w:t>
      </w:r>
      <w:r w:rsidRPr="00BC4264">
        <w:tab/>
        <w:t>a recommendation for deportation; or</w:t>
      </w:r>
    </w:p>
    <w:p w:rsidR="00DF72B8" w:rsidRPr="00BC4264" w:rsidRDefault="00DF72B8" w:rsidP="00DF72B8">
      <w:pPr>
        <w:pStyle w:val="j-quotation"/>
        <w:tabs>
          <w:tab w:val="clear" w:pos="1418"/>
        </w:tabs>
        <w:ind w:left="2880" w:hanging="720"/>
      </w:pPr>
      <w:r w:rsidRPr="00BC4264">
        <w:lastRenderedPageBreak/>
        <w:t>(ii)</w:t>
      </w:r>
      <w:r w:rsidRPr="00BC4264">
        <w:tab/>
        <w:t xml:space="preserve">an order disqualifying him from holding or obtaining a driving license to drive a motor vehicle under part 8 of the Road Traffic Ordinance (Cap. 374); or </w:t>
      </w:r>
    </w:p>
    <w:p w:rsidR="00DF72B8" w:rsidRPr="00BC4264" w:rsidRDefault="00DF72B8" w:rsidP="00DF72B8">
      <w:pPr>
        <w:pStyle w:val="j-quotation"/>
        <w:tabs>
          <w:tab w:val="clear" w:pos="1418"/>
        </w:tabs>
        <w:ind w:left="2880" w:hanging="720"/>
      </w:pPr>
      <w:r w:rsidRPr="00BC4264">
        <w:t>(iii)</w:t>
      </w:r>
      <w:r w:rsidRPr="00BC4264">
        <w:tab/>
        <w:t xml:space="preserve">an order under section 109C. </w:t>
      </w:r>
    </w:p>
    <w:p w:rsidR="00DF72B8" w:rsidRPr="00BC4264" w:rsidRDefault="00DF72B8" w:rsidP="00DF72B8">
      <w:pPr>
        <w:pStyle w:val="j-quotation"/>
      </w:pPr>
      <w:r w:rsidRPr="00BC4264">
        <w:t>4)</w:t>
      </w:r>
      <w:r w:rsidRPr="00BC4264">
        <w:tab/>
        <w:t>For the purposes of subsection (3)(a), any 2 or more sentences are to be treated as passed in the same proceeding if</w:t>
      </w:r>
      <w:r w:rsidR="000B2F56" w:rsidRPr="00BC4264">
        <w:t xml:space="preserve"> </w:t>
      </w:r>
      <w:r w:rsidR="000B2F56" w:rsidRPr="00BC4264">
        <w:rPr>
          <w:b/>
        </w:rPr>
        <w:t>−</w:t>
      </w:r>
    </w:p>
    <w:p w:rsidR="00DF72B8" w:rsidRPr="00BC4264" w:rsidRDefault="00DF72B8" w:rsidP="00DF72B8">
      <w:pPr>
        <w:pStyle w:val="j-quotation"/>
        <w:tabs>
          <w:tab w:val="clear" w:pos="1418"/>
        </w:tabs>
        <w:ind w:left="2160" w:hanging="360"/>
      </w:pPr>
      <w:r w:rsidRPr="00BC4264">
        <w:t>a)</w:t>
      </w:r>
      <w:r w:rsidRPr="00BC4264">
        <w:tab/>
        <w:t xml:space="preserve">they are passed on the same day; or </w:t>
      </w:r>
    </w:p>
    <w:p w:rsidR="00DF72B8" w:rsidRPr="00BC4264" w:rsidRDefault="00DF72B8" w:rsidP="00DF72B8">
      <w:pPr>
        <w:pStyle w:val="j-quotation"/>
        <w:tabs>
          <w:tab w:val="clear" w:pos="1418"/>
        </w:tabs>
        <w:ind w:left="2160" w:hanging="360"/>
      </w:pPr>
      <w:r w:rsidRPr="00BC4264">
        <w:t>b)</w:t>
      </w:r>
      <w:r w:rsidRPr="00BC4264">
        <w:tab/>
        <w:t>they are passed on different days but the court in passing any one of them states that it is treating that one together with the other or others as substantially one sentence, and consecutive terms of imprisonment and terms which are wholly or partly concurrent are to be treated as a single term.”</w:t>
      </w:r>
    </w:p>
    <w:p w:rsidR="006C5D07" w:rsidRPr="00BC4264" w:rsidRDefault="00DF72B8" w:rsidP="00DF72B8">
      <w:pPr>
        <w:pStyle w:val="T-Draft"/>
      </w:pPr>
      <w:r w:rsidRPr="00BC4264">
        <w:t xml:space="preserve">Section 83H is to be read </w:t>
      </w:r>
      <w:r w:rsidR="0072213D" w:rsidRPr="00BC4264">
        <w:t xml:space="preserve">together </w:t>
      </w:r>
      <w:r w:rsidRPr="00BC4264">
        <w:t>with section 80(1) of the CPO</w:t>
      </w:r>
      <w:r w:rsidR="0072213D" w:rsidRPr="00BC4264">
        <w:t>,</w:t>
      </w:r>
      <w:r w:rsidRPr="00BC4264">
        <w:t xml:space="preserve"> which provides</w:t>
      </w:r>
      <w:r w:rsidR="006C5D07" w:rsidRPr="00BC4264">
        <w:t xml:space="preserve"> that:</w:t>
      </w:r>
    </w:p>
    <w:p w:rsidR="00DF72B8" w:rsidRPr="00BC4264" w:rsidRDefault="0072213D" w:rsidP="009E5565">
      <w:pPr>
        <w:pStyle w:val="j-quotation"/>
      </w:pPr>
      <w:r w:rsidRPr="00BC4264">
        <w:t>“‘</w:t>
      </w:r>
      <w:r w:rsidR="00DF72B8" w:rsidRPr="00BC4264">
        <w:t>sentence</w:t>
      </w:r>
      <w:r w:rsidRPr="00BC4264">
        <w:t>’ (</w:t>
      </w:r>
      <w:r w:rsidR="00993102" w:rsidRPr="00BC4264">
        <w:rPr>
          <w:rFonts w:ascii="宋体" w:hAnsi="宋体"/>
          <w:lang w:eastAsia="zh-HK"/>
        </w:rPr>
        <w:t>刑罰</w:t>
      </w:r>
      <w:r w:rsidRPr="00BC4264">
        <w:t>),</w:t>
      </w:r>
      <w:r w:rsidR="00DF72B8" w:rsidRPr="00BC4264">
        <w:t xml:space="preserve"> in relation to an offence, includes any order made by a court in dealing with an offender, including a hospital order</w:t>
      </w:r>
      <w:r w:rsidRPr="00BC4264">
        <w:t>…</w:t>
      </w:r>
      <w:r w:rsidR="009E5565" w:rsidRPr="00BC4264">
        <w:t>”.</w:t>
      </w:r>
    </w:p>
    <w:p w:rsidR="00DF72B8" w:rsidRPr="00BC4264" w:rsidRDefault="00DF72B8" w:rsidP="00DF72B8">
      <w:pPr>
        <w:pStyle w:val="T-Draft"/>
      </w:pPr>
      <w:r w:rsidRPr="00BC4264">
        <w:t>On the other hand, section 83G governs an appeal made by a person convicted of an offence on indictment</w:t>
      </w:r>
      <w:r w:rsidR="009279B7" w:rsidRPr="00BC4264">
        <w:t>,</w:t>
      </w:r>
      <w:r w:rsidRPr="00BC4264">
        <w:t xml:space="preserve"> who: </w:t>
      </w:r>
    </w:p>
    <w:p w:rsidR="00DF72B8" w:rsidRPr="00BC4264" w:rsidRDefault="00DF72B8" w:rsidP="00DF72B8">
      <w:pPr>
        <w:pStyle w:val="j-quotation"/>
      </w:pPr>
      <w:r w:rsidRPr="00BC4264">
        <w:t xml:space="preserve">“may appeal to the Court of Appeal against any sentence (not </w:t>
      </w:r>
      <w:r w:rsidR="005513DC" w:rsidRPr="00BC4264">
        <w:rPr>
          <w:b/>
          <w:i/>
        </w:rPr>
        <w:t>‍</w:t>
      </w:r>
      <w:r w:rsidRPr="00BC4264">
        <w:t xml:space="preserve">being a sentence fixed by law) </w:t>
      </w:r>
      <w:r w:rsidRPr="00BC4264">
        <w:rPr>
          <w:i/>
        </w:rPr>
        <w:t>passed on him for the offence</w:t>
      </w:r>
      <w:r w:rsidRPr="00BC4264">
        <w:t>, whether passed on his conviction or in subsequent proceedings”</w:t>
      </w:r>
      <w:r w:rsidR="006C5D07" w:rsidRPr="00BC4264">
        <w:t>. (Emphasis supplied)</w:t>
      </w:r>
    </w:p>
    <w:p w:rsidR="00DF72B8" w:rsidRPr="00BC4264" w:rsidRDefault="00DF72B8" w:rsidP="00DF72B8">
      <w:pPr>
        <w:pStyle w:val="T-Draft"/>
      </w:pPr>
      <w:r w:rsidRPr="00BC4264">
        <w:t>The material difference between the two sections is the term “passed on him for the offence” in section 83G</w:t>
      </w:r>
      <w:r w:rsidR="0072213D" w:rsidRPr="00BC4264">
        <w:t>,</w:t>
      </w:r>
      <w:r w:rsidRPr="00BC4264">
        <w:t xml:space="preserve"> which is absent </w:t>
      </w:r>
      <w:r w:rsidR="006C5D07" w:rsidRPr="00BC4264">
        <w:t>from</w:t>
      </w:r>
      <w:r w:rsidRPr="00BC4264">
        <w:t xml:space="preserve"> section </w:t>
      </w:r>
      <w:r w:rsidR="005513DC" w:rsidRPr="00BC4264">
        <w:rPr>
          <w:b/>
          <w:i/>
        </w:rPr>
        <w:t>‍</w:t>
      </w:r>
      <w:r w:rsidRPr="00BC4264">
        <w:t xml:space="preserve">83H. </w:t>
      </w:r>
      <w:r w:rsidR="005513DC" w:rsidRPr="00BC4264">
        <w:t xml:space="preserve"> </w:t>
      </w:r>
      <w:r w:rsidR="006C5D07" w:rsidRPr="00BC4264">
        <w:t>It may be noted that t</w:t>
      </w:r>
      <w:r w:rsidRPr="00BC4264">
        <w:t>hese statutory provisions are modelled on</w:t>
      </w:r>
      <w:r w:rsidR="008D3154" w:rsidRPr="00BC4264">
        <w:t>,</w:t>
      </w:r>
      <w:r w:rsidRPr="00BC4264">
        <w:t xml:space="preserve"> and closely resemble</w:t>
      </w:r>
      <w:r w:rsidR="008D3154" w:rsidRPr="00BC4264">
        <w:t>,</w:t>
      </w:r>
      <w:r w:rsidRPr="00BC4264">
        <w:t xml:space="preserve"> sections 9 and 10 of the Criminal Appeal Act</w:t>
      </w:r>
      <w:r w:rsidR="008D3154" w:rsidRPr="00BC4264">
        <w:t>,</w:t>
      </w:r>
      <w:r w:rsidRPr="00BC4264">
        <w:t xml:space="preserve"> 1968</w:t>
      </w:r>
      <w:r w:rsidR="006C5D07" w:rsidRPr="00BC4264">
        <w:t xml:space="preserve"> in the United Kingdom</w:t>
      </w:r>
      <w:r w:rsidRPr="00BC4264">
        <w:t xml:space="preserve">. </w:t>
      </w:r>
    </w:p>
    <w:p w:rsidR="00DF72B8" w:rsidRPr="00BC4264" w:rsidRDefault="00A53F3A" w:rsidP="00DF72B8">
      <w:pPr>
        <w:pStyle w:val="T-Draft"/>
      </w:pPr>
      <w:r w:rsidRPr="00BC4264">
        <w:t xml:space="preserve">As we have said, </w:t>
      </w:r>
      <w:r w:rsidR="00FF5454" w:rsidRPr="00BC4264">
        <w:t xml:space="preserve">counsel for </w:t>
      </w:r>
      <w:r w:rsidRPr="00BC4264">
        <w:t>b</w:t>
      </w:r>
      <w:r w:rsidR="00DF72B8" w:rsidRPr="00BC4264">
        <w:t xml:space="preserve">oth the appellant and the respondent </w:t>
      </w:r>
      <w:r w:rsidR="0086259F" w:rsidRPr="00BC4264">
        <w:t>were in agreement</w:t>
      </w:r>
      <w:r w:rsidR="00DF72B8" w:rsidRPr="00BC4264">
        <w:t xml:space="preserve"> that a forfeiture order is properly </w:t>
      </w:r>
      <w:r w:rsidR="0086259F" w:rsidRPr="00BC4264">
        <w:t xml:space="preserve">to be </w:t>
      </w:r>
      <w:r w:rsidR="00DF72B8" w:rsidRPr="00BC4264">
        <w:lastRenderedPageBreak/>
        <w:t xml:space="preserve">considered part of the sentence imposed upon a defendant. </w:t>
      </w:r>
      <w:r w:rsidR="005513DC" w:rsidRPr="00BC4264">
        <w:t xml:space="preserve"> </w:t>
      </w:r>
      <w:r w:rsidR="00DF72B8" w:rsidRPr="00BC4264">
        <w:t xml:space="preserve">And as such, the Court of Appeal has jurisdiction to deal with a forfeiture order on an appeal against sentence. </w:t>
      </w:r>
    </w:p>
    <w:p w:rsidR="00DF72B8" w:rsidRPr="00BC4264" w:rsidRDefault="00DF72B8" w:rsidP="00DF72B8">
      <w:pPr>
        <w:pStyle w:val="T-Draft"/>
      </w:pPr>
      <w:r w:rsidRPr="00BC4264">
        <w:t xml:space="preserve">The issue before this Court therefore, is whether or not someone </w:t>
      </w:r>
      <w:r w:rsidRPr="00BC4264">
        <w:rPr>
          <w:i/>
        </w:rPr>
        <w:t>convicted</w:t>
      </w:r>
      <w:r w:rsidRPr="00BC4264">
        <w:t xml:space="preserve"> o</w:t>
      </w:r>
      <w:r w:rsidR="00FF5454" w:rsidRPr="00BC4264">
        <w:t>f</w:t>
      </w:r>
      <w:r w:rsidRPr="00BC4264">
        <w:t xml:space="preserve"> an offence on an indictment (as provided for in </w:t>
      </w:r>
      <w:r w:rsidR="00EE45FA" w:rsidRPr="00BC4264">
        <w:t>s</w:t>
      </w:r>
      <w:r w:rsidRPr="00BC4264">
        <w:t xml:space="preserve">ection 83G) necessarily has a more restrictive right to appeal against his ‘sentence’ than someone who pleads guilty in a </w:t>
      </w:r>
      <w:r w:rsidR="000A28AA" w:rsidRPr="00BC4264">
        <w:t>m</w:t>
      </w:r>
      <w:r w:rsidRPr="00BC4264">
        <w:t>agistrate</w:t>
      </w:r>
      <w:r w:rsidR="000A28AA" w:rsidRPr="00BC4264">
        <w:t>’</w:t>
      </w:r>
      <w:r w:rsidRPr="00BC4264">
        <w:t xml:space="preserve">s </w:t>
      </w:r>
      <w:r w:rsidR="000A28AA" w:rsidRPr="00BC4264">
        <w:t>c</w:t>
      </w:r>
      <w:r w:rsidRPr="00BC4264">
        <w:t xml:space="preserve">ourt and is </w:t>
      </w:r>
      <w:r w:rsidR="00B042DF" w:rsidRPr="00BC4264">
        <w:t>“</w:t>
      </w:r>
      <w:r w:rsidRPr="00BC4264">
        <w:t>dealt with by the Court of First Instance (otherwise than on appeal from a magistrate) for an offence of which he was not convicted on indictment</w:t>
      </w:r>
      <w:r w:rsidR="00B042DF" w:rsidRPr="00BC4264">
        <w:t>”</w:t>
      </w:r>
      <w:r w:rsidR="0086259F" w:rsidRPr="00BC4264">
        <w:t>,</w:t>
      </w:r>
      <w:r w:rsidRPr="00BC4264">
        <w:t xml:space="preserve"> as in </w:t>
      </w:r>
      <w:r w:rsidR="00EE45FA" w:rsidRPr="00BC4264">
        <w:t>s</w:t>
      </w:r>
      <w:r w:rsidRPr="00BC4264">
        <w:t xml:space="preserve">ection 83H of the CPO. </w:t>
      </w:r>
    </w:p>
    <w:p w:rsidR="00DF72B8" w:rsidRPr="00BC4264" w:rsidRDefault="0009165A" w:rsidP="00DF72B8">
      <w:pPr>
        <w:pStyle w:val="T-Draft"/>
      </w:pPr>
      <w:r w:rsidRPr="00BC4264">
        <w:t xml:space="preserve">In </w:t>
      </w:r>
      <w:r w:rsidRPr="00BC4264">
        <w:rPr>
          <w:i/>
        </w:rPr>
        <w:t>Valencia</w:t>
      </w:r>
      <w:r w:rsidRPr="00BC4264">
        <w:t xml:space="preserve">, McWalters </w:t>
      </w:r>
      <w:r w:rsidR="00EE45FA" w:rsidRPr="00BC4264">
        <w:t xml:space="preserve">JA </w:t>
      </w:r>
      <w:r w:rsidRPr="00BC4264">
        <w:t>saw the issue in this way</w:t>
      </w:r>
      <w:r w:rsidR="00DF72B8" w:rsidRPr="00BC4264">
        <w:rPr>
          <w:vertAlign w:val="superscript"/>
        </w:rPr>
        <w:footnoteReference w:id="108"/>
      </w:r>
      <w:r w:rsidR="00DF72B8" w:rsidRPr="00BC4264">
        <w:t xml:space="preserve">: </w:t>
      </w:r>
    </w:p>
    <w:p w:rsidR="00DF72B8" w:rsidRPr="00BC4264" w:rsidRDefault="00DF72B8" w:rsidP="00DF72B8">
      <w:pPr>
        <w:pStyle w:val="j-quotation"/>
      </w:pPr>
      <w:r w:rsidRPr="00BC4264">
        <w:t>“</w:t>
      </w:r>
      <w:r w:rsidR="0009165A" w:rsidRPr="00BC4264">
        <w:t>W</w:t>
      </w:r>
      <w:r w:rsidRPr="00BC4264">
        <w:t xml:space="preserve">here a defendant is committed by a magistrate to be sentenced by a judge of the Court of First Instance of the High Court, the defendant has a right of appeal against sentence under section </w:t>
      </w:r>
      <w:r w:rsidR="000B2F56" w:rsidRPr="00BC4264">
        <w:rPr>
          <w:b/>
        </w:rPr>
        <w:t>‍</w:t>
      </w:r>
      <w:r w:rsidRPr="00BC4264">
        <w:t xml:space="preserve">83H of the CPO. </w:t>
      </w:r>
      <w:r w:rsidR="000B2F56" w:rsidRPr="00BC4264">
        <w:t xml:space="preserve"> </w:t>
      </w:r>
      <w:r w:rsidRPr="00BC4264">
        <w:t xml:space="preserve">Section 83H in referring to the right of appeal, does not employ the limiting words ‘passed on him for the offence’. </w:t>
      </w:r>
      <w:r w:rsidR="000B2F56" w:rsidRPr="00BC4264">
        <w:t xml:space="preserve"> </w:t>
      </w:r>
      <w:r w:rsidRPr="00BC4264">
        <w:t>Whether this section creates a separate, free standing right of appeal different from that in section 83G or whether it simply extends the section 83G right of appeal to persons committed for sentence by a magistrate, is a matter that would have to be fully argued.”</w:t>
      </w:r>
      <w:r w:rsidRPr="00BC4264">
        <w:rPr>
          <w:vertAlign w:val="superscript"/>
        </w:rPr>
        <w:footnoteReference w:id="109"/>
      </w:r>
      <w:r w:rsidRPr="00BC4264">
        <w:t xml:space="preserve">  </w:t>
      </w:r>
    </w:p>
    <w:p w:rsidR="00DF72B8" w:rsidRPr="00BC4264" w:rsidRDefault="00DF72B8" w:rsidP="00DF72B8">
      <w:pPr>
        <w:pStyle w:val="T-Draft"/>
      </w:pPr>
      <w:r w:rsidRPr="00BC4264">
        <w:t xml:space="preserve">The appellant’s case is that, </w:t>
      </w:r>
      <w:r w:rsidR="0009165A" w:rsidRPr="00BC4264">
        <w:t>since</w:t>
      </w:r>
      <w:r w:rsidRPr="00BC4264">
        <w:t xml:space="preserve"> she was committed to the </w:t>
      </w:r>
      <w:r w:rsidR="000B2F56" w:rsidRPr="00BC4264">
        <w:rPr>
          <w:b/>
        </w:rPr>
        <w:t>‍</w:t>
      </w:r>
      <w:r w:rsidRPr="00BC4264">
        <w:t xml:space="preserve">Court </w:t>
      </w:r>
      <w:r w:rsidR="000B2F56" w:rsidRPr="00BC4264">
        <w:rPr>
          <w:b/>
        </w:rPr>
        <w:t>‍</w:t>
      </w:r>
      <w:r w:rsidRPr="00BC4264">
        <w:t xml:space="preserve">of First Instance for sentence, and as the forfeiture order was made there, her case falls </w:t>
      </w:r>
      <w:r w:rsidR="0009165A" w:rsidRPr="00BC4264">
        <w:t>within</w:t>
      </w:r>
      <w:r w:rsidRPr="00BC4264">
        <w:t xml:space="preserve"> section 83H(1) and (2)</w:t>
      </w:r>
      <w:r w:rsidR="0009165A" w:rsidRPr="00BC4264">
        <w:t xml:space="preserve"> of the CPO,</w:t>
      </w:r>
      <w:r w:rsidRPr="00BC4264">
        <w:t xml:space="preserve"> as </w:t>
      </w:r>
      <w:r w:rsidR="0009165A" w:rsidRPr="00BC4264">
        <w:t>distinct from</w:t>
      </w:r>
      <w:r w:rsidRPr="00BC4264">
        <w:t xml:space="preserve"> section </w:t>
      </w:r>
      <w:r w:rsidR="000B2F56" w:rsidRPr="00BC4264">
        <w:rPr>
          <w:b/>
        </w:rPr>
        <w:t>‍</w:t>
      </w:r>
      <w:r w:rsidRPr="00BC4264">
        <w:t>83G</w:t>
      </w:r>
      <w:r w:rsidR="0091739B" w:rsidRPr="00BC4264">
        <w:t>,</w:t>
      </w:r>
      <w:r w:rsidR="0009165A" w:rsidRPr="00BC4264">
        <w:t xml:space="preserve"> </w:t>
      </w:r>
      <w:r w:rsidRPr="00BC4264">
        <w:t>which</w:t>
      </w:r>
      <w:r w:rsidR="0009165A" w:rsidRPr="00BC4264">
        <w:t xml:space="preserve"> deals with </w:t>
      </w:r>
      <w:r w:rsidR="00FF5454" w:rsidRPr="00BC4264">
        <w:t>convictions</w:t>
      </w:r>
      <w:r w:rsidR="0009165A" w:rsidRPr="00BC4264">
        <w:t xml:space="preserve"> on indictment</w:t>
      </w:r>
      <w:r w:rsidRPr="00BC4264">
        <w:t xml:space="preserve">. </w:t>
      </w:r>
      <w:r w:rsidR="000B2F56" w:rsidRPr="00BC4264">
        <w:t xml:space="preserve"> </w:t>
      </w:r>
      <w:r w:rsidRPr="00BC4264">
        <w:t>The sentence imposed on the appellant was one of 5</w:t>
      </w:r>
      <w:r w:rsidR="0009165A" w:rsidRPr="00BC4264">
        <w:t xml:space="preserve">½ </w:t>
      </w:r>
      <w:r w:rsidRPr="00BC4264">
        <w:t>years</w:t>
      </w:r>
      <w:r w:rsidR="0009165A" w:rsidRPr="00BC4264">
        <w:t>’ imprisonment</w:t>
      </w:r>
      <w:r w:rsidRPr="00BC4264">
        <w:t>, making it a term of imprisonment of 6 months or more; the forfeiture order</w:t>
      </w:r>
      <w:r w:rsidR="00B0506F" w:rsidRPr="00BC4264">
        <w:t>,</w:t>
      </w:r>
      <w:r w:rsidRPr="00BC4264">
        <w:t xml:space="preserve"> </w:t>
      </w:r>
      <w:r w:rsidRPr="00BC4264">
        <w:lastRenderedPageBreak/>
        <w:t>when considered together with the sentence of imprisonment</w:t>
      </w:r>
      <w:r w:rsidR="00B0506F" w:rsidRPr="00BC4264">
        <w:t>, also</w:t>
      </w:r>
      <w:r w:rsidRPr="00BC4264">
        <w:t xml:space="preserve"> therefore falls within section 83H(3)(a). </w:t>
      </w:r>
    </w:p>
    <w:p w:rsidR="00DF72B8" w:rsidRPr="00BC4264" w:rsidRDefault="0009165A" w:rsidP="00DF72B8">
      <w:pPr>
        <w:pStyle w:val="T-Draft"/>
      </w:pPr>
      <w:r w:rsidRPr="00BC4264">
        <w:t xml:space="preserve">In </w:t>
      </w:r>
      <w:r w:rsidRPr="00BC4264">
        <w:rPr>
          <w:i/>
        </w:rPr>
        <w:t>Valencia</w:t>
      </w:r>
      <w:r w:rsidRPr="00BC4264">
        <w:t>, McWalters JA went on to say</w:t>
      </w:r>
      <w:r w:rsidRPr="00BC4264">
        <w:rPr>
          <w:rStyle w:val="FootnoteReference"/>
        </w:rPr>
        <w:footnoteReference w:id="110"/>
      </w:r>
      <w:r w:rsidR="00DF72B8" w:rsidRPr="00BC4264">
        <w:t>:</w:t>
      </w:r>
    </w:p>
    <w:p w:rsidR="00DF72B8" w:rsidRPr="00BC4264" w:rsidRDefault="00DF72B8" w:rsidP="008D3154">
      <w:pPr>
        <w:pStyle w:val="j-quotation"/>
      </w:pPr>
      <w:r w:rsidRPr="00BC4264">
        <w:t>“The making of a forfeiture order is regarded as a civil process against property and it need not be property of a defendant.</w:t>
      </w:r>
      <w:r w:rsidR="009E5565" w:rsidRPr="00BC4264">
        <w:t xml:space="preserve"> </w:t>
      </w:r>
      <w:r w:rsidRPr="00BC4264">
        <w:t xml:space="preserve"> It does not deal with the offender personally and it may take place, as happened with this applicant, after the sentencing process has been completed. </w:t>
      </w:r>
      <w:r w:rsidR="009E5565" w:rsidRPr="00BC4264">
        <w:t xml:space="preserve"> </w:t>
      </w:r>
      <w:r w:rsidRPr="00BC4264">
        <w:t xml:space="preserve">It is therefore arguable whether such an order can be construed as part of the sentence imposed </w:t>
      </w:r>
      <w:r w:rsidR="008D3154" w:rsidRPr="00BC4264">
        <w:t>by the judge on the applicant.</w:t>
      </w:r>
      <w:r w:rsidRPr="00BC4264">
        <w:t>”</w:t>
      </w:r>
    </w:p>
    <w:p w:rsidR="00015C2B" w:rsidRPr="00BC4264" w:rsidRDefault="00DF72B8" w:rsidP="003F0C4B">
      <w:pPr>
        <w:pStyle w:val="T-Draft"/>
      </w:pPr>
      <w:r w:rsidRPr="00BC4264">
        <w:t>Mr Walsh, for the appellant, relie</w:t>
      </w:r>
      <w:r w:rsidR="003F0C4B" w:rsidRPr="00BC4264">
        <w:t>d</w:t>
      </w:r>
      <w:r w:rsidRPr="00BC4264">
        <w:t xml:space="preserve"> on</w:t>
      </w:r>
      <w:r w:rsidR="007756B3" w:rsidRPr="00BC4264">
        <w:t xml:space="preserve"> </w:t>
      </w:r>
      <w:r w:rsidR="00862CD9" w:rsidRPr="00BC4264">
        <w:rPr>
          <w:i/>
        </w:rPr>
        <w:t>HKSAR v</w:t>
      </w:r>
      <w:r w:rsidR="00862CD9" w:rsidRPr="00BC4264">
        <w:t xml:space="preserve"> </w:t>
      </w:r>
      <w:r w:rsidRPr="00BC4264">
        <w:rPr>
          <w:i/>
        </w:rPr>
        <w:t xml:space="preserve">Shoki </w:t>
      </w:r>
      <w:r w:rsidR="005513DC" w:rsidRPr="00BC4264">
        <w:rPr>
          <w:b/>
          <w:i/>
        </w:rPr>
        <w:t>‍</w:t>
      </w:r>
      <w:r w:rsidRPr="00BC4264">
        <w:rPr>
          <w:i/>
        </w:rPr>
        <w:t xml:space="preserve">Fatuma </w:t>
      </w:r>
      <w:r w:rsidR="005513DC" w:rsidRPr="00BC4264">
        <w:rPr>
          <w:b/>
          <w:i/>
        </w:rPr>
        <w:t>‍</w:t>
      </w:r>
      <w:r w:rsidRPr="00BC4264">
        <w:rPr>
          <w:i/>
        </w:rPr>
        <w:t>Ramadhani</w:t>
      </w:r>
      <w:r w:rsidR="003F0C4B" w:rsidRPr="00BC4264">
        <w:t xml:space="preserve">, </w:t>
      </w:r>
      <w:r w:rsidRPr="00BC4264">
        <w:t>where Lunn V-P ,</w:t>
      </w:r>
      <w:r w:rsidR="003F0C4B" w:rsidRPr="00BC4264">
        <w:t xml:space="preserve"> giving judgment on behalf of the </w:t>
      </w:r>
      <w:r w:rsidRPr="00BC4264">
        <w:t xml:space="preserve">majority, </w:t>
      </w:r>
      <w:r w:rsidR="003F0C4B" w:rsidRPr="00BC4264">
        <w:t>held that</w:t>
      </w:r>
      <w:r w:rsidRPr="00BC4264">
        <w:t xml:space="preserve"> “the order of forfeiture fell to be regarded as a matter </w:t>
      </w:r>
      <w:r w:rsidR="00B2011F" w:rsidRPr="00B2011F">
        <w:rPr>
          <w:b/>
          <w:i/>
        </w:rPr>
        <w:t>‍</w:t>
      </w:r>
      <w:r w:rsidRPr="00BC4264">
        <w:t>of se</w:t>
      </w:r>
      <w:r w:rsidR="003F0C4B" w:rsidRPr="00BC4264">
        <w:t>ntence, rather than conviction”</w:t>
      </w:r>
      <w:r w:rsidRPr="00BC4264">
        <w:rPr>
          <w:vertAlign w:val="superscript"/>
        </w:rPr>
        <w:footnoteReference w:id="111"/>
      </w:r>
      <w:r w:rsidR="003F0C4B" w:rsidRPr="00BC4264">
        <w:t xml:space="preserve">.  </w:t>
      </w:r>
      <w:r w:rsidR="000E4DF9" w:rsidRPr="00BC4264">
        <w:t xml:space="preserve">We </w:t>
      </w:r>
      <w:r w:rsidR="00D31657" w:rsidRPr="00BC4264">
        <w:t>should point out</w:t>
      </w:r>
      <w:r w:rsidR="00826AE0" w:rsidRPr="00BC4264">
        <w:t xml:space="preserve"> (and </w:t>
      </w:r>
      <w:r w:rsidR="009E3E41" w:rsidRPr="00BC4264">
        <w:rPr>
          <w:b/>
        </w:rPr>
        <w:t>‍</w:t>
      </w:r>
      <w:r w:rsidR="00826AE0" w:rsidRPr="00BC4264">
        <w:t xml:space="preserve">we </w:t>
      </w:r>
      <w:r w:rsidR="009E3E41" w:rsidRPr="00BC4264">
        <w:rPr>
          <w:b/>
        </w:rPr>
        <w:t>‍</w:t>
      </w:r>
      <w:r w:rsidR="00826AE0" w:rsidRPr="00BC4264">
        <w:t xml:space="preserve">shall </w:t>
      </w:r>
      <w:r w:rsidR="009E3E41" w:rsidRPr="00BC4264">
        <w:rPr>
          <w:b/>
        </w:rPr>
        <w:t>‍</w:t>
      </w:r>
      <w:r w:rsidR="00826AE0" w:rsidRPr="00BC4264">
        <w:t>return to this matter again</w:t>
      </w:r>
      <w:r w:rsidR="00B0506F" w:rsidRPr="00BC4264">
        <w:t xml:space="preserve"> later</w:t>
      </w:r>
      <w:r w:rsidR="00826AE0" w:rsidRPr="00BC4264">
        <w:t>)</w:t>
      </w:r>
      <w:r w:rsidR="00D31657" w:rsidRPr="00BC4264">
        <w:t xml:space="preserve"> </w:t>
      </w:r>
      <w:r w:rsidR="000E4DF9" w:rsidRPr="00BC4264">
        <w:t xml:space="preserve">that the applicant in </w:t>
      </w:r>
      <w:r w:rsidR="000E4DF9" w:rsidRPr="00BC4264">
        <w:rPr>
          <w:i/>
        </w:rPr>
        <w:t xml:space="preserve">Shoki </w:t>
      </w:r>
      <w:r w:rsidR="009E3E41" w:rsidRPr="00BC4264">
        <w:rPr>
          <w:b/>
          <w:i/>
        </w:rPr>
        <w:t>‍</w:t>
      </w:r>
      <w:r w:rsidR="000E4DF9" w:rsidRPr="00BC4264">
        <w:rPr>
          <w:i/>
        </w:rPr>
        <w:t xml:space="preserve">Fatuma </w:t>
      </w:r>
      <w:r w:rsidR="009E3E41" w:rsidRPr="00BC4264">
        <w:rPr>
          <w:b/>
          <w:i/>
        </w:rPr>
        <w:t>‍</w:t>
      </w:r>
      <w:r w:rsidR="000E4DF9" w:rsidRPr="00BC4264">
        <w:rPr>
          <w:i/>
        </w:rPr>
        <w:t>Ramadhani</w:t>
      </w:r>
      <w:r w:rsidR="000E4DF9" w:rsidRPr="00BC4264">
        <w:t xml:space="preserve"> had made a further application by counsel for leave to appeal to the Court of Final Appeal</w:t>
      </w:r>
      <w:r w:rsidR="00FF5454" w:rsidRPr="00BC4264">
        <w:t xml:space="preserve"> against a forfeiture order made under section 56(1) of the DDO</w:t>
      </w:r>
      <w:r w:rsidR="000E4DF9" w:rsidRPr="00BC4264">
        <w:t>, which application was</w:t>
      </w:r>
      <w:r w:rsidR="00D31657" w:rsidRPr="00BC4264">
        <w:t xml:space="preserve"> dismissed on the facts </w:t>
      </w:r>
      <w:r w:rsidR="000E4DF9" w:rsidRPr="00BC4264">
        <w:t>by the Appeal Committee</w:t>
      </w:r>
      <w:r w:rsidR="000E4DF9" w:rsidRPr="00BC4264">
        <w:rPr>
          <w:rStyle w:val="FootnoteReference"/>
        </w:rPr>
        <w:footnoteReference w:id="112"/>
      </w:r>
      <w:r w:rsidR="000E4DF9" w:rsidRPr="00BC4264">
        <w:t xml:space="preserve">.  </w:t>
      </w:r>
      <w:r w:rsidR="00015C2B" w:rsidRPr="00BC4264">
        <w:t xml:space="preserve">Mr Lui, for the respondent, submits that despite McWalters </w:t>
      </w:r>
      <w:r w:rsidR="00015C2B" w:rsidRPr="00BC4264">
        <w:rPr>
          <w:b/>
          <w:i/>
        </w:rPr>
        <w:t>‍</w:t>
      </w:r>
      <w:r w:rsidR="00015C2B" w:rsidRPr="00BC4264">
        <w:t>JA’s re</w:t>
      </w:r>
      <w:r w:rsidR="00322A2F" w:rsidRPr="00BC4264">
        <w:t>servations</w:t>
      </w:r>
      <w:r w:rsidR="00225B87" w:rsidRPr="00BC4264">
        <w:t xml:space="preserve"> in </w:t>
      </w:r>
      <w:r w:rsidR="00225B87" w:rsidRPr="00BC4264">
        <w:rPr>
          <w:i/>
        </w:rPr>
        <w:t>Valencia</w:t>
      </w:r>
      <w:r w:rsidR="00015C2B" w:rsidRPr="00BC4264">
        <w:t xml:space="preserve">, section 80 is nonetheless drafted widely enough </w:t>
      </w:r>
      <w:r w:rsidR="003F0C4B" w:rsidRPr="00BC4264">
        <w:t xml:space="preserve">to include </w:t>
      </w:r>
      <w:r w:rsidR="006C3395" w:rsidRPr="00BC4264">
        <w:t>with</w:t>
      </w:r>
      <w:r w:rsidR="003F0C4B" w:rsidRPr="00BC4264">
        <w:t xml:space="preserve">in its definition of </w:t>
      </w:r>
      <w:r w:rsidR="000A28AA" w:rsidRPr="00BC4264">
        <w:t>‘</w:t>
      </w:r>
      <w:r w:rsidR="003F0C4B" w:rsidRPr="00BC4264">
        <w:t>sentence</w:t>
      </w:r>
      <w:r w:rsidR="000A28AA" w:rsidRPr="00BC4264">
        <w:t>’</w:t>
      </w:r>
      <w:r w:rsidR="003F0C4B" w:rsidRPr="00BC4264">
        <w:t xml:space="preserve">, </w:t>
      </w:r>
      <w:r w:rsidR="003F0C4B" w:rsidRPr="00BC4264">
        <w:rPr>
          <w:i/>
        </w:rPr>
        <w:t>any</w:t>
      </w:r>
      <w:r w:rsidR="00015C2B" w:rsidRPr="00BC4264">
        <w:rPr>
          <w:i/>
        </w:rPr>
        <w:t xml:space="preserve"> order</w:t>
      </w:r>
      <w:r w:rsidR="00015C2B" w:rsidRPr="00BC4264">
        <w:t xml:space="preserve"> made by a court in dealing with an offender</w:t>
      </w:r>
      <w:r w:rsidR="003F0C4B" w:rsidRPr="00BC4264">
        <w:t>, which order must include a forfeiture order.</w:t>
      </w:r>
    </w:p>
    <w:p w:rsidR="00FB4904" w:rsidRPr="00BC4264" w:rsidRDefault="00FB4904" w:rsidP="009E3E41">
      <w:pPr>
        <w:pStyle w:val="Heading3"/>
        <w:spacing w:before="360" w:line="360" w:lineRule="auto"/>
        <w:rPr>
          <w:i/>
          <w:sz w:val="28"/>
          <w:szCs w:val="28"/>
          <w:u w:val="none"/>
        </w:rPr>
      </w:pPr>
      <w:r w:rsidRPr="00BC4264">
        <w:rPr>
          <w:i/>
          <w:sz w:val="28"/>
          <w:szCs w:val="28"/>
          <w:u w:val="none"/>
        </w:rPr>
        <w:lastRenderedPageBreak/>
        <w:t>G.1.1.  A comparison with the law in England and Wales</w:t>
      </w:r>
    </w:p>
    <w:p w:rsidR="00225B87" w:rsidRPr="00BC4264" w:rsidRDefault="00225B87" w:rsidP="00DF72B8">
      <w:pPr>
        <w:pStyle w:val="T-Draft"/>
      </w:pPr>
      <w:r w:rsidRPr="00BC4264">
        <w:t>Mr Lui referred us to the decision of the English</w:t>
      </w:r>
      <w:r w:rsidR="003F0C4B" w:rsidRPr="00BC4264">
        <w:t xml:space="preserve"> </w:t>
      </w:r>
      <w:r w:rsidR="009E5565" w:rsidRPr="00BC4264">
        <w:rPr>
          <w:b/>
          <w:i/>
        </w:rPr>
        <w:t>‍</w:t>
      </w:r>
      <w:r w:rsidR="003F0C4B" w:rsidRPr="00BC4264">
        <w:t>Court of Appeal in</w:t>
      </w:r>
      <w:r w:rsidR="00DF72B8" w:rsidRPr="00BC4264">
        <w:t xml:space="preserve"> </w:t>
      </w:r>
      <w:r w:rsidR="00DF72B8" w:rsidRPr="00BC4264">
        <w:rPr>
          <w:i/>
        </w:rPr>
        <w:t>R v Hayden</w:t>
      </w:r>
      <w:r w:rsidR="00DF72B8" w:rsidRPr="00BC4264">
        <w:rPr>
          <w:vertAlign w:val="superscript"/>
        </w:rPr>
        <w:footnoteReference w:id="113"/>
      </w:r>
      <w:r w:rsidR="003F0C4B" w:rsidRPr="00BC4264">
        <w:t>.  T</w:t>
      </w:r>
      <w:r w:rsidR="00DF72B8" w:rsidRPr="00BC4264">
        <w:t xml:space="preserve">he appellant </w:t>
      </w:r>
      <w:r w:rsidRPr="00BC4264">
        <w:t xml:space="preserve">in that case </w:t>
      </w:r>
      <w:r w:rsidR="003F0C4B" w:rsidRPr="00BC4264">
        <w:t>had been</w:t>
      </w:r>
      <w:r w:rsidR="00DF72B8" w:rsidRPr="00BC4264">
        <w:t xml:space="preserve"> convicted of unlawful possession of cannabis</w:t>
      </w:r>
      <w:r w:rsidR="003F0C4B" w:rsidRPr="00BC4264">
        <w:t>, fined</w:t>
      </w:r>
      <w:r w:rsidR="00DF72B8" w:rsidRPr="00BC4264">
        <w:t xml:space="preserve"> and ordered to pay </w:t>
      </w:r>
      <w:r w:rsidRPr="00BC4264">
        <w:t>the costs of the prosecution</w:t>
      </w:r>
      <w:r w:rsidR="00DF72B8" w:rsidRPr="00BC4264">
        <w:t xml:space="preserve">. </w:t>
      </w:r>
      <w:r w:rsidR="005513DC" w:rsidRPr="00BC4264">
        <w:t xml:space="preserve"> </w:t>
      </w:r>
      <w:r w:rsidR="00DF72B8" w:rsidRPr="00BC4264">
        <w:t xml:space="preserve">He appealed against the order </w:t>
      </w:r>
      <w:r w:rsidR="00AF716A" w:rsidRPr="00BC4264">
        <w:t>that he should</w:t>
      </w:r>
      <w:r w:rsidR="00DF72B8" w:rsidRPr="00BC4264">
        <w:t xml:space="preserve"> pay </w:t>
      </w:r>
      <w:r w:rsidRPr="00BC4264">
        <w:t>the costs of the prosecution</w:t>
      </w:r>
      <w:r w:rsidR="00DF72B8" w:rsidRPr="00BC4264">
        <w:t xml:space="preserve">. </w:t>
      </w:r>
      <w:r w:rsidR="005513DC" w:rsidRPr="00BC4264">
        <w:t xml:space="preserve"> </w:t>
      </w:r>
      <w:r w:rsidR="00DF72B8" w:rsidRPr="00BC4264">
        <w:t xml:space="preserve">The Court held that an order to pay the costs of the prosecution was a </w:t>
      </w:r>
      <w:r w:rsidR="000A28AA" w:rsidRPr="00BC4264">
        <w:t>‘</w:t>
      </w:r>
      <w:r w:rsidR="00DF72B8" w:rsidRPr="00BC4264">
        <w:t>sentence</w:t>
      </w:r>
      <w:r w:rsidR="000A28AA" w:rsidRPr="00BC4264">
        <w:t>’</w:t>
      </w:r>
      <w:r w:rsidR="00DF72B8" w:rsidRPr="00BC4264">
        <w:t xml:space="preserve"> within </w:t>
      </w:r>
      <w:r w:rsidR="003F0C4B" w:rsidRPr="00BC4264">
        <w:t xml:space="preserve">the meaning of </w:t>
      </w:r>
      <w:r w:rsidR="00DF72B8" w:rsidRPr="00BC4264">
        <w:t>section 50(1) of the Criminal Appeal Act 1968.</w:t>
      </w:r>
      <w:r w:rsidR="005513DC" w:rsidRPr="00BC4264">
        <w:t xml:space="preserve"> </w:t>
      </w:r>
      <w:r w:rsidR="00DF72B8" w:rsidRPr="00BC4264">
        <w:t xml:space="preserve"> </w:t>
      </w:r>
      <w:r w:rsidRPr="00BC4264">
        <w:t xml:space="preserve">Section 50(1) of the </w:t>
      </w:r>
      <w:r w:rsidR="00826AE0" w:rsidRPr="00BC4264">
        <w:t xml:space="preserve">Act </w:t>
      </w:r>
      <w:r w:rsidRPr="00BC4264">
        <w:t xml:space="preserve">provides, in similar </w:t>
      </w:r>
      <w:r w:rsidR="00AF716A" w:rsidRPr="00BC4264">
        <w:t>language</w:t>
      </w:r>
      <w:r w:rsidRPr="00BC4264">
        <w:t xml:space="preserve"> to section 80 of the CPO:</w:t>
      </w:r>
    </w:p>
    <w:p w:rsidR="00225B87" w:rsidRPr="00BC4264" w:rsidRDefault="00225B87" w:rsidP="009E5565">
      <w:pPr>
        <w:pStyle w:val="j-quotation"/>
      </w:pPr>
      <w:r w:rsidRPr="00BC4264">
        <w:t xml:space="preserve">“In this Act, </w:t>
      </w:r>
      <w:r w:rsidR="008D7684" w:rsidRPr="00BC4264">
        <w:t>‘</w:t>
      </w:r>
      <w:r w:rsidRPr="00BC4264">
        <w:t>sentence</w:t>
      </w:r>
      <w:r w:rsidR="008D7684" w:rsidRPr="00BC4264">
        <w:t>’</w:t>
      </w:r>
      <w:r w:rsidRPr="00BC4264">
        <w:t>, in relation to an offence, includes any order made by a court when dealing with an offence (including a hospital order…) and also includes a recommendation for deportation.”</w:t>
      </w:r>
    </w:p>
    <w:p w:rsidR="00DF72B8" w:rsidRPr="00BC4264" w:rsidRDefault="00DF72B8" w:rsidP="00DF72B8">
      <w:pPr>
        <w:pStyle w:val="T-Draft"/>
      </w:pPr>
      <w:r w:rsidRPr="00BC4264">
        <w:t>Th</w:t>
      </w:r>
      <w:r w:rsidR="00225B87" w:rsidRPr="00BC4264">
        <w:t xml:space="preserve">e Court </w:t>
      </w:r>
      <w:r w:rsidR="0009165A" w:rsidRPr="00BC4264">
        <w:t xml:space="preserve">in </w:t>
      </w:r>
      <w:r w:rsidR="0009165A" w:rsidRPr="00BC4264">
        <w:rPr>
          <w:i/>
        </w:rPr>
        <w:t>Hayden</w:t>
      </w:r>
      <w:r w:rsidR="0009165A" w:rsidRPr="00BC4264">
        <w:t xml:space="preserve"> </w:t>
      </w:r>
      <w:r w:rsidR="00225B87" w:rsidRPr="00BC4264">
        <w:t>explained</w:t>
      </w:r>
      <w:r w:rsidR="008D3154" w:rsidRPr="00BC4264">
        <w:rPr>
          <w:rStyle w:val="FootnoteReference"/>
        </w:rPr>
        <w:footnoteReference w:id="114"/>
      </w:r>
      <w:r w:rsidRPr="00BC4264">
        <w:t>:</w:t>
      </w:r>
    </w:p>
    <w:p w:rsidR="00DF72B8" w:rsidRPr="00BC4264" w:rsidRDefault="00DF72B8" w:rsidP="00DF72B8">
      <w:pPr>
        <w:pStyle w:val="j-quotation"/>
      </w:pPr>
      <w:r w:rsidRPr="00BC4264">
        <w:t xml:space="preserve">“The essential key to the meaning of </w:t>
      </w:r>
      <w:r w:rsidR="00225B87" w:rsidRPr="00BC4264">
        <w:t>“</w:t>
      </w:r>
      <w:r w:rsidRPr="00BC4264">
        <w:t>sentence</w:t>
      </w:r>
      <w:r w:rsidR="00225B87" w:rsidRPr="00BC4264">
        <w:t>”</w:t>
      </w:r>
      <w:r w:rsidRPr="00BC4264">
        <w:t xml:space="preserve"> in this context in our opinion is that it is an order, and it is an order made by a court when dealing with an offender, and we think that means when dealing with someone who has offended in respect of his offence. </w:t>
      </w:r>
      <w:r w:rsidR="005513DC" w:rsidRPr="00BC4264">
        <w:t xml:space="preserve"> </w:t>
      </w:r>
      <w:r w:rsidRPr="00BC4264">
        <w:t>Those then are the features to which one must look in deciding whether a particular direction, to use a neutral word, made by a court is a sentence for the purposes of the Act</w:t>
      </w:r>
      <w:r w:rsidR="000A0676" w:rsidRPr="00BC4264">
        <w:t xml:space="preserve"> of 1968</w:t>
      </w:r>
      <w:r w:rsidRPr="00BC4264">
        <w:t xml:space="preserve">. </w:t>
      </w:r>
    </w:p>
    <w:p w:rsidR="00DF72B8" w:rsidRPr="00BC4264" w:rsidRDefault="000A0676" w:rsidP="00DF72B8">
      <w:pPr>
        <w:pStyle w:val="j-quotation"/>
      </w:pPr>
      <w:r w:rsidRPr="00BC4264">
        <w:t>Having</w:t>
      </w:r>
      <w:r w:rsidR="00DF72B8" w:rsidRPr="00BC4264">
        <w:t xml:space="preserve"> looked at the definition of </w:t>
      </w:r>
      <w:r w:rsidRPr="00BC4264">
        <w:t>“</w:t>
      </w:r>
      <w:r w:rsidR="00DF72B8" w:rsidRPr="00BC4264">
        <w:t>sentence</w:t>
      </w:r>
      <w:r w:rsidRPr="00BC4264">
        <w:t>”</w:t>
      </w:r>
      <w:r w:rsidR="00DF72B8" w:rsidRPr="00BC4264">
        <w:t xml:space="preserve">, one can go back and see the power given by the same </w:t>
      </w:r>
      <w:r w:rsidRPr="00BC4264">
        <w:t>A</w:t>
      </w:r>
      <w:r w:rsidR="00DF72B8" w:rsidRPr="00BC4264">
        <w:t xml:space="preserve">ct to a person to appeal against his sentence, and this is found in </w:t>
      </w:r>
      <w:r w:rsidRPr="00BC4264">
        <w:t>s</w:t>
      </w:r>
      <w:r w:rsidR="00DF72B8" w:rsidRPr="00BC4264">
        <w:t>ection 9:</w:t>
      </w:r>
    </w:p>
    <w:p w:rsidR="00DF72B8" w:rsidRPr="00BC4264" w:rsidRDefault="00DF72B8" w:rsidP="005513DC">
      <w:pPr>
        <w:pStyle w:val="j-quotation"/>
        <w:tabs>
          <w:tab w:val="clear" w:pos="1418"/>
          <w:tab w:val="left" w:pos="1800"/>
        </w:tabs>
        <w:ind w:left="1800" w:right="1196"/>
      </w:pPr>
      <w:r w:rsidRPr="00BC4264">
        <w:t>‘</w:t>
      </w:r>
      <w:r w:rsidR="000A0676" w:rsidRPr="00BC4264">
        <w:t>A</w:t>
      </w:r>
      <w:r w:rsidRPr="00BC4264">
        <w:t xml:space="preserve"> person who has been convicted of an offence on indictment may appeal to the </w:t>
      </w:r>
      <w:r w:rsidR="000A0676" w:rsidRPr="00BC4264">
        <w:t>C</w:t>
      </w:r>
      <w:r w:rsidRPr="00BC4264">
        <w:t xml:space="preserve">ourt of </w:t>
      </w:r>
      <w:r w:rsidR="000A0676" w:rsidRPr="00BC4264">
        <w:t>A</w:t>
      </w:r>
      <w:r w:rsidRPr="00BC4264">
        <w:t xml:space="preserve">ppeal against any sentence </w:t>
      </w:r>
      <w:r w:rsidR="008D3154" w:rsidRPr="00BC4264">
        <w:t>(</w:t>
      </w:r>
      <w:r w:rsidRPr="00BC4264">
        <w:t>not being a sentence fixed by law</w:t>
      </w:r>
      <w:r w:rsidR="008D3154" w:rsidRPr="00BC4264">
        <w:t>)</w:t>
      </w:r>
      <w:r w:rsidRPr="00BC4264">
        <w:t xml:space="preserve"> passed on him for the offence, whether passed on his conviction</w:t>
      </w:r>
      <w:r w:rsidR="00823E5E" w:rsidRPr="00BC4264">
        <w:t xml:space="preserve"> or in subsequent proceedings</w:t>
      </w:r>
      <w:r w:rsidR="008D3154" w:rsidRPr="00BC4264">
        <w:t>’</w:t>
      </w:r>
      <w:r w:rsidR="00AF716A" w:rsidRPr="00BC4264">
        <w:t>.”</w:t>
      </w:r>
    </w:p>
    <w:p w:rsidR="00012C99" w:rsidRPr="00BC4264" w:rsidRDefault="00012C99" w:rsidP="00012C99">
      <w:pPr>
        <w:pStyle w:val="BodyText"/>
        <w:rPr>
          <w:lang w:eastAsia="en-US"/>
        </w:rPr>
      </w:pPr>
      <w:r w:rsidRPr="00BC4264">
        <w:rPr>
          <w:lang w:eastAsia="en-US"/>
        </w:rPr>
        <w:lastRenderedPageBreak/>
        <w:t>Pausing here, it will be seen that section 9 of the C</w:t>
      </w:r>
      <w:r w:rsidR="00826AE0" w:rsidRPr="00BC4264">
        <w:rPr>
          <w:lang w:eastAsia="en-US"/>
        </w:rPr>
        <w:t>riminal Appeal Act 1968</w:t>
      </w:r>
      <w:r w:rsidRPr="00BC4264">
        <w:rPr>
          <w:lang w:eastAsia="en-US"/>
        </w:rPr>
        <w:t xml:space="preserve"> is </w:t>
      </w:r>
      <w:r w:rsidRPr="00BC4264">
        <w:rPr>
          <w:i/>
          <w:lang w:eastAsia="en-US"/>
        </w:rPr>
        <w:t>in pari materia</w:t>
      </w:r>
      <w:r w:rsidRPr="00BC4264">
        <w:rPr>
          <w:lang w:eastAsia="en-US"/>
        </w:rPr>
        <w:t xml:space="preserve"> </w:t>
      </w:r>
      <w:r w:rsidR="00FF5454" w:rsidRPr="00BC4264">
        <w:rPr>
          <w:lang w:eastAsia="en-US"/>
        </w:rPr>
        <w:t xml:space="preserve">(indeed, its terms are identical) </w:t>
      </w:r>
      <w:r w:rsidRPr="00BC4264">
        <w:rPr>
          <w:lang w:eastAsia="en-US"/>
        </w:rPr>
        <w:t>with section 83G of the CPO.  The Court continued</w:t>
      </w:r>
      <w:r w:rsidR="00382A52" w:rsidRPr="00BC4264">
        <w:rPr>
          <w:rStyle w:val="FootnoteReference"/>
          <w:lang w:eastAsia="en-US"/>
        </w:rPr>
        <w:footnoteReference w:id="115"/>
      </w:r>
      <w:r w:rsidRPr="00BC4264">
        <w:rPr>
          <w:lang w:eastAsia="en-US"/>
        </w:rPr>
        <w:t>:</w:t>
      </w:r>
    </w:p>
    <w:p w:rsidR="00DF72B8" w:rsidRPr="00BC4264" w:rsidRDefault="00AF716A" w:rsidP="00DF72B8">
      <w:pPr>
        <w:pStyle w:val="j-quotation"/>
      </w:pPr>
      <w:r w:rsidRPr="00BC4264">
        <w:t>“</w:t>
      </w:r>
      <w:r w:rsidR="00DF72B8" w:rsidRPr="00BC4264">
        <w:t xml:space="preserve">The language of that section, looked </w:t>
      </w:r>
      <w:r w:rsidR="000A0676" w:rsidRPr="00BC4264">
        <w:t>at</w:t>
      </w:r>
      <w:r w:rsidR="00DF72B8" w:rsidRPr="00BC4264">
        <w:t xml:space="preserve"> without reference to authority or the history of the matter, again seems to us to be tolerably simple.</w:t>
      </w:r>
      <w:r w:rsidR="005513DC" w:rsidRPr="00BC4264">
        <w:t xml:space="preserve"> </w:t>
      </w:r>
      <w:r w:rsidR="00DF72B8" w:rsidRPr="00BC4264">
        <w:t xml:space="preserve"> The right to appeal to this court under section </w:t>
      </w:r>
      <w:r w:rsidR="005513DC" w:rsidRPr="00BC4264">
        <w:rPr>
          <w:b/>
          <w:i/>
        </w:rPr>
        <w:t>‍</w:t>
      </w:r>
      <w:r w:rsidR="00DF72B8" w:rsidRPr="00BC4264">
        <w:t xml:space="preserve">9 is restricted to someone who has been convicted of an offence on indictment. </w:t>
      </w:r>
      <w:r w:rsidR="005513DC" w:rsidRPr="00BC4264">
        <w:t xml:space="preserve"> </w:t>
      </w:r>
      <w:r w:rsidR="00DF72B8" w:rsidRPr="00BC4264">
        <w:t>The importance of those words is to distinguish a case falling within section 9 from a case falling within section 10 where the conviction was not on indictment.</w:t>
      </w:r>
      <w:r w:rsidR="005513DC" w:rsidRPr="00BC4264">
        <w:t xml:space="preserve"> </w:t>
      </w:r>
      <w:r w:rsidR="00DF72B8" w:rsidRPr="00BC4264">
        <w:t xml:space="preserve"> Section 9 is concerned with a person who has been convicted on indictment, and that includes the present appellant.</w:t>
      </w:r>
    </w:p>
    <w:p w:rsidR="00DF72B8" w:rsidRPr="00BC4264" w:rsidRDefault="00DF72B8" w:rsidP="00DF72B8">
      <w:pPr>
        <w:pStyle w:val="j-quotation"/>
      </w:pPr>
      <w:r w:rsidRPr="00BC4264">
        <w:t xml:space="preserve">The words </w:t>
      </w:r>
      <w:r w:rsidR="000A0676" w:rsidRPr="00BC4264">
        <w:t>‘</w:t>
      </w:r>
      <w:r w:rsidRPr="00BC4264">
        <w:t>passed on him for the offence</w:t>
      </w:r>
      <w:r w:rsidR="000A0676" w:rsidRPr="00BC4264">
        <w:t>’</w:t>
      </w:r>
      <w:r w:rsidRPr="00BC4264">
        <w:t xml:space="preserve"> contained in that section have given rise to some speculation because they </w:t>
      </w:r>
      <w:r w:rsidR="000A0676" w:rsidRPr="00BC4264">
        <w:t>are</w:t>
      </w:r>
      <w:r w:rsidRPr="00BC4264">
        <w:t xml:space="preserve"> new</w:t>
      </w:r>
      <w:r w:rsidR="000A0676" w:rsidRPr="00BC4264">
        <w:t>.  T</w:t>
      </w:r>
      <w:r w:rsidRPr="00BC4264">
        <w:t xml:space="preserve">hey did not appear in the corresponding provisions of the </w:t>
      </w:r>
      <w:r w:rsidR="000A0676" w:rsidRPr="00BC4264">
        <w:t>C</w:t>
      </w:r>
      <w:r w:rsidRPr="00BC4264">
        <w:t xml:space="preserve">riminal </w:t>
      </w:r>
      <w:r w:rsidR="000A0676" w:rsidRPr="00BC4264">
        <w:t>A</w:t>
      </w:r>
      <w:r w:rsidRPr="00BC4264">
        <w:t xml:space="preserve">ppeal </w:t>
      </w:r>
      <w:r w:rsidR="000A0676" w:rsidRPr="00BC4264">
        <w:t>A</w:t>
      </w:r>
      <w:r w:rsidRPr="00BC4264">
        <w:t xml:space="preserve">ct 1907 which was the foundation of the </w:t>
      </w:r>
      <w:r w:rsidR="000A0676" w:rsidRPr="00BC4264">
        <w:t>C</w:t>
      </w:r>
      <w:r w:rsidRPr="00BC4264">
        <w:t xml:space="preserve">ourt of </w:t>
      </w:r>
      <w:r w:rsidR="000A0676" w:rsidRPr="00BC4264">
        <w:t>C</w:t>
      </w:r>
      <w:r w:rsidRPr="00BC4264">
        <w:t xml:space="preserve">riminal </w:t>
      </w:r>
      <w:r w:rsidR="000A0676" w:rsidRPr="00BC4264">
        <w:t>A</w:t>
      </w:r>
      <w:r w:rsidRPr="00BC4264">
        <w:t xml:space="preserve">ppeal and not surprisingly those concerned in these matters have sought to give them a meaning. </w:t>
      </w:r>
      <w:r w:rsidR="005513DC" w:rsidRPr="00BC4264">
        <w:t xml:space="preserve"> </w:t>
      </w:r>
      <w:r w:rsidRPr="00BC4264">
        <w:t>We think the meaning does not go beyond this, that the section is making it clear that conviction of an offence on indictment is the key to an appeal under section 9, and the remaining words are intended to show that all which may be appealed against is a sentence pas</w:t>
      </w:r>
      <w:r w:rsidR="000A0676" w:rsidRPr="00BC4264">
        <w:t>sed</w:t>
      </w:r>
      <w:r w:rsidRPr="00BC4264">
        <w:t xml:space="preserve"> in respect of that offence of which he has been convicted on indictment. </w:t>
      </w:r>
      <w:r w:rsidR="005513DC" w:rsidRPr="00BC4264">
        <w:t xml:space="preserve"> </w:t>
      </w:r>
      <w:r w:rsidRPr="00BC4264">
        <w:t xml:space="preserve">We see no reason to look for other difficulties in the language which, on the first reading of the section, do not really appear, and are content that so far as section </w:t>
      </w:r>
      <w:r w:rsidR="005513DC" w:rsidRPr="00BC4264">
        <w:rPr>
          <w:b/>
          <w:i/>
        </w:rPr>
        <w:t>‍</w:t>
      </w:r>
      <w:r w:rsidRPr="00BC4264">
        <w:t>9 is concerned one should regard the key to availability of a right to appeal to this court as being that that the</w:t>
      </w:r>
      <w:r w:rsidR="000A0676" w:rsidRPr="00BC4264">
        <w:t xml:space="preserve"> defendant</w:t>
      </w:r>
      <w:r w:rsidRPr="00BC4264">
        <w:t xml:space="preserve"> has received a sentence in respect of an offence for which he was convicted on indictment</w:t>
      </w:r>
      <w:r w:rsidRPr="00BC4264">
        <w:rPr>
          <w:i/>
        </w:rPr>
        <w:t>.</w:t>
      </w:r>
      <w:r w:rsidRPr="00BC4264">
        <w:t>”</w:t>
      </w:r>
    </w:p>
    <w:p w:rsidR="00012C99" w:rsidRPr="00BC4264" w:rsidRDefault="00012C99" w:rsidP="00DF72B8">
      <w:pPr>
        <w:pStyle w:val="T-Draft"/>
      </w:pPr>
      <w:r w:rsidRPr="00BC4264">
        <w:t>The Court concluded that the power to order a defendant to pay the costs of the prosecution</w:t>
      </w:r>
      <w:r w:rsidRPr="00BC4264">
        <w:rPr>
          <w:rStyle w:val="FootnoteReference"/>
        </w:rPr>
        <w:footnoteReference w:id="116"/>
      </w:r>
      <w:r w:rsidRPr="00BC4264">
        <w:t>:</w:t>
      </w:r>
    </w:p>
    <w:p w:rsidR="00012C99" w:rsidRPr="00BC4264" w:rsidRDefault="00012C99" w:rsidP="009E5565">
      <w:pPr>
        <w:pStyle w:val="j-quotation"/>
      </w:pPr>
      <w:r w:rsidRPr="00BC4264">
        <w:t>“…is a power which seems to us to fit the definition of ‘sentence’ in section 50 exactly.  First of all</w:t>
      </w:r>
      <w:r w:rsidR="00142F13" w:rsidRPr="00BC4264">
        <w:t>,</w:t>
      </w:r>
      <w:r w:rsidRPr="00BC4264">
        <w:t xml:space="preserve"> it is an order.  It is not a recommendation but an order, and furthermore it is an order which is contingent upon there having been a conviction and it is contingent on the person by whom the payment is to be made, having been convicted in that way</w:t>
      </w:r>
      <w:r w:rsidR="00B042DF" w:rsidRPr="00BC4264">
        <w:t>.</w:t>
      </w:r>
      <w:r w:rsidRPr="00BC4264">
        <w:t>”</w:t>
      </w:r>
    </w:p>
    <w:p w:rsidR="0063115A" w:rsidRPr="00BC4264" w:rsidRDefault="00AB5A62" w:rsidP="00DF72B8">
      <w:pPr>
        <w:pStyle w:val="T-Draft"/>
      </w:pPr>
      <w:r w:rsidRPr="00BC4264">
        <w:lastRenderedPageBreak/>
        <w:t>By way of contrast, in</w:t>
      </w:r>
      <w:r w:rsidR="00DF72B8" w:rsidRPr="00BC4264">
        <w:t xml:space="preserve"> </w:t>
      </w:r>
      <w:r w:rsidR="00DF72B8" w:rsidRPr="00BC4264">
        <w:rPr>
          <w:i/>
        </w:rPr>
        <w:t>R v Thayne</w:t>
      </w:r>
      <w:r w:rsidR="00DF72B8" w:rsidRPr="00BC4264">
        <w:rPr>
          <w:vertAlign w:val="superscript"/>
        </w:rPr>
        <w:footnoteReference w:id="117"/>
      </w:r>
      <w:r w:rsidRPr="00BC4264">
        <w:t xml:space="preserve">, </w:t>
      </w:r>
      <w:r w:rsidR="00DF72B8" w:rsidRPr="00BC4264">
        <w:t xml:space="preserve">the English Court of Appeal </w:t>
      </w:r>
      <w:r w:rsidRPr="00BC4264">
        <w:t xml:space="preserve">held that it had no jurisdiction to entertain an appeal against an order </w:t>
      </w:r>
      <w:r w:rsidR="009C7CD1" w:rsidRPr="00BC4264">
        <w:t>for the</w:t>
      </w:r>
      <w:r w:rsidRPr="00BC4264">
        <w:t xml:space="preserve"> estreatment of a bail recognisance, with 6 months’ imprisonment </w:t>
      </w:r>
      <w:r w:rsidR="00382A52" w:rsidRPr="00BC4264">
        <w:t xml:space="preserve">imposed </w:t>
      </w:r>
      <w:r w:rsidRPr="00BC4264">
        <w:t>in default, because it was not a sentence</w:t>
      </w:r>
      <w:r w:rsidR="00D90FB0" w:rsidRPr="00BC4264">
        <w:t xml:space="preserve"> “</w:t>
      </w:r>
      <w:r w:rsidRPr="00BC4264">
        <w:t xml:space="preserve">passed on </w:t>
      </w:r>
      <w:r w:rsidR="00973F4D" w:rsidRPr="00973F4D">
        <w:rPr>
          <w:b/>
        </w:rPr>
        <w:t>‍</w:t>
      </w:r>
      <w:r w:rsidRPr="00BC4264">
        <w:t>him for the offence”, within the meaning of section 9 of the C</w:t>
      </w:r>
      <w:r w:rsidR="00826AE0" w:rsidRPr="00BC4264">
        <w:t xml:space="preserve">riminal </w:t>
      </w:r>
      <w:r w:rsidR="00973F4D" w:rsidRPr="00973F4D">
        <w:rPr>
          <w:b/>
        </w:rPr>
        <w:t>‍</w:t>
      </w:r>
      <w:r w:rsidR="00826AE0" w:rsidRPr="00BC4264">
        <w:t>Appeal Act 1968</w:t>
      </w:r>
      <w:r w:rsidR="0063115A" w:rsidRPr="00BC4264">
        <w:t xml:space="preserve">.  </w:t>
      </w:r>
      <w:r w:rsidR="00182E9A" w:rsidRPr="00BC4264">
        <w:t>The Court</w:t>
      </w:r>
      <w:r w:rsidR="0063115A" w:rsidRPr="00BC4264">
        <w:t xml:space="preserve"> held</w:t>
      </w:r>
      <w:r w:rsidR="0063115A" w:rsidRPr="00BC4264">
        <w:rPr>
          <w:rStyle w:val="FootnoteReference"/>
        </w:rPr>
        <w:footnoteReference w:id="118"/>
      </w:r>
      <w:r w:rsidR="0063115A" w:rsidRPr="00BC4264">
        <w:t>:</w:t>
      </w:r>
    </w:p>
    <w:p w:rsidR="0063115A" w:rsidRPr="00BC4264" w:rsidRDefault="0063115A" w:rsidP="004243BD">
      <w:pPr>
        <w:pStyle w:val="j-quotation"/>
      </w:pPr>
      <w:r w:rsidRPr="00BC4264">
        <w:t>“…wide as those words may be, once they are written into section 9 in place of the word “sentence”, the fact remains that the limiting words remain, namely, that the sentence must be passed on him for the offence.</w:t>
      </w:r>
      <w:r w:rsidR="00D952A5" w:rsidRPr="00BC4264">
        <w:t xml:space="preserve">  In those circumstances, odd as it may seem, this court has no jurisdiction whatever to interfere with that part of the recorder’s order.</w:t>
      </w:r>
      <w:r w:rsidRPr="00BC4264">
        <w:t>”</w:t>
      </w:r>
    </w:p>
    <w:p w:rsidR="0063115A" w:rsidRPr="00BC4264" w:rsidRDefault="0063115A" w:rsidP="0063115A">
      <w:pPr>
        <w:pStyle w:val="T-Draft"/>
        <w:numPr>
          <w:ilvl w:val="0"/>
          <w:numId w:val="0"/>
        </w:numPr>
      </w:pPr>
      <w:r w:rsidRPr="00BC4264">
        <w:rPr>
          <w:i/>
        </w:rPr>
        <w:t>Thayne</w:t>
      </w:r>
      <w:r w:rsidRPr="00BC4264">
        <w:t xml:space="preserve"> was applied</w:t>
      </w:r>
      <w:r w:rsidR="00E036F1" w:rsidRPr="00BC4264">
        <w:t xml:space="preserve"> by </w:t>
      </w:r>
      <w:r w:rsidR="0091739B" w:rsidRPr="00BC4264">
        <w:t>Yeung VP</w:t>
      </w:r>
      <w:r w:rsidRPr="00BC4264">
        <w:t xml:space="preserve"> in </w:t>
      </w:r>
      <w:r w:rsidRPr="00BC4264">
        <w:rPr>
          <w:i/>
        </w:rPr>
        <w:t xml:space="preserve">HKSAR v Chan </w:t>
      </w:r>
      <w:r w:rsidR="009B14D2" w:rsidRPr="00BC4264">
        <w:rPr>
          <w:b/>
          <w:i/>
        </w:rPr>
        <w:t>‍</w:t>
      </w:r>
      <w:r w:rsidRPr="00BC4264">
        <w:rPr>
          <w:i/>
        </w:rPr>
        <w:t>Yuen Yee Carrie</w:t>
      </w:r>
      <w:r w:rsidRPr="00BC4264">
        <w:rPr>
          <w:rStyle w:val="FootnoteReference"/>
        </w:rPr>
        <w:footnoteReference w:id="119"/>
      </w:r>
      <w:r w:rsidRPr="00BC4264">
        <w:t>, where the</w:t>
      </w:r>
      <w:r w:rsidR="00D952A5" w:rsidRPr="00BC4264">
        <w:t xml:space="preserve"> appellant had also appealed the </w:t>
      </w:r>
      <w:r w:rsidRPr="00BC4264">
        <w:t>trial judge</w:t>
      </w:r>
      <w:r w:rsidR="00D952A5" w:rsidRPr="00BC4264">
        <w:t>’s estreatment of h</w:t>
      </w:r>
      <w:r w:rsidR="00E27696" w:rsidRPr="00BC4264">
        <w:t>er</w:t>
      </w:r>
      <w:r w:rsidRPr="00BC4264">
        <w:t xml:space="preserve"> bail money</w:t>
      </w:r>
      <w:r w:rsidR="00E036F1" w:rsidRPr="00BC4264">
        <w:t xml:space="preserve"> of $40,000</w:t>
      </w:r>
      <w:r w:rsidR="00E27696" w:rsidRPr="00BC4264">
        <w:t>, she having failed to attend her trial for burglary in the District Court</w:t>
      </w:r>
      <w:r w:rsidRPr="00BC4264">
        <w:t xml:space="preserve">.  The Court </w:t>
      </w:r>
      <w:r w:rsidR="00CF0ED3" w:rsidRPr="00BC4264">
        <w:t xml:space="preserve">in </w:t>
      </w:r>
      <w:r w:rsidR="00CF0ED3" w:rsidRPr="00BC4264">
        <w:rPr>
          <w:i/>
        </w:rPr>
        <w:t>Chan Yuen Yee Carrie</w:t>
      </w:r>
      <w:r w:rsidR="00CF0ED3" w:rsidRPr="00BC4264">
        <w:t xml:space="preserve"> </w:t>
      </w:r>
      <w:r w:rsidRPr="00BC4264">
        <w:t>likewise declined to assume jurisdiction</w:t>
      </w:r>
      <w:r w:rsidR="00E036F1" w:rsidRPr="00BC4264">
        <w:t xml:space="preserve"> on appeal</w:t>
      </w:r>
      <w:r w:rsidR="00E27696" w:rsidRPr="00BC4264">
        <w:t xml:space="preserve"> against the judge’s order</w:t>
      </w:r>
      <w:r w:rsidRPr="00BC4264">
        <w:t>.</w:t>
      </w:r>
    </w:p>
    <w:p w:rsidR="00DF72B8" w:rsidRPr="00BC4264" w:rsidRDefault="00D952A5" w:rsidP="00D952A5">
      <w:pPr>
        <w:pStyle w:val="T-Draft"/>
      </w:pPr>
      <w:r w:rsidRPr="00BC4264">
        <w:t xml:space="preserve">However, as </w:t>
      </w:r>
      <w:r w:rsidR="009C7CD1" w:rsidRPr="00BC4264">
        <w:t xml:space="preserve">both Mr </w:t>
      </w:r>
      <w:r w:rsidRPr="00BC4264">
        <w:t xml:space="preserve">Walsh </w:t>
      </w:r>
      <w:r w:rsidR="009C7CD1" w:rsidRPr="00BC4264">
        <w:t xml:space="preserve">and Mr Lui have </w:t>
      </w:r>
      <w:r w:rsidRPr="00BC4264">
        <w:t xml:space="preserve">correctly submitted, </w:t>
      </w:r>
      <w:r w:rsidR="00DF72B8" w:rsidRPr="00BC4264">
        <w:rPr>
          <w:i/>
        </w:rPr>
        <w:t xml:space="preserve">Thayne </w:t>
      </w:r>
      <w:r w:rsidR="00DF72B8" w:rsidRPr="00BC4264">
        <w:t xml:space="preserve">and </w:t>
      </w:r>
      <w:r w:rsidR="00DF72B8" w:rsidRPr="00BC4264">
        <w:rPr>
          <w:i/>
        </w:rPr>
        <w:t xml:space="preserve">Chan </w:t>
      </w:r>
      <w:r w:rsidR="005513DC" w:rsidRPr="00BC4264">
        <w:rPr>
          <w:b/>
          <w:i/>
        </w:rPr>
        <w:t>‍</w:t>
      </w:r>
      <w:r w:rsidR="00DF72B8" w:rsidRPr="00BC4264">
        <w:rPr>
          <w:i/>
        </w:rPr>
        <w:t xml:space="preserve">Yuen </w:t>
      </w:r>
      <w:r w:rsidR="005513DC" w:rsidRPr="00BC4264">
        <w:rPr>
          <w:b/>
          <w:i/>
        </w:rPr>
        <w:t>‍</w:t>
      </w:r>
      <w:r w:rsidR="00DF72B8" w:rsidRPr="00BC4264">
        <w:rPr>
          <w:i/>
        </w:rPr>
        <w:t xml:space="preserve">Yee </w:t>
      </w:r>
      <w:r w:rsidR="005513DC" w:rsidRPr="00BC4264">
        <w:rPr>
          <w:b/>
          <w:i/>
        </w:rPr>
        <w:t>‍</w:t>
      </w:r>
      <w:r w:rsidR="00DF72B8" w:rsidRPr="00BC4264">
        <w:rPr>
          <w:i/>
        </w:rPr>
        <w:t xml:space="preserve">Carrie </w:t>
      </w:r>
      <w:r w:rsidRPr="00BC4264">
        <w:t xml:space="preserve">can readily be distinguished </w:t>
      </w:r>
      <w:r w:rsidR="00DF72B8" w:rsidRPr="00BC4264">
        <w:t xml:space="preserve">on the basis that they </w:t>
      </w:r>
      <w:r w:rsidRPr="00BC4264">
        <w:t>were concerned with</w:t>
      </w:r>
      <w:r w:rsidR="00DF72B8" w:rsidRPr="00BC4264">
        <w:t xml:space="preserve"> procedural matters </w:t>
      </w:r>
      <w:r w:rsidRPr="00BC4264">
        <w:t>arising</w:t>
      </w:r>
      <w:r w:rsidR="00DF72B8" w:rsidRPr="00BC4264">
        <w:t xml:space="preserve"> from court proceedings</w:t>
      </w:r>
      <w:r w:rsidRPr="00BC4264">
        <w:t>,</w:t>
      </w:r>
      <w:r w:rsidR="00DF72B8" w:rsidRPr="00BC4264">
        <w:t xml:space="preserve"> </w:t>
      </w:r>
      <w:r w:rsidRPr="00BC4264">
        <w:t xml:space="preserve">which were </w:t>
      </w:r>
      <w:r w:rsidR="00DF72B8" w:rsidRPr="00BC4264">
        <w:t>not related to the defendant’s offending</w:t>
      </w:r>
      <w:r w:rsidRPr="00BC4264">
        <w:t xml:space="preserve"> or the sentencing for that offending</w:t>
      </w:r>
      <w:r w:rsidR="00DF72B8" w:rsidRPr="00BC4264">
        <w:t xml:space="preserve">. </w:t>
      </w:r>
      <w:r w:rsidR="005513DC" w:rsidRPr="00BC4264">
        <w:t xml:space="preserve"> </w:t>
      </w:r>
      <w:r w:rsidR="00DF72B8" w:rsidRPr="00BC4264">
        <w:t xml:space="preserve"> </w:t>
      </w:r>
    </w:p>
    <w:p w:rsidR="006C700A" w:rsidRPr="00BC4264" w:rsidRDefault="00A56451" w:rsidP="005E6E12">
      <w:pPr>
        <w:pStyle w:val="Heading3"/>
        <w:spacing w:before="360" w:line="240" w:lineRule="auto"/>
        <w:rPr>
          <w:i/>
          <w:sz w:val="28"/>
          <w:szCs w:val="28"/>
          <w:u w:val="none"/>
        </w:rPr>
      </w:pPr>
      <w:r w:rsidRPr="00BC4264">
        <w:rPr>
          <w:i/>
          <w:sz w:val="28"/>
          <w:szCs w:val="28"/>
          <w:u w:val="none"/>
        </w:rPr>
        <w:t>G</w:t>
      </w:r>
      <w:r w:rsidR="006C700A" w:rsidRPr="00BC4264">
        <w:rPr>
          <w:i/>
          <w:sz w:val="28"/>
          <w:szCs w:val="28"/>
          <w:u w:val="none"/>
        </w:rPr>
        <w:t>.</w:t>
      </w:r>
      <w:r w:rsidR="00FB4904" w:rsidRPr="00BC4264">
        <w:rPr>
          <w:i/>
          <w:sz w:val="28"/>
          <w:szCs w:val="28"/>
          <w:u w:val="none"/>
        </w:rPr>
        <w:t>1.</w:t>
      </w:r>
      <w:r w:rsidR="006C700A" w:rsidRPr="00BC4264">
        <w:rPr>
          <w:i/>
          <w:sz w:val="28"/>
          <w:szCs w:val="28"/>
          <w:u w:val="none"/>
        </w:rPr>
        <w:t>2</w:t>
      </w:r>
      <w:r w:rsidRPr="00BC4264">
        <w:rPr>
          <w:i/>
          <w:sz w:val="28"/>
          <w:szCs w:val="28"/>
          <w:u w:val="none"/>
        </w:rPr>
        <w:t>.</w:t>
      </w:r>
      <w:r w:rsidR="006C700A" w:rsidRPr="00BC4264">
        <w:rPr>
          <w:i/>
          <w:sz w:val="28"/>
          <w:szCs w:val="28"/>
          <w:u w:val="none"/>
        </w:rPr>
        <w:t xml:space="preserve"> </w:t>
      </w:r>
      <w:r w:rsidR="00C67B46" w:rsidRPr="00BC4264">
        <w:rPr>
          <w:i/>
          <w:sz w:val="28"/>
          <w:szCs w:val="28"/>
          <w:u w:val="none"/>
        </w:rPr>
        <w:t xml:space="preserve"> </w:t>
      </w:r>
      <w:r w:rsidR="006C700A" w:rsidRPr="00BC4264">
        <w:rPr>
          <w:i/>
          <w:sz w:val="28"/>
          <w:szCs w:val="28"/>
          <w:u w:val="none"/>
        </w:rPr>
        <w:t>The application of section 56(1)(a) of the DDO</w:t>
      </w:r>
    </w:p>
    <w:p w:rsidR="00DF72B8" w:rsidRPr="00BC4264" w:rsidRDefault="00A53F3A" w:rsidP="00DF72B8">
      <w:pPr>
        <w:pStyle w:val="T-Draft"/>
      </w:pPr>
      <w:r w:rsidRPr="00BC4264">
        <w:t>It was Mr Walsh’s</w:t>
      </w:r>
      <w:r w:rsidR="00DF72B8" w:rsidRPr="00BC4264">
        <w:t xml:space="preserve"> </w:t>
      </w:r>
      <w:r w:rsidR="00D80F09" w:rsidRPr="00BC4264">
        <w:t>further argu</w:t>
      </w:r>
      <w:r w:rsidRPr="00BC4264">
        <w:t>ment</w:t>
      </w:r>
      <w:r w:rsidR="00D80F09" w:rsidRPr="00BC4264">
        <w:t xml:space="preserve"> that</w:t>
      </w:r>
      <w:r w:rsidR="00DF72B8" w:rsidRPr="00BC4264">
        <w:t xml:space="preserve"> no </w:t>
      </w:r>
      <w:r w:rsidR="00D80F09" w:rsidRPr="00BC4264">
        <w:t xml:space="preserve">forfeiture </w:t>
      </w:r>
      <w:r w:rsidR="00DF72B8" w:rsidRPr="00BC4264">
        <w:t>order could lawfully be made under section 56(1) of the D</w:t>
      </w:r>
      <w:r w:rsidR="00D80F09" w:rsidRPr="00BC4264">
        <w:t>DO</w:t>
      </w:r>
      <w:r w:rsidR="00DF72B8" w:rsidRPr="00BC4264">
        <w:t xml:space="preserve"> unless the </w:t>
      </w:r>
      <w:r w:rsidR="00D80F09" w:rsidRPr="00BC4264">
        <w:t xml:space="preserve">money </w:t>
      </w:r>
      <w:r w:rsidR="00135AD9" w:rsidRPr="00BC4264">
        <w:lastRenderedPageBreak/>
        <w:t xml:space="preserve">(or </w:t>
      </w:r>
      <w:r w:rsidR="00756118" w:rsidRPr="00BC4264">
        <w:rPr>
          <w:b/>
          <w:i/>
        </w:rPr>
        <w:t>‍</w:t>
      </w:r>
      <w:r w:rsidR="00135AD9" w:rsidRPr="00BC4264">
        <w:t>thing)</w:t>
      </w:r>
      <w:r w:rsidR="00DF72B8" w:rsidRPr="00BC4264">
        <w:t xml:space="preserve"> </w:t>
      </w:r>
      <w:r w:rsidR="00D80F09" w:rsidRPr="00BC4264">
        <w:t>in question had been</w:t>
      </w:r>
      <w:r w:rsidR="00DF72B8" w:rsidRPr="00BC4264">
        <w:t xml:space="preserve"> </w:t>
      </w:r>
      <w:r w:rsidR="00D80F09" w:rsidRPr="00BC4264">
        <w:t>“</w:t>
      </w:r>
      <w:r w:rsidR="00DF72B8" w:rsidRPr="00BC4264">
        <w:t>used in the commission of or in connection with</w:t>
      </w:r>
      <w:r w:rsidR="00D80F09" w:rsidRPr="00BC4264">
        <w:t>” an offence under the Ordinance (section 56(1)(a)),</w:t>
      </w:r>
      <w:r w:rsidR="00DF72B8" w:rsidRPr="00BC4264">
        <w:t xml:space="preserve"> or </w:t>
      </w:r>
      <w:r w:rsidR="00D80F09" w:rsidRPr="00BC4264">
        <w:t xml:space="preserve">unless </w:t>
      </w:r>
      <w:r w:rsidR="00135AD9" w:rsidRPr="00BC4264">
        <w:t>the money (or other property)</w:t>
      </w:r>
      <w:r w:rsidR="00D80F09" w:rsidRPr="00BC4264">
        <w:t xml:space="preserve"> had been “</w:t>
      </w:r>
      <w:r w:rsidR="00DF72B8" w:rsidRPr="00BC4264">
        <w:t xml:space="preserve">received or possessed as a result </w:t>
      </w:r>
      <w:r w:rsidR="00D80F09" w:rsidRPr="00BC4264">
        <w:t xml:space="preserve">or product </w:t>
      </w:r>
      <w:r w:rsidR="00DF72B8" w:rsidRPr="00BC4264">
        <w:t xml:space="preserve">of” </w:t>
      </w:r>
      <w:r w:rsidR="00D80F09" w:rsidRPr="00BC4264">
        <w:t>such an offence</w:t>
      </w:r>
      <w:r w:rsidR="00135AD9" w:rsidRPr="00BC4264">
        <w:t xml:space="preserve"> (section 56(1)(b))</w:t>
      </w:r>
      <w:r w:rsidR="00DF72B8" w:rsidRPr="00BC4264">
        <w:t xml:space="preserve">. </w:t>
      </w:r>
      <w:r w:rsidR="005513DC" w:rsidRPr="00BC4264">
        <w:t xml:space="preserve"> </w:t>
      </w:r>
      <w:r w:rsidR="00135AD9" w:rsidRPr="00BC4264">
        <w:t>Since there</w:t>
      </w:r>
      <w:r w:rsidR="00DF72B8" w:rsidRPr="00BC4264">
        <w:t xml:space="preserve"> must be a nexus between the </w:t>
      </w:r>
      <w:r w:rsidR="00135AD9" w:rsidRPr="00BC4264">
        <w:t xml:space="preserve">money (or thing or other </w:t>
      </w:r>
      <w:r w:rsidR="00DF72B8" w:rsidRPr="00BC4264">
        <w:t>property</w:t>
      </w:r>
      <w:r w:rsidR="00135AD9" w:rsidRPr="00BC4264">
        <w:t>)</w:t>
      </w:r>
      <w:r w:rsidR="00DF72B8" w:rsidRPr="00BC4264">
        <w:t xml:space="preserve"> and the offence</w:t>
      </w:r>
      <w:r w:rsidR="00135AD9" w:rsidRPr="00BC4264">
        <w:t>, a forfeiture order could</w:t>
      </w:r>
      <w:r w:rsidR="00DF72B8" w:rsidRPr="00BC4264">
        <w:t xml:space="preserve"> properly be described as a </w:t>
      </w:r>
      <w:r w:rsidR="003E74C7" w:rsidRPr="00BC4264">
        <w:t>‘</w:t>
      </w:r>
      <w:r w:rsidR="00DF72B8" w:rsidRPr="00BC4264">
        <w:t>sentence</w:t>
      </w:r>
      <w:r w:rsidR="003E74C7" w:rsidRPr="00BC4264">
        <w:t>’</w:t>
      </w:r>
      <w:r w:rsidR="00DF72B8" w:rsidRPr="00BC4264">
        <w:t xml:space="preserve"> imposed on the </w:t>
      </w:r>
      <w:r w:rsidR="00135AD9" w:rsidRPr="00BC4264">
        <w:t>defendant</w:t>
      </w:r>
      <w:r w:rsidR="00DF72B8" w:rsidRPr="00BC4264">
        <w:t xml:space="preserve"> for the offence.</w:t>
      </w:r>
      <w:r w:rsidR="005513DC" w:rsidRPr="00BC4264">
        <w:t xml:space="preserve"> </w:t>
      </w:r>
      <w:r w:rsidR="00DF72B8" w:rsidRPr="00BC4264">
        <w:t xml:space="preserve"> </w:t>
      </w:r>
    </w:p>
    <w:p w:rsidR="00DF72B8" w:rsidRPr="00BC4264" w:rsidRDefault="002B4FA2" w:rsidP="00DF72B8">
      <w:pPr>
        <w:pStyle w:val="T-Draft"/>
      </w:pPr>
      <w:r w:rsidRPr="00BC4264">
        <w:t>Mr Lui</w:t>
      </w:r>
      <w:r w:rsidR="00DF72B8" w:rsidRPr="00BC4264">
        <w:t xml:space="preserve"> submits that, notwithstanding the civil nature of forfeiture proceedings, they are nonetheless penal in nature. </w:t>
      </w:r>
      <w:r w:rsidR="005513DC" w:rsidRPr="00BC4264">
        <w:t xml:space="preserve"> </w:t>
      </w:r>
      <w:r w:rsidR="00DF72B8" w:rsidRPr="00BC4264">
        <w:t xml:space="preserve">In </w:t>
      </w:r>
      <w:r w:rsidR="00DF72B8" w:rsidRPr="00BC4264">
        <w:rPr>
          <w:i/>
        </w:rPr>
        <w:t xml:space="preserve">Attorney </w:t>
      </w:r>
      <w:r w:rsidR="005513DC" w:rsidRPr="00BC4264">
        <w:rPr>
          <w:b/>
          <w:i/>
        </w:rPr>
        <w:t>‍</w:t>
      </w:r>
      <w:r w:rsidR="00DF72B8" w:rsidRPr="00BC4264">
        <w:rPr>
          <w:i/>
        </w:rPr>
        <w:t>General v So Lo-kam</w:t>
      </w:r>
      <w:r w:rsidR="00DF72B8" w:rsidRPr="00BC4264">
        <w:rPr>
          <w:vertAlign w:val="superscript"/>
        </w:rPr>
        <w:footnoteReference w:id="120"/>
      </w:r>
      <w:r w:rsidR="00135AD9" w:rsidRPr="00BC4264">
        <w:t xml:space="preserve">, </w:t>
      </w:r>
      <w:r w:rsidR="00E27696" w:rsidRPr="00BC4264">
        <w:t xml:space="preserve">a magistracy appeal, </w:t>
      </w:r>
      <w:r w:rsidR="00DF72B8" w:rsidRPr="00BC4264">
        <w:t xml:space="preserve">de Basto J cited the observations of Hogan CJ in </w:t>
      </w:r>
      <w:r w:rsidR="00DF72B8" w:rsidRPr="00BC4264">
        <w:rPr>
          <w:i/>
        </w:rPr>
        <w:t xml:space="preserve">Attorney-General </w:t>
      </w:r>
      <w:r w:rsidRPr="00BC4264">
        <w:rPr>
          <w:i/>
        </w:rPr>
        <w:t>v</w:t>
      </w:r>
      <w:r w:rsidR="00DF72B8" w:rsidRPr="00BC4264">
        <w:rPr>
          <w:i/>
        </w:rPr>
        <w:t xml:space="preserve"> C</w:t>
      </w:r>
      <w:r w:rsidRPr="00BC4264">
        <w:rPr>
          <w:i/>
        </w:rPr>
        <w:t>hin</w:t>
      </w:r>
      <w:r w:rsidR="00DF72B8" w:rsidRPr="00BC4264">
        <w:rPr>
          <w:i/>
        </w:rPr>
        <w:t xml:space="preserve"> Chack-wing</w:t>
      </w:r>
      <w:r w:rsidR="00DF72B8" w:rsidRPr="00BC4264">
        <w:rPr>
          <w:vertAlign w:val="superscript"/>
        </w:rPr>
        <w:t xml:space="preserve"> </w:t>
      </w:r>
      <w:r w:rsidR="00DF72B8" w:rsidRPr="00BC4264">
        <w:rPr>
          <w:vertAlign w:val="superscript"/>
        </w:rPr>
        <w:footnoteReference w:id="121"/>
      </w:r>
      <w:r w:rsidR="00DF72B8" w:rsidRPr="00BC4264">
        <w:t xml:space="preserve"> that “the forfeiture provisions </w:t>
      </w:r>
      <w:r w:rsidRPr="00BC4264">
        <w:t xml:space="preserve">of this section </w:t>
      </w:r>
      <w:r w:rsidR="00DF72B8" w:rsidRPr="00BC4264">
        <w:t xml:space="preserve">were put into the </w:t>
      </w:r>
      <w:r w:rsidRPr="00BC4264">
        <w:t xml:space="preserve">(Dutiable </w:t>
      </w:r>
      <w:r w:rsidR="00756118" w:rsidRPr="00BC4264">
        <w:rPr>
          <w:b/>
          <w:i/>
        </w:rPr>
        <w:t>‍</w:t>
      </w:r>
      <w:r w:rsidRPr="00BC4264">
        <w:t xml:space="preserve">Commodities) </w:t>
      </w:r>
      <w:r w:rsidR="00DF72B8" w:rsidRPr="00BC4264">
        <w:t xml:space="preserve">Ordinance </w:t>
      </w:r>
      <w:r w:rsidRPr="00BC4264">
        <w:t xml:space="preserve">for the purpose of enforcing it and serving as </w:t>
      </w:r>
      <w:r w:rsidR="00DF72B8" w:rsidRPr="00BC4264">
        <w:t>a deterrent against its contravention, that is, that forfeiture provisions are penal and deterrent in nature”</w:t>
      </w:r>
      <w:r w:rsidR="00DF72B8" w:rsidRPr="00BC4264">
        <w:rPr>
          <w:vertAlign w:val="superscript"/>
        </w:rPr>
        <w:footnoteReference w:id="122"/>
      </w:r>
      <w:r w:rsidR="00DF72B8" w:rsidRPr="00BC4264">
        <w:t xml:space="preserve">. </w:t>
      </w:r>
    </w:p>
    <w:p w:rsidR="00DF72B8" w:rsidRPr="00BC4264" w:rsidRDefault="005317B0" w:rsidP="00FE7A4B">
      <w:pPr>
        <w:pStyle w:val="T-Draft"/>
      </w:pPr>
      <w:r w:rsidRPr="00BC4264">
        <w:t>Mr Lui</w:t>
      </w:r>
      <w:r w:rsidR="00DF72B8" w:rsidRPr="00BC4264">
        <w:t xml:space="preserve"> relies on a similar conclusion having been reached by the House of Lords in </w:t>
      </w:r>
      <w:r w:rsidR="00DF72B8" w:rsidRPr="00BC4264">
        <w:rPr>
          <w:i/>
        </w:rPr>
        <w:t xml:space="preserve">Customs and Excise </w:t>
      </w:r>
      <w:r w:rsidR="005513DC" w:rsidRPr="00BC4264">
        <w:rPr>
          <w:b/>
          <w:i/>
        </w:rPr>
        <w:t>‍</w:t>
      </w:r>
      <w:r w:rsidR="00DF72B8" w:rsidRPr="00BC4264">
        <w:rPr>
          <w:i/>
        </w:rPr>
        <w:t>Commissioners v Menocal</w:t>
      </w:r>
      <w:r w:rsidR="00DF72B8" w:rsidRPr="00BC4264">
        <w:rPr>
          <w:vertAlign w:val="superscript"/>
        </w:rPr>
        <w:footnoteReference w:id="123"/>
      </w:r>
      <w:r w:rsidRPr="00BC4264">
        <w:t>,</w:t>
      </w:r>
      <w:r w:rsidR="00DF72B8" w:rsidRPr="00BC4264">
        <w:t xml:space="preserve"> where it was held that a forfeiture order made pursuant to section 27 of the Misuse of Drugs Act 1971 c</w:t>
      </w:r>
      <w:r w:rsidR="006C4CF3" w:rsidRPr="00BC4264">
        <w:t xml:space="preserve">ame within the definition of </w:t>
      </w:r>
      <w:r w:rsidR="000A28AA" w:rsidRPr="00BC4264">
        <w:t>‘</w:t>
      </w:r>
      <w:r w:rsidR="006C4CF3" w:rsidRPr="00BC4264">
        <w:t>sentence</w:t>
      </w:r>
      <w:r w:rsidR="000A28AA" w:rsidRPr="00BC4264">
        <w:t>’</w:t>
      </w:r>
      <w:r w:rsidR="006C4CF3" w:rsidRPr="00BC4264">
        <w:t xml:space="preserve"> as defined by section 57 of</w:t>
      </w:r>
      <w:r w:rsidR="00DF72B8" w:rsidRPr="00BC4264">
        <w:t xml:space="preserve"> the Courts Act 1971</w:t>
      </w:r>
      <w:r w:rsidR="006C4CF3" w:rsidRPr="00BC4264">
        <w:t>; the definition</w:t>
      </w:r>
      <w:r w:rsidR="00DF72B8" w:rsidRPr="00BC4264">
        <w:t xml:space="preserve"> being </w:t>
      </w:r>
      <w:r w:rsidR="006C4CF3" w:rsidRPr="00BC4264">
        <w:t xml:space="preserve">effectively </w:t>
      </w:r>
      <w:r w:rsidR="00DF72B8" w:rsidRPr="00BC4264">
        <w:t xml:space="preserve">the same as that </w:t>
      </w:r>
      <w:r w:rsidR="006C4CF3" w:rsidRPr="00BC4264">
        <w:t>in</w:t>
      </w:r>
      <w:r w:rsidR="00DF72B8" w:rsidRPr="00BC4264">
        <w:t xml:space="preserve"> section 50 of the C</w:t>
      </w:r>
      <w:r w:rsidR="00826AE0" w:rsidRPr="00BC4264">
        <w:t>riminal Appeal Act 1968</w:t>
      </w:r>
      <w:r w:rsidR="00DF72B8" w:rsidRPr="00BC4264">
        <w:t xml:space="preserve"> and section 80 of the CPO. </w:t>
      </w:r>
      <w:r w:rsidR="005513DC" w:rsidRPr="00BC4264">
        <w:t xml:space="preserve"> </w:t>
      </w:r>
      <w:r w:rsidR="006C4CF3" w:rsidRPr="00BC4264">
        <w:t xml:space="preserve">In allowing the appeal against the forfeiture of </w:t>
      </w:r>
      <w:r w:rsidR="00FE7A4B" w:rsidRPr="00BC4264">
        <w:t>£</w:t>
      </w:r>
      <w:r w:rsidR="00B67815" w:rsidRPr="00BC4264">
        <w:t xml:space="preserve">4,000, </w:t>
      </w:r>
      <w:r w:rsidR="00DF72B8" w:rsidRPr="00BC4264">
        <w:t xml:space="preserve">Lord </w:t>
      </w:r>
      <w:r w:rsidR="00343438" w:rsidRPr="00BC4264">
        <w:rPr>
          <w:b/>
          <w:i/>
        </w:rPr>
        <w:t>‍</w:t>
      </w:r>
      <w:r w:rsidR="00DF72B8" w:rsidRPr="00BC4264">
        <w:t>Salmon held</w:t>
      </w:r>
      <w:r w:rsidR="00B67815" w:rsidRPr="00BC4264">
        <w:rPr>
          <w:rStyle w:val="FootnoteReference"/>
        </w:rPr>
        <w:footnoteReference w:id="124"/>
      </w:r>
      <w:r w:rsidR="00B67815" w:rsidRPr="00BC4264">
        <w:t>:</w:t>
      </w:r>
    </w:p>
    <w:p w:rsidR="00DF72B8" w:rsidRPr="00BC4264" w:rsidRDefault="00DF72B8" w:rsidP="00DF72B8">
      <w:pPr>
        <w:pStyle w:val="j-quotation"/>
      </w:pPr>
      <w:r w:rsidRPr="00BC4264">
        <w:lastRenderedPageBreak/>
        <w:t>“</w:t>
      </w:r>
      <w:r w:rsidR="00B67815" w:rsidRPr="00BC4264">
        <w:t xml:space="preserve">In my view, it is important to remember that the word ‘sentence’ in relation to an offence is defined in section 57 of the Courts Act 1971, unless the context otherwise requires, as including ‘any order made by a court when dealing with an offender’. </w:t>
      </w:r>
      <w:r w:rsidR="00CA6BB7" w:rsidRPr="00BC4264">
        <w:t xml:space="preserve"> </w:t>
      </w:r>
      <w:r w:rsidR="00B67815" w:rsidRPr="00BC4264">
        <w:t xml:space="preserve">… </w:t>
      </w:r>
      <w:r w:rsidRPr="00BC4264">
        <w:t xml:space="preserve">The argument that an order that an offender shall forfeit a sum upwards of £4000 </w:t>
      </w:r>
      <w:r w:rsidR="00B67815" w:rsidRPr="00BC4264">
        <w:t xml:space="preserve">is </w:t>
      </w:r>
      <w:r w:rsidRPr="00BC4264">
        <w:t xml:space="preserve">solely for the public good and not by way of punishment is, in my respectful opinion, </w:t>
      </w:r>
      <w:r w:rsidR="00B67815" w:rsidRPr="00BC4264">
        <w:t xml:space="preserve">unsound and </w:t>
      </w:r>
      <w:r w:rsidRPr="00BC4264">
        <w:t xml:space="preserve">contrary to common sense. </w:t>
      </w:r>
      <w:r w:rsidR="005513DC" w:rsidRPr="00BC4264">
        <w:t xml:space="preserve"> </w:t>
      </w:r>
      <w:r w:rsidRPr="00BC4264">
        <w:t xml:space="preserve">All prison and other sentences against a convicted person, including money penalties and forfeitures of money in </w:t>
      </w:r>
      <w:r w:rsidR="00B67815" w:rsidRPr="00BC4264">
        <w:t xml:space="preserve">relation </w:t>
      </w:r>
      <w:r w:rsidRPr="00BC4264">
        <w:t xml:space="preserve">to an offence, have two purposes </w:t>
      </w:r>
      <w:r w:rsidR="00B67815" w:rsidRPr="00BC4264">
        <w:t>(1)</w:t>
      </w:r>
      <w:r w:rsidRPr="00BC4264">
        <w:t xml:space="preserve"> to punish the offender and </w:t>
      </w:r>
      <w:r w:rsidR="00B67815" w:rsidRPr="00BC4264">
        <w:t xml:space="preserve">(2) </w:t>
      </w:r>
      <w:r w:rsidRPr="00BC4264">
        <w:t>to support the public good by discouraging the offender and other potential criminals from committing such an offence in the future.”</w:t>
      </w:r>
    </w:p>
    <w:p w:rsidR="00CE60DC" w:rsidRPr="00BC4264" w:rsidRDefault="00A56451" w:rsidP="009E3E41">
      <w:pPr>
        <w:pStyle w:val="Heading2"/>
        <w:spacing w:before="360" w:line="240" w:lineRule="auto"/>
        <w:ind w:left="720" w:hanging="720"/>
        <w:rPr>
          <w:sz w:val="28"/>
          <w:szCs w:val="28"/>
        </w:rPr>
      </w:pPr>
      <w:r w:rsidRPr="00BC4264">
        <w:rPr>
          <w:sz w:val="28"/>
          <w:szCs w:val="28"/>
        </w:rPr>
        <w:t>G.</w:t>
      </w:r>
      <w:r w:rsidR="00FB4904" w:rsidRPr="00BC4264">
        <w:rPr>
          <w:sz w:val="28"/>
          <w:szCs w:val="28"/>
        </w:rPr>
        <w:t>2</w:t>
      </w:r>
      <w:r w:rsidRPr="00BC4264">
        <w:rPr>
          <w:sz w:val="28"/>
          <w:szCs w:val="28"/>
        </w:rPr>
        <w:t>.</w:t>
      </w:r>
      <w:r w:rsidR="006C700A" w:rsidRPr="00BC4264">
        <w:rPr>
          <w:sz w:val="28"/>
          <w:szCs w:val="28"/>
        </w:rPr>
        <w:t xml:space="preserve"> </w:t>
      </w:r>
      <w:r w:rsidR="00C67B46" w:rsidRPr="00BC4264">
        <w:rPr>
          <w:sz w:val="28"/>
          <w:szCs w:val="28"/>
        </w:rPr>
        <w:t xml:space="preserve"> </w:t>
      </w:r>
      <w:r w:rsidR="00CE60DC" w:rsidRPr="00BC4264">
        <w:rPr>
          <w:sz w:val="28"/>
          <w:szCs w:val="28"/>
        </w:rPr>
        <w:t>Discussion</w:t>
      </w:r>
      <w:r w:rsidR="006C700A" w:rsidRPr="00BC4264">
        <w:rPr>
          <w:sz w:val="28"/>
          <w:szCs w:val="28"/>
        </w:rPr>
        <w:t xml:space="preserve"> </w:t>
      </w:r>
      <w:r w:rsidR="005742B4" w:rsidRPr="00BC4264">
        <w:rPr>
          <w:sz w:val="28"/>
          <w:szCs w:val="28"/>
        </w:rPr>
        <w:t xml:space="preserve">as to </w:t>
      </w:r>
      <w:r w:rsidR="006C700A" w:rsidRPr="00BC4264">
        <w:rPr>
          <w:sz w:val="28"/>
          <w:szCs w:val="28"/>
        </w:rPr>
        <w:t>the</w:t>
      </w:r>
      <w:r w:rsidR="00C46B81" w:rsidRPr="00BC4264">
        <w:rPr>
          <w:sz w:val="28"/>
          <w:szCs w:val="28"/>
        </w:rPr>
        <w:t xml:space="preserve"> lawfulness of an appeal against </w:t>
      </w:r>
      <w:r w:rsidR="005742B4" w:rsidRPr="00BC4264">
        <w:rPr>
          <w:sz w:val="28"/>
          <w:szCs w:val="28"/>
        </w:rPr>
        <w:t xml:space="preserve">a </w:t>
      </w:r>
      <w:r w:rsidR="00C46B81" w:rsidRPr="00BC4264">
        <w:rPr>
          <w:sz w:val="28"/>
          <w:szCs w:val="28"/>
        </w:rPr>
        <w:t>forfeiture</w:t>
      </w:r>
      <w:r w:rsidR="005742B4" w:rsidRPr="00BC4264">
        <w:rPr>
          <w:sz w:val="28"/>
          <w:szCs w:val="28"/>
        </w:rPr>
        <w:t xml:space="preserve"> order</w:t>
      </w:r>
    </w:p>
    <w:p w:rsidR="00DD3434" w:rsidRPr="00BC4264" w:rsidRDefault="00E27696" w:rsidP="00DD3434">
      <w:pPr>
        <w:pStyle w:val="T-Draft"/>
      </w:pPr>
      <w:r w:rsidRPr="00BC4264">
        <w:t>I</w:t>
      </w:r>
      <w:r w:rsidR="00DD3434" w:rsidRPr="00BC4264">
        <w:t xml:space="preserve">n </w:t>
      </w:r>
      <w:r w:rsidR="00DD3434" w:rsidRPr="00BC4264">
        <w:rPr>
          <w:i/>
        </w:rPr>
        <w:t>Menoca</w:t>
      </w:r>
      <w:r w:rsidR="006914CB" w:rsidRPr="00BC4264">
        <w:rPr>
          <w:i/>
        </w:rPr>
        <w:t>l</w:t>
      </w:r>
      <w:r w:rsidR="006914CB" w:rsidRPr="00BC4264">
        <w:t>,</w:t>
      </w:r>
      <w:r w:rsidR="006914CB" w:rsidRPr="00BC4264">
        <w:rPr>
          <w:i/>
        </w:rPr>
        <w:t xml:space="preserve"> </w:t>
      </w:r>
      <w:r w:rsidR="00DD3434" w:rsidRPr="00BC4264">
        <w:t xml:space="preserve">Lord Salmon and </w:t>
      </w:r>
      <w:r w:rsidRPr="00BC4264">
        <w:t xml:space="preserve">Lord </w:t>
      </w:r>
      <w:r w:rsidR="00DD3434" w:rsidRPr="00BC4264">
        <w:t xml:space="preserve">Edmund-Davies specifically referred to the earlier decision </w:t>
      </w:r>
      <w:r w:rsidRPr="00BC4264">
        <w:t>of the Court of Appeal in</w:t>
      </w:r>
      <w:r w:rsidR="00DD3434" w:rsidRPr="00BC4264">
        <w:t xml:space="preserve"> </w:t>
      </w:r>
      <w:r w:rsidR="00DD3434" w:rsidRPr="00BC4264">
        <w:rPr>
          <w:i/>
        </w:rPr>
        <w:t>Thayne</w:t>
      </w:r>
      <w:r w:rsidR="00DD3434" w:rsidRPr="00BC4264">
        <w:rPr>
          <w:vertAlign w:val="superscript"/>
        </w:rPr>
        <w:footnoteReference w:id="125"/>
      </w:r>
      <w:r w:rsidRPr="00BC4264">
        <w:t xml:space="preserve">: clearly, they could not have been unaware </w:t>
      </w:r>
      <w:r w:rsidR="00DD3434" w:rsidRPr="00BC4264">
        <w:t xml:space="preserve">of the argument </w:t>
      </w:r>
      <w:r w:rsidRPr="00BC4264">
        <w:t>concerning section 9 of the C</w:t>
      </w:r>
      <w:r w:rsidR="00AF7ED0" w:rsidRPr="00BC4264">
        <w:t>riminal Appeal Act 1968</w:t>
      </w:r>
      <w:r w:rsidRPr="00BC4264">
        <w:t xml:space="preserve"> and the</w:t>
      </w:r>
      <w:r w:rsidR="00DD3434" w:rsidRPr="00BC4264">
        <w:t xml:space="preserve"> limiting words </w:t>
      </w:r>
      <w:r w:rsidR="00AF7ED0" w:rsidRPr="00BC4264">
        <w:t>“</w:t>
      </w:r>
      <w:r w:rsidR="00DD3434" w:rsidRPr="00BC4264">
        <w:t>passed on him for the offence</w:t>
      </w:r>
      <w:r w:rsidR="00AF7ED0" w:rsidRPr="00BC4264">
        <w:t>”</w:t>
      </w:r>
      <w:r w:rsidR="00DD3434" w:rsidRPr="00BC4264">
        <w:t xml:space="preserve">. </w:t>
      </w:r>
      <w:r w:rsidR="005513DC" w:rsidRPr="00BC4264">
        <w:t xml:space="preserve"> </w:t>
      </w:r>
      <w:r w:rsidR="00DD3434" w:rsidRPr="00BC4264">
        <w:t>Yet the</w:t>
      </w:r>
      <w:r w:rsidR="005D5A2D" w:rsidRPr="00BC4264">
        <w:t xml:space="preserve"> Court had no difficulty</w:t>
      </w:r>
      <w:r w:rsidR="00DD3434" w:rsidRPr="00BC4264">
        <w:t xml:space="preserve"> in holding that a forfeiture order was a ‘sentence’</w:t>
      </w:r>
      <w:r w:rsidR="0097280F" w:rsidRPr="00BC4264">
        <w:t>, which is both penal and deterrent in nature</w:t>
      </w:r>
      <w:r w:rsidR="00DD3434" w:rsidRPr="00BC4264">
        <w:t>.</w:t>
      </w:r>
      <w:r w:rsidR="0097280F" w:rsidRPr="00BC4264">
        <w:t xml:space="preserve">  We respectfully agree.</w:t>
      </w:r>
    </w:p>
    <w:p w:rsidR="00DD3434" w:rsidRPr="00BC4264" w:rsidRDefault="005D5A2D" w:rsidP="00DD3434">
      <w:pPr>
        <w:pStyle w:val="T-Draft"/>
      </w:pPr>
      <w:r w:rsidRPr="00BC4264">
        <w:t>In our judgment, a forfeiture order made against a convicted offender is a “sentence … passed on him for the offence”, within the meaning of section 83G of the CPO</w:t>
      </w:r>
      <w:r w:rsidR="00AE694C" w:rsidRPr="00BC4264">
        <w:t xml:space="preserve">, where ‘sentence’ is defined as including “any order made by a court in dealing with an offender”, </w:t>
      </w:r>
      <w:r w:rsidR="0097280F" w:rsidRPr="00BC4264">
        <w:t>under</w:t>
      </w:r>
      <w:r w:rsidR="00AE694C" w:rsidRPr="00BC4264">
        <w:t xml:space="preserve"> section 80 of the CPO.</w:t>
      </w:r>
      <w:r w:rsidR="00DD3434" w:rsidRPr="00BC4264">
        <w:t xml:space="preserve"> </w:t>
      </w:r>
      <w:r w:rsidR="005513DC" w:rsidRPr="00BC4264">
        <w:t xml:space="preserve"> </w:t>
      </w:r>
      <w:r w:rsidR="00AE694C" w:rsidRPr="00BC4264">
        <w:t xml:space="preserve">That has been the application of the law </w:t>
      </w:r>
      <w:r w:rsidR="00B927BE" w:rsidRPr="00BC4264">
        <w:t xml:space="preserve">in Hong </w:t>
      </w:r>
      <w:r w:rsidR="00343438" w:rsidRPr="00BC4264">
        <w:rPr>
          <w:b/>
          <w:i/>
        </w:rPr>
        <w:t>‍</w:t>
      </w:r>
      <w:r w:rsidR="00B927BE" w:rsidRPr="00BC4264">
        <w:t xml:space="preserve">Kong </w:t>
      </w:r>
      <w:r w:rsidR="00AE694C" w:rsidRPr="00BC4264">
        <w:t xml:space="preserve">since </w:t>
      </w:r>
      <w:r w:rsidR="00AF7ED0" w:rsidRPr="00BC4264">
        <w:t xml:space="preserve">at least </w:t>
      </w:r>
      <w:r w:rsidR="00AE694C" w:rsidRPr="00BC4264">
        <w:t xml:space="preserve">the decision in </w:t>
      </w:r>
      <w:r w:rsidR="00F256C5" w:rsidRPr="00BC4264">
        <w:rPr>
          <w:i/>
        </w:rPr>
        <w:t>HKSAR v</w:t>
      </w:r>
      <w:r w:rsidR="00F256C5" w:rsidRPr="00BC4264">
        <w:t xml:space="preserve"> </w:t>
      </w:r>
      <w:r w:rsidR="00DD3434" w:rsidRPr="00BC4264">
        <w:rPr>
          <w:i/>
        </w:rPr>
        <w:t>Chai Man-fong</w:t>
      </w:r>
      <w:r w:rsidR="00DD3434" w:rsidRPr="00BC4264">
        <w:t xml:space="preserve"> </w:t>
      </w:r>
      <w:r w:rsidR="00567DC8" w:rsidRPr="00BC4264">
        <w:t xml:space="preserve">in 1998, </w:t>
      </w:r>
      <w:r w:rsidR="00DD3434" w:rsidRPr="00BC4264">
        <w:t>where th</w:t>
      </w:r>
      <w:r w:rsidR="00A53F3A" w:rsidRPr="00BC4264">
        <w:t>is</w:t>
      </w:r>
      <w:r w:rsidR="00DD3434" w:rsidRPr="00BC4264">
        <w:t xml:space="preserve"> Court </w:t>
      </w:r>
      <w:r w:rsidR="00AE694C" w:rsidRPr="00BC4264">
        <w:t>held that</w:t>
      </w:r>
      <w:r w:rsidR="00DD3434" w:rsidRPr="00BC4264">
        <w:t xml:space="preserve"> a convicted offender can properly bring an appeal against a </w:t>
      </w:r>
      <w:r w:rsidR="00B042DF" w:rsidRPr="00BC4264">
        <w:t>confiscation</w:t>
      </w:r>
      <w:r w:rsidR="00DD3434" w:rsidRPr="00BC4264">
        <w:t xml:space="preserve"> order made under section 102 of the CPO. </w:t>
      </w:r>
      <w:r w:rsidR="005513DC" w:rsidRPr="00BC4264">
        <w:t xml:space="preserve"> </w:t>
      </w:r>
      <w:r w:rsidR="00567DC8" w:rsidRPr="00BC4264">
        <w:t xml:space="preserve">In </w:t>
      </w:r>
      <w:r w:rsidR="006C0658" w:rsidRPr="00BC4264">
        <w:rPr>
          <w:i/>
        </w:rPr>
        <w:t>Chai Man-fong</w:t>
      </w:r>
      <w:r w:rsidR="00567DC8" w:rsidRPr="00BC4264">
        <w:t xml:space="preserve">, the respondent had sought to argue that there was no </w:t>
      </w:r>
      <w:r w:rsidR="00567DC8" w:rsidRPr="00BC4264">
        <w:lastRenderedPageBreak/>
        <w:t xml:space="preserve">right of appeal against a confiscation order </w:t>
      </w:r>
      <w:r w:rsidR="00B263B9" w:rsidRPr="00BC4264">
        <w:t xml:space="preserve">made </w:t>
      </w:r>
      <w:r w:rsidR="00567DC8" w:rsidRPr="00BC4264">
        <w:t xml:space="preserve">under section 102 of the CPO, since section 80 did not encompass an order under section 102.  Power </w:t>
      </w:r>
      <w:r w:rsidR="00B17705" w:rsidRPr="00BC4264">
        <w:rPr>
          <w:b/>
          <w:i/>
        </w:rPr>
        <w:t>‍</w:t>
      </w:r>
      <w:r w:rsidR="00567DC8" w:rsidRPr="00BC4264">
        <w:t>VP, giving the judgment of the Court</w:t>
      </w:r>
      <w:r w:rsidR="00D56E17" w:rsidRPr="00BC4264">
        <w:t>,</w:t>
      </w:r>
      <w:r w:rsidR="00567DC8" w:rsidRPr="00BC4264">
        <w:t xml:space="preserve"> did not agree:</w:t>
      </w:r>
    </w:p>
    <w:p w:rsidR="00DD3434" w:rsidRPr="00BC4264" w:rsidRDefault="00DD3434" w:rsidP="006914CB">
      <w:pPr>
        <w:pStyle w:val="j-quotation"/>
      </w:pPr>
      <w:r w:rsidRPr="00BC4264">
        <w:t xml:space="preserve">“We are satisfied that the word </w:t>
      </w:r>
      <w:r w:rsidR="00B042DF" w:rsidRPr="00BC4264">
        <w:t>‘</w:t>
      </w:r>
      <w:r w:rsidRPr="00BC4264">
        <w:t>order</w:t>
      </w:r>
      <w:r w:rsidR="00B042DF" w:rsidRPr="00BC4264">
        <w:t>’</w:t>
      </w:r>
      <w:r w:rsidRPr="00BC4264">
        <w:t xml:space="preserve"> in s.80 includes an order made under s.102 and that by virtue of s.83G, there is a right of appeal against such an order. </w:t>
      </w:r>
      <w:r w:rsidR="00D054FA" w:rsidRPr="00BC4264">
        <w:t xml:space="preserve"> </w:t>
      </w:r>
      <w:r w:rsidRPr="00BC4264">
        <w:t>We have been referred to the case of</w:t>
      </w:r>
      <w:r w:rsidR="005513DC" w:rsidRPr="00BC4264">
        <w:t xml:space="preserve"> </w:t>
      </w:r>
      <w:r w:rsidRPr="00BC4264">
        <w:rPr>
          <w:bCs/>
          <w:i/>
        </w:rPr>
        <w:t xml:space="preserve">Multi </w:t>
      </w:r>
      <w:r w:rsidR="005513DC" w:rsidRPr="00BC4264">
        <w:rPr>
          <w:b/>
          <w:bCs/>
          <w:i/>
        </w:rPr>
        <w:t>‍</w:t>
      </w:r>
      <w:r w:rsidRPr="00BC4264">
        <w:rPr>
          <w:bCs/>
          <w:i/>
        </w:rPr>
        <w:t>Solid Ltd v Secretary for Justice</w:t>
      </w:r>
      <w:r w:rsidRPr="00BC4264">
        <w:t>, [1997] 3 HKC 253, it being suggested that this matter may have some application to the present appeal.</w:t>
      </w:r>
      <w:r w:rsidR="005513DC" w:rsidRPr="00BC4264">
        <w:t xml:space="preserve"> </w:t>
      </w:r>
      <w:r w:rsidRPr="00BC4264">
        <w:t xml:space="preserve"> We are satisfied that the circumstances in that case were very different from those that obtained here.</w:t>
      </w:r>
      <w:r w:rsidR="005513DC" w:rsidRPr="00BC4264">
        <w:t xml:space="preserve"> </w:t>
      </w:r>
      <w:r w:rsidRPr="00BC4264">
        <w:t xml:space="preserve"> The appellant there was not the defendant at trial and had no </w:t>
      </w:r>
      <w:r w:rsidRPr="00BC4264">
        <w:rPr>
          <w:i/>
        </w:rPr>
        <w:t xml:space="preserve">locus </w:t>
      </w:r>
      <w:r w:rsidR="00343438" w:rsidRPr="00BC4264">
        <w:rPr>
          <w:b/>
          <w:i/>
        </w:rPr>
        <w:t>‍</w:t>
      </w:r>
      <w:r w:rsidRPr="00BC4264">
        <w:rPr>
          <w:i/>
        </w:rPr>
        <w:t>standi</w:t>
      </w:r>
      <w:r w:rsidRPr="00BC4264">
        <w:t>, either at trial or on appeal.</w:t>
      </w:r>
      <w:r w:rsidR="005513DC" w:rsidRPr="00BC4264">
        <w:t xml:space="preserve"> </w:t>
      </w:r>
      <w:r w:rsidRPr="00BC4264">
        <w:t xml:space="preserve"> That authority does not assist in any way in the consideration of the circumstances before us. </w:t>
      </w:r>
      <w:r w:rsidR="005513DC" w:rsidRPr="00BC4264">
        <w:t xml:space="preserve"> </w:t>
      </w:r>
      <w:r w:rsidRPr="00BC4264">
        <w:t xml:space="preserve">We are satisfied that there is a right of appeal against the confiscation order made under s.102 and will proceed to hear </w:t>
      </w:r>
      <w:r w:rsidR="006914CB" w:rsidRPr="00BC4264">
        <w:t>the argument of the applicant.”</w:t>
      </w:r>
      <w:r w:rsidRPr="00BC4264">
        <w:t xml:space="preserve"> </w:t>
      </w:r>
    </w:p>
    <w:p w:rsidR="00567DC8" w:rsidRPr="00BC4264" w:rsidRDefault="00567DC8" w:rsidP="00343438">
      <w:pPr>
        <w:pStyle w:val="T-Draft"/>
        <w:numPr>
          <w:ilvl w:val="0"/>
          <w:numId w:val="0"/>
        </w:numPr>
      </w:pPr>
      <w:r w:rsidRPr="00BC4264">
        <w:t>This approach, which is entirely consistent with the approach in England and Wales since 1975, has been followed in both divisions of this Court ev</w:t>
      </w:r>
      <w:r w:rsidR="00B927BE" w:rsidRPr="00BC4264">
        <w:t xml:space="preserve">er since.  </w:t>
      </w:r>
      <w:r w:rsidR="00D31657" w:rsidRPr="00BC4264">
        <w:t>And, as we observed above</w:t>
      </w:r>
      <w:r w:rsidR="00085055" w:rsidRPr="00BC4264">
        <w:rPr>
          <w:vertAlign w:val="superscript"/>
        </w:rPr>
        <w:footnoteReference w:id="126"/>
      </w:r>
      <w:r w:rsidR="00493CF7" w:rsidRPr="00BC4264">
        <w:t xml:space="preserve">, </w:t>
      </w:r>
      <w:r w:rsidR="00D31657" w:rsidRPr="00BC4264">
        <w:t xml:space="preserve">the Appeal Committee of the Court of Final Appeal </w:t>
      </w:r>
      <w:r w:rsidR="00B042DF" w:rsidRPr="00BC4264">
        <w:t xml:space="preserve">has </w:t>
      </w:r>
      <w:r w:rsidR="00085055" w:rsidRPr="00BC4264">
        <w:t xml:space="preserve">likewise </w:t>
      </w:r>
      <w:r w:rsidR="00D31657" w:rsidRPr="00BC4264">
        <w:t xml:space="preserve">had no difficulty in dealing </w:t>
      </w:r>
      <w:r w:rsidR="00085055" w:rsidRPr="00BC4264">
        <w:t xml:space="preserve">on the merits </w:t>
      </w:r>
      <w:r w:rsidR="00D31657" w:rsidRPr="00BC4264">
        <w:t>with the app</w:t>
      </w:r>
      <w:r w:rsidR="00085055" w:rsidRPr="00BC4264">
        <w:t>lication</w:t>
      </w:r>
      <w:r w:rsidR="00D31657" w:rsidRPr="00BC4264">
        <w:t xml:space="preserve"> of </w:t>
      </w:r>
      <w:r w:rsidR="00D31657" w:rsidRPr="00BC4264">
        <w:rPr>
          <w:i/>
        </w:rPr>
        <w:t>Shoki Fatuma Ramadhani</w:t>
      </w:r>
      <w:r w:rsidR="00D31657" w:rsidRPr="00BC4264">
        <w:t xml:space="preserve"> against this Court’s dism</w:t>
      </w:r>
      <w:r w:rsidR="00085055" w:rsidRPr="00BC4264">
        <w:t>issal of her appeal against a forfeiture order</w:t>
      </w:r>
      <w:r w:rsidR="007C266C" w:rsidRPr="00BC4264">
        <w:t xml:space="preserve"> made under section 56(1</w:t>
      </w:r>
      <w:r w:rsidR="00343438" w:rsidRPr="00BC4264">
        <w:t>)</w:t>
      </w:r>
      <w:r w:rsidR="007C266C" w:rsidRPr="00BC4264">
        <w:t xml:space="preserve"> of the DDO</w:t>
      </w:r>
      <w:r w:rsidR="00085055" w:rsidRPr="00BC4264">
        <w:t xml:space="preserve">.  </w:t>
      </w:r>
      <w:r w:rsidR="00B927BE" w:rsidRPr="00BC4264">
        <w:t xml:space="preserve">There </w:t>
      </w:r>
      <w:r w:rsidR="006C0658" w:rsidRPr="00BC4264">
        <w:t xml:space="preserve">should </w:t>
      </w:r>
      <w:r w:rsidR="00E732D2" w:rsidRPr="00BC4264">
        <w:t>no longer</w:t>
      </w:r>
      <w:r w:rsidR="007C266C" w:rsidRPr="00BC4264">
        <w:t>, with respect,</w:t>
      </w:r>
      <w:r w:rsidR="00E732D2" w:rsidRPr="00BC4264">
        <w:t xml:space="preserve"> be any</w:t>
      </w:r>
      <w:r w:rsidR="00B927BE" w:rsidRPr="00BC4264">
        <w:t xml:space="preserve"> question mark over the jurisdiction of this Court to entertain an appeal against any order for forfeiture made against a convicted person</w:t>
      </w:r>
      <w:r w:rsidR="00486F5E" w:rsidRPr="00BC4264">
        <w:t xml:space="preserve"> under the DDO</w:t>
      </w:r>
      <w:r w:rsidR="00B927BE" w:rsidRPr="00BC4264">
        <w:t>.</w:t>
      </w:r>
    </w:p>
    <w:p w:rsidR="00A56451" w:rsidRPr="00BC4264" w:rsidRDefault="00A56451" w:rsidP="009C1DA4">
      <w:pPr>
        <w:pStyle w:val="Heading2"/>
        <w:spacing w:before="360" w:line="240" w:lineRule="auto"/>
        <w:rPr>
          <w:sz w:val="28"/>
          <w:szCs w:val="28"/>
        </w:rPr>
      </w:pPr>
      <w:r w:rsidRPr="00BC4264">
        <w:rPr>
          <w:sz w:val="28"/>
          <w:szCs w:val="28"/>
        </w:rPr>
        <w:lastRenderedPageBreak/>
        <w:t>G.</w:t>
      </w:r>
      <w:r w:rsidR="00FB4904" w:rsidRPr="00BC4264">
        <w:rPr>
          <w:sz w:val="28"/>
          <w:szCs w:val="28"/>
        </w:rPr>
        <w:t>3</w:t>
      </w:r>
      <w:r w:rsidRPr="00BC4264">
        <w:rPr>
          <w:sz w:val="28"/>
          <w:szCs w:val="28"/>
        </w:rPr>
        <w:t>.  The parties’ submissions on Ground 2</w:t>
      </w:r>
    </w:p>
    <w:p w:rsidR="00DD3434" w:rsidRPr="00BC4264" w:rsidRDefault="00A56451" w:rsidP="009E3E41">
      <w:pPr>
        <w:pStyle w:val="Heading3"/>
        <w:spacing w:before="360" w:line="360" w:lineRule="auto"/>
        <w:rPr>
          <w:i/>
          <w:sz w:val="28"/>
          <w:szCs w:val="28"/>
          <w:u w:val="none"/>
        </w:rPr>
      </w:pPr>
      <w:r w:rsidRPr="00BC4264">
        <w:rPr>
          <w:i/>
          <w:sz w:val="28"/>
          <w:szCs w:val="28"/>
          <w:u w:val="none"/>
        </w:rPr>
        <w:t>G.</w:t>
      </w:r>
      <w:r w:rsidR="00FB4904" w:rsidRPr="00BC4264">
        <w:rPr>
          <w:i/>
          <w:sz w:val="28"/>
          <w:szCs w:val="28"/>
          <w:u w:val="none"/>
        </w:rPr>
        <w:t>3</w:t>
      </w:r>
      <w:r w:rsidRPr="00BC4264">
        <w:rPr>
          <w:i/>
          <w:sz w:val="28"/>
          <w:szCs w:val="28"/>
          <w:u w:val="none"/>
        </w:rPr>
        <w:t>.1.</w:t>
      </w:r>
      <w:r w:rsidR="00C46B81" w:rsidRPr="00BC4264">
        <w:rPr>
          <w:i/>
          <w:sz w:val="28"/>
          <w:szCs w:val="28"/>
          <w:u w:val="none"/>
        </w:rPr>
        <w:t xml:space="preserve"> </w:t>
      </w:r>
      <w:r w:rsidR="00C67B46" w:rsidRPr="00BC4264">
        <w:rPr>
          <w:i/>
          <w:sz w:val="28"/>
          <w:szCs w:val="28"/>
          <w:u w:val="none"/>
        </w:rPr>
        <w:t xml:space="preserve"> </w:t>
      </w:r>
      <w:r w:rsidRPr="00BC4264">
        <w:rPr>
          <w:i/>
          <w:sz w:val="28"/>
          <w:szCs w:val="28"/>
          <w:u w:val="none"/>
        </w:rPr>
        <w:t>The a</w:t>
      </w:r>
      <w:r w:rsidR="00DD3434" w:rsidRPr="00BC4264">
        <w:rPr>
          <w:i/>
          <w:sz w:val="28"/>
          <w:szCs w:val="28"/>
          <w:u w:val="none"/>
        </w:rPr>
        <w:t xml:space="preserve">ppellant’s submissions </w:t>
      </w:r>
      <w:r w:rsidRPr="00BC4264">
        <w:rPr>
          <w:i/>
          <w:sz w:val="28"/>
          <w:szCs w:val="28"/>
          <w:u w:val="none"/>
        </w:rPr>
        <w:t>on Ground 2(i)</w:t>
      </w:r>
    </w:p>
    <w:p w:rsidR="00DD3434" w:rsidRPr="00BC4264" w:rsidRDefault="00DD3434" w:rsidP="00DD3434">
      <w:pPr>
        <w:pStyle w:val="T-Draft"/>
      </w:pPr>
      <w:r w:rsidRPr="00BC4264">
        <w:t xml:space="preserve">The appellant submits the judge’s reasons for making the forfeiture order were wholly inadequate, with no clear reasons and no finding that the money had been used in the commission </w:t>
      </w:r>
      <w:r w:rsidR="003E74C7" w:rsidRPr="00BC4264">
        <w:t xml:space="preserve">of, </w:t>
      </w:r>
      <w:r w:rsidRPr="00BC4264">
        <w:t xml:space="preserve">or </w:t>
      </w:r>
      <w:r w:rsidR="003E74C7" w:rsidRPr="00BC4264">
        <w:t xml:space="preserve">in </w:t>
      </w:r>
      <w:r w:rsidRPr="00BC4264">
        <w:t>connection with</w:t>
      </w:r>
      <w:r w:rsidR="003E74C7" w:rsidRPr="00BC4264">
        <w:t>,</w:t>
      </w:r>
      <w:r w:rsidRPr="00BC4264">
        <w:t xml:space="preserve"> a drugs offence. </w:t>
      </w:r>
    </w:p>
    <w:p w:rsidR="00E732D2" w:rsidRPr="00BC4264" w:rsidRDefault="00DD3434" w:rsidP="00DD3434">
      <w:pPr>
        <w:pStyle w:val="T-Draft"/>
      </w:pPr>
      <w:r w:rsidRPr="00BC4264">
        <w:t>In giving his reasons for making the forfeiture order</w:t>
      </w:r>
      <w:r w:rsidR="003E74C7" w:rsidRPr="00BC4264">
        <w:t>,</w:t>
      </w:r>
      <w:r w:rsidRPr="00BC4264">
        <w:t xml:space="preserve"> the judge referred to </w:t>
      </w:r>
      <w:r w:rsidRPr="00BC4264">
        <w:rPr>
          <w:i/>
        </w:rPr>
        <w:t>HKSAR v Ngoma</w:t>
      </w:r>
      <w:r w:rsidR="00830651" w:rsidRPr="00BC4264">
        <w:rPr>
          <w:i/>
        </w:rPr>
        <w:t xml:space="preserve"> Juma Shabani</w:t>
      </w:r>
      <w:r w:rsidRPr="00BC4264">
        <w:rPr>
          <w:vertAlign w:val="superscript"/>
        </w:rPr>
        <w:footnoteReference w:id="127"/>
      </w:r>
      <w:r w:rsidR="00486F5E" w:rsidRPr="00BC4264">
        <w:t xml:space="preserve">, </w:t>
      </w:r>
      <w:r w:rsidRPr="00BC4264">
        <w:t>where</w:t>
      </w:r>
      <w:r w:rsidR="00E732D2" w:rsidRPr="00BC4264">
        <w:t xml:space="preserve"> the Court held that in most cases involving a plea of guilty,</w:t>
      </w:r>
      <w:r w:rsidRPr="00BC4264">
        <w:t xml:space="preserve"> a </w:t>
      </w:r>
      <w:r w:rsidRPr="00BC4264">
        <w:rPr>
          <w:i/>
        </w:rPr>
        <w:t xml:space="preserve">prima facie </w:t>
      </w:r>
      <w:r w:rsidRPr="00BC4264">
        <w:t xml:space="preserve">connection between </w:t>
      </w:r>
      <w:r w:rsidR="00E732D2" w:rsidRPr="00BC4264">
        <w:t xml:space="preserve">the </w:t>
      </w:r>
      <w:r w:rsidRPr="00BC4264">
        <w:t xml:space="preserve">money found on </w:t>
      </w:r>
      <w:r w:rsidR="00E732D2" w:rsidRPr="00BC4264">
        <w:t>a defendant</w:t>
      </w:r>
      <w:r w:rsidRPr="00BC4264">
        <w:t xml:space="preserve"> and the offence would be obvious from the </w:t>
      </w:r>
      <w:r w:rsidR="00305D94" w:rsidRPr="00BC4264">
        <w:t>Summary of F</w:t>
      </w:r>
      <w:r w:rsidRPr="00BC4264">
        <w:t>acts</w:t>
      </w:r>
      <w:r w:rsidRPr="00BC4264">
        <w:rPr>
          <w:vertAlign w:val="superscript"/>
        </w:rPr>
        <w:footnoteReference w:id="128"/>
      </w:r>
      <w:r w:rsidR="00E732D2" w:rsidRPr="00BC4264">
        <w:t>.</w:t>
      </w:r>
      <w:r w:rsidRPr="00BC4264">
        <w:t xml:space="preserve"> </w:t>
      </w:r>
      <w:r w:rsidR="005513DC" w:rsidRPr="00BC4264">
        <w:t xml:space="preserve"> </w:t>
      </w:r>
    </w:p>
    <w:p w:rsidR="00DD3434" w:rsidRPr="00BC4264" w:rsidRDefault="00E732D2" w:rsidP="00E76E8E">
      <w:pPr>
        <w:pStyle w:val="T-Draft"/>
      </w:pPr>
      <w:r w:rsidRPr="00BC4264">
        <w:t>Although t</w:t>
      </w:r>
      <w:r w:rsidR="00DD3434" w:rsidRPr="00BC4264">
        <w:t xml:space="preserve">he judge found </w:t>
      </w:r>
      <w:r w:rsidR="00AF7ED0" w:rsidRPr="00BC4264">
        <w:t xml:space="preserve">that </w:t>
      </w:r>
      <w:r w:rsidR="00DD3434" w:rsidRPr="00BC4264">
        <w:t>much of the appellant’s evidence w</w:t>
      </w:r>
      <w:r w:rsidR="007C266C" w:rsidRPr="00BC4264">
        <w:t>as untrue</w:t>
      </w:r>
      <w:r w:rsidR="00DD3434" w:rsidRPr="00BC4264">
        <w:t xml:space="preserve"> and an attempt to confuse the court</w:t>
      </w:r>
      <w:r w:rsidR="00DD3434" w:rsidRPr="00BC4264">
        <w:rPr>
          <w:vertAlign w:val="superscript"/>
        </w:rPr>
        <w:footnoteReference w:id="129"/>
      </w:r>
      <w:r w:rsidRPr="00BC4264">
        <w:t>,</w:t>
      </w:r>
      <w:r w:rsidR="005513DC" w:rsidRPr="00BC4264">
        <w:t xml:space="preserve"> </w:t>
      </w:r>
      <w:r w:rsidR="00DD3434" w:rsidRPr="00BC4264">
        <w:t>Mr Walsh complain</w:t>
      </w:r>
      <w:r w:rsidRPr="00BC4264">
        <w:t>ed</w:t>
      </w:r>
      <w:r w:rsidR="00DD3434" w:rsidRPr="00BC4264">
        <w:t xml:space="preserve"> that the judge did not identify a</w:t>
      </w:r>
      <w:r w:rsidRPr="00BC4264">
        <w:t>ny basis for disbelieving the appellant</w:t>
      </w:r>
      <w:r w:rsidR="001D221C" w:rsidRPr="00BC4264">
        <w:t xml:space="preserve">.  More importantly, it was </w:t>
      </w:r>
      <w:r w:rsidR="00486F5E" w:rsidRPr="00BC4264">
        <w:t>necessary</w:t>
      </w:r>
      <w:r w:rsidR="001D221C" w:rsidRPr="00BC4264">
        <w:t xml:space="preserve"> to identify the legal basis upon which the forfeiture order was being made, in particular under which limb </w:t>
      </w:r>
      <w:r w:rsidR="00486F5E" w:rsidRPr="00BC4264">
        <w:t>(</w:t>
      </w:r>
      <w:r w:rsidR="001D221C" w:rsidRPr="00BC4264">
        <w:t>or limbs</w:t>
      </w:r>
      <w:r w:rsidR="00486F5E" w:rsidRPr="00BC4264">
        <w:t>)</w:t>
      </w:r>
      <w:r w:rsidR="001D221C" w:rsidRPr="00BC4264">
        <w:t xml:space="preserve"> of section 56(1) of the DDO the order was being made. </w:t>
      </w:r>
      <w:r w:rsidR="00D4702F" w:rsidRPr="00BC4264">
        <w:t xml:space="preserve"> </w:t>
      </w:r>
      <w:r w:rsidR="001D221C" w:rsidRPr="00BC4264">
        <w:t xml:space="preserve">In making the latter submission, he relied </w:t>
      </w:r>
      <w:r w:rsidR="00DD3434" w:rsidRPr="00BC4264">
        <w:t xml:space="preserve">on the </w:t>
      </w:r>
      <w:r w:rsidR="00305D94" w:rsidRPr="00BC4264">
        <w:t>dissenting judgment</w:t>
      </w:r>
      <w:r w:rsidR="00DD3434" w:rsidRPr="00BC4264">
        <w:t xml:space="preserve"> of McWalters </w:t>
      </w:r>
      <w:r w:rsidR="00343438" w:rsidRPr="00BC4264">
        <w:rPr>
          <w:b/>
          <w:i/>
        </w:rPr>
        <w:t>‍</w:t>
      </w:r>
      <w:r w:rsidR="00DD3434" w:rsidRPr="00BC4264">
        <w:t>JA in</w:t>
      </w:r>
      <w:r w:rsidR="007756B3" w:rsidRPr="00BC4264">
        <w:t xml:space="preserve"> </w:t>
      </w:r>
      <w:r w:rsidR="00DD3434" w:rsidRPr="00BC4264">
        <w:rPr>
          <w:i/>
        </w:rPr>
        <w:t>Shoki Fatuma Ramadhani</w:t>
      </w:r>
      <w:r w:rsidR="00486F5E" w:rsidRPr="00BC4264">
        <w:rPr>
          <w:i/>
        </w:rPr>
        <w:t xml:space="preserve"> </w:t>
      </w:r>
      <w:r w:rsidR="00486F5E" w:rsidRPr="00BC4264">
        <w:t>to the following effect</w:t>
      </w:r>
      <w:r w:rsidR="001D221C" w:rsidRPr="00BC4264">
        <w:rPr>
          <w:rStyle w:val="FootnoteReference"/>
        </w:rPr>
        <w:footnoteReference w:id="130"/>
      </w:r>
      <w:r w:rsidR="00486F5E" w:rsidRPr="00BC4264">
        <w:t>:</w:t>
      </w:r>
    </w:p>
    <w:p w:rsidR="00DD3434" w:rsidRPr="00BC4264" w:rsidRDefault="00DD3434" w:rsidP="00DD3434">
      <w:pPr>
        <w:pStyle w:val="j-quotation"/>
      </w:pPr>
      <w:bookmarkStart w:id="2" w:name="p54"/>
      <w:r w:rsidRPr="00BC4264">
        <w:t>“</w:t>
      </w:r>
      <w:bookmarkEnd w:id="2"/>
      <w:r w:rsidRPr="00BC4264">
        <w:t>In the context of an application where a party is making an application adverse to the legal right of another party it is surely incumbent on the applying party to identify on what legal basis he makes that application and on what evidence he relies, if evidence is necessary, in order to satisfy the court that the order he seeks should be made.</w:t>
      </w:r>
      <w:r w:rsidR="005513DC" w:rsidRPr="00BC4264">
        <w:t xml:space="preserve"> </w:t>
      </w:r>
      <w:r w:rsidRPr="00BC4264">
        <w:t xml:space="preserve"> If evidence is necessary then it will </w:t>
      </w:r>
      <w:r w:rsidRPr="00BC4264">
        <w:lastRenderedPageBreak/>
        <w:t>be the evidence of what a witness actually says and not of what the witness would say, unless of course the witness’ evidence is not in dispute and can be placed before the court by means of an agreed witness statement or an admitted set of facts.</w:t>
      </w:r>
    </w:p>
    <w:p w:rsidR="00DD3434" w:rsidRPr="00BC4264" w:rsidRDefault="00DD3434" w:rsidP="00DD3434">
      <w:pPr>
        <w:pStyle w:val="j-quotation"/>
      </w:pPr>
      <w:r w:rsidRPr="00BC4264">
        <w:t>Thus, in an application for forfeiture the first question a court must ask is pursuant to what statutory provision is the application being made?</w:t>
      </w:r>
      <w:r w:rsidR="005513DC" w:rsidRPr="00BC4264">
        <w:t xml:space="preserve"> </w:t>
      </w:r>
      <w:r w:rsidRPr="00BC4264">
        <w:t xml:space="preserve"> It is the statutory provision which invests the court with the power to accede to the application; which sets out the parameters of the court’s power and which identifies the matters of which the court must be satisfied before exercising the power adversely to anyone</w:t>
      </w:r>
      <w:r w:rsidR="001D221C" w:rsidRPr="00BC4264">
        <w:t>.  This was not done in the present case but it is the respondent’s position that the relevant power is s.56(1) of the Dangerous Drugs Ordinance</w:t>
      </w:r>
      <w:r w:rsidRPr="00BC4264">
        <w:t>.”</w:t>
      </w:r>
    </w:p>
    <w:p w:rsidR="001D221C" w:rsidRPr="00BC4264" w:rsidRDefault="00486F5E" w:rsidP="00DD3434">
      <w:pPr>
        <w:pStyle w:val="T-Draft"/>
      </w:pPr>
      <w:r w:rsidRPr="00BC4264">
        <w:t xml:space="preserve">In similar vein, </w:t>
      </w:r>
      <w:r w:rsidR="00D56E17" w:rsidRPr="00BC4264">
        <w:t>Mr Walsh</w:t>
      </w:r>
      <w:r w:rsidR="001D221C" w:rsidRPr="00BC4264">
        <w:t xml:space="preserve"> </w:t>
      </w:r>
      <w:r w:rsidRPr="00BC4264">
        <w:t>placed reliance</w:t>
      </w:r>
      <w:r w:rsidR="001D221C" w:rsidRPr="00BC4264">
        <w:t xml:space="preserve"> on the separate judgment of McWalters JA</w:t>
      </w:r>
      <w:r w:rsidR="00D56E17" w:rsidRPr="00BC4264">
        <w:t xml:space="preserve"> in </w:t>
      </w:r>
      <w:r w:rsidR="00D56E17" w:rsidRPr="00BC4264">
        <w:rPr>
          <w:i/>
        </w:rPr>
        <w:t>Ngoma Juma Shabani</w:t>
      </w:r>
      <w:r w:rsidR="001D221C" w:rsidRPr="00BC4264">
        <w:t xml:space="preserve">, who </w:t>
      </w:r>
      <w:r w:rsidR="00B16589" w:rsidRPr="00BC4264">
        <w:t xml:space="preserve">had </w:t>
      </w:r>
      <w:r w:rsidR="001D221C" w:rsidRPr="00BC4264">
        <w:t xml:space="preserve">agreed with the result </w:t>
      </w:r>
      <w:r w:rsidRPr="00BC4264">
        <w:t xml:space="preserve">of the appeal </w:t>
      </w:r>
      <w:r w:rsidR="001D221C" w:rsidRPr="00BC4264">
        <w:t>but not the reasoning of the majority</w:t>
      </w:r>
      <w:r w:rsidR="00D56E17" w:rsidRPr="00BC4264">
        <w:t>, when he said</w:t>
      </w:r>
      <w:r w:rsidR="00DD3434" w:rsidRPr="00BC4264">
        <w:rPr>
          <w:vertAlign w:val="superscript"/>
        </w:rPr>
        <w:footnoteReference w:id="131"/>
      </w:r>
      <w:r w:rsidR="001D221C" w:rsidRPr="00BC4264">
        <w:t>:</w:t>
      </w:r>
      <w:r w:rsidR="00DD3434" w:rsidRPr="00BC4264">
        <w:rPr>
          <w:i/>
        </w:rPr>
        <w:t xml:space="preserve"> </w:t>
      </w:r>
    </w:p>
    <w:p w:rsidR="00DD3434" w:rsidRPr="00BC4264" w:rsidRDefault="001D221C" w:rsidP="00343438">
      <w:pPr>
        <w:pStyle w:val="j-quotation"/>
      </w:pPr>
      <w:r w:rsidRPr="00BC4264">
        <w:t>“In respect of an</w:t>
      </w:r>
      <w:r w:rsidR="006A1E76" w:rsidRPr="00BC4264">
        <w:t xml:space="preserve"> application under s.56(1) of the Ordinance, informing the party against whom a forfeiture order is made of the legal basis for the order requires that this person be informed not just that the order is made under s.56(1) but of the particular limb or limbs of that statutory provision which the judge has found proven.”</w:t>
      </w:r>
    </w:p>
    <w:p w:rsidR="00A56451" w:rsidRPr="00BC4264" w:rsidRDefault="00A56451" w:rsidP="009E3E41">
      <w:pPr>
        <w:pStyle w:val="Heading3"/>
        <w:spacing w:before="360" w:line="360" w:lineRule="auto"/>
        <w:rPr>
          <w:i/>
          <w:sz w:val="28"/>
          <w:szCs w:val="28"/>
          <w:u w:val="none"/>
        </w:rPr>
      </w:pPr>
      <w:r w:rsidRPr="00BC4264">
        <w:rPr>
          <w:i/>
          <w:sz w:val="28"/>
          <w:szCs w:val="28"/>
          <w:u w:val="none"/>
        </w:rPr>
        <w:t>G.</w:t>
      </w:r>
      <w:r w:rsidR="00FB4904" w:rsidRPr="00BC4264">
        <w:rPr>
          <w:i/>
          <w:sz w:val="28"/>
          <w:szCs w:val="28"/>
          <w:u w:val="none"/>
        </w:rPr>
        <w:t>3</w:t>
      </w:r>
      <w:r w:rsidRPr="00BC4264">
        <w:rPr>
          <w:i/>
          <w:sz w:val="28"/>
          <w:szCs w:val="28"/>
          <w:u w:val="none"/>
        </w:rPr>
        <w:t>.2.  The respondent’s submissions on Ground 2(i)</w:t>
      </w:r>
    </w:p>
    <w:p w:rsidR="00637E2A" w:rsidRPr="00BC4264" w:rsidRDefault="007756B3" w:rsidP="007756B3">
      <w:pPr>
        <w:pStyle w:val="T-Draft"/>
      </w:pPr>
      <w:r w:rsidRPr="00BC4264">
        <w:t>Mr Lui</w:t>
      </w:r>
      <w:r w:rsidR="00637E2A" w:rsidRPr="00BC4264">
        <w:t xml:space="preserve"> submits it would have been surprising if the judge </w:t>
      </w:r>
      <w:r w:rsidRPr="00BC4264">
        <w:t xml:space="preserve">had come to any other conclusion on the facts than the one he did.  </w:t>
      </w:r>
      <w:r w:rsidR="00637E2A" w:rsidRPr="00BC4264">
        <w:t xml:space="preserve">The prosecution </w:t>
      </w:r>
      <w:r w:rsidRPr="00BC4264">
        <w:t xml:space="preserve">had </w:t>
      </w:r>
      <w:r w:rsidR="00637E2A" w:rsidRPr="00BC4264">
        <w:t xml:space="preserve">made its application for forfeiture under section 56(1) of the DDO, without identifying </w:t>
      </w:r>
      <w:r w:rsidR="00AF7ED0" w:rsidRPr="00BC4264">
        <w:t xml:space="preserve">on </w:t>
      </w:r>
      <w:r w:rsidR="00637E2A" w:rsidRPr="00BC4264">
        <w:t>which limb</w:t>
      </w:r>
      <w:r w:rsidRPr="00BC4264">
        <w:t xml:space="preserve"> of the </w:t>
      </w:r>
      <w:r w:rsidR="00AF7ED0" w:rsidRPr="00BC4264">
        <w:t>sub-</w:t>
      </w:r>
      <w:r w:rsidRPr="00BC4264">
        <w:t>subsection it was relying</w:t>
      </w:r>
      <w:r w:rsidR="00637E2A" w:rsidRPr="00BC4264">
        <w:t>.</w:t>
      </w:r>
      <w:r w:rsidR="005513DC" w:rsidRPr="00BC4264">
        <w:t xml:space="preserve"> </w:t>
      </w:r>
      <w:r w:rsidR="00637E2A" w:rsidRPr="00BC4264">
        <w:t xml:space="preserve"> </w:t>
      </w:r>
      <w:r w:rsidR="00D524A2" w:rsidRPr="00BC4264">
        <w:t>Since</w:t>
      </w:r>
      <w:r w:rsidRPr="00BC4264">
        <w:t xml:space="preserve"> the majority in</w:t>
      </w:r>
      <w:r w:rsidR="00637E2A" w:rsidRPr="00BC4264">
        <w:t xml:space="preserve"> </w:t>
      </w:r>
      <w:r w:rsidR="00637E2A" w:rsidRPr="00BC4264">
        <w:rPr>
          <w:i/>
        </w:rPr>
        <w:t>Ngoma Juma Shabani</w:t>
      </w:r>
      <w:r w:rsidR="00B72269" w:rsidRPr="00BC4264">
        <w:rPr>
          <w:i/>
        </w:rPr>
        <w:t xml:space="preserve"> </w:t>
      </w:r>
      <w:r w:rsidR="00B72269" w:rsidRPr="00BC4264">
        <w:t>had held that it was not necessary to identify which of the two limbs under section 56(1) was being relied upon</w:t>
      </w:r>
      <w:r w:rsidR="00637E2A" w:rsidRPr="00BC4264">
        <w:rPr>
          <w:vertAlign w:val="superscript"/>
        </w:rPr>
        <w:footnoteReference w:id="132"/>
      </w:r>
      <w:r w:rsidR="00D524A2" w:rsidRPr="00BC4264">
        <w:t xml:space="preserve">, it was not useful to rely on </w:t>
      </w:r>
      <w:r w:rsidR="00B16589" w:rsidRPr="00BC4264">
        <w:t>a</w:t>
      </w:r>
      <w:r w:rsidR="00D524A2" w:rsidRPr="00BC4264">
        <w:t xml:space="preserve"> dissenting judgment in </w:t>
      </w:r>
      <w:r w:rsidR="00D524A2" w:rsidRPr="00BC4264">
        <w:rPr>
          <w:i/>
        </w:rPr>
        <w:lastRenderedPageBreak/>
        <w:t>Shoki Fatuma Ramadhani</w:t>
      </w:r>
      <w:r w:rsidR="00B16589" w:rsidRPr="00BC4264">
        <w:t xml:space="preserve">, </w:t>
      </w:r>
      <w:r w:rsidR="00D524A2" w:rsidRPr="00BC4264">
        <w:t xml:space="preserve">or the </w:t>
      </w:r>
      <w:r w:rsidR="00D524A2" w:rsidRPr="00BC4264">
        <w:rPr>
          <w:i/>
        </w:rPr>
        <w:t>obiter</w:t>
      </w:r>
      <w:r w:rsidR="00D524A2" w:rsidRPr="00BC4264">
        <w:t xml:space="preserve"> remarks of the same judge in </w:t>
      </w:r>
      <w:r w:rsidR="00D524A2" w:rsidRPr="00BC4264">
        <w:rPr>
          <w:i/>
        </w:rPr>
        <w:t>Ngoma Juma Shabani</w:t>
      </w:r>
      <w:r w:rsidR="00B16589" w:rsidRPr="00BC4264">
        <w:t>, which were at variance with the majority.</w:t>
      </w:r>
      <w:r w:rsidR="00D524A2" w:rsidRPr="00BC4264">
        <w:t xml:space="preserve">  In any event, the argument was redundant, since the judge had </w:t>
      </w:r>
      <w:r w:rsidR="00B16589" w:rsidRPr="00BC4264">
        <w:t>specifically identified the limb under which he was making his order, namely sect</w:t>
      </w:r>
      <w:r w:rsidR="00D524A2" w:rsidRPr="00BC4264">
        <w:t xml:space="preserve">ion </w:t>
      </w:r>
      <w:r w:rsidR="00343438" w:rsidRPr="00BC4264">
        <w:rPr>
          <w:b/>
          <w:i/>
        </w:rPr>
        <w:t>‍</w:t>
      </w:r>
      <w:r w:rsidR="00D524A2" w:rsidRPr="00BC4264">
        <w:t>56(1)(a) of the DDO</w:t>
      </w:r>
      <w:r w:rsidR="009B453C" w:rsidRPr="00BC4264">
        <w:rPr>
          <w:rStyle w:val="FootnoteReference"/>
        </w:rPr>
        <w:footnoteReference w:id="133"/>
      </w:r>
      <w:r w:rsidR="00D524A2" w:rsidRPr="00BC4264">
        <w:t>.</w:t>
      </w:r>
      <w:r w:rsidR="00637E2A" w:rsidRPr="00BC4264">
        <w:t xml:space="preserve"> </w:t>
      </w:r>
      <w:r w:rsidR="005513DC" w:rsidRPr="00BC4264">
        <w:t xml:space="preserve"> </w:t>
      </w:r>
      <w:r w:rsidRPr="00BC4264">
        <w:t>Accordingly,</w:t>
      </w:r>
      <w:r w:rsidR="00637E2A" w:rsidRPr="00BC4264">
        <w:t xml:space="preserve"> there was nothing imprecise or ambiguous about the judge</w:t>
      </w:r>
      <w:r w:rsidRPr="00BC4264">
        <w:t>’</w:t>
      </w:r>
      <w:r w:rsidR="00637E2A" w:rsidRPr="00BC4264">
        <w:t xml:space="preserve">s </w:t>
      </w:r>
      <w:r w:rsidR="008749AA" w:rsidRPr="00BC4264">
        <w:t xml:space="preserve">actual </w:t>
      </w:r>
      <w:r w:rsidR="00637E2A" w:rsidRPr="00BC4264">
        <w:t xml:space="preserve">order. </w:t>
      </w:r>
    </w:p>
    <w:p w:rsidR="00637E2A" w:rsidRPr="00BC4264" w:rsidRDefault="00637E2A" w:rsidP="00392441">
      <w:pPr>
        <w:pStyle w:val="T-Draft"/>
      </w:pPr>
      <w:r w:rsidRPr="00BC4264">
        <w:t xml:space="preserve">The respondent </w:t>
      </w:r>
      <w:r w:rsidR="008749AA" w:rsidRPr="00BC4264">
        <w:t>further pointed out</w:t>
      </w:r>
      <w:r w:rsidRPr="00BC4264">
        <w:t xml:space="preserve"> that, before</w:t>
      </w:r>
      <w:r w:rsidR="008749AA" w:rsidRPr="00BC4264">
        <w:t xml:space="preserve"> he concluded that </w:t>
      </w:r>
      <w:r w:rsidRPr="00BC4264">
        <w:t>the app</w:t>
      </w:r>
      <w:r w:rsidR="008749AA" w:rsidRPr="00BC4264">
        <w:t>ellant</w:t>
      </w:r>
      <w:r w:rsidRPr="00BC4264">
        <w:t xml:space="preserve"> had told a </w:t>
      </w:r>
      <w:r w:rsidR="007756B3" w:rsidRPr="00BC4264">
        <w:t>“</w:t>
      </w:r>
      <w:r w:rsidRPr="00BC4264">
        <w:t>cock and bull story</w:t>
      </w:r>
      <w:r w:rsidR="007756B3" w:rsidRPr="00BC4264">
        <w:t>”</w:t>
      </w:r>
      <w:r w:rsidRPr="00BC4264">
        <w:t>, the judge</w:t>
      </w:r>
      <w:r w:rsidR="007756B3" w:rsidRPr="00BC4264">
        <w:t xml:space="preserve"> </w:t>
      </w:r>
      <w:r w:rsidR="00392441" w:rsidRPr="00BC4264">
        <w:t xml:space="preserve">had </w:t>
      </w:r>
      <w:r w:rsidR="007756B3" w:rsidRPr="00BC4264">
        <w:t>made reference to</w:t>
      </w:r>
      <w:r w:rsidRPr="00BC4264">
        <w:t xml:space="preserve"> prosecu</w:t>
      </w:r>
      <w:r w:rsidR="008749AA" w:rsidRPr="00BC4264">
        <w:t>ting counsel’s cross-examination</w:t>
      </w:r>
      <w:r w:rsidRPr="00BC4264">
        <w:rPr>
          <w:vertAlign w:val="superscript"/>
        </w:rPr>
        <w:footnoteReference w:id="134"/>
      </w:r>
      <w:r w:rsidRPr="00BC4264">
        <w:t xml:space="preserve"> and the </w:t>
      </w:r>
      <w:r w:rsidR="007756B3" w:rsidRPr="00BC4264">
        <w:t xml:space="preserve">apparent </w:t>
      </w:r>
      <w:r w:rsidRPr="00BC4264">
        <w:t xml:space="preserve">inconsistencies in </w:t>
      </w:r>
      <w:r w:rsidR="007756B3" w:rsidRPr="00BC4264">
        <w:t>h</w:t>
      </w:r>
      <w:r w:rsidR="008749AA" w:rsidRPr="00BC4264">
        <w:t>er</w:t>
      </w:r>
      <w:r w:rsidR="007756B3" w:rsidRPr="00BC4264">
        <w:t xml:space="preserve"> account</w:t>
      </w:r>
      <w:r w:rsidR="00392441" w:rsidRPr="00BC4264">
        <w:t>,</w:t>
      </w:r>
      <w:r w:rsidR="007756B3" w:rsidRPr="00BC4264">
        <w:t xml:space="preserve"> which were obvious</w:t>
      </w:r>
      <w:r w:rsidRPr="00BC4264">
        <w:t xml:space="preserve">. </w:t>
      </w:r>
      <w:r w:rsidR="005513DC" w:rsidRPr="00BC4264">
        <w:t xml:space="preserve"> </w:t>
      </w:r>
      <w:r w:rsidR="00392441" w:rsidRPr="00BC4264">
        <w:t xml:space="preserve">Furthermore, </w:t>
      </w:r>
      <w:r w:rsidRPr="00BC4264">
        <w:t>when the appellant was confronted with documents she could not explain</w:t>
      </w:r>
      <w:r w:rsidR="008749AA" w:rsidRPr="00BC4264">
        <w:t>,</w:t>
      </w:r>
      <w:r w:rsidRPr="00BC4264">
        <w:t xml:space="preserve"> she </w:t>
      </w:r>
      <w:r w:rsidR="00B16589" w:rsidRPr="00BC4264">
        <w:t xml:space="preserve">had </w:t>
      </w:r>
      <w:r w:rsidRPr="00BC4264">
        <w:t>resorted to blaming her legal representatives</w:t>
      </w:r>
      <w:r w:rsidRPr="00BC4264">
        <w:rPr>
          <w:vertAlign w:val="superscript"/>
        </w:rPr>
        <w:footnoteReference w:id="135"/>
      </w:r>
      <w:r w:rsidR="005513DC" w:rsidRPr="00BC4264">
        <w:t>.</w:t>
      </w:r>
    </w:p>
    <w:p w:rsidR="00637E2A" w:rsidRPr="00BC4264" w:rsidRDefault="00637E2A" w:rsidP="00637E2A">
      <w:pPr>
        <w:pStyle w:val="T-Draft"/>
      </w:pPr>
      <w:r w:rsidRPr="00BC4264">
        <w:t xml:space="preserve">The respondent submits the procedure laid down in </w:t>
      </w:r>
      <w:r w:rsidRPr="00BC4264">
        <w:rPr>
          <w:i/>
        </w:rPr>
        <w:t xml:space="preserve">Ngoma </w:t>
      </w:r>
      <w:r w:rsidR="00B1239F" w:rsidRPr="00BC4264">
        <w:rPr>
          <w:i/>
        </w:rPr>
        <w:t>‍</w:t>
      </w:r>
      <w:r w:rsidRPr="00BC4264">
        <w:rPr>
          <w:i/>
        </w:rPr>
        <w:t>Juma Shabani</w:t>
      </w:r>
      <w:r w:rsidRPr="00BC4264">
        <w:t xml:space="preserve"> </w:t>
      </w:r>
      <w:r w:rsidR="00D524A2" w:rsidRPr="00BC4264">
        <w:t>had been</w:t>
      </w:r>
      <w:r w:rsidRPr="00BC4264">
        <w:t xml:space="preserve"> properly </w:t>
      </w:r>
      <w:r w:rsidR="00B042DF" w:rsidRPr="00BC4264">
        <w:t xml:space="preserve">and fairly </w:t>
      </w:r>
      <w:r w:rsidRPr="00BC4264">
        <w:t>followed</w:t>
      </w:r>
      <w:r w:rsidR="00B16589" w:rsidRPr="00BC4264">
        <w:t>,</w:t>
      </w:r>
      <w:r w:rsidRPr="00BC4264">
        <w:t xml:space="preserve"> insofar as</w:t>
      </w:r>
      <w:r w:rsidR="00D524A2" w:rsidRPr="00BC4264">
        <w:t xml:space="preserve"> the judge</w:t>
      </w:r>
      <w:r w:rsidRPr="00BC4264">
        <w:t>:</w:t>
      </w:r>
    </w:p>
    <w:p w:rsidR="00637E2A" w:rsidRPr="00BC4264" w:rsidRDefault="009B453C" w:rsidP="00637E2A">
      <w:pPr>
        <w:pStyle w:val="T-Draft"/>
        <w:numPr>
          <w:ilvl w:val="0"/>
          <w:numId w:val="14"/>
        </w:numPr>
        <w:spacing w:before="240"/>
        <w:ind w:left="1440"/>
      </w:pPr>
      <w:r w:rsidRPr="00BC4264">
        <w:t xml:space="preserve">had </w:t>
      </w:r>
      <w:r w:rsidR="00637E2A" w:rsidRPr="00BC4264">
        <w:t>set out the factual premise of the app</w:t>
      </w:r>
      <w:r w:rsidR="00123FA0" w:rsidRPr="00BC4264">
        <w:t>licant</w:t>
      </w:r>
      <w:r w:rsidR="00637E2A" w:rsidRPr="00BC4264">
        <w:t>’s guilty plea</w:t>
      </w:r>
      <w:r w:rsidR="00D4702F" w:rsidRPr="00BC4264">
        <w:rPr>
          <w:rStyle w:val="FootnoteReference"/>
        </w:rPr>
        <w:footnoteReference w:id="136"/>
      </w:r>
      <w:r w:rsidR="00123FA0" w:rsidRPr="00BC4264">
        <w:t>;</w:t>
      </w:r>
    </w:p>
    <w:p w:rsidR="00637E2A" w:rsidRPr="00BC4264" w:rsidRDefault="00637E2A" w:rsidP="00637E2A">
      <w:pPr>
        <w:pStyle w:val="T-Draft"/>
        <w:numPr>
          <w:ilvl w:val="0"/>
          <w:numId w:val="14"/>
        </w:numPr>
        <w:spacing w:before="240"/>
        <w:ind w:left="1440"/>
      </w:pPr>
      <w:r w:rsidRPr="00BC4264">
        <w:t xml:space="preserve">was satisfied there was a </w:t>
      </w:r>
      <w:r w:rsidRPr="00BC4264">
        <w:rPr>
          <w:i/>
        </w:rPr>
        <w:t xml:space="preserve">prima facie </w:t>
      </w:r>
      <w:r w:rsidRPr="00BC4264">
        <w:t>connection between the sum of US$1,800.00 and the trafficking offence</w:t>
      </w:r>
      <w:r w:rsidR="00FB16CD" w:rsidRPr="00BC4264">
        <w:t>,</w:t>
      </w:r>
      <w:r w:rsidRPr="00BC4264">
        <w:t xml:space="preserve"> to which the app</w:t>
      </w:r>
      <w:r w:rsidR="008749AA" w:rsidRPr="00BC4264">
        <w:t>ellant</w:t>
      </w:r>
      <w:r w:rsidR="00B0333A" w:rsidRPr="00BC4264">
        <w:t xml:space="preserve"> had</w:t>
      </w:r>
      <w:r w:rsidRPr="00BC4264">
        <w:t xml:space="preserve"> pleaded guilty</w:t>
      </w:r>
      <w:r w:rsidRPr="00BC4264">
        <w:rPr>
          <w:vertAlign w:val="superscript"/>
        </w:rPr>
        <w:footnoteReference w:id="137"/>
      </w:r>
      <w:r w:rsidR="00B0333A" w:rsidRPr="00BC4264">
        <w:t>;</w:t>
      </w:r>
      <w:r w:rsidR="00FB16CD" w:rsidRPr="00BC4264">
        <w:t xml:space="preserve"> and</w:t>
      </w:r>
    </w:p>
    <w:p w:rsidR="00637E2A" w:rsidRPr="00BC4264" w:rsidRDefault="000F1973" w:rsidP="00637E2A">
      <w:pPr>
        <w:pStyle w:val="T-Draft"/>
        <w:numPr>
          <w:ilvl w:val="0"/>
          <w:numId w:val="14"/>
        </w:numPr>
        <w:spacing w:before="240"/>
        <w:ind w:left="1440"/>
      </w:pPr>
      <w:r w:rsidRPr="00BC4264">
        <w:lastRenderedPageBreak/>
        <w:t xml:space="preserve">had </w:t>
      </w:r>
      <w:r w:rsidR="00637E2A" w:rsidRPr="00BC4264">
        <w:t xml:space="preserve">adjourned the matter to allow the appellant time to obtain supporting documents from Tanzania </w:t>
      </w:r>
      <w:r w:rsidR="00FB16CD" w:rsidRPr="00BC4264">
        <w:t>before hearing</w:t>
      </w:r>
      <w:r w:rsidR="00D4702F" w:rsidRPr="00BC4264">
        <w:t xml:space="preserve"> evidence</w:t>
      </w:r>
      <w:r w:rsidR="00637E2A" w:rsidRPr="00BC4264">
        <w:t xml:space="preserve"> from the app</w:t>
      </w:r>
      <w:r w:rsidR="00B16589" w:rsidRPr="00BC4264">
        <w:t>ellant</w:t>
      </w:r>
      <w:r w:rsidR="00637E2A" w:rsidRPr="00BC4264">
        <w:t xml:space="preserve"> over </w:t>
      </w:r>
      <w:r w:rsidR="00FB16CD" w:rsidRPr="00BC4264">
        <w:t xml:space="preserve">the course of </w:t>
      </w:r>
      <w:r w:rsidR="00637E2A" w:rsidRPr="00BC4264">
        <w:t>two days</w:t>
      </w:r>
      <w:r w:rsidR="00637E2A" w:rsidRPr="00BC4264">
        <w:rPr>
          <w:vertAlign w:val="superscript"/>
        </w:rPr>
        <w:footnoteReference w:id="138"/>
      </w:r>
      <w:r w:rsidR="00823E5E" w:rsidRPr="00BC4264">
        <w:t>.</w:t>
      </w:r>
    </w:p>
    <w:p w:rsidR="00A56451" w:rsidRPr="00BC4264" w:rsidRDefault="00A56451" w:rsidP="009E3E41">
      <w:pPr>
        <w:pStyle w:val="Heading3"/>
        <w:spacing w:before="360" w:line="360" w:lineRule="auto"/>
        <w:rPr>
          <w:i/>
          <w:sz w:val="28"/>
          <w:szCs w:val="28"/>
          <w:u w:val="none"/>
        </w:rPr>
      </w:pPr>
      <w:r w:rsidRPr="00BC4264">
        <w:rPr>
          <w:i/>
          <w:sz w:val="28"/>
          <w:szCs w:val="28"/>
          <w:u w:val="none"/>
        </w:rPr>
        <w:t>G.</w:t>
      </w:r>
      <w:r w:rsidR="00FB4904" w:rsidRPr="00BC4264">
        <w:rPr>
          <w:i/>
          <w:sz w:val="28"/>
          <w:szCs w:val="28"/>
          <w:u w:val="none"/>
        </w:rPr>
        <w:t>3</w:t>
      </w:r>
      <w:r w:rsidRPr="00BC4264">
        <w:rPr>
          <w:i/>
          <w:sz w:val="28"/>
          <w:szCs w:val="28"/>
          <w:u w:val="none"/>
        </w:rPr>
        <w:t>.3.  The appellant’s submissions on Ground 2(ii)</w:t>
      </w:r>
    </w:p>
    <w:p w:rsidR="00637E2A" w:rsidRPr="00BC4264" w:rsidRDefault="00637E2A" w:rsidP="00637E2A">
      <w:pPr>
        <w:pStyle w:val="T-Draft"/>
      </w:pPr>
      <w:r w:rsidRPr="00BC4264">
        <w:t>The appellant submits that, even if the money w</w:t>
      </w:r>
      <w:r w:rsidR="00B16589" w:rsidRPr="00BC4264">
        <w:t>as</w:t>
      </w:r>
      <w:r w:rsidRPr="00BC4264">
        <w:t xml:space="preserve"> connected to drug trafficking, it ha</w:t>
      </w:r>
      <w:r w:rsidR="00B16589" w:rsidRPr="00BC4264">
        <w:t>d</w:t>
      </w:r>
      <w:r w:rsidRPr="00BC4264">
        <w:t xml:space="preserve"> not been used in the commission of</w:t>
      </w:r>
      <w:r w:rsidR="003E74C7" w:rsidRPr="00BC4264">
        <w:t>,</w:t>
      </w:r>
      <w:r w:rsidRPr="00BC4264">
        <w:t xml:space="preserve"> or in connection with</w:t>
      </w:r>
      <w:r w:rsidR="003E74C7" w:rsidRPr="00BC4264">
        <w:t>,</w:t>
      </w:r>
      <w:r w:rsidRPr="00BC4264">
        <w:t xml:space="preserve"> an offence</w:t>
      </w:r>
      <w:r w:rsidR="003E74C7" w:rsidRPr="00BC4264">
        <w:t>,</w:t>
      </w:r>
      <w:r w:rsidRPr="00BC4264">
        <w:t xml:space="preserve"> nor </w:t>
      </w:r>
      <w:r w:rsidR="00FB16CD" w:rsidRPr="00BC4264">
        <w:t xml:space="preserve">was it </w:t>
      </w:r>
      <w:r w:rsidRPr="00BC4264">
        <w:t xml:space="preserve">possessed or received as a result of an </w:t>
      </w:r>
      <w:r w:rsidR="00B1239F" w:rsidRPr="00BC4264">
        <w:rPr>
          <w:b/>
          <w:i/>
        </w:rPr>
        <w:t>‍</w:t>
      </w:r>
      <w:r w:rsidRPr="00BC4264">
        <w:t>offence under the DDO</w:t>
      </w:r>
      <w:r w:rsidR="00FB16CD" w:rsidRPr="00BC4264">
        <w:t>,</w:t>
      </w:r>
      <w:r w:rsidRPr="00BC4264">
        <w:t xml:space="preserve"> or the Drug Trafficking Recovery of Proceeds </w:t>
      </w:r>
      <w:r w:rsidR="00B1239F" w:rsidRPr="00BC4264">
        <w:rPr>
          <w:b/>
          <w:i/>
        </w:rPr>
        <w:t>‍</w:t>
      </w:r>
      <w:r w:rsidRPr="00BC4264">
        <w:t>Ordinance</w:t>
      </w:r>
      <w:r w:rsidR="000E4DF9" w:rsidRPr="00BC4264">
        <w:t>,</w:t>
      </w:r>
      <w:r w:rsidRPr="00BC4264">
        <w:t xml:space="preserve"> Cap 405. </w:t>
      </w:r>
    </w:p>
    <w:p w:rsidR="00637E2A" w:rsidRPr="00BC4264" w:rsidRDefault="00637E2A" w:rsidP="00637E2A">
      <w:pPr>
        <w:pStyle w:val="T-Draft"/>
      </w:pPr>
      <w:r w:rsidRPr="00BC4264">
        <w:t xml:space="preserve">The appellant thus relies on a literal interpretation of the term “which </w:t>
      </w:r>
      <w:r w:rsidRPr="00BC4264">
        <w:rPr>
          <w:i/>
        </w:rPr>
        <w:t>has been used</w:t>
      </w:r>
      <w:r w:rsidRPr="00BC4264">
        <w:t xml:space="preserve"> in the commission or in connection with…”</w:t>
      </w:r>
      <w:r w:rsidRPr="00BC4264">
        <w:rPr>
          <w:i/>
        </w:rPr>
        <w:t xml:space="preserve"> </w:t>
      </w:r>
      <w:r w:rsidRPr="00BC4264">
        <w:t xml:space="preserve">an offence under </w:t>
      </w:r>
      <w:r w:rsidR="00830651" w:rsidRPr="00BC4264">
        <w:t>the DDO</w:t>
      </w:r>
      <w:r w:rsidRPr="00BC4264">
        <w:t xml:space="preserve">, submitting that, at most, the appellant possessed the money for the </w:t>
      </w:r>
      <w:r w:rsidR="00AF7ED0" w:rsidRPr="00BC4264">
        <w:t xml:space="preserve">future </w:t>
      </w:r>
      <w:r w:rsidRPr="00BC4264">
        <w:t>purpose of maintain</w:t>
      </w:r>
      <w:r w:rsidR="00B16589" w:rsidRPr="00BC4264">
        <w:t>ing</w:t>
      </w:r>
      <w:r w:rsidRPr="00BC4264">
        <w:t xml:space="preserve"> herself in Hong Kong</w:t>
      </w:r>
      <w:r w:rsidR="00B16589" w:rsidRPr="00BC4264">
        <w:t>, whilst</w:t>
      </w:r>
      <w:r w:rsidRPr="00BC4264">
        <w:t xml:space="preserve"> waiting for her body to discharge the drugs</w:t>
      </w:r>
      <w:r w:rsidR="00B1239F" w:rsidRPr="00BC4264">
        <w:t>.</w:t>
      </w:r>
      <w:r w:rsidRPr="00BC4264">
        <w:t xml:space="preserve"> </w:t>
      </w:r>
      <w:r w:rsidR="00B1239F" w:rsidRPr="00BC4264">
        <w:t xml:space="preserve"> </w:t>
      </w:r>
      <w:r w:rsidR="00B16589" w:rsidRPr="00BC4264">
        <w:t>The appellant had not</w:t>
      </w:r>
      <w:r w:rsidR="00FB16CD" w:rsidRPr="00BC4264">
        <w:t>, therefore,</w:t>
      </w:r>
      <w:r w:rsidR="00B16589" w:rsidRPr="00BC4264">
        <w:t xml:space="preserve"> actually spent </w:t>
      </w:r>
      <w:r w:rsidR="00FB16CD" w:rsidRPr="00BC4264">
        <w:t xml:space="preserve">or used </w:t>
      </w:r>
      <w:r w:rsidR="00B16589" w:rsidRPr="00BC4264">
        <w:t>any money</w:t>
      </w:r>
      <w:r w:rsidRPr="00BC4264">
        <w:t xml:space="preserve"> because she was immediately intercepted upon </w:t>
      </w:r>
      <w:r w:rsidR="00B16589" w:rsidRPr="00BC4264">
        <w:t xml:space="preserve">her </w:t>
      </w:r>
      <w:r w:rsidRPr="00BC4264">
        <w:t>arrival in Hong Kong.</w:t>
      </w:r>
    </w:p>
    <w:p w:rsidR="00637E2A" w:rsidRPr="00BC4264" w:rsidRDefault="007850AA" w:rsidP="007850AA">
      <w:pPr>
        <w:pStyle w:val="T-Draft"/>
      </w:pPr>
      <w:r w:rsidRPr="00BC4264">
        <w:t xml:space="preserve">He </w:t>
      </w:r>
      <w:r w:rsidR="00FB16CD" w:rsidRPr="00BC4264">
        <w:t>accepts</w:t>
      </w:r>
      <w:r w:rsidRPr="00BC4264">
        <w:t xml:space="preserve"> that in </w:t>
      </w:r>
      <w:r w:rsidRPr="00BC4264">
        <w:rPr>
          <w:i/>
        </w:rPr>
        <w:t>Ngoma Juma Shabani</w:t>
      </w:r>
      <w:r w:rsidRPr="00BC4264">
        <w:t xml:space="preserve">, Macrae </w:t>
      </w:r>
      <w:r w:rsidR="00343438" w:rsidRPr="00BC4264">
        <w:rPr>
          <w:b/>
          <w:i/>
        </w:rPr>
        <w:t>‍</w:t>
      </w:r>
      <w:r w:rsidR="00850E95" w:rsidRPr="00BC4264">
        <w:t xml:space="preserve">JA (as </w:t>
      </w:r>
      <w:r w:rsidR="009E3E41" w:rsidRPr="00BC4264">
        <w:rPr>
          <w:b/>
        </w:rPr>
        <w:t>‍</w:t>
      </w:r>
      <w:r w:rsidR="00850E95" w:rsidRPr="00BC4264">
        <w:t xml:space="preserve">he </w:t>
      </w:r>
      <w:r w:rsidR="009E3E41" w:rsidRPr="00BC4264">
        <w:rPr>
          <w:b/>
        </w:rPr>
        <w:t>‍</w:t>
      </w:r>
      <w:r w:rsidR="00850E95" w:rsidRPr="00BC4264">
        <w:t>then was)</w:t>
      </w:r>
      <w:r w:rsidRPr="00BC4264">
        <w:t xml:space="preserve"> had rejected the argument that, in order for money to be successfully forfeited under section ‍56(1)(a), it would have to be shown </w:t>
      </w:r>
      <w:r w:rsidR="003B1EE4" w:rsidRPr="00BC4264">
        <w:t>to have</w:t>
      </w:r>
      <w:r w:rsidRPr="00BC4264">
        <w:t xml:space="preserve"> been used for some purpose connected to drug trafficking in Hong </w:t>
      </w:r>
      <w:r w:rsidR="009E3E41" w:rsidRPr="00BC4264">
        <w:rPr>
          <w:b/>
        </w:rPr>
        <w:t>‍</w:t>
      </w:r>
      <w:r w:rsidRPr="00BC4264">
        <w:t>Kong, since “</w:t>
      </w:r>
      <w:r w:rsidR="00850E95" w:rsidRPr="00BC4264">
        <w:t>[</w:t>
      </w:r>
      <w:r w:rsidRPr="00BC4264">
        <w:t>i</w:t>
      </w:r>
      <w:r w:rsidR="00850E95" w:rsidRPr="00BC4264">
        <w:t>]</w:t>
      </w:r>
      <w:r w:rsidRPr="00BC4264">
        <w:t>f that were the law, there would in</w:t>
      </w:r>
      <w:r w:rsidR="00850E95" w:rsidRPr="00BC4264">
        <w:t>variably</w:t>
      </w:r>
      <w:r w:rsidRPr="00BC4264">
        <w:t xml:space="preserve"> be no money to forfeit </w:t>
      </w:r>
      <w:r w:rsidR="003B1EE4" w:rsidRPr="00BC4264">
        <w:t xml:space="preserve">(unless perhaps paid over to a law enforcement agent in Hong Kong) </w:t>
      </w:r>
      <w:r w:rsidRPr="00BC4264">
        <w:t>and</w:t>
      </w:r>
      <w:r w:rsidR="003B1EE4" w:rsidRPr="00BC4264">
        <w:t>,</w:t>
      </w:r>
      <w:r w:rsidRPr="00BC4264">
        <w:t xml:space="preserve"> far from casting the net as widely as possible, s.56(1)(a) </w:t>
      </w:r>
      <w:r w:rsidRPr="00BC4264">
        <w:lastRenderedPageBreak/>
        <w:t>would be rendered almost useless”</w:t>
      </w:r>
      <w:r w:rsidRPr="00BC4264">
        <w:rPr>
          <w:vertAlign w:val="superscript"/>
        </w:rPr>
        <w:footnoteReference w:id="139"/>
      </w:r>
      <w:r w:rsidRPr="00BC4264">
        <w:t>.  However, i</w:t>
      </w:r>
      <w:r w:rsidR="00637E2A" w:rsidRPr="00BC4264">
        <w:t xml:space="preserve">n </w:t>
      </w:r>
      <w:r w:rsidR="00637E2A" w:rsidRPr="00BC4264">
        <w:rPr>
          <w:i/>
        </w:rPr>
        <w:t>Ubah Joel Chidiebere</w:t>
      </w:r>
      <w:r w:rsidR="003B1EE4" w:rsidRPr="00BC4264">
        <w:t>,</w:t>
      </w:r>
      <w:r w:rsidR="00637E2A" w:rsidRPr="00BC4264">
        <w:t xml:space="preserve"> the </w:t>
      </w:r>
      <w:r w:rsidR="00053242" w:rsidRPr="00BC4264">
        <w:t>C</w:t>
      </w:r>
      <w:r w:rsidR="00637E2A" w:rsidRPr="00BC4264">
        <w:t xml:space="preserve">ourt </w:t>
      </w:r>
      <w:r w:rsidR="003B1EE4" w:rsidRPr="00BC4264">
        <w:t xml:space="preserve">had </w:t>
      </w:r>
      <w:r w:rsidR="00053242" w:rsidRPr="00BC4264">
        <w:t>comment</w:t>
      </w:r>
      <w:r w:rsidRPr="00BC4264">
        <w:t>ed</w:t>
      </w:r>
      <w:r w:rsidR="00053242" w:rsidRPr="00BC4264">
        <w:t xml:space="preserve"> that section 56(1)(a) of the DDO </w:t>
      </w:r>
      <w:r w:rsidR="003B1EE4" w:rsidRPr="00BC4264">
        <w:t>appeared</w:t>
      </w:r>
      <w:r w:rsidR="00053242" w:rsidRPr="00BC4264">
        <w:t xml:space="preserve"> to be</w:t>
      </w:r>
      <w:r w:rsidR="003B1EE4" w:rsidRPr="00BC4264">
        <w:rPr>
          <w:rStyle w:val="FootnoteReference"/>
        </w:rPr>
        <w:footnoteReference w:id="140"/>
      </w:r>
      <w:r w:rsidR="00637E2A" w:rsidRPr="00BC4264">
        <w:t>:</w:t>
      </w:r>
    </w:p>
    <w:p w:rsidR="00637E2A" w:rsidRPr="00BC4264" w:rsidRDefault="00637E2A" w:rsidP="007850AA">
      <w:pPr>
        <w:pStyle w:val="j-quotation"/>
      </w:pPr>
      <w:r w:rsidRPr="00BC4264">
        <w:t>“</w:t>
      </w:r>
      <w:r w:rsidR="00053242" w:rsidRPr="00BC4264">
        <w:t xml:space="preserve">… </w:t>
      </w:r>
      <w:r w:rsidRPr="00BC4264">
        <w:t xml:space="preserve">unnecessarily and undesirably restrictive in its drafting by limiting the power of forfeiture to any money or thing </w:t>
      </w:r>
      <w:r w:rsidR="003B1EE4" w:rsidRPr="00BC4264">
        <w:t>‘</w:t>
      </w:r>
      <w:r w:rsidRPr="00BC4264">
        <w:t>which</w:t>
      </w:r>
      <w:r w:rsidR="00E43389" w:rsidRPr="00BC4264">
        <w:t xml:space="preserve"> </w:t>
      </w:r>
      <w:r w:rsidRPr="00BC4264">
        <w:rPr>
          <w:i/>
          <w:iCs/>
        </w:rPr>
        <w:t>has been used</w:t>
      </w:r>
      <w:r w:rsidRPr="00BC4264">
        <w:t> in the commission of or in connection with …</w:t>
      </w:r>
      <w:r w:rsidR="003B1EE4" w:rsidRPr="00BC4264">
        <w:t>’</w:t>
      </w:r>
      <w:r w:rsidRPr="00BC4264">
        <w:t>.</w:t>
      </w:r>
      <w:r w:rsidR="00B1239F" w:rsidRPr="00BC4264">
        <w:t xml:space="preserve"> </w:t>
      </w:r>
      <w:r w:rsidRPr="00BC4264">
        <w:t xml:space="preserve"> The situation with most mules is that they possess money for the purpose of maintaining themselves whilst waiting for their bodies to discharge the drugs concealed within them.</w:t>
      </w:r>
      <w:r w:rsidR="00B1239F" w:rsidRPr="00BC4264">
        <w:t xml:space="preserve"> </w:t>
      </w:r>
      <w:r w:rsidRPr="00BC4264">
        <w:t xml:space="preserve"> The sub</w:t>
      </w:r>
      <w:r w:rsidR="00671718" w:rsidRPr="00BC4264">
        <w:noBreakHyphen/>
      </w:r>
      <w:r w:rsidRPr="00BC4264">
        <w:t>section may be a more practical power if it was amended to encompass possession of the property for the purpose of facilitating the commission of a Cap 134 offence.”</w:t>
      </w:r>
    </w:p>
    <w:p w:rsidR="00A56451" w:rsidRPr="00BC4264" w:rsidRDefault="00A56451" w:rsidP="009E3E41">
      <w:pPr>
        <w:pStyle w:val="Heading3"/>
        <w:spacing w:before="360" w:line="360" w:lineRule="auto"/>
        <w:rPr>
          <w:i/>
          <w:sz w:val="28"/>
          <w:szCs w:val="28"/>
          <w:u w:val="none"/>
        </w:rPr>
      </w:pPr>
      <w:r w:rsidRPr="00BC4264">
        <w:rPr>
          <w:i/>
          <w:sz w:val="28"/>
          <w:szCs w:val="28"/>
          <w:u w:val="none"/>
        </w:rPr>
        <w:t>G.</w:t>
      </w:r>
      <w:r w:rsidR="00FB4904" w:rsidRPr="00BC4264">
        <w:rPr>
          <w:i/>
          <w:sz w:val="28"/>
          <w:szCs w:val="28"/>
          <w:u w:val="none"/>
        </w:rPr>
        <w:t>3</w:t>
      </w:r>
      <w:r w:rsidRPr="00BC4264">
        <w:rPr>
          <w:i/>
          <w:sz w:val="28"/>
          <w:szCs w:val="28"/>
          <w:u w:val="none"/>
        </w:rPr>
        <w:t xml:space="preserve">.4.  The </w:t>
      </w:r>
      <w:r w:rsidR="00784203" w:rsidRPr="00BC4264">
        <w:rPr>
          <w:i/>
          <w:sz w:val="28"/>
          <w:szCs w:val="28"/>
          <w:u w:val="none"/>
        </w:rPr>
        <w:t>respondent</w:t>
      </w:r>
      <w:r w:rsidRPr="00BC4264">
        <w:rPr>
          <w:i/>
          <w:sz w:val="28"/>
          <w:szCs w:val="28"/>
          <w:u w:val="none"/>
        </w:rPr>
        <w:t>’s submissions on Ground 2(ii)</w:t>
      </w:r>
    </w:p>
    <w:p w:rsidR="00637E2A" w:rsidRPr="00BC4264" w:rsidRDefault="00643561" w:rsidP="00643561">
      <w:pPr>
        <w:pStyle w:val="T-Draft"/>
      </w:pPr>
      <w:r w:rsidRPr="00BC4264">
        <w:t xml:space="preserve">The </w:t>
      </w:r>
      <w:r w:rsidR="00637E2A" w:rsidRPr="00BC4264">
        <w:t xml:space="preserve">respondent submits </w:t>
      </w:r>
      <w:r w:rsidRPr="00BC4264">
        <w:t xml:space="preserve">that </w:t>
      </w:r>
      <w:r w:rsidR="00637E2A" w:rsidRPr="00BC4264">
        <w:t xml:space="preserve">the appellant’s restrictive interpretation of section 56(1)(a) is inconsistent with the majority </w:t>
      </w:r>
      <w:r w:rsidR="00FB16CD" w:rsidRPr="00BC4264">
        <w:t xml:space="preserve">decision </w:t>
      </w:r>
      <w:r w:rsidR="00637E2A" w:rsidRPr="00BC4264">
        <w:t xml:space="preserve">in </w:t>
      </w:r>
      <w:r w:rsidR="00B1239F" w:rsidRPr="00BC4264">
        <w:rPr>
          <w:b/>
          <w:i/>
        </w:rPr>
        <w:t>‍</w:t>
      </w:r>
      <w:r w:rsidR="00637E2A" w:rsidRPr="00BC4264">
        <w:rPr>
          <w:i/>
        </w:rPr>
        <w:t xml:space="preserve">Ngoma </w:t>
      </w:r>
      <w:r w:rsidR="00B1239F" w:rsidRPr="00BC4264">
        <w:rPr>
          <w:b/>
          <w:i/>
        </w:rPr>
        <w:t>‍</w:t>
      </w:r>
      <w:r w:rsidR="00637E2A" w:rsidRPr="00BC4264">
        <w:rPr>
          <w:i/>
        </w:rPr>
        <w:t xml:space="preserve">Juma </w:t>
      </w:r>
      <w:r w:rsidR="00B1239F" w:rsidRPr="00BC4264">
        <w:rPr>
          <w:b/>
          <w:i/>
        </w:rPr>
        <w:t>‍</w:t>
      </w:r>
      <w:r w:rsidR="00637E2A" w:rsidRPr="00BC4264">
        <w:rPr>
          <w:i/>
        </w:rPr>
        <w:t>Shabani</w:t>
      </w:r>
      <w:r w:rsidR="00637E2A" w:rsidRPr="00BC4264">
        <w:rPr>
          <w:vertAlign w:val="superscript"/>
        </w:rPr>
        <w:footnoteReference w:id="141"/>
      </w:r>
      <w:r w:rsidR="008B09A9" w:rsidRPr="00BC4264">
        <w:rPr>
          <w:i/>
        </w:rPr>
        <w:t>.</w:t>
      </w:r>
      <w:r w:rsidRPr="00BC4264">
        <w:t xml:space="preserve">  </w:t>
      </w:r>
      <w:r w:rsidR="00637E2A" w:rsidRPr="00BC4264">
        <w:t xml:space="preserve">Reliance </w:t>
      </w:r>
      <w:r w:rsidRPr="00BC4264">
        <w:t xml:space="preserve">on the </w:t>
      </w:r>
      <w:r w:rsidR="00FB16CD" w:rsidRPr="00BC4264">
        <w:rPr>
          <w:i/>
        </w:rPr>
        <w:t>obiter</w:t>
      </w:r>
      <w:r w:rsidR="00FB16CD" w:rsidRPr="00BC4264">
        <w:t xml:space="preserve"> </w:t>
      </w:r>
      <w:r w:rsidRPr="00BC4264">
        <w:t>comments in</w:t>
      </w:r>
      <w:r w:rsidR="00637E2A" w:rsidRPr="00BC4264">
        <w:rPr>
          <w:i/>
        </w:rPr>
        <w:t xml:space="preserve"> Ubah </w:t>
      </w:r>
      <w:r w:rsidR="00297521" w:rsidRPr="00BC4264">
        <w:rPr>
          <w:b/>
          <w:i/>
        </w:rPr>
        <w:t>‍</w:t>
      </w:r>
      <w:r w:rsidR="00637E2A" w:rsidRPr="00BC4264">
        <w:rPr>
          <w:i/>
        </w:rPr>
        <w:t xml:space="preserve">Joel </w:t>
      </w:r>
      <w:r w:rsidR="00297521" w:rsidRPr="00BC4264">
        <w:rPr>
          <w:b/>
          <w:i/>
        </w:rPr>
        <w:t>‍</w:t>
      </w:r>
      <w:r w:rsidR="00637E2A" w:rsidRPr="00BC4264">
        <w:rPr>
          <w:i/>
        </w:rPr>
        <w:t>Chidi</w:t>
      </w:r>
      <w:r w:rsidR="00AA2EB0" w:rsidRPr="00BC4264">
        <w:rPr>
          <w:i/>
        </w:rPr>
        <w:t>e</w:t>
      </w:r>
      <w:r w:rsidR="00637E2A" w:rsidRPr="00BC4264">
        <w:rPr>
          <w:i/>
        </w:rPr>
        <w:t xml:space="preserve">bere </w:t>
      </w:r>
      <w:r w:rsidR="00FB16CD" w:rsidRPr="00BC4264">
        <w:t>was</w:t>
      </w:r>
      <w:r w:rsidR="00637E2A" w:rsidRPr="00BC4264">
        <w:t xml:space="preserve"> misconceived, </w:t>
      </w:r>
      <w:r w:rsidRPr="00BC4264">
        <w:t>since the</w:t>
      </w:r>
      <w:r w:rsidR="003B1EE4" w:rsidRPr="00BC4264">
        <w:t xml:space="preserve"> Court’s</w:t>
      </w:r>
      <w:r w:rsidRPr="00BC4264">
        <w:t xml:space="preserve"> remarks</w:t>
      </w:r>
      <w:r w:rsidR="00637E2A" w:rsidRPr="00BC4264">
        <w:t xml:space="preserve"> were directed at how the scope of section 56(1)(a) </w:t>
      </w:r>
      <w:r w:rsidRPr="00BC4264">
        <w:t xml:space="preserve">of the DDO </w:t>
      </w:r>
      <w:r w:rsidR="00637E2A" w:rsidRPr="00BC4264">
        <w:t xml:space="preserve">might be widened in the event of a legislative amendment; they </w:t>
      </w:r>
      <w:r w:rsidR="003B1EE4" w:rsidRPr="00BC4264">
        <w:t xml:space="preserve">did not </w:t>
      </w:r>
      <w:r w:rsidR="00FB16CD" w:rsidRPr="00BC4264">
        <w:t xml:space="preserve">purport to, </w:t>
      </w:r>
      <w:r w:rsidR="003B1EE4" w:rsidRPr="00BC4264">
        <w:t xml:space="preserve">and </w:t>
      </w:r>
      <w:r w:rsidRPr="00BC4264">
        <w:t>cannot</w:t>
      </w:r>
      <w:r w:rsidR="00FB16CD" w:rsidRPr="00BC4264">
        <w:t>,</w:t>
      </w:r>
      <w:r w:rsidR="00637E2A" w:rsidRPr="00BC4264">
        <w:t xml:space="preserve"> detract from the </w:t>
      </w:r>
      <w:r w:rsidR="00FB16CD" w:rsidRPr="00BC4264">
        <w:t>majority’s</w:t>
      </w:r>
      <w:r w:rsidRPr="00BC4264">
        <w:t xml:space="preserve"> </w:t>
      </w:r>
      <w:r w:rsidR="00637E2A" w:rsidRPr="00BC4264">
        <w:t>i</w:t>
      </w:r>
      <w:r w:rsidRPr="00BC4264">
        <w:t>nterpretation in</w:t>
      </w:r>
      <w:r w:rsidR="00637E2A" w:rsidRPr="00BC4264">
        <w:t xml:space="preserve"> </w:t>
      </w:r>
      <w:r w:rsidR="00297521" w:rsidRPr="00BC4264">
        <w:rPr>
          <w:i/>
        </w:rPr>
        <w:t>Ngoma Juma Shabani.</w:t>
      </w:r>
    </w:p>
    <w:p w:rsidR="00637E2A" w:rsidRPr="00BC4264" w:rsidRDefault="00850E95" w:rsidP="00637E2A">
      <w:pPr>
        <w:pStyle w:val="T-Draft"/>
      </w:pPr>
      <w:r w:rsidRPr="00BC4264">
        <w:t>Mr Lui argues that i</w:t>
      </w:r>
      <w:r w:rsidR="00643561" w:rsidRPr="00BC4264">
        <w:t xml:space="preserve">f </w:t>
      </w:r>
      <w:r w:rsidR="00637E2A" w:rsidRPr="00BC4264">
        <w:t xml:space="preserve">the appellant’s </w:t>
      </w:r>
      <w:r w:rsidR="00643561" w:rsidRPr="00BC4264">
        <w:t xml:space="preserve">narrow </w:t>
      </w:r>
      <w:r w:rsidR="00637E2A" w:rsidRPr="00BC4264">
        <w:t xml:space="preserve">construction of section 56(1)(a) </w:t>
      </w:r>
      <w:r w:rsidR="00643561" w:rsidRPr="00BC4264">
        <w:t xml:space="preserve">were </w:t>
      </w:r>
      <w:r w:rsidR="00637E2A" w:rsidRPr="00BC4264">
        <w:t xml:space="preserve">correct, </w:t>
      </w:r>
      <w:r w:rsidRPr="00BC4264">
        <w:t xml:space="preserve">then </w:t>
      </w:r>
      <w:r w:rsidR="00637E2A" w:rsidRPr="00BC4264">
        <w:t xml:space="preserve">the application of </w:t>
      </w:r>
      <w:r w:rsidR="00637E2A" w:rsidRPr="00BC4264">
        <w:rPr>
          <w:i/>
        </w:rPr>
        <w:t xml:space="preserve">Ngoma Juma Shabani </w:t>
      </w:r>
      <w:r w:rsidR="00637E2A" w:rsidRPr="00BC4264">
        <w:t>would effectively be restricted to cases “where the cash carried by an overseas trafficker is actually shown to law enforcement officers”</w:t>
      </w:r>
      <w:r w:rsidR="00FB16CD" w:rsidRPr="00BC4264">
        <w:t xml:space="preserve">; yet </w:t>
      </w:r>
      <w:r w:rsidR="00B17705" w:rsidRPr="00BC4264">
        <w:rPr>
          <w:b/>
          <w:i/>
        </w:rPr>
        <w:t>‍</w:t>
      </w:r>
      <w:r w:rsidR="00FB16CD" w:rsidRPr="00BC4264">
        <w:t>that</w:t>
      </w:r>
      <w:r w:rsidR="00643561" w:rsidRPr="00BC4264">
        <w:t xml:space="preserve"> </w:t>
      </w:r>
      <w:r w:rsidR="00B17705" w:rsidRPr="00BC4264">
        <w:rPr>
          <w:b/>
          <w:i/>
        </w:rPr>
        <w:t>‍</w:t>
      </w:r>
      <w:r w:rsidR="00643561" w:rsidRPr="00BC4264">
        <w:t xml:space="preserve">is clearly not how the Court “has consistently applied </w:t>
      </w:r>
      <w:r w:rsidR="00643561" w:rsidRPr="00BC4264">
        <w:rPr>
          <w:i/>
        </w:rPr>
        <w:t xml:space="preserve">Ngoma </w:t>
      </w:r>
      <w:r w:rsidR="00B17705" w:rsidRPr="00BC4264">
        <w:rPr>
          <w:b/>
          <w:i/>
        </w:rPr>
        <w:t>‍</w:t>
      </w:r>
      <w:r w:rsidR="00643561" w:rsidRPr="00BC4264">
        <w:rPr>
          <w:i/>
        </w:rPr>
        <w:t xml:space="preserve">Juma </w:t>
      </w:r>
      <w:r w:rsidR="00B17705" w:rsidRPr="00BC4264">
        <w:rPr>
          <w:b/>
          <w:i/>
        </w:rPr>
        <w:t>‍</w:t>
      </w:r>
      <w:r w:rsidR="00643561" w:rsidRPr="00BC4264">
        <w:rPr>
          <w:i/>
        </w:rPr>
        <w:t>Shabani</w:t>
      </w:r>
      <w:r w:rsidR="00643561" w:rsidRPr="00BC4264">
        <w:t xml:space="preserve"> in cases involving traffickers bringing cash into Hong Kong without presenting or showing it to the authorities”</w:t>
      </w:r>
      <w:r w:rsidR="00643561" w:rsidRPr="00BC4264">
        <w:rPr>
          <w:rStyle w:val="FootnoteReference"/>
        </w:rPr>
        <w:footnoteReference w:id="142"/>
      </w:r>
      <w:r w:rsidR="00643561" w:rsidRPr="00BC4264">
        <w:t>.</w:t>
      </w:r>
    </w:p>
    <w:p w:rsidR="00637E2A" w:rsidRPr="00BC4264" w:rsidRDefault="00637E2A" w:rsidP="00637E2A">
      <w:pPr>
        <w:pStyle w:val="T-Draft"/>
      </w:pPr>
      <w:r w:rsidRPr="00BC4264">
        <w:lastRenderedPageBreak/>
        <w:t xml:space="preserve">Mr Lui </w:t>
      </w:r>
      <w:r w:rsidR="00850E95" w:rsidRPr="00BC4264">
        <w:t>cited</w:t>
      </w:r>
      <w:r w:rsidRPr="00BC4264">
        <w:t xml:space="preserve"> a series of </w:t>
      </w:r>
      <w:r w:rsidR="00850E95" w:rsidRPr="00BC4264">
        <w:t>decisions of this Court</w:t>
      </w:r>
      <w:r w:rsidRPr="00BC4264">
        <w:rPr>
          <w:vertAlign w:val="superscript"/>
        </w:rPr>
        <w:footnoteReference w:id="143"/>
      </w:r>
      <w:r w:rsidRPr="00BC4264">
        <w:t xml:space="preserve"> decided </w:t>
      </w:r>
      <w:r w:rsidR="000B26C9" w:rsidRPr="00BC4264">
        <w:t>since</w:t>
      </w:r>
      <w:r w:rsidRPr="00BC4264">
        <w:t xml:space="preserve"> </w:t>
      </w:r>
      <w:r w:rsidRPr="00BC4264">
        <w:rPr>
          <w:i/>
        </w:rPr>
        <w:t>Ngoma Juma Shabani,</w:t>
      </w:r>
      <w:r w:rsidRPr="00BC4264">
        <w:t xml:space="preserve"> </w:t>
      </w:r>
      <w:r w:rsidR="00E87968" w:rsidRPr="00BC4264">
        <w:t>comprising</w:t>
      </w:r>
      <w:r w:rsidR="00055EC7" w:rsidRPr="00BC4264">
        <w:t xml:space="preserve"> at least one of the members of the Court in </w:t>
      </w:r>
      <w:r w:rsidR="00055EC7" w:rsidRPr="00BC4264">
        <w:rPr>
          <w:i/>
        </w:rPr>
        <w:t>Ubah Joel Chidiebere</w:t>
      </w:r>
      <w:r w:rsidR="00055EC7" w:rsidRPr="00BC4264">
        <w:t xml:space="preserve">, </w:t>
      </w:r>
      <w:r w:rsidR="000D2026" w:rsidRPr="00BC4264">
        <w:t xml:space="preserve">all of </w:t>
      </w:r>
      <w:r w:rsidRPr="00BC4264">
        <w:t xml:space="preserve">which </w:t>
      </w:r>
      <w:r w:rsidR="003B1EE4" w:rsidRPr="00BC4264">
        <w:t xml:space="preserve">clearly </w:t>
      </w:r>
      <w:r w:rsidR="00055EC7" w:rsidRPr="00BC4264">
        <w:t>accepted</w:t>
      </w:r>
      <w:r w:rsidRPr="00BC4264">
        <w:t xml:space="preserve"> that if money is possessed by a </w:t>
      </w:r>
      <w:r w:rsidR="003B1EE4" w:rsidRPr="00BC4264">
        <w:t>defendant who is trafficking so as</w:t>
      </w:r>
      <w:r w:rsidR="00850E95" w:rsidRPr="00BC4264">
        <w:t xml:space="preserve"> </w:t>
      </w:r>
      <w:r w:rsidR="003B1EE4" w:rsidRPr="00BC4264">
        <w:t xml:space="preserve">to enable him to </w:t>
      </w:r>
      <w:r w:rsidRPr="00BC4264">
        <w:t xml:space="preserve">pass himself off to </w:t>
      </w:r>
      <w:r w:rsidR="00AF7ED0" w:rsidRPr="00BC4264">
        <w:t>I</w:t>
      </w:r>
      <w:r w:rsidRPr="00BC4264">
        <w:t xml:space="preserve">mmigration or </w:t>
      </w:r>
      <w:r w:rsidR="00AF7ED0" w:rsidRPr="00BC4264">
        <w:t>C</w:t>
      </w:r>
      <w:r w:rsidRPr="00BC4264">
        <w:t>ustoms officers as a legitimate visitor</w:t>
      </w:r>
      <w:r w:rsidR="00AF7ED0" w:rsidRPr="00BC4264">
        <w:t xml:space="preserve"> to Hong Kong</w:t>
      </w:r>
      <w:r w:rsidRPr="00BC4264">
        <w:t>, then that money will be considered to have been “used in the commission of</w:t>
      </w:r>
      <w:r w:rsidR="003E74C7" w:rsidRPr="00BC4264">
        <w:t>,</w:t>
      </w:r>
      <w:r w:rsidRPr="00BC4264">
        <w:t xml:space="preserve"> or in connection with” a relevant offence. </w:t>
      </w:r>
      <w:r w:rsidR="00B1239F" w:rsidRPr="00BC4264">
        <w:t xml:space="preserve"> </w:t>
      </w:r>
      <w:r w:rsidR="00850E95" w:rsidRPr="00BC4264">
        <w:t xml:space="preserve">This </w:t>
      </w:r>
      <w:r w:rsidR="00055EC7" w:rsidRPr="00BC4264">
        <w:t>wa</w:t>
      </w:r>
      <w:r w:rsidR="00850E95" w:rsidRPr="00BC4264">
        <w:t>s</w:t>
      </w:r>
      <w:r w:rsidRPr="00BC4264">
        <w:t xml:space="preserve"> so even </w:t>
      </w:r>
      <w:r w:rsidR="00850E95" w:rsidRPr="00BC4264">
        <w:t xml:space="preserve">where the defendant has been </w:t>
      </w:r>
      <w:r w:rsidRPr="00BC4264">
        <w:t xml:space="preserve">intercepted before </w:t>
      </w:r>
      <w:r w:rsidR="004A2C26" w:rsidRPr="00BC4264">
        <w:t xml:space="preserve">actually </w:t>
      </w:r>
      <w:r w:rsidR="00850E95" w:rsidRPr="00BC4264">
        <w:t>producing</w:t>
      </w:r>
      <w:r w:rsidRPr="00BC4264">
        <w:t xml:space="preserve"> or using the money. </w:t>
      </w:r>
    </w:p>
    <w:p w:rsidR="00637E2A" w:rsidRPr="00BC4264" w:rsidRDefault="00A56451" w:rsidP="00645E8E">
      <w:pPr>
        <w:pStyle w:val="Heading2"/>
        <w:spacing w:before="360" w:line="240" w:lineRule="auto"/>
        <w:rPr>
          <w:sz w:val="28"/>
          <w:szCs w:val="28"/>
        </w:rPr>
      </w:pPr>
      <w:r w:rsidRPr="00BC4264">
        <w:rPr>
          <w:sz w:val="28"/>
          <w:szCs w:val="28"/>
        </w:rPr>
        <w:t>G.</w:t>
      </w:r>
      <w:r w:rsidR="00FB4904" w:rsidRPr="00BC4264">
        <w:rPr>
          <w:sz w:val="28"/>
          <w:szCs w:val="28"/>
        </w:rPr>
        <w:t>4</w:t>
      </w:r>
      <w:r w:rsidR="004252F6" w:rsidRPr="00BC4264">
        <w:rPr>
          <w:sz w:val="28"/>
          <w:szCs w:val="28"/>
        </w:rPr>
        <w:t>.</w:t>
      </w:r>
      <w:r w:rsidR="00C46B81" w:rsidRPr="00BC4264">
        <w:rPr>
          <w:sz w:val="28"/>
          <w:szCs w:val="28"/>
        </w:rPr>
        <w:t xml:space="preserve"> </w:t>
      </w:r>
      <w:r w:rsidR="00C67B46" w:rsidRPr="00BC4264">
        <w:rPr>
          <w:sz w:val="28"/>
          <w:szCs w:val="28"/>
        </w:rPr>
        <w:t xml:space="preserve"> </w:t>
      </w:r>
      <w:r w:rsidR="00637E2A" w:rsidRPr="00BC4264">
        <w:rPr>
          <w:sz w:val="28"/>
          <w:szCs w:val="28"/>
        </w:rPr>
        <w:t>Discussion</w:t>
      </w:r>
    </w:p>
    <w:p w:rsidR="00066A34" w:rsidRPr="00BC4264" w:rsidRDefault="00C841B8" w:rsidP="00FE7A4B">
      <w:pPr>
        <w:pStyle w:val="T-Draft"/>
      </w:pPr>
      <w:r w:rsidRPr="00BC4264">
        <w:t xml:space="preserve">This Court is bound by </w:t>
      </w:r>
      <w:r w:rsidR="005742B4" w:rsidRPr="00BC4264">
        <w:t>the</w:t>
      </w:r>
      <w:r w:rsidRPr="00BC4264">
        <w:t xml:space="preserve"> majority decision in </w:t>
      </w:r>
      <w:r w:rsidRPr="00BC4264">
        <w:rPr>
          <w:i/>
        </w:rPr>
        <w:t xml:space="preserve">Ngoma </w:t>
      </w:r>
      <w:r w:rsidR="00B17705" w:rsidRPr="00BC4264">
        <w:rPr>
          <w:b/>
          <w:i/>
        </w:rPr>
        <w:t>‍</w:t>
      </w:r>
      <w:r w:rsidRPr="00BC4264">
        <w:rPr>
          <w:i/>
        </w:rPr>
        <w:t xml:space="preserve">Juma </w:t>
      </w:r>
      <w:r w:rsidR="00B17705" w:rsidRPr="00BC4264">
        <w:rPr>
          <w:i/>
        </w:rPr>
        <w:t>‍</w:t>
      </w:r>
      <w:r w:rsidRPr="00BC4264">
        <w:rPr>
          <w:i/>
        </w:rPr>
        <w:t>Shabani</w:t>
      </w:r>
      <w:r w:rsidRPr="00BC4264">
        <w:t xml:space="preserve">.  Not only are we bound by it but we consider it to be </w:t>
      </w:r>
      <w:r w:rsidR="00AF7ED0" w:rsidRPr="00BC4264">
        <w:t>in accordance with a purposive construction of the</w:t>
      </w:r>
      <w:r w:rsidRPr="00BC4264">
        <w:t xml:space="preserve"> law and consistent with common sense. </w:t>
      </w:r>
      <w:r w:rsidR="007A3716" w:rsidRPr="00BC4264">
        <w:t xml:space="preserve"> </w:t>
      </w:r>
      <w:r w:rsidR="00066A34" w:rsidRPr="00BC4264">
        <w:t>In</w:t>
      </w:r>
      <w:r w:rsidR="00E12826" w:rsidRPr="00BC4264">
        <w:t xml:space="preserve"> his judgment in</w:t>
      </w:r>
      <w:r w:rsidR="00066A34" w:rsidRPr="00BC4264">
        <w:t xml:space="preserve"> </w:t>
      </w:r>
      <w:r w:rsidR="00066A34" w:rsidRPr="00BC4264">
        <w:rPr>
          <w:i/>
        </w:rPr>
        <w:t>Ngoma Juma Shabani</w:t>
      </w:r>
      <w:r w:rsidR="00066A34" w:rsidRPr="00BC4264">
        <w:t xml:space="preserve">, Lunn VP cited the English decision </w:t>
      </w:r>
      <w:r w:rsidR="00E12826" w:rsidRPr="00BC4264">
        <w:t>of</w:t>
      </w:r>
      <w:r w:rsidR="00066A34" w:rsidRPr="00BC4264">
        <w:t xml:space="preserve"> </w:t>
      </w:r>
      <w:r w:rsidR="00066A34" w:rsidRPr="00BC4264">
        <w:rPr>
          <w:i/>
        </w:rPr>
        <w:t>R v Osei (Gertrude)</w:t>
      </w:r>
      <w:r w:rsidR="009E69F5" w:rsidRPr="00BC4264">
        <w:rPr>
          <w:rStyle w:val="FootnoteReference"/>
        </w:rPr>
        <w:footnoteReference w:id="144"/>
      </w:r>
      <w:r w:rsidR="009E69F5" w:rsidRPr="00BC4264">
        <w:t xml:space="preserve">, </w:t>
      </w:r>
      <w:r w:rsidR="00066A34" w:rsidRPr="00BC4264">
        <w:t xml:space="preserve">where the appellant was found in possession of dangerous drugs and </w:t>
      </w:r>
      <w:r w:rsidR="00FE7A4B" w:rsidRPr="00BC4264">
        <w:t>£</w:t>
      </w:r>
      <w:r w:rsidR="00066A34" w:rsidRPr="00BC4264">
        <w:t xml:space="preserve">2,550 </w:t>
      </w:r>
      <w:r w:rsidR="009E69F5" w:rsidRPr="00BC4264">
        <w:t>upon her arrival</w:t>
      </w:r>
      <w:r w:rsidR="00066A34" w:rsidRPr="00BC4264">
        <w:t xml:space="preserve"> at Heathrow </w:t>
      </w:r>
      <w:r w:rsidR="00CA6BB7" w:rsidRPr="00BC4264">
        <w:rPr>
          <w:b/>
        </w:rPr>
        <w:t>‍</w:t>
      </w:r>
      <w:r w:rsidR="00066A34" w:rsidRPr="00BC4264">
        <w:t xml:space="preserve">Airport </w:t>
      </w:r>
      <w:r w:rsidR="004A2C26" w:rsidRPr="00BC4264">
        <w:t xml:space="preserve">in London </w:t>
      </w:r>
      <w:r w:rsidR="00066A34" w:rsidRPr="00BC4264">
        <w:t xml:space="preserve">from Ghana.  In respect of her possession of the cash, Glidewell </w:t>
      </w:r>
      <w:r w:rsidR="00CA6BB7" w:rsidRPr="00BC4264">
        <w:t>‍</w:t>
      </w:r>
      <w:r w:rsidR="00066A34" w:rsidRPr="00BC4264">
        <w:t xml:space="preserve">LJ </w:t>
      </w:r>
      <w:r w:rsidR="009E69F5" w:rsidRPr="00BC4264">
        <w:t>held</w:t>
      </w:r>
      <w:r w:rsidR="009E69F5" w:rsidRPr="00BC4264">
        <w:rPr>
          <w:rStyle w:val="FootnoteReference"/>
        </w:rPr>
        <w:footnoteReference w:id="145"/>
      </w:r>
      <w:r w:rsidR="00066A34" w:rsidRPr="00BC4264">
        <w:t>:</w:t>
      </w:r>
    </w:p>
    <w:p w:rsidR="00066A34" w:rsidRPr="00BC4264" w:rsidRDefault="00066A34" w:rsidP="00CA6BB7">
      <w:pPr>
        <w:pStyle w:val="j-quotation"/>
      </w:pPr>
      <w:r w:rsidRPr="00BC4264">
        <w:t>“ … if a person</w:t>
      </w:r>
      <w:r w:rsidR="00B8260D" w:rsidRPr="00BC4264">
        <w:t xml:space="preserve"> wishes to enter this country as a visitor, broadly speaking, he or she has to satisfy the immigration officers that he or she has either in his or her possession or available to him or her somewhere in this country from somebody else, sufficient funds to enable him or her to stay here without charge to the United </w:t>
      </w:r>
      <w:r w:rsidR="009E69F5" w:rsidRPr="00BC4264">
        <w:t>K</w:t>
      </w:r>
      <w:r w:rsidR="00B8260D" w:rsidRPr="00BC4264">
        <w:t>ingdom during the period for which he or she wishes to remain here”.</w:t>
      </w:r>
    </w:p>
    <w:p w:rsidR="00B8260D" w:rsidRPr="00BC4264" w:rsidRDefault="00B8260D" w:rsidP="00066A34">
      <w:pPr>
        <w:pStyle w:val="T-Draft"/>
        <w:numPr>
          <w:ilvl w:val="0"/>
          <w:numId w:val="0"/>
        </w:numPr>
      </w:pPr>
      <w:r w:rsidRPr="00BC4264">
        <w:lastRenderedPageBreak/>
        <w:t>As Lunn VP remarked, such requirements would apply in most countries</w:t>
      </w:r>
      <w:r w:rsidR="009E69F5" w:rsidRPr="00BC4264">
        <w:t>,</w:t>
      </w:r>
      <w:r w:rsidRPr="00BC4264">
        <w:t xml:space="preserve"> and certainly apply in Hong Kong: the appellant’s possession of </w:t>
      </w:r>
      <w:r w:rsidR="009E69F5" w:rsidRPr="00BC4264">
        <w:t xml:space="preserve">US$4,500 in </w:t>
      </w:r>
      <w:r w:rsidR="009E69F5" w:rsidRPr="00BC4264">
        <w:rPr>
          <w:i/>
        </w:rPr>
        <w:t>Ngoma Juma Shabani</w:t>
      </w:r>
      <w:r w:rsidR="009E69F5" w:rsidRPr="00BC4264">
        <w:t xml:space="preserve"> th</w:t>
      </w:r>
      <w:r w:rsidR="00E12826" w:rsidRPr="00BC4264">
        <w:t>us</w:t>
      </w:r>
      <w:r w:rsidR="009E69F5" w:rsidRPr="00BC4264">
        <w:t xml:space="preserve"> “enabled him to address that need”</w:t>
      </w:r>
      <w:r w:rsidR="00E12826" w:rsidRPr="00BC4264">
        <w:rPr>
          <w:rStyle w:val="FootnoteReference"/>
        </w:rPr>
        <w:footnoteReference w:id="146"/>
      </w:r>
      <w:r w:rsidR="009E69F5" w:rsidRPr="00BC4264">
        <w:t>.</w:t>
      </w:r>
    </w:p>
    <w:p w:rsidR="00637E2A" w:rsidRPr="00BC4264" w:rsidRDefault="007A3716" w:rsidP="00637E2A">
      <w:pPr>
        <w:pStyle w:val="T-Draft"/>
      </w:pPr>
      <w:r w:rsidRPr="00BC4264">
        <w:t>It is noteworthy that the judge in the present case specifically applied</w:t>
      </w:r>
      <w:r w:rsidR="00E12826" w:rsidRPr="00BC4264">
        <w:t xml:space="preserve"> the majority’s reasoning in</w:t>
      </w:r>
      <w:r w:rsidRPr="00BC4264">
        <w:t xml:space="preserve"> </w:t>
      </w:r>
      <w:r w:rsidRPr="00BC4264">
        <w:rPr>
          <w:i/>
        </w:rPr>
        <w:t>Ngoma Juma Shabani</w:t>
      </w:r>
      <w:r w:rsidRPr="00BC4264">
        <w:rPr>
          <w:rStyle w:val="FootnoteReference"/>
        </w:rPr>
        <w:footnoteReference w:id="147"/>
      </w:r>
      <w:r w:rsidRPr="00BC4264">
        <w:t xml:space="preserve">. </w:t>
      </w:r>
      <w:r w:rsidR="00C841B8" w:rsidRPr="00BC4264">
        <w:t xml:space="preserve"> In any event, </w:t>
      </w:r>
      <w:r w:rsidR="006F568C" w:rsidRPr="00BC4264">
        <w:t xml:space="preserve">as Mr Lui submitted, </w:t>
      </w:r>
      <w:r w:rsidR="00C841B8" w:rsidRPr="00BC4264">
        <w:t xml:space="preserve">the argument that a judge must identify the </w:t>
      </w:r>
      <w:r w:rsidR="006F568C" w:rsidRPr="00BC4264">
        <w:t xml:space="preserve">specific </w:t>
      </w:r>
      <w:r w:rsidR="00C841B8" w:rsidRPr="00BC4264">
        <w:t xml:space="preserve">limb of section 56(1) under which he is making the order is </w:t>
      </w:r>
      <w:r w:rsidR="00AF7ED0" w:rsidRPr="00BC4264">
        <w:t>entirely</w:t>
      </w:r>
      <w:r w:rsidR="00C841B8" w:rsidRPr="00BC4264">
        <w:t xml:space="preserve"> otiose</w:t>
      </w:r>
      <w:r w:rsidR="004A2C26" w:rsidRPr="00BC4264">
        <w:t xml:space="preserve"> in this case</w:t>
      </w:r>
      <w:r w:rsidR="00C841B8" w:rsidRPr="00BC4264">
        <w:t xml:space="preserve"> because the judge expressly made his order under </w:t>
      </w:r>
      <w:r w:rsidR="00B042DF" w:rsidRPr="00BC4264">
        <w:t>sub</w:t>
      </w:r>
      <w:r w:rsidR="00C841B8" w:rsidRPr="00BC4264">
        <w:t>section</w:t>
      </w:r>
      <w:r w:rsidR="00B042DF" w:rsidRPr="00BC4264">
        <w:t xml:space="preserve"> (a) of section</w:t>
      </w:r>
      <w:r w:rsidR="00C841B8" w:rsidRPr="00BC4264">
        <w:t xml:space="preserve"> 56(1) of the DDO</w:t>
      </w:r>
      <w:r w:rsidR="00D670F8" w:rsidRPr="00BC4264">
        <w:rPr>
          <w:rStyle w:val="FootnoteReference"/>
        </w:rPr>
        <w:footnoteReference w:id="148"/>
      </w:r>
      <w:r w:rsidR="00C841B8" w:rsidRPr="00BC4264">
        <w:t>.</w:t>
      </w:r>
    </w:p>
    <w:p w:rsidR="00054E50" w:rsidRPr="00BC4264" w:rsidRDefault="007A3716" w:rsidP="000F5016">
      <w:pPr>
        <w:pStyle w:val="T-Draft"/>
      </w:pPr>
      <w:r w:rsidRPr="00BC4264">
        <w:t>We also observe that the facts</w:t>
      </w:r>
      <w:r w:rsidR="00D670F8" w:rsidRPr="00BC4264">
        <w:t xml:space="preserve"> presented by the appellant were remarkably similar to the case presented by the applicant in </w:t>
      </w:r>
      <w:r w:rsidR="00D670F8" w:rsidRPr="00BC4264">
        <w:rPr>
          <w:i/>
        </w:rPr>
        <w:t xml:space="preserve">Shoki </w:t>
      </w:r>
      <w:r w:rsidR="00B17705" w:rsidRPr="00BC4264">
        <w:rPr>
          <w:b/>
          <w:i/>
        </w:rPr>
        <w:t>‍</w:t>
      </w:r>
      <w:r w:rsidR="00D670F8" w:rsidRPr="00BC4264">
        <w:rPr>
          <w:i/>
        </w:rPr>
        <w:t xml:space="preserve">Fatuma </w:t>
      </w:r>
      <w:r w:rsidR="00B17705" w:rsidRPr="00BC4264">
        <w:rPr>
          <w:b/>
          <w:i/>
        </w:rPr>
        <w:t>‍</w:t>
      </w:r>
      <w:r w:rsidR="00D670F8" w:rsidRPr="00BC4264">
        <w:rPr>
          <w:i/>
        </w:rPr>
        <w:t>Ramadhani</w:t>
      </w:r>
      <w:r w:rsidR="00D670F8" w:rsidRPr="00BC4264">
        <w:t xml:space="preserve">, inasmuch as </w:t>
      </w:r>
      <w:r w:rsidR="009E7484" w:rsidRPr="00BC4264">
        <w:t>the</w:t>
      </w:r>
      <w:r w:rsidR="00D670F8" w:rsidRPr="00BC4264">
        <w:t xml:space="preserve"> </w:t>
      </w:r>
      <w:r w:rsidR="009E7484" w:rsidRPr="00BC4264">
        <w:t>defendants</w:t>
      </w:r>
      <w:r w:rsidR="00D670F8" w:rsidRPr="00BC4264">
        <w:t xml:space="preserve">, who </w:t>
      </w:r>
      <w:r w:rsidR="009E7484" w:rsidRPr="00BC4264">
        <w:t xml:space="preserve">both </w:t>
      </w:r>
      <w:r w:rsidR="00AF7ED0" w:rsidRPr="00BC4264">
        <w:t>happened to be</w:t>
      </w:r>
      <w:r w:rsidR="00D670F8" w:rsidRPr="00BC4264">
        <w:t xml:space="preserve"> Tanzanian</w:t>
      </w:r>
      <w:r w:rsidR="00AF7ED0" w:rsidRPr="00BC4264">
        <w:t xml:space="preserve"> women</w:t>
      </w:r>
      <w:r w:rsidR="00D670F8" w:rsidRPr="00BC4264">
        <w:t xml:space="preserve">, </w:t>
      </w:r>
      <w:r w:rsidR="00C75265" w:rsidRPr="00BC4264">
        <w:t xml:space="preserve">were intercepted at Hong Kong International Airport for suspected drug trafficking and found to be in possession of a substantial amount of US currency, which they </w:t>
      </w:r>
      <w:r w:rsidR="009E7484" w:rsidRPr="00BC4264">
        <w:t>each</w:t>
      </w:r>
      <w:r w:rsidR="00C75265" w:rsidRPr="00BC4264">
        <w:t xml:space="preserve"> claimed</w:t>
      </w:r>
      <w:r w:rsidR="00D670F8" w:rsidRPr="00BC4264">
        <w:t xml:space="preserve"> w</w:t>
      </w:r>
      <w:r w:rsidR="00705C21" w:rsidRPr="00BC4264">
        <w:t>as</w:t>
      </w:r>
      <w:r w:rsidR="00D670F8" w:rsidRPr="00BC4264">
        <w:t xml:space="preserve"> for buying go</w:t>
      </w:r>
      <w:r w:rsidR="00705C21" w:rsidRPr="00BC4264">
        <w:t>o</w:t>
      </w:r>
      <w:r w:rsidR="00D670F8" w:rsidRPr="00BC4264">
        <w:t>ds for their respective businesses</w:t>
      </w:r>
      <w:r w:rsidR="00705C21" w:rsidRPr="00BC4264">
        <w:t xml:space="preserve"> in Tanzania</w:t>
      </w:r>
      <w:r w:rsidR="00D670F8" w:rsidRPr="00BC4264">
        <w:t>.</w:t>
      </w:r>
      <w:r w:rsidR="00705C21" w:rsidRPr="00BC4264">
        <w:t xml:space="preserve">  Both similarly claimed that they had not yet been paid</w:t>
      </w:r>
      <w:r w:rsidR="00054E50" w:rsidRPr="00BC4264">
        <w:t xml:space="preserve"> any reward</w:t>
      </w:r>
      <w:r w:rsidR="00705C21" w:rsidRPr="00BC4264">
        <w:t xml:space="preserve"> for ingesting and carrying</w:t>
      </w:r>
      <w:r w:rsidR="00054E50" w:rsidRPr="00BC4264">
        <w:t xml:space="preserve">, in one case, cocaine, in the other, heroin </w:t>
      </w:r>
      <w:r w:rsidR="00705C21" w:rsidRPr="00BC4264">
        <w:t xml:space="preserve">across the border into Hong Kong.  </w:t>
      </w:r>
      <w:r w:rsidR="00054E50" w:rsidRPr="00BC4264">
        <w:t>In neither case did the prosecution identify which limb of section 56(1) it was relying on in making its application for forfeiture.</w:t>
      </w:r>
    </w:p>
    <w:p w:rsidR="00637E2A" w:rsidRPr="00BC4264" w:rsidRDefault="00705C21" w:rsidP="000F5016">
      <w:pPr>
        <w:pStyle w:val="T-Draft"/>
      </w:pPr>
      <w:r w:rsidRPr="00BC4264">
        <w:t xml:space="preserve">One of the points of law of great and general importance </w:t>
      </w:r>
      <w:r w:rsidR="000B26C9" w:rsidRPr="00BC4264">
        <w:t xml:space="preserve">originally </w:t>
      </w:r>
      <w:r w:rsidRPr="00BC4264">
        <w:t>put forward by counsel</w:t>
      </w:r>
      <w:r w:rsidR="00054E50" w:rsidRPr="00BC4264">
        <w:t xml:space="preserve"> before the Appeal Committee</w:t>
      </w:r>
      <w:r w:rsidRPr="00BC4264">
        <w:t xml:space="preserve"> in </w:t>
      </w:r>
      <w:r w:rsidRPr="00BC4264">
        <w:rPr>
          <w:i/>
        </w:rPr>
        <w:t xml:space="preserve">Shoki </w:t>
      </w:r>
      <w:r w:rsidR="00B17705" w:rsidRPr="00BC4264">
        <w:rPr>
          <w:b/>
          <w:i/>
        </w:rPr>
        <w:t>‍</w:t>
      </w:r>
      <w:r w:rsidRPr="00BC4264">
        <w:rPr>
          <w:i/>
        </w:rPr>
        <w:t>Fatuma Ramadhani</w:t>
      </w:r>
      <w:r w:rsidRPr="00BC4264">
        <w:t xml:space="preserve"> was: “During Forfeiture Proceedings, can an </w:t>
      </w:r>
      <w:r w:rsidRPr="00BC4264">
        <w:lastRenderedPageBreak/>
        <w:t>order be made granting the prosecution’s application where, a) the legal basis for the order was not identified…”</w:t>
      </w:r>
      <w:r w:rsidRPr="00BC4264">
        <w:rPr>
          <w:rStyle w:val="FootnoteReference"/>
        </w:rPr>
        <w:footnoteReference w:id="149"/>
      </w:r>
      <w:r w:rsidRPr="00BC4264">
        <w:t xml:space="preserve">.  At the hearing before the Appeal Committee, however, counsel accepted that the application was </w:t>
      </w:r>
      <w:r w:rsidR="00671718" w:rsidRPr="00BC4264">
        <w:rPr>
          <w:b/>
        </w:rPr>
        <w:t>‍</w:t>
      </w:r>
      <w:r w:rsidRPr="00BC4264">
        <w:t>really one alleging a substantial and grave injustice</w:t>
      </w:r>
      <w:r w:rsidR="00054E50" w:rsidRPr="00BC4264">
        <w:t xml:space="preserve"> and the Appeal </w:t>
      </w:r>
      <w:r w:rsidR="00671718" w:rsidRPr="00BC4264">
        <w:rPr>
          <w:b/>
        </w:rPr>
        <w:t>‍</w:t>
      </w:r>
      <w:r w:rsidR="00054E50" w:rsidRPr="00BC4264">
        <w:t xml:space="preserve">Committee dealt with the matter on that basis.  We think it </w:t>
      </w:r>
      <w:r w:rsidR="006F568C" w:rsidRPr="00BC4264">
        <w:t>very unlikely</w:t>
      </w:r>
      <w:r w:rsidR="00054E50" w:rsidRPr="00BC4264">
        <w:t xml:space="preserve"> that the Appeal Committee</w:t>
      </w:r>
      <w:r w:rsidR="005E2D32" w:rsidRPr="00BC4264">
        <w:t xml:space="preserve">, </w:t>
      </w:r>
      <w:r w:rsidR="006F568C" w:rsidRPr="00BC4264">
        <w:t>if it considered that the point about the lack of specificity as to which limb of section 56(1) was engaged had any merit</w:t>
      </w:r>
      <w:r w:rsidR="005E2D32" w:rsidRPr="00BC4264">
        <w:t xml:space="preserve">, would have refused the application </w:t>
      </w:r>
      <w:r w:rsidR="00164761" w:rsidRPr="00BC4264">
        <w:t xml:space="preserve">on the merits </w:t>
      </w:r>
      <w:r w:rsidR="005E2D32" w:rsidRPr="00BC4264">
        <w:t>without comment on the point</w:t>
      </w:r>
      <w:r w:rsidR="006F568C" w:rsidRPr="00BC4264">
        <w:t>.</w:t>
      </w:r>
    </w:p>
    <w:p w:rsidR="00C75265" w:rsidRPr="00BC4264" w:rsidRDefault="00C75265" w:rsidP="000F5016">
      <w:pPr>
        <w:pStyle w:val="T-Draft"/>
      </w:pPr>
      <w:r w:rsidRPr="00BC4264">
        <w:t xml:space="preserve">As to the merits of the application before us, the judge had the benefit of hearing the appellant at the forfeiture application.  We cannot see any reason to disturb his findings.  Indeed, </w:t>
      </w:r>
      <w:r w:rsidR="009E7484" w:rsidRPr="00BC4264">
        <w:t xml:space="preserve">having read her evidence, </w:t>
      </w:r>
      <w:r w:rsidRPr="00BC4264">
        <w:t>it would have been rather remarkable if he had come to any other conclusion.</w:t>
      </w:r>
    </w:p>
    <w:p w:rsidR="00C75265" w:rsidRPr="00BC4264" w:rsidRDefault="00C75265" w:rsidP="000F5016">
      <w:pPr>
        <w:pStyle w:val="T-Draft"/>
      </w:pPr>
      <w:r w:rsidRPr="00BC4264">
        <w:t>We find no merit in the appeal against the forfeiture order and dismiss this aspect of the appeal.</w:t>
      </w:r>
    </w:p>
    <w:p w:rsidR="003847A7" w:rsidRPr="00BC4264" w:rsidRDefault="00A56451" w:rsidP="00671718">
      <w:pPr>
        <w:pStyle w:val="Heading1"/>
        <w:numPr>
          <w:ilvl w:val="0"/>
          <w:numId w:val="19"/>
        </w:numPr>
        <w:spacing w:before="360" w:after="0" w:line="360" w:lineRule="auto"/>
        <w:ind w:left="720" w:hanging="720"/>
        <w:jc w:val="left"/>
        <w:rPr>
          <w:i/>
          <w:sz w:val="28"/>
          <w:szCs w:val="28"/>
          <w:lang w:eastAsia="zh-TW"/>
        </w:rPr>
      </w:pPr>
      <w:r w:rsidRPr="00BC4264">
        <w:rPr>
          <w:i/>
          <w:sz w:val="28"/>
          <w:szCs w:val="28"/>
          <w:lang w:eastAsia="zh-TW"/>
        </w:rPr>
        <w:t>Consideration o</w:t>
      </w:r>
      <w:r w:rsidR="005742B4" w:rsidRPr="00BC4264">
        <w:rPr>
          <w:i/>
          <w:sz w:val="28"/>
          <w:szCs w:val="28"/>
          <w:lang w:eastAsia="zh-TW"/>
        </w:rPr>
        <w:t>f</w:t>
      </w:r>
      <w:r w:rsidRPr="00BC4264">
        <w:rPr>
          <w:i/>
          <w:sz w:val="28"/>
          <w:szCs w:val="28"/>
          <w:lang w:eastAsia="zh-TW"/>
        </w:rPr>
        <w:t xml:space="preserve"> the </w:t>
      </w:r>
      <w:r w:rsidR="005742B4" w:rsidRPr="00BC4264">
        <w:rPr>
          <w:i/>
          <w:sz w:val="28"/>
          <w:szCs w:val="28"/>
          <w:lang w:eastAsia="zh-TW"/>
        </w:rPr>
        <w:t>proposed</w:t>
      </w:r>
      <w:r w:rsidRPr="00BC4264">
        <w:rPr>
          <w:i/>
          <w:sz w:val="28"/>
          <w:szCs w:val="28"/>
          <w:lang w:eastAsia="zh-TW"/>
        </w:rPr>
        <w:t xml:space="preserve"> fresh evidence</w:t>
      </w:r>
    </w:p>
    <w:p w:rsidR="003847A7" w:rsidRPr="00BC4264" w:rsidRDefault="009E7484" w:rsidP="003847A7">
      <w:pPr>
        <w:pStyle w:val="T-Draft"/>
      </w:pPr>
      <w:r w:rsidRPr="00BC4264">
        <w:t>Once again, we are faced with a submission that an app</w:t>
      </w:r>
      <w:r w:rsidR="002D2192" w:rsidRPr="00BC4264">
        <w:t>ell</w:t>
      </w:r>
      <w:r w:rsidRPr="00BC4264">
        <w:t xml:space="preserve">ant has assisted Father Wotherspoon’s </w:t>
      </w:r>
      <w:r w:rsidR="008C7146" w:rsidRPr="00BC4264">
        <w:t>‘</w:t>
      </w:r>
      <w:r w:rsidRPr="00BC4264">
        <w:t>campaign</w:t>
      </w:r>
      <w:r w:rsidR="008C7146" w:rsidRPr="00BC4264">
        <w:t>’</w:t>
      </w:r>
      <w:r w:rsidRPr="00BC4264">
        <w:t xml:space="preserve"> and, for that reason, coupled with information the app</w:t>
      </w:r>
      <w:r w:rsidR="002D2192" w:rsidRPr="00BC4264">
        <w:t>ella</w:t>
      </w:r>
      <w:r w:rsidRPr="00BC4264">
        <w:t>nt has given him</w:t>
      </w:r>
      <w:r w:rsidR="009E69F5" w:rsidRPr="00BC4264">
        <w:t>,</w:t>
      </w:r>
      <w:r w:rsidR="008C7146" w:rsidRPr="00BC4264">
        <w:t xml:space="preserve"> and which he has passed on to the authorities in the United States</w:t>
      </w:r>
      <w:r w:rsidRPr="00BC4264">
        <w:t xml:space="preserve">, </w:t>
      </w:r>
      <w:r w:rsidR="00C167B7" w:rsidRPr="00BC4264">
        <w:t xml:space="preserve">she </w:t>
      </w:r>
      <w:r w:rsidRPr="00BC4264">
        <w:t xml:space="preserve">is </w:t>
      </w:r>
      <w:r w:rsidR="0017043F" w:rsidRPr="00BC4264">
        <w:t>“</w:t>
      </w:r>
      <w:r w:rsidRPr="00BC4264">
        <w:t>entitled</w:t>
      </w:r>
      <w:r w:rsidR="0017043F" w:rsidRPr="00BC4264">
        <w:t>”</w:t>
      </w:r>
      <w:r w:rsidRPr="00BC4264">
        <w:t xml:space="preserve"> to a further discount on sentence.  We can dispose </w:t>
      </w:r>
      <w:r w:rsidR="0051601A" w:rsidRPr="00BC4264">
        <w:t xml:space="preserve">very quickly </w:t>
      </w:r>
      <w:r w:rsidRPr="00BC4264">
        <w:t xml:space="preserve">of the claim that information has been given to Father Wotherspoon </w:t>
      </w:r>
      <w:r w:rsidR="008C7146" w:rsidRPr="00BC4264">
        <w:t>and passed on to the United States</w:t>
      </w:r>
      <w:r w:rsidRPr="00BC4264">
        <w:t xml:space="preserve">.  </w:t>
      </w:r>
      <w:r w:rsidR="0051601A" w:rsidRPr="00BC4264">
        <w:t xml:space="preserve">This information was given </w:t>
      </w:r>
      <w:r w:rsidR="00B042DF" w:rsidRPr="00BC4264">
        <w:t>more than 16 months</w:t>
      </w:r>
      <w:r w:rsidR="0051601A" w:rsidRPr="00BC4264">
        <w:t xml:space="preserve"> after </w:t>
      </w:r>
      <w:r w:rsidR="0051601A" w:rsidRPr="00BC4264">
        <w:lastRenderedPageBreak/>
        <w:t>the app</w:t>
      </w:r>
      <w:r w:rsidR="002D2192" w:rsidRPr="00BC4264">
        <w:t>ell</w:t>
      </w:r>
      <w:r w:rsidR="0051601A" w:rsidRPr="00BC4264">
        <w:t>ant’s arrest and t</w:t>
      </w:r>
      <w:r w:rsidRPr="00BC4264">
        <w:t xml:space="preserve">here is no </w:t>
      </w:r>
      <w:r w:rsidR="008C7146" w:rsidRPr="00BC4264">
        <w:t xml:space="preserve">basis for </w:t>
      </w:r>
      <w:r w:rsidR="00B042DF" w:rsidRPr="00BC4264">
        <w:t>concluding t</w:t>
      </w:r>
      <w:r w:rsidR="008C7146" w:rsidRPr="00BC4264">
        <w:t xml:space="preserve">hat any of it was of any practical use.  With great respect to Father Wotherspoon, if he is in receipt of information, it should be passed to the authorities in Hong Kong to process if they consider it necessary.  Only then will the </w:t>
      </w:r>
      <w:r w:rsidR="00C167B7" w:rsidRPr="00BC4264">
        <w:t xml:space="preserve">courts of Hong </w:t>
      </w:r>
      <w:r w:rsidR="00671718" w:rsidRPr="00BC4264">
        <w:rPr>
          <w:b/>
        </w:rPr>
        <w:t>‍</w:t>
      </w:r>
      <w:r w:rsidR="00C167B7" w:rsidRPr="00BC4264">
        <w:t>Kong</w:t>
      </w:r>
      <w:r w:rsidR="008C7146" w:rsidRPr="00BC4264">
        <w:t xml:space="preserve"> be in a position to assess its practical value.</w:t>
      </w:r>
    </w:p>
    <w:p w:rsidR="0000516C" w:rsidRPr="00BC4264" w:rsidRDefault="008C7146" w:rsidP="0051601A">
      <w:pPr>
        <w:pStyle w:val="T-Draft"/>
      </w:pPr>
      <w:r w:rsidRPr="00BC4264">
        <w:t xml:space="preserve">As for the </w:t>
      </w:r>
      <w:r w:rsidR="00B042DF" w:rsidRPr="00BC4264">
        <w:t xml:space="preserve">appellant’s purported </w:t>
      </w:r>
      <w:r w:rsidRPr="00BC4264">
        <w:t xml:space="preserve">assistance to Father </w:t>
      </w:r>
      <w:r w:rsidR="00671718" w:rsidRPr="00BC4264">
        <w:rPr>
          <w:b/>
        </w:rPr>
        <w:t>‍</w:t>
      </w:r>
      <w:r w:rsidRPr="00BC4264">
        <w:t>Wotherspoon’s ‘campaign’, this comprises a single 2-page letter written to Father Wotherspoon</w:t>
      </w:r>
      <w:r w:rsidR="0060264D" w:rsidRPr="00BC4264">
        <w:t>,</w:t>
      </w:r>
      <w:r w:rsidRPr="00BC4264">
        <w:t xml:space="preserve"> which was subsequently published </w:t>
      </w:r>
      <w:r w:rsidR="00B042DF" w:rsidRPr="00BC4264">
        <w:t xml:space="preserve">by him </w:t>
      </w:r>
      <w:r w:rsidRPr="00BC4264">
        <w:t>on a</w:t>
      </w:r>
      <w:r w:rsidR="00B042DF" w:rsidRPr="00BC4264">
        <w:t>n Internet</w:t>
      </w:r>
      <w:r w:rsidRPr="00BC4264">
        <w:t xml:space="preserve"> </w:t>
      </w:r>
      <w:r w:rsidR="00862120" w:rsidRPr="00BC4264">
        <w:t>forum</w:t>
      </w:r>
      <w:r w:rsidRPr="00BC4264">
        <w:t xml:space="preserve">.  In </w:t>
      </w:r>
      <w:r w:rsidR="00862120" w:rsidRPr="00BC4264">
        <w:t>the letter</w:t>
      </w:r>
      <w:r w:rsidRPr="00BC4264">
        <w:t xml:space="preserve">, </w:t>
      </w:r>
      <w:r w:rsidR="0060264D" w:rsidRPr="00BC4264">
        <w:t>the app</w:t>
      </w:r>
      <w:r w:rsidR="002D2192" w:rsidRPr="00BC4264">
        <w:t>ell</w:t>
      </w:r>
      <w:r w:rsidR="0060264D" w:rsidRPr="00BC4264">
        <w:t>ant</w:t>
      </w:r>
      <w:r w:rsidRPr="00BC4264">
        <w:t xml:space="preserve"> describe</w:t>
      </w:r>
      <w:r w:rsidR="00862120" w:rsidRPr="00BC4264">
        <w:t>d</w:t>
      </w:r>
      <w:r w:rsidR="0051601A" w:rsidRPr="00BC4264">
        <w:t xml:space="preserve">, </w:t>
      </w:r>
      <w:r w:rsidR="0051601A" w:rsidRPr="00BC4264">
        <w:rPr>
          <w:i/>
        </w:rPr>
        <w:t>inter alia</w:t>
      </w:r>
      <w:r w:rsidR="0051601A" w:rsidRPr="00BC4264">
        <w:t>,</w:t>
      </w:r>
      <w:r w:rsidRPr="00BC4264">
        <w:t xml:space="preserve"> how she had in fact swallowed 8</w:t>
      </w:r>
      <w:r w:rsidR="0060264D" w:rsidRPr="00BC4264">
        <w:t>8 packets</w:t>
      </w:r>
      <w:r w:rsidRPr="00BC4264">
        <w:t xml:space="preserve"> of drugs, but discharged </w:t>
      </w:r>
      <w:r w:rsidR="0060264D" w:rsidRPr="00BC4264">
        <w:t>82</w:t>
      </w:r>
      <w:r w:rsidRPr="00BC4264">
        <w:t xml:space="preserve"> of them </w:t>
      </w:r>
      <w:r w:rsidRPr="00BC4264">
        <w:rPr>
          <w:i/>
        </w:rPr>
        <w:t>en route</w:t>
      </w:r>
      <w:r w:rsidR="002D2192" w:rsidRPr="00BC4264">
        <w:rPr>
          <w:i/>
        </w:rPr>
        <w:t xml:space="preserve"> </w:t>
      </w:r>
      <w:r w:rsidR="002D2192" w:rsidRPr="00BC4264">
        <w:t>to Hong Kong</w:t>
      </w:r>
      <w:r w:rsidR="00CE0D3E" w:rsidRPr="00BC4264">
        <w:rPr>
          <w:rStyle w:val="FootnoteReference"/>
        </w:rPr>
        <w:footnoteReference w:id="150"/>
      </w:r>
      <w:r w:rsidR="002D2192" w:rsidRPr="00BC4264">
        <w:t xml:space="preserve">. </w:t>
      </w:r>
      <w:r w:rsidR="0051601A" w:rsidRPr="00BC4264">
        <w:t xml:space="preserve"> As a result, she was only </w:t>
      </w:r>
      <w:r w:rsidR="002D2192" w:rsidRPr="00BC4264">
        <w:t>arrested for</w:t>
      </w:r>
      <w:r w:rsidR="0051601A" w:rsidRPr="00BC4264">
        <w:t xml:space="preserve"> trafficking in </w:t>
      </w:r>
      <w:r w:rsidR="005E2D32" w:rsidRPr="00BC4264">
        <w:t>six</w:t>
      </w:r>
      <w:r w:rsidR="0051601A" w:rsidRPr="00BC4264">
        <w:t xml:space="preserve"> packets of cocaine.  Notwithstanding her claims that she was going to present herself to the police </w:t>
      </w:r>
      <w:r w:rsidR="002D2192" w:rsidRPr="00BC4264">
        <w:t xml:space="preserve">with the </w:t>
      </w:r>
      <w:r w:rsidR="005E2D32" w:rsidRPr="00BC4264">
        <w:t>six</w:t>
      </w:r>
      <w:r w:rsidR="002D2192" w:rsidRPr="00BC4264">
        <w:t xml:space="preserve"> packets </w:t>
      </w:r>
      <w:r w:rsidR="0051601A" w:rsidRPr="00BC4264">
        <w:t xml:space="preserve">upon arrival, nothing was said to the Customs officers who intercepted her.  We have difficulty seeing how such a letter advances </w:t>
      </w:r>
      <w:r w:rsidR="0060264D" w:rsidRPr="00BC4264">
        <w:t>F</w:t>
      </w:r>
      <w:r w:rsidR="0051601A" w:rsidRPr="00BC4264">
        <w:t xml:space="preserve">ather </w:t>
      </w:r>
      <w:r w:rsidR="00B17705" w:rsidRPr="00BC4264">
        <w:rPr>
          <w:b/>
          <w:i/>
        </w:rPr>
        <w:t>‍</w:t>
      </w:r>
      <w:r w:rsidR="0051601A" w:rsidRPr="00BC4264">
        <w:t xml:space="preserve">Wotherspoon’s </w:t>
      </w:r>
      <w:r w:rsidR="0062675E" w:rsidRPr="00BC4264">
        <w:t>‘</w:t>
      </w:r>
      <w:r w:rsidR="0051601A" w:rsidRPr="00BC4264">
        <w:t>campaign</w:t>
      </w:r>
      <w:r w:rsidR="0062675E" w:rsidRPr="00BC4264">
        <w:t>’</w:t>
      </w:r>
      <w:r w:rsidR="0051601A" w:rsidRPr="00BC4264">
        <w:t xml:space="preserve"> other than to</w:t>
      </w:r>
      <w:r w:rsidR="0062675E" w:rsidRPr="00BC4264">
        <w:t xml:space="preserve"> show that yet another person has been caught trafficking drugs into Hong Kong.</w:t>
      </w:r>
    </w:p>
    <w:p w:rsidR="0062675E" w:rsidRPr="00BC4264" w:rsidRDefault="0062675E" w:rsidP="0051601A">
      <w:pPr>
        <w:pStyle w:val="T-Draft"/>
      </w:pPr>
      <w:r w:rsidRPr="00BC4264">
        <w:t xml:space="preserve">This Court has already made it clear that no more than a </w:t>
      </w:r>
      <w:r w:rsidR="00C167B7" w:rsidRPr="00BC4264">
        <w:t>“</w:t>
      </w:r>
      <w:r w:rsidRPr="00BC4264">
        <w:t>token</w:t>
      </w:r>
      <w:r w:rsidR="00C167B7" w:rsidRPr="00BC4264">
        <w:t>”</w:t>
      </w:r>
      <w:r w:rsidRPr="00BC4264">
        <w:t xml:space="preserve"> discount can be given for this factor</w:t>
      </w:r>
      <w:r w:rsidR="0017043F" w:rsidRPr="00BC4264">
        <w:rPr>
          <w:rStyle w:val="FootnoteReference"/>
        </w:rPr>
        <w:footnoteReference w:id="151"/>
      </w:r>
      <w:r w:rsidRPr="00BC4264">
        <w:t xml:space="preserve">, which judges should assess realistically and with common sense.  </w:t>
      </w:r>
      <w:r w:rsidR="0060264D" w:rsidRPr="00BC4264">
        <w:t xml:space="preserve">Whether they give any discount at all, or how they </w:t>
      </w:r>
      <w:r w:rsidR="00C167B7" w:rsidRPr="00BC4264">
        <w:t>quantify</w:t>
      </w:r>
      <w:r w:rsidR="0060264D" w:rsidRPr="00BC4264">
        <w:t xml:space="preserve"> a token amount, </w:t>
      </w:r>
      <w:r w:rsidRPr="00BC4264">
        <w:t>is a matter entirely within their discretion, which will not be lightly interfered with</w:t>
      </w:r>
      <w:r w:rsidR="006B2BD0" w:rsidRPr="00BC4264">
        <w:t xml:space="preserve"> by an appellate </w:t>
      </w:r>
      <w:r w:rsidR="00C167B7" w:rsidRPr="00BC4264">
        <w:t>c</w:t>
      </w:r>
      <w:r w:rsidR="006B2BD0" w:rsidRPr="00BC4264">
        <w:t>ourt</w:t>
      </w:r>
      <w:r w:rsidR="0017043F" w:rsidRPr="00BC4264">
        <w:rPr>
          <w:rStyle w:val="FootnoteReference"/>
        </w:rPr>
        <w:footnoteReference w:id="152"/>
      </w:r>
      <w:r w:rsidRPr="00BC4264">
        <w:t>.  Having looked at the content</w:t>
      </w:r>
      <w:r w:rsidR="0060264D" w:rsidRPr="00BC4264">
        <w:t>s</w:t>
      </w:r>
      <w:r w:rsidRPr="00BC4264">
        <w:t xml:space="preserve"> of th</w:t>
      </w:r>
      <w:r w:rsidR="0060264D" w:rsidRPr="00BC4264">
        <w:t>e app</w:t>
      </w:r>
      <w:r w:rsidR="00C167B7" w:rsidRPr="00BC4264">
        <w:t>ell</w:t>
      </w:r>
      <w:r w:rsidR="0060264D" w:rsidRPr="00BC4264">
        <w:t>ant’s</w:t>
      </w:r>
      <w:r w:rsidRPr="00BC4264">
        <w:t xml:space="preserve"> letter, we would not have </w:t>
      </w:r>
      <w:r w:rsidRPr="00BC4264">
        <w:lastRenderedPageBreak/>
        <w:t xml:space="preserve">given any discount for </w:t>
      </w:r>
      <w:r w:rsidR="0060264D" w:rsidRPr="00BC4264">
        <w:t xml:space="preserve">her </w:t>
      </w:r>
      <w:r w:rsidRPr="00BC4264">
        <w:t xml:space="preserve">assistance to Father Wotherspoon’s </w:t>
      </w:r>
      <w:r w:rsidR="005839F5" w:rsidRPr="00BC4264">
        <w:t>‘</w:t>
      </w:r>
      <w:r w:rsidRPr="00BC4264">
        <w:t>campaign</w:t>
      </w:r>
      <w:r w:rsidR="005839F5" w:rsidRPr="00BC4264">
        <w:t>’</w:t>
      </w:r>
      <w:r w:rsidR="0060264D" w:rsidRPr="00BC4264">
        <w:t>, particularly when the judge was dealing with 48.30 grammes of cocaine narcotic; the app</w:t>
      </w:r>
      <w:r w:rsidR="00C167B7" w:rsidRPr="00BC4264">
        <w:t>ell</w:t>
      </w:r>
      <w:r w:rsidR="0060264D" w:rsidRPr="00BC4264">
        <w:t xml:space="preserve">ant having apparently already discharged most of what she had </w:t>
      </w:r>
      <w:r w:rsidR="006B2BD0" w:rsidRPr="00BC4264">
        <w:t xml:space="preserve">unlawfully </w:t>
      </w:r>
      <w:r w:rsidR="0060264D" w:rsidRPr="00BC4264">
        <w:t xml:space="preserve">planned to bring </w:t>
      </w:r>
      <w:r w:rsidR="00C167B7" w:rsidRPr="00BC4264">
        <w:t>in</w:t>
      </w:r>
      <w:r w:rsidR="0060264D" w:rsidRPr="00BC4264">
        <w:t>to Hong Kong.</w:t>
      </w:r>
      <w:r w:rsidR="006B2BD0" w:rsidRPr="00BC4264">
        <w:t xml:space="preserve">  If defence counsel was in possession of this letter prior to mitigation, it is hardly surprising that she did not make use of it.</w:t>
      </w:r>
    </w:p>
    <w:p w:rsidR="006B2BD0" w:rsidRPr="00BC4264" w:rsidRDefault="006B2BD0" w:rsidP="0051601A">
      <w:pPr>
        <w:pStyle w:val="T-Draft"/>
      </w:pPr>
      <w:r w:rsidRPr="00BC4264">
        <w:t>There is no merit whatsoever in the claim that the app</w:t>
      </w:r>
      <w:r w:rsidR="00C167B7" w:rsidRPr="00BC4264">
        <w:t>ellant</w:t>
      </w:r>
      <w:r w:rsidRPr="00BC4264">
        <w:t xml:space="preserve"> is entitled to any discount</w:t>
      </w:r>
      <w:r w:rsidR="004700DF" w:rsidRPr="00BC4264">
        <w:t xml:space="preserve"> of her sentence</w:t>
      </w:r>
      <w:r w:rsidR="00396E74" w:rsidRPr="00BC4264">
        <w:t xml:space="preserve"> for this factor</w:t>
      </w:r>
      <w:r w:rsidRPr="00BC4264">
        <w:t>.</w:t>
      </w:r>
      <w:r w:rsidR="00E87968" w:rsidRPr="00BC4264">
        <w:t xml:space="preserve">  Given the wide </w:t>
      </w:r>
      <w:r w:rsidR="0017043F" w:rsidRPr="00BC4264">
        <w:t xml:space="preserve">and absolute </w:t>
      </w:r>
      <w:r w:rsidR="00E87968" w:rsidRPr="00BC4264">
        <w:t xml:space="preserve">discretion afforded to sentencing judges </w:t>
      </w:r>
      <w:r w:rsidR="0017043F" w:rsidRPr="00BC4264">
        <w:t xml:space="preserve">on this </w:t>
      </w:r>
      <w:r w:rsidR="007F2FD1" w:rsidRPr="00BC4264">
        <w:t>matter</w:t>
      </w:r>
      <w:r w:rsidR="00E87968" w:rsidRPr="00BC4264">
        <w:t>, which can only attract a “token discount” at most, we hope not to see this sort of ground of appeal being put before us again.</w:t>
      </w:r>
    </w:p>
    <w:p w:rsidR="00C46B81" w:rsidRPr="00BC4264" w:rsidRDefault="00A56451" w:rsidP="00A56451">
      <w:pPr>
        <w:pStyle w:val="Heading1"/>
        <w:spacing w:before="360" w:after="0" w:line="360" w:lineRule="auto"/>
        <w:jc w:val="left"/>
        <w:rPr>
          <w:i/>
          <w:sz w:val="28"/>
          <w:szCs w:val="28"/>
          <w:lang w:eastAsia="zh-TW"/>
        </w:rPr>
      </w:pPr>
      <w:r w:rsidRPr="00BC4264">
        <w:rPr>
          <w:i/>
          <w:sz w:val="28"/>
          <w:szCs w:val="28"/>
          <w:lang w:eastAsia="zh-TW"/>
        </w:rPr>
        <w:t>I.</w:t>
      </w:r>
      <w:r w:rsidR="00132F0D">
        <w:rPr>
          <w:i/>
          <w:sz w:val="28"/>
          <w:szCs w:val="28"/>
          <w:lang w:eastAsia="zh-TW"/>
        </w:rPr>
        <w:tab/>
      </w:r>
      <w:r w:rsidR="00C46B81" w:rsidRPr="00BC4264">
        <w:rPr>
          <w:i/>
          <w:sz w:val="28"/>
          <w:szCs w:val="28"/>
          <w:lang w:eastAsia="zh-TW"/>
        </w:rPr>
        <w:t>Conclusion</w:t>
      </w:r>
    </w:p>
    <w:p w:rsidR="002D2192" w:rsidRPr="00BC4264" w:rsidRDefault="004700DF" w:rsidP="0051601A">
      <w:pPr>
        <w:pStyle w:val="T-Draft"/>
      </w:pPr>
      <w:r w:rsidRPr="00BC4264">
        <w:t>For the above reasons, t</w:t>
      </w:r>
      <w:r w:rsidR="002D2192" w:rsidRPr="00BC4264">
        <w:t>he appeal against sentence</w:t>
      </w:r>
      <w:r w:rsidR="00427528" w:rsidRPr="00BC4264">
        <w:t xml:space="preserve">, which includes the appeal against </w:t>
      </w:r>
      <w:r w:rsidR="002F2DB7" w:rsidRPr="00BC4264">
        <w:t xml:space="preserve">the </w:t>
      </w:r>
      <w:r w:rsidR="00427528" w:rsidRPr="00BC4264">
        <w:t>forfeiture</w:t>
      </w:r>
      <w:r w:rsidR="002F2DB7" w:rsidRPr="00BC4264">
        <w:t xml:space="preserve"> order</w:t>
      </w:r>
      <w:r w:rsidR="00427528" w:rsidRPr="00BC4264">
        <w:t>,</w:t>
      </w:r>
      <w:r w:rsidR="002D2192" w:rsidRPr="00BC4264">
        <w:t xml:space="preserve"> is dismissed.</w:t>
      </w:r>
    </w:p>
    <w:p w:rsidR="00297521" w:rsidRPr="00BC4264" w:rsidRDefault="00297521" w:rsidP="0000516C">
      <w:pPr>
        <w:pStyle w:val="T-Draft"/>
        <w:numPr>
          <w:ilvl w:val="0"/>
          <w:numId w:val="0"/>
        </w:numPr>
      </w:pPr>
    </w:p>
    <w:p w:rsidR="0000516C" w:rsidRPr="00BC4264" w:rsidRDefault="0000516C" w:rsidP="0000516C">
      <w:pPr>
        <w:pStyle w:val="T-Draft"/>
        <w:numPr>
          <w:ilvl w:val="0"/>
          <w:numId w:val="0"/>
        </w:numPr>
      </w:pPr>
    </w:p>
    <w:p w:rsidR="00645E8E" w:rsidRPr="00BC4264" w:rsidRDefault="00645E8E" w:rsidP="0000516C">
      <w:pPr>
        <w:pStyle w:val="T-Draft"/>
        <w:numPr>
          <w:ilvl w:val="0"/>
          <w:numId w:val="0"/>
        </w:numPr>
        <w:rPr>
          <w:rFonts w:eastAsia="PMingLiU"/>
          <w:lang w:eastAsia="zh-TW"/>
        </w:rPr>
      </w:pPr>
    </w:p>
    <w:tbl>
      <w:tblPr>
        <w:tblW w:w="9930" w:type="dxa"/>
        <w:jc w:val="center"/>
        <w:tblLayout w:type="fixed"/>
        <w:tblLook w:val="0000" w:firstRow="0" w:lastRow="0" w:firstColumn="0" w:lastColumn="0" w:noHBand="0" w:noVBand="0"/>
      </w:tblPr>
      <w:tblGrid>
        <w:gridCol w:w="3310"/>
        <w:gridCol w:w="3310"/>
        <w:gridCol w:w="3310"/>
      </w:tblGrid>
      <w:tr w:rsidR="00110B94" w:rsidRPr="00BC4264" w:rsidTr="00110B94">
        <w:trPr>
          <w:trHeight w:val="828"/>
          <w:jc w:val="center"/>
        </w:trPr>
        <w:tc>
          <w:tcPr>
            <w:tcW w:w="3310" w:type="dxa"/>
          </w:tcPr>
          <w:p w:rsidR="00110B94" w:rsidRPr="00BC4264" w:rsidRDefault="00637E2A" w:rsidP="00D01D69">
            <w:pPr>
              <w:jc w:val="center"/>
              <w:rPr>
                <w:b w:val="0"/>
                <w:bCs/>
                <w:sz w:val="28"/>
              </w:rPr>
            </w:pPr>
            <w:r w:rsidRPr="00BC4264">
              <w:rPr>
                <w:b w:val="0"/>
                <w:bCs/>
                <w:sz w:val="28"/>
              </w:rPr>
              <w:t>(Wally Yeung)</w:t>
            </w:r>
          </w:p>
          <w:p w:rsidR="00637E2A" w:rsidRPr="00BC4264" w:rsidRDefault="00637E2A" w:rsidP="00D01D69">
            <w:pPr>
              <w:jc w:val="center"/>
              <w:rPr>
                <w:b w:val="0"/>
                <w:bCs/>
                <w:sz w:val="28"/>
              </w:rPr>
            </w:pPr>
            <w:r w:rsidRPr="00BC4264">
              <w:rPr>
                <w:b w:val="0"/>
                <w:bCs/>
                <w:sz w:val="28"/>
              </w:rPr>
              <w:t>Vice President</w:t>
            </w:r>
          </w:p>
        </w:tc>
        <w:tc>
          <w:tcPr>
            <w:tcW w:w="3310" w:type="dxa"/>
          </w:tcPr>
          <w:p w:rsidR="00637E2A" w:rsidRPr="00BC4264" w:rsidRDefault="00637E2A" w:rsidP="00637E2A">
            <w:pPr>
              <w:pStyle w:val="normal1"/>
              <w:rPr>
                <w:bCs/>
              </w:rPr>
            </w:pPr>
            <w:r w:rsidRPr="00BC4264">
              <w:rPr>
                <w:bCs/>
              </w:rPr>
              <w:t>(Andrew Macrae)</w:t>
            </w:r>
          </w:p>
          <w:p w:rsidR="00110B94" w:rsidRPr="00BC4264" w:rsidRDefault="00637E2A" w:rsidP="00637E2A">
            <w:pPr>
              <w:pStyle w:val="normal1"/>
              <w:tabs>
                <w:tab w:val="clear" w:pos="1411"/>
              </w:tabs>
            </w:pPr>
            <w:r w:rsidRPr="00BC4264">
              <w:rPr>
                <w:bCs/>
              </w:rPr>
              <w:t>Vice President</w:t>
            </w:r>
          </w:p>
          <w:p w:rsidR="00110B94" w:rsidRPr="00BC4264" w:rsidRDefault="00110B94" w:rsidP="00D01D69">
            <w:pPr>
              <w:jc w:val="center"/>
              <w:rPr>
                <w:b w:val="0"/>
                <w:bCs/>
                <w:sz w:val="28"/>
              </w:rPr>
            </w:pPr>
          </w:p>
        </w:tc>
        <w:tc>
          <w:tcPr>
            <w:tcW w:w="3310" w:type="dxa"/>
          </w:tcPr>
          <w:p w:rsidR="00110B94" w:rsidRPr="00BC4264" w:rsidRDefault="00110B94" w:rsidP="00D01D69">
            <w:pPr>
              <w:pStyle w:val="normal1"/>
              <w:tabs>
                <w:tab w:val="clear" w:pos="1411"/>
              </w:tabs>
            </w:pPr>
            <w:r w:rsidRPr="00BC4264">
              <w:t>(</w:t>
            </w:r>
            <w:r w:rsidR="00637E2A" w:rsidRPr="00BC4264">
              <w:t>Kevin Zervos</w:t>
            </w:r>
            <w:r w:rsidRPr="00BC4264">
              <w:t>)</w:t>
            </w:r>
          </w:p>
          <w:p w:rsidR="00110B94" w:rsidRPr="00BC4264" w:rsidRDefault="00637E2A" w:rsidP="00637E2A">
            <w:pPr>
              <w:pStyle w:val="normal1"/>
              <w:tabs>
                <w:tab w:val="clear" w:pos="1411"/>
              </w:tabs>
            </w:pPr>
            <w:r w:rsidRPr="00BC4264">
              <w:rPr>
                <w:bCs/>
              </w:rPr>
              <w:t>Justice of Appeal</w:t>
            </w:r>
          </w:p>
        </w:tc>
      </w:tr>
    </w:tbl>
    <w:p w:rsidR="0000516C" w:rsidRPr="00BC4264" w:rsidRDefault="0000516C" w:rsidP="00FA12F2">
      <w:pPr>
        <w:rPr>
          <w:b w:val="0"/>
          <w:bCs/>
          <w:sz w:val="28"/>
        </w:rPr>
      </w:pPr>
    </w:p>
    <w:p w:rsidR="00671718" w:rsidRPr="00BC4264" w:rsidRDefault="00671718" w:rsidP="00FA12F2">
      <w:pPr>
        <w:rPr>
          <w:b w:val="0"/>
          <w:bCs/>
          <w:sz w:val="28"/>
        </w:rPr>
      </w:pPr>
    </w:p>
    <w:p w:rsidR="00671718" w:rsidRPr="00BC4264" w:rsidRDefault="00671718" w:rsidP="00FA12F2">
      <w:pPr>
        <w:rPr>
          <w:b w:val="0"/>
          <w:bCs/>
          <w:sz w:val="28"/>
        </w:rPr>
      </w:pPr>
    </w:p>
    <w:p w:rsidR="002C1E81" w:rsidRPr="00BC4264" w:rsidRDefault="00D27366" w:rsidP="002C1E81">
      <w:pPr>
        <w:ind w:left="360" w:hanging="360"/>
        <w:rPr>
          <w:b w:val="0"/>
          <w:bCs/>
          <w:sz w:val="28"/>
        </w:rPr>
      </w:pPr>
      <w:r w:rsidRPr="00BC4264">
        <w:rPr>
          <w:b w:val="0"/>
          <w:bCs/>
          <w:sz w:val="28"/>
        </w:rPr>
        <w:t>Mr Ira Lui</w:t>
      </w:r>
      <w:r w:rsidR="002C1E81" w:rsidRPr="00BC4264">
        <w:rPr>
          <w:b w:val="0"/>
          <w:bCs/>
          <w:sz w:val="28"/>
        </w:rPr>
        <w:t xml:space="preserve"> ADPP, of the Department of Justice, for the Respondent</w:t>
      </w:r>
    </w:p>
    <w:p w:rsidR="002C1E81" w:rsidRPr="00BC4264" w:rsidRDefault="002C1E81" w:rsidP="002C1E81">
      <w:pPr>
        <w:ind w:left="360" w:hanging="360"/>
        <w:rPr>
          <w:b w:val="0"/>
          <w:bCs/>
          <w:sz w:val="28"/>
        </w:rPr>
      </w:pPr>
    </w:p>
    <w:p w:rsidR="002C1E81" w:rsidRPr="00BC4264" w:rsidRDefault="002C1E81" w:rsidP="002C1E81">
      <w:pPr>
        <w:ind w:left="360" w:hanging="360"/>
        <w:rPr>
          <w:b w:val="0"/>
          <w:bCs/>
          <w:sz w:val="28"/>
        </w:rPr>
      </w:pPr>
      <w:r w:rsidRPr="00BC4264">
        <w:rPr>
          <w:b w:val="0"/>
          <w:bCs/>
          <w:sz w:val="28"/>
        </w:rPr>
        <w:t>Mr Wayne Walsh SC and Mr Joseph Lee, instructed by Gallant, assigned by the Director of Legal Aid, for the Appellant</w:t>
      </w:r>
    </w:p>
    <w:sectPr w:rsidR="002C1E81" w:rsidRPr="00BC4264" w:rsidSect="00F57CD7">
      <w:headerReference w:type="even" r:id="rId9"/>
      <w:headerReference w:type="default" r:id="rId10"/>
      <w:footerReference w:type="even" r:id="rId11"/>
      <w:footerReference w:type="default" r:id="rId12"/>
      <w:headerReference w:type="first" r:id="rId13"/>
      <w:footerReference w:type="first" r:id="rId14"/>
      <w:pgSz w:w="11906" w:h="16838" w:code="9"/>
      <w:pgMar w:top="180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F65" w:rsidRDefault="007D0F65">
      <w:r>
        <w:separator/>
      </w:r>
    </w:p>
  </w:endnote>
  <w:endnote w:type="continuationSeparator" w:id="0">
    <w:p w:rsidR="007D0F65" w:rsidRDefault="007D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FA" w:rsidRDefault="00004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FA" w:rsidRDefault="00004A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FA" w:rsidRDefault="0000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F65" w:rsidRDefault="007D0F65">
      <w:r>
        <w:separator/>
      </w:r>
    </w:p>
  </w:footnote>
  <w:footnote w:type="continuationSeparator" w:id="0">
    <w:p w:rsidR="007D0F65" w:rsidRDefault="007D0F65">
      <w:r>
        <w:continuationSeparator/>
      </w:r>
    </w:p>
  </w:footnote>
  <w:footnote w:id="1">
    <w:p w:rsidR="00004AFA" w:rsidRPr="008950B9" w:rsidRDefault="00004AFA" w:rsidP="00661CB6">
      <w:pPr>
        <w:pStyle w:val="FootnoteText"/>
        <w:tabs>
          <w:tab w:val="clear" w:pos="274"/>
          <w:tab w:val="left" w:pos="360"/>
        </w:tabs>
        <w:rPr>
          <w:lang w:val="en-US"/>
        </w:rPr>
      </w:pPr>
      <w:r w:rsidRPr="008950B9">
        <w:rPr>
          <w:rStyle w:val="FootnoteReference"/>
        </w:rPr>
        <w:footnoteRef/>
      </w:r>
      <w:r>
        <w:t xml:space="preserve"> </w:t>
      </w:r>
      <w:r>
        <w:tab/>
      </w:r>
      <w:r w:rsidRPr="008950B9">
        <w:rPr>
          <w:lang w:val="en-US"/>
        </w:rPr>
        <w:t>McWalters JA.</w:t>
      </w:r>
    </w:p>
  </w:footnote>
  <w:footnote w:id="2">
    <w:p w:rsidR="00004AFA" w:rsidRPr="002A7281" w:rsidRDefault="00004AFA" w:rsidP="00661CB6">
      <w:pPr>
        <w:pStyle w:val="FootnoteText"/>
        <w:tabs>
          <w:tab w:val="clear" w:pos="274"/>
          <w:tab w:val="left" w:pos="360"/>
        </w:tabs>
      </w:pPr>
      <w:r>
        <w:rPr>
          <w:rStyle w:val="FootnoteReference"/>
        </w:rPr>
        <w:footnoteRef/>
      </w:r>
      <w:r>
        <w:t xml:space="preserve"> </w:t>
      </w:r>
      <w:r>
        <w:tab/>
        <w:t>Appeal Bundle (“AB”), p 16P-Q.</w:t>
      </w:r>
    </w:p>
  </w:footnote>
  <w:footnote w:id="3">
    <w:p w:rsidR="00004AFA" w:rsidRPr="00CD3691" w:rsidRDefault="00004AFA" w:rsidP="001727EE">
      <w:pPr>
        <w:pStyle w:val="FootnoteText"/>
        <w:tabs>
          <w:tab w:val="clear" w:pos="274"/>
          <w:tab w:val="left" w:pos="360"/>
        </w:tabs>
        <w:rPr>
          <w:lang w:val="en-US"/>
        </w:rPr>
      </w:pPr>
      <w:r>
        <w:rPr>
          <w:rStyle w:val="FootnoteReference"/>
        </w:rPr>
        <w:footnoteRef/>
      </w:r>
      <w:r>
        <w:t xml:space="preserve"> </w:t>
      </w:r>
      <w:r>
        <w:tab/>
        <w:t>AB</w:t>
      </w:r>
      <w:r>
        <w:rPr>
          <w:lang w:val="en-US"/>
        </w:rPr>
        <w:t>, p 41Q-U.</w:t>
      </w:r>
    </w:p>
  </w:footnote>
  <w:footnote w:id="4">
    <w:p w:rsidR="00004AFA" w:rsidRPr="00922919" w:rsidRDefault="00004AFA" w:rsidP="00355941">
      <w:pPr>
        <w:pStyle w:val="FootnoteText"/>
        <w:tabs>
          <w:tab w:val="clear" w:pos="274"/>
          <w:tab w:val="left" w:pos="360"/>
        </w:tabs>
      </w:pPr>
      <w:r>
        <w:rPr>
          <w:rStyle w:val="FootnoteReference"/>
        </w:rPr>
        <w:footnoteRef/>
      </w:r>
      <w:r>
        <w:t xml:space="preserve"> </w:t>
      </w:r>
      <w:r>
        <w:tab/>
      </w:r>
      <w:r w:rsidRPr="00922919">
        <w:rPr>
          <w:i/>
        </w:rPr>
        <w:t>HKSAR v Herry Jane Yusuph</w:t>
      </w:r>
      <w:r>
        <w:t xml:space="preserve"> [2019] HKCA 956, 26 August 2019, at [15]-[16].</w:t>
      </w:r>
    </w:p>
  </w:footnote>
  <w:footnote w:id="5">
    <w:p w:rsidR="00004AFA" w:rsidRPr="007F5C01" w:rsidRDefault="00004AFA" w:rsidP="00637E2A">
      <w:pPr>
        <w:pStyle w:val="FootnoteText"/>
        <w:tabs>
          <w:tab w:val="clear" w:pos="274"/>
          <w:tab w:val="left" w:pos="360"/>
        </w:tabs>
        <w:rPr>
          <w:lang w:val="en-US"/>
        </w:rPr>
      </w:pPr>
      <w:r>
        <w:rPr>
          <w:rStyle w:val="FootnoteReference"/>
        </w:rPr>
        <w:footnoteRef/>
      </w:r>
      <w:r>
        <w:t xml:space="preserve"> </w:t>
      </w:r>
      <w:r>
        <w:tab/>
      </w:r>
      <w:r w:rsidRPr="007649B5">
        <w:rPr>
          <w:i/>
        </w:rPr>
        <w:t>Chan Chi</w:t>
      </w:r>
      <w:r>
        <w:rPr>
          <w:i/>
        </w:rPr>
        <w:t>-m</w:t>
      </w:r>
      <w:r w:rsidRPr="007649B5">
        <w:rPr>
          <w:i/>
        </w:rPr>
        <w:t>ing v R</w:t>
      </w:r>
      <w:r>
        <w:t xml:space="preserve"> </w:t>
      </w:r>
      <w:r w:rsidRPr="009A67B1">
        <w:rPr>
          <w:szCs w:val="28"/>
        </w:rPr>
        <w:t>[1979]</w:t>
      </w:r>
      <w:r>
        <w:rPr>
          <w:szCs w:val="28"/>
        </w:rPr>
        <w:t xml:space="preserve"> HKLRD</w:t>
      </w:r>
      <w:r w:rsidRPr="009A67B1">
        <w:rPr>
          <w:szCs w:val="28"/>
        </w:rPr>
        <w:t xml:space="preserve"> 491</w:t>
      </w:r>
      <w:r>
        <w:rPr>
          <w:szCs w:val="28"/>
        </w:rPr>
        <w:t>.</w:t>
      </w:r>
    </w:p>
  </w:footnote>
  <w:footnote w:id="6">
    <w:p w:rsidR="00004AFA" w:rsidRPr="007649B5"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FB7273">
        <w:rPr>
          <w:i/>
          <w:lang w:val="en-US"/>
        </w:rPr>
        <w:t>Ibid.</w:t>
      </w:r>
      <w:r>
        <w:rPr>
          <w:lang w:val="en-US"/>
        </w:rPr>
        <w:t>, at 493.</w:t>
      </w:r>
    </w:p>
  </w:footnote>
  <w:footnote w:id="7">
    <w:p w:rsidR="00004AFA" w:rsidRPr="001A13E6" w:rsidRDefault="00004AFA" w:rsidP="00661CB6">
      <w:pPr>
        <w:pStyle w:val="FootnoteText"/>
        <w:tabs>
          <w:tab w:val="clear" w:pos="274"/>
          <w:tab w:val="left" w:pos="360"/>
        </w:tabs>
      </w:pPr>
      <w:r>
        <w:rPr>
          <w:rStyle w:val="FootnoteReference"/>
        </w:rPr>
        <w:footnoteRef/>
      </w:r>
      <w:r>
        <w:t xml:space="preserve"> </w:t>
      </w:r>
      <w:r>
        <w:tab/>
        <w:t>All of the cases tabulated were heard in the High Court, save for two in the District Court.</w:t>
      </w:r>
    </w:p>
  </w:footnote>
  <w:footnote w:id="8">
    <w:p w:rsidR="00004AFA" w:rsidRPr="0098383B" w:rsidRDefault="00004AFA" w:rsidP="00637E2A">
      <w:pPr>
        <w:pStyle w:val="FootnoteText"/>
        <w:tabs>
          <w:tab w:val="clear" w:pos="274"/>
          <w:tab w:val="left" w:pos="360"/>
        </w:tabs>
        <w:rPr>
          <w:lang w:val="en-US"/>
        </w:rPr>
      </w:pPr>
      <w:r>
        <w:rPr>
          <w:rStyle w:val="FootnoteReference"/>
        </w:rPr>
        <w:footnoteRef/>
      </w:r>
      <w:r>
        <w:t xml:space="preserve"> </w:t>
      </w:r>
      <w:r>
        <w:tab/>
      </w:r>
      <w:r w:rsidRPr="002E51D7">
        <w:rPr>
          <w:i/>
        </w:rPr>
        <w:t>R v Lau Tak-ming &amp; Anor</w:t>
      </w:r>
      <w:r>
        <w:t xml:space="preserve"> </w:t>
      </w:r>
      <w:r>
        <w:rPr>
          <w:lang w:val="en-US"/>
        </w:rPr>
        <w:t>[1990] 2 HKLR 370.</w:t>
      </w:r>
    </w:p>
  </w:footnote>
  <w:footnote w:id="9">
    <w:p w:rsidR="00004AFA" w:rsidRPr="0098383B" w:rsidRDefault="00004AFA" w:rsidP="00637E2A">
      <w:pPr>
        <w:pStyle w:val="FootnoteText"/>
        <w:tabs>
          <w:tab w:val="clear" w:pos="274"/>
          <w:tab w:val="left" w:pos="360"/>
        </w:tabs>
        <w:rPr>
          <w:lang w:val="en-US"/>
        </w:rPr>
      </w:pPr>
      <w:r>
        <w:rPr>
          <w:rStyle w:val="FootnoteReference"/>
        </w:rPr>
        <w:footnoteRef/>
      </w:r>
      <w:r>
        <w:t xml:space="preserve"> </w:t>
      </w:r>
      <w:r>
        <w:tab/>
      </w:r>
      <w:r w:rsidRPr="002E51D7">
        <w:rPr>
          <w:i/>
        </w:rPr>
        <w:t>Attorney General v Pedro Nel Rojas</w:t>
      </w:r>
      <w:r>
        <w:t xml:space="preserve"> [1994] </w:t>
      </w:r>
      <w:r>
        <w:rPr>
          <w:szCs w:val="28"/>
        </w:rPr>
        <w:t>2 HKCLR 69 at [70].</w:t>
      </w:r>
    </w:p>
  </w:footnote>
  <w:footnote w:id="10">
    <w:p w:rsidR="00004AFA" w:rsidRPr="000053F7"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3D3EE7">
        <w:rPr>
          <w:i/>
          <w:lang w:val="en-US"/>
        </w:rPr>
        <w:t>HKSAR v</w:t>
      </w:r>
      <w:r>
        <w:rPr>
          <w:lang w:val="en-US"/>
        </w:rPr>
        <w:t xml:space="preserve"> </w:t>
      </w:r>
      <w:r w:rsidRPr="000053F7">
        <w:rPr>
          <w:i/>
          <w:lang w:val="en-US"/>
        </w:rPr>
        <w:t>Kilima</w:t>
      </w:r>
      <w:r>
        <w:rPr>
          <w:i/>
          <w:lang w:val="en-US"/>
        </w:rPr>
        <w:t xml:space="preserve"> Abubakar Abbas </w:t>
      </w:r>
      <w:r w:rsidRPr="00FC2032">
        <w:rPr>
          <w:lang w:val="en-US"/>
        </w:rPr>
        <w:t>[2018] 5 HKLRD 88</w:t>
      </w:r>
      <w:r>
        <w:rPr>
          <w:lang w:val="en-US"/>
        </w:rPr>
        <w:t xml:space="preserve">, </w:t>
      </w:r>
      <w:r w:rsidRPr="00FC2032">
        <w:rPr>
          <w:i/>
          <w:lang w:val="en-US"/>
        </w:rPr>
        <w:t>per</w:t>
      </w:r>
      <w:r>
        <w:rPr>
          <w:lang w:val="en-US"/>
        </w:rPr>
        <w:t xml:space="preserve"> McWalters JA, at [148].</w:t>
      </w:r>
    </w:p>
  </w:footnote>
  <w:footnote w:id="11">
    <w:p w:rsidR="00004AFA" w:rsidRDefault="00004AFA" w:rsidP="00355941">
      <w:pPr>
        <w:pStyle w:val="FootnoteText"/>
        <w:tabs>
          <w:tab w:val="clear" w:pos="274"/>
          <w:tab w:val="left" w:pos="360"/>
        </w:tabs>
      </w:pPr>
      <w:r>
        <w:rPr>
          <w:rStyle w:val="FootnoteReference"/>
        </w:rPr>
        <w:footnoteRef/>
      </w:r>
      <w:r>
        <w:t xml:space="preserve"> </w:t>
      </w:r>
      <w:r>
        <w:tab/>
      </w:r>
      <w:r w:rsidRPr="003C4424">
        <w:rPr>
          <w:i/>
        </w:rPr>
        <w:t>HKSAR v Abdallah</w:t>
      </w:r>
      <w:r>
        <w:t xml:space="preserve"> [2009] 2 HKLRD 437. </w:t>
      </w:r>
    </w:p>
  </w:footnote>
  <w:footnote w:id="12">
    <w:p w:rsidR="00004AFA" w:rsidRPr="0098383B" w:rsidRDefault="00004AFA" w:rsidP="00637E2A">
      <w:pPr>
        <w:pStyle w:val="FootnoteText"/>
        <w:tabs>
          <w:tab w:val="clear" w:pos="274"/>
          <w:tab w:val="left" w:pos="360"/>
        </w:tabs>
        <w:rPr>
          <w:lang w:val="en-US"/>
        </w:rPr>
      </w:pPr>
      <w:r>
        <w:rPr>
          <w:rStyle w:val="FootnoteReference"/>
        </w:rPr>
        <w:footnoteRef/>
      </w:r>
      <w:r>
        <w:t xml:space="preserve"> </w:t>
      </w:r>
      <w:r>
        <w:tab/>
      </w:r>
      <w:r w:rsidRPr="00400AE3">
        <w:rPr>
          <w:i/>
        </w:rPr>
        <w:t>HKSAR v Manalo</w:t>
      </w:r>
      <w:r>
        <w:t xml:space="preserve"> </w:t>
      </w:r>
      <w:r>
        <w:rPr>
          <w:lang w:val="en-US"/>
        </w:rPr>
        <w:t>[2001] 1 HKLRD 557.</w:t>
      </w:r>
    </w:p>
  </w:footnote>
  <w:footnote w:id="13">
    <w:p w:rsidR="00004AFA" w:rsidRPr="00400AE3"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400AE3">
        <w:rPr>
          <w:i/>
          <w:lang w:val="en-US"/>
        </w:rPr>
        <w:t>HKSAR v Burnales</w:t>
      </w:r>
      <w:r>
        <w:rPr>
          <w:lang w:val="en-US"/>
        </w:rPr>
        <w:t xml:space="preserve"> [2000] 4 HKC 636.</w:t>
      </w:r>
    </w:p>
  </w:footnote>
  <w:footnote w:id="14">
    <w:p w:rsidR="00004AFA" w:rsidRPr="00365126"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365126">
        <w:rPr>
          <w:i/>
          <w:lang w:val="en-US"/>
        </w:rPr>
        <w:t>Manalo</w:t>
      </w:r>
      <w:r>
        <w:rPr>
          <w:lang w:val="en-US"/>
        </w:rPr>
        <w:t xml:space="preserve">, at 560F-H; </w:t>
      </w:r>
      <w:r w:rsidRPr="00365126">
        <w:rPr>
          <w:i/>
          <w:lang w:val="en-US"/>
        </w:rPr>
        <w:t>Burnales</w:t>
      </w:r>
      <w:r>
        <w:rPr>
          <w:lang w:val="en-US"/>
        </w:rPr>
        <w:t>, at 639I- 640B.</w:t>
      </w:r>
    </w:p>
  </w:footnote>
  <w:footnote w:id="15">
    <w:p w:rsidR="00004AFA" w:rsidRPr="00C90CD6"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C90CD6">
        <w:rPr>
          <w:i/>
          <w:lang w:val="en-US"/>
        </w:rPr>
        <w:t>Kilima</w:t>
      </w:r>
      <w:r>
        <w:rPr>
          <w:lang w:val="en-US"/>
        </w:rPr>
        <w:t xml:space="preserve">, </w:t>
      </w:r>
      <w:r w:rsidRPr="000053F7">
        <w:rPr>
          <w:i/>
          <w:lang w:val="en-US"/>
        </w:rPr>
        <w:t>per</w:t>
      </w:r>
      <w:r>
        <w:rPr>
          <w:lang w:val="en-US"/>
        </w:rPr>
        <w:t xml:space="preserve"> McWalters JA, at [154]-[157].</w:t>
      </w:r>
    </w:p>
  </w:footnote>
  <w:footnote w:id="16">
    <w:p w:rsidR="00004AFA" w:rsidRPr="00810098" w:rsidRDefault="00004AFA" w:rsidP="00637E2A">
      <w:pPr>
        <w:pStyle w:val="FootnoteText"/>
        <w:tabs>
          <w:tab w:val="clear" w:pos="274"/>
          <w:tab w:val="left" w:pos="360"/>
        </w:tabs>
        <w:rPr>
          <w:lang w:val="en-US"/>
        </w:rPr>
      </w:pPr>
      <w:r>
        <w:rPr>
          <w:rStyle w:val="FootnoteReference"/>
        </w:rPr>
        <w:footnoteRef/>
      </w:r>
      <w:r>
        <w:t xml:space="preserve"> </w:t>
      </w:r>
      <w:r>
        <w:tab/>
      </w:r>
      <w:r w:rsidRPr="00816B22">
        <w:rPr>
          <w:i/>
        </w:rPr>
        <w:t>Wong v The Queen</w:t>
      </w:r>
      <w:r>
        <w:t xml:space="preserve"> (2001) 207 CLR 584.</w:t>
      </w:r>
    </w:p>
  </w:footnote>
  <w:footnote w:id="17">
    <w:p w:rsidR="00004AFA" w:rsidRPr="00E21743"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E21743">
        <w:rPr>
          <w:i/>
          <w:lang w:val="en-US"/>
        </w:rPr>
        <w:t>Ibid</w:t>
      </w:r>
      <w:r>
        <w:rPr>
          <w:lang w:val="en-US"/>
        </w:rPr>
        <w:t>., at [74]-[75].</w:t>
      </w:r>
    </w:p>
  </w:footnote>
  <w:footnote w:id="18">
    <w:p w:rsidR="00004AFA" w:rsidRPr="00247D7B"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247D7B">
        <w:rPr>
          <w:i/>
          <w:lang w:val="en-US"/>
        </w:rPr>
        <w:t>R v Williscroft</w:t>
      </w:r>
      <w:r>
        <w:rPr>
          <w:lang w:val="en-US"/>
        </w:rPr>
        <w:t xml:space="preserve"> [1975] VR 292, at 300.</w:t>
      </w:r>
    </w:p>
  </w:footnote>
  <w:footnote w:id="19">
    <w:p w:rsidR="00004AFA" w:rsidRPr="00A57DE0"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8F0513">
        <w:rPr>
          <w:i/>
          <w:lang w:val="en-US"/>
        </w:rPr>
        <w:t>Kilima</w:t>
      </w:r>
      <w:r>
        <w:rPr>
          <w:lang w:val="en-US"/>
        </w:rPr>
        <w:t xml:space="preserve">, </w:t>
      </w:r>
      <w:r w:rsidRPr="00FC2032">
        <w:rPr>
          <w:i/>
          <w:lang w:val="en-US"/>
        </w:rPr>
        <w:t>per</w:t>
      </w:r>
      <w:r>
        <w:rPr>
          <w:lang w:val="en-US"/>
        </w:rPr>
        <w:t xml:space="preserve"> Macrae VP, at [71].</w:t>
      </w:r>
    </w:p>
  </w:footnote>
  <w:footnote w:id="20">
    <w:p w:rsidR="00004AFA" w:rsidRPr="008F0513" w:rsidRDefault="00004AFA" w:rsidP="007D760A">
      <w:pPr>
        <w:pStyle w:val="FootnoteText"/>
        <w:tabs>
          <w:tab w:val="clear" w:pos="274"/>
          <w:tab w:val="left" w:pos="360"/>
        </w:tabs>
        <w:rPr>
          <w:lang w:val="en-US"/>
        </w:rPr>
      </w:pPr>
      <w:r>
        <w:rPr>
          <w:rStyle w:val="FootnoteReference"/>
        </w:rPr>
        <w:footnoteRef/>
      </w:r>
      <w:r>
        <w:t xml:space="preserve"> </w:t>
      </w:r>
      <w:r>
        <w:rPr>
          <w:lang w:val="en-US"/>
        </w:rPr>
        <w:tab/>
      </w:r>
      <w:r w:rsidRPr="008F0513">
        <w:rPr>
          <w:i/>
          <w:lang w:val="en-US"/>
        </w:rPr>
        <w:t>HKSAR v Chan Ka Yiu</w:t>
      </w:r>
      <w:r>
        <w:rPr>
          <w:lang w:val="en-US"/>
        </w:rPr>
        <w:t xml:space="preserve"> [2018] 4 HKC 591.</w:t>
      </w:r>
    </w:p>
  </w:footnote>
  <w:footnote w:id="21">
    <w:p w:rsidR="00004AFA" w:rsidRPr="00A5740C" w:rsidRDefault="00004AFA" w:rsidP="007D760A">
      <w:pPr>
        <w:pStyle w:val="FootnoteText"/>
        <w:tabs>
          <w:tab w:val="clear" w:pos="274"/>
          <w:tab w:val="left" w:pos="360"/>
        </w:tabs>
        <w:rPr>
          <w:lang w:val="en-US"/>
        </w:rPr>
      </w:pPr>
      <w:r>
        <w:rPr>
          <w:rStyle w:val="FootnoteReference"/>
        </w:rPr>
        <w:footnoteRef/>
      </w:r>
      <w:r>
        <w:t xml:space="preserve"> </w:t>
      </w:r>
      <w:r>
        <w:tab/>
      </w:r>
      <w:r w:rsidRPr="005C45EF">
        <w:rPr>
          <w:i/>
        </w:rPr>
        <w:t xml:space="preserve">HKSAR v Godson Ugochukwu Okoro </w:t>
      </w:r>
      <w:r>
        <w:rPr>
          <w:lang w:val="en-HK" w:eastAsia="en-US"/>
        </w:rPr>
        <w:t>[2019] 2 HKLRD 451, at [94]-[97].</w:t>
      </w:r>
    </w:p>
  </w:footnote>
  <w:footnote w:id="22">
    <w:p w:rsidR="00004AFA" w:rsidRPr="004F6D49" w:rsidRDefault="00004AFA" w:rsidP="00637E2A">
      <w:pPr>
        <w:pStyle w:val="FootnoteText"/>
        <w:tabs>
          <w:tab w:val="clear" w:pos="274"/>
          <w:tab w:val="left" w:pos="360"/>
        </w:tabs>
        <w:rPr>
          <w:lang w:val="en-US"/>
        </w:rPr>
      </w:pPr>
      <w:r>
        <w:rPr>
          <w:rStyle w:val="FootnoteReference"/>
        </w:rPr>
        <w:footnoteRef/>
      </w:r>
      <w:r>
        <w:t xml:space="preserve"> </w:t>
      </w:r>
      <w:r>
        <w:tab/>
      </w:r>
      <w:r w:rsidRPr="00B60933">
        <w:rPr>
          <w:i/>
        </w:rPr>
        <w:t>Zhang &amp; Ors v The Queen</w:t>
      </w:r>
      <w:r>
        <w:t xml:space="preserve"> [2019] NZCA 507.</w:t>
      </w:r>
    </w:p>
  </w:footnote>
  <w:footnote w:id="23">
    <w:p w:rsidR="00004AFA" w:rsidRPr="00A5740C" w:rsidRDefault="00004AFA" w:rsidP="00637E2A">
      <w:pPr>
        <w:pStyle w:val="FootnoteText"/>
        <w:tabs>
          <w:tab w:val="clear" w:pos="274"/>
          <w:tab w:val="left" w:pos="360"/>
        </w:tabs>
        <w:rPr>
          <w:lang w:val="en-US"/>
        </w:rPr>
      </w:pPr>
      <w:r>
        <w:rPr>
          <w:rStyle w:val="FootnoteReference"/>
        </w:rPr>
        <w:footnoteRef/>
      </w:r>
      <w:r>
        <w:t xml:space="preserve"> </w:t>
      </w:r>
      <w:r>
        <w:tab/>
      </w:r>
      <w:r w:rsidRPr="00B60933">
        <w:rPr>
          <w:i/>
        </w:rPr>
        <w:t>R v Fatu</w:t>
      </w:r>
      <w:r>
        <w:t xml:space="preserve"> [2006] 2 NZLR 72.</w:t>
      </w:r>
    </w:p>
  </w:footnote>
  <w:footnote w:id="24">
    <w:p w:rsidR="00004AFA" w:rsidRPr="00424F16" w:rsidRDefault="00004AFA" w:rsidP="00637E2A">
      <w:pPr>
        <w:pStyle w:val="FootnoteText"/>
        <w:tabs>
          <w:tab w:val="clear" w:pos="274"/>
          <w:tab w:val="left" w:pos="360"/>
        </w:tabs>
        <w:rPr>
          <w:lang w:val="en-US"/>
        </w:rPr>
      </w:pPr>
      <w:r>
        <w:rPr>
          <w:rStyle w:val="FootnoteReference"/>
        </w:rPr>
        <w:footnoteRef/>
      </w:r>
      <w:r>
        <w:t xml:space="preserve"> </w:t>
      </w:r>
      <w:r>
        <w:tab/>
      </w:r>
      <w:r w:rsidRPr="00F64F8D">
        <w:rPr>
          <w:i/>
        </w:rPr>
        <w:t>Godson Ugochukwu Okoro</w:t>
      </w:r>
      <w:r>
        <w:t>, at [96].</w:t>
      </w:r>
      <w:r>
        <w:rPr>
          <w:lang w:val="en-US"/>
        </w:rPr>
        <w:t xml:space="preserve"> </w:t>
      </w:r>
    </w:p>
  </w:footnote>
  <w:footnote w:id="25">
    <w:p w:rsidR="00004AFA" w:rsidRPr="00B06104" w:rsidRDefault="00004AFA" w:rsidP="007E5242">
      <w:pPr>
        <w:pStyle w:val="FootnoteText"/>
        <w:tabs>
          <w:tab w:val="clear" w:pos="274"/>
          <w:tab w:val="left" w:pos="360"/>
        </w:tabs>
        <w:rPr>
          <w:lang w:val="en-US"/>
        </w:rPr>
      </w:pPr>
      <w:r>
        <w:rPr>
          <w:rStyle w:val="FootnoteReference"/>
        </w:rPr>
        <w:footnoteRef/>
      </w:r>
      <w:r>
        <w:t xml:space="preserve"> </w:t>
      </w:r>
      <w:r>
        <w:rPr>
          <w:lang w:val="en-US"/>
        </w:rPr>
        <w:tab/>
      </w:r>
      <w:r w:rsidRPr="00B06104">
        <w:rPr>
          <w:i/>
          <w:lang w:val="en-US"/>
        </w:rPr>
        <w:t>HKSAR v Nwadiuto Samuel Joseph</w:t>
      </w:r>
      <w:r>
        <w:rPr>
          <w:lang w:val="en-US"/>
        </w:rPr>
        <w:t xml:space="preserve"> (Unrep., CACC 210/2016, 16 February 2017).</w:t>
      </w:r>
    </w:p>
  </w:footnote>
  <w:footnote w:id="26">
    <w:p w:rsidR="00004AFA" w:rsidRPr="00B06104" w:rsidRDefault="00004AFA" w:rsidP="007E5242">
      <w:pPr>
        <w:pStyle w:val="FootnoteText"/>
        <w:tabs>
          <w:tab w:val="clear" w:pos="274"/>
          <w:tab w:val="left" w:pos="360"/>
        </w:tabs>
        <w:rPr>
          <w:lang w:val="en-US"/>
        </w:rPr>
      </w:pPr>
      <w:r>
        <w:rPr>
          <w:rStyle w:val="FootnoteReference"/>
        </w:rPr>
        <w:footnoteRef/>
      </w:r>
      <w:r>
        <w:t xml:space="preserve"> </w:t>
      </w:r>
      <w:r>
        <w:rPr>
          <w:lang w:val="en-US"/>
        </w:rPr>
        <w:tab/>
      </w:r>
      <w:r w:rsidRPr="00B06104">
        <w:rPr>
          <w:i/>
          <w:lang w:val="en-US"/>
        </w:rPr>
        <w:t>Ibid.</w:t>
      </w:r>
      <w:r>
        <w:rPr>
          <w:lang w:val="en-US"/>
        </w:rPr>
        <w:t>, at [42].</w:t>
      </w:r>
    </w:p>
  </w:footnote>
  <w:footnote w:id="27">
    <w:p w:rsidR="00004AFA" w:rsidRPr="00ED2F9A" w:rsidRDefault="00004AFA" w:rsidP="007E5242">
      <w:pPr>
        <w:pStyle w:val="FootnoteText"/>
        <w:tabs>
          <w:tab w:val="clear" w:pos="274"/>
          <w:tab w:val="left" w:pos="360"/>
        </w:tabs>
        <w:rPr>
          <w:lang w:val="en-US"/>
        </w:rPr>
      </w:pPr>
      <w:r>
        <w:rPr>
          <w:rStyle w:val="FootnoteReference"/>
        </w:rPr>
        <w:footnoteRef/>
      </w:r>
      <w:r>
        <w:t xml:space="preserve"> </w:t>
      </w:r>
      <w:r>
        <w:rPr>
          <w:lang w:val="en-US"/>
        </w:rPr>
        <w:tab/>
      </w:r>
      <w:r w:rsidRPr="00ED2F9A">
        <w:rPr>
          <w:i/>
          <w:lang w:val="en-US"/>
        </w:rPr>
        <w:t>HKSAR v Conde Nassou</w:t>
      </w:r>
      <w:r>
        <w:rPr>
          <w:lang w:val="en-US"/>
        </w:rPr>
        <w:t xml:space="preserve"> (Unrep., CACC 427/2014, 29 January 2016).</w:t>
      </w:r>
    </w:p>
  </w:footnote>
  <w:footnote w:id="28">
    <w:p w:rsidR="00004AFA" w:rsidRPr="00ED2F9A" w:rsidRDefault="00004AFA" w:rsidP="007E5242">
      <w:pPr>
        <w:pStyle w:val="FootnoteText"/>
        <w:tabs>
          <w:tab w:val="clear" w:pos="274"/>
          <w:tab w:val="left" w:pos="360"/>
        </w:tabs>
        <w:rPr>
          <w:lang w:val="en-US"/>
        </w:rPr>
      </w:pPr>
      <w:r>
        <w:rPr>
          <w:rStyle w:val="FootnoteReference"/>
        </w:rPr>
        <w:footnoteRef/>
      </w:r>
      <w:r>
        <w:t xml:space="preserve"> </w:t>
      </w:r>
      <w:r>
        <w:rPr>
          <w:lang w:val="en-US"/>
        </w:rPr>
        <w:tab/>
      </w:r>
      <w:r w:rsidRPr="00ED2F9A">
        <w:rPr>
          <w:i/>
          <w:lang w:val="en-US"/>
        </w:rPr>
        <w:t>Ibid.</w:t>
      </w:r>
      <w:r>
        <w:rPr>
          <w:lang w:val="en-US"/>
        </w:rPr>
        <w:t>, at [34].</w:t>
      </w:r>
    </w:p>
  </w:footnote>
  <w:footnote w:id="29">
    <w:p w:rsidR="00004AFA" w:rsidRPr="00FE5D5C" w:rsidRDefault="00004AFA" w:rsidP="00CF3260">
      <w:pPr>
        <w:pStyle w:val="FootnoteText"/>
        <w:tabs>
          <w:tab w:val="clear" w:pos="274"/>
          <w:tab w:val="left" w:pos="360"/>
        </w:tabs>
      </w:pPr>
      <w:r>
        <w:rPr>
          <w:rStyle w:val="FootnoteReference"/>
        </w:rPr>
        <w:footnoteRef/>
      </w:r>
      <w:r>
        <w:t xml:space="preserve"> </w:t>
      </w:r>
      <w:r>
        <w:tab/>
      </w:r>
      <w:r w:rsidRPr="00FE5D5C">
        <w:rPr>
          <w:i/>
        </w:rPr>
        <w:t>Ibid.</w:t>
      </w:r>
      <w:r>
        <w:t>, at [36]-[39].</w:t>
      </w:r>
    </w:p>
  </w:footnote>
  <w:footnote w:id="30">
    <w:p w:rsidR="00004AFA" w:rsidRPr="009E1343" w:rsidRDefault="00004AFA" w:rsidP="00AB52E8">
      <w:pPr>
        <w:pStyle w:val="FootnoteText"/>
        <w:tabs>
          <w:tab w:val="clear" w:pos="274"/>
          <w:tab w:val="left" w:pos="360"/>
        </w:tabs>
        <w:ind w:left="360" w:right="-64" w:hanging="360"/>
        <w:jc w:val="both"/>
        <w:rPr>
          <w:lang w:val="en-US"/>
        </w:rPr>
      </w:pPr>
      <w:r>
        <w:rPr>
          <w:rStyle w:val="FootnoteReference"/>
        </w:rPr>
        <w:footnoteRef/>
      </w:r>
      <w:r>
        <w:t xml:space="preserve"> </w:t>
      </w:r>
      <w:r>
        <w:tab/>
      </w:r>
      <w:r w:rsidRPr="00AE60F2">
        <w:rPr>
          <w:i/>
        </w:rPr>
        <w:t>HKSAR v An unknown person alias Stojanovic Milka and Skopljak Sara</w:t>
      </w:r>
      <w:r>
        <w:t xml:space="preserve"> (</w:t>
      </w:r>
      <w:r>
        <w:rPr>
          <w:lang w:val="en-US"/>
        </w:rPr>
        <w:t>Unrep., CACC 110/2010, 3 November 2010), at [12].</w:t>
      </w:r>
    </w:p>
  </w:footnote>
  <w:footnote w:id="31">
    <w:p w:rsidR="00004AFA" w:rsidRPr="00AE60F2" w:rsidRDefault="00004AFA" w:rsidP="007E5242">
      <w:pPr>
        <w:pStyle w:val="FootnoteText"/>
        <w:tabs>
          <w:tab w:val="clear" w:pos="274"/>
          <w:tab w:val="left" w:pos="360"/>
        </w:tabs>
        <w:ind w:left="360" w:hanging="360"/>
        <w:rPr>
          <w:lang w:val="en-US"/>
        </w:rPr>
      </w:pPr>
      <w:r>
        <w:rPr>
          <w:rStyle w:val="FootnoteReference"/>
        </w:rPr>
        <w:footnoteRef/>
      </w:r>
      <w:r>
        <w:t xml:space="preserve"> </w:t>
      </w:r>
      <w:r>
        <w:rPr>
          <w:lang w:val="en-US"/>
        </w:rPr>
        <w:tab/>
      </w:r>
      <w:r w:rsidRPr="00AE60F2">
        <w:rPr>
          <w:i/>
          <w:lang w:val="en-US"/>
        </w:rPr>
        <w:t>HKSAR v Leung Wai Man</w:t>
      </w:r>
      <w:r>
        <w:rPr>
          <w:lang w:val="en-US"/>
        </w:rPr>
        <w:t xml:space="preserve"> (Unrep., CACC 24/2007, 7 December 2009), at [11].</w:t>
      </w:r>
    </w:p>
  </w:footnote>
  <w:footnote w:id="32">
    <w:p w:rsidR="00004AFA" w:rsidRPr="00464DDC" w:rsidRDefault="00004AFA" w:rsidP="00AB52E8">
      <w:pPr>
        <w:pStyle w:val="FootnoteText"/>
        <w:tabs>
          <w:tab w:val="clear" w:pos="274"/>
          <w:tab w:val="left" w:pos="360"/>
        </w:tabs>
      </w:pPr>
      <w:r>
        <w:rPr>
          <w:rStyle w:val="FootnoteReference"/>
        </w:rPr>
        <w:footnoteRef/>
      </w:r>
      <w:r>
        <w:t xml:space="preserve"> </w:t>
      </w:r>
      <w:r>
        <w:tab/>
      </w:r>
      <w:r w:rsidRPr="00464DDC">
        <w:rPr>
          <w:i/>
        </w:rPr>
        <w:t>Lau Tak-ming &amp; Anor</w:t>
      </w:r>
      <w:r>
        <w:t>, at 386F-G.</w:t>
      </w:r>
    </w:p>
  </w:footnote>
  <w:footnote w:id="33">
    <w:p w:rsidR="00004AFA" w:rsidRPr="009E1343" w:rsidRDefault="00004AFA" w:rsidP="007E5242">
      <w:pPr>
        <w:pStyle w:val="FootnoteText"/>
        <w:tabs>
          <w:tab w:val="clear" w:pos="274"/>
          <w:tab w:val="left" w:pos="360"/>
        </w:tabs>
        <w:ind w:left="360" w:hanging="360"/>
        <w:rPr>
          <w:lang w:val="en-US"/>
        </w:rPr>
      </w:pPr>
      <w:r>
        <w:rPr>
          <w:rStyle w:val="FootnoteReference"/>
        </w:rPr>
        <w:footnoteRef/>
      </w:r>
      <w:r>
        <w:t xml:space="preserve"> </w:t>
      </w:r>
      <w:r>
        <w:tab/>
      </w:r>
      <w:r w:rsidRPr="00A2676D">
        <w:rPr>
          <w:i/>
        </w:rPr>
        <w:t>HKSAR v Rawe Waikama Magarya</w:t>
      </w:r>
      <w:r>
        <w:t xml:space="preserve"> [2015] 5 HKC 438, at [28].</w:t>
      </w:r>
    </w:p>
  </w:footnote>
  <w:footnote w:id="34">
    <w:p w:rsidR="00004AFA" w:rsidRPr="0090633E" w:rsidRDefault="00004AFA" w:rsidP="00637E2A">
      <w:pPr>
        <w:pStyle w:val="FootnoteText"/>
        <w:tabs>
          <w:tab w:val="clear" w:pos="274"/>
          <w:tab w:val="left" w:pos="360"/>
        </w:tabs>
        <w:rPr>
          <w:lang w:val="en-US"/>
        </w:rPr>
      </w:pPr>
      <w:r>
        <w:rPr>
          <w:rStyle w:val="FootnoteReference"/>
        </w:rPr>
        <w:footnoteRef/>
      </w:r>
      <w:r>
        <w:t xml:space="preserve"> </w:t>
      </w:r>
      <w:r>
        <w:tab/>
      </w:r>
      <w:r w:rsidRPr="006B1C87">
        <w:rPr>
          <w:i/>
        </w:rPr>
        <w:t>HKSAR v Kisa</w:t>
      </w:r>
      <w:r>
        <w:rPr>
          <w:i/>
        </w:rPr>
        <w:t>m</w:t>
      </w:r>
      <w:r w:rsidRPr="006B1C87">
        <w:rPr>
          <w:i/>
        </w:rPr>
        <w:t>o Diana Semali</w:t>
      </w:r>
      <w:r>
        <w:t xml:space="preserve"> [2019] 1 HKLRD 256 at [13]-[18].</w:t>
      </w:r>
    </w:p>
  </w:footnote>
  <w:footnote w:id="35">
    <w:p w:rsidR="00004AFA" w:rsidRPr="00A40E0A" w:rsidRDefault="00004AFA" w:rsidP="00AB52E8">
      <w:pPr>
        <w:pStyle w:val="FootnoteText"/>
        <w:tabs>
          <w:tab w:val="clear" w:pos="274"/>
          <w:tab w:val="left" w:pos="360"/>
        </w:tabs>
      </w:pPr>
      <w:r>
        <w:rPr>
          <w:rStyle w:val="FootnoteReference"/>
        </w:rPr>
        <w:footnoteRef/>
      </w:r>
      <w:r>
        <w:t xml:space="preserve"> </w:t>
      </w:r>
      <w:r>
        <w:tab/>
      </w:r>
      <w:r w:rsidRPr="00A40E0A">
        <w:rPr>
          <w:i/>
        </w:rPr>
        <w:t>HKSAR v Fundi Furaha Giles</w:t>
      </w:r>
      <w:r>
        <w:t xml:space="preserve"> (Unrep., CACC 82/2017, 1 February 2019), at [22]-[23].</w:t>
      </w:r>
    </w:p>
  </w:footnote>
  <w:footnote w:id="36">
    <w:p w:rsidR="00004AFA" w:rsidRPr="0090633E" w:rsidRDefault="00004AFA" w:rsidP="00637E2A">
      <w:pPr>
        <w:pStyle w:val="FootnoteText"/>
        <w:tabs>
          <w:tab w:val="clear" w:pos="274"/>
          <w:tab w:val="left" w:pos="360"/>
        </w:tabs>
        <w:rPr>
          <w:lang w:val="en-US"/>
        </w:rPr>
      </w:pPr>
      <w:r>
        <w:rPr>
          <w:rStyle w:val="FootnoteReference"/>
        </w:rPr>
        <w:footnoteRef/>
      </w:r>
      <w:r>
        <w:t xml:space="preserve"> </w:t>
      </w:r>
      <w:r>
        <w:tab/>
      </w:r>
      <w:r w:rsidRPr="006B1C87">
        <w:rPr>
          <w:i/>
        </w:rPr>
        <w:t>HKSAR v Camara Aboubacar</w:t>
      </w:r>
      <w:r>
        <w:t xml:space="preserve"> (</w:t>
      </w:r>
      <w:r>
        <w:rPr>
          <w:lang w:val="en-US"/>
        </w:rPr>
        <w:t>Unrep., CACC 353/2017, 20 March 2019), at [20].</w:t>
      </w:r>
    </w:p>
  </w:footnote>
  <w:footnote w:id="37">
    <w:p w:rsidR="00004AFA" w:rsidRPr="00DC12E4" w:rsidRDefault="00004AFA" w:rsidP="00637E2A">
      <w:pPr>
        <w:pStyle w:val="FootnoteText"/>
        <w:tabs>
          <w:tab w:val="clear" w:pos="274"/>
          <w:tab w:val="left" w:pos="360"/>
        </w:tabs>
        <w:rPr>
          <w:lang w:val="en-US"/>
        </w:rPr>
      </w:pPr>
      <w:r>
        <w:rPr>
          <w:rStyle w:val="FootnoteReference"/>
        </w:rPr>
        <w:footnoteRef/>
      </w:r>
      <w:r>
        <w:t xml:space="preserve"> </w:t>
      </w:r>
      <w:r>
        <w:tab/>
      </w:r>
      <w:r w:rsidRPr="006B1C87">
        <w:rPr>
          <w:i/>
        </w:rPr>
        <w:t>HKSAR v Zaripov Eduard</w:t>
      </w:r>
      <w:r>
        <w:t xml:space="preserve"> (Unrep., CACC 165/2018, 21 March 2019), at [31].</w:t>
      </w:r>
    </w:p>
  </w:footnote>
  <w:footnote w:id="38">
    <w:p w:rsidR="00004AFA" w:rsidRPr="006C2C90" w:rsidRDefault="00004AFA" w:rsidP="00AB52E8">
      <w:pPr>
        <w:pStyle w:val="FootnoteText"/>
        <w:tabs>
          <w:tab w:val="clear" w:pos="274"/>
          <w:tab w:val="left" w:pos="360"/>
        </w:tabs>
        <w:ind w:left="360" w:hanging="360"/>
        <w:jc w:val="both"/>
        <w:rPr>
          <w:lang w:val="en-US"/>
        </w:rPr>
      </w:pPr>
      <w:r>
        <w:rPr>
          <w:rStyle w:val="FootnoteReference"/>
        </w:rPr>
        <w:footnoteRef/>
      </w:r>
      <w:r>
        <w:t xml:space="preserve"> </w:t>
      </w:r>
      <w:r>
        <w:rPr>
          <w:lang w:val="en-US"/>
        </w:rPr>
        <w:tab/>
        <w:t>The sentence was further enhanced by 1 year for the international element involved, making an enhanced starting point (or notional sentence after trial) of 21 years’ imprisonment.</w:t>
      </w:r>
    </w:p>
  </w:footnote>
  <w:footnote w:id="39">
    <w:p w:rsidR="00004AFA" w:rsidRDefault="00004AFA" w:rsidP="00AB52E8">
      <w:pPr>
        <w:pStyle w:val="FootnoteText"/>
        <w:tabs>
          <w:tab w:val="clear" w:pos="274"/>
          <w:tab w:val="left" w:pos="360"/>
        </w:tabs>
      </w:pPr>
      <w:r>
        <w:rPr>
          <w:rStyle w:val="FootnoteReference"/>
        </w:rPr>
        <w:footnoteRef/>
      </w:r>
      <w:r>
        <w:t xml:space="preserve"> </w:t>
      </w:r>
      <w:r>
        <w:tab/>
      </w:r>
      <w:r w:rsidRPr="003E3B6C">
        <w:rPr>
          <w:i/>
        </w:rPr>
        <w:t>R v Milberry</w:t>
      </w:r>
      <w:r>
        <w:t xml:space="preserve"> [2003] 1 WLR 546.</w:t>
      </w:r>
    </w:p>
  </w:footnote>
  <w:footnote w:id="40">
    <w:p w:rsidR="00004AFA" w:rsidRPr="003E3B6C" w:rsidRDefault="00004AFA" w:rsidP="00AB52E8">
      <w:pPr>
        <w:pStyle w:val="FootnoteText"/>
        <w:tabs>
          <w:tab w:val="clear" w:pos="274"/>
          <w:tab w:val="left" w:pos="360"/>
        </w:tabs>
      </w:pPr>
      <w:r>
        <w:rPr>
          <w:rStyle w:val="FootnoteReference"/>
        </w:rPr>
        <w:footnoteRef/>
      </w:r>
      <w:r>
        <w:t xml:space="preserve"> </w:t>
      </w:r>
      <w:r>
        <w:tab/>
      </w:r>
      <w:r w:rsidRPr="003E3B6C">
        <w:rPr>
          <w:i/>
        </w:rPr>
        <w:t>Ibid.</w:t>
      </w:r>
      <w:r>
        <w:t>, at 556B-C.</w:t>
      </w:r>
    </w:p>
  </w:footnote>
  <w:footnote w:id="41">
    <w:p w:rsidR="00004AFA" w:rsidRDefault="00004AFA" w:rsidP="00382003">
      <w:pPr>
        <w:pStyle w:val="FootnoteText"/>
        <w:tabs>
          <w:tab w:val="clear" w:pos="274"/>
          <w:tab w:val="left" w:pos="360"/>
        </w:tabs>
      </w:pPr>
      <w:r>
        <w:rPr>
          <w:rStyle w:val="FootnoteReference"/>
        </w:rPr>
        <w:footnoteRef/>
      </w:r>
      <w:r>
        <w:t xml:space="preserve"> </w:t>
      </w:r>
      <w:r>
        <w:tab/>
      </w:r>
      <w:r w:rsidRPr="008C1D7E">
        <w:rPr>
          <w:i/>
        </w:rPr>
        <w:t>Wong</w:t>
      </w:r>
      <w:r>
        <w:t>, at [5].</w:t>
      </w:r>
    </w:p>
  </w:footnote>
  <w:footnote w:id="42">
    <w:p w:rsidR="00004AFA" w:rsidRDefault="00004AFA" w:rsidP="00382003">
      <w:pPr>
        <w:pStyle w:val="FootnoteText"/>
        <w:tabs>
          <w:tab w:val="clear" w:pos="274"/>
          <w:tab w:val="left" w:pos="360"/>
        </w:tabs>
      </w:pPr>
      <w:r>
        <w:rPr>
          <w:rStyle w:val="FootnoteReference"/>
        </w:rPr>
        <w:footnoteRef/>
      </w:r>
      <w:r>
        <w:t xml:space="preserve"> </w:t>
      </w:r>
      <w:r>
        <w:tab/>
      </w:r>
      <w:r w:rsidRPr="00B61FAF">
        <w:rPr>
          <w:i/>
        </w:rPr>
        <w:t>Ibid.</w:t>
      </w:r>
      <w:r>
        <w:t>, at [6].</w:t>
      </w:r>
    </w:p>
  </w:footnote>
  <w:footnote w:id="43">
    <w:p w:rsidR="00004AFA" w:rsidRDefault="00004AFA" w:rsidP="00AB52E8">
      <w:pPr>
        <w:pStyle w:val="FootnoteText"/>
        <w:tabs>
          <w:tab w:val="clear" w:pos="274"/>
          <w:tab w:val="left" w:pos="360"/>
        </w:tabs>
      </w:pPr>
      <w:r>
        <w:rPr>
          <w:rStyle w:val="FootnoteReference"/>
        </w:rPr>
        <w:footnoteRef/>
      </w:r>
      <w:r>
        <w:t xml:space="preserve"> </w:t>
      </w:r>
      <w:r>
        <w:tab/>
      </w:r>
      <w:r w:rsidRPr="00625878">
        <w:rPr>
          <w:i/>
        </w:rPr>
        <w:t>Kilima</w:t>
      </w:r>
      <w:r>
        <w:t xml:space="preserve">, </w:t>
      </w:r>
      <w:r w:rsidRPr="00FC2032">
        <w:rPr>
          <w:i/>
        </w:rPr>
        <w:t>per</w:t>
      </w:r>
      <w:r>
        <w:t xml:space="preserve"> Macrae VP, at [74].</w:t>
      </w:r>
    </w:p>
  </w:footnote>
  <w:footnote w:id="44">
    <w:p w:rsidR="00004AFA" w:rsidRDefault="00004AFA" w:rsidP="00AB52E8">
      <w:pPr>
        <w:pStyle w:val="FootnoteText"/>
        <w:tabs>
          <w:tab w:val="clear" w:pos="274"/>
          <w:tab w:val="left" w:pos="360"/>
        </w:tabs>
      </w:pPr>
      <w:r>
        <w:rPr>
          <w:rStyle w:val="FootnoteReference"/>
        </w:rPr>
        <w:footnoteRef/>
      </w:r>
      <w:r>
        <w:t xml:space="preserve"> </w:t>
      </w:r>
      <w:r>
        <w:tab/>
      </w:r>
      <w:r w:rsidRPr="00625878">
        <w:rPr>
          <w:i/>
        </w:rPr>
        <w:t>Ibid.</w:t>
      </w:r>
      <w:r>
        <w:t>, at [75].</w:t>
      </w:r>
    </w:p>
  </w:footnote>
  <w:footnote w:id="45">
    <w:p w:rsidR="00004AFA" w:rsidRDefault="00004AFA" w:rsidP="00AB52E8">
      <w:pPr>
        <w:pStyle w:val="FootnoteText"/>
        <w:tabs>
          <w:tab w:val="clear" w:pos="274"/>
          <w:tab w:val="left" w:pos="360"/>
        </w:tabs>
        <w:ind w:left="360" w:hanging="360"/>
        <w:jc w:val="both"/>
      </w:pPr>
      <w:r>
        <w:rPr>
          <w:rStyle w:val="FootnoteReference"/>
        </w:rPr>
        <w:footnoteRef/>
      </w:r>
      <w:r>
        <w:t xml:space="preserve"> </w:t>
      </w:r>
      <w:r>
        <w:tab/>
        <w:t xml:space="preserve">One of the criteria for the “Leading role” category, under the </w:t>
      </w:r>
      <w:r w:rsidRPr="00625878">
        <w:rPr>
          <w:i/>
        </w:rPr>
        <w:t>Drug Offences Definitive Guideline</w:t>
      </w:r>
      <w:r>
        <w:t xml:space="preserve"> (</w:t>
      </w:r>
      <w:r w:rsidRPr="00531ED9">
        <w:rPr>
          <w:i/>
        </w:rPr>
        <w:t>Guideline</w:t>
      </w:r>
      <w:r>
        <w:t>) issued by the UK Sentencing Council.</w:t>
      </w:r>
    </w:p>
  </w:footnote>
  <w:footnote w:id="46">
    <w:p w:rsidR="00004AFA" w:rsidRDefault="00004AFA" w:rsidP="00AB52E8">
      <w:pPr>
        <w:pStyle w:val="FootnoteText"/>
        <w:tabs>
          <w:tab w:val="clear" w:pos="274"/>
          <w:tab w:val="left" w:pos="360"/>
        </w:tabs>
        <w:ind w:left="360" w:hanging="360"/>
        <w:jc w:val="both"/>
      </w:pPr>
      <w:r>
        <w:rPr>
          <w:rStyle w:val="FootnoteReference"/>
        </w:rPr>
        <w:footnoteRef/>
      </w:r>
      <w:r>
        <w:t xml:space="preserve"> </w:t>
      </w:r>
      <w:r>
        <w:tab/>
        <w:t xml:space="preserve">One of the criteria for the “Significant role” category under the </w:t>
      </w:r>
      <w:r w:rsidRPr="00531ED9">
        <w:rPr>
          <w:i/>
        </w:rPr>
        <w:t>Guideline</w:t>
      </w:r>
      <w:r>
        <w:t>.</w:t>
      </w:r>
    </w:p>
  </w:footnote>
  <w:footnote w:id="47">
    <w:p w:rsidR="00004AFA" w:rsidRDefault="00004AFA" w:rsidP="00AB52E8">
      <w:pPr>
        <w:pStyle w:val="FootnoteText"/>
        <w:tabs>
          <w:tab w:val="clear" w:pos="274"/>
          <w:tab w:val="left" w:pos="360"/>
        </w:tabs>
        <w:ind w:left="360" w:hanging="360"/>
        <w:jc w:val="both"/>
      </w:pPr>
      <w:r>
        <w:rPr>
          <w:rStyle w:val="FootnoteReference"/>
        </w:rPr>
        <w:footnoteRef/>
      </w:r>
      <w:r>
        <w:t xml:space="preserve"> </w:t>
      </w:r>
      <w:r>
        <w:tab/>
        <w:t xml:space="preserve">One of the criteria for the “Lesser role” category under the </w:t>
      </w:r>
      <w:r w:rsidRPr="00531ED9">
        <w:rPr>
          <w:i/>
        </w:rPr>
        <w:t>Guideline</w:t>
      </w:r>
      <w:r>
        <w:t>.</w:t>
      </w:r>
    </w:p>
  </w:footnote>
  <w:footnote w:id="48">
    <w:p w:rsidR="00004AFA" w:rsidRDefault="00004AFA" w:rsidP="00AB52E8">
      <w:pPr>
        <w:pStyle w:val="FootnoteText"/>
        <w:tabs>
          <w:tab w:val="clear" w:pos="274"/>
          <w:tab w:val="left" w:pos="360"/>
        </w:tabs>
        <w:ind w:left="360" w:hanging="360"/>
        <w:jc w:val="both"/>
      </w:pPr>
      <w:r>
        <w:rPr>
          <w:rStyle w:val="FootnoteReference"/>
        </w:rPr>
        <w:footnoteRef/>
      </w:r>
      <w:r>
        <w:t xml:space="preserve"> </w:t>
      </w:r>
      <w:r>
        <w:tab/>
      </w:r>
      <w:r w:rsidRPr="008D518F">
        <w:rPr>
          <w:i/>
        </w:rPr>
        <w:t>Conde Nassou</w:t>
      </w:r>
      <w:r>
        <w:t>, at [37].</w:t>
      </w:r>
    </w:p>
  </w:footnote>
  <w:footnote w:id="49">
    <w:p w:rsidR="00004AFA" w:rsidRPr="00F23AEE" w:rsidRDefault="00004AFA" w:rsidP="006D4C58">
      <w:pPr>
        <w:pStyle w:val="FootnoteText"/>
        <w:tabs>
          <w:tab w:val="clear" w:pos="274"/>
          <w:tab w:val="left" w:pos="360"/>
        </w:tabs>
      </w:pPr>
      <w:r>
        <w:rPr>
          <w:rStyle w:val="FootnoteReference"/>
        </w:rPr>
        <w:footnoteRef/>
      </w:r>
      <w:r>
        <w:t xml:space="preserve"> </w:t>
      </w:r>
      <w:r>
        <w:tab/>
      </w:r>
      <w:r w:rsidRPr="00F23AEE">
        <w:rPr>
          <w:i/>
        </w:rPr>
        <w:t>Kilima</w:t>
      </w:r>
      <w:r>
        <w:t xml:space="preserve">, </w:t>
      </w:r>
      <w:r w:rsidRPr="00FC2032">
        <w:rPr>
          <w:i/>
        </w:rPr>
        <w:t>per</w:t>
      </w:r>
      <w:r>
        <w:t xml:space="preserve"> Macrae VP, at [71].</w:t>
      </w:r>
    </w:p>
  </w:footnote>
  <w:footnote w:id="50">
    <w:p w:rsidR="00004AFA" w:rsidRPr="0053033C" w:rsidRDefault="00004AFA" w:rsidP="006D4C58">
      <w:pPr>
        <w:pStyle w:val="FootnoteText"/>
        <w:tabs>
          <w:tab w:val="clear" w:pos="274"/>
          <w:tab w:val="left" w:pos="360"/>
        </w:tabs>
      </w:pPr>
      <w:r>
        <w:rPr>
          <w:rStyle w:val="FootnoteReference"/>
        </w:rPr>
        <w:footnoteRef/>
      </w:r>
      <w:r>
        <w:t xml:space="preserve"> </w:t>
      </w:r>
      <w:r>
        <w:tab/>
      </w:r>
      <w:r w:rsidRPr="0053033C">
        <w:rPr>
          <w:i/>
        </w:rPr>
        <w:t>Nwadiuto Samuel Joseph</w:t>
      </w:r>
      <w:r>
        <w:t>, at [41].</w:t>
      </w:r>
    </w:p>
  </w:footnote>
  <w:footnote w:id="51">
    <w:p w:rsidR="00004AFA" w:rsidRDefault="00004AFA" w:rsidP="006D4C58">
      <w:pPr>
        <w:pStyle w:val="FootnoteText"/>
        <w:tabs>
          <w:tab w:val="clear" w:pos="274"/>
          <w:tab w:val="left" w:pos="360"/>
        </w:tabs>
      </w:pPr>
      <w:r>
        <w:rPr>
          <w:rStyle w:val="FootnoteReference"/>
        </w:rPr>
        <w:footnoteRef/>
      </w:r>
      <w:r>
        <w:t xml:space="preserve"> </w:t>
      </w:r>
      <w:r>
        <w:tab/>
      </w:r>
      <w:r w:rsidRPr="000A0A7B">
        <w:rPr>
          <w:i/>
        </w:rPr>
        <w:t>Lau Tak</w:t>
      </w:r>
      <w:r>
        <w:rPr>
          <w:i/>
        </w:rPr>
        <w:t>-m</w:t>
      </w:r>
      <w:r w:rsidRPr="000A0A7B">
        <w:rPr>
          <w:i/>
        </w:rPr>
        <w:t>ing</w:t>
      </w:r>
      <w:r>
        <w:rPr>
          <w:i/>
        </w:rPr>
        <w:t xml:space="preserve"> &amp; Anor</w:t>
      </w:r>
      <w:r>
        <w:t>, at 386F-G.</w:t>
      </w:r>
    </w:p>
  </w:footnote>
  <w:footnote w:id="52">
    <w:p w:rsidR="00004AFA" w:rsidRDefault="00004AFA" w:rsidP="006D4C58">
      <w:pPr>
        <w:pStyle w:val="FootnoteText"/>
        <w:tabs>
          <w:tab w:val="clear" w:pos="274"/>
          <w:tab w:val="left" w:pos="360"/>
        </w:tabs>
      </w:pPr>
      <w:r>
        <w:rPr>
          <w:rStyle w:val="FootnoteReference"/>
        </w:rPr>
        <w:footnoteRef/>
      </w:r>
      <w:r>
        <w:t xml:space="preserve"> </w:t>
      </w:r>
      <w:r>
        <w:tab/>
      </w:r>
      <w:r w:rsidRPr="000A0A7B">
        <w:rPr>
          <w:i/>
        </w:rPr>
        <w:t>Stojanovic Milka</w:t>
      </w:r>
      <w:r>
        <w:t>, at [12].</w:t>
      </w:r>
    </w:p>
  </w:footnote>
  <w:footnote w:id="53">
    <w:p w:rsidR="00004AFA" w:rsidRDefault="00004AFA" w:rsidP="006D4C58">
      <w:pPr>
        <w:pStyle w:val="FootnoteText"/>
        <w:tabs>
          <w:tab w:val="clear" w:pos="274"/>
          <w:tab w:val="left" w:pos="360"/>
        </w:tabs>
      </w:pPr>
      <w:r>
        <w:rPr>
          <w:rStyle w:val="FootnoteReference"/>
        </w:rPr>
        <w:footnoteRef/>
      </w:r>
      <w:r>
        <w:t xml:space="preserve"> </w:t>
      </w:r>
      <w:r>
        <w:tab/>
      </w:r>
      <w:r w:rsidRPr="00F23AEE">
        <w:rPr>
          <w:i/>
        </w:rPr>
        <w:t>Kilima</w:t>
      </w:r>
      <w:r>
        <w:t xml:space="preserve">, </w:t>
      </w:r>
      <w:r w:rsidRPr="00F23AEE">
        <w:rPr>
          <w:i/>
        </w:rPr>
        <w:t>per</w:t>
      </w:r>
      <w:r>
        <w:t xml:space="preserve"> Lunn VP, at [23].</w:t>
      </w:r>
    </w:p>
  </w:footnote>
  <w:footnote w:id="54">
    <w:p w:rsidR="00004AFA" w:rsidRDefault="00004AFA" w:rsidP="00295B21">
      <w:pPr>
        <w:pStyle w:val="FootnoteText"/>
        <w:tabs>
          <w:tab w:val="clear" w:pos="274"/>
          <w:tab w:val="left" w:pos="360"/>
        </w:tabs>
      </w:pPr>
      <w:r>
        <w:rPr>
          <w:rStyle w:val="FootnoteReference"/>
        </w:rPr>
        <w:footnoteRef/>
      </w:r>
      <w:r>
        <w:t xml:space="preserve"> </w:t>
      </w:r>
      <w:r>
        <w:tab/>
      </w:r>
      <w:r w:rsidRPr="00D17745">
        <w:rPr>
          <w:i/>
        </w:rPr>
        <w:t>HKSAR v Leung Wai Man</w:t>
      </w:r>
      <w:r>
        <w:t xml:space="preserve"> (Unrep., CACC 24/2007, 7 December 2009), at [11].</w:t>
      </w:r>
    </w:p>
  </w:footnote>
  <w:footnote w:id="55">
    <w:p w:rsidR="00004AFA" w:rsidRDefault="00004AFA" w:rsidP="00ED6F42">
      <w:pPr>
        <w:pStyle w:val="FootnoteText"/>
        <w:tabs>
          <w:tab w:val="clear" w:pos="274"/>
          <w:tab w:val="left" w:pos="360"/>
        </w:tabs>
        <w:jc w:val="both"/>
      </w:pPr>
      <w:r>
        <w:rPr>
          <w:rStyle w:val="FootnoteReference"/>
        </w:rPr>
        <w:footnoteRef/>
      </w:r>
      <w:r>
        <w:t xml:space="preserve"> </w:t>
      </w:r>
      <w:r>
        <w:tab/>
      </w:r>
      <w:r w:rsidRPr="0031679D">
        <w:rPr>
          <w:i/>
        </w:rPr>
        <w:t>Nwadiuto Samuel Joseph</w:t>
      </w:r>
      <w:r>
        <w:t>, at [40].</w:t>
      </w:r>
    </w:p>
  </w:footnote>
  <w:footnote w:id="56">
    <w:p w:rsidR="00004AFA" w:rsidRPr="007B5E35" w:rsidRDefault="00004AFA" w:rsidP="00FE5890">
      <w:pPr>
        <w:pStyle w:val="FootnoteText"/>
        <w:tabs>
          <w:tab w:val="clear" w:pos="274"/>
          <w:tab w:val="left" w:pos="360"/>
        </w:tabs>
      </w:pPr>
      <w:r>
        <w:rPr>
          <w:rStyle w:val="FootnoteReference"/>
        </w:rPr>
        <w:footnoteRef/>
      </w:r>
      <w:r>
        <w:t xml:space="preserve"> </w:t>
      </w:r>
      <w:r>
        <w:tab/>
      </w:r>
      <w:r w:rsidRPr="007B5E35">
        <w:rPr>
          <w:i/>
        </w:rPr>
        <w:t>Rawe W</w:t>
      </w:r>
      <w:r>
        <w:rPr>
          <w:i/>
        </w:rPr>
        <w:t>a</w:t>
      </w:r>
      <w:r w:rsidRPr="007B5E35">
        <w:rPr>
          <w:i/>
        </w:rPr>
        <w:t>ikama Magarya</w:t>
      </w:r>
      <w:r>
        <w:t xml:space="preserve">, at [28], cited at para 34 </w:t>
      </w:r>
      <w:r w:rsidRPr="007B5E35">
        <w:rPr>
          <w:i/>
        </w:rPr>
        <w:t>supra</w:t>
      </w:r>
      <w:r>
        <w:t>.</w:t>
      </w:r>
    </w:p>
  </w:footnote>
  <w:footnote w:id="57">
    <w:p w:rsidR="00004AFA" w:rsidRDefault="00004AFA" w:rsidP="00FE5890">
      <w:pPr>
        <w:pStyle w:val="FootnoteText"/>
        <w:tabs>
          <w:tab w:val="clear" w:pos="274"/>
          <w:tab w:val="left" w:pos="360"/>
        </w:tabs>
      </w:pPr>
      <w:r>
        <w:rPr>
          <w:rStyle w:val="FootnoteReference"/>
        </w:rPr>
        <w:footnoteRef/>
      </w:r>
      <w:r>
        <w:t xml:space="preserve"> </w:t>
      </w:r>
      <w:r>
        <w:tab/>
      </w:r>
      <w:r w:rsidRPr="007B5E35">
        <w:rPr>
          <w:i/>
        </w:rPr>
        <w:t>HKSAR v Tsang Ka Man</w:t>
      </w:r>
      <w:r>
        <w:t xml:space="preserve"> (Unrep., CACC 296/2017, 28 May 2018).</w:t>
      </w:r>
    </w:p>
  </w:footnote>
  <w:footnote w:id="58">
    <w:p w:rsidR="00004AFA" w:rsidRDefault="00004AFA" w:rsidP="00FE5890">
      <w:pPr>
        <w:pStyle w:val="FootnoteText"/>
        <w:tabs>
          <w:tab w:val="clear" w:pos="274"/>
          <w:tab w:val="left" w:pos="360"/>
        </w:tabs>
      </w:pPr>
      <w:r>
        <w:rPr>
          <w:rStyle w:val="FootnoteReference"/>
        </w:rPr>
        <w:footnoteRef/>
      </w:r>
      <w:r>
        <w:t xml:space="preserve"> </w:t>
      </w:r>
      <w:r>
        <w:tab/>
      </w:r>
      <w:r w:rsidRPr="009858CD">
        <w:rPr>
          <w:i/>
        </w:rPr>
        <w:t>Ibid.</w:t>
      </w:r>
      <w:r>
        <w:t>, at [27].</w:t>
      </w:r>
    </w:p>
  </w:footnote>
  <w:footnote w:id="59">
    <w:p w:rsidR="00004AFA" w:rsidRPr="009858CD" w:rsidRDefault="00004AFA" w:rsidP="00FE5890">
      <w:pPr>
        <w:pStyle w:val="FootnoteText"/>
        <w:tabs>
          <w:tab w:val="clear" w:pos="274"/>
          <w:tab w:val="left" w:pos="360"/>
        </w:tabs>
      </w:pPr>
      <w:r>
        <w:rPr>
          <w:rStyle w:val="FootnoteReference"/>
        </w:rPr>
        <w:footnoteRef/>
      </w:r>
      <w:r>
        <w:t xml:space="preserve"> </w:t>
      </w:r>
      <w:r>
        <w:tab/>
      </w:r>
      <w:r w:rsidRPr="009858CD">
        <w:rPr>
          <w:i/>
        </w:rPr>
        <w:t>Ibid.</w:t>
      </w:r>
      <w:r>
        <w:t>, at [29].</w:t>
      </w:r>
    </w:p>
  </w:footnote>
  <w:footnote w:id="60">
    <w:p w:rsidR="00004AFA" w:rsidRDefault="00004AFA" w:rsidP="00295B21">
      <w:pPr>
        <w:pStyle w:val="FootnoteText"/>
        <w:tabs>
          <w:tab w:val="clear" w:pos="274"/>
          <w:tab w:val="left" w:pos="360"/>
        </w:tabs>
      </w:pPr>
      <w:r>
        <w:rPr>
          <w:rStyle w:val="FootnoteReference"/>
        </w:rPr>
        <w:footnoteRef/>
      </w:r>
      <w:r>
        <w:t xml:space="preserve"> </w:t>
      </w:r>
      <w:r>
        <w:tab/>
      </w:r>
      <w:r w:rsidRPr="00A444F2">
        <w:rPr>
          <w:i/>
        </w:rPr>
        <w:t>Stojanovic Milka</w:t>
      </w:r>
      <w:r>
        <w:t>, at [12].</w:t>
      </w:r>
    </w:p>
  </w:footnote>
  <w:footnote w:id="61">
    <w:p w:rsidR="00004AFA" w:rsidRDefault="00004AFA" w:rsidP="00382003">
      <w:pPr>
        <w:pStyle w:val="FootnoteText"/>
        <w:tabs>
          <w:tab w:val="clear" w:pos="274"/>
          <w:tab w:val="left" w:pos="360"/>
        </w:tabs>
      </w:pPr>
      <w:r>
        <w:rPr>
          <w:rStyle w:val="FootnoteReference"/>
        </w:rPr>
        <w:footnoteRef/>
      </w:r>
      <w:r>
        <w:t xml:space="preserve"> </w:t>
      </w:r>
      <w:r>
        <w:tab/>
      </w:r>
      <w:r w:rsidRPr="00896828">
        <w:rPr>
          <w:i/>
        </w:rPr>
        <w:t>R v Yavuz</w:t>
      </w:r>
      <w:r>
        <w:rPr>
          <w:i/>
        </w:rPr>
        <w:t xml:space="preserve"> </w:t>
      </w:r>
      <w:r>
        <w:t>[2018] SASCFC 24.</w:t>
      </w:r>
    </w:p>
  </w:footnote>
  <w:footnote w:id="62">
    <w:p w:rsidR="00004AFA" w:rsidRPr="00B85783" w:rsidRDefault="00004AFA" w:rsidP="00CF3260">
      <w:pPr>
        <w:pStyle w:val="FootnoteText"/>
        <w:tabs>
          <w:tab w:val="clear" w:pos="274"/>
          <w:tab w:val="left" w:pos="360"/>
        </w:tabs>
      </w:pPr>
      <w:r>
        <w:rPr>
          <w:rStyle w:val="FootnoteReference"/>
        </w:rPr>
        <w:footnoteRef/>
      </w:r>
      <w:r>
        <w:t xml:space="preserve"> </w:t>
      </w:r>
      <w:r>
        <w:tab/>
      </w:r>
      <w:r w:rsidRPr="00B85783">
        <w:rPr>
          <w:i/>
        </w:rPr>
        <w:t>Ibid.</w:t>
      </w:r>
      <w:r>
        <w:t>, at [72].</w:t>
      </w:r>
    </w:p>
  </w:footnote>
  <w:footnote w:id="63">
    <w:p w:rsidR="00004AFA" w:rsidRDefault="00004AFA" w:rsidP="006B05FF">
      <w:pPr>
        <w:pStyle w:val="FootnoteText"/>
        <w:tabs>
          <w:tab w:val="clear" w:pos="274"/>
          <w:tab w:val="left" w:pos="360"/>
        </w:tabs>
      </w:pPr>
      <w:r>
        <w:rPr>
          <w:rStyle w:val="FootnoteReference"/>
        </w:rPr>
        <w:footnoteRef/>
      </w:r>
      <w:r>
        <w:t xml:space="preserve"> </w:t>
      </w:r>
      <w:r>
        <w:tab/>
      </w:r>
      <w:r w:rsidRPr="0006397C">
        <w:rPr>
          <w:i/>
        </w:rPr>
        <w:t>Manalo</w:t>
      </w:r>
      <w:r>
        <w:t>, at 559B-D.</w:t>
      </w:r>
    </w:p>
  </w:footnote>
  <w:footnote w:id="64">
    <w:p w:rsidR="00004AFA" w:rsidRDefault="00004AFA" w:rsidP="006B05FF">
      <w:pPr>
        <w:pStyle w:val="FootnoteText"/>
        <w:tabs>
          <w:tab w:val="clear" w:pos="274"/>
          <w:tab w:val="left" w:pos="360"/>
        </w:tabs>
      </w:pPr>
      <w:r>
        <w:rPr>
          <w:rStyle w:val="FootnoteReference"/>
        </w:rPr>
        <w:footnoteRef/>
      </w:r>
      <w:r>
        <w:t xml:space="preserve"> </w:t>
      </w:r>
      <w:r>
        <w:tab/>
      </w:r>
      <w:r w:rsidRPr="00F13711">
        <w:rPr>
          <w:i/>
        </w:rPr>
        <w:t>Ibid.</w:t>
      </w:r>
      <w:r>
        <w:t>, at 559D-F.</w:t>
      </w:r>
    </w:p>
  </w:footnote>
  <w:footnote w:id="65">
    <w:p w:rsidR="00004AFA" w:rsidRDefault="00004AFA" w:rsidP="00FF27ED">
      <w:pPr>
        <w:pStyle w:val="FootnoteText"/>
        <w:tabs>
          <w:tab w:val="clear" w:pos="274"/>
          <w:tab w:val="left" w:pos="360"/>
        </w:tabs>
      </w:pPr>
      <w:r>
        <w:rPr>
          <w:rStyle w:val="FootnoteReference"/>
        </w:rPr>
        <w:footnoteRef/>
      </w:r>
      <w:r>
        <w:t xml:space="preserve"> </w:t>
      </w:r>
      <w:r>
        <w:tab/>
      </w:r>
      <w:r w:rsidRPr="00BA1114">
        <w:rPr>
          <w:i/>
        </w:rPr>
        <w:t>Lau Tak-ming &amp; Anor</w:t>
      </w:r>
      <w:r>
        <w:t>, at 386 E-F.</w:t>
      </w:r>
    </w:p>
  </w:footnote>
  <w:footnote w:id="66">
    <w:p w:rsidR="00004AFA" w:rsidRPr="002D21B4" w:rsidRDefault="00004AFA" w:rsidP="006B05FF">
      <w:pPr>
        <w:pStyle w:val="FootnoteText"/>
        <w:tabs>
          <w:tab w:val="clear" w:pos="274"/>
          <w:tab w:val="left" w:pos="360"/>
        </w:tabs>
      </w:pPr>
      <w:r>
        <w:rPr>
          <w:rStyle w:val="FootnoteReference"/>
        </w:rPr>
        <w:footnoteRef/>
      </w:r>
      <w:r>
        <w:t xml:space="preserve"> </w:t>
      </w:r>
      <w:r>
        <w:tab/>
      </w:r>
      <w:r w:rsidRPr="002D21B4">
        <w:rPr>
          <w:i/>
        </w:rPr>
        <w:t>Ibid.</w:t>
      </w:r>
      <w:r>
        <w:t>, at 558J.</w:t>
      </w:r>
    </w:p>
  </w:footnote>
  <w:footnote w:id="67">
    <w:p w:rsidR="00004AFA" w:rsidRDefault="00004AFA" w:rsidP="00FF27ED">
      <w:pPr>
        <w:pStyle w:val="FootnoteText"/>
        <w:tabs>
          <w:tab w:val="clear" w:pos="274"/>
          <w:tab w:val="left" w:pos="360"/>
        </w:tabs>
      </w:pPr>
      <w:r>
        <w:rPr>
          <w:rStyle w:val="FootnoteReference"/>
        </w:rPr>
        <w:footnoteRef/>
      </w:r>
      <w:r>
        <w:t xml:space="preserve"> </w:t>
      </w:r>
      <w:r>
        <w:tab/>
        <w:t xml:space="preserve">At [49] </w:t>
      </w:r>
      <w:r w:rsidRPr="00B12971">
        <w:rPr>
          <w:i/>
        </w:rPr>
        <w:t>supra</w:t>
      </w:r>
      <w:r>
        <w:t>.</w:t>
      </w:r>
    </w:p>
  </w:footnote>
  <w:footnote w:id="68">
    <w:p w:rsidR="00004AFA" w:rsidRDefault="00004AFA" w:rsidP="006B05FF">
      <w:pPr>
        <w:pStyle w:val="FootnoteText"/>
        <w:tabs>
          <w:tab w:val="clear" w:pos="274"/>
          <w:tab w:val="left" w:pos="360"/>
        </w:tabs>
      </w:pPr>
      <w:r>
        <w:rPr>
          <w:rStyle w:val="FootnoteReference"/>
        </w:rPr>
        <w:footnoteRef/>
      </w:r>
      <w:r>
        <w:t xml:space="preserve"> </w:t>
      </w:r>
      <w:r>
        <w:tab/>
      </w:r>
      <w:r w:rsidRPr="002D21B4">
        <w:rPr>
          <w:i/>
        </w:rPr>
        <w:t>Ibid.</w:t>
      </w:r>
      <w:r>
        <w:t>, at 559A-B.</w:t>
      </w:r>
    </w:p>
  </w:footnote>
  <w:footnote w:id="69">
    <w:p w:rsidR="00004AFA" w:rsidRPr="009E4745" w:rsidRDefault="00004AFA" w:rsidP="00FF27ED">
      <w:pPr>
        <w:pStyle w:val="FootnoteText"/>
        <w:tabs>
          <w:tab w:val="clear" w:pos="274"/>
          <w:tab w:val="left" w:pos="360"/>
        </w:tabs>
      </w:pPr>
      <w:r>
        <w:rPr>
          <w:rStyle w:val="FootnoteReference"/>
        </w:rPr>
        <w:footnoteRef/>
      </w:r>
      <w:r>
        <w:t xml:space="preserve"> </w:t>
      </w:r>
      <w:r>
        <w:tab/>
        <w:t xml:space="preserve">Section F.3.2. </w:t>
      </w:r>
      <w:r w:rsidRPr="009E4745">
        <w:rPr>
          <w:i/>
        </w:rPr>
        <w:t>supra</w:t>
      </w:r>
      <w:r>
        <w:t>.</w:t>
      </w:r>
    </w:p>
  </w:footnote>
  <w:footnote w:id="70">
    <w:p w:rsidR="00004AFA" w:rsidRPr="00E6625C" w:rsidRDefault="00004AFA" w:rsidP="007E4A6B">
      <w:pPr>
        <w:pStyle w:val="FootnoteText"/>
        <w:tabs>
          <w:tab w:val="clear" w:pos="274"/>
          <w:tab w:val="left" w:pos="360"/>
        </w:tabs>
      </w:pPr>
      <w:r>
        <w:rPr>
          <w:rStyle w:val="FootnoteReference"/>
        </w:rPr>
        <w:footnoteRef/>
      </w:r>
      <w:r>
        <w:t xml:space="preserve"> </w:t>
      </w:r>
      <w:r>
        <w:tab/>
      </w:r>
      <w:r w:rsidRPr="00E6625C">
        <w:rPr>
          <w:i/>
        </w:rPr>
        <w:t>HKSAR v Tam Yi Chun</w:t>
      </w:r>
      <w:r>
        <w:t xml:space="preserve"> [2014] 3 HKLRD 691.</w:t>
      </w:r>
    </w:p>
  </w:footnote>
  <w:footnote w:id="71">
    <w:p w:rsidR="00004AFA" w:rsidRPr="00E6625C" w:rsidRDefault="00004AFA" w:rsidP="007E4A6B">
      <w:pPr>
        <w:pStyle w:val="FootnoteText"/>
        <w:tabs>
          <w:tab w:val="clear" w:pos="274"/>
          <w:tab w:val="left" w:pos="360"/>
        </w:tabs>
      </w:pPr>
      <w:r>
        <w:rPr>
          <w:rStyle w:val="FootnoteReference"/>
        </w:rPr>
        <w:footnoteRef/>
      </w:r>
      <w:r>
        <w:t xml:space="preserve"> </w:t>
      </w:r>
      <w:r>
        <w:tab/>
      </w:r>
      <w:r w:rsidRPr="00E6625C">
        <w:rPr>
          <w:i/>
        </w:rPr>
        <w:t>Secretary for Justice v Hii Siew Cheng</w:t>
      </w:r>
      <w:r>
        <w:t xml:space="preserve"> [2009] 1 HKLRD 1.</w:t>
      </w:r>
    </w:p>
  </w:footnote>
  <w:footnote w:id="72">
    <w:p w:rsidR="00004AFA" w:rsidRPr="008F4F47" w:rsidRDefault="00004AFA" w:rsidP="00F04DF2">
      <w:pPr>
        <w:pStyle w:val="FootnoteText"/>
        <w:tabs>
          <w:tab w:val="clear" w:pos="274"/>
          <w:tab w:val="left" w:pos="360"/>
        </w:tabs>
      </w:pPr>
      <w:r>
        <w:rPr>
          <w:rStyle w:val="FootnoteReference"/>
        </w:rPr>
        <w:footnoteRef/>
      </w:r>
      <w:r>
        <w:t xml:space="preserve"> </w:t>
      </w:r>
      <w:r>
        <w:tab/>
      </w:r>
      <w:r w:rsidRPr="008F4F47">
        <w:rPr>
          <w:i/>
        </w:rPr>
        <w:t>Kilima</w:t>
      </w:r>
      <w:r>
        <w:t xml:space="preserve">, </w:t>
      </w:r>
      <w:r w:rsidRPr="000D54B3">
        <w:rPr>
          <w:i/>
        </w:rPr>
        <w:t>per</w:t>
      </w:r>
      <w:r>
        <w:t xml:space="preserve"> Lunn VP, at [24]; </w:t>
      </w:r>
      <w:r w:rsidRPr="00DB4E7B">
        <w:rPr>
          <w:i/>
        </w:rPr>
        <w:t>per</w:t>
      </w:r>
      <w:r>
        <w:t xml:space="preserve"> Macrae VP, at [73]; </w:t>
      </w:r>
      <w:r w:rsidRPr="00DB4E7B">
        <w:rPr>
          <w:i/>
        </w:rPr>
        <w:t>per</w:t>
      </w:r>
      <w:r>
        <w:t xml:space="preserve"> McWalters JA, at [146].</w:t>
      </w:r>
    </w:p>
  </w:footnote>
  <w:footnote w:id="73">
    <w:p w:rsidR="00004AFA" w:rsidRPr="00EC64C6" w:rsidRDefault="00004AFA" w:rsidP="00F04DF2">
      <w:pPr>
        <w:pStyle w:val="FootnoteText"/>
        <w:tabs>
          <w:tab w:val="clear" w:pos="274"/>
          <w:tab w:val="left" w:pos="360"/>
        </w:tabs>
      </w:pPr>
      <w:r>
        <w:rPr>
          <w:rStyle w:val="FootnoteReference"/>
        </w:rPr>
        <w:footnoteRef/>
      </w:r>
      <w:r>
        <w:t xml:space="preserve"> </w:t>
      </w:r>
      <w:r>
        <w:tab/>
      </w:r>
      <w:r w:rsidRPr="00EC64C6">
        <w:rPr>
          <w:i/>
        </w:rPr>
        <w:t>HKSAR v SK Wasim</w:t>
      </w:r>
      <w:r>
        <w:t xml:space="preserve"> [2020] 2 HKLRD 1139.</w:t>
      </w:r>
    </w:p>
  </w:footnote>
  <w:footnote w:id="74">
    <w:p w:rsidR="00004AFA" w:rsidRPr="00751D3F" w:rsidRDefault="00004AFA" w:rsidP="00EC769A">
      <w:pPr>
        <w:pStyle w:val="FootnoteText"/>
        <w:tabs>
          <w:tab w:val="clear" w:pos="274"/>
          <w:tab w:val="left" w:pos="360"/>
        </w:tabs>
      </w:pPr>
      <w:r>
        <w:rPr>
          <w:rStyle w:val="FootnoteReference"/>
        </w:rPr>
        <w:footnoteRef/>
      </w:r>
      <w:r>
        <w:t xml:space="preserve"> </w:t>
      </w:r>
      <w:r>
        <w:tab/>
      </w:r>
      <w:r w:rsidRPr="00751D3F">
        <w:rPr>
          <w:i/>
        </w:rPr>
        <w:t>R v Yeung Ying-kan</w:t>
      </w:r>
      <w:r>
        <w:rPr>
          <w:i/>
        </w:rPr>
        <w:t xml:space="preserve"> &amp; Anor</w:t>
      </w:r>
      <w:r>
        <w:t xml:space="preserve"> (Unrep., Crim App No 120 of 1984, 30 May 1984).</w:t>
      </w:r>
    </w:p>
  </w:footnote>
  <w:footnote w:id="75">
    <w:p w:rsidR="00004AFA" w:rsidRDefault="00004AFA" w:rsidP="00EC769A">
      <w:pPr>
        <w:pStyle w:val="FootnoteText"/>
        <w:tabs>
          <w:tab w:val="clear" w:pos="274"/>
          <w:tab w:val="left" w:pos="360"/>
        </w:tabs>
      </w:pPr>
      <w:r>
        <w:rPr>
          <w:rStyle w:val="FootnoteReference"/>
        </w:rPr>
        <w:footnoteRef/>
      </w:r>
      <w:r>
        <w:t xml:space="preserve"> </w:t>
      </w:r>
      <w:r>
        <w:tab/>
      </w:r>
      <w:r w:rsidRPr="00751D3F">
        <w:rPr>
          <w:i/>
        </w:rPr>
        <w:t>Chan Chi-ming</w:t>
      </w:r>
      <w:r>
        <w:t xml:space="preserve"> </w:t>
      </w:r>
      <w:r w:rsidRPr="007B5E35">
        <w:rPr>
          <w:i/>
        </w:rPr>
        <w:t>v R</w:t>
      </w:r>
      <w:r>
        <w:t xml:space="preserve"> [1979] HKLR 491.</w:t>
      </w:r>
    </w:p>
  </w:footnote>
  <w:footnote w:id="76">
    <w:p w:rsidR="00004AFA" w:rsidRDefault="00004AFA" w:rsidP="00642E37">
      <w:pPr>
        <w:pStyle w:val="FootnoteText"/>
        <w:tabs>
          <w:tab w:val="clear" w:pos="274"/>
          <w:tab w:val="left" w:pos="360"/>
        </w:tabs>
      </w:pPr>
      <w:r>
        <w:rPr>
          <w:rStyle w:val="FootnoteReference"/>
        </w:rPr>
        <w:footnoteRef/>
      </w:r>
      <w:r>
        <w:t xml:space="preserve"> </w:t>
      </w:r>
      <w:r>
        <w:tab/>
      </w:r>
      <w:r w:rsidRPr="006143C3">
        <w:rPr>
          <w:i/>
        </w:rPr>
        <w:t>HKSAR v Islam Azharul</w:t>
      </w:r>
      <w:r>
        <w:t xml:space="preserve"> [2020] 1 HKLRD 644.</w:t>
      </w:r>
    </w:p>
  </w:footnote>
  <w:footnote w:id="77">
    <w:p w:rsidR="00004AFA" w:rsidRPr="00EE45FA" w:rsidRDefault="00004AFA" w:rsidP="00267A4C">
      <w:pPr>
        <w:pStyle w:val="FootnoteText"/>
        <w:tabs>
          <w:tab w:val="clear" w:pos="274"/>
          <w:tab w:val="left" w:pos="360"/>
        </w:tabs>
      </w:pPr>
      <w:r>
        <w:rPr>
          <w:rStyle w:val="FootnoteReference"/>
        </w:rPr>
        <w:footnoteRef/>
      </w:r>
      <w:r>
        <w:t xml:space="preserve"> </w:t>
      </w:r>
      <w:r>
        <w:tab/>
      </w:r>
      <w:r w:rsidRPr="00EE45FA">
        <w:rPr>
          <w:i/>
        </w:rPr>
        <w:t>Ibid.</w:t>
      </w:r>
      <w:r>
        <w:t>, at [14].</w:t>
      </w:r>
    </w:p>
  </w:footnote>
  <w:footnote w:id="78">
    <w:p w:rsidR="00004AFA" w:rsidRDefault="00004AFA" w:rsidP="00267A4C">
      <w:pPr>
        <w:pStyle w:val="FootnoteText"/>
        <w:tabs>
          <w:tab w:val="clear" w:pos="274"/>
          <w:tab w:val="left" w:pos="360"/>
        </w:tabs>
      </w:pPr>
      <w:r>
        <w:rPr>
          <w:rStyle w:val="FootnoteReference"/>
        </w:rPr>
        <w:footnoteRef/>
      </w:r>
      <w:r>
        <w:t xml:space="preserve"> </w:t>
      </w:r>
      <w:r>
        <w:tab/>
      </w:r>
      <w:r w:rsidRPr="002E760B">
        <w:rPr>
          <w:i/>
        </w:rPr>
        <w:t>HKSAR v Islam Shafiqul</w:t>
      </w:r>
      <w:r>
        <w:t xml:space="preserve"> (Unrep., CACC 210/2019, 28 October 2020).</w:t>
      </w:r>
    </w:p>
  </w:footnote>
  <w:footnote w:id="79">
    <w:p w:rsidR="00004AFA" w:rsidRDefault="00004AFA" w:rsidP="00267A4C">
      <w:pPr>
        <w:pStyle w:val="FootnoteText"/>
        <w:tabs>
          <w:tab w:val="clear" w:pos="274"/>
          <w:tab w:val="left" w:pos="360"/>
        </w:tabs>
      </w:pPr>
      <w:r>
        <w:rPr>
          <w:rStyle w:val="FootnoteReference"/>
        </w:rPr>
        <w:footnoteRef/>
      </w:r>
      <w:r>
        <w:t xml:space="preserve"> </w:t>
      </w:r>
      <w:r>
        <w:tab/>
      </w:r>
      <w:r w:rsidRPr="00701839">
        <w:rPr>
          <w:i/>
        </w:rPr>
        <w:t>Ibid.</w:t>
      </w:r>
      <w:r>
        <w:t>, at [29].</w:t>
      </w:r>
    </w:p>
  </w:footnote>
  <w:footnote w:id="80">
    <w:p w:rsidR="00004AFA" w:rsidRPr="00A72AA4" w:rsidRDefault="00004AFA" w:rsidP="009B14D2">
      <w:pPr>
        <w:pStyle w:val="FootnoteText"/>
        <w:tabs>
          <w:tab w:val="clear" w:pos="274"/>
          <w:tab w:val="left" w:pos="360"/>
        </w:tabs>
      </w:pPr>
      <w:r>
        <w:rPr>
          <w:rStyle w:val="FootnoteReference"/>
        </w:rPr>
        <w:footnoteRef/>
      </w:r>
      <w:r>
        <w:t xml:space="preserve"> </w:t>
      </w:r>
      <w:r>
        <w:tab/>
      </w:r>
      <w:r w:rsidRPr="00CE265A">
        <w:rPr>
          <w:i/>
        </w:rPr>
        <w:t>HKSAR v Chung Ka Lun</w:t>
      </w:r>
      <w:r>
        <w:t xml:space="preserve"> [2018] 4 HKLRD 229.</w:t>
      </w:r>
    </w:p>
  </w:footnote>
  <w:footnote w:id="81">
    <w:p w:rsidR="00004AFA" w:rsidRPr="00CE265A" w:rsidRDefault="00004AFA" w:rsidP="009B14D2">
      <w:pPr>
        <w:pStyle w:val="FootnoteText"/>
        <w:tabs>
          <w:tab w:val="clear" w:pos="274"/>
          <w:tab w:val="left" w:pos="360"/>
        </w:tabs>
      </w:pPr>
      <w:r>
        <w:rPr>
          <w:rStyle w:val="FootnoteReference"/>
        </w:rPr>
        <w:footnoteRef/>
      </w:r>
      <w:r>
        <w:t xml:space="preserve"> </w:t>
      </w:r>
      <w:r>
        <w:tab/>
      </w:r>
      <w:r w:rsidRPr="00CE265A">
        <w:rPr>
          <w:i/>
        </w:rPr>
        <w:t>Ibid.</w:t>
      </w:r>
      <w:r>
        <w:t>, at [46].</w:t>
      </w:r>
    </w:p>
  </w:footnote>
  <w:footnote w:id="82">
    <w:p w:rsidR="00004AFA" w:rsidRPr="00AB34F8" w:rsidRDefault="00004AFA" w:rsidP="00267A4C">
      <w:pPr>
        <w:pStyle w:val="FootnoteText"/>
        <w:tabs>
          <w:tab w:val="clear" w:pos="274"/>
          <w:tab w:val="left" w:pos="360"/>
        </w:tabs>
      </w:pPr>
      <w:r>
        <w:rPr>
          <w:rStyle w:val="FootnoteReference"/>
        </w:rPr>
        <w:footnoteRef/>
      </w:r>
      <w:r>
        <w:t xml:space="preserve"> </w:t>
      </w:r>
      <w:r>
        <w:tab/>
      </w:r>
      <w:r w:rsidRPr="00B82657">
        <w:rPr>
          <w:i/>
        </w:rPr>
        <w:t>R v Xiong Xu and Others</w:t>
      </w:r>
      <w:r>
        <w:t xml:space="preserve"> [2008] 2 Cr App R (S) 50, at [2]-[4].</w:t>
      </w:r>
    </w:p>
  </w:footnote>
  <w:footnote w:id="83">
    <w:p w:rsidR="00004AFA" w:rsidRPr="005E7B33" w:rsidRDefault="00004AFA" w:rsidP="00973F4D">
      <w:pPr>
        <w:pStyle w:val="FootnoteText"/>
        <w:keepLines/>
        <w:tabs>
          <w:tab w:val="clear" w:pos="274"/>
          <w:tab w:val="left" w:pos="360"/>
        </w:tabs>
        <w:ind w:left="360" w:hanging="360"/>
        <w:jc w:val="both"/>
      </w:pPr>
      <w:r>
        <w:rPr>
          <w:rStyle w:val="FootnoteReference"/>
        </w:rPr>
        <w:footnoteRef/>
      </w:r>
      <w:r>
        <w:t xml:space="preserve"> </w:t>
      </w:r>
      <w:r>
        <w:tab/>
        <w:t xml:space="preserve">In the context of the cultivation of cannabis, the various roles in order of ascending culpability are (i) workers (or gardeners), who tend, grow and harvest the plants; (ii) managers, who make the arrangements for the plants to be brought in and the crop to be distributed; (iii) organisers, who play a part in setting up the operation by obtaining premises, workers and equipment etc; and (iv) controllers, who control a substantial number of such operations and stand to make substantial profits.  In the context of other drug trafficking offences, however, managers and organisers play a similar role. </w:t>
      </w:r>
    </w:p>
  </w:footnote>
  <w:footnote w:id="84">
    <w:p w:rsidR="00004AFA" w:rsidRPr="00F7213B" w:rsidRDefault="00004AFA" w:rsidP="00267A4C">
      <w:pPr>
        <w:pStyle w:val="FootnoteText"/>
        <w:tabs>
          <w:tab w:val="clear" w:pos="274"/>
          <w:tab w:val="left" w:pos="360"/>
        </w:tabs>
      </w:pPr>
      <w:r>
        <w:rPr>
          <w:rStyle w:val="FootnoteReference"/>
        </w:rPr>
        <w:footnoteRef/>
      </w:r>
      <w:r>
        <w:t xml:space="preserve"> </w:t>
      </w:r>
      <w:r>
        <w:tab/>
      </w:r>
      <w:r w:rsidRPr="00F7213B">
        <w:rPr>
          <w:i/>
        </w:rPr>
        <w:t>HKSAR v Leung Kwai Ping</w:t>
      </w:r>
      <w:r>
        <w:t xml:space="preserve"> [2001] 4 HKC 383, 385.</w:t>
      </w:r>
    </w:p>
  </w:footnote>
  <w:footnote w:id="85">
    <w:p w:rsidR="00004AFA" w:rsidRDefault="00004AFA" w:rsidP="00F04DF2">
      <w:pPr>
        <w:pStyle w:val="FootnoteText"/>
        <w:tabs>
          <w:tab w:val="clear" w:pos="274"/>
          <w:tab w:val="left" w:pos="360"/>
        </w:tabs>
        <w:ind w:left="360" w:hanging="360"/>
        <w:jc w:val="both"/>
      </w:pPr>
      <w:r>
        <w:rPr>
          <w:rStyle w:val="FootnoteReference"/>
        </w:rPr>
        <w:footnoteRef/>
      </w:r>
      <w:r>
        <w:t xml:space="preserve"> </w:t>
      </w:r>
      <w:r>
        <w:tab/>
        <w:t xml:space="preserve">See </w:t>
      </w:r>
      <w:r w:rsidRPr="00ED3DAD">
        <w:rPr>
          <w:i/>
        </w:rPr>
        <w:t>HKSAR v Fok Ka Po Joe (No 2)</w:t>
      </w:r>
      <w:r>
        <w:t xml:space="preserve"> [2019] 2 HKLRD 1, at [15].</w:t>
      </w:r>
    </w:p>
  </w:footnote>
  <w:footnote w:id="86">
    <w:p w:rsidR="00004AFA" w:rsidRPr="00CF7F5C" w:rsidRDefault="00004AFA" w:rsidP="00EE7D89">
      <w:pPr>
        <w:pStyle w:val="FootnoteText"/>
        <w:tabs>
          <w:tab w:val="clear" w:pos="274"/>
          <w:tab w:val="left" w:pos="360"/>
        </w:tabs>
        <w:ind w:left="360" w:hanging="360"/>
        <w:jc w:val="both"/>
      </w:pPr>
      <w:r>
        <w:rPr>
          <w:rStyle w:val="FootnoteReference"/>
        </w:rPr>
        <w:footnoteRef/>
      </w:r>
      <w:r>
        <w:t xml:space="preserve"> </w:t>
      </w:r>
      <w:r>
        <w:tab/>
        <w:t xml:space="preserve">Archbold 2021, Chapter 5A, </w:t>
      </w:r>
      <w:r w:rsidRPr="00CF7F5C">
        <w:rPr>
          <w:i/>
        </w:rPr>
        <w:t>Sentence</w:t>
      </w:r>
      <w:r>
        <w:rPr>
          <w:i/>
        </w:rPr>
        <w:t>s</w:t>
      </w:r>
      <w:r w:rsidRPr="00CF7F5C">
        <w:rPr>
          <w:i/>
        </w:rPr>
        <w:t xml:space="preserve"> &amp; Orders on Conviction (Sentencing Code)</w:t>
      </w:r>
      <w:r>
        <w:t>, 5ASC-41.</w:t>
      </w:r>
    </w:p>
  </w:footnote>
  <w:footnote w:id="87">
    <w:p w:rsidR="00004AFA" w:rsidRDefault="00004AFA" w:rsidP="00F04DF2">
      <w:pPr>
        <w:pStyle w:val="FootnoteText"/>
        <w:tabs>
          <w:tab w:val="clear" w:pos="274"/>
          <w:tab w:val="left" w:pos="360"/>
        </w:tabs>
        <w:ind w:left="360" w:hanging="360"/>
        <w:jc w:val="both"/>
      </w:pPr>
      <w:r>
        <w:rPr>
          <w:rStyle w:val="FootnoteReference"/>
        </w:rPr>
        <w:footnoteRef/>
      </w:r>
      <w:r>
        <w:t xml:space="preserve"> </w:t>
      </w:r>
      <w:r>
        <w:tab/>
      </w:r>
      <w:r w:rsidRPr="00D41ADF">
        <w:rPr>
          <w:i/>
        </w:rPr>
        <w:t>Lau Tak-ming &amp; Anor</w:t>
      </w:r>
      <w:r>
        <w:t xml:space="preserve">, at 386F; </w:t>
      </w:r>
      <w:r w:rsidRPr="00D41ADF">
        <w:rPr>
          <w:i/>
        </w:rPr>
        <w:t>Abdallah</w:t>
      </w:r>
      <w:r>
        <w:t xml:space="preserve">, at [32]; </w:t>
      </w:r>
      <w:r w:rsidRPr="00D41ADF">
        <w:rPr>
          <w:i/>
        </w:rPr>
        <w:t>HKSAR v Chau Hon Kwong</w:t>
      </w:r>
      <w:r>
        <w:t xml:space="preserve"> [2011] 1 HKLRD 630, at [33].</w:t>
      </w:r>
    </w:p>
  </w:footnote>
  <w:footnote w:id="88">
    <w:p w:rsidR="00004AFA" w:rsidRDefault="00004AFA" w:rsidP="00F04DF2">
      <w:pPr>
        <w:pStyle w:val="FootnoteText"/>
        <w:tabs>
          <w:tab w:val="clear" w:pos="274"/>
          <w:tab w:val="left" w:pos="360"/>
        </w:tabs>
        <w:ind w:left="360" w:hanging="360"/>
        <w:jc w:val="both"/>
      </w:pPr>
      <w:r>
        <w:rPr>
          <w:rStyle w:val="FootnoteReference"/>
        </w:rPr>
        <w:footnoteRef/>
      </w:r>
      <w:r>
        <w:t xml:space="preserve"> </w:t>
      </w:r>
      <w:r>
        <w:tab/>
      </w:r>
      <w:r w:rsidRPr="00D41ADF">
        <w:rPr>
          <w:i/>
        </w:rPr>
        <w:t>Abdallah</w:t>
      </w:r>
      <w:r>
        <w:t>, at [32].</w:t>
      </w:r>
    </w:p>
  </w:footnote>
  <w:footnote w:id="89">
    <w:p w:rsidR="00004AFA" w:rsidRPr="00D41ADF" w:rsidRDefault="00004AFA" w:rsidP="00F04DF2">
      <w:pPr>
        <w:pStyle w:val="FootnoteText"/>
        <w:tabs>
          <w:tab w:val="clear" w:pos="274"/>
          <w:tab w:val="left" w:pos="360"/>
        </w:tabs>
        <w:ind w:left="360" w:hanging="360"/>
        <w:jc w:val="both"/>
      </w:pPr>
      <w:r>
        <w:rPr>
          <w:rStyle w:val="FootnoteReference"/>
        </w:rPr>
        <w:footnoteRef/>
      </w:r>
      <w:r>
        <w:t xml:space="preserve"> </w:t>
      </w:r>
      <w:r>
        <w:tab/>
      </w:r>
      <w:r w:rsidRPr="00D41ADF">
        <w:rPr>
          <w:i/>
        </w:rPr>
        <w:t>HKSAR v Yim Hung-lui, Ricky</w:t>
      </w:r>
      <w:r>
        <w:t xml:space="preserve"> (Unrep., CACC 266/2011, 13 February 2012).</w:t>
      </w:r>
    </w:p>
  </w:footnote>
  <w:footnote w:id="90">
    <w:p w:rsidR="00004AFA" w:rsidRDefault="00004AFA" w:rsidP="00F04DF2">
      <w:pPr>
        <w:pStyle w:val="FootnoteText"/>
        <w:tabs>
          <w:tab w:val="clear" w:pos="274"/>
          <w:tab w:val="left" w:pos="360"/>
        </w:tabs>
        <w:ind w:left="360" w:hanging="360"/>
        <w:jc w:val="both"/>
      </w:pPr>
      <w:r>
        <w:rPr>
          <w:rStyle w:val="FootnoteReference"/>
        </w:rPr>
        <w:footnoteRef/>
      </w:r>
      <w:r>
        <w:t xml:space="preserve"> </w:t>
      </w:r>
      <w:r>
        <w:tab/>
      </w:r>
      <w:r w:rsidRPr="000570CE">
        <w:rPr>
          <w:i/>
        </w:rPr>
        <w:t>HKSAR v Lam Kam-kwong</w:t>
      </w:r>
      <w:r>
        <w:t xml:space="preserve"> [2002] 1 HKC 541, at [8]; </w:t>
      </w:r>
      <w:r w:rsidRPr="00976CAA">
        <w:rPr>
          <w:i/>
        </w:rPr>
        <w:t>Abdallah</w:t>
      </w:r>
      <w:r>
        <w:t xml:space="preserve">, at [32]; </w:t>
      </w:r>
      <w:r w:rsidRPr="000570CE">
        <w:rPr>
          <w:i/>
        </w:rPr>
        <w:t>HKSAR v Ng Hon Keung</w:t>
      </w:r>
      <w:r>
        <w:t xml:space="preserve"> [2012] 1 HKLRD 1017, at [15].</w:t>
      </w:r>
    </w:p>
  </w:footnote>
  <w:footnote w:id="91">
    <w:p w:rsidR="00004AFA" w:rsidRPr="004C55E2" w:rsidRDefault="00004AFA" w:rsidP="009B14D2">
      <w:pPr>
        <w:pStyle w:val="FootnoteText"/>
        <w:tabs>
          <w:tab w:val="clear" w:pos="274"/>
          <w:tab w:val="left" w:pos="360"/>
        </w:tabs>
      </w:pPr>
      <w:r>
        <w:rPr>
          <w:rStyle w:val="FootnoteReference"/>
        </w:rPr>
        <w:footnoteRef/>
      </w:r>
      <w:r>
        <w:t xml:space="preserve"> </w:t>
      </w:r>
      <w:r>
        <w:tab/>
      </w:r>
      <w:r w:rsidRPr="004C55E2">
        <w:rPr>
          <w:i/>
        </w:rPr>
        <w:t>Smit Hector Edward</w:t>
      </w:r>
      <w:r>
        <w:t>, at [26].</w:t>
      </w:r>
    </w:p>
  </w:footnote>
  <w:footnote w:id="92">
    <w:p w:rsidR="00004AFA" w:rsidRPr="003C5F36" w:rsidRDefault="00004AFA" w:rsidP="00F04DF2">
      <w:pPr>
        <w:pStyle w:val="FootnoteText"/>
        <w:tabs>
          <w:tab w:val="clear" w:pos="274"/>
          <w:tab w:val="left" w:pos="360"/>
        </w:tabs>
      </w:pPr>
      <w:r>
        <w:rPr>
          <w:rStyle w:val="FootnoteReference"/>
        </w:rPr>
        <w:footnoteRef/>
      </w:r>
      <w:r>
        <w:t xml:space="preserve"> </w:t>
      </w:r>
      <w:r>
        <w:tab/>
      </w:r>
      <w:r w:rsidRPr="003C5F36">
        <w:rPr>
          <w:i/>
        </w:rPr>
        <w:t>Abdallah</w:t>
      </w:r>
      <w:r>
        <w:t>, at [32].</w:t>
      </w:r>
    </w:p>
  </w:footnote>
  <w:footnote w:id="93">
    <w:p w:rsidR="00004AFA" w:rsidRPr="00B961C2" w:rsidRDefault="00004AFA" w:rsidP="003F3F41">
      <w:pPr>
        <w:pStyle w:val="FootnoteText"/>
        <w:tabs>
          <w:tab w:val="clear" w:pos="274"/>
          <w:tab w:val="left" w:pos="360"/>
        </w:tabs>
      </w:pPr>
      <w:r>
        <w:rPr>
          <w:rStyle w:val="FootnoteReference"/>
        </w:rPr>
        <w:footnoteRef/>
      </w:r>
      <w:r>
        <w:t xml:space="preserve"> </w:t>
      </w:r>
      <w:r>
        <w:tab/>
      </w:r>
      <w:r w:rsidRPr="00B961C2">
        <w:rPr>
          <w:i/>
        </w:rPr>
        <w:t>HKSAR v Wong Suet Hau and Another</w:t>
      </w:r>
      <w:r>
        <w:t xml:space="preserve"> [2002] 1 HKLRD 69, at [34].</w:t>
      </w:r>
    </w:p>
  </w:footnote>
  <w:footnote w:id="94">
    <w:p w:rsidR="00004AFA" w:rsidRDefault="00004AFA" w:rsidP="00AB0E9B">
      <w:pPr>
        <w:pStyle w:val="FootnoteText"/>
        <w:tabs>
          <w:tab w:val="clear" w:pos="274"/>
          <w:tab w:val="left" w:pos="360"/>
        </w:tabs>
      </w:pPr>
      <w:r>
        <w:rPr>
          <w:rStyle w:val="FootnoteReference"/>
        </w:rPr>
        <w:footnoteRef/>
      </w:r>
      <w:r>
        <w:t xml:space="preserve"> </w:t>
      </w:r>
      <w:r>
        <w:tab/>
      </w:r>
      <w:r w:rsidRPr="00BA6B7F">
        <w:rPr>
          <w:i/>
        </w:rPr>
        <w:t>HKSAR v Wong Chi-ming</w:t>
      </w:r>
      <w:r>
        <w:t xml:space="preserve"> (Unrep., CACC 206/1998, 25 August 1998) at [6].</w:t>
      </w:r>
    </w:p>
  </w:footnote>
  <w:footnote w:id="95">
    <w:p w:rsidR="00004AFA" w:rsidRDefault="00004AFA" w:rsidP="00AB0E9B">
      <w:pPr>
        <w:pStyle w:val="FootnoteText"/>
        <w:tabs>
          <w:tab w:val="clear" w:pos="274"/>
          <w:tab w:val="left" w:pos="360"/>
        </w:tabs>
      </w:pPr>
      <w:r>
        <w:rPr>
          <w:rStyle w:val="FootnoteReference"/>
        </w:rPr>
        <w:footnoteRef/>
      </w:r>
      <w:r>
        <w:t xml:space="preserve"> </w:t>
      </w:r>
      <w:r>
        <w:tab/>
      </w:r>
      <w:r w:rsidRPr="00E16C1D">
        <w:rPr>
          <w:i/>
        </w:rPr>
        <w:t>HKSAR v Leung Shuk-man</w:t>
      </w:r>
      <w:r>
        <w:t xml:space="preserve"> (Unrep., CACC 230/2001, 7 March 2002), at [9].</w:t>
      </w:r>
    </w:p>
  </w:footnote>
  <w:footnote w:id="96">
    <w:p w:rsidR="00004AFA" w:rsidRDefault="00004AFA" w:rsidP="00AB0E9B">
      <w:pPr>
        <w:pStyle w:val="FootnoteText"/>
        <w:tabs>
          <w:tab w:val="clear" w:pos="274"/>
          <w:tab w:val="left" w:pos="360"/>
        </w:tabs>
      </w:pPr>
      <w:r>
        <w:rPr>
          <w:rStyle w:val="FootnoteReference"/>
        </w:rPr>
        <w:footnoteRef/>
      </w:r>
      <w:r>
        <w:t xml:space="preserve"> </w:t>
      </w:r>
      <w:r>
        <w:tab/>
      </w:r>
      <w:r w:rsidRPr="00B75801">
        <w:rPr>
          <w:i/>
        </w:rPr>
        <w:t>HKSAR v Tang Kai-hi</w:t>
      </w:r>
      <w:r>
        <w:t xml:space="preserve"> (Unrep., CACC 531/1999, 12 January 2000).</w:t>
      </w:r>
    </w:p>
  </w:footnote>
  <w:footnote w:id="97">
    <w:p w:rsidR="00004AFA" w:rsidRDefault="00004AFA" w:rsidP="00AB0E9B">
      <w:pPr>
        <w:pStyle w:val="FootnoteText"/>
        <w:tabs>
          <w:tab w:val="clear" w:pos="274"/>
          <w:tab w:val="left" w:pos="360"/>
        </w:tabs>
      </w:pPr>
      <w:r>
        <w:rPr>
          <w:rStyle w:val="FootnoteReference"/>
        </w:rPr>
        <w:footnoteRef/>
      </w:r>
      <w:r>
        <w:t xml:space="preserve"> </w:t>
      </w:r>
      <w:r>
        <w:tab/>
      </w:r>
      <w:r w:rsidRPr="00B75801">
        <w:rPr>
          <w:i/>
        </w:rPr>
        <w:t>HKSAR v Yan Wai Ming</w:t>
      </w:r>
      <w:r>
        <w:t xml:space="preserve"> (Unrep., CACC 417/2002, 26 February 2003), at [12].</w:t>
      </w:r>
    </w:p>
  </w:footnote>
  <w:footnote w:id="98">
    <w:p w:rsidR="00004AFA" w:rsidRPr="00063167" w:rsidRDefault="00004AFA" w:rsidP="00AB1F52">
      <w:pPr>
        <w:pStyle w:val="FootnoteText"/>
        <w:tabs>
          <w:tab w:val="clear" w:pos="274"/>
          <w:tab w:val="left" w:pos="360"/>
        </w:tabs>
      </w:pPr>
      <w:r>
        <w:rPr>
          <w:rStyle w:val="FootnoteReference"/>
        </w:rPr>
        <w:footnoteRef/>
      </w:r>
      <w:r>
        <w:t xml:space="preserve"> </w:t>
      </w:r>
      <w:r>
        <w:tab/>
      </w:r>
      <w:r w:rsidRPr="00063167">
        <w:rPr>
          <w:i/>
        </w:rPr>
        <w:t>Islam Azharul</w:t>
      </w:r>
      <w:r>
        <w:t>, at [20].</w:t>
      </w:r>
    </w:p>
  </w:footnote>
  <w:footnote w:id="99">
    <w:p w:rsidR="00004AFA" w:rsidRPr="00CB775A" w:rsidRDefault="00004AFA" w:rsidP="00AB1F52">
      <w:pPr>
        <w:pStyle w:val="FootnoteText"/>
        <w:tabs>
          <w:tab w:val="clear" w:pos="274"/>
          <w:tab w:val="left" w:pos="360"/>
        </w:tabs>
      </w:pPr>
      <w:r>
        <w:rPr>
          <w:rStyle w:val="FootnoteReference"/>
        </w:rPr>
        <w:footnoteRef/>
      </w:r>
      <w:r>
        <w:t xml:space="preserve"> </w:t>
      </w:r>
      <w:r>
        <w:tab/>
      </w:r>
      <w:r w:rsidRPr="00063167">
        <w:rPr>
          <w:i/>
        </w:rPr>
        <w:t>HKSAR v Ali Qasim</w:t>
      </w:r>
      <w:r>
        <w:t xml:space="preserve"> (Unrep., CACC 332/2018, 14 January 2020).</w:t>
      </w:r>
    </w:p>
  </w:footnote>
  <w:footnote w:id="100">
    <w:p w:rsidR="00004AFA" w:rsidRPr="00063167" w:rsidRDefault="00004AFA" w:rsidP="00AB1F52">
      <w:pPr>
        <w:pStyle w:val="FootnoteText"/>
        <w:tabs>
          <w:tab w:val="clear" w:pos="274"/>
          <w:tab w:val="left" w:pos="360"/>
        </w:tabs>
      </w:pPr>
      <w:r>
        <w:rPr>
          <w:rStyle w:val="FootnoteReference"/>
        </w:rPr>
        <w:footnoteRef/>
      </w:r>
      <w:r>
        <w:t xml:space="preserve"> </w:t>
      </w:r>
      <w:r>
        <w:tab/>
      </w:r>
      <w:r w:rsidRPr="00063167">
        <w:rPr>
          <w:i/>
        </w:rPr>
        <w:t>HKSAR v Islam Shafiqul</w:t>
      </w:r>
      <w:r>
        <w:t xml:space="preserve"> (Unrep., CACC 210/2019, 28 October 2020).</w:t>
      </w:r>
    </w:p>
  </w:footnote>
  <w:footnote w:id="101">
    <w:p w:rsidR="00004AFA" w:rsidRDefault="00004AFA" w:rsidP="00F04DF2">
      <w:pPr>
        <w:pStyle w:val="FootnoteText"/>
        <w:tabs>
          <w:tab w:val="clear" w:pos="274"/>
          <w:tab w:val="left" w:pos="360"/>
        </w:tabs>
      </w:pPr>
      <w:r>
        <w:rPr>
          <w:rStyle w:val="FootnoteReference"/>
        </w:rPr>
        <w:footnoteRef/>
      </w:r>
      <w:r>
        <w:t xml:space="preserve"> </w:t>
      </w:r>
      <w:r>
        <w:tab/>
      </w:r>
      <w:r w:rsidRPr="00AD111B">
        <w:rPr>
          <w:i/>
        </w:rPr>
        <w:t>Zhang</w:t>
      </w:r>
      <w:r>
        <w:t>, at [103].</w:t>
      </w:r>
    </w:p>
  </w:footnote>
  <w:footnote w:id="102">
    <w:p w:rsidR="00004AFA" w:rsidRPr="00AD111B" w:rsidRDefault="00004AFA" w:rsidP="00F04DF2">
      <w:pPr>
        <w:pStyle w:val="FootnoteText"/>
        <w:tabs>
          <w:tab w:val="clear" w:pos="274"/>
          <w:tab w:val="left" w:pos="360"/>
        </w:tabs>
      </w:pPr>
      <w:r>
        <w:rPr>
          <w:rStyle w:val="FootnoteReference"/>
        </w:rPr>
        <w:footnoteRef/>
      </w:r>
      <w:r>
        <w:t xml:space="preserve"> </w:t>
      </w:r>
      <w:r>
        <w:tab/>
      </w:r>
      <w:r w:rsidRPr="00AD111B">
        <w:rPr>
          <w:i/>
        </w:rPr>
        <w:t>Ibid.</w:t>
      </w:r>
      <w:r>
        <w:t>, at [104].</w:t>
      </w:r>
    </w:p>
  </w:footnote>
  <w:footnote w:id="103">
    <w:p w:rsidR="00004AFA" w:rsidRDefault="00004AFA" w:rsidP="009C1DA4">
      <w:pPr>
        <w:pStyle w:val="FootnoteText"/>
        <w:keepNext/>
        <w:tabs>
          <w:tab w:val="clear" w:pos="274"/>
          <w:tab w:val="left" w:pos="360"/>
        </w:tabs>
        <w:ind w:left="360" w:hanging="360"/>
        <w:jc w:val="both"/>
      </w:pPr>
      <w:r>
        <w:rPr>
          <w:rStyle w:val="FootnoteReference"/>
        </w:rPr>
        <w:footnoteRef/>
      </w:r>
      <w:r>
        <w:t xml:space="preserve"> </w:t>
      </w:r>
      <w:r>
        <w:tab/>
        <w:t xml:space="preserve">For example, </w:t>
      </w:r>
      <w:r w:rsidRPr="00062B21">
        <w:rPr>
          <w:rFonts w:hint="eastAsia"/>
          <w:i/>
        </w:rPr>
        <w:t>香港特別行政區</w:t>
      </w:r>
      <w:r>
        <w:rPr>
          <w:rFonts w:hint="eastAsia"/>
          <w:i/>
        </w:rPr>
        <w:t xml:space="preserve"> </w:t>
      </w:r>
      <w:r w:rsidRPr="00062B21">
        <w:rPr>
          <w:rFonts w:hint="eastAsia"/>
          <w:i/>
        </w:rPr>
        <w:t>訴</w:t>
      </w:r>
      <w:r>
        <w:rPr>
          <w:rFonts w:hint="eastAsia"/>
          <w:i/>
        </w:rPr>
        <w:t xml:space="preserve"> </w:t>
      </w:r>
      <w:r w:rsidRPr="00062B21">
        <w:rPr>
          <w:rFonts w:hint="eastAsia"/>
          <w:i/>
        </w:rPr>
        <w:t>歐陽梧</w:t>
      </w:r>
      <w:r w:rsidRPr="00062B21">
        <w:rPr>
          <w:rFonts w:hint="eastAsia"/>
        </w:rPr>
        <w:t xml:space="preserve"> (</w:t>
      </w:r>
      <w:r w:rsidRPr="00062B21">
        <w:rPr>
          <w:rFonts w:hint="eastAsia"/>
          <w:i/>
        </w:rPr>
        <w:t>Au Yeung Ng</w:t>
      </w:r>
      <w:r w:rsidRPr="00062B21">
        <w:rPr>
          <w:rFonts w:hint="eastAsia"/>
        </w:rPr>
        <w:t>)</w:t>
      </w:r>
      <w:r>
        <w:t xml:space="preserve"> </w:t>
      </w:r>
      <w:r>
        <w:rPr>
          <w:rFonts w:hint="eastAsia"/>
        </w:rPr>
        <w:t>(Unrep., CACC 153/200</w:t>
      </w:r>
      <w:r w:rsidRPr="00062B21">
        <w:rPr>
          <w:rFonts w:hint="eastAsia"/>
        </w:rPr>
        <w:t>8, 20</w:t>
      </w:r>
      <w:r>
        <w:t xml:space="preserve"> </w:t>
      </w:r>
      <w:r w:rsidRPr="00913FF0">
        <w:rPr>
          <w:b/>
        </w:rPr>
        <w:t>‍</w:t>
      </w:r>
      <w:r>
        <w:t xml:space="preserve">June </w:t>
      </w:r>
      <w:r w:rsidRPr="00913FF0">
        <w:rPr>
          <w:b/>
        </w:rPr>
        <w:t>‍</w:t>
      </w:r>
      <w:r w:rsidRPr="00062B21">
        <w:rPr>
          <w:rFonts w:hint="eastAsia"/>
        </w:rPr>
        <w:t>2008)</w:t>
      </w:r>
      <w:r>
        <w:t xml:space="preserve">; </w:t>
      </w:r>
      <w:r w:rsidRPr="006204F0">
        <w:rPr>
          <w:i/>
        </w:rPr>
        <w:t>HKSAR v CKS</w:t>
      </w:r>
      <w:r>
        <w:t xml:space="preserve"> (Unrep., CACC 472/2010, 13 January 2012); </w:t>
      </w:r>
      <w:r w:rsidRPr="00C16227">
        <w:rPr>
          <w:i/>
        </w:rPr>
        <w:t>HKSAR v Hu Hongda</w:t>
      </w:r>
      <w:r>
        <w:t xml:space="preserve"> (Unrep., CACC 387/2015, 13 May 2016); </w:t>
      </w:r>
      <w:r w:rsidRPr="00C16227">
        <w:rPr>
          <w:i/>
        </w:rPr>
        <w:t>HKSAR v Eugene Williams</w:t>
      </w:r>
      <w:r>
        <w:t xml:space="preserve"> (Unrep., CACC 230/2018, 21 </w:t>
      </w:r>
      <w:r w:rsidRPr="00913FF0">
        <w:rPr>
          <w:b/>
        </w:rPr>
        <w:t>‍</w:t>
      </w:r>
      <w:r>
        <w:t xml:space="preserve">May 2019); </w:t>
      </w:r>
      <w:r w:rsidRPr="00E76E8E">
        <w:rPr>
          <w:i/>
        </w:rPr>
        <w:t>HKSAR v Wong Chi-ying</w:t>
      </w:r>
      <w:r>
        <w:t xml:space="preserve"> (Unrep., CACC 320/2018, 31 May 2019); </w:t>
      </w:r>
      <w:r w:rsidRPr="00C16227">
        <w:rPr>
          <w:i/>
        </w:rPr>
        <w:t xml:space="preserve">HKSAR v Butt </w:t>
      </w:r>
      <w:r w:rsidRPr="00913FF0">
        <w:rPr>
          <w:b/>
          <w:i/>
        </w:rPr>
        <w:t>‍</w:t>
      </w:r>
      <w:r w:rsidRPr="00C16227">
        <w:rPr>
          <w:i/>
        </w:rPr>
        <w:t>Muhammad Gulzar</w:t>
      </w:r>
      <w:r>
        <w:t xml:space="preserve"> (Unrep., CACC 205/2019, 17 July 2020); </w:t>
      </w:r>
      <w:r w:rsidRPr="00CB6D85">
        <w:rPr>
          <w:i/>
        </w:rPr>
        <w:t>HKSAR v Chung Ho-yin</w:t>
      </w:r>
      <w:r>
        <w:t xml:space="preserve"> (CACC </w:t>
      </w:r>
      <w:r w:rsidRPr="00FF27ED">
        <w:rPr>
          <w:b/>
        </w:rPr>
        <w:t>‍</w:t>
      </w:r>
      <w:r>
        <w:t>75/2020, to be determined on 2 February 2021).</w:t>
      </w:r>
    </w:p>
  </w:footnote>
  <w:footnote w:id="104">
    <w:p w:rsidR="00004AFA" w:rsidRDefault="00004AFA" w:rsidP="009C1DA4">
      <w:pPr>
        <w:pStyle w:val="FootnoteText"/>
        <w:keepNext/>
        <w:keepLines/>
        <w:tabs>
          <w:tab w:val="clear" w:pos="274"/>
          <w:tab w:val="left" w:pos="360"/>
        </w:tabs>
        <w:ind w:left="360" w:hanging="360"/>
        <w:jc w:val="both"/>
      </w:pPr>
      <w:r>
        <w:rPr>
          <w:rStyle w:val="FootnoteReference"/>
        </w:rPr>
        <w:footnoteRef/>
      </w:r>
      <w:r>
        <w:t xml:space="preserve"> </w:t>
      </w:r>
      <w:r>
        <w:tab/>
        <w:t xml:space="preserve">See </w:t>
      </w:r>
      <w:r w:rsidRPr="00F622BC">
        <w:rPr>
          <w:i/>
        </w:rPr>
        <w:t>HKSAR v Chai Man-fong</w:t>
      </w:r>
      <w:r>
        <w:t xml:space="preserve"> (Unrep., Crim App No 433 of 1997, 20 October 1998); </w:t>
      </w:r>
      <w:r w:rsidRPr="00A638AF">
        <w:rPr>
          <w:rFonts w:hint="eastAsia"/>
          <w:i/>
        </w:rPr>
        <w:t>香</w:t>
      </w:r>
      <w:r w:rsidRPr="009B14D2">
        <w:rPr>
          <w:b/>
          <w:i/>
        </w:rPr>
        <w:t>‍</w:t>
      </w:r>
      <w:r w:rsidRPr="00A638AF">
        <w:rPr>
          <w:rFonts w:hint="eastAsia"/>
          <w:i/>
        </w:rPr>
        <w:t>港</w:t>
      </w:r>
      <w:r w:rsidRPr="009B14D2">
        <w:rPr>
          <w:b/>
          <w:i/>
        </w:rPr>
        <w:t>‍</w:t>
      </w:r>
      <w:r w:rsidRPr="00A638AF">
        <w:rPr>
          <w:rFonts w:hint="eastAsia"/>
          <w:i/>
        </w:rPr>
        <w:t>特</w:t>
      </w:r>
      <w:r w:rsidRPr="009B14D2">
        <w:rPr>
          <w:b/>
          <w:i/>
        </w:rPr>
        <w:t>‍</w:t>
      </w:r>
      <w:r w:rsidRPr="00A638AF">
        <w:rPr>
          <w:rFonts w:hint="eastAsia"/>
          <w:i/>
        </w:rPr>
        <w:t>別</w:t>
      </w:r>
      <w:r w:rsidRPr="009B14D2">
        <w:rPr>
          <w:b/>
          <w:i/>
        </w:rPr>
        <w:t>‍</w:t>
      </w:r>
      <w:r w:rsidRPr="00A638AF">
        <w:rPr>
          <w:rFonts w:hint="eastAsia"/>
          <w:i/>
        </w:rPr>
        <w:t>行</w:t>
      </w:r>
      <w:r w:rsidRPr="009B14D2">
        <w:rPr>
          <w:b/>
          <w:i/>
        </w:rPr>
        <w:t>‍</w:t>
      </w:r>
      <w:r w:rsidRPr="00A638AF">
        <w:rPr>
          <w:rFonts w:hint="eastAsia"/>
          <w:i/>
        </w:rPr>
        <w:t>政區</w:t>
      </w:r>
      <w:r w:rsidRPr="00A638AF">
        <w:rPr>
          <w:rFonts w:hint="eastAsia"/>
          <w:i/>
        </w:rPr>
        <w:t xml:space="preserve"> </w:t>
      </w:r>
      <w:r w:rsidRPr="00A638AF">
        <w:rPr>
          <w:rFonts w:hint="eastAsia"/>
          <w:i/>
        </w:rPr>
        <w:t>訴</w:t>
      </w:r>
      <w:r w:rsidRPr="00A638AF">
        <w:rPr>
          <w:rFonts w:hint="eastAsia"/>
          <w:i/>
        </w:rPr>
        <w:t xml:space="preserve"> </w:t>
      </w:r>
      <w:r w:rsidRPr="00A638AF">
        <w:rPr>
          <w:rFonts w:hint="eastAsia"/>
          <w:i/>
        </w:rPr>
        <w:t>李嘉蔚</w:t>
      </w:r>
      <w:r w:rsidRPr="00A638AF">
        <w:rPr>
          <w:rFonts w:hint="eastAsia"/>
          <w:i/>
        </w:rPr>
        <w:t xml:space="preserve"> </w:t>
      </w:r>
      <w:r>
        <w:rPr>
          <w:i/>
        </w:rPr>
        <w:t>(</w:t>
      </w:r>
      <w:r w:rsidRPr="00A638AF">
        <w:rPr>
          <w:rFonts w:hint="eastAsia"/>
          <w:i/>
        </w:rPr>
        <w:t>Lee Ka Wai</w:t>
      </w:r>
      <w:r>
        <w:rPr>
          <w:i/>
        </w:rPr>
        <w:t>)</w:t>
      </w:r>
      <w:r w:rsidRPr="00A638AF">
        <w:rPr>
          <w:rFonts w:hint="eastAsia"/>
        </w:rPr>
        <w:t xml:space="preserve"> (Unrep., CACC 182/2012, 10 January 2014)</w:t>
      </w:r>
      <w:r>
        <w:t xml:space="preserve">; </w:t>
      </w:r>
      <w:r w:rsidRPr="00F622BC">
        <w:rPr>
          <w:i/>
        </w:rPr>
        <w:t xml:space="preserve">HKSAR </w:t>
      </w:r>
      <w:r w:rsidRPr="009B14D2">
        <w:rPr>
          <w:b/>
          <w:i/>
        </w:rPr>
        <w:t>‍</w:t>
      </w:r>
      <w:r w:rsidRPr="00F622BC">
        <w:rPr>
          <w:i/>
        </w:rPr>
        <w:t>v Nkwo Nanaemeka Darlington</w:t>
      </w:r>
      <w:r>
        <w:t xml:space="preserve"> [2016] 1 HKLRD 692, at [31]; </w:t>
      </w:r>
      <w:r w:rsidRPr="00322A2F">
        <w:rPr>
          <w:i/>
        </w:rPr>
        <w:t>HKSAR v Ubah Joel Chidiebere</w:t>
      </w:r>
      <w:r>
        <w:t xml:space="preserve"> [2017] 4 HKLRD 263, at [30].</w:t>
      </w:r>
    </w:p>
  </w:footnote>
  <w:footnote w:id="105">
    <w:p w:rsidR="00004AFA" w:rsidRDefault="00004AFA" w:rsidP="00AB1F52">
      <w:pPr>
        <w:pStyle w:val="FootnoteText"/>
        <w:keepNext/>
        <w:keepLines/>
        <w:tabs>
          <w:tab w:val="clear" w:pos="274"/>
          <w:tab w:val="left" w:pos="360"/>
        </w:tabs>
        <w:ind w:left="360" w:hanging="360"/>
        <w:jc w:val="both"/>
      </w:pPr>
      <w:r>
        <w:rPr>
          <w:rStyle w:val="FootnoteReference"/>
        </w:rPr>
        <w:footnoteRef/>
      </w:r>
      <w:r>
        <w:t xml:space="preserve"> </w:t>
      </w:r>
      <w:r>
        <w:tab/>
      </w:r>
      <w:r w:rsidRPr="00A638AF">
        <w:rPr>
          <w:rFonts w:hint="eastAsia"/>
          <w:i/>
        </w:rPr>
        <w:t>香港特別行政區</w:t>
      </w:r>
      <w:r w:rsidRPr="00A638AF">
        <w:rPr>
          <w:rFonts w:hint="eastAsia"/>
          <w:i/>
        </w:rPr>
        <w:t xml:space="preserve"> </w:t>
      </w:r>
      <w:r w:rsidRPr="00A638AF">
        <w:rPr>
          <w:rFonts w:hint="eastAsia"/>
          <w:i/>
        </w:rPr>
        <w:t>訴</w:t>
      </w:r>
      <w:r w:rsidRPr="00A638AF">
        <w:rPr>
          <w:rFonts w:hint="eastAsia"/>
          <w:i/>
        </w:rPr>
        <w:t xml:space="preserve"> </w:t>
      </w:r>
      <w:r w:rsidRPr="00A638AF">
        <w:rPr>
          <w:rFonts w:hint="eastAsia"/>
          <w:i/>
        </w:rPr>
        <w:t>梁致嘉</w:t>
      </w:r>
      <w:r w:rsidRPr="00A638AF">
        <w:rPr>
          <w:rFonts w:hint="eastAsia"/>
          <w:i/>
        </w:rPr>
        <w:t xml:space="preserve"> </w:t>
      </w:r>
      <w:r>
        <w:rPr>
          <w:rFonts w:hint="eastAsia"/>
        </w:rPr>
        <w:t>(Unrep., CACC 21/2012, 16 August 2012)</w:t>
      </w:r>
      <w:r>
        <w:t xml:space="preserve">; </w:t>
      </w:r>
      <w:r w:rsidRPr="00A638AF">
        <w:rPr>
          <w:rFonts w:hint="eastAsia"/>
          <w:i/>
        </w:rPr>
        <w:t>香港特別行政區</w:t>
      </w:r>
      <w:r w:rsidRPr="00A638AF">
        <w:rPr>
          <w:rFonts w:hint="eastAsia"/>
          <w:i/>
        </w:rPr>
        <w:t xml:space="preserve"> </w:t>
      </w:r>
      <w:r w:rsidRPr="00A638AF">
        <w:rPr>
          <w:rFonts w:hint="eastAsia"/>
          <w:i/>
        </w:rPr>
        <w:t>訴</w:t>
      </w:r>
      <w:r w:rsidRPr="00A638AF">
        <w:rPr>
          <w:rFonts w:hint="eastAsia"/>
          <w:i/>
        </w:rPr>
        <w:t xml:space="preserve"> </w:t>
      </w:r>
      <w:r w:rsidRPr="009E3E41">
        <w:rPr>
          <w:b/>
          <w:i/>
        </w:rPr>
        <w:t>‍</w:t>
      </w:r>
      <w:r w:rsidRPr="00A638AF">
        <w:rPr>
          <w:rFonts w:hint="eastAsia"/>
          <w:i/>
        </w:rPr>
        <w:t>李嘉蔚</w:t>
      </w:r>
      <w:r>
        <w:rPr>
          <w:rFonts w:hint="eastAsia"/>
          <w:i/>
        </w:rPr>
        <w:t xml:space="preserve"> </w:t>
      </w:r>
      <w:r w:rsidRPr="00A638AF">
        <w:rPr>
          <w:rFonts w:hint="eastAsia"/>
          <w:i/>
        </w:rPr>
        <w:t xml:space="preserve">(Lee Ka Wai) </w:t>
      </w:r>
      <w:r>
        <w:rPr>
          <w:rFonts w:hint="eastAsia"/>
        </w:rPr>
        <w:t>(Unrep., CACC 182/2012, 10 January 2014)</w:t>
      </w:r>
      <w:r>
        <w:t xml:space="preserve">; </w:t>
      </w:r>
      <w:r w:rsidRPr="00B82B6A">
        <w:rPr>
          <w:i/>
        </w:rPr>
        <w:t xml:space="preserve">HKSAR </w:t>
      </w:r>
      <w:r w:rsidRPr="009E3E41">
        <w:rPr>
          <w:b/>
          <w:i/>
        </w:rPr>
        <w:t>‍</w:t>
      </w:r>
      <w:r w:rsidRPr="00B82B6A">
        <w:rPr>
          <w:i/>
        </w:rPr>
        <w:t xml:space="preserve">v </w:t>
      </w:r>
      <w:r w:rsidRPr="009E3E41">
        <w:rPr>
          <w:b/>
          <w:i/>
        </w:rPr>
        <w:t>‍</w:t>
      </w:r>
      <w:r w:rsidRPr="00B82B6A">
        <w:rPr>
          <w:i/>
        </w:rPr>
        <w:t xml:space="preserve">Shoki </w:t>
      </w:r>
      <w:r w:rsidRPr="009B14D2">
        <w:rPr>
          <w:b/>
          <w:i/>
        </w:rPr>
        <w:t>‍</w:t>
      </w:r>
      <w:r w:rsidRPr="00B82B6A">
        <w:rPr>
          <w:i/>
        </w:rPr>
        <w:t xml:space="preserve">Fatuma </w:t>
      </w:r>
      <w:r w:rsidRPr="009B14D2">
        <w:rPr>
          <w:b/>
          <w:i/>
        </w:rPr>
        <w:t>‍</w:t>
      </w:r>
      <w:r w:rsidRPr="00B82B6A">
        <w:rPr>
          <w:i/>
        </w:rPr>
        <w:t>Ramadhani</w:t>
      </w:r>
      <w:r>
        <w:t xml:space="preserve"> [2015] 2 HKLRD 696; </w:t>
      </w:r>
      <w:r w:rsidRPr="00B82B6A">
        <w:rPr>
          <w:i/>
        </w:rPr>
        <w:t>HKSAR v Rawe Waikama Magarya</w:t>
      </w:r>
      <w:r>
        <w:t xml:space="preserve">;  </w:t>
      </w:r>
      <w:r w:rsidRPr="0072213D">
        <w:rPr>
          <w:i/>
        </w:rPr>
        <w:t xml:space="preserve">HKSAR </w:t>
      </w:r>
      <w:r w:rsidRPr="00267A4C">
        <w:rPr>
          <w:b/>
          <w:i/>
        </w:rPr>
        <w:t>‍</w:t>
      </w:r>
      <w:r w:rsidRPr="0072213D">
        <w:rPr>
          <w:i/>
        </w:rPr>
        <w:t xml:space="preserve">v </w:t>
      </w:r>
      <w:r w:rsidRPr="00267A4C">
        <w:rPr>
          <w:b/>
          <w:i/>
        </w:rPr>
        <w:t>‍</w:t>
      </w:r>
      <w:r w:rsidRPr="0072213D">
        <w:rPr>
          <w:i/>
        </w:rPr>
        <w:t>Ngoma Juma Shabani</w:t>
      </w:r>
      <w:r>
        <w:t xml:space="preserve">; </w:t>
      </w:r>
      <w:r w:rsidRPr="00EE45FA">
        <w:rPr>
          <w:i/>
        </w:rPr>
        <w:t>HKSAR v</w:t>
      </w:r>
      <w:r>
        <w:t xml:space="preserve"> </w:t>
      </w:r>
      <w:r w:rsidRPr="00322A2F">
        <w:rPr>
          <w:i/>
        </w:rPr>
        <w:t>Nkwo Nanaemeka Darlington</w:t>
      </w:r>
      <w:r>
        <w:t xml:space="preserve">; </w:t>
      </w:r>
      <w:r w:rsidRPr="002E4B7A">
        <w:rPr>
          <w:i/>
        </w:rPr>
        <w:t xml:space="preserve">HKSAR </w:t>
      </w:r>
      <w:r w:rsidRPr="009E3E41">
        <w:rPr>
          <w:b/>
          <w:i/>
        </w:rPr>
        <w:t>‍</w:t>
      </w:r>
      <w:r w:rsidRPr="002E4B7A">
        <w:rPr>
          <w:i/>
        </w:rPr>
        <w:t xml:space="preserve">v </w:t>
      </w:r>
      <w:r w:rsidRPr="009E3E41">
        <w:rPr>
          <w:b/>
          <w:i/>
        </w:rPr>
        <w:t>‍</w:t>
      </w:r>
      <w:r w:rsidRPr="002E4B7A">
        <w:rPr>
          <w:i/>
        </w:rPr>
        <w:t xml:space="preserve">Ifeanyichukwu </w:t>
      </w:r>
      <w:r w:rsidRPr="00267A4C">
        <w:rPr>
          <w:b/>
          <w:i/>
        </w:rPr>
        <w:t>‍</w:t>
      </w:r>
      <w:r w:rsidRPr="002E4B7A">
        <w:rPr>
          <w:i/>
        </w:rPr>
        <w:t xml:space="preserve">Henry </w:t>
      </w:r>
      <w:r w:rsidRPr="00267A4C">
        <w:rPr>
          <w:b/>
          <w:i/>
        </w:rPr>
        <w:t>‍</w:t>
      </w:r>
      <w:r w:rsidRPr="002E4B7A">
        <w:rPr>
          <w:i/>
        </w:rPr>
        <w:t>Onyeka</w:t>
      </w:r>
      <w:r>
        <w:t xml:space="preserve"> (Unrep., CACC 55/2016, 27 October 2016); </w:t>
      </w:r>
      <w:r w:rsidRPr="002E4B7A">
        <w:rPr>
          <w:i/>
        </w:rPr>
        <w:t xml:space="preserve">HKSAR </w:t>
      </w:r>
      <w:r w:rsidRPr="009E3E41">
        <w:rPr>
          <w:b/>
          <w:i/>
        </w:rPr>
        <w:t>‍</w:t>
      </w:r>
      <w:r w:rsidRPr="002E4B7A">
        <w:rPr>
          <w:i/>
        </w:rPr>
        <w:t xml:space="preserve">v </w:t>
      </w:r>
      <w:r w:rsidRPr="009E3E41">
        <w:rPr>
          <w:b/>
          <w:i/>
        </w:rPr>
        <w:t>‍</w:t>
      </w:r>
      <w:r w:rsidRPr="002E4B7A">
        <w:rPr>
          <w:i/>
        </w:rPr>
        <w:t xml:space="preserve">Okorie </w:t>
      </w:r>
      <w:r w:rsidRPr="009E3E41">
        <w:rPr>
          <w:b/>
          <w:i/>
        </w:rPr>
        <w:t>‍</w:t>
      </w:r>
      <w:r w:rsidRPr="002E4B7A">
        <w:rPr>
          <w:i/>
        </w:rPr>
        <w:t>Nwabueze Joseph</w:t>
      </w:r>
      <w:r>
        <w:t xml:space="preserve"> (Unrep., </w:t>
      </w:r>
      <w:r w:rsidRPr="00267A4C">
        <w:rPr>
          <w:b/>
        </w:rPr>
        <w:t>‍</w:t>
      </w:r>
      <w:r>
        <w:t xml:space="preserve">CACC 194/2016, 11 January 2017); </w:t>
      </w:r>
      <w:r w:rsidRPr="00B82B6A">
        <w:rPr>
          <w:i/>
        </w:rPr>
        <w:t xml:space="preserve">HKSAR </w:t>
      </w:r>
      <w:r w:rsidRPr="009E3E41">
        <w:rPr>
          <w:b/>
          <w:i/>
        </w:rPr>
        <w:t>‍</w:t>
      </w:r>
      <w:r w:rsidRPr="00B82B6A">
        <w:rPr>
          <w:i/>
        </w:rPr>
        <w:t xml:space="preserve">v </w:t>
      </w:r>
      <w:r w:rsidRPr="009E3E41">
        <w:rPr>
          <w:b/>
          <w:i/>
        </w:rPr>
        <w:t>‍</w:t>
      </w:r>
      <w:r w:rsidRPr="00B82B6A">
        <w:rPr>
          <w:i/>
        </w:rPr>
        <w:t xml:space="preserve">Otieno </w:t>
      </w:r>
      <w:r w:rsidRPr="009B14D2">
        <w:rPr>
          <w:b/>
          <w:i/>
        </w:rPr>
        <w:t>‍</w:t>
      </w:r>
      <w:r w:rsidRPr="00B82B6A">
        <w:rPr>
          <w:i/>
        </w:rPr>
        <w:t xml:space="preserve">Millicent </w:t>
      </w:r>
      <w:r w:rsidRPr="009B14D2">
        <w:rPr>
          <w:b/>
          <w:i/>
        </w:rPr>
        <w:t>‍</w:t>
      </w:r>
      <w:r w:rsidRPr="00B82B6A">
        <w:rPr>
          <w:i/>
        </w:rPr>
        <w:t>Akoth</w:t>
      </w:r>
      <w:r>
        <w:t xml:space="preserve"> (Unrep., CACC 317/2016, 29 </w:t>
      </w:r>
      <w:r w:rsidRPr="00267A4C">
        <w:rPr>
          <w:b/>
        </w:rPr>
        <w:t>‍</w:t>
      </w:r>
      <w:r>
        <w:t xml:space="preserve">May 2017); </w:t>
      </w:r>
      <w:r w:rsidRPr="00B82B6A">
        <w:rPr>
          <w:i/>
        </w:rPr>
        <w:t xml:space="preserve">Ubah </w:t>
      </w:r>
      <w:r w:rsidRPr="00AA2EB0">
        <w:rPr>
          <w:b/>
          <w:i/>
        </w:rPr>
        <w:t>‍</w:t>
      </w:r>
      <w:r w:rsidRPr="00B82B6A">
        <w:rPr>
          <w:i/>
        </w:rPr>
        <w:t xml:space="preserve">Joel </w:t>
      </w:r>
      <w:r>
        <w:rPr>
          <w:i/>
        </w:rPr>
        <w:t xml:space="preserve">‍Chidiebere; </w:t>
      </w:r>
      <w:r w:rsidRPr="002E4B7A">
        <w:rPr>
          <w:i/>
        </w:rPr>
        <w:t xml:space="preserve">HKSAR </w:t>
      </w:r>
      <w:r w:rsidRPr="009E3E41">
        <w:rPr>
          <w:b/>
          <w:i/>
        </w:rPr>
        <w:t>‍</w:t>
      </w:r>
      <w:r w:rsidRPr="002E4B7A">
        <w:rPr>
          <w:i/>
        </w:rPr>
        <w:t>v Echendu Chijioke Nick</w:t>
      </w:r>
      <w:r>
        <w:t xml:space="preserve"> (Unrep., CACC 372/2016, 14 </w:t>
      </w:r>
      <w:r w:rsidRPr="00267A4C">
        <w:rPr>
          <w:b/>
        </w:rPr>
        <w:t>‍</w:t>
      </w:r>
      <w:r>
        <w:t xml:space="preserve">August 2017); </w:t>
      </w:r>
      <w:r w:rsidRPr="002E4B7A">
        <w:rPr>
          <w:i/>
        </w:rPr>
        <w:t xml:space="preserve">HKSAR v Oketa </w:t>
      </w:r>
      <w:r w:rsidRPr="009E3E41">
        <w:rPr>
          <w:b/>
          <w:i/>
        </w:rPr>
        <w:t>‍</w:t>
      </w:r>
      <w:r w:rsidRPr="002E4B7A">
        <w:rPr>
          <w:i/>
        </w:rPr>
        <w:t>Sunday Basil</w:t>
      </w:r>
      <w:r>
        <w:t xml:space="preserve"> (Unrep., CACC 18/2017, 4 September 2017); </w:t>
      </w:r>
      <w:r w:rsidRPr="00A638AF">
        <w:rPr>
          <w:rFonts w:hint="eastAsia"/>
          <w:i/>
        </w:rPr>
        <w:t>香</w:t>
      </w:r>
      <w:r w:rsidRPr="00267A4C">
        <w:rPr>
          <w:b/>
          <w:i/>
        </w:rPr>
        <w:t>‍</w:t>
      </w:r>
      <w:r w:rsidRPr="00A638AF">
        <w:rPr>
          <w:rFonts w:hint="eastAsia"/>
          <w:i/>
        </w:rPr>
        <w:t>港</w:t>
      </w:r>
      <w:r w:rsidRPr="00267A4C">
        <w:rPr>
          <w:b/>
          <w:i/>
        </w:rPr>
        <w:t>‍</w:t>
      </w:r>
      <w:r w:rsidRPr="00A638AF">
        <w:rPr>
          <w:rFonts w:hint="eastAsia"/>
          <w:i/>
        </w:rPr>
        <w:t>特</w:t>
      </w:r>
      <w:r w:rsidRPr="00267A4C">
        <w:rPr>
          <w:b/>
          <w:i/>
        </w:rPr>
        <w:t>‍</w:t>
      </w:r>
      <w:r w:rsidRPr="00A638AF">
        <w:rPr>
          <w:rFonts w:hint="eastAsia"/>
          <w:i/>
        </w:rPr>
        <w:t>別</w:t>
      </w:r>
      <w:r w:rsidRPr="00267A4C">
        <w:rPr>
          <w:b/>
          <w:i/>
        </w:rPr>
        <w:t>‍</w:t>
      </w:r>
      <w:r w:rsidRPr="00A638AF">
        <w:rPr>
          <w:rFonts w:hint="eastAsia"/>
          <w:i/>
        </w:rPr>
        <w:t>行政區</w:t>
      </w:r>
      <w:r w:rsidRPr="00A638AF">
        <w:rPr>
          <w:rFonts w:hint="eastAsia"/>
          <w:i/>
        </w:rPr>
        <w:t xml:space="preserve"> </w:t>
      </w:r>
      <w:r w:rsidRPr="00A638AF">
        <w:rPr>
          <w:rFonts w:hint="eastAsia"/>
          <w:i/>
        </w:rPr>
        <w:t>訴</w:t>
      </w:r>
      <w:r w:rsidRPr="00A638AF">
        <w:rPr>
          <w:rFonts w:hint="eastAsia"/>
          <w:i/>
        </w:rPr>
        <w:t xml:space="preserve"> </w:t>
      </w:r>
      <w:r w:rsidRPr="00A638AF">
        <w:rPr>
          <w:rFonts w:hint="eastAsia"/>
          <w:i/>
        </w:rPr>
        <w:t>邵慧君</w:t>
      </w:r>
      <w:r w:rsidRPr="00A638AF">
        <w:rPr>
          <w:rFonts w:hint="eastAsia"/>
          <w:i/>
        </w:rPr>
        <w:t xml:space="preserve"> (Si</w:t>
      </w:r>
      <w:r>
        <w:rPr>
          <w:i/>
        </w:rPr>
        <w:t>u</w:t>
      </w:r>
      <w:r w:rsidRPr="00A638AF">
        <w:rPr>
          <w:rFonts w:hint="eastAsia"/>
          <w:i/>
        </w:rPr>
        <w:t xml:space="preserve"> Wai Kwan Nicole) </w:t>
      </w:r>
      <w:r>
        <w:rPr>
          <w:rFonts w:hint="eastAsia"/>
        </w:rPr>
        <w:t>(Unrep., CACC 441/2014, 3 November 2017)</w:t>
      </w:r>
      <w:r>
        <w:rPr>
          <w:rFonts w:hint="eastAsia"/>
          <w:i/>
        </w:rPr>
        <w:t>;</w:t>
      </w:r>
      <w:r>
        <w:rPr>
          <w:i/>
        </w:rPr>
        <w:t xml:space="preserve"> </w:t>
      </w:r>
      <w:r w:rsidRPr="00A638AF">
        <w:rPr>
          <w:rFonts w:hint="eastAsia"/>
          <w:i/>
        </w:rPr>
        <w:t>香港特別行政區</w:t>
      </w:r>
      <w:r w:rsidRPr="00A638AF">
        <w:rPr>
          <w:rFonts w:hint="eastAsia"/>
          <w:i/>
        </w:rPr>
        <w:t xml:space="preserve"> </w:t>
      </w:r>
      <w:r w:rsidRPr="00A638AF">
        <w:rPr>
          <w:rFonts w:hint="eastAsia"/>
          <w:i/>
        </w:rPr>
        <w:t>訴</w:t>
      </w:r>
      <w:r w:rsidRPr="00A638AF">
        <w:rPr>
          <w:rFonts w:hint="eastAsia"/>
          <w:i/>
        </w:rPr>
        <w:t xml:space="preserve"> </w:t>
      </w:r>
      <w:r w:rsidRPr="00A638AF">
        <w:rPr>
          <w:rFonts w:hint="eastAsia"/>
          <w:i/>
        </w:rPr>
        <w:t>安</w:t>
      </w:r>
      <w:r w:rsidRPr="009E3E41">
        <w:rPr>
          <w:b/>
          <w:i/>
        </w:rPr>
        <w:t>‍</w:t>
      </w:r>
      <w:r w:rsidRPr="00A638AF">
        <w:rPr>
          <w:rFonts w:hint="eastAsia"/>
          <w:i/>
        </w:rPr>
        <w:t>傑</w:t>
      </w:r>
      <w:r w:rsidRPr="009E3E41">
        <w:rPr>
          <w:b/>
          <w:i/>
        </w:rPr>
        <w:t>‍</w:t>
      </w:r>
      <w:r w:rsidRPr="00A638AF">
        <w:rPr>
          <w:rFonts w:hint="eastAsia"/>
          <w:i/>
        </w:rPr>
        <w:t>威</w:t>
      </w:r>
      <w:r>
        <w:rPr>
          <w:rFonts w:hint="eastAsia"/>
        </w:rPr>
        <w:t xml:space="preserve"> (Unrep., </w:t>
      </w:r>
      <w:r w:rsidRPr="009B14D2">
        <w:rPr>
          <w:b/>
          <w:i/>
        </w:rPr>
        <w:t>‍</w:t>
      </w:r>
      <w:r>
        <w:rPr>
          <w:rFonts w:hint="eastAsia"/>
        </w:rPr>
        <w:t xml:space="preserve">CACC </w:t>
      </w:r>
      <w:r w:rsidRPr="009B14D2">
        <w:rPr>
          <w:b/>
          <w:i/>
        </w:rPr>
        <w:t>‍</w:t>
      </w:r>
      <w:r>
        <w:rPr>
          <w:rFonts w:hint="eastAsia"/>
        </w:rPr>
        <w:t>374/2017, 12 October 2018)</w:t>
      </w:r>
      <w:r>
        <w:t xml:space="preserve">; </w:t>
      </w:r>
      <w:r w:rsidRPr="00A638AF">
        <w:rPr>
          <w:rFonts w:hint="eastAsia"/>
          <w:i/>
        </w:rPr>
        <w:t>香</w:t>
      </w:r>
      <w:r w:rsidRPr="00267A4C">
        <w:rPr>
          <w:b/>
          <w:i/>
        </w:rPr>
        <w:t>‍</w:t>
      </w:r>
      <w:r w:rsidRPr="00A638AF">
        <w:rPr>
          <w:rFonts w:hint="eastAsia"/>
          <w:i/>
        </w:rPr>
        <w:t>港</w:t>
      </w:r>
      <w:r w:rsidRPr="00267A4C">
        <w:rPr>
          <w:b/>
          <w:i/>
        </w:rPr>
        <w:t>‍</w:t>
      </w:r>
      <w:r w:rsidRPr="00A638AF">
        <w:rPr>
          <w:rFonts w:hint="eastAsia"/>
          <w:i/>
        </w:rPr>
        <w:t>特</w:t>
      </w:r>
      <w:r w:rsidRPr="00267A4C">
        <w:rPr>
          <w:b/>
          <w:i/>
        </w:rPr>
        <w:t>‍</w:t>
      </w:r>
      <w:r w:rsidRPr="00A638AF">
        <w:rPr>
          <w:rFonts w:hint="eastAsia"/>
          <w:i/>
        </w:rPr>
        <w:t>別</w:t>
      </w:r>
      <w:r w:rsidRPr="00267A4C">
        <w:rPr>
          <w:b/>
          <w:i/>
        </w:rPr>
        <w:t>‍</w:t>
      </w:r>
      <w:r w:rsidRPr="00A638AF">
        <w:rPr>
          <w:rFonts w:hint="eastAsia"/>
          <w:i/>
        </w:rPr>
        <w:t>行</w:t>
      </w:r>
      <w:r w:rsidRPr="00267A4C">
        <w:rPr>
          <w:b/>
          <w:i/>
        </w:rPr>
        <w:t>‍</w:t>
      </w:r>
      <w:r w:rsidRPr="00A638AF">
        <w:rPr>
          <w:rFonts w:hint="eastAsia"/>
          <w:i/>
        </w:rPr>
        <w:t>政區</w:t>
      </w:r>
      <w:r w:rsidRPr="00A638AF">
        <w:rPr>
          <w:rFonts w:hint="eastAsia"/>
          <w:i/>
        </w:rPr>
        <w:t xml:space="preserve"> </w:t>
      </w:r>
      <w:r w:rsidRPr="00A638AF">
        <w:rPr>
          <w:rFonts w:hint="eastAsia"/>
          <w:i/>
        </w:rPr>
        <w:t>訴</w:t>
      </w:r>
      <w:r w:rsidRPr="00A638AF">
        <w:rPr>
          <w:rFonts w:hint="eastAsia"/>
          <w:i/>
        </w:rPr>
        <w:t xml:space="preserve"> </w:t>
      </w:r>
      <w:r w:rsidRPr="00A638AF">
        <w:rPr>
          <w:rFonts w:hint="eastAsia"/>
          <w:i/>
        </w:rPr>
        <w:t>湛岳霖</w:t>
      </w:r>
      <w:r w:rsidRPr="00A638AF">
        <w:rPr>
          <w:rFonts w:hint="eastAsia"/>
          <w:i/>
        </w:rPr>
        <w:t xml:space="preserve"> </w:t>
      </w:r>
      <w:r>
        <w:rPr>
          <w:rFonts w:hint="eastAsia"/>
        </w:rPr>
        <w:t xml:space="preserve">(Unrep., </w:t>
      </w:r>
      <w:r w:rsidRPr="009B14D2">
        <w:rPr>
          <w:b/>
          <w:i/>
        </w:rPr>
        <w:t>‍</w:t>
      </w:r>
      <w:r>
        <w:rPr>
          <w:rFonts w:hint="eastAsia"/>
        </w:rPr>
        <w:t xml:space="preserve">CACC </w:t>
      </w:r>
      <w:r w:rsidRPr="009B14D2">
        <w:rPr>
          <w:b/>
          <w:i/>
        </w:rPr>
        <w:t>‍</w:t>
      </w:r>
      <w:r>
        <w:rPr>
          <w:rFonts w:hint="eastAsia"/>
        </w:rPr>
        <w:t xml:space="preserve">293/2018, 12 </w:t>
      </w:r>
      <w:r w:rsidRPr="009B14D2">
        <w:rPr>
          <w:b/>
          <w:i/>
        </w:rPr>
        <w:t>‍</w:t>
      </w:r>
      <w:r>
        <w:rPr>
          <w:rFonts w:hint="eastAsia"/>
        </w:rPr>
        <w:t>June 2020)</w:t>
      </w:r>
      <w:r>
        <w:t>.</w:t>
      </w:r>
      <w:r>
        <w:rPr>
          <w:rFonts w:hint="eastAsia"/>
        </w:rPr>
        <w:t xml:space="preserve"> </w:t>
      </w:r>
    </w:p>
  </w:footnote>
  <w:footnote w:id="106">
    <w:p w:rsidR="00004AFA" w:rsidRDefault="00004AFA" w:rsidP="00A638AF">
      <w:pPr>
        <w:pStyle w:val="FootnoteText"/>
        <w:tabs>
          <w:tab w:val="clear" w:pos="274"/>
          <w:tab w:val="left" w:pos="360"/>
        </w:tabs>
        <w:jc w:val="both"/>
      </w:pPr>
      <w:r>
        <w:rPr>
          <w:rStyle w:val="FootnoteReference"/>
        </w:rPr>
        <w:footnoteRef/>
      </w:r>
      <w:r>
        <w:t xml:space="preserve"> </w:t>
      </w:r>
      <w:r>
        <w:tab/>
      </w:r>
      <w:r w:rsidRPr="00B82B6A">
        <w:rPr>
          <w:i/>
        </w:rPr>
        <w:t>HKSAR v Valencia</w:t>
      </w:r>
      <w:r>
        <w:t xml:space="preserve"> [2018] 3 HKC 308, at [28].</w:t>
      </w:r>
    </w:p>
  </w:footnote>
  <w:footnote w:id="107">
    <w:p w:rsidR="00004AFA" w:rsidRDefault="00004AFA" w:rsidP="009B14D2">
      <w:pPr>
        <w:pStyle w:val="FootnoteText"/>
        <w:tabs>
          <w:tab w:val="clear" w:pos="274"/>
          <w:tab w:val="left" w:pos="360"/>
        </w:tabs>
        <w:ind w:left="360" w:hanging="360"/>
        <w:jc w:val="both"/>
      </w:pPr>
      <w:r>
        <w:rPr>
          <w:rStyle w:val="FootnoteReference"/>
        </w:rPr>
        <w:footnoteRef/>
      </w:r>
      <w:r>
        <w:tab/>
      </w:r>
      <w:r w:rsidRPr="00F052D5">
        <w:rPr>
          <w:i/>
        </w:rPr>
        <w:t>HKSAR v Chukwuleta Sunday Freedaline &amp; Anor</w:t>
      </w:r>
      <w:r>
        <w:t xml:space="preserve"> (Unrep., CACC 62/2017, 2 July 2019), at [12]. The same reservation was repeated by </w:t>
      </w:r>
      <w:r w:rsidRPr="00D0540A">
        <w:t>McWalters JA</w:t>
      </w:r>
      <w:r>
        <w:t xml:space="preserve"> in </w:t>
      </w:r>
      <w:r w:rsidRPr="00D0540A">
        <w:rPr>
          <w:i/>
        </w:rPr>
        <w:t>HKSAR v Shakeel Ahmed</w:t>
      </w:r>
      <w:r>
        <w:t xml:space="preserve"> (Unrep., </w:t>
      </w:r>
      <w:r w:rsidRPr="009B14D2">
        <w:rPr>
          <w:b/>
          <w:i/>
        </w:rPr>
        <w:t>‍</w:t>
      </w:r>
      <w:r>
        <w:t xml:space="preserve">CACC </w:t>
      </w:r>
      <w:r w:rsidRPr="009B14D2">
        <w:rPr>
          <w:b/>
          <w:i/>
        </w:rPr>
        <w:t>‍</w:t>
      </w:r>
      <w:r>
        <w:t>61/2017, 6 September 2019), at [59].</w:t>
      </w:r>
    </w:p>
  </w:footnote>
  <w:footnote w:id="108">
    <w:p w:rsidR="00004AFA" w:rsidRPr="00574DFB" w:rsidRDefault="00004AFA" w:rsidP="00637E2A">
      <w:pPr>
        <w:pStyle w:val="FootnoteText"/>
        <w:tabs>
          <w:tab w:val="clear" w:pos="274"/>
          <w:tab w:val="left" w:pos="360"/>
        </w:tabs>
        <w:rPr>
          <w:lang w:val="en-US"/>
        </w:rPr>
      </w:pPr>
      <w:r>
        <w:rPr>
          <w:rStyle w:val="FootnoteReference"/>
        </w:rPr>
        <w:footnoteRef/>
      </w:r>
      <w:r>
        <w:t xml:space="preserve"> </w:t>
      </w:r>
      <w:r>
        <w:tab/>
      </w:r>
      <w:r w:rsidRPr="0009165A">
        <w:rPr>
          <w:i/>
        </w:rPr>
        <w:t>Valencia</w:t>
      </w:r>
      <w:r>
        <w:t>, at [25].</w:t>
      </w:r>
    </w:p>
  </w:footnote>
  <w:footnote w:id="109">
    <w:p w:rsidR="00004AFA" w:rsidRPr="00574DFB" w:rsidRDefault="00004AFA" w:rsidP="00637E2A">
      <w:pPr>
        <w:pStyle w:val="FootnoteText"/>
        <w:tabs>
          <w:tab w:val="clear" w:pos="274"/>
          <w:tab w:val="left" w:pos="360"/>
        </w:tabs>
        <w:rPr>
          <w:lang w:val="en-US"/>
        </w:rPr>
      </w:pPr>
      <w:r>
        <w:rPr>
          <w:rStyle w:val="FootnoteReference"/>
        </w:rPr>
        <w:footnoteRef/>
      </w:r>
      <w:r>
        <w:t xml:space="preserve"> </w:t>
      </w:r>
      <w:r>
        <w:tab/>
      </w:r>
      <w:r>
        <w:rPr>
          <w:lang w:val="en-US"/>
        </w:rPr>
        <w:t>At [25].</w:t>
      </w:r>
    </w:p>
  </w:footnote>
  <w:footnote w:id="110">
    <w:p w:rsidR="00004AFA" w:rsidRDefault="00004AFA" w:rsidP="00913FF0">
      <w:pPr>
        <w:pStyle w:val="FootnoteText"/>
        <w:tabs>
          <w:tab w:val="clear" w:pos="274"/>
          <w:tab w:val="left" w:pos="360"/>
        </w:tabs>
      </w:pPr>
      <w:r>
        <w:rPr>
          <w:rStyle w:val="FootnoteReference"/>
        </w:rPr>
        <w:footnoteRef/>
      </w:r>
      <w:r>
        <w:t xml:space="preserve"> </w:t>
      </w:r>
      <w:r>
        <w:tab/>
        <w:t>At 314I-315A.</w:t>
      </w:r>
    </w:p>
  </w:footnote>
  <w:footnote w:id="111">
    <w:p w:rsidR="00004AFA" w:rsidRPr="00A003B7" w:rsidRDefault="00004AFA" w:rsidP="00637E2A">
      <w:pPr>
        <w:pStyle w:val="FootnoteText"/>
        <w:tabs>
          <w:tab w:val="clear" w:pos="274"/>
          <w:tab w:val="left" w:pos="360"/>
        </w:tabs>
        <w:rPr>
          <w:lang w:val="en-US"/>
        </w:rPr>
      </w:pPr>
      <w:r>
        <w:rPr>
          <w:rStyle w:val="FootnoteReference"/>
        </w:rPr>
        <w:footnoteRef/>
      </w:r>
      <w:r>
        <w:t xml:space="preserve"> </w:t>
      </w:r>
      <w:r>
        <w:tab/>
      </w:r>
      <w:r w:rsidRPr="003F0C4B">
        <w:rPr>
          <w:i/>
        </w:rPr>
        <w:t>Shoki Fatuma Ramadhani</w:t>
      </w:r>
      <w:r>
        <w:t>, at [1].</w:t>
      </w:r>
    </w:p>
  </w:footnote>
  <w:footnote w:id="112">
    <w:p w:rsidR="00004AFA" w:rsidRPr="000E4DF9" w:rsidRDefault="00004AFA" w:rsidP="00913FF0">
      <w:pPr>
        <w:pStyle w:val="FootnoteText"/>
        <w:tabs>
          <w:tab w:val="clear" w:pos="274"/>
          <w:tab w:val="left" w:pos="360"/>
        </w:tabs>
        <w:ind w:left="360" w:hanging="360"/>
        <w:jc w:val="both"/>
      </w:pPr>
      <w:r>
        <w:rPr>
          <w:rStyle w:val="FootnoteReference"/>
        </w:rPr>
        <w:footnoteRef/>
      </w:r>
      <w:r>
        <w:t xml:space="preserve"> </w:t>
      </w:r>
      <w:r>
        <w:tab/>
      </w:r>
      <w:r w:rsidRPr="00D31657">
        <w:rPr>
          <w:i/>
        </w:rPr>
        <w:t>HKSAR v Shoki Fatuma Ramadhani</w:t>
      </w:r>
      <w:r>
        <w:t xml:space="preserve"> (Unrep., FAMC No 34 of 2018; [2018] HKCFA 51, 12 </w:t>
      </w:r>
      <w:r w:rsidRPr="00343438">
        <w:rPr>
          <w:b/>
          <w:i/>
        </w:rPr>
        <w:t>‍</w:t>
      </w:r>
      <w:r>
        <w:t>November 2018).</w:t>
      </w:r>
    </w:p>
  </w:footnote>
  <w:footnote w:id="113">
    <w:p w:rsidR="00004AFA" w:rsidRPr="00574DFB" w:rsidRDefault="00004AFA" w:rsidP="00637E2A">
      <w:pPr>
        <w:pStyle w:val="FootnoteText"/>
        <w:tabs>
          <w:tab w:val="clear" w:pos="274"/>
          <w:tab w:val="left" w:pos="360"/>
        </w:tabs>
        <w:rPr>
          <w:lang w:val="en-US"/>
        </w:rPr>
      </w:pPr>
      <w:r>
        <w:rPr>
          <w:rStyle w:val="FootnoteReference"/>
        </w:rPr>
        <w:footnoteRef/>
      </w:r>
      <w:r>
        <w:t xml:space="preserve"> </w:t>
      </w:r>
      <w:r>
        <w:tab/>
      </w:r>
      <w:r w:rsidRPr="008D3154">
        <w:rPr>
          <w:i/>
        </w:rPr>
        <w:t>R v Hayden</w:t>
      </w:r>
      <w:r>
        <w:t xml:space="preserve"> [1975] 1 WLR 852.</w:t>
      </w:r>
    </w:p>
  </w:footnote>
  <w:footnote w:id="114">
    <w:p w:rsidR="00004AFA" w:rsidRPr="008D3154" w:rsidRDefault="00004AFA" w:rsidP="009E5565">
      <w:pPr>
        <w:pStyle w:val="FootnoteText"/>
        <w:tabs>
          <w:tab w:val="clear" w:pos="274"/>
          <w:tab w:val="left" w:pos="360"/>
        </w:tabs>
      </w:pPr>
      <w:r>
        <w:rPr>
          <w:rStyle w:val="FootnoteReference"/>
        </w:rPr>
        <w:footnoteRef/>
      </w:r>
      <w:r>
        <w:t xml:space="preserve"> </w:t>
      </w:r>
      <w:r>
        <w:tab/>
      </w:r>
      <w:r w:rsidRPr="00015C2B">
        <w:rPr>
          <w:i/>
        </w:rPr>
        <w:t>Ibid.</w:t>
      </w:r>
      <w:r>
        <w:t>, at 853G-854E.</w:t>
      </w:r>
    </w:p>
  </w:footnote>
  <w:footnote w:id="115">
    <w:p w:rsidR="00004AFA" w:rsidRDefault="00004AFA" w:rsidP="00565D86">
      <w:pPr>
        <w:pStyle w:val="FootnoteText"/>
        <w:tabs>
          <w:tab w:val="clear" w:pos="274"/>
          <w:tab w:val="left" w:pos="360"/>
        </w:tabs>
      </w:pPr>
      <w:r>
        <w:rPr>
          <w:rStyle w:val="FootnoteReference"/>
        </w:rPr>
        <w:footnoteRef/>
      </w:r>
      <w:r>
        <w:t xml:space="preserve"> </w:t>
      </w:r>
      <w:r>
        <w:tab/>
      </w:r>
      <w:r w:rsidRPr="00382A52">
        <w:rPr>
          <w:i/>
        </w:rPr>
        <w:t>Ibid.</w:t>
      </w:r>
      <w:r>
        <w:t>, at 854A-E.</w:t>
      </w:r>
    </w:p>
  </w:footnote>
  <w:footnote w:id="116">
    <w:p w:rsidR="00004AFA" w:rsidRDefault="00004AFA" w:rsidP="009E5565">
      <w:pPr>
        <w:pStyle w:val="FootnoteText"/>
        <w:tabs>
          <w:tab w:val="clear" w:pos="274"/>
          <w:tab w:val="left" w:pos="360"/>
        </w:tabs>
      </w:pPr>
      <w:r>
        <w:rPr>
          <w:rStyle w:val="FootnoteReference"/>
        </w:rPr>
        <w:footnoteRef/>
      </w:r>
      <w:r>
        <w:t xml:space="preserve"> </w:t>
      </w:r>
      <w:r>
        <w:tab/>
      </w:r>
      <w:r w:rsidRPr="00012C99">
        <w:rPr>
          <w:i/>
        </w:rPr>
        <w:t>Ibid.</w:t>
      </w:r>
      <w:r>
        <w:t>, at 854G-H.</w:t>
      </w:r>
    </w:p>
  </w:footnote>
  <w:footnote w:id="117">
    <w:p w:rsidR="00004AFA" w:rsidRPr="00574DFB" w:rsidRDefault="00004AFA" w:rsidP="00637E2A">
      <w:pPr>
        <w:pStyle w:val="FootnoteText"/>
        <w:tabs>
          <w:tab w:val="clear" w:pos="274"/>
          <w:tab w:val="left" w:pos="360"/>
        </w:tabs>
        <w:rPr>
          <w:lang w:val="en-US"/>
        </w:rPr>
      </w:pPr>
      <w:r>
        <w:rPr>
          <w:rStyle w:val="FootnoteReference"/>
        </w:rPr>
        <w:footnoteRef/>
      </w:r>
      <w:r>
        <w:t xml:space="preserve"> </w:t>
      </w:r>
      <w:r>
        <w:tab/>
      </w:r>
      <w:r w:rsidRPr="0063115A">
        <w:rPr>
          <w:i/>
        </w:rPr>
        <w:t>R v Thayne</w:t>
      </w:r>
      <w:r>
        <w:t xml:space="preserve"> [1970] 1 QB 141.</w:t>
      </w:r>
    </w:p>
  </w:footnote>
  <w:footnote w:id="118">
    <w:p w:rsidR="00004AFA" w:rsidRDefault="00004AFA" w:rsidP="009B14D2">
      <w:pPr>
        <w:pStyle w:val="FootnoteText"/>
        <w:tabs>
          <w:tab w:val="clear" w:pos="274"/>
          <w:tab w:val="left" w:pos="360"/>
        </w:tabs>
      </w:pPr>
      <w:r>
        <w:rPr>
          <w:rStyle w:val="FootnoteReference"/>
        </w:rPr>
        <w:footnoteRef/>
      </w:r>
      <w:r>
        <w:t xml:space="preserve"> </w:t>
      </w:r>
      <w:r>
        <w:tab/>
      </w:r>
      <w:r w:rsidRPr="0063115A">
        <w:rPr>
          <w:i/>
        </w:rPr>
        <w:t>Ibid.</w:t>
      </w:r>
      <w:r>
        <w:t>, at 142H.</w:t>
      </w:r>
    </w:p>
  </w:footnote>
  <w:footnote w:id="119">
    <w:p w:rsidR="00004AFA" w:rsidRPr="0063115A" w:rsidRDefault="00004AFA" w:rsidP="009B14D2">
      <w:pPr>
        <w:pStyle w:val="FootnoteText"/>
        <w:tabs>
          <w:tab w:val="clear" w:pos="274"/>
          <w:tab w:val="left" w:pos="360"/>
        </w:tabs>
      </w:pPr>
      <w:r>
        <w:rPr>
          <w:rStyle w:val="FootnoteReference"/>
        </w:rPr>
        <w:footnoteRef/>
      </w:r>
      <w:r>
        <w:t xml:space="preserve"> </w:t>
      </w:r>
      <w:r>
        <w:tab/>
      </w:r>
      <w:r w:rsidRPr="0063115A">
        <w:rPr>
          <w:i/>
        </w:rPr>
        <w:t>HKSAR v Chan Yue</w:t>
      </w:r>
      <w:r>
        <w:rPr>
          <w:i/>
        </w:rPr>
        <w:t>n</w:t>
      </w:r>
      <w:r w:rsidRPr="0063115A">
        <w:rPr>
          <w:i/>
        </w:rPr>
        <w:t xml:space="preserve"> Yee Carrie</w:t>
      </w:r>
      <w:r>
        <w:t xml:space="preserve"> [2017] 3 HKLRD 431.</w:t>
      </w:r>
    </w:p>
  </w:footnote>
  <w:footnote w:id="120">
    <w:p w:rsidR="00004AFA" w:rsidRPr="00423095" w:rsidRDefault="00004AFA" w:rsidP="00637E2A">
      <w:pPr>
        <w:pStyle w:val="FootnoteText"/>
        <w:tabs>
          <w:tab w:val="clear" w:pos="274"/>
          <w:tab w:val="left" w:pos="360"/>
        </w:tabs>
        <w:rPr>
          <w:lang w:val="en-US"/>
        </w:rPr>
      </w:pPr>
      <w:r>
        <w:rPr>
          <w:rStyle w:val="FootnoteReference"/>
        </w:rPr>
        <w:footnoteRef/>
      </w:r>
      <w:r>
        <w:t xml:space="preserve"> </w:t>
      </w:r>
      <w:r>
        <w:tab/>
      </w:r>
      <w:r w:rsidRPr="00F256C5">
        <w:rPr>
          <w:i/>
        </w:rPr>
        <w:t>Attorney-General v So Lo-kam</w:t>
      </w:r>
      <w:r>
        <w:t xml:space="preserve"> </w:t>
      </w:r>
      <w:r>
        <w:rPr>
          <w:lang w:val="en-US"/>
        </w:rPr>
        <w:t>[1986] HKLR 564.</w:t>
      </w:r>
    </w:p>
  </w:footnote>
  <w:footnote w:id="121">
    <w:p w:rsidR="00004AFA" w:rsidRPr="00DD3434" w:rsidRDefault="00004AFA" w:rsidP="00637E2A">
      <w:pPr>
        <w:tabs>
          <w:tab w:val="left" w:pos="360"/>
        </w:tabs>
        <w:snapToGrid/>
        <w:rPr>
          <w:rFonts w:eastAsia="Times New Roman"/>
          <w:b w:val="0"/>
          <w:sz w:val="24"/>
          <w:szCs w:val="24"/>
          <w:lang w:val="en-HK" w:eastAsia="en-US"/>
        </w:rPr>
      </w:pPr>
      <w:r w:rsidRPr="00DD3434">
        <w:rPr>
          <w:rStyle w:val="FootnoteReference"/>
          <w:b w:val="0"/>
        </w:rPr>
        <w:footnoteRef/>
      </w:r>
      <w:r w:rsidRPr="00DD3434">
        <w:rPr>
          <w:b w:val="0"/>
        </w:rPr>
        <w:t xml:space="preserve"> </w:t>
      </w:r>
      <w:r>
        <w:rPr>
          <w:b w:val="0"/>
        </w:rPr>
        <w:tab/>
      </w:r>
      <w:r w:rsidRPr="00574C6A">
        <w:rPr>
          <w:b w:val="0"/>
          <w:i/>
        </w:rPr>
        <w:t>Attorney-General v Chin Chack-wing</w:t>
      </w:r>
      <w:r>
        <w:rPr>
          <w:b w:val="0"/>
        </w:rPr>
        <w:t xml:space="preserve"> </w:t>
      </w:r>
      <w:r w:rsidRPr="00DD3434">
        <w:rPr>
          <w:rFonts w:eastAsia="Times New Roman"/>
          <w:b w:val="0"/>
          <w:color w:val="000000"/>
          <w:szCs w:val="28"/>
          <w:lang w:val="en-HK" w:eastAsia="en-US"/>
        </w:rPr>
        <w:t>(1961) HKLR 479.</w:t>
      </w:r>
    </w:p>
  </w:footnote>
  <w:footnote w:id="122">
    <w:p w:rsidR="00004AFA" w:rsidRPr="003C6B42" w:rsidRDefault="00004AFA" w:rsidP="00637E2A">
      <w:pPr>
        <w:pStyle w:val="FootnoteText"/>
        <w:tabs>
          <w:tab w:val="clear" w:pos="274"/>
          <w:tab w:val="left" w:pos="360"/>
        </w:tabs>
        <w:rPr>
          <w:lang w:val="en-US"/>
        </w:rPr>
      </w:pPr>
      <w:r>
        <w:rPr>
          <w:rStyle w:val="FootnoteReference"/>
        </w:rPr>
        <w:footnoteRef/>
      </w:r>
      <w:r>
        <w:t xml:space="preserve"> </w:t>
      </w:r>
      <w:r>
        <w:tab/>
      </w:r>
      <w:r w:rsidRPr="00574C6A">
        <w:rPr>
          <w:i/>
        </w:rPr>
        <w:t>Ibid.</w:t>
      </w:r>
      <w:r>
        <w:t>, a</w:t>
      </w:r>
      <w:r>
        <w:rPr>
          <w:lang w:val="en-US"/>
        </w:rPr>
        <w:t xml:space="preserve">t [490]. </w:t>
      </w:r>
    </w:p>
  </w:footnote>
  <w:footnote w:id="123">
    <w:p w:rsidR="00004AFA" w:rsidRPr="003C6B42" w:rsidRDefault="00004AFA" w:rsidP="00637E2A">
      <w:pPr>
        <w:pStyle w:val="FootnoteText"/>
        <w:tabs>
          <w:tab w:val="clear" w:pos="274"/>
          <w:tab w:val="left" w:pos="360"/>
        </w:tabs>
        <w:rPr>
          <w:lang w:val="en-US"/>
        </w:rPr>
      </w:pPr>
      <w:r>
        <w:rPr>
          <w:rStyle w:val="FootnoteReference"/>
        </w:rPr>
        <w:footnoteRef/>
      </w:r>
      <w:r>
        <w:t xml:space="preserve"> </w:t>
      </w:r>
      <w:r>
        <w:tab/>
      </w:r>
      <w:r w:rsidRPr="00B67815">
        <w:rPr>
          <w:i/>
        </w:rPr>
        <w:t>Customs and Excise Commissioners v Menocal</w:t>
      </w:r>
      <w:r>
        <w:t xml:space="preserve"> </w:t>
      </w:r>
      <w:r>
        <w:rPr>
          <w:lang w:val="en-US"/>
        </w:rPr>
        <w:t>[1980] AC 598.</w:t>
      </w:r>
    </w:p>
  </w:footnote>
  <w:footnote w:id="124">
    <w:p w:rsidR="00004AFA" w:rsidRDefault="00004AFA" w:rsidP="00756118">
      <w:pPr>
        <w:pStyle w:val="FootnoteText"/>
        <w:tabs>
          <w:tab w:val="clear" w:pos="274"/>
          <w:tab w:val="left" w:pos="360"/>
        </w:tabs>
      </w:pPr>
      <w:r>
        <w:rPr>
          <w:rStyle w:val="FootnoteReference"/>
        </w:rPr>
        <w:footnoteRef/>
      </w:r>
      <w:r>
        <w:t xml:space="preserve"> </w:t>
      </w:r>
      <w:r>
        <w:tab/>
      </w:r>
      <w:r w:rsidRPr="00F256C5">
        <w:rPr>
          <w:i/>
        </w:rPr>
        <w:t>Ibid.</w:t>
      </w:r>
      <w:r>
        <w:t>, at 607C-F.</w:t>
      </w:r>
    </w:p>
  </w:footnote>
  <w:footnote w:id="125">
    <w:p w:rsidR="00004AFA" w:rsidRPr="00C23C47" w:rsidRDefault="00004AFA" w:rsidP="00637E2A">
      <w:pPr>
        <w:pStyle w:val="FootnoteText"/>
        <w:tabs>
          <w:tab w:val="clear" w:pos="274"/>
          <w:tab w:val="left" w:pos="360"/>
        </w:tabs>
        <w:rPr>
          <w:lang w:val="en-US"/>
        </w:rPr>
      </w:pPr>
      <w:r>
        <w:rPr>
          <w:rStyle w:val="FootnoteReference"/>
        </w:rPr>
        <w:footnoteRef/>
      </w:r>
      <w:r>
        <w:t xml:space="preserve"> </w:t>
      </w:r>
      <w:r>
        <w:tab/>
      </w:r>
      <w:r w:rsidRPr="00F256C5">
        <w:rPr>
          <w:i/>
        </w:rPr>
        <w:t>Menocal</w:t>
      </w:r>
      <w:r>
        <w:t>, at</w:t>
      </w:r>
      <w:r>
        <w:rPr>
          <w:lang w:val="en-US"/>
        </w:rPr>
        <w:t xml:space="preserve"> 606H-607B and 610A-C.</w:t>
      </w:r>
    </w:p>
  </w:footnote>
  <w:footnote w:id="126">
    <w:p w:rsidR="00004AFA" w:rsidRDefault="00004AFA" w:rsidP="00343438">
      <w:pPr>
        <w:pStyle w:val="FootnoteText"/>
        <w:tabs>
          <w:tab w:val="clear" w:pos="274"/>
          <w:tab w:val="left" w:pos="360"/>
        </w:tabs>
      </w:pPr>
      <w:r>
        <w:rPr>
          <w:rStyle w:val="FootnoteReference"/>
        </w:rPr>
        <w:footnoteRef/>
      </w:r>
      <w:r>
        <w:t xml:space="preserve"> </w:t>
      </w:r>
      <w:r>
        <w:tab/>
        <w:t xml:space="preserve">Para 94 </w:t>
      </w:r>
      <w:r w:rsidRPr="00085055">
        <w:rPr>
          <w:i/>
        </w:rPr>
        <w:t>supra</w:t>
      </w:r>
      <w:r>
        <w:t>.</w:t>
      </w:r>
    </w:p>
  </w:footnote>
  <w:footnote w:id="127">
    <w:p w:rsidR="00004AFA" w:rsidRPr="00CF1A41" w:rsidRDefault="00004AFA" w:rsidP="00637E2A">
      <w:pPr>
        <w:pStyle w:val="FootnoteText"/>
        <w:tabs>
          <w:tab w:val="clear" w:pos="274"/>
          <w:tab w:val="left" w:pos="360"/>
        </w:tabs>
        <w:rPr>
          <w:lang w:val="en-US"/>
        </w:rPr>
      </w:pPr>
      <w:r>
        <w:rPr>
          <w:rStyle w:val="FootnoteReference"/>
        </w:rPr>
        <w:footnoteRef/>
      </w:r>
      <w:r>
        <w:t xml:space="preserve"> </w:t>
      </w:r>
      <w:r>
        <w:tab/>
      </w:r>
      <w:r w:rsidRPr="00830651">
        <w:rPr>
          <w:i/>
        </w:rPr>
        <w:t>HKSAR v Ngoma Juma Shabani</w:t>
      </w:r>
      <w:r>
        <w:t xml:space="preserve"> </w:t>
      </w:r>
      <w:r>
        <w:rPr>
          <w:lang w:val="en-US"/>
        </w:rPr>
        <w:t>[2015] 5 HKLRD 57.</w:t>
      </w:r>
    </w:p>
  </w:footnote>
  <w:footnote w:id="128">
    <w:p w:rsidR="00004AFA" w:rsidRPr="00CF1A41" w:rsidRDefault="00004AFA" w:rsidP="00637E2A">
      <w:pPr>
        <w:pStyle w:val="FootnoteText"/>
        <w:tabs>
          <w:tab w:val="clear" w:pos="274"/>
          <w:tab w:val="left" w:pos="360"/>
        </w:tabs>
        <w:rPr>
          <w:lang w:val="en-US"/>
        </w:rPr>
      </w:pPr>
      <w:r>
        <w:rPr>
          <w:rStyle w:val="FootnoteReference"/>
        </w:rPr>
        <w:footnoteRef/>
      </w:r>
      <w:r>
        <w:t xml:space="preserve"> </w:t>
      </w:r>
      <w:r>
        <w:tab/>
      </w:r>
      <w:r>
        <w:rPr>
          <w:lang w:val="en-US"/>
        </w:rPr>
        <w:t>AB, p 41F.</w:t>
      </w:r>
    </w:p>
  </w:footnote>
  <w:footnote w:id="129">
    <w:p w:rsidR="00004AFA" w:rsidRPr="00CF1A41" w:rsidRDefault="00004AFA" w:rsidP="00637E2A">
      <w:pPr>
        <w:pStyle w:val="FootnoteText"/>
        <w:tabs>
          <w:tab w:val="clear" w:pos="274"/>
          <w:tab w:val="left" w:pos="360"/>
        </w:tabs>
        <w:rPr>
          <w:lang w:val="en-US"/>
        </w:rPr>
      </w:pPr>
      <w:r>
        <w:rPr>
          <w:rStyle w:val="FootnoteReference"/>
        </w:rPr>
        <w:footnoteRef/>
      </w:r>
      <w:r>
        <w:t xml:space="preserve"> </w:t>
      </w:r>
      <w:r>
        <w:tab/>
        <w:t>AB, p</w:t>
      </w:r>
      <w:r>
        <w:rPr>
          <w:lang w:val="en-US"/>
        </w:rPr>
        <w:t xml:space="preserve"> 41M.</w:t>
      </w:r>
    </w:p>
  </w:footnote>
  <w:footnote w:id="130">
    <w:p w:rsidR="00004AFA" w:rsidRDefault="00004AFA" w:rsidP="00343438">
      <w:pPr>
        <w:pStyle w:val="FootnoteText"/>
        <w:tabs>
          <w:tab w:val="clear" w:pos="274"/>
          <w:tab w:val="left" w:pos="360"/>
        </w:tabs>
      </w:pPr>
      <w:r>
        <w:rPr>
          <w:rStyle w:val="FootnoteReference"/>
        </w:rPr>
        <w:footnoteRef/>
      </w:r>
      <w:r>
        <w:t xml:space="preserve"> </w:t>
      </w:r>
      <w:r>
        <w:tab/>
      </w:r>
      <w:r w:rsidRPr="00B16589">
        <w:rPr>
          <w:i/>
        </w:rPr>
        <w:t>Shoki Fatuma Ramadhani</w:t>
      </w:r>
      <w:r>
        <w:t xml:space="preserve">, </w:t>
      </w:r>
      <w:r w:rsidRPr="00580753">
        <w:rPr>
          <w:i/>
        </w:rPr>
        <w:t>per</w:t>
      </w:r>
      <w:r>
        <w:t xml:space="preserve"> McWalters JA, at [54]-[55].</w:t>
      </w:r>
    </w:p>
  </w:footnote>
  <w:footnote w:id="131">
    <w:p w:rsidR="00004AFA" w:rsidRPr="00E45DB3" w:rsidRDefault="00004AFA" w:rsidP="00637E2A">
      <w:pPr>
        <w:pStyle w:val="FootnoteText"/>
        <w:tabs>
          <w:tab w:val="clear" w:pos="274"/>
          <w:tab w:val="left" w:pos="360"/>
        </w:tabs>
        <w:rPr>
          <w:lang w:val="en-US"/>
        </w:rPr>
      </w:pPr>
      <w:r>
        <w:rPr>
          <w:rStyle w:val="FootnoteReference"/>
        </w:rPr>
        <w:footnoteRef/>
      </w:r>
      <w:r>
        <w:t xml:space="preserve"> </w:t>
      </w:r>
      <w:r>
        <w:tab/>
      </w:r>
      <w:r w:rsidRPr="00D56E17">
        <w:rPr>
          <w:i/>
        </w:rPr>
        <w:t>Ngoma Juma Shabani</w:t>
      </w:r>
      <w:r>
        <w:t xml:space="preserve">, </w:t>
      </w:r>
      <w:r w:rsidRPr="00580753">
        <w:rPr>
          <w:i/>
        </w:rPr>
        <w:t xml:space="preserve">per </w:t>
      </w:r>
      <w:r>
        <w:t>McWalters JA, a</w:t>
      </w:r>
      <w:r>
        <w:rPr>
          <w:lang w:val="en-US"/>
        </w:rPr>
        <w:t>t [67].</w:t>
      </w:r>
    </w:p>
  </w:footnote>
  <w:footnote w:id="132">
    <w:p w:rsidR="00004AFA" w:rsidRPr="00670048" w:rsidRDefault="00004AFA" w:rsidP="00637E2A">
      <w:pPr>
        <w:pStyle w:val="FootnoteText"/>
        <w:tabs>
          <w:tab w:val="clear" w:pos="274"/>
          <w:tab w:val="left" w:pos="360"/>
        </w:tabs>
        <w:rPr>
          <w:lang w:val="en-US"/>
        </w:rPr>
      </w:pPr>
      <w:r>
        <w:rPr>
          <w:rStyle w:val="FootnoteReference"/>
        </w:rPr>
        <w:footnoteRef/>
      </w:r>
      <w:r>
        <w:t xml:space="preserve"> </w:t>
      </w:r>
      <w:r w:rsidRPr="00D56E17">
        <w:rPr>
          <w:i/>
        </w:rPr>
        <w:tab/>
        <w:t>Ibid.</w:t>
      </w:r>
      <w:r>
        <w:t xml:space="preserve">, </w:t>
      </w:r>
      <w:r w:rsidRPr="00DB4E7B">
        <w:rPr>
          <w:i/>
        </w:rPr>
        <w:t>per</w:t>
      </w:r>
      <w:r>
        <w:t xml:space="preserve"> Lunn VP, a</w:t>
      </w:r>
      <w:r>
        <w:rPr>
          <w:lang w:val="en-US"/>
        </w:rPr>
        <w:t xml:space="preserve">t [11-13]; </w:t>
      </w:r>
      <w:r w:rsidRPr="00DB4E7B">
        <w:rPr>
          <w:i/>
          <w:lang w:val="en-US"/>
        </w:rPr>
        <w:t>per</w:t>
      </w:r>
      <w:r>
        <w:rPr>
          <w:lang w:val="en-US"/>
        </w:rPr>
        <w:t xml:space="preserve"> Macrae JA, at [23-27].</w:t>
      </w:r>
    </w:p>
  </w:footnote>
  <w:footnote w:id="133">
    <w:p w:rsidR="00004AFA" w:rsidRPr="00355941" w:rsidRDefault="00004AFA" w:rsidP="00B17705">
      <w:pPr>
        <w:pStyle w:val="FootnoteText"/>
        <w:tabs>
          <w:tab w:val="clear" w:pos="274"/>
          <w:tab w:val="left" w:pos="360"/>
        </w:tabs>
        <w:rPr>
          <w:lang w:val="fr-FR"/>
        </w:rPr>
      </w:pPr>
      <w:r>
        <w:rPr>
          <w:rStyle w:val="FootnoteReference"/>
        </w:rPr>
        <w:footnoteRef/>
      </w:r>
      <w:r w:rsidRPr="00355941">
        <w:rPr>
          <w:lang w:val="fr-FR"/>
        </w:rPr>
        <w:t xml:space="preserve"> </w:t>
      </w:r>
      <w:r w:rsidRPr="00355941">
        <w:rPr>
          <w:lang w:val="fr-FR"/>
        </w:rPr>
        <w:tab/>
        <w:t>AB, p 41T-U.</w:t>
      </w:r>
    </w:p>
  </w:footnote>
  <w:footnote w:id="134">
    <w:p w:rsidR="00004AFA" w:rsidRPr="00355941" w:rsidRDefault="00004AFA" w:rsidP="00637E2A">
      <w:pPr>
        <w:pStyle w:val="FootnoteText"/>
        <w:tabs>
          <w:tab w:val="clear" w:pos="274"/>
          <w:tab w:val="left" w:pos="360"/>
        </w:tabs>
        <w:rPr>
          <w:lang w:val="fr-FR"/>
        </w:rPr>
      </w:pPr>
      <w:r>
        <w:rPr>
          <w:rStyle w:val="FootnoteReference"/>
        </w:rPr>
        <w:footnoteRef/>
      </w:r>
      <w:r w:rsidRPr="00355941">
        <w:rPr>
          <w:lang w:val="fr-FR"/>
        </w:rPr>
        <w:t xml:space="preserve"> </w:t>
      </w:r>
      <w:r w:rsidRPr="00355941">
        <w:rPr>
          <w:lang w:val="fr-FR"/>
        </w:rPr>
        <w:tab/>
        <w:t xml:space="preserve">AB, p 41Q-R. </w:t>
      </w:r>
    </w:p>
  </w:footnote>
  <w:footnote w:id="135">
    <w:p w:rsidR="00004AFA" w:rsidRPr="00D77603" w:rsidRDefault="00004AFA" w:rsidP="00637E2A">
      <w:pPr>
        <w:pStyle w:val="FootnoteText"/>
        <w:tabs>
          <w:tab w:val="clear" w:pos="274"/>
          <w:tab w:val="left" w:pos="360"/>
        </w:tabs>
        <w:rPr>
          <w:lang w:val="en-US"/>
        </w:rPr>
      </w:pPr>
      <w:r>
        <w:rPr>
          <w:rStyle w:val="FootnoteReference"/>
        </w:rPr>
        <w:footnoteRef/>
      </w:r>
      <w:r>
        <w:t xml:space="preserve"> </w:t>
      </w:r>
      <w:r>
        <w:tab/>
      </w:r>
      <w:r>
        <w:rPr>
          <w:lang w:val="en-US"/>
        </w:rPr>
        <w:t>AB, pp 28C-32E.</w:t>
      </w:r>
    </w:p>
  </w:footnote>
  <w:footnote w:id="136">
    <w:p w:rsidR="00004AFA" w:rsidRDefault="00004AFA" w:rsidP="00343438">
      <w:pPr>
        <w:pStyle w:val="FootnoteText"/>
        <w:tabs>
          <w:tab w:val="clear" w:pos="274"/>
          <w:tab w:val="left" w:pos="360"/>
        </w:tabs>
      </w:pPr>
      <w:r>
        <w:rPr>
          <w:rStyle w:val="FootnoteReference"/>
        </w:rPr>
        <w:footnoteRef/>
      </w:r>
      <w:r>
        <w:t xml:space="preserve"> </w:t>
      </w:r>
      <w:r>
        <w:tab/>
        <w:t>AB, pp 40S-41B.</w:t>
      </w:r>
    </w:p>
  </w:footnote>
  <w:footnote w:id="137">
    <w:p w:rsidR="00004AFA" w:rsidRPr="007061F8" w:rsidRDefault="00004AFA" w:rsidP="00637E2A">
      <w:pPr>
        <w:pStyle w:val="FootnoteText"/>
        <w:tabs>
          <w:tab w:val="clear" w:pos="274"/>
          <w:tab w:val="left" w:pos="360"/>
        </w:tabs>
        <w:rPr>
          <w:lang w:val="en-US"/>
        </w:rPr>
      </w:pPr>
      <w:r>
        <w:rPr>
          <w:rStyle w:val="FootnoteReference"/>
        </w:rPr>
        <w:footnoteRef/>
      </w:r>
      <w:r>
        <w:t xml:space="preserve"> </w:t>
      </w:r>
      <w:r>
        <w:tab/>
      </w:r>
      <w:r>
        <w:rPr>
          <w:lang w:val="en-US"/>
        </w:rPr>
        <w:t>AB, p 41C-G.</w:t>
      </w:r>
    </w:p>
  </w:footnote>
  <w:footnote w:id="138">
    <w:p w:rsidR="00004AFA" w:rsidRPr="007061F8" w:rsidRDefault="00004AFA" w:rsidP="00637E2A">
      <w:pPr>
        <w:pStyle w:val="FootnoteText"/>
        <w:tabs>
          <w:tab w:val="clear" w:pos="274"/>
          <w:tab w:val="left" w:pos="360"/>
        </w:tabs>
        <w:rPr>
          <w:lang w:val="en-US"/>
        </w:rPr>
      </w:pPr>
      <w:r>
        <w:rPr>
          <w:rStyle w:val="FootnoteReference"/>
        </w:rPr>
        <w:footnoteRef/>
      </w:r>
      <w:r>
        <w:t xml:space="preserve"> </w:t>
      </w:r>
      <w:r>
        <w:tab/>
      </w:r>
      <w:r>
        <w:rPr>
          <w:lang w:val="en-US"/>
        </w:rPr>
        <w:t>AB, pp 41L-42A.</w:t>
      </w:r>
    </w:p>
  </w:footnote>
  <w:footnote w:id="139">
    <w:p w:rsidR="00004AFA" w:rsidRPr="00E52848" w:rsidRDefault="00004AFA" w:rsidP="003B1EE4">
      <w:pPr>
        <w:pStyle w:val="FootnoteText"/>
        <w:tabs>
          <w:tab w:val="clear" w:pos="274"/>
          <w:tab w:val="left" w:pos="360"/>
        </w:tabs>
        <w:rPr>
          <w:lang w:val="en-US"/>
        </w:rPr>
      </w:pPr>
      <w:r>
        <w:rPr>
          <w:rStyle w:val="FootnoteReference"/>
        </w:rPr>
        <w:footnoteRef/>
      </w:r>
      <w:r>
        <w:t xml:space="preserve"> </w:t>
      </w:r>
      <w:r>
        <w:tab/>
      </w:r>
      <w:r w:rsidRPr="003B1EE4">
        <w:rPr>
          <w:i/>
        </w:rPr>
        <w:t>Ngoma Juma Shabani</w:t>
      </w:r>
      <w:r>
        <w:t xml:space="preserve">, </w:t>
      </w:r>
      <w:r w:rsidRPr="0052596A">
        <w:rPr>
          <w:i/>
        </w:rPr>
        <w:t xml:space="preserve">per </w:t>
      </w:r>
      <w:r>
        <w:t>Macrae JA, at [33].</w:t>
      </w:r>
      <w:r>
        <w:rPr>
          <w:lang w:val="en-US"/>
        </w:rPr>
        <w:t xml:space="preserve"> </w:t>
      </w:r>
    </w:p>
  </w:footnote>
  <w:footnote w:id="140">
    <w:p w:rsidR="00004AFA" w:rsidRDefault="00004AFA" w:rsidP="00343438">
      <w:pPr>
        <w:pStyle w:val="FootnoteText"/>
        <w:tabs>
          <w:tab w:val="clear" w:pos="274"/>
          <w:tab w:val="left" w:pos="360"/>
        </w:tabs>
      </w:pPr>
      <w:r>
        <w:rPr>
          <w:rStyle w:val="FootnoteReference"/>
        </w:rPr>
        <w:footnoteRef/>
      </w:r>
      <w:r>
        <w:t xml:space="preserve"> </w:t>
      </w:r>
      <w:r>
        <w:tab/>
      </w:r>
      <w:r w:rsidRPr="003B1EE4">
        <w:rPr>
          <w:i/>
        </w:rPr>
        <w:t>Ubah Joel Chidiebere</w:t>
      </w:r>
      <w:r>
        <w:t>, at [94].</w:t>
      </w:r>
    </w:p>
  </w:footnote>
  <w:footnote w:id="141">
    <w:p w:rsidR="00004AFA" w:rsidRPr="00FF0729" w:rsidRDefault="00004AFA" w:rsidP="00297521">
      <w:pPr>
        <w:pStyle w:val="FootnoteText"/>
        <w:tabs>
          <w:tab w:val="clear" w:pos="274"/>
          <w:tab w:val="left" w:pos="360"/>
        </w:tabs>
        <w:rPr>
          <w:lang w:val="en-US"/>
        </w:rPr>
      </w:pPr>
      <w:r>
        <w:rPr>
          <w:rStyle w:val="FootnoteReference"/>
        </w:rPr>
        <w:footnoteRef/>
      </w:r>
      <w:r>
        <w:t xml:space="preserve"> </w:t>
      </w:r>
      <w:r>
        <w:tab/>
      </w:r>
      <w:r w:rsidRPr="00DB4E7B">
        <w:rPr>
          <w:i/>
        </w:rPr>
        <w:t>Ngoma Juma Shabani</w:t>
      </w:r>
      <w:r>
        <w:t xml:space="preserve">, </w:t>
      </w:r>
      <w:r w:rsidRPr="00DB4E7B">
        <w:rPr>
          <w:i/>
        </w:rPr>
        <w:t>per</w:t>
      </w:r>
      <w:r>
        <w:t xml:space="preserve"> Lunn VP, at</w:t>
      </w:r>
      <w:r>
        <w:rPr>
          <w:lang w:val="en-US"/>
        </w:rPr>
        <w:t xml:space="preserve"> [10-12]; </w:t>
      </w:r>
      <w:r w:rsidRPr="00DB4E7B">
        <w:rPr>
          <w:i/>
          <w:lang w:val="en-US"/>
        </w:rPr>
        <w:t>per</w:t>
      </w:r>
      <w:r>
        <w:rPr>
          <w:lang w:val="en-US"/>
        </w:rPr>
        <w:t xml:space="preserve"> Macrae JA, at [28-34]. </w:t>
      </w:r>
    </w:p>
  </w:footnote>
  <w:footnote w:id="142">
    <w:p w:rsidR="00004AFA" w:rsidRPr="00643561" w:rsidRDefault="00004AFA" w:rsidP="00B17705">
      <w:pPr>
        <w:pStyle w:val="FootnoteText"/>
        <w:tabs>
          <w:tab w:val="clear" w:pos="274"/>
          <w:tab w:val="left" w:pos="360"/>
        </w:tabs>
      </w:pPr>
      <w:r>
        <w:rPr>
          <w:rStyle w:val="FootnoteReference"/>
        </w:rPr>
        <w:footnoteRef/>
      </w:r>
      <w:r>
        <w:t xml:space="preserve"> </w:t>
      </w:r>
      <w:r>
        <w:tab/>
        <w:t>Respondent’s written submissions, at para 160.</w:t>
      </w:r>
    </w:p>
  </w:footnote>
  <w:footnote w:id="143">
    <w:p w:rsidR="00004AFA" w:rsidRPr="00F93197" w:rsidRDefault="00004AFA" w:rsidP="009C1DA4">
      <w:pPr>
        <w:pStyle w:val="FootnoteText"/>
        <w:tabs>
          <w:tab w:val="clear" w:pos="274"/>
          <w:tab w:val="left" w:pos="360"/>
        </w:tabs>
        <w:ind w:left="360" w:hanging="360"/>
        <w:jc w:val="both"/>
        <w:rPr>
          <w:lang w:val="en-US"/>
        </w:rPr>
      </w:pPr>
      <w:r>
        <w:rPr>
          <w:rStyle w:val="FootnoteReference"/>
        </w:rPr>
        <w:footnoteRef/>
      </w:r>
      <w:r>
        <w:t xml:space="preserve"> </w:t>
      </w:r>
      <w:r>
        <w:tab/>
      </w:r>
      <w:r w:rsidRPr="00D91C42">
        <w:rPr>
          <w:i/>
          <w:lang w:val="en-US"/>
        </w:rPr>
        <w:t>HKSAR v Ifeanyichukwu Henry Onyeka</w:t>
      </w:r>
      <w:r>
        <w:rPr>
          <w:lang w:val="en-US"/>
        </w:rPr>
        <w:t xml:space="preserve"> (Unrep., CACC 55/2016, 27 October 2016); </w:t>
      </w:r>
      <w:r w:rsidRPr="00D91C42">
        <w:rPr>
          <w:i/>
          <w:lang w:val="en-US"/>
        </w:rPr>
        <w:t>HKSAR v Okorie Nwabueze Joseph</w:t>
      </w:r>
      <w:r>
        <w:rPr>
          <w:lang w:val="en-US"/>
        </w:rPr>
        <w:t xml:space="preserve">; </w:t>
      </w:r>
      <w:r w:rsidRPr="00D91C42">
        <w:rPr>
          <w:i/>
          <w:lang w:val="en-US"/>
        </w:rPr>
        <w:t>HKSAR v Nwadiuto Samuel Joseph</w:t>
      </w:r>
      <w:r>
        <w:rPr>
          <w:lang w:val="en-US"/>
        </w:rPr>
        <w:t xml:space="preserve">; </w:t>
      </w:r>
      <w:r w:rsidRPr="00D91C42">
        <w:rPr>
          <w:i/>
          <w:lang w:val="en-US"/>
        </w:rPr>
        <w:t xml:space="preserve">HKSAR v Echendu </w:t>
      </w:r>
      <w:r w:rsidRPr="00B1239F">
        <w:rPr>
          <w:b/>
          <w:i/>
        </w:rPr>
        <w:t>‍</w:t>
      </w:r>
      <w:r w:rsidRPr="00D91C42">
        <w:rPr>
          <w:i/>
          <w:lang w:val="en-US"/>
        </w:rPr>
        <w:t>Chij</w:t>
      </w:r>
      <w:r>
        <w:rPr>
          <w:i/>
          <w:lang w:val="en-US"/>
        </w:rPr>
        <w:t>i</w:t>
      </w:r>
      <w:r w:rsidRPr="00D91C42">
        <w:rPr>
          <w:i/>
          <w:lang w:val="en-US"/>
        </w:rPr>
        <w:t>oke Nick</w:t>
      </w:r>
      <w:r>
        <w:rPr>
          <w:lang w:val="en-US"/>
        </w:rPr>
        <w:t xml:space="preserve">; and </w:t>
      </w:r>
      <w:r w:rsidRPr="00D91C42">
        <w:rPr>
          <w:i/>
          <w:lang w:val="en-US"/>
        </w:rPr>
        <w:t>HKSAR v Oketa Sunday Basil</w:t>
      </w:r>
      <w:r>
        <w:rPr>
          <w:lang w:val="en-US"/>
        </w:rPr>
        <w:t>.</w:t>
      </w:r>
    </w:p>
  </w:footnote>
  <w:footnote w:id="144">
    <w:p w:rsidR="00004AFA" w:rsidRDefault="00004AFA" w:rsidP="00CA6BB7">
      <w:pPr>
        <w:pStyle w:val="FootnoteText"/>
        <w:tabs>
          <w:tab w:val="clear" w:pos="274"/>
          <w:tab w:val="left" w:pos="360"/>
        </w:tabs>
      </w:pPr>
      <w:r>
        <w:rPr>
          <w:rStyle w:val="FootnoteReference"/>
        </w:rPr>
        <w:footnoteRef/>
      </w:r>
      <w:r>
        <w:t xml:space="preserve"> </w:t>
      </w:r>
      <w:r>
        <w:tab/>
      </w:r>
      <w:r w:rsidRPr="009E69F5">
        <w:rPr>
          <w:i/>
        </w:rPr>
        <w:t>R v Osei (Gertrude)</w:t>
      </w:r>
      <w:r>
        <w:t xml:space="preserve"> (1988) 10 Cr App R (S) 289.</w:t>
      </w:r>
    </w:p>
  </w:footnote>
  <w:footnote w:id="145">
    <w:p w:rsidR="00004AFA" w:rsidRDefault="00004AFA" w:rsidP="00CA6BB7">
      <w:pPr>
        <w:pStyle w:val="FootnoteText"/>
        <w:tabs>
          <w:tab w:val="clear" w:pos="274"/>
          <w:tab w:val="left" w:pos="360"/>
        </w:tabs>
      </w:pPr>
      <w:r>
        <w:rPr>
          <w:rStyle w:val="FootnoteReference"/>
        </w:rPr>
        <w:footnoteRef/>
      </w:r>
      <w:r>
        <w:t xml:space="preserve"> </w:t>
      </w:r>
      <w:r>
        <w:tab/>
      </w:r>
      <w:r w:rsidRPr="009E69F5">
        <w:rPr>
          <w:i/>
        </w:rPr>
        <w:t>Ibid.</w:t>
      </w:r>
      <w:r>
        <w:t>, at 291.</w:t>
      </w:r>
    </w:p>
  </w:footnote>
  <w:footnote w:id="146">
    <w:p w:rsidR="00004AFA" w:rsidRDefault="00004AFA" w:rsidP="003F3F41">
      <w:pPr>
        <w:pStyle w:val="FootnoteText"/>
        <w:tabs>
          <w:tab w:val="clear" w:pos="274"/>
          <w:tab w:val="left" w:pos="360"/>
        </w:tabs>
      </w:pPr>
      <w:r>
        <w:rPr>
          <w:rStyle w:val="FootnoteReference"/>
        </w:rPr>
        <w:footnoteRef/>
      </w:r>
      <w:r>
        <w:t xml:space="preserve"> </w:t>
      </w:r>
      <w:r>
        <w:tab/>
      </w:r>
      <w:r w:rsidRPr="00E12826">
        <w:rPr>
          <w:i/>
        </w:rPr>
        <w:t>Ngoma Juma Shabani</w:t>
      </w:r>
      <w:r>
        <w:t xml:space="preserve">, </w:t>
      </w:r>
      <w:r w:rsidRPr="00473FE4">
        <w:rPr>
          <w:i/>
        </w:rPr>
        <w:t>per</w:t>
      </w:r>
      <w:r>
        <w:t xml:space="preserve"> Lunn VP, at [8].</w:t>
      </w:r>
    </w:p>
  </w:footnote>
  <w:footnote w:id="147">
    <w:p w:rsidR="00004AFA" w:rsidRPr="00CF3260" w:rsidRDefault="00004AFA" w:rsidP="00B17705">
      <w:pPr>
        <w:pStyle w:val="FootnoteText"/>
        <w:tabs>
          <w:tab w:val="clear" w:pos="274"/>
          <w:tab w:val="left" w:pos="360"/>
        </w:tabs>
        <w:rPr>
          <w:lang w:val="fr-FR"/>
        </w:rPr>
      </w:pPr>
      <w:r>
        <w:rPr>
          <w:rStyle w:val="FootnoteReference"/>
        </w:rPr>
        <w:footnoteRef/>
      </w:r>
      <w:r w:rsidRPr="00CF3260">
        <w:rPr>
          <w:lang w:val="fr-FR"/>
        </w:rPr>
        <w:t xml:space="preserve"> </w:t>
      </w:r>
      <w:r w:rsidRPr="00CF3260">
        <w:rPr>
          <w:lang w:val="fr-FR"/>
        </w:rPr>
        <w:tab/>
        <w:t>AB, p 41E-H; N-Q.</w:t>
      </w:r>
    </w:p>
  </w:footnote>
  <w:footnote w:id="148">
    <w:p w:rsidR="00004AFA" w:rsidRPr="00CF3260" w:rsidRDefault="00004AFA" w:rsidP="00B17705">
      <w:pPr>
        <w:pStyle w:val="FootnoteText"/>
        <w:tabs>
          <w:tab w:val="clear" w:pos="274"/>
          <w:tab w:val="left" w:pos="360"/>
        </w:tabs>
        <w:rPr>
          <w:lang w:val="fr-FR"/>
        </w:rPr>
      </w:pPr>
      <w:r>
        <w:rPr>
          <w:rStyle w:val="FootnoteReference"/>
        </w:rPr>
        <w:footnoteRef/>
      </w:r>
      <w:r w:rsidRPr="00CF3260">
        <w:rPr>
          <w:lang w:val="fr-FR"/>
        </w:rPr>
        <w:t xml:space="preserve"> </w:t>
      </w:r>
      <w:r w:rsidRPr="00CF3260">
        <w:rPr>
          <w:lang w:val="fr-FR"/>
        </w:rPr>
        <w:tab/>
        <w:t>AB, p 41T-U.</w:t>
      </w:r>
    </w:p>
  </w:footnote>
  <w:footnote w:id="149">
    <w:p w:rsidR="00004AFA" w:rsidRDefault="00004AFA" w:rsidP="00B17705">
      <w:pPr>
        <w:pStyle w:val="FootnoteText"/>
        <w:tabs>
          <w:tab w:val="clear" w:pos="274"/>
          <w:tab w:val="left" w:pos="360"/>
        </w:tabs>
      </w:pPr>
      <w:r>
        <w:rPr>
          <w:rStyle w:val="FootnoteReference"/>
        </w:rPr>
        <w:footnoteRef/>
      </w:r>
      <w:r>
        <w:t xml:space="preserve"> </w:t>
      </w:r>
      <w:r>
        <w:tab/>
        <w:t xml:space="preserve">See </w:t>
      </w:r>
      <w:r w:rsidRPr="00705C21">
        <w:rPr>
          <w:i/>
        </w:rPr>
        <w:t>Shoki Fatuma Ramadhani</w:t>
      </w:r>
      <w:r>
        <w:t xml:space="preserve"> (Appeal Committee determination), at footnote 2.</w:t>
      </w:r>
    </w:p>
  </w:footnote>
  <w:footnote w:id="150">
    <w:p w:rsidR="00004AFA" w:rsidRDefault="00004AFA" w:rsidP="00671718">
      <w:pPr>
        <w:pStyle w:val="FootnoteText"/>
        <w:tabs>
          <w:tab w:val="clear" w:pos="274"/>
          <w:tab w:val="left" w:pos="360"/>
        </w:tabs>
        <w:ind w:left="360" w:hanging="360"/>
        <w:jc w:val="both"/>
      </w:pPr>
      <w:r>
        <w:rPr>
          <w:rStyle w:val="FootnoteReference"/>
        </w:rPr>
        <w:footnoteRef/>
      </w:r>
      <w:r>
        <w:tab/>
        <w:t>At the forfeiture hearing, some three weeks after her sentence, the appellant gave a different version in cross-examination, to the effect that, although she had been given 88 packets of dangerous drugs to swallow, she never in fact swallowed 82 of them but threw them away instead: AB, p 36G-I.</w:t>
      </w:r>
    </w:p>
  </w:footnote>
  <w:footnote w:id="151">
    <w:p w:rsidR="00004AFA" w:rsidRDefault="00004AFA" w:rsidP="00F57CD7">
      <w:pPr>
        <w:pStyle w:val="FootnoteText"/>
        <w:tabs>
          <w:tab w:val="clear" w:pos="274"/>
          <w:tab w:val="left" w:pos="360"/>
        </w:tabs>
      </w:pPr>
      <w:r>
        <w:rPr>
          <w:rStyle w:val="FootnoteReference"/>
        </w:rPr>
        <w:footnoteRef/>
      </w:r>
      <w:r>
        <w:tab/>
      </w:r>
      <w:r w:rsidRPr="0017043F">
        <w:rPr>
          <w:i/>
        </w:rPr>
        <w:t>Kilima</w:t>
      </w:r>
      <w:r>
        <w:t xml:space="preserve">, </w:t>
      </w:r>
      <w:r w:rsidRPr="00DB4E7B">
        <w:rPr>
          <w:i/>
        </w:rPr>
        <w:t>per</w:t>
      </w:r>
      <w:r>
        <w:t xml:space="preserve"> Macrae VP, at [91]-[92].</w:t>
      </w:r>
    </w:p>
  </w:footnote>
  <w:footnote w:id="152">
    <w:p w:rsidR="00004AFA" w:rsidRDefault="00004AFA" w:rsidP="003F3F41">
      <w:pPr>
        <w:pStyle w:val="FootnoteText"/>
        <w:tabs>
          <w:tab w:val="clear" w:pos="274"/>
          <w:tab w:val="left" w:pos="360"/>
        </w:tabs>
      </w:pPr>
      <w:r>
        <w:rPr>
          <w:rStyle w:val="FootnoteReference"/>
        </w:rPr>
        <w:footnoteRef/>
      </w:r>
      <w:r>
        <w:t xml:space="preserve"> </w:t>
      </w:r>
      <w:r>
        <w:tab/>
      </w:r>
      <w:r w:rsidRPr="0017043F">
        <w:rPr>
          <w:i/>
        </w:rPr>
        <w:t>Ibid.</w:t>
      </w:r>
      <w:r>
        <w:t>, at [91].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FA" w:rsidRDefault="00004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FA" w:rsidRDefault="00004AFA"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AFA" w:rsidRDefault="00004AFA" w:rsidP="008244DC">
                          <w:pPr>
                            <w:ind w:left="-90"/>
                          </w:pPr>
                          <w:r>
                            <w:rPr>
                              <w:rFonts w:hint="eastAsia"/>
                            </w:rPr>
                            <w:t>A</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B</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C</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D</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E</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F</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G</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H</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I</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J</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K</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L</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M</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N</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O</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P</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Q</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R</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S</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T</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U</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004AFA" w:rsidRDefault="00004AFA" w:rsidP="008244DC">
                    <w:pPr>
                      <w:ind w:left="-90"/>
                    </w:pPr>
                    <w:r>
                      <w:rPr>
                        <w:rFonts w:hint="eastAsia"/>
                      </w:rPr>
                      <w:t>A</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B</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C</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D</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E</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F</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G</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H</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I</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J</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K</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L</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M</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N</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O</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P</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Q</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R</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S</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T</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U</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AFA" w:rsidRDefault="00004AFA">
                          <w:r>
                            <w:rPr>
                              <w:rFonts w:hint="eastAsia"/>
                            </w:rPr>
                            <w:t>A</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B</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C</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D</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E</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F</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G</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H</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I</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J</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K</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L</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M</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N</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O</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P</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Q</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R</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S</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T</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U</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004AFA" w:rsidRDefault="00004AFA">
                    <w:r>
                      <w:rPr>
                        <w:rFonts w:hint="eastAsia"/>
                      </w:rPr>
                      <w:t>A</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B</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C</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D</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E</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F</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G</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H</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I</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J</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K</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L</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M</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N</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O</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P</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Q</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R</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S</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T</w:t>
                    </w:r>
                  </w:p>
                  <w:p w:rsidR="00004AFA" w:rsidRDefault="00004AFA">
                    <w:pPr>
                      <w:rPr>
                        <w:sz w:val="10"/>
                      </w:rPr>
                    </w:pPr>
                  </w:p>
                  <w:p w:rsidR="00004AFA" w:rsidRDefault="00004AFA">
                    <w:pPr>
                      <w:rPr>
                        <w:sz w:val="16"/>
                      </w:rPr>
                    </w:pPr>
                  </w:p>
                  <w:p w:rsidR="00004AFA" w:rsidRDefault="00004AFA">
                    <w:pPr>
                      <w:rPr>
                        <w:sz w:val="16"/>
                      </w:rPr>
                    </w:pPr>
                  </w:p>
                  <w:p w:rsidR="00004AFA" w:rsidRDefault="00004AFA">
                    <w:pPr>
                      <w:rPr>
                        <w:sz w:val="16"/>
                      </w:rPr>
                    </w:pPr>
                    <w:r>
                      <w:rPr>
                        <w:rFonts w:hint="eastAsia"/>
                      </w:rPr>
                      <w:t>U</w:t>
                    </w:r>
                  </w:p>
                  <w:p w:rsidR="00004AFA" w:rsidRDefault="00004AFA">
                    <w:pPr>
                      <w:rPr>
                        <w:sz w:val="10"/>
                      </w:rPr>
                    </w:pPr>
                  </w:p>
                  <w:p w:rsidR="00004AFA" w:rsidRDefault="00004AFA">
                    <w:pPr>
                      <w:rPr>
                        <w:sz w:val="16"/>
                      </w:rPr>
                    </w:pPr>
                  </w:p>
                  <w:p w:rsidR="00004AFA" w:rsidRDefault="00004AFA">
                    <w:pPr>
                      <w:rPr>
                        <w:sz w:val="16"/>
                      </w:rPr>
                    </w:pPr>
                  </w:p>
                  <w:p w:rsidR="00004AFA" w:rsidRDefault="00004AFA">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893DAE">
      <w:rPr>
        <w:rStyle w:val="PageNumber"/>
        <w:b w:val="0"/>
        <w:bCs w:val="0"/>
        <w:noProof/>
        <w:sz w:val="28"/>
      </w:rPr>
      <w:t>21</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AFA" w:rsidRDefault="00004AFA">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AFA" w:rsidRDefault="00004AFA" w:rsidP="008244DC">
                          <w:pPr>
                            <w:ind w:left="-90"/>
                          </w:pPr>
                          <w:r>
                            <w:rPr>
                              <w:rFonts w:hint="eastAsia"/>
                            </w:rPr>
                            <w:t>A</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pStyle w:val="Heading6"/>
                            <w:ind w:left="-90"/>
                          </w:pPr>
                          <w:r>
                            <w:rPr>
                              <w:rFonts w:hint="eastAsia"/>
                            </w:rPr>
                            <w:t>B</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C</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D</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E</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F</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G</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H</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I</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J</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K</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L</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M</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N</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O</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P</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Q</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R</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S</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T</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U</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004AFA" w:rsidRDefault="00004AFA" w:rsidP="008244DC">
                    <w:pPr>
                      <w:ind w:left="-90"/>
                    </w:pPr>
                    <w:r>
                      <w:rPr>
                        <w:rFonts w:hint="eastAsia"/>
                      </w:rPr>
                      <w:t>A</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pStyle w:val="Heading6"/>
                      <w:ind w:left="-90"/>
                    </w:pPr>
                    <w:r>
                      <w:rPr>
                        <w:rFonts w:hint="eastAsia"/>
                      </w:rPr>
                      <w:t>B</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C</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D</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E</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F</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G</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H</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I</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J</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K</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L</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M</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N</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O</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P</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Q</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R</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S</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T</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rPr>
                        <w:sz w:val="16"/>
                      </w:rPr>
                    </w:pPr>
                    <w:r>
                      <w:rPr>
                        <w:rFonts w:hint="eastAsia"/>
                      </w:rPr>
                      <w:t>U</w:t>
                    </w:r>
                  </w:p>
                  <w:p w:rsidR="00004AFA" w:rsidRDefault="00004AFA" w:rsidP="008244DC">
                    <w:pPr>
                      <w:ind w:left="-90"/>
                      <w:rPr>
                        <w:sz w:val="10"/>
                      </w:rPr>
                    </w:pPr>
                  </w:p>
                  <w:p w:rsidR="00004AFA" w:rsidRDefault="00004AFA" w:rsidP="008244DC">
                    <w:pPr>
                      <w:ind w:left="-90"/>
                      <w:rPr>
                        <w:sz w:val="16"/>
                      </w:rPr>
                    </w:pPr>
                  </w:p>
                  <w:p w:rsidR="00004AFA" w:rsidRDefault="00004AFA" w:rsidP="008244DC">
                    <w:pPr>
                      <w:ind w:left="-90"/>
                      <w:rPr>
                        <w:sz w:val="16"/>
                      </w:rPr>
                    </w:pPr>
                  </w:p>
                  <w:p w:rsidR="00004AFA" w:rsidRDefault="00004AFA"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AFA" w:rsidRDefault="00004AFA" w:rsidP="0087327F">
                          <w:r>
                            <w:rPr>
                              <w:rFonts w:hint="eastAsia"/>
                            </w:rPr>
                            <w:t>A</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B</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C</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D</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E</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F</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G</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H</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I</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J</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K</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L</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M</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N</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O</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P</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Q</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R</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S</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T</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U</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004AFA" w:rsidRDefault="00004AFA" w:rsidP="0087327F">
                    <w:r>
                      <w:rPr>
                        <w:rFonts w:hint="eastAsia"/>
                      </w:rPr>
                      <w:t>A</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B</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C</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D</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E</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F</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G</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H</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I</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J</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K</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L</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M</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N</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O</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P</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Q</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R</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S</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T</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pPr>
                      <w:rPr>
                        <w:sz w:val="16"/>
                      </w:rPr>
                    </w:pPr>
                    <w:r>
                      <w:rPr>
                        <w:rFonts w:hint="eastAsia"/>
                      </w:rPr>
                      <w:t>U</w:t>
                    </w:r>
                  </w:p>
                  <w:p w:rsidR="00004AFA" w:rsidRDefault="00004AFA" w:rsidP="0087327F">
                    <w:pPr>
                      <w:rPr>
                        <w:sz w:val="10"/>
                      </w:rPr>
                    </w:pPr>
                  </w:p>
                  <w:p w:rsidR="00004AFA" w:rsidRDefault="00004AFA" w:rsidP="0087327F">
                    <w:pPr>
                      <w:rPr>
                        <w:sz w:val="16"/>
                      </w:rPr>
                    </w:pPr>
                  </w:p>
                  <w:p w:rsidR="00004AFA" w:rsidRDefault="00004AFA" w:rsidP="0087327F">
                    <w:pPr>
                      <w:rPr>
                        <w:sz w:val="16"/>
                      </w:rPr>
                    </w:pPr>
                  </w:p>
                  <w:p w:rsidR="00004AFA" w:rsidRDefault="00004AFA"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0C7"/>
    <w:multiLevelType w:val="hybridMultilevel"/>
    <w:tmpl w:val="BD7EFF40"/>
    <w:lvl w:ilvl="0" w:tplc="1D4C3758">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13B778D7"/>
    <w:multiLevelType w:val="hybridMultilevel"/>
    <w:tmpl w:val="BAF4B558"/>
    <w:lvl w:ilvl="0" w:tplc="5C5233EE">
      <w:start w:val="1"/>
      <w:numFmt w:val="decimal"/>
      <w:pStyle w:val="T-Draft"/>
      <w:lvlText w:val="%1."/>
      <w:lvlJc w:val="left"/>
      <w:pPr>
        <w:ind w:left="0" w:firstLine="0"/>
      </w:pPr>
      <w:rPr>
        <w:rFonts w:hint="eastAsia"/>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C355B"/>
    <w:multiLevelType w:val="hybridMultilevel"/>
    <w:tmpl w:val="4C189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C16A6"/>
    <w:multiLevelType w:val="multilevel"/>
    <w:tmpl w:val="F8883D02"/>
    <w:numStyleLink w:val="1i"/>
  </w:abstractNum>
  <w:abstractNum w:abstractNumId="5" w15:restartNumberingAfterBreak="0">
    <w:nsid w:val="1EE97EB1"/>
    <w:multiLevelType w:val="hybridMultilevel"/>
    <w:tmpl w:val="3258B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E55352A"/>
    <w:multiLevelType w:val="hybridMultilevel"/>
    <w:tmpl w:val="F2BA5B78"/>
    <w:lvl w:ilvl="0" w:tplc="04090015">
      <w:start w:val="1"/>
      <w:numFmt w:val="upperLetter"/>
      <w:lvlText w:val="%1."/>
      <w:lvlJc w:val="left"/>
      <w:pPr>
        <w:ind w:left="4372" w:hanging="360"/>
      </w:pPr>
    </w:lvl>
    <w:lvl w:ilvl="1" w:tplc="04090019" w:tentative="1">
      <w:start w:val="1"/>
      <w:numFmt w:val="lowerLetter"/>
      <w:lvlText w:val="%2."/>
      <w:lvlJc w:val="left"/>
      <w:pPr>
        <w:ind w:left="5092" w:hanging="360"/>
      </w:pPr>
    </w:lvl>
    <w:lvl w:ilvl="2" w:tplc="0409001B" w:tentative="1">
      <w:start w:val="1"/>
      <w:numFmt w:val="lowerRoman"/>
      <w:lvlText w:val="%3."/>
      <w:lvlJc w:val="right"/>
      <w:pPr>
        <w:ind w:left="5812" w:hanging="180"/>
      </w:pPr>
    </w:lvl>
    <w:lvl w:ilvl="3" w:tplc="0409000F" w:tentative="1">
      <w:start w:val="1"/>
      <w:numFmt w:val="decimal"/>
      <w:lvlText w:val="%4."/>
      <w:lvlJc w:val="left"/>
      <w:pPr>
        <w:ind w:left="6532" w:hanging="360"/>
      </w:pPr>
    </w:lvl>
    <w:lvl w:ilvl="4" w:tplc="04090019" w:tentative="1">
      <w:start w:val="1"/>
      <w:numFmt w:val="lowerLetter"/>
      <w:lvlText w:val="%5."/>
      <w:lvlJc w:val="left"/>
      <w:pPr>
        <w:ind w:left="7252" w:hanging="360"/>
      </w:pPr>
    </w:lvl>
    <w:lvl w:ilvl="5" w:tplc="0409001B" w:tentative="1">
      <w:start w:val="1"/>
      <w:numFmt w:val="lowerRoman"/>
      <w:lvlText w:val="%6."/>
      <w:lvlJc w:val="right"/>
      <w:pPr>
        <w:ind w:left="7972" w:hanging="180"/>
      </w:pPr>
    </w:lvl>
    <w:lvl w:ilvl="6" w:tplc="0409000F" w:tentative="1">
      <w:start w:val="1"/>
      <w:numFmt w:val="decimal"/>
      <w:lvlText w:val="%7."/>
      <w:lvlJc w:val="left"/>
      <w:pPr>
        <w:ind w:left="8692" w:hanging="360"/>
      </w:pPr>
    </w:lvl>
    <w:lvl w:ilvl="7" w:tplc="04090019" w:tentative="1">
      <w:start w:val="1"/>
      <w:numFmt w:val="lowerLetter"/>
      <w:lvlText w:val="%8."/>
      <w:lvlJc w:val="left"/>
      <w:pPr>
        <w:ind w:left="9412" w:hanging="360"/>
      </w:pPr>
    </w:lvl>
    <w:lvl w:ilvl="8" w:tplc="0409001B" w:tentative="1">
      <w:start w:val="1"/>
      <w:numFmt w:val="lowerRoman"/>
      <w:lvlText w:val="%9."/>
      <w:lvlJc w:val="right"/>
      <w:pPr>
        <w:ind w:left="10132" w:hanging="180"/>
      </w:pPr>
    </w:lvl>
  </w:abstractNum>
  <w:abstractNum w:abstractNumId="8" w15:restartNumberingAfterBreak="0">
    <w:nsid w:val="3639774F"/>
    <w:multiLevelType w:val="hybridMultilevel"/>
    <w:tmpl w:val="DBCE0B3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2" w15:restartNumberingAfterBreak="0">
    <w:nsid w:val="3C2059F1"/>
    <w:multiLevelType w:val="hybridMultilevel"/>
    <w:tmpl w:val="39585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A403A"/>
    <w:multiLevelType w:val="hybridMultilevel"/>
    <w:tmpl w:val="24B82C9C"/>
    <w:lvl w:ilvl="0" w:tplc="AB3000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4B485ADB"/>
    <w:multiLevelType w:val="multilevel"/>
    <w:tmpl w:val="7C64A4D4"/>
    <w:numStyleLink w:val="1a"/>
  </w:abstractNum>
  <w:abstractNum w:abstractNumId="16" w15:restartNumberingAfterBreak="0">
    <w:nsid w:val="4F70399F"/>
    <w:multiLevelType w:val="multilevel"/>
    <w:tmpl w:val="7C64A4D4"/>
    <w:numStyleLink w:val="1a"/>
  </w:abstractNum>
  <w:abstractNum w:abstractNumId="17" w15:restartNumberingAfterBreak="0">
    <w:nsid w:val="55B2564D"/>
    <w:multiLevelType w:val="hybridMultilevel"/>
    <w:tmpl w:val="5D5A9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90807"/>
    <w:multiLevelType w:val="multilevel"/>
    <w:tmpl w:val="84E4A6E2"/>
    <w:numStyleLink w:val="Iia"/>
  </w:abstractNum>
  <w:abstractNum w:abstractNumId="19"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20" w15:restartNumberingAfterBreak="0">
    <w:nsid w:val="7B181A64"/>
    <w:multiLevelType w:val="hybridMultilevel"/>
    <w:tmpl w:val="6EBE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
  </w:num>
  <w:num w:numId="4">
    <w:abstractNumId w:val="2"/>
  </w:num>
  <w:num w:numId="5">
    <w:abstractNumId w:val="10"/>
  </w:num>
  <w:num w:numId="6">
    <w:abstractNumId w:val="9"/>
  </w:num>
  <w:num w:numId="7">
    <w:abstractNumId w:val="15"/>
  </w:num>
  <w:num w:numId="8">
    <w:abstractNumId w:val="14"/>
  </w:num>
  <w:num w:numId="9">
    <w:abstractNumId w:val="4"/>
  </w:num>
  <w:num w:numId="10">
    <w:abstractNumId w:val="6"/>
  </w:num>
  <w:num w:numId="11">
    <w:abstractNumId w:val="18"/>
  </w:num>
  <w:num w:numId="12">
    <w:abstractNumId w:val="16"/>
  </w:num>
  <w:num w:numId="13">
    <w:abstractNumId w:val="13"/>
  </w:num>
  <w:num w:numId="14">
    <w:abstractNumId w:val="0"/>
  </w:num>
  <w:num w:numId="15">
    <w:abstractNumId w:val="2"/>
  </w:num>
  <w:num w:numId="16">
    <w:abstractNumId w:val="17"/>
  </w:num>
  <w:num w:numId="17">
    <w:abstractNumId w:val="12"/>
  </w:num>
  <w:num w:numId="18">
    <w:abstractNumId w:val="3"/>
  </w:num>
  <w:num w:numId="19">
    <w:abstractNumId w:val="7"/>
  </w:num>
  <w:num w:numId="20">
    <w:abstractNumId w:val="8"/>
  </w:num>
  <w:num w:numId="21">
    <w:abstractNumId w:val="2"/>
    <w:lvlOverride w:ilvl="0">
      <w:startOverride w:val="8"/>
    </w:lvlOverride>
  </w:num>
  <w:num w:numId="22">
    <w:abstractNumId w:val="2"/>
  </w:num>
  <w:num w:numId="23">
    <w:abstractNumId w:val="2"/>
    <w:lvlOverride w:ilvl="0">
      <w:startOverride w:val="58"/>
    </w:lvlOverride>
  </w:num>
  <w:num w:numId="24">
    <w:abstractNumId w:val="5"/>
  </w:num>
  <w:num w:numId="25">
    <w:abstractNumId w:val="2"/>
    <w:lvlOverride w:ilvl="0">
      <w:startOverride w:val="1"/>
    </w:lvlOverride>
  </w:num>
  <w:num w:numId="26">
    <w:abstractNumId w:val="2"/>
    <w:lvlOverride w:ilvl="0">
      <w:startOverride w:val="74"/>
    </w:lvlOverride>
  </w:num>
  <w:num w:numId="27">
    <w:abstractNumId w:val="20"/>
  </w:num>
  <w:num w:numId="28">
    <w:abstractNumId w:val="2"/>
    <w:lvlOverride w:ilvl="0">
      <w:startOverride w:val="59"/>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0967091-F210-492F-8483-AC5F8FCD41EF}"/>
    <w:docVar w:name="dgnword-eventsink" w:val="121711420272"/>
  </w:docVars>
  <w:rsids>
    <w:rsidRoot w:val="00486E58"/>
    <w:rsid w:val="00000F3A"/>
    <w:rsid w:val="00003A46"/>
    <w:rsid w:val="00004AFA"/>
    <w:rsid w:val="000050B7"/>
    <w:rsid w:val="0000516C"/>
    <w:rsid w:val="000053F7"/>
    <w:rsid w:val="00011A8A"/>
    <w:rsid w:val="00012C99"/>
    <w:rsid w:val="00012F63"/>
    <w:rsid w:val="00013BA4"/>
    <w:rsid w:val="000143C6"/>
    <w:rsid w:val="00015C2B"/>
    <w:rsid w:val="000166B7"/>
    <w:rsid w:val="00017227"/>
    <w:rsid w:val="000172B7"/>
    <w:rsid w:val="00017CF3"/>
    <w:rsid w:val="00021CCF"/>
    <w:rsid w:val="00023E23"/>
    <w:rsid w:val="00023F38"/>
    <w:rsid w:val="00026175"/>
    <w:rsid w:val="00030B0F"/>
    <w:rsid w:val="00033154"/>
    <w:rsid w:val="0003606D"/>
    <w:rsid w:val="000368AD"/>
    <w:rsid w:val="0003790E"/>
    <w:rsid w:val="00040A9E"/>
    <w:rsid w:val="000431AB"/>
    <w:rsid w:val="00043D1D"/>
    <w:rsid w:val="00044AF0"/>
    <w:rsid w:val="00045A70"/>
    <w:rsid w:val="00046869"/>
    <w:rsid w:val="000470EA"/>
    <w:rsid w:val="00051F6E"/>
    <w:rsid w:val="000521F3"/>
    <w:rsid w:val="00053242"/>
    <w:rsid w:val="00054E50"/>
    <w:rsid w:val="00055BC2"/>
    <w:rsid w:val="00055EC7"/>
    <w:rsid w:val="00055FCE"/>
    <w:rsid w:val="00056EA1"/>
    <w:rsid w:val="000570CE"/>
    <w:rsid w:val="000606C7"/>
    <w:rsid w:val="00062B21"/>
    <w:rsid w:val="00063167"/>
    <w:rsid w:val="0006397C"/>
    <w:rsid w:val="000654E9"/>
    <w:rsid w:val="00066A34"/>
    <w:rsid w:val="000710D7"/>
    <w:rsid w:val="0007218A"/>
    <w:rsid w:val="000753E3"/>
    <w:rsid w:val="0007598E"/>
    <w:rsid w:val="00075DD8"/>
    <w:rsid w:val="00081268"/>
    <w:rsid w:val="0008180B"/>
    <w:rsid w:val="00081CC6"/>
    <w:rsid w:val="00084EC7"/>
    <w:rsid w:val="00085055"/>
    <w:rsid w:val="00086337"/>
    <w:rsid w:val="00086827"/>
    <w:rsid w:val="0008745D"/>
    <w:rsid w:val="00090D47"/>
    <w:rsid w:val="0009165A"/>
    <w:rsid w:val="000929CE"/>
    <w:rsid w:val="00092DF8"/>
    <w:rsid w:val="00093882"/>
    <w:rsid w:val="000938F2"/>
    <w:rsid w:val="00093F41"/>
    <w:rsid w:val="000956EE"/>
    <w:rsid w:val="00095F63"/>
    <w:rsid w:val="0009741D"/>
    <w:rsid w:val="000A0598"/>
    <w:rsid w:val="000A0676"/>
    <w:rsid w:val="000A0A7B"/>
    <w:rsid w:val="000A0B09"/>
    <w:rsid w:val="000A28AA"/>
    <w:rsid w:val="000A402C"/>
    <w:rsid w:val="000A6855"/>
    <w:rsid w:val="000A6DAF"/>
    <w:rsid w:val="000A7DF1"/>
    <w:rsid w:val="000A7E7F"/>
    <w:rsid w:val="000A7FDA"/>
    <w:rsid w:val="000B09F3"/>
    <w:rsid w:val="000B26C9"/>
    <w:rsid w:val="000B2889"/>
    <w:rsid w:val="000B2F56"/>
    <w:rsid w:val="000B3B14"/>
    <w:rsid w:val="000B7A5A"/>
    <w:rsid w:val="000B7B03"/>
    <w:rsid w:val="000B7FAC"/>
    <w:rsid w:val="000C0F29"/>
    <w:rsid w:val="000C1EC8"/>
    <w:rsid w:val="000C3068"/>
    <w:rsid w:val="000C4FAB"/>
    <w:rsid w:val="000C58F7"/>
    <w:rsid w:val="000C6360"/>
    <w:rsid w:val="000C6485"/>
    <w:rsid w:val="000C6F10"/>
    <w:rsid w:val="000C7111"/>
    <w:rsid w:val="000C792C"/>
    <w:rsid w:val="000C7938"/>
    <w:rsid w:val="000C7B58"/>
    <w:rsid w:val="000C7E83"/>
    <w:rsid w:val="000D0874"/>
    <w:rsid w:val="000D2026"/>
    <w:rsid w:val="000D3254"/>
    <w:rsid w:val="000D4E70"/>
    <w:rsid w:val="000D50D6"/>
    <w:rsid w:val="000D54B3"/>
    <w:rsid w:val="000D7D32"/>
    <w:rsid w:val="000E032F"/>
    <w:rsid w:val="000E1449"/>
    <w:rsid w:val="000E4DF9"/>
    <w:rsid w:val="000E54F7"/>
    <w:rsid w:val="000E6F63"/>
    <w:rsid w:val="000E7587"/>
    <w:rsid w:val="000E7A61"/>
    <w:rsid w:val="000E7DB9"/>
    <w:rsid w:val="000F01F3"/>
    <w:rsid w:val="000F1532"/>
    <w:rsid w:val="000F1973"/>
    <w:rsid w:val="000F336D"/>
    <w:rsid w:val="000F423C"/>
    <w:rsid w:val="000F5016"/>
    <w:rsid w:val="000F6E97"/>
    <w:rsid w:val="001004CD"/>
    <w:rsid w:val="00100761"/>
    <w:rsid w:val="0010234A"/>
    <w:rsid w:val="001035BD"/>
    <w:rsid w:val="0010390F"/>
    <w:rsid w:val="001067FC"/>
    <w:rsid w:val="00110B94"/>
    <w:rsid w:val="00111020"/>
    <w:rsid w:val="00111D70"/>
    <w:rsid w:val="001205FB"/>
    <w:rsid w:val="00123FA0"/>
    <w:rsid w:val="00127C14"/>
    <w:rsid w:val="00130BA6"/>
    <w:rsid w:val="00130E04"/>
    <w:rsid w:val="0013160D"/>
    <w:rsid w:val="00131B95"/>
    <w:rsid w:val="00132F0D"/>
    <w:rsid w:val="00135AD9"/>
    <w:rsid w:val="001400C1"/>
    <w:rsid w:val="0014211A"/>
    <w:rsid w:val="00142F13"/>
    <w:rsid w:val="0014546D"/>
    <w:rsid w:val="00145BA1"/>
    <w:rsid w:val="00146747"/>
    <w:rsid w:val="00153291"/>
    <w:rsid w:val="00154982"/>
    <w:rsid w:val="001561D7"/>
    <w:rsid w:val="00156FFE"/>
    <w:rsid w:val="001605E1"/>
    <w:rsid w:val="00162B8D"/>
    <w:rsid w:val="00162DC3"/>
    <w:rsid w:val="00163B93"/>
    <w:rsid w:val="00164109"/>
    <w:rsid w:val="00164761"/>
    <w:rsid w:val="0017043F"/>
    <w:rsid w:val="001716CE"/>
    <w:rsid w:val="0017197C"/>
    <w:rsid w:val="001719B8"/>
    <w:rsid w:val="00172426"/>
    <w:rsid w:val="001727EE"/>
    <w:rsid w:val="001752FD"/>
    <w:rsid w:val="00175E07"/>
    <w:rsid w:val="00176E3C"/>
    <w:rsid w:val="00177A4F"/>
    <w:rsid w:val="00182E9A"/>
    <w:rsid w:val="00183256"/>
    <w:rsid w:val="00183A1A"/>
    <w:rsid w:val="00183ADC"/>
    <w:rsid w:val="00183C3D"/>
    <w:rsid w:val="00184EF7"/>
    <w:rsid w:val="00185002"/>
    <w:rsid w:val="00185E9D"/>
    <w:rsid w:val="001874F2"/>
    <w:rsid w:val="00193703"/>
    <w:rsid w:val="001A09DB"/>
    <w:rsid w:val="001A131E"/>
    <w:rsid w:val="001A13E6"/>
    <w:rsid w:val="001A3D8D"/>
    <w:rsid w:val="001A4465"/>
    <w:rsid w:val="001A45CC"/>
    <w:rsid w:val="001A4E63"/>
    <w:rsid w:val="001A5794"/>
    <w:rsid w:val="001A5D61"/>
    <w:rsid w:val="001A6083"/>
    <w:rsid w:val="001B0EB5"/>
    <w:rsid w:val="001B3078"/>
    <w:rsid w:val="001B319A"/>
    <w:rsid w:val="001B3AFE"/>
    <w:rsid w:val="001B6F0C"/>
    <w:rsid w:val="001B7BA8"/>
    <w:rsid w:val="001C0085"/>
    <w:rsid w:val="001C19FB"/>
    <w:rsid w:val="001C1EB9"/>
    <w:rsid w:val="001C323E"/>
    <w:rsid w:val="001C5348"/>
    <w:rsid w:val="001C5D43"/>
    <w:rsid w:val="001D1B41"/>
    <w:rsid w:val="001D2208"/>
    <w:rsid w:val="001D221C"/>
    <w:rsid w:val="001D3F8B"/>
    <w:rsid w:val="001D6E20"/>
    <w:rsid w:val="001D6F2B"/>
    <w:rsid w:val="001D70BC"/>
    <w:rsid w:val="001E0776"/>
    <w:rsid w:val="001E1E01"/>
    <w:rsid w:val="001E20A9"/>
    <w:rsid w:val="001E2C29"/>
    <w:rsid w:val="001E2DEA"/>
    <w:rsid w:val="001E5260"/>
    <w:rsid w:val="001E6579"/>
    <w:rsid w:val="001E6D73"/>
    <w:rsid w:val="001E75AF"/>
    <w:rsid w:val="001F08AF"/>
    <w:rsid w:val="001F3E2C"/>
    <w:rsid w:val="002009E5"/>
    <w:rsid w:val="002045C7"/>
    <w:rsid w:val="0020514F"/>
    <w:rsid w:val="0020749D"/>
    <w:rsid w:val="00207E78"/>
    <w:rsid w:val="002134D9"/>
    <w:rsid w:val="0021392F"/>
    <w:rsid w:val="00214C99"/>
    <w:rsid w:val="002167D8"/>
    <w:rsid w:val="00216DF9"/>
    <w:rsid w:val="0021759F"/>
    <w:rsid w:val="00221E08"/>
    <w:rsid w:val="00223579"/>
    <w:rsid w:val="00223F1A"/>
    <w:rsid w:val="00225B87"/>
    <w:rsid w:val="00227B9D"/>
    <w:rsid w:val="00231318"/>
    <w:rsid w:val="002319FD"/>
    <w:rsid w:val="00231AB7"/>
    <w:rsid w:val="00232728"/>
    <w:rsid w:val="002350F3"/>
    <w:rsid w:val="00235458"/>
    <w:rsid w:val="00235E96"/>
    <w:rsid w:val="002371D3"/>
    <w:rsid w:val="00240A52"/>
    <w:rsid w:val="002414F4"/>
    <w:rsid w:val="00242EDA"/>
    <w:rsid w:val="00244765"/>
    <w:rsid w:val="0024484E"/>
    <w:rsid w:val="002448F8"/>
    <w:rsid w:val="00245971"/>
    <w:rsid w:val="00245F64"/>
    <w:rsid w:val="00246737"/>
    <w:rsid w:val="002467A8"/>
    <w:rsid w:val="00247D7B"/>
    <w:rsid w:val="00250F1D"/>
    <w:rsid w:val="00252E80"/>
    <w:rsid w:val="00252F3E"/>
    <w:rsid w:val="002550F8"/>
    <w:rsid w:val="00260A3B"/>
    <w:rsid w:val="00260E1F"/>
    <w:rsid w:val="0026113F"/>
    <w:rsid w:val="0026167D"/>
    <w:rsid w:val="00262E4E"/>
    <w:rsid w:val="00262F90"/>
    <w:rsid w:val="00263941"/>
    <w:rsid w:val="00265999"/>
    <w:rsid w:val="00265A1E"/>
    <w:rsid w:val="0026634A"/>
    <w:rsid w:val="00266776"/>
    <w:rsid w:val="002670F4"/>
    <w:rsid w:val="002672D8"/>
    <w:rsid w:val="00267A4C"/>
    <w:rsid w:val="002700B9"/>
    <w:rsid w:val="00270125"/>
    <w:rsid w:val="002707DD"/>
    <w:rsid w:val="002720EB"/>
    <w:rsid w:val="002747A4"/>
    <w:rsid w:val="0027797E"/>
    <w:rsid w:val="002833F3"/>
    <w:rsid w:val="0028463F"/>
    <w:rsid w:val="00284B86"/>
    <w:rsid w:val="00284D2D"/>
    <w:rsid w:val="00292999"/>
    <w:rsid w:val="0029598E"/>
    <w:rsid w:val="00295B21"/>
    <w:rsid w:val="002970BA"/>
    <w:rsid w:val="00297521"/>
    <w:rsid w:val="002979E3"/>
    <w:rsid w:val="00297C34"/>
    <w:rsid w:val="002A3583"/>
    <w:rsid w:val="002A4B01"/>
    <w:rsid w:val="002A58BA"/>
    <w:rsid w:val="002A6A79"/>
    <w:rsid w:val="002A7281"/>
    <w:rsid w:val="002B21FD"/>
    <w:rsid w:val="002B39A2"/>
    <w:rsid w:val="002B4FA2"/>
    <w:rsid w:val="002B6959"/>
    <w:rsid w:val="002C1E81"/>
    <w:rsid w:val="002C283B"/>
    <w:rsid w:val="002C371A"/>
    <w:rsid w:val="002C5B01"/>
    <w:rsid w:val="002C5CDB"/>
    <w:rsid w:val="002C6BE1"/>
    <w:rsid w:val="002C7444"/>
    <w:rsid w:val="002D13DE"/>
    <w:rsid w:val="002D2192"/>
    <w:rsid w:val="002D21B4"/>
    <w:rsid w:val="002D589D"/>
    <w:rsid w:val="002D5B4A"/>
    <w:rsid w:val="002E0665"/>
    <w:rsid w:val="002E2127"/>
    <w:rsid w:val="002E2735"/>
    <w:rsid w:val="002E3EE8"/>
    <w:rsid w:val="002E487B"/>
    <w:rsid w:val="002E4B7A"/>
    <w:rsid w:val="002E4DA7"/>
    <w:rsid w:val="002E4DAC"/>
    <w:rsid w:val="002E51D7"/>
    <w:rsid w:val="002E5D20"/>
    <w:rsid w:val="002E7077"/>
    <w:rsid w:val="002E760B"/>
    <w:rsid w:val="002F0749"/>
    <w:rsid w:val="002F177E"/>
    <w:rsid w:val="002F2D62"/>
    <w:rsid w:val="002F2DB7"/>
    <w:rsid w:val="002F557F"/>
    <w:rsid w:val="00300364"/>
    <w:rsid w:val="00305D94"/>
    <w:rsid w:val="003153CE"/>
    <w:rsid w:val="00315A41"/>
    <w:rsid w:val="003162A0"/>
    <w:rsid w:val="0031679D"/>
    <w:rsid w:val="00317703"/>
    <w:rsid w:val="003222DD"/>
    <w:rsid w:val="003223E8"/>
    <w:rsid w:val="00322A2F"/>
    <w:rsid w:val="0033138A"/>
    <w:rsid w:val="0033165C"/>
    <w:rsid w:val="00333012"/>
    <w:rsid w:val="00333419"/>
    <w:rsid w:val="00334383"/>
    <w:rsid w:val="0033466D"/>
    <w:rsid w:val="00334A07"/>
    <w:rsid w:val="00335AC9"/>
    <w:rsid w:val="00335EDC"/>
    <w:rsid w:val="003364FE"/>
    <w:rsid w:val="00336E0D"/>
    <w:rsid w:val="00343438"/>
    <w:rsid w:val="00345F4E"/>
    <w:rsid w:val="003465AE"/>
    <w:rsid w:val="00347707"/>
    <w:rsid w:val="00350D4D"/>
    <w:rsid w:val="003515C1"/>
    <w:rsid w:val="0035203A"/>
    <w:rsid w:val="00352CF9"/>
    <w:rsid w:val="00353101"/>
    <w:rsid w:val="00353898"/>
    <w:rsid w:val="00354AB0"/>
    <w:rsid w:val="00354F4B"/>
    <w:rsid w:val="003555EE"/>
    <w:rsid w:val="003557F5"/>
    <w:rsid w:val="00355941"/>
    <w:rsid w:val="00355E03"/>
    <w:rsid w:val="0035699D"/>
    <w:rsid w:val="003616DE"/>
    <w:rsid w:val="003625F4"/>
    <w:rsid w:val="0036364A"/>
    <w:rsid w:val="00363FC1"/>
    <w:rsid w:val="00365126"/>
    <w:rsid w:val="00365632"/>
    <w:rsid w:val="003672F7"/>
    <w:rsid w:val="00370ED1"/>
    <w:rsid w:val="003753FA"/>
    <w:rsid w:val="00382003"/>
    <w:rsid w:val="00382A52"/>
    <w:rsid w:val="0038419D"/>
    <w:rsid w:val="00384387"/>
    <w:rsid w:val="003847A7"/>
    <w:rsid w:val="00385ADE"/>
    <w:rsid w:val="00386E58"/>
    <w:rsid w:val="00390EC6"/>
    <w:rsid w:val="00392441"/>
    <w:rsid w:val="003932D1"/>
    <w:rsid w:val="00395084"/>
    <w:rsid w:val="003963DF"/>
    <w:rsid w:val="00396536"/>
    <w:rsid w:val="00396610"/>
    <w:rsid w:val="00396E74"/>
    <w:rsid w:val="00397A0F"/>
    <w:rsid w:val="003A016D"/>
    <w:rsid w:val="003A13C4"/>
    <w:rsid w:val="003A33B7"/>
    <w:rsid w:val="003A3D1A"/>
    <w:rsid w:val="003A40C2"/>
    <w:rsid w:val="003A6806"/>
    <w:rsid w:val="003A74C4"/>
    <w:rsid w:val="003A7ABB"/>
    <w:rsid w:val="003B186B"/>
    <w:rsid w:val="003B1EE4"/>
    <w:rsid w:val="003B5CE4"/>
    <w:rsid w:val="003C07C5"/>
    <w:rsid w:val="003C4424"/>
    <w:rsid w:val="003C5F36"/>
    <w:rsid w:val="003C63EA"/>
    <w:rsid w:val="003C6C0E"/>
    <w:rsid w:val="003C6FBA"/>
    <w:rsid w:val="003C7EFF"/>
    <w:rsid w:val="003D041F"/>
    <w:rsid w:val="003D0BA3"/>
    <w:rsid w:val="003D0C8C"/>
    <w:rsid w:val="003D0FE6"/>
    <w:rsid w:val="003D241B"/>
    <w:rsid w:val="003D2E3D"/>
    <w:rsid w:val="003D3EE7"/>
    <w:rsid w:val="003D4F83"/>
    <w:rsid w:val="003D622C"/>
    <w:rsid w:val="003E19C3"/>
    <w:rsid w:val="003E201D"/>
    <w:rsid w:val="003E24A6"/>
    <w:rsid w:val="003E2522"/>
    <w:rsid w:val="003E3B6C"/>
    <w:rsid w:val="003E3F1B"/>
    <w:rsid w:val="003E41BC"/>
    <w:rsid w:val="003E5369"/>
    <w:rsid w:val="003E5DB2"/>
    <w:rsid w:val="003E61FA"/>
    <w:rsid w:val="003E74C7"/>
    <w:rsid w:val="003E77AC"/>
    <w:rsid w:val="003F0C4B"/>
    <w:rsid w:val="003F2F35"/>
    <w:rsid w:val="003F3729"/>
    <w:rsid w:val="003F3F41"/>
    <w:rsid w:val="003F6D87"/>
    <w:rsid w:val="003F76D7"/>
    <w:rsid w:val="00400AE3"/>
    <w:rsid w:val="0040696F"/>
    <w:rsid w:val="00407E55"/>
    <w:rsid w:val="004102AB"/>
    <w:rsid w:val="004106F9"/>
    <w:rsid w:val="004111C2"/>
    <w:rsid w:val="00411885"/>
    <w:rsid w:val="004156B1"/>
    <w:rsid w:val="0042007A"/>
    <w:rsid w:val="004209A5"/>
    <w:rsid w:val="00420FC9"/>
    <w:rsid w:val="00422106"/>
    <w:rsid w:val="004226EE"/>
    <w:rsid w:val="004243BD"/>
    <w:rsid w:val="004252F6"/>
    <w:rsid w:val="00427528"/>
    <w:rsid w:val="00431BEE"/>
    <w:rsid w:val="00434EEB"/>
    <w:rsid w:val="004376F5"/>
    <w:rsid w:val="004409C9"/>
    <w:rsid w:val="00441132"/>
    <w:rsid w:val="004421FA"/>
    <w:rsid w:val="00447189"/>
    <w:rsid w:val="00447EF5"/>
    <w:rsid w:val="004517B9"/>
    <w:rsid w:val="00452649"/>
    <w:rsid w:val="00452CF7"/>
    <w:rsid w:val="00453A8C"/>
    <w:rsid w:val="004540B7"/>
    <w:rsid w:val="00461E37"/>
    <w:rsid w:val="00462232"/>
    <w:rsid w:val="0046426C"/>
    <w:rsid w:val="00464A2D"/>
    <w:rsid w:val="00464DDC"/>
    <w:rsid w:val="004656A3"/>
    <w:rsid w:val="004700DF"/>
    <w:rsid w:val="004707D8"/>
    <w:rsid w:val="00472117"/>
    <w:rsid w:val="004731A5"/>
    <w:rsid w:val="004735A9"/>
    <w:rsid w:val="00473FB5"/>
    <w:rsid w:val="00473FE4"/>
    <w:rsid w:val="00475708"/>
    <w:rsid w:val="004758A0"/>
    <w:rsid w:val="00475A61"/>
    <w:rsid w:val="0047735B"/>
    <w:rsid w:val="0047790F"/>
    <w:rsid w:val="0048549E"/>
    <w:rsid w:val="0048567E"/>
    <w:rsid w:val="00486E58"/>
    <w:rsid w:val="00486F5E"/>
    <w:rsid w:val="00490B87"/>
    <w:rsid w:val="00492775"/>
    <w:rsid w:val="00492AD4"/>
    <w:rsid w:val="00492E6F"/>
    <w:rsid w:val="00492FF8"/>
    <w:rsid w:val="00493489"/>
    <w:rsid w:val="00493CF7"/>
    <w:rsid w:val="00494064"/>
    <w:rsid w:val="00495920"/>
    <w:rsid w:val="0049613A"/>
    <w:rsid w:val="00496D98"/>
    <w:rsid w:val="00497C16"/>
    <w:rsid w:val="004A20B2"/>
    <w:rsid w:val="004A2C26"/>
    <w:rsid w:val="004A3C6F"/>
    <w:rsid w:val="004A6964"/>
    <w:rsid w:val="004B0862"/>
    <w:rsid w:val="004B1B72"/>
    <w:rsid w:val="004B1F99"/>
    <w:rsid w:val="004B2672"/>
    <w:rsid w:val="004B3442"/>
    <w:rsid w:val="004B398C"/>
    <w:rsid w:val="004B46B9"/>
    <w:rsid w:val="004B490E"/>
    <w:rsid w:val="004C0FE9"/>
    <w:rsid w:val="004C1BEF"/>
    <w:rsid w:val="004C2CCD"/>
    <w:rsid w:val="004C3F3B"/>
    <w:rsid w:val="004C4009"/>
    <w:rsid w:val="004C55E2"/>
    <w:rsid w:val="004C5A44"/>
    <w:rsid w:val="004C5B0E"/>
    <w:rsid w:val="004D0BC3"/>
    <w:rsid w:val="004D12FA"/>
    <w:rsid w:val="004D17B5"/>
    <w:rsid w:val="004D284B"/>
    <w:rsid w:val="004D4729"/>
    <w:rsid w:val="004D544D"/>
    <w:rsid w:val="004D71BD"/>
    <w:rsid w:val="004D71D5"/>
    <w:rsid w:val="004E1233"/>
    <w:rsid w:val="004E14F8"/>
    <w:rsid w:val="004E1A7C"/>
    <w:rsid w:val="004E2AC1"/>
    <w:rsid w:val="004E31E7"/>
    <w:rsid w:val="004E3903"/>
    <w:rsid w:val="004E3FA3"/>
    <w:rsid w:val="004E4323"/>
    <w:rsid w:val="004E470C"/>
    <w:rsid w:val="004E61F1"/>
    <w:rsid w:val="004E62C0"/>
    <w:rsid w:val="004E65A9"/>
    <w:rsid w:val="004F0333"/>
    <w:rsid w:val="004F068C"/>
    <w:rsid w:val="004F691B"/>
    <w:rsid w:val="004F795A"/>
    <w:rsid w:val="004F7EE5"/>
    <w:rsid w:val="005000E0"/>
    <w:rsid w:val="00505A13"/>
    <w:rsid w:val="00505CA8"/>
    <w:rsid w:val="00506C82"/>
    <w:rsid w:val="00506CAA"/>
    <w:rsid w:val="005076C4"/>
    <w:rsid w:val="00510084"/>
    <w:rsid w:val="00512ADF"/>
    <w:rsid w:val="005146CF"/>
    <w:rsid w:val="0051486F"/>
    <w:rsid w:val="005157F1"/>
    <w:rsid w:val="00515E9B"/>
    <w:rsid w:val="0051601A"/>
    <w:rsid w:val="0051666A"/>
    <w:rsid w:val="005202FC"/>
    <w:rsid w:val="00520423"/>
    <w:rsid w:val="00520771"/>
    <w:rsid w:val="00522213"/>
    <w:rsid w:val="00522A8F"/>
    <w:rsid w:val="00522E90"/>
    <w:rsid w:val="0052596A"/>
    <w:rsid w:val="0052743E"/>
    <w:rsid w:val="00527C80"/>
    <w:rsid w:val="0053033C"/>
    <w:rsid w:val="005304A8"/>
    <w:rsid w:val="005317B0"/>
    <w:rsid w:val="00531ED9"/>
    <w:rsid w:val="00532E36"/>
    <w:rsid w:val="00533BDE"/>
    <w:rsid w:val="00537C1E"/>
    <w:rsid w:val="005415BA"/>
    <w:rsid w:val="005420CB"/>
    <w:rsid w:val="00543A6D"/>
    <w:rsid w:val="00544DA7"/>
    <w:rsid w:val="005463B2"/>
    <w:rsid w:val="00550672"/>
    <w:rsid w:val="005513DC"/>
    <w:rsid w:val="00551A1C"/>
    <w:rsid w:val="005576D6"/>
    <w:rsid w:val="005578C0"/>
    <w:rsid w:val="005608F8"/>
    <w:rsid w:val="00560A9D"/>
    <w:rsid w:val="00561A1B"/>
    <w:rsid w:val="0056302A"/>
    <w:rsid w:val="0056551F"/>
    <w:rsid w:val="00565D86"/>
    <w:rsid w:val="00565E5E"/>
    <w:rsid w:val="00566CD8"/>
    <w:rsid w:val="00567DC8"/>
    <w:rsid w:val="0057066D"/>
    <w:rsid w:val="00570936"/>
    <w:rsid w:val="00570B66"/>
    <w:rsid w:val="00570E7C"/>
    <w:rsid w:val="00571C6F"/>
    <w:rsid w:val="00571D6A"/>
    <w:rsid w:val="00571E06"/>
    <w:rsid w:val="0057224A"/>
    <w:rsid w:val="00572B9F"/>
    <w:rsid w:val="005742B4"/>
    <w:rsid w:val="00574C6A"/>
    <w:rsid w:val="00574D2B"/>
    <w:rsid w:val="005755B7"/>
    <w:rsid w:val="0057593B"/>
    <w:rsid w:val="0057628A"/>
    <w:rsid w:val="0057649B"/>
    <w:rsid w:val="005778AF"/>
    <w:rsid w:val="00580753"/>
    <w:rsid w:val="00581545"/>
    <w:rsid w:val="005839F5"/>
    <w:rsid w:val="00584D59"/>
    <w:rsid w:val="005854BA"/>
    <w:rsid w:val="005858D2"/>
    <w:rsid w:val="0058667F"/>
    <w:rsid w:val="00586FC8"/>
    <w:rsid w:val="0058711C"/>
    <w:rsid w:val="00587DA0"/>
    <w:rsid w:val="005939D5"/>
    <w:rsid w:val="00593C0A"/>
    <w:rsid w:val="00595B7C"/>
    <w:rsid w:val="005A1417"/>
    <w:rsid w:val="005A23D9"/>
    <w:rsid w:val="005A5329"/>
    <w:rsid w:val="005A6FD6"/>
    <w:rsid w:val="005B1326"/>
    <w:rsid w:val="005B1E73"/>
    <w:rsid w:val="005B295A"/>
    <w:rsid w:val="005B3EC7"/>
    <w:rsid w:val="005C3266"/>
    <w:rsid w:val="005C3420"/>
    <w:rsid w:val="005C45EF"/>
    <w:rsid w:val="005C49FD"/>
    <w:rsid w:val="005C4EE1"/>
    <w:rsid w:val="005C63E3"/>
    <w:rsid w:val="005C6688"/>
    <w:rsid w:val="005D106A"/>
    <w:rsid w:val="005D1E78"/>
    <w:rsid w:val="005D2DD9"/>
    <w:rsid w:val="005D5A2D"/>
    <w:rsid w:val="005D7797"/>
    <w:rsid w:val="005E09DF"/>
    <w:rsid w:val="005E18CA"/>
    <w:rsid w:val="005E1B8A"/>
    <w:rsid w:val="005E2D32"/>
    <w:rsid w:val="005E2E78"/>
    <w:rsid w:val="005E5684"/>
    <w:rsid w:val="005E5E53"/>
    <w:rsid w:val="005E6E12"/>
    <w:rsid w:val="005E7B33"/>
    <w:rsid w:val="005F0FE6"/>
    <w:rsid w:val="005F1500"/>
    <w:rsid w:val="005F15CD"/>
    <w:rsid w:val="005F2163"/>
    <w:rsid w:val="005F3076"/>
    <w:rsid w:val="005F5792"/>
    <w:rsid w:val="005F6971"/>
    <w:rsid w:val="00600315"/>
    <w:rsid w:val="00600DF8"/>
    <w:rsid w:val="00601579"/>
    <w:rsid w:val="0060264D"/>
    <w:rsid w:val="0060337E"/>
    <w:rsid w:val="0060477F"/>
    <w:rsid w:val="006048B1"/>
    <w:rsid w:val="00605010"/>
    <w:rsid w:val="0060579B"/>
    <w:rsid w:val="00607D12"/>
    <w:rsid w:val="0061091F"/>
    <w:rsid w:val="006143C3"/>
    <w:rsid w:val="006148B1"/>
    <w:rsid w:val="006204F0"/>
    <w:rsid w:val="006212C3"/>
    <w:rsid w:val="006215ED"/>
    <w:rsid w:val="0062228D"/>
    <w:rsid w:val="006235F9"/>
    <w:rsid w:val="006244C8"/>
    <w:rsid w:val="006247F6"/>
    <w:rsid w:val="00624F79"/>
    <w:rsid w:val="00625878"/>
    <w:rsid w:val="0062675E"/>
    <w:rsid w:val="00627160"/>
    <w:rsid w:val="00630240"/>
    <w:rsid w:val="00630CA5"/>
    <w:rsid w:val="0063115A"/>
    <w:rsid w:val="00633529"/>
    <w:rsid w:val="00637E2A"/>
    <w:rsid w:val="00642E37"/>
    <w:rsid w:val="00643561"/>
    <w:rsid w:val="00645E8E"/>
    <w:rsid w:val="006461C6"/>
    <w:rsid w:val="00647082"/>
    <w:rsid w:val="00647815"/>
    <w:rsid w:val="00647D38"/>
    <w:rsid w:val="0065087F"/>
    <w:rsid w:val="00651136"/>
    <w:rsid w:val="00651250"/>
    <w:rsid w:val="00651296"/>
    <w:rsid w:val="00651A62"/>
    <w:rsid w:val="00651F4B"/>
    <w:rsid w:val="00653227"/>
    <w:rsid w:val="006615B9"/>
    <w:rsid w:val="00661CB6"/>
    <w:rsid w:val="006648E1"/>
    <w:rsid w:val="00664E56"/>
    <w:rsid w:val="00666E17"/>
    <w:rsid w:val="00667726"/>
    <w:rsid w:val="00667F73"/>
    <w:rsid w:val="00671718"/>
    <w:rsid w:val="00671F45"/>
    <w:rsid w:val="00672F77"/>
    <w:rsid w:val="006749F4"/>
    <w:rsid w:val="006905F4"/>
    <w:rsid w:val="00690FCB"/>
    <w:rsid w:val="006914CB"/>
    <w:rsid w:val="006917E5"/>
    <w:rsid w:val="0069277F"/>
    <w:rsid w:val="00692AEB"/>
    <w:rsid w:val="00693F9A"/>
    <w:rsid w:val="0069500B"/>
    <w:rsid w:val="00695D62"/>
    <w:rsid w:val="0069765D"/>
    <w:rsid w:val="006A0D89"/>
    <w:rsid w:val="006A1E76"/>
    <w:rsid w:val="006A2661"/>
    <w:rsid w:val="006A31CF"/>
    <w:rsid w:val="006A3666"/>
    <w:rsid w:val="006A455B"/>
    <w:rsid w:val="006A5D03"/>
    <w:rsid w:val="006A6DDA"/>
    <w:rsid w:val="006B05FF"/>
    <w:rsid w:val="006B1C87"/>
    <w:rsid w:val="006B1F41"/>
    <w:rsid w:val="006B24C8"/>
    <w:rsid w:val="006B27AD"/>
    <w:rsid w:val="006B2BD0"/>
    <w:rsid w:val="006B441F"/>
    <w:rsid w:val="006B4D43"/>
    <w:rsid w:val="006B53C9"/>
    <w:rsid w:val="006B5CD0"/>
    <w:rsid w:val="006B659D"/>
    <w:rsid w:val="006B7828"/>
    <w:rsid w:val="006C0658"/>
    <w:rsid w:val="006C0797"/>
    <w:rsid w:val="006C0DDF"/>
    <w:rsid w:val="006C13BB"/>
    <w:rsid w:val="006C2C90"/>
    <w:rsid w:val="006C3395"/>
    <w:rsid w:val="006C49D4"/>
    <w:rsid w:val="006C4CF3"/>
    <w:rsid w:val="006C4F98"/>
    <w:rsid w:val="006C5801"/>
    <w:rsid w:val="006C5D07"/>
    <w:rsid w:val="006C6079"/>
    <w:rsid w:val="006C700A"/>
    <w:rsid w:val="006C76A0"/>
    <w:rsid w:val="006D081A"/>
    <w:rsid w:val="006D0E60"/>
    <w:rsid w:val="006D37BB"/>
    <w:rsid w:val="006D4C58"/>
    <w:rsid w:val="006D4D1C"/>
    <w:rsid w:val="006D4F53"/>
    <w:rsid w:val="006D504D"/>
    <w:rsid w:val="006D508F"/>
    <w:rsid w:val="006E237D"/>
    <w:rsid w:val="006E320B"/>
    <w:rsid w:val="006E3CFE"/>
    <w:rsid w:val="006E72BD"/>
    <w:rsid w:val="006F075C"/>
    <w:rsid w:val="006F18ED"/>
    <w:rsid w:val="006F20F4"/>
    <w:rsid w:val="006F3724"/>
    <w:rsid w:val="006F568C"/>
    <w:rsid w:val="006F58A0"/>
    <w:rsid w:val="007012F3"/>
    <w:rsid w:val="00701839"/>
    <w:rsid w:val="00703923"/>
    <w:rsid w:val="00704341"/>
    <w:rsid w:val="00704AE7"/>
    <w:rsid w:val="00705C21"/>
    <w:rsid w:val="00707E49"/>
    <w:rsid w:val="00710F5A"/>
    <w:rsid w:val="00712F04"/>
    <w:rsid w:val="00714A41"/>
    <w:rsid w:val="00714C6B"/>
    <w:rsid w:val="00714D8B"/>
    <w:rsid w:val="00715CA3"/>
    <w:rsid w:val="00715E66"/>
    <w:rsid w:val="00716016"/>
    <w:rsid w:val="0071611C"/>
    <w:rsid w:val="0071633D"/>
    <w:rsid w:val="007167C8"/>
    <w:rsid w:val="007200ED"/>
    <w:rsid w:val="0072213D"/>
    <w:rsid w:val="00722373"/>
    <w:rsid w:val="00723B18"/>
    <w:rsid w:val="00725B7D"/>
    <w:rsid w:val="007274E7"/>
    <w:rsid w:val="00730C18"/>
    <w:rsid w:val="007319F1"/>
    <w:rsid w:val="0073372C"/>
    <w:rsid w:val="00736596"/>
    <w:rsid w:val="00740F82"/>
    <w:rsid w:val="007423DF"/>
    <w:rsid w:val="00743831"/>
    <w:rsid w:val="007444E0"/>
    <w:rsid w:val="00745460"/>
    <w:rsid w:val="00747F54"/>
    <w:rsid w:val="00750BD7"/>
    <w:rsid w:val="00751D3F"/>
    <w:rsid w:val="00753B8E"/>
    <w:rsid w:val="00754740"/>
    <w:rsid w:val="00756118"/>
    <w:rsid w:val="0076102A"/>
    <w:rsid w:val="007649B5"/>
    <w:rsid w:val="007661FB"/>
    <w:rsid w:val="00766A92"/>
    <w:rsid w:val="007703AE"/>
    <w:rsid w:val="00770937"/>
    <w:rsid w:val="007709BC"/>
    <w:rsid w:val="00773920"/>
    <w:rsid w:val="00773A81"/>
    <w:rsid w:val="007747AC"/>
    <w:rsid w:val="00774BB4"/>
    <w:rsid w:val="007756B3"/>
    <w:rsid w:val="00777137"/>
    <w:rsid w:val="00780936"/>
    <w:rsid w:val="00780A8C"/>
    <w:rsid w:val="0078136B"/>
    <w:rsid w:val="007816E4"/>
    <w:rsid w:val="00784203"/>
    <w:rsid w:val="007850AA"/>
    <w:rsid w:val="00786540"/>
    <w:rsid w:val="00787299"/>
    <w:rsid w:val="00787460"/>
    <w:rsid w:val="00787DE0"/>
    <w:rsid w:val="00791633"/>
    <w:rsid w:val="00791CCA"/>
    <w:rsid w:val="007921D4"/>
    <w:rsid w:val="0079560C"/>
    <w:rsid w:val="00797038"/>
    <w:rsid w:val="007A3716"/>
    <w:rsid w:val="007A3CB4"/>
    <w:rsid w:val="007A6E2E"/>
    <w:rsid w:val="007B10B9"/>
    <w:rsid w:val="007B1C16"/>
    <w:rsid w:val="007B340D"/>
    <w:rsid w:val="007B5E35"/>
    <w:rsid w:val="007B7A4A"/>
    <w:rsid w:val="007C0E00"/>
    <w:rsid w:val="007C22E7"/>
    <w:rsid w:val="007C266C"/>
    <w:rsid w:val="007C481B"/>
    <w:rsid w:val="007C62C7"/>
    <w:rsid w:val="007C664C"/>
    <w:rsid w:val="007C6A8C"/>
    <w:rsid w:val="007C6FAB"/>
    <w:rsid w:val="007D0452"/>
    <w:rsid w:val="007D0F65"/>
    <w:rsid w:val="007D14CA"/>
    <w:rsid w:val="007D6A45"/>
    <w:rsid w:val="007D754C"/>
    <w:rsid w:val="007D75C1"/>
    <w:rsid w:val="007D760A"/>
    <w:rsid w:val="007E0329"/>
    <w:rsid w:val="007E406B"/>
    <w:rsid w:val="007E4A6B"/>
    <w:rsid w:val="007E5242"/>
    <w:rsid w:val="007E6FA3"/>
    <w:rsid w:val="007F03E4"/>
    <w:rsid w:val="007F1E03"/>
    <w:rsid w:val="007F28BF"/>
    <w:rsid w:val="007F2FD1"/>
    <w:rsid w:val="007F3A8C"/>
    <w:rsid w:val="007F5629"/>
    <w:rsid w:val="007F59C0"/>
    <w:rsid w:val="00801203"/>
    <w:rsid w:val="00801AF4"/>
    <w:rsid w:val="00803A23"/>
    <w:rsid w:val="00803D7B"/>
    <w:rsid w:val="0080646B"/>
    <w:rsid w:val="00806631"/>
    <w:rsid w:val="0080767A"/>
    <w:rsid w:val="008109FF"/>
    <w:rsid w:val="0081179D"/>
    <w:rsid w:val="008130A3"/>
    <w:rsid w:val="0081493C"/>
    <w:rsid w:val="00816B22"/>
    <w:rsid w:val="00817DC6"/>
    <w:rsid w:val="0082053C"/>
    <w:rsid w:val="00821D11"/>
    <w:rsid w:val="00823E5E"/>
    <w:rsid w:val="008244DC"/>
    <w:rsid w:val="00826AE0"/>
    <w:rsid w:val="00830651"/>
    <w:rsid w:val="00832796"/>
    <w:rsid w:val="00833D64"/>
    <w:rsid w:val="008365FC"/>
    <w:rsid w:val="00837FEC"/>
    <w:rsid w:val="00840861"/>
    <w:rsid w:val="00840999"/>
    <w:rsid w:val="0084263B"/>
    <w:rsid w:val="008427AA"/>
    <w:rsid w:val="008442A1"/>
    <w:rsid w:val="00845DAC"/>
    <w:rsid w:val="008465C3"/>
    <w:rsid w:val="00850E95"/>
    <w:rsid w:val="00850EBF"/>
    <w:rsid w:val="00851BAB"/>
    <w:rsid w:val="00851E92"/>
    <w:rsid w:val="0085307D"/>
    <w:rsid w:val="00853A07"/>
    <w:rsid w:val="00854298"/>
    <w:rsid w:val="008546CF"/>
    <w:rsid w:val="00857584"/>
    <w:rsid w:val="00857AD6"/>
    <w:rsid w:val="00860469"/>
    <w:rsid w:val="00860987"/>
    <w:rsid w:val="00862120"/>
    <w:rsid w:val="0086259F"/>
    <w:rsid w:val="00862CD9"/>
    <w:rsid w:val="00863CD4"/>
    <w:rsid w:val="00865722"/>
    <w:rsid w:val="00865B81"/>
    <w:rsid w:val="00866AE5"/>
    <w:rsid w:val="00867766"/>
    <w:rsid w:val="00867C67"/>
    <w:rsid w:val="00871A20"/>
    <w:rsid w:val="00871DE1"/>
    <w:rsid w:val="008726B7"/>
    <w:rsid w:val="0087327F"/>
    <w:rsid w:val="008735BE"/>
    <w:rsid w:val="00873B67"/>
    <w:rsid w:val="008749AA"/>
    <w:rsid w:val="00874CB3"/>
    <w:rsid w:val="00874FFC"/>
    <w:rsid w:val="00877748"/>
    <w:rsid w:val="00882CF8"/>
    <w:rsid w:val="0088406A"/>
    <w:rsid w:val="00884F17"/>
    <w:rsid w:val="0088514C"/>
    <w:rsid w:val="00885F81"/>
    <w:rsid w:val="00886493"/>
    <w:rsid w:val="00886FCD"/>
    <w:rsid w:val="008922DB"/>
    <w:rsid w:val="00892A8C"/>
    <w:rsid w:val="00892B86"/>
    <w:rsid w:val="00893545"/>
    <w:rsid w:val="0089364B"/>
    <w:rsid w:val="00893DAE"/>
    <w:rsid w:val="00894A6D"/>
    <w:rsid w:val="00895A18"/>
    <w:rsid w:val="00896828"/>
    <w:rsid w:val="00896CAB"/>
    <w:rsid w:val="00896EFB"/>
    <w:rsid w:val="00897EEE"/>
    <w:rsid w:val="008A0716"/>
    <w:rsid w:val="008A3AA8"/>
    <w:rsid w:val="008A4679"/>
    <w:rsid w:val="008A56DE"/>
    <w:rsid w:val="008A66D9"/>
    <w:rsid w:val="008A7BDA"/>
    <w:rsid w:val="008B09A9"/>
    <w:rsid w:val="008B0A75"/>
    <w:rsid w:val="008B0C5C"/>
    <w:rsid w:val="008B193F"/>
    <w:rsid w:val="008B1A8A"/>
    <w:rsid w:val="008B480A"/>
    <w:rsid w:val="008B6753"/>
    <w:rsid w:val="008B6809"/>
    <w:rsid w:val="008C0A9D"/>
    <w:rsid w:val="008C1C9F"/>
    <w:rsid w:val="008C1D7E"/>
    <w:rsid w:val="008C22AC"/>
    <w:rsid w:val="008C24B6"/>
    <w:rsid w:val="008C2BD5"/>
    <w:rsid w:val="008C5AC9"/>
    <w:rsid w:val="008C5C62"/>
    <w:rsid w:val="008C7146"/>
    <w:rsid w:val="008D197F"/>
    <w:rsid w:val="008D20EB"/>
    <w:rsid w:val="008D3154"/>
    <w:rsid w:val="008D355F"/>
    <w:rsid w:val="008D4064"/>
    <w:rsid w:val="008D518F"/>
    <w:rsid w:val="008D532D"/>
    <w:rsid w:val="008D7684"/>
    <w:rsid w:val="008D789B"/>
    <w:rsid w:val="008E09A6"/>
    <w:rsid w:val="008E2198"/>
    <w:rsid w:val="008E3597"/>
    <w:rsid w:val="008E3C31"/>
    <w:rsid w:val="008E46B1"/>
    <w:rsid w:val="008E47D5"/>
    <w:rsid w:val="008E4EEB"/>
    <w:rsid w:val="008E7A6D"/>
    <w:rsid w:val="008F0513"/>
    <w:rsid w:val="008F1480"/>
    <w:rsid w:val="008F3F99"/>
    <w:rsid w:val="008F4F47"/>
    <w:rsid w:val="00901215"/>
    <w:rsid w:val="009021A0"/>
    <w:rsid w:val="009024E9"/>
    <w:rsid w:val="00902992"/>
    <w:rsid w:val="00904065"/>
    <w:rsid w:val="00912160"/>
    <w:rsid w:val="00912166"/>
    <w:rsid w:val="009129AF"/>
    <w:rsid w:val="00913FF0"/>
    <w:rsid w:val="00914EBA"/>
    <w:rsid w:val="00915F2F"/>
    <w:rsid w:val="0091678F"/>
    <w:rsid w:val="0091739B"/>
    <w:rsid w:val="009174CD"/>
    <w:rsid w:val="00922919"/>
    <w:rsid w:val="00924B6E"/>
    <w:rsid w:val="00925F83"/>
    <w:rsid w:val="00926B40"/>
    <w:rsid w:val="00927240"/>
    <w:rsid w:val="009279B7"/>
    <w:rsid w:val="00930881"/>
    <w:rsid w:val="00931BC5"/>
    <w:rsid w:val="00931D46"/>
    <w:rsid w:val="0093212E"/>
    <w:rsid w:val="00932C64"/>
    <w:rsid w:val="00932CAB"/>
    <w:rsid w:val="009350C6"/>
    <w:rsid w:val="00936DFF"/>
    <w:rsid w:val="00937DB0"/>
    <w:rsid w:val="00940E47"/>
    <w:rsid w:val="0094264F"/>
    <w:rsid w:val="00943701"/>
    <w:rsid w:val="00944061"/>
    <w:rsid w:val="009440F1"/>
    <w:rsid w:val="00944607"/>
    <w:rsid w:val="009450A9"/>
    <w:rsid w:val="00945FE6"/>
    <w:rsid w:val="00950D69"/>
    <w:rsid w:val="0095140E"/>
    <w:rsid w:val="0095160E"/>
    <w:rsid w:val="00953450"/>
    <w:rsid w:val="00953D1C"/>
    <w:rsid w:val="00954104"/>
    <w:rsid w:val="00954DD2"/>
    <w:rsid w:val="00955167"/>
    <w:rsid w:val="00956966"/>
    <w:rsid w:val="00963607"/>
    <w:rsid w:val="009648BC"/>
    <w:rsid w:val="0097170D"/>
    <w:rsid w:val="00971A05"/>
    <w:rsid w:val="00972210"/>
    <w:rsid w:val="009722FF"/>
    <w:rsid w:val="0097280F"/>
    <w:rsid w:val="009739AC"/>
    <w:rsid w:val="00973F4D"/>
    <w:rsid w:val="00974720"/>
    <w:rsid w:val="00974C86"/>
    <w:rsid w:val="00976CAA"/>
    <w:rsid w:val="0098038A"/>
    <w:rsid w:val="00982BF9"/>
    <w:rsid w:val="009858CD"/>
    <w:rsid w:val="00985A88"/>
    <w:rsid w:val="00986AD4"/>
    <w:rsid w:val="00987548"/>
    <w:rsid w:val="00990799"/>
    <w:rsid w:val="00993102"/>
    <w:rsid w:val="00993B10"/>
    <w:rsid w:val="00994705"/>
    <w:rsid w:val="0099564C"/>
    <w:rsid w:val="009A1714"/>
    <w:rsid w:val="009A242F"/>
    <w:rsid w:val="009A3C19"/>
    <w:rsid w:val="009A4A81"/>
    <w:rsid w:val="009A5035"/>
    <w:rsid w:val="009A5627"/>
    <w:rsid w:val="009A5DCC"/>
    <w:rsid w:val="009A71B6"/>
    <w:rsid w:val="009A7636"/>
    <w:rsid w:val="009B048E"/>
    <w:rsid w:val="009B14D2"/>
    <w:rsid w:val="009B20A5"/>
    <w:rsid w:val="009B2D37"/>
    <w:rsid w:val="009B3212"/>
    <w:rsid w:val="009B3C36"/>
    <w:rsid w:val="009B453C"/>
    <w:rsid w:val="009B5A1D"/>
    <w:rsid w:val="009B73B1"/>
    <w:rsid w:val="009B7B40"/>
    <w:rsid w:val="009C0D4F"/>
    <w:rsid w:val="009C0FFD"/>
    <w:rsid w:val="009C1DA4"/>
    <w:rsid w:val="009C23F2"/>
    <w:rsid w:val="009C2B2F"/>
    <w:rsid w:val="009C3B4E"/>
    <w:rsid w:val="009C44A4"/>
    <w:rsid w:val="009C4832"/>
    <w:rsid w:val="009C5C0B"/>
    <w:rsid w:val="009C5C2E"/>
    <w:rsid w:val="009C685E"/>
    <w:rsid w:val="009C6984"/>
    <w:rsid w:val="009C7CD1"/>
    <w:rsid w:val="009D00B7"/>
    <w:rsid w:val="009D3318"/>
    <w:rsid w:val="009D5768"/>
    <w:rsid w:val="009D5E6E"/>
    <w:rsid w:val="009D7E82"/>
    <w:rsid w:val="009E090F"/>
    <w:rsid w:val="009E30BE"/>
    <w:rsid w:val="009E3E41"/>
    <w:rsid w:val="009E4745"/>
    <w:rsid w:val="009E5565"/>
    <w:rsid w:val="009E69F5"/>
    <w:rsid w:val="009E7484"/>
    <w:rsid w:val="009E7E74"/>
    <w:rsid w:val="009F04F8"/>
    <w:rsid w:val="009F553A"/>
    <w:rsid w:val="009F6C82"/>
    <w:rsid w:val="00A01113"/>
    <w:rsid w:val="00A0134D"/>
    <w:rsid w:val="00A039A1"/>
    <w:rsid w:val="00A0593F"/>
    <w:rsid w:val="00A103F4"/>
    <w:rsid w:val="00A103F9"/>
    <w:rsid w:val="00A1089D"/>
    <w:rsid w:val="00A12989"/>
    <w:rsid w:val="00A12D66"/>
    <w:rsid w:val="00A13C7F"/>
    <w:rsid w:val="00A14AEB"/>
    <w:rsid w:val="00A16D0B"/>
    <w:rsid w:val="00A20C09"/>
    <w:rsid w:val="00A22D7F"/>
    <w:rsid w:val="00A24E7D"/>
    <w:rsid w:val="00A2676D"/>
    <w:rsid w:val="00A30A43"/>
    <w:rsid w:val="00A34406"/>
    <w:rsid w:val="00A36575"/>
    <w:rsid w:val="00A40949"/>
    <w:rsid w:val="00A40E0A"/>
    <w:rsid w:val="00A4218F"/>
    <w:rsid w:val="00A4363F"/>
    <w:rsid w:val="00A43E2E"/>
    <w:rsid w:val="00A444F2"/>
    <w:rsid w:val="00A45DA8"/>
    <w:rsid w:val="00A477BF"/>
    <w:rsid w:val="00A47F4D"/>
    <w:rsid w:val="00A5075C"/>
    <w:rsid w:val="00A5222F"/>
    <w:rsid w:val="00A5239A"/>
    <w:rsid w:val="00A535BF"/>
    <w:rsid w:val="00A53901"/>
    <w:rsid w:val="00A53F3A"/>
    <w:rsid w:val="00A56451"/>
    <w:rsid w:val="00A564B5"/>
    <w:rsid w:val="00A570D5"/>
    <w:rsid w:val="00A5714B"/>
    <w:rsid w:val="00A57DE0"/>
    <w:rsid w:val="00A60405"/>
    <w:rsid w:val="00A60B0D"/>
    <w:rsid w:val="00A6106B"/>
    <w:rsid w:val="00A638AF"/>
    <w:rsid w:val="00A66483"/>
    <w:rsid w:val="00A66877"/>
    <w:rsid w:val="00A718C2"/>
    <w:rsid w:val="00A71903"/>
    <w:rsid w:val="00A71A7F"/>
    <w:rsid w:val="00A72AA4"/>
    <w:rsid w:val="00A73E6F"/>
    <w:rsid w:val="00A7739A"/>
    <w:rsid w:val="00A77B1F"/>
    <w:rsid w:val="00A803F0"/>
    <w:rsid w:val="00A815D2"/>
    <w:rsid w:val="00A8398C"/>
    <w:rsid w:val="00A8464E"/>
    <w:rsid w:val="00A87F98"/>
    <w:rsid w:val="00A92A71"/>
    <w:rsid w:val="00A93AC8"/>
    <w:rsid w:val="00A95387"/>
    <w:rsid w:val="00A9604B"/>
    <w:rsid w:val="00A96896"/>
    <w:rsid w:val="00A96DAD"/>
    <w:rsid w:val="00A9743A"/>
    <w:rsid w:val="00A97FCE"/>
    <w:rsid w:val="00AA0484"/>
    <w:rsid w:val="00AA07D7"/>
    <w:rsid w:val="00AA2EB0"/>
    <w:rsid w:val="00AA35D3"/>
    <w:rsid w:val="00AA5569"/>
    <w:rsid w:val="00AA7C24"/>
    <w:rsid w:val="00AB0E9B"/>
    <w:rsid w:val="00AB1EBB"/>
    <w:rsid w:val="00AB1F52"/>
    <w:rsid w:val="00AB2217"/>
    <w:rsid w:val="00AB34F8"/>
    <w:rsid w:val="00AB3F84"/>
    <w:rsid w:val="00AB3FB5"/>
    <w:rsid w:val="00AB52E8"/>
    <w:rsid w:val="00AB583F"/>
    <w:rsid w:val="00AB5A62"/>
    <w:rsid w:val="00AB72A8"/>
    <w:rsid w:val="00AC04F1"/>
    <w:rsid w:val="00AC474C"/>
    <w:rsid w:val="00AD111B"/>
    <w:rsid w:val="00AD31D6"/>
    <w:rsid w:val="00AD5D58"/>
    <w:rsid w:val="00AD607B"/>
    <w:rsid w:val="00AD7F54"/>
    <w:rsid w:val="00AE2B86"/>
    <w:rsid w:val="00AE3C80"/>
    <w:rsid w:val="00AE3ECD"/>
    <w:rsid w:val="00AE40AE"/>
    <w:rsid w:val="00AE60F2"/>
    <w:rsid w:val="00AE694C"/>
    <w:rsid w:val="00AF35A4"/>
    <w:rsid w:val="00AF3F07"/>
    <w:rsid w:val="00AF538D"/>
    <w:rsid w:val="00AF5725"/>
    <w:rsid w:val="00AF716A"/>
    <w:rsid w:val="00AF7ED0"/>
    <w:rsid w:val="00B02671"/>
    <w:rsid w:val="00B0333A"/>
    <w:rsid w:val="00B03ADC"/>
    <w:rsid w:val="00B04056"/>
    <w:rsid w:val="00B042DF"/>
    <w:rsid w:val="00B0506F"/>
    <w:rsid w:val="00B06104"/>
    <w:rsid w:val="00B06138"/>
    <w:rsid w:val="00B0661E"/>
    <w:rsid w:val="00B0793D"/>
    <w:rsid w:val="00B10AA2"/>
    <w:rsid w:val="00B11196"/>
    <w:rsid w:val="00B11E23"/>
    <w:rsid w:val="00B1239F"/>
    <w:rsid w:val="00B12846"/>
    <w:rsid w:val="00B12971"/>
    <w:rsid w:val="00B15B08"/>
    <w:rsid w:val="00B161E1"/>
    <w:rsid w:val="00B16589"/>
    <w:rsid w:val="00B16AE1"/>
    <w:rsid w:val="00B17705"/>
    <w:rsid w:val="00B179A7"/>
    <w:rsid w:val="00B17E87"/>
    <w:rsid w:val="00B2011F"/>
    <w:rsid w:val="00B205B2"/>
    <w:rsid w:val="00B20FB8"/>
    <w:rsid w:val="00B21D19"/>
    <w:rsid w:val="00B246FB"/>
    <w:rsid w:val="00B24DAD"/>
    <w:rsid w:val="00B263B9"/>
    <w:rsid w:val="00B272B7"/>
    <w:rsid w:val="00B32754"/>
    <w:rsid w:val="00B330FA"/>
    <w:rsid w:val="00B33D9C"/>
    <w:rsid w:val="00B3535A"/>
    <w:rsid w:val="00B36459"/>
    <w:rsid w:val="00B3685C"/>
    <w:rsid w:val="00B36EB3"/>
    <w:rsid w:val="00B40086"/>
    <w:rsid w:val="00B41118"/>
    <w:rsid w:val="00B4162D"/>
    <w:rsid w:val="00B4260E"/>
    <w:rsid w:val="00B4311A"/>
    <w:rsid w:val="00B4326D"/>
    <w:rsid w:val="00B44CEA"/>
    <w:rsid w:val="00B450AF"/>
    <w:rsid w:val="00B46FAF"/>
    <w:rsid w:val="00B52306"/>
    <w:rsid w:val="00B52B93"/>
    <w:rsid w:val="00B54A7E"/>
    <w:rsid w:val="00B563A3"/>
    <w:rsid w:val="00B5792D"/>
    <w:rsid w:val="00B60202"/>
    <w:rsid w:val="00B60933"/>
    <w:rsid w:val="00B61758"/>
    <w:rsid w:val="00B61FAF"/>
    <w:rsid w:val="00B627D5"/>
    <w:rsid w:val="00B67815"/>
    <w:rsid w:val="00B70D2E"/>
    <w:rsid w:val="00B7173E"/>
    <w:rsid w:val="00B717A6"/>
    <w:rsid w:val="00B72269"/>
    <w:rsid w:val="00B73939"/>
    <w:rsid w:val="00B73B38"/>
    <w:rsid w:val="00B75801"/>
    <w:rsid w:val="00B75882"/>
    <w:rsid w:val="00B775C3"/>
    <w:rsid w:val="00B7761F"/>
    <w:rsid w:val="00B810A2"/>
    <w:rsid w:val="00B8260D"/>
    <w:rsid w:val="00B82657"/>
    <w:rsid w:val="00B828CC"/>
    <w:rsid w:val="00B82B6A"/>
    <w:rsid w:val="00B8350B"/>
    <w:rsid w:val="00B837A3"/>
    <w:rsid w:val="00B838D5"/>
    <w:rsid w:val="00B85783"/>
    <w:rsid w:val="00B91FF6"/>
    <w:rsid w:val="00B92541"/>
    <w:rsid w:val="00B927BE"/>
    <w:rsid w:val="00B93F28"/>
    <w:rsid w:val="00B95F02"/>
    <w:rsid w:val="00B961C2"/>
    <w:rsid w:val="00B97B72"/>
    <w:rsid w:val="00BA1114"/>
    <w:rsid w:val="00BA1CF3"/>
    <w:rsid w:val="00BA46B5"/>
    <w:rsid w:val="00BA58DA"/>
    <w:rsid w:val="00BA5B54"/>
    <w:rsid w:val="00BA65F6"/>
    <w:rsid w:val="00BA6B7F"/>
    <w:rsid w:val="00BA72DE"/>
    <w:rsid w:val="00BA7851"/>
    <w:rsid w:val="00BB0621"/>
    <w:rsid w:val="00BB1186"/>
    <w:rsid w:val="00BB2F1D"/>
    <w:rsid w:val="00BB5C73"/>
    <w:rsid w:val="00BB776C"/>
    <w:rsid w:val="00BB7BF3"/>
    <w:rsid w:val="00BB7DB4"/>
    <w:rsid w:val="00BC1F46"/>
    <w:rsid w:val="00BC24B3"/>
    <w:rsid w:val="00BC4264"/>
    <w:rsid w:val="00BC4E08"/>
    <w:rsid w:val="00BD021C"/>
    <w:rsid w:val="00BD2B69"/>
    <w:rsid w:val="00BE2DBC"/>
    <w:rsid w:val="00BE58AD"/>
    <w:rsid w:val="00BE7469"/>
    <w:rsid w:val="00BF0D96"/>
    <w:rsid w:val="00BF12AD"/>
    <w:rsid w:val="00BF2E43"/>
    <w:rsid w:val="00BF62EA"/>
    <w:rsid w:val="00BF6CA9"/>
    <w:rsid w:val="00BF6FC4"/>
    <w:rsid w:val="00BF7D7D"/>
    <w:rsid w:val="00C02808"/>
    <w:rsid w:val="00C1076E"/>
    <w:rsid w:val="00C12ED5"/>
    <w:rsid w:val="00C16227"/>
    <w:rsid w:val="00C167B7"/>
    <w:rsid w:val="00C17407"/>
    <w:rsid w:val="00C21930"/>
    <w:rsid w:val="00C22DB8"/>
    <w:rsid w:val="00C24A6B"/>
    <w:rsid w:val="00C2720C"/>
    <w:rsid w:val="00C2759B"/>
    <w:rsid w:val="00C27AD0"/>
    <w:rsid w:val="00C3318A"/>
    <w:rsid w:val="00C4026D"/>
    <w:rsid w:val="00C403BC"/>
    <w:rsid w:val="00C41EF1"/>
    <w:rsid w:val="00C45709"/>
    <w:rsid w:val="00C46B81"/>
    <w:rsid w:val="00C47194"/>
    <w:rsid w:val="00C478AF"/>
    <w:rsid w:val="00C578A9"/>
    <w:rsid w:val="00C60CFA"/>
    <w:rsid w:val="00C6200A"/>
    <w:rsid w:val="00C621D3"/>
    <w:rsid w:val="00C62D26"/>
    <w:rsid w:val="00C63952"/>
    <w:rsid w:val="00C651CB"/>
    <w:rsid w:val="00C67B46"/>
    <w:rsid w:val="00C706D5"/>
    <w:rsid w:val="00C71CE0"/>
    <w:rsid w:val="00C721D2"/>
    <w:rsid w:val="00C75265"/>
    <w:rsid w:val="00C76758"/>
    <w:rsid w:val="00C77E85"/>
    <w:rsid w:val="00C841B8"/>
    <w:rsid w:val="00C84A6C"/>
    <w:rsid w:val="00C85A6F"/>
    <w:rsid w:val="00C90CD6"/>
    <w:rsid w:val="00C91499"/>
    <w:rsid w:val="00C91C5C"/>
    <w:rsid w:val="00C95763"/>
    <w:rsid w:val="00C957DC"/>
    <w:rsid w:val="00C9685E"/>
    <w:rsid w:val="00C976FC"/>
    <w:rsid w:val="00CA34F5"/>
    <w:rsid w:val="00CA4252"/>
    <w:rsid w:val="00CA6BB7"/>
    <w:rsid w:val="00CB0862"/>
    <w:rsid w:val="00CB25F5"/>
    <w:rsid w:val="00CB30AE"/>
    <w:rsid w:val="00CB4D3D"/>
    <w:rsid w:val="00CB5EB4"/>
    <w:rsid w:val="00CB6D85"/>
    <w:rsid w:val="00CB775A"/>
    <w:rsid w:val="00CC1A89"/>
    <w:rsid w:val="00CC36E5"/>
    <w:rsid w:val="00CC3A3B"/>
    <w:rsid w:val="00CC3C4C"/>
    <w:rsid w:val="00CC5AE7"/>
    <w:rsid w:val="00CC62E3"/>
    <w:rsid w:val="00CC778D"/>
    <w:rsid w:val="00CD0B96"/>
    <w:rsid w:val="00CD0C5B"/>
    <w:rsid w:val="00CD2F61"/>
    <w:rsid w:val="00CD3137"/>
    <w:rsid w:val="00CD406E"/>
    <w:rsid w:val="00CD558A"/>
    <w:rsid w:val="00CD747D"/>
    <w:rsid w:val="00CE014F"/>
    <w:rsid w:val="00CE0D3E"/>
    <w:rsid w:val="00CE265A"/>
    <w:rsid w:val="00CE60DC"/>
    <w:rsid w:val="00CF0ED3"/>
    <w:rsid w:val="00CF3260"/>
    <w:rsid w:val="00CF391A"/>
    <w:rsid w:val="00CF3ED2"/>
    <w:rsid w:val="00CF3FB1"/>
    <w:rsid w:val="00CF493D"/>
    <w:rsid w:val="00CF7F5C"/>
    <w:rsid w:val="00D0051E"/>
    <w:rsid w:val="00D00F18"/>
    <w:rsid w:val="00D01D69"/>
    <w:rsid w:val="00D03381"/>
    <w:rsid w:val="00D03DA0"/>
    <w:rsid w:val="00D041D3"/>
    <w:rsid w:val="00D04E1D"/>
    <w:rsid w:val="00D0540A"/>
    <w:rsid w:val="00D054FA"/>
    <w:rsid w:val="00D10BBC"/>
    <w:rsid w:val="00D122B5"/>
    <w:rsid w:val="00D1410A"/>
    <w:rsid w:val="00D17745"/>
    <w:rsid w:val="00D24191"/>
    <w:rsid w:val="00D25DF5"/>
    <w:rsid w:val="00D2610A"/>
    <w:rsid w:val="00D2624C"/>
    <w:rsid w:val="00D27366"/>
    <w:rsid w:val="00D2771D"/>
    <w:rsid w:val="00D27961"/>
    <w:rsid w:val="00D27E08"/>
    <w:rsid w:val="00D301C0"/>
    <w:rsid w:val="00D31657"/>
    <w:rsid w:val="00D32924"/>
    <w:rsid w:val="00D345A9"/>
    <w:rsid w:val="00D345BA"/>
    <w:rsid w:val="00D355CD"/>
    <w:rsid w:val="00D36DBC"/>
    <w:rsid w:val="00D41ADF"/>
    <w:rsid w:val="00D45FB2"/>
    <w:rsid w:val="00D4702F"/>
    <w:rsid w:val="00D51AF6"/>
    <w:rsid w:val="00D524A2"/>
    <w:rsid w:val="00D537E9"/>
    <w:rsid w:val="00D53859"/>
    <w:rsid w:val="00D5567B"/>
    <w:rsid w:val="00D556F9"/>
    <w:rsid w:val="00D5621F"/>
    <w:rsid w:val="00D56E17"/>
    <w:rsid w:val="00D57FB2"/>
    <w:rsid w:val="00D57FF9"/>
    <w:rsid w:val="00D64EE7"/>
    <w:rsid w:val="00D659AA"/>
    <w:rsid w:val="00D66D3D"/>
    <w:rsid w:val="00D670F8"/>
    <w:rsid w:val="00D70A57"/>
    <w:rsid w:val="00D80F09"/>
    <w:rsid w:val="00D81626"/>
    <w:rsid w:val="00D81699"/>
    <w:rsid w:val="00D81A48"/>
    <w:rsid w:val="00D83E8C"/>
    <w:rsid w:val="00D850B4"/>
    <w:rsid w:val="00D858F0"/>
    <w:rsid w:val="00D85A4A"/>
    <w:rsid w:val="00D90FB0"/>
    <w:rsid w:val="00D91B49"/>
    <w:rsid w:val="00D948A0"/>
    <w:rsid w:val="00D952A5"/>
    <w:rsid w:val="00D9542D"/>
    <w:rsid w:val="00D958F6"/>
    <w:rsid w:val="00D971C5"/>
    <w:rsid w:val="00D97B13"/>
    <w:rsid w:val="00DA02D1"/>
    <w:rsid w:val="00DA120F"/>
    <w:rsid w:val="00DA2B13"/>
    <w:rsid w:val="00DA46AF"/>
    <w:rsid w:val="00DA4A61"/>
    <w:rsid w:val="00DA5555"/>
    <w:rsid w:val="00DA78FA"/>
    <w:rsid w:val="00DB011F"/>
    <w:rsid w:val="00DB418E"/>
    <w:rsid w:val="00DB4E7B"/>
    <w:rsid w:val="00DB6571"/>
    <w:rsid w:val="00DB7E86"/>
    <w:rsid w:val="00DC0714"/>
    <w:rsid w:val="00DC07B6"/>
    <w:rsid w:val="00DC0F4D"/>
    <w:rsid w:val="00DC1AE1"/>
    <w:rsid w:val="00DC3515"/>
    <w:rsid w:val="00DC3FBD"/>
    <w:rsid w:val="00DC5325"/>
    <w:rsid w:val="00DC5A9B"/>
    <w:rsid w:val="00DC66E1"/>
    <w:rsid w:val="00DC7C41"/>
    <w:rsid w:val="00DC7FDD"/>
    <w:rsid w:val="00DD212C"/>
    <w:rsid w:val="00DD33D5"/>
    <w:rsid w:val="00DD3434"/>
    <w:rsid w:val="00DD383F"/>
    <w:rsid w:val="00DD5538"/>
    <w:rsid w:val="00DD7D66"/>
    <w:rsid w:val="00DE083C"/>
    <w:rsid w:val="00DE1E15"/>
    <w:rsid w:val="00DE28B9"/>
    <w:rsid w:val="00DE2B2A"/>
    <w:rsid w:val="00DE3F51"/>
    <w:rsid w:val="00DE4639"/>
    <w:rsid w:val="00DE5BF3"/>
    <w:rsid w:val="00DF0609"/>
    <w:rsid w:val="00DF207E"/>
    <w:rsid w:val="00DF3E81"/>
    <w:rsid w:val="00DF42EC"/>
    <w:rsid w:val="00DF72B8"/>
    <w:rsid w:val="00E01337"/>
    <w:rsid w:val="00E01419"/>
    <w:rsid w:val="00E015E9"/>
    <w:rsid w:val="00E036F1"/>
    <w:rsid w:val="00E057E6"/>
    <w:rsid w:val="00E05982"/>
    <w:rsid w:val="00E06254"/>
    <w:rsid w:val="00E10745"/>
    <w:rsid w:val="00E10E3B"/>
    <w:rsid w:val="00E12826"/>
    <w:rsid w:val="00E14078"/>
    <w:rsid w:val="00E14247"/>
    <w:rsid w:val="00E16C1D"/>
    <w:rsid w:val="00E17A42"/>
    <w:rsid w:val="00E2002D"/>
    <w:rsid w:val="00E21743"/>
    <w:rsid w:val="00E21FFC"/>
    <w:rsid w:val="00E23B1D"/>
    <w:rsid w:val="00E23D20"/>
    <w:rsid w:val="00E259B4"/>
    <w:rsid w:val="00E25D47"/>
    <w:rsid w:val="00E26324"/>
    <w:rsid w:val="00E267D1"/>
    <w:rsid w:val="00E2718B"/>
    <w:rsid w:val="00E27696"/>
    <w:rsid w:val="00E30F22"/>
    <w:rsid w:val="00E31B2B"/>
    <w:rsid w:val="00E36322"/>
    <w:rsid w:val="00E3789F"/>
    <w:rsid w:val="00E40738"/>
    <w:rsid w:val="00E42324"/>
    <w:rsid w:val="00E42470"/>
    <w:rsid w:val="00E42C11"/>
    <w:rsid w:val="00E43389"/>
    <w:rsid w:val="00E43A5D"/>
    <w:rsid w:val="00E46269"/>
    <w:rsid w:val="00E470AA"/>
    <w:rsid w:val="00E4715B"/>
    <w:rsid w:val="00E55285"/>
    <w:rsid w:val="00E56294"/>
    <w:rsid w:val="00E5666E"/>
    <w:rsid w:val="00E56A02"/>
    <w:rsid w:val="00E620F4"/>
    <w:rsid w:val="00E64D3E"/>
    <w:rsid w:val="00E6625C"/>
    <w:rsid w:val="00E70136"/>
    <w:rsid w:val="00E70605"/>
    <w:rsid w:val="00E71A86"/>
    <w:rsid w:val="00E732D2"/>
    <w:rsid w:val="00E734E5"/>
    <w:rsid w:val="00E73671"/>
    <w:rsid w:val="00E74E80"/>
    <w:rsid w:val="00E76E8E"/>
    <w:rsid w:val="00E77946"/>
    <w:rsid w:val="00E77A5E"/>
    <w:rsid w:val="00E82F7C"/>
    <w:rsid w:val="00E84381"/>
    <w:rsid w:val="00E85F32"/>
    <w:rsid w:val="00E86DAC"/>
    <w:rsid w:val="00E87968"/>
    <w:rsid w:val="00E90FA4"/>
    <w:rsid w:val="00E92087"/>
    <w:rsid w:val="00E94491"/>
    <w:rsid w:val="00E95309"/>
    <w:rsid w:val="00E95873"/>
    <w:rsid w:val="00E95D19"/>
    <w:rsid w:val="00E9670B"/>
    <w:rsid w:val="00EA2C09"/>
    <w:rsid w:val="00EA3396"/>
    <w:rsid w:val="00EA360D"/>
    <w:rsid w:val="00EA41EB"/>
    <w:rsid w:val="00EA4CEB"/>
    <w:rsid w:val="00EA7C1F"/>
    <w:rsid w:val="00EB1A7C"/>
    <w:rsid w:val="00EB31F9"/>
    <w:rsid w:val="00EB3CAF"/>
    <w:rsid w:val="00EB7A33"/>
    <w:rsid w:val="00EC01D1"/>
    <w:rsid w:val="00EC0CE0"/>
    <w:rsid w:val="00EC1F68"/>
    <w:rsid w:val="00EC63A9"/>
    <w:rsid w:val="00EC64C6"/>
    <w:rsid w:val="00EC769A"/>
    <w:rsid w:val="00ED1762"/>
    <w:rsid w:val="00ED1AA3"/>
    <w:rsid w:val="00ED2388"/>
    <w:rsid w:val="00ED2F9A"/>
    <w:rsid w:val="00ED3A52"/>
    <w:rsid w:val="00ED3DAD"/>
    <w:rsid w:val="00ED403C"/>
    <w:rsid w:val="00ED5A00"/>
    <w:rsid w:val="00ED67C5"/>
    <w:rsid w:val="00ED6F42"/>
    <w:rsid w:val="00ED7469"/>
    <w:rsid w:val="00ED7924"/>
    <w:rsid w:val="00EE0BB5"/>
    <w:rsid w:val="00EE1A56"/>
    <w:rsid w:val="00EE26C3"/>
    <w:rsid w:val="00EE45FA"/>
    <w:rsid w:val="00EE6AEE"/>
    <w:rsid w:val="00EE766D"/>
    <w:rsid w:val="00EE7D89"/>
    <w:rsid w:val="00EF4A78"/>
    <w:rsid w:val="00EF52B7"/>
    <w:rsid w:val="00F00909"/>
    <w:rsid w:val="00F01238"/>
    <w:rsid w:val="00F013D1"/>
    <w:rsid w:val="00F0164B"/>
    <w:rsid w:val="00F01E03"/>
    <w:rsid w:val="00F01F96"/>
    <w:rsid w:val="00F03BC0"/>
    <w:rsid w:val="00F0498A"/>
    <w:rsid w:val="00F04D89"/>
    <w:rsid w:val="00F04DF2"/>
    <w:rsid w:val="00F04F63"/>
    <w:rsid w:val="00F052D5"/>
    <w:rsid w:val="00F1151E"/>
    <w:rsid w:val="00F116FB"/>
    <w:rsid w:val="00F12AFF"/>
    <w:rsid w:val="00F13711"/>
    <w:rsid w:val="00F14231"/>
    <w:rsid w:val="00F155A0"/>
    <w:rsid w:val="00F1624F"/>
    <w:rsid w:val="00F16390"/>
    <w:rsid w:val="00F163B8"/>
    <w:rsid w:val="00F165FC"/>
    <w:rsid w:val="00F22FE3"/>
    <w:rsid w:val="00F23426"/>
    <w:rsid w:val="00F23AEE"/>
    <w:rsid w:val="00F23FAA"/>
    <w:rsid w:val="00F256C5"/>
    <w:rsid w:val="00F258C6"/>
    <w:rsid w:val="00F317D6"/>
    <w:rsid w:val="00F33697"/>
    <w:rsid w:val="00F338DB"/>
    <w:rsid w:val="00F3624F"/>
    <w:rsid w:val="00F37A7A"/>
    <w:rsid w:val="00F41097"/>
    <w:rsid w:val="00F43C31"/>
    <w:rsid w:val="00F443D7"/>
    <w:rsid w:val="00F52054"/>
    <w:rsid w:val="00F54944"/>
    <w:rsid w:val="00F556E3"/>
    <w:rsid w:val="00F57CD7"/>
    <w:rsid w:val="00F61387"/>
    <w:rsid w:val="00F622BC"/>
    <w:rsid w:val="00F64F8D"/>
    <w:rsid w:val="00F668E5"/>
    <w:rsid w:val="00F67A1A"/>
    <w:rsid w:val="00F70D93"/>
    <w:rsid w:val="00F71795"/>
    <w:rsid w:val="00F7213B"/>
    <w:rsid w:val="00F73490"/>
    <w:rsid w:val="00F75F34"/>
    <w:rsid w:val="00F7699C"/>
    <w:rsid w:val="00F76ADC"/>
    <w:rsid w:val="00F7762C"/>
    <w:rsid w:val="00F77955"/>
    <w:rsid w:val="00F8070C"/>
    <w:rsid w:val="00F82A4F"/>
    <w:rsid w:val="00F82F31"/>
    <w:rsid w:val="00F832EA"/>
    <w:rsid w:val="00F863DC"/>
    <w:rsid w:val="00F86E3A"/>
    <w:rsid w:val="00F92041"/>
    <w:rsid w:val="00F93BF9"/>
    <w:rsid w:val="00F95D9B"/>
    <w:rsid w:val="00F95F11"/>
    <w:rsid w:val="00F96150"/>
    <w:rsid w:val="00FA0583"/>
    <w:rsid w:val="00FA12F2"/>
    <w:rsid w:val="00FA1AA8"/>
    <w:rsid w:val="00FA1C1B"/>
    <w:rsid w:val="00FA2DE5"/>
    <w:rsid w:val="00FA5CF4"/>
    <w:rsid w:val="00FB0AB3"/>
    <w:rsid w:val="00FB0C86"/>
    <w:rsid w:val="00FB16CD"/>
    <w:rsid w:val="00FB19BB"/>
    <w:rsid w:val="00FB2CA6"/>
    <w:rsid w:val="00FB4904"/>
    <w:rsid w:val="00FB7273"/>
    <w:rsid w:val="00FB7D5E"/>
    <w:rsid w:val="00FC062D"/>
    <w:rsid w:val="00FC2032"/>
    <w:rsid w:val="00FC278B"/>
    <w:rsid w:val="00FC468C"/>
    <w:rsid w:val="00FC4AB6"/>
    <w:rsid w:val="00FD0ED5"/>
    <w:rsid w:val="00FD418B"/>
    <w:rsid w:val="00FD4C26"/>
    <w:rsid w:val="00FD4F3D"/>
    <w:rsid w:val="00FD706D"/>
    <w:rsid w:val="00FE05C5"/>
    <w:rsid w:val="00FE0A72"/>
    <w:rsid w:val="00FE40C8"/>
    <w:rsid w:val="00FE447F"/>
    <w:rsid w:val="00FE4958"/>
    <w:rsid w:val="00FE4CC5"/>
    <w:rsid w:val="00FE5890"/>
    <w:rsid w:val="00FE5D5C"/>
    <w:rsid w:val="00FE603B"/>
    <w:rsid w:val="00FE7A4B"/>
    <w:rsid w:val="00FE7A52"/>
    <w:rsid w:val="00FF0B4A"/>
    <w:rsid w:val="00FF2430"/>
    <w:rsid w:val="00FF27ED"/>
    <w:rsid w:val="00FF3FEF"/>
    <w:rsid w:val="00FF49B3"/>
    <w:rsid w:val="00FF5454"/>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8F579"/>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link w:val="Heading2Char"/>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 w:type="character" w:customStyle="1" w:styleId="Heading2Char">
    <w:name w:val="Heading 2 Char"/>
    <w:basedOn w:val="DefaultParagraphFont"/>
    <w:link w:val="Heading2"/>
    <w:rsid w:val="00A56451"/>
    <w:rPr>
      <w:i/>
      <w:snapToGrid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9283">
      <w:bodyDiv w:val="1"/>
      <w:marLeft w:val="0"/>
      <w:marRight w:val="0"/>
      <w:marTop w:val="0"/>
      <w:marBottom w:val="0"/>
      <w:divBdr>
        <w:top w:val="none" w:sz="0" w:space="0" w:color="auto"/>
        <w:left w:val="none" w:sz="0" w:space="0" w:color="auto"/>
        <w:bottom w:val="none" w:sz="0" w:space="0" w:color="auto"/>
        <w:right w:val="none" w:sz="0" w:space="0" w:color="auto"/>
      </w:divBdr>
    </w:div>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98CC7-8B92-4749-8CC8-CE62AC4A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16222</Words>
  <Characters>92472</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108478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Leung Ka Yee</cp:lastModifiedBy>
  <cp:revision>4</cp:revision>
  <cp:lastPrinted>2020-11-26T01:17:00Z</cp:lastPrinted>
  <dcterms:created xsi:type="dcterms:W3CDTF">2020-11-26T01:17:00Z</dcterms:created>
  <dcterms:modified xsi:type="dcterms:W3CDTF">2020-11-26T02:45:00Z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