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041" w:rsidRDefault="00A34041" w:rsidP="00A34041">
      <w:pPr>
        <w:tabs>
          <w:tab w:val="clear" w:pos="1440"/>
          <w:tab w:val="clear" w:pos="4234"/>
        </w:tabs>
        <w:jc w:val="right"/>
        <w:rPr>
          <w:lang w:val="en-US"/>
        </w:rPr>
      </w:pPr>
      <w:bookmarkStart w:id="0" w:name="_GoBack"/>
      <w:r>
        <w:rPr>
          <w:rFonts w:hint="eastAsia"/>
          <w:lang w:val="en-US"/>
        </w:rPr>
        <w:t>CAC</w:t>
      </w:r>
      <w:r w:rsidR="007349A9">
        <w:rPr>
          <w:rFonts w:hint="eastAsia"/>
          <w:lang w:val="en-US"/>
        </w:rPr>
        <w:t>C</w:t>
      </w:r>
      <w:r>
        <w:rPr>
          <w:lang w:val="en-US"/>
        </w:rPr>
        <w:t> </w:t>
      </w:r>
      <w:r w:rsidR="00013A3C">
        <w:rPr>
          <w:lang w:val="en-US"/>
        </w:rPr>
        <w:t>142</w:t>
      </w:r>
      <w:r w:rsidR="003C7B98">
        <w:rPr>
          <w:rFonts w:hint="eastAsia"/>
          <w:lang w:val="en-US"/>
        </w:rPr>
        <w:t>/201</w:t>
      </w:r>
      <w:r w:rsidR="00013A3C">
        <w:rPr>
          <w:lang w:val="en-US"/>
        </w:rPr>
        <w:t>8</w:t>
      </w:r>
    </w:p>
    <w:bookmarkEnd w:id="0"/>
    <w:p w:rsidR="0016456F" w:rsidRDefault="00120890" w:rsidP="00A34041">
      <w:pPr>
        <w:tabs>
          <w:tab w:val="clear" w:pos="1440"/>
          <w:tab w:val="clear" w:pos="4234"/>
        </w:tabs>
        <w:jc w:val="right"/>
        <w:rPr>
          <w:lang w:val="en-US"/>
        </w:rPr>
      </w:pPr>
      <w:r w:rsidRPr="00120890">
        <w:rPr>
          <w:lang w:val="en-US"/>
        </w:rPr>
        <w:t>[2021] HKCA 99</w:t>
      </w:r>
    </w:p>
    <w:p w:rsidR="00A52E86" w:rsidRPr="000B4268" w:rsidRDefault="00A52E86" w:rsidP="00A34041">
      <w:pPr>
        <w:tabs>
          <w:tab w:val="clear" w:pos="1440"/>
          <w:tab w:val="clear" w:pos="4234"/>
        </w:tabs>
        <w:jc w:val="right"/>
        <w:rPr>
          <w:lang w:val="en-US"/>
        </w:rPr>
      </w:pPr>
    </w:p>
    <w:p w:rsidR="00A34041" w:rsidRDefault="00A34041" w:rsidP="00A34041">
      <w:pPr>
        <w:pStyle w:val="hspace"/>
      </w:pPr>
    </w:p>
    <w:p w:rsidR="00A34041" w:rsidRPr="00DB3B76" w:rsidRDefault="00A34041" w:rsidP="00A34041">
      <w:pPr>
        <w:spacing w:after="80"/>
        <w:jc w:val="center"/>
        <w:rPr>
          <w:b/>
        </w:rPr>
      </w:pPr>
      <w:r w:rsidRPr="00DB3B76">
        <w:rPr>
          <w:rFonts w:hint="eastAsia"/>
          <w:b/>
        </w:rPr>
        <w:t>IN THE HIGH COURT OF THE</w:t>
      </w:r>
    </w:p>
    <w:p w:rsidR="00A34041" w:rsidRPr="00DB3B76" w:rsidRDefault="00A34041" w:rsidP="00A34041">
      <w:pPr>
        <w:spacing w:after="80"/>
        <w:jc w:val="center"/>
        <w:rPr>
          <w:b/>
        </w:rPr>
      </w:pPr>
      <w:r w:rsidRPr="00DB3B76">
        <w:rPr>
          <w:rFonts w:hint="eastAsia"/>
          <w:b/>
        </w:rPr>
        <w:t>HONG KONG SPECIAL ADMINISTRATIVE REGION</w:t>
      </w:r>
    </w:p>
    <w:p w:rsidR="00A34041" w:rsidRPr="00DB3B76" w:rsidRDefault="00A34041" w:rsidP="00A34041">
      <w:pPr>
        <w:spacing w:after="80"/>
        <w:jc w:val="center"/>
        <w:rPr>
          <w:b/>
        </w:rPr>
      </w:pPr>
      <w:r>
        <w:rPr>
          <w:rFonts w:hint="eastAsia"/>
          <w:b/>
        </w:rPr>
        <w:t>COURT OF APPEAL</w:t>
      </w:r>
    </w:p>
    <w:p w:rsidR="00A34041" w:rsidRDefault="007349A9" w:rsidP="00A34041">
      <w:pPr>
        <w:spacing w:after="80"/>
        <w:jc w:val="center"/>
      </w:pPr>
      <w:r>
        <w:rPr>
          <w:rFonts w:hint="eastAsia"/>
        </w:rPr>
        <w:t>CRIMINAL</w:t>
      </w:r>
      <w:r w:rsidR="00A34041">
        <w:rPr>
          <w:rFonts w:hint="eastAsia"/>
        </w:rPr>
        <w:t xml:space="preserve"> APPEAL NO</w:t>
      </w:r>
      <w:r w:rsidR="00C4041C">
        <w:rPr>
          <w:lang w:val="en-US"/>
        </w:rPr>
        <w:t> </w:t>
      </w:r>
      <w:r w:rsidR="00013A3C">
        <w:rPr>
          <w:lang w:val="en-US"/>
        </w:rPr>
        <w:t>142</w:t>
      </w:r>
      <w:r w:rsidR="003C7B98">
        <w:rPr>
          <w:rFonts w:hint="eastAsia"/>
        </w:rPr>
        <w:t xml:space="preserve"> OF 201</w:t>
      </w:r>
      <w:r w:rsidR="00013A3C">
        <w:t>8</w:t>
      </w:r>
    </w:p>
    <w:p w:rsidR="00A34041" w:rsidRDefault="00A34041" w:rsidP="00A34041">
      <w:pPr>
        <w:jc w:val="center"/>
      </w:pPr>
      <w:r>
        <w:rPr>
          <w:rFonts w:hint="eastAsia"/>
        </w:rPr>
        <w:t xml:space="preserve">(ON APPEAL FROM </w:t>
      </w:r>
      <w:r w:rsidR="00670B10">
        <w:t>H</w:t>
      </w:r>
      <w:r w:rsidR="003C7B98">
        <w:rPr>
          <w:rFonts w:hint="eastAsia"/>
        </w:rPr>
        <w:t>CCC</w:t>
      </w:r>
      <w:r w:rsidR="00C4041C">
        <w:rPr>
          <w:lang w:val="en-US"/>
        </w:rPr>
        <w:t> </w:t>
      </w:r>
      <w:r w:rsidR="005760EB">
        <w:rPr>
          <w:lang w:val="en-US"/>
        </w:rPr>
        <w:t>33</w:t>
      </w:r>
      <w:r w:rsidR="00013A3C">
        <w:rPr>
          <w:lang w:val="en-US"/>
        </w:rPr>
        <w:t>3</w:t>
      </w:r>
      <w:r w:rsidR="005910C0">
        <w:rPr>
          <w:rFonts w:hint="eastAsia"/>
        </w:rPr>
        <w:t xml:space="preserve"> OF </w:t>
      </w:r>
      <w:r w:rsidR="003C7B98">
        <w:rPr>
          <w:rFonts w:hint="eastAsia"/>
        </w:rPr>
        <w:t>201</w:t>
      </w:r>
      <w:r w:rsidR="00013A3C">
        <w:t>7</w:t>
      </w:r>
      <w:r w:rsidR="005910C0">
        <w:rPr>
          <w:rFonts w:hint="eastAsia"/>
        </w:rPr>
        <w:t>)</w:t>
      </w:r>
    </w:p>
    <w:p w:rsidR="00A34041" w:rsidRDefault="00A34041" w:rsidP="007349A9"/>
    <w:p w:rsidR="00A34041" w:rsidRDefault="00A34041" w:rsidP="007349A9">
      <w:pPr>
        <w:pStyle w:val="hspace"/>
        <w:tabs>
          <w:tab w:val="clear" w:pos="1440"/>
        </w:tabs>
        <w:jc w:val="center"/>
      </w:pPr>
      <w:r>
        <w:rPr>
          <w:rFonts w:hint="eastAsia"/>
        </w:rPr>
        <w:t>-----------------</w:t>
      </w:r>
      <w:r>
        <w:t>-----</w:t>
      </w:r>
      <w:r>
        <w:rPr>
          <w:rFonts w:hint="eastAsia"/>
        </w:rPr>
        <w:t>--</w:t>
      </w:r>
    </w:p>
    <w:p w:rsidR="00A34041" w:rsidRDefault="00A34041" w:rsidP="00A34041"/>
    <w:p w:rsidR="00A34041" w:rsidRDefault="00A34041" w:rsidP="00A34041">
      <w:pPr>
        <w:rPr>
          <w:lang w:val="en-US"/>
        </w:rPr>
      </w:pPr>
      <w:r>
        <w:rPr>
          <w:lang w:val="en-US"/>
        </w:rPr>
        <w:t>BETWEEN</w:t>
      </w:r>
    </w:p>
    <w:p w:rsidR="00BD2622" w:rsidRDefault="00BD2622" w:rsidP="00BD2622">
      <w:pPr>
        <w:pStyle w:val="hspace"/>
        <w:rPr>
          <w:lang w:val="en-US"/>
        </w:rPr>
      </w:pPr>
    </w:p>
    <w:p w:rsidR="00BD2622" w:rsidRDefault="00BD2622" w:rsidP="00BD2622">
      <w:pPr>
        <w:pStyle w:val="hspace"/>
        <w:rPr>
          <w:lang w:val="en-US"/>
        </w:rPr>
      </w:pPr>
    </w:p>
    <w:p w:rsidR="00A34041" w:rsidRDefault="00A34041" w:rsidP="00A34041">
      <w:pPr>
        <w:tabs>
          <w:tab w:val="clear" w:pos="1440"/>
        </w:tabs>
      </w:pPr>
      <w:r>
        <w:tab/>
      </w:r>
      <w:r w:rsidR="007349A9">
        <w:rPr>
          <w:rFonts w:hint="eastAsia"/>
        </w:rPr>
        <w:t>HKSAR</w:t>
      </w:r>
      <w:r>
        <w:rPr>
          <w:rFonts w:hint="eastAsia"/>
        </w:rPr>
        <w:tab/>
      </w:r>
      <w:r w:rsidR="007349A9">
        <w:rPr>
          <w:rFonts w:hint="eastAsia"/>
        </w:rPr>
        <w:t>Respondent</w:t>
      </w:r>
    </w:p>
    <w:p w:rsidR="00A34041" w:rsidRDefault="00A34041" w:rsidP="00BD2622">
      <w:pPr>
        <w:pStyle w:val="hspace"/>
      </w:pPr>
    </w:p>
    <w:p w:rsidR="00A34041" w:rsidRDefault="00A34041" w:rsidP="00BD2622">
      <w:pPr>
        <w:pStyle w:val="hspace"/>
      </w:pPr>
    </w:p>
    <w:p w:rsidR="00A34041" w:rsidRDefault="00C4041C" w:rsidP="00A34041">
      <w:pPr>
        <w:tabs>
          <w:tab w:val="clear" w:pos="1440"/>
        </w:tabs>
        <w:spacing w:after="120"/>
        <w:jc w:val="center"/>
      </w:pPr>
      <w:r>
        <w:rPr>
          <w:rFonts w:hint="eastAsia"/>
        </w:rPr>
        <w:t>a</w:t>
      </w:r>
      <w:r w:rsidR="00A34041">
        <w:rPr>
          <w:rFonts w:hint="eastAsia"/>
        </w:rPr>
        <w:t>nd</w:t>
      </w:r>
    </w:p>
    <w:p w:rsidR="00A34041" w:rsidRDefault="00A34041" w:rsidP="00BD2622">
      <w:pPr>
        <w:pStyle w:val="hspace"/>
      </w:pPr>
    </w:p>
    <w:p w:rsidR="00A34041" w:rsidRDefault="00A34041" w:rsidP="00BD2622">
      <w:pPr>
        <w:pStyle w:val="hspace"/>
      </w:pPr>
    </w:p>
    <w:p w:rsidR="003E186E" w:rsidRDefault="00BD2622" w:rsidP="00BD2622">
      <w:pPr>
        <w:tabs>
          <w:tab w:val="clear" w:pos="1440"/>
        </w:tabs>
        <w:jc w:val="center"/>
        <w:rPr>
          <w:szCs w:val="24"/>
        </w:rPr>
      </w:pPr>
      <w:r>
        <w:rPr>
          <w:szCs w:val="24"/>
        </w:rPr>
        <w:tab/>
      </w:r>
      <w:r w:rsidR="00013A3C">
        <w:rPr>
          <w:szCs w:val="24"/>
        </w:rPr>
        <w:t>YIU CHI MING</w:t>
      </w:r>
      <w:r w:rsidR="00D44EC1">
        <w:rPr>
          <w:szCs w:val="24"/>
        </w:rPr>
        <w:t xml:space="preserve"> </w:t>
      </w:r>
      <w:r w:rsidR="000C1CF0">
        <w:rPr>
          <w:szCs w:val="24"/>
        </w:rPr>
        <w:t>(</w:t>
      </w:r>
      <w:r w:rsidR="000C1CF0">
        <w:rPr>
          <w:rFonts w:eastAsia="PMingLiU" w:hint="eastAsia"/>
          <w:szCs w:val="24"/>
          <w:lang w:eastAsia="zh-HK"/>
        </w:rPr>
        <w:t>姚智銘</w:t>
      </w:r>
      <w:r w:rsidR="000C1CF0">
        <w:rPr>
          <w:szCs w:val="24"/>
        </w:rPr>
        <w:t>)</w:t>
      </w:r>
      <w:r w:rsidR="003E186E">
        <w:tab/>
      </w:r>
      <w:r w:rsidR="00230F99">
        <w:rPr>
          <w:rFonts w:hint="eastAsia"/>
        </w:rPr>
        <w:t>Appellant</w:t>
      </w:r>
    </w:p>
    <w:p w:rsidR="007349A9" w:rsidRDefault="007349A9" w:rsidP="00BD2622">
      <w:pPr>
        <w:pStyle w:val="hspace"/>
      </w:pPr>
    </w:p>
    <w:p w:rsidR="00BC7F39" w:rsidRDefault="00BC7F39" w:rsidP="00BD2622">
      <w:pPr>
        <w:pStyle w:val="hspace"/>
      </w:pPr>
    </w:p>
    <w:p w:rsidR="007349A9" w:rsidRDefault="007349A9" w:rsidP="007349A9">
      <w:pPr>
        <w:pStyle w:val="hspace"/>
        <w:tabs>
          <w:tab w:val="clear" w:pos="1440"/>
        </w:tabs>
        <w:jc w:val="center"/>
      </w:pPr>
      <w:r>
        <w:rPr>
          <w:rFonts w:hint="eastAsia"/>
        </w:rPr>
        <w:t>-----------------</w:t>
      </w:r>
      <w:r>
        <w:t>-----</w:t>
      </w:r>
      <w:r>
        <w:rPr>
          <w:rFonts w:hint="eastAsia"/>
        </w:rPr>
        <w:t>--</w:t>
      </w:r>
    </w:p>
    <w:p w:rsidR="00A34041" w:rsidRDefault="00A34041" w:rsidP="00A34041">
      <w:pPr>
        <w:rPr>
          <w:lang w:val="en-US"/>
        </w:rPr>
      </w:pPr>
    </w:p>
    <w:p w:rsidR="007349A9" w:rsidRDefault="007349A9" w:rsidP="00A34041">
      <w:pPr>
        <w:rPr>
          <w:lang w:val="en-US"/>
        </w:rPr>
      </w:pPr>
    </w:p>
    <w:p w:rsidR="00A34041" w:rsidRDefault="00A34041" w:rsidP="00A34041">
      <w:pPr>
        <w:tabs>
          <w:tab w:val="clear" w:pos="1440"/>
        </w:tabs>
        <w:spacing w:after="120"/>
        <w:rPr>
          <w:lang w:val="en-US"/>
        </w:rPr>
      </w:pPr>
      <w:r>
        <w:rPr>
          <w:lang w:val="en-US"/>
        </w:rPr>
        <w:t xml:space="preserve">Before: Hon </w:t>
      </w:r>
      <w:proofErr w:type="spellStart"/>
      <w:r w:rsidR="000F16BC">
        <w:rPr>
          <w:lang w:val="en-US"/>
        </w:rPr>
        <w:t>Macrae</w:t>
      </w:r>
      <w:proofErr w:type="spellEnd"/>
      <w:r w:rsidR="000F16BC">
        <w:rPr>
          <w:lang w:val="en-US"/>
        </w:rPr>
        <w:t xml:space="preserve"> VP, </w:t>
      </w:r>
      <w:proofErr w:type="spellStart"/>
      <w:r w:rsidR="00E750E8" w:rsidRPr="00E750E8">
        <w:rPr>
          <w:lang w:val="en-US"/>
        </w:rPr>
        <w:t>M</w:t>
      </w:r>
      <w:r w:rsidR="00E750E8" w:rsidRPr="00E750E8">
        <w:rPr>
          <w:rFonts w:hint="eastAsia"/>
          <w:lang w:val="en-US"/>
        </w:rPr>
        <w:t>cWalters</w:t>
      </w:r>
      <w:proofErr w:type="spellEnd"/>
      <w:r w:rsidR="00E750E8" w:rsidRPr="00E750E8">
        <w:rPr>
          <w:rFonts w:hint="eastAsia"/>
          <w:lang w:val="en-US"/>
        </w:rPr>
        <w:t xml:space="preserve"> </w:t>
      </w:r>
      <w:r w:rsidR="000F16BC">
        <w:rPr>
          <w:lang w:val="en-US"/>
        </w:rPr>
        <w:t xml:space="preserve">&amp; </w:t>
      </w:r>
      <w:proofErr w:type="spellStart"/>
      <w:r w:rsidR="000F16BC">
        <w:rPr>
          <w:lang w:val="en-US"/>
        </w:rPr>
        <w:t>Zervos</w:t>
      </w:r>
      <w:proofErr w:type="spellEnd"/>
      <w:r w:rsidR="000F16BC">
        <w:rPr>
          <w:lang w:val="en-US"/>
        </w:rPr>
        <w:t xml:space="preserve"> JJ</w:t>
      </w:r>
      <w:r w:rsidR="008B6AFE">
        <w:rPr>
          <w:rFonts w:hint="eastAsia"/>
          <w:lang w:val="en-US"/>
        </w:rPr>
        <w:t>A</w:t>
      </w:r>
      <w:r w:rsidR="00E750E8">
        <w:rPr>
          <w:rFonts w:hint="eastAsia"/>
          <w:lang w:val="en-US"/>
        </w:rPr>
        <w:t xml:space="preserve"> </w:t>
      </w:r>
      <w:r w:rsidR="003C7B98" w:rsidRPr="003C7B98">
        <w:rPr>
          <w:rFonts w:hint="eastAsia"/>
          <w:lang w:val="en-US"/>
        </w:rPr>
        <w:t>in Court</w:t>
      </w:r>
    </w:p>
    <w:p w:rsidR="00A34041" w:rsidRPr="005E1CFA" w:rsidRDefault="00A34041" w:rsidP="00A34041">
      <w:pPr>
        <w:tabs>
          <w:tab w:val="clear" w:pos="1440"/>
        </w:tabs>
        <w:spacing w:after="120"/>
        <w:rPr>
          <w:rFonts w:eastAsia="PMingLiU"/>
          <w:lang w:val="en-US" w:eastAsia="zh-TW"/>
        </w:rPr>
      </w:pPr>
      <w:r>
        <w:rPr>
          <w:lang w:val="en-US"/>
        </w:rPr>
        <w:t xml:space="preserve">Date of </w:t>
      </w:r>
      <w:r>
        <w:rPr>
          <w:rFonts w:hint="eastAsia"/>
          <w:lang w:val="en-US"/>
        </w:rPr>
        <w:t>H</w:t>
      </w:r>
      <w:r>
        <w:rPr>
          <w:lang w:val="en-US"/>
        </w:rPr>
        <w:t xml:space="preserve">earing: </w:t>
      </w:r>
      <w:r w:rsidR="000F16BC">
        <w:rPr>
          <w:lang w:val="en-US"/>
        </w:rPr>
        <w:t xml:space="preserve">13 </w:t>
      </w:r>
      <w:r w:rsidR="005760EB">
        <w:rPr>
          <w:lang w:val="en-US"/>
        </w:rPr>
        <w:t>November</w:t>
      </w:r>
      <w:r w:rsidR="00670B10">
        <w:rPr>
          <w:lang w:val="en-US"/>
        </w:rPr>
        <w:t xml:space="preserve"> </w:t>
      </w:r>
      <w:r w:rsidR="00E87B11">
        <w:rPr>
          <w:rFonts w:hint="eastAsia"/>
          <w:lang w:val="en-US"/>
        </w:rPr>
        <w:t>20</w:t>
      </w:r>
      <w:r w:rsidR="000F16BC">
        <w:rPr>
          <w:lang w:val="en-US"/>
        </w:rPr>
        <w:t>20</w:t>
      </w:r>
    </w:p>
    <w:p w:rsidR="00074797" w:rsidRDefault="00A34041" w:rsidP="00074797">
      <w:pPr>
        <w:tabs>
          <w:tab w:val="clear" w:pos="1440"/>
        </w:tabs>
        <w:spacing w:after="120"/>
        <w:rPr>
          <w:lang w:val="en-US"/>
        </w:rPr>
      </w:pPr>
      <w:r>
        <w:rPr>
          <w:lang w:val="en-US"/>
        </w:rPr>
        <w:t xml:space="preserve">Date of Judgment: </w:t>
      </w:r>
      <w:r w:rsidR="00120890">
        <w:rPr>
          <w:lang w:val="en-US"/>
        </w:rPr>
        <w:t>26 January</w:t>
      </w:r>
      <w:r w:rsidR="0083161F">
        <w:rPr>
          <w:lang w:val="en-US"/>
        </w:rPr>
        <w:t xml:space="preserve"> 202</w:t>
      </w:r>
      <w:r w:rsidR="00B70866">
        <w:rPr>
          <w:lang w:val="en-US"/>
        </w:rPr>
        <w:t>1</w:t>
      </w:r>
    </w:p>
    <w:p w:rsidR="00074797" w:rsidRDefault="00074797" w:rsidP="00074797">
      <w:pPr>
        <w:pStyle w:val="hspace"/>
        <w:keepNext/>
        <w:tabs>
          <w:tab w:val="clear" w:pos="1440"/>
        </w:tabs>
        <w:spacing w:before="440" w:after="120"/>
        <w:jc w:val="center"/>
        <w:rPr>
          <w:b/>
          <w:bCs/>
        </w:rPr>
      </w:pPr>
      <w:r>
        <w:rPr>
          <w:b/>
          <w:bCs/>
        </w:rPr>
        <w:t>__________________</w:t>
      </w:r>
      <w:r w:rsidR="00CD1E59">
        <w:rPr>
          <w:rFonts w:hint="eastAsia"/>
          <w:b/>
          <w:bCs/>
        </w:rPr>
        <w:t>___</w:t>
      </w:r>
    </w:p>
    <w:p w:rsidR="00074797" w:rsidRDefault="00074797" w:rsidP="00074797">
      <w:pPr>
        <w:keepNext/>
        <w:tabs>
          <w:tab w:val="clear" w:pos="1440"/>
        </w:tabs>
        <w:spacing w:before="320"/>
        <w:jc w:val="center"/>
      </w:pPr>
      <w:r>
        <w:rPr>
          <w:rFonts w:hint="eastAsia"/>
        </w:rPr>
        <w:t>J</w:t>
      </w:r>
      <w:r w:rsidR="00CD1E59">
        <w:t xml:space="preserve"> </w:t>
      </w:r>
      <w:r>
        <w:rPr>
          <w:rFonts w:hint="eastAsia"/>
        </w:rPr>
        <w:t>U</w:t>
      </w:r>
      <w:r w:rsidR="00CD1E59">
        <w:t xml:space="preserve"> </w:t>
      </w:r>
      <w:r>
        <w:rPr>
          <w:rFonts w:hint="eastAsia"/>
        </w:rPr>
        <w:t>D</w:t>
      </w:r>
      <w:r w:rsidR="00CD1E59">
        <w:t xml:space="preserve"> </w:t>
      </w:r>
      <w:r>
        <w:rPr>
          <w:rFonts w:hint="eastAsia"/>
        </w:rPr>
        <w:t>G</w:t>
      </w:r>
      <w:r w:rsidR="00CD1E59">
        <w:t xml:space="preserve"> </w:t>
      </w:r>
      <w:r>
        <w:rPr>
          <w:rFonts w:hint="eastAsia"/>
        </w:rPr>
        <w:t>M</w:t>
      </w:r>
      <w:r w:rsidR="00CD1E59">
        <w:t xml:space="preserve"> </w:t>
      </w:r>
      <w:r>
        <w:rPr>
          <w:rFonts w:hint="eastAsia"/>
        </w:rPr>
        <w:t>E</w:t>
      </w:r>
      <w:r w:rsidR="00CD1E59">
        <w:t xml:space="preserve"> </w:t>
      </w:r>
      <w:r>
        <w:rPr>
          <w:rFonts w:hint="eastAsia"/>
        </w:rPr>
        <w:t>N</w:t>
      </w:r>
      <w:r w:rsidR="00CD1E59">
        <w:t xml:space="preserve"> </w:t>
      </w:r>
      <w:r>
        <w:rPr>
          <w:rFonts w:hint="eastAsia"/>
        </w:rPr>
        <w:t>T</w:t>
      </w:r>
    </w:p>
    <w:p w:rsidR="00074797" w:rsidRDefault="00074797" w:rsidP="00074797">
      <w:pPr>
        <w:keepNext/>
        <w:tabs>
          <w:tab w:val="clear" w:pos="1440"/>
        </w:tabs>
        <w:spacing w:after="440"/>
        <w:jc w:val="center"/>
      </w:pPr>
      <w:r>
        <w:rPr>
          <w:b/>
          <w:bCs/>
        </w:rPr>
        <w:t>__________________</w:t>
      </w:r>
      <w:r w:rsidR="00CD1E59">
        <w:rPr>
          <w:rFonts w:hint="eastAsia"/>
          <w:b/>
          <w:bCs/>
        </w:rPr>
        <w:t>____</w:t>
      </w:r>
    </w:p>
    <w:p w:rsidR="00871C60" w:rsidRDefault="00871C60" w:rsidP="00871C60">
      <w:pPr>
        <w:rPr>
          <w:color w:val="000000"/>
          <w:szCs w:val="28"/>
        </w:rPr>
      </w:pPr>
      <w:r>
        <w:rPr>
          <w:lang w:val="en-US"/>
        </w:rPr>
        <w:t xml:space="preserve">Hon </w:t>
      </w:r>
      <w:proofErr w:type="spellStart"/>
      <w:r>
        <w:rPr>
          <w:lang w:val="en-US"/>
        </w:rPr>
        <w:t>McWalters</w:t>
      </w:r>
      <w:proofErr w:type="spellEnd"/>
      <w:r>
        <w:rPr>
          <w:lang w:val="en-US"/>
        </w:rPr>
        <w:t xml:space="preserve"> JA (giving the </w:t>
      </w:r>
      <w:r w:rsidRPr="00686D45">
        <w:rPr>
          <w:lang w:val="en-US"/>
        </w:rPr>
        <w:t>judgment</w:t>
      </w:r>
      <w:r>
        <w:rPr>
          <w:lang w:val="en-US"/>
        </w:rPr>
        <w:t xml:space="preserve"> of the court):</w:t>
      </w:r>
    </w:p>
    <w:p w:rsidR="00DA31C7" w:rsidRDefault="00463D46" w:rsidP="00013A3C">
      <w:pPr>
        <w:pStyle w:val="Final"/>
        <w:ind w:left="0" w:firstLine="0"/>
        <w:rPr>
          <w:color w:val="000000"/>
          <w:szCs w:val="28"/>
        </w:rPr>
      </w:pPr>
      <w:r>
        <w:rPr>
          <w:color w:val="000000"/>
          <w:szCs w:val="28"/>
        </w:rPr>
        <w:t xml:space="preserve">The </w:t>
      </w:r>
      <w:r w:rsidRPr="00463D46">
        <w:rPr>
          <w:color w:val="000000"/>
          <w:szCs w:val="28"/>
        </w:rPr>
        <w:t>appellant</w:t>
      </w:r>
      <w:r>
        <w:rPr>
          <w:color w:val="000000"/>
          <w:szCs w:val="28"/>
        </w:rPr>
        <w:t xml:space="preserve"> </w:t>
      </w:r>
      <w:r w:rsidR="003C68DC">
        <w:rPr>
          <w:color w:val="000000"/>
          <w:szCs w:val="28"/>
        </w:rPr>
        <w:t xml:space="preserve">pleaded not guilty to </w:t>
      </w:r>
      <w:r w:rsidR="004158ED" w:rsidRPr="00A614AC">
        <w:rPr>
          <w:color w:val="000000"/>
          <w:szCs w:val="28"/>
        </w:rPr>
        <w:t>trafficking in a dangerous drug,</w:t>
      </w:r>
      <w:r w:rsidR="003C68DC">
        <w:rPr>
          <w:color w:val="000000"/>
          <w:szCs w:val="28"/>
        </w:rPr>
        <w:t xml:space="preserve"> </w:t>
      </w:r>
      <w:r>
        <w:rPr>
          <w:color w:val="000000"/>
          <w:szCs w:val="28"/>
        </w:rPr>
        <w:t>namely</w:t>
      </w:r>
      <w:r w:rsidR="00BD6176">
        <w:rPr>
          <w:color w:val="000000"/>
          <w:szCs w:val="28"/>
        </w:rPr>
        <w:t xml:space="preserve"> 173.9 </w:t>
      </w:r>
      <w:proofErr w:type="spellStart"/>
      <w:r w:rsidR="00BD6176">
        <w:rPr>
          <w:color w:val="000000"/>
          <w:szCs w:val="28"/>
        </w:rPr>
        <w:t>grammes</w:t>
      </w:r>
      <w:proofErr w:type="spellEnd"/>
      <w:r w:rsidR="00BD6176">
        <w:rPr>
          <w:color w:val="000000"/>
          <w:szCs w:val="28"/>
        </w:rPr>
        <w:t xml:space="preserve"> of a solid containing</w:t>
      </w:r>
      <w:r>
        <w:rPr>
          <w:color w:val="000000"/>
          <w:szCs w:val="28"/>
        </w:rPr>
        <w:t xml:space="preserve"> 160.4 </w:t>
      </w:r>
      <w:proofErr w:type="spellStart"/>
      <w:r>
        <w:rPr>
          <w:color w:val="000000"/>
          <w:szCs w:val="28"/>
        </w:rPr>
        <w:t>grammes</w:t>
      </w:r>
      <w:proofErr w:type="spellEnd"/>
      <w:r>
        <w:rPr>
          <w:color w:val="000000"/>
          <w:szCs w:val="28"/>
        </w:rPr>
        <w:t xml:space="preserve"> of cocaine,</w:t>
      </w:r>
      <w:r w:rsidRPr="00A614AC">
        <w:rPr>
          <w:color w:val="000000"/>
          <w:szCs w:val="28"/>
        </w:rPr>
        <w:t xml:space="preserve"> </w:t>
      </w:r>
      <w:r w:rsidR="0083161F">
        <w:rPr>
          <w:color w:val="000000"/>
          <w:szCs w:val="28"/>
        </w:rPr>
        <w:t>c</w:t>
      </w:r>
      <w:r w:rsidR="0083161F" w:rsidRPr="0083161F">
        <w:rPr>
          <w:rFonts w:hint="eastAsia"/>
          <w:color w:val="000000"/>
          <w:szCs w:val="28"/>
        </w:rPr>
        <w:t>ontrary to section</w:t>
      </w:r>
      <w:r w:rsidR="0083161F" w:rsidRPr="0083161F">
        <w:rPr>
          <w:color w:val="000000"/>
          <w:szCs w:val="28"/>
        </w:rPr>
        <w:t xml:space="preserve"> 4(1)(a) and (3) </w:t>
      </w:r>
      <w:r w:rsidR="0083161F" w:rsidRPr="0083161F">
        <w:rPr>
          <w:rFonts w:hint="eastAsia"/>
          <w:color w:val="000000"/>
          <w:szCs w:val="28"/>
        </w:rPr>
        <w:t xml:space="preserve">of the </w:t>
      </w:r>
      <w:r w:rsidR="0083161F" w:rsidRPr="0083161F">
        <w:rPr>
          <w:color w:val="000000"/>
          <w:szCs w:val="28"/>
        </w:rPr>
        <w:t>Dangerous Drugs Ordinance</w:t>
      </w:r>
      <w:r w:rsidR="0083161F" w:rsidRPr="0083161F">
        <w:rPr>
          <w:rFonts w:hint="eastAsia"/>
          <w:color w:val="000000"/>
          <w:szCs w:val="28"/>
        </w:rPr>
        <w:t>, Cap </w:t>
      </w:r>
      <w:r w:rsidR="0083161F">
        <w:rPr>
          <w:color w:val="000000"/>
          <w:szCs w:val="28"/>
        </w:rPr>
        <w:t>134</w:t>
      </w:r>
      <w:r w:rsidR="00F45AC7">
        <w:rPr>
          <w:color w:val="000000"/>
          <w:szCs w:val="28"/>
        </w:rPr>
        <w:t>.</w:t>
      </w:r>
      <w:r w:rsidR="0083161F">
        <w:rPr>
          <w:color w:val="000000"/>
          <w:szCs w:val="28"/>
        </w:rPr>
        <w:t xml:space="preserve"> </w:t>
      </w:r>
      <w:r>
        <w:rPr>
          <w:color w:val="000000"/>
          <w:szCs w:val="28"/>
        </w:rPr>
        <w:t xml:space="preserve"> He</w:t>
      </w:r>
      <w:r w:rsidR="003C68DC">
        <w:rPr>
          <w:color w:val="000000"/>
          <w:szCs w:val="28"/>
        </w:rPr>
        <w:t xml:space="preserve"> was tried</w:t>
      </w:r>
      <w:r w:rsidR="008E5CCE" w:rsidRPr="00A614AC">
        <w:rPr>
          <w:color w:val="000000"/>
          <w:szCs w:val="28"/>
        </w:rPr>
        <w:t xml:space="preserve"> </w:t>
      </w:r>
      <w:r w:rsidR="003C68DC">
        <w:rPr>
          <w:color w:val="000000"/>
          <w:szCs w:val="28"/>
        </w:rPr>
        <w:t>in the Court of First Instance</w:t>
      </w:r>
      <w:r w:rsidR="003C68DC" w:rsidRPr="00A614AC">
        <w:rPr>
          <w:color w:val="000000"/>
          <w:szCs w:val="28"/>
        </w:rPr>
        <w:t xml:space="preserve"> </w:t>
      </w:r>
      <w:r w:rsidR="008E5CCE" w:rsidRPr="00A614AC">
        <w:rPr>
          <w:color w:val="000000"/>
          <w:szCs w:val="28"/>
        </w:rPr>
        <w:t xml:space="preserve">before </w:t>
      </w:r>
      <w:r w:rsidR="00013A3C">
        <w:rPr>
          <w:color w:val="000000"/>
          <w:szCs w:val="28"/>
        </w:rPr>
        <w:lastRenderedPageBreak/>
        <w:t>Deputy</w:t>
      </w:r>
      <w:r w:rsidR="00B70866">
        <w:rPr>
          <w:color w:val="000000"/>
          <w:szCs w:val="28"/>
        </w:rPr>
        <w:t xml:space="preserve"> High Court</w:t>
      </w:r>
      <w:r w:rsidR="00013A3C">
        <w:rPr>
          <w:color w:val="000000"/>
          <w:szCs w:val="28"/>
        </w:rPr>
        <w:t xml:space="preserve"> Judge Stuart-Moore</w:t>
      </w:r>
      <w:r w:rsidR="00BF0D7E">
        <w:rPr>
          <w:color w:val="000000"/>
          <w:szCs w:val="28"/>
        </w:rPr>
        <w:t xml:space="preserve"> </w:t>
      </w:r>
      <w:r w:rsidR="008E5CCE" w:rsidRPr="00A614AC">
        <w:rPr>
          <w:color w:val="000000"/>
          <w:szCs w:val="28"/>
        </w:rPr>
        <w:t>(“the judge”)</w:t>
      </w:r>
      <w:r w:rsidR="003C68DC">
        <w:rPr>
          <w:color w:val="000000"/>
          <w:szCs w:val="28"/>
        </w:rPr>
        <w:t xml:space="preserve"> </w:t>
      </w:r>
      <w:r w:rsidR="00BF0D7E">
        <w:rPr>
          <w:color w:val="000000"/>
          <w:szCs w:val="28"/>
        </w:rPr>
        <w:t>together with</w:t>
      </w:r>
      <w:r w:rsidR="008E5CCE" w:rsidRPr="00A614AC">
        <w:rPr>
          <w:color w:val="000000"/>
          <w:szCs w:val="28"/>
        </w:rPr>
        <w:t xml:space="preserve"> </w:t>
      </w:r>
      <w:r w:rsidR="00BF0D7E">
        <w:rPr>
          <w:color w:val="000000"/>
          <w:szCs w:val="28"/>
        </w:rPr>
        <w:t>a jury</w:t>
      </w:r>
      <w:r w:rsidR="00500232">
        <w:rPr>
          <w:color w:val="000000"/>
          <w:szCs w:val="28"/>
        </w:rPr>
        <w:t xml:space="preserve">.  </w:t>
      </w:r>
      <w:r w:rsidR="00850A31">
        <w:rPr>
          <w:color w:val="000000"/>
          <w:szCs w:val="28"/>
        </w:rPr>
        <w:t>He</w:t>
      </w:r>
      <w:r w:rsidR="003C68DC">
        <w:rPr>
          <w:color w:val="000000"/>
          <w:szCs w:val="28"/>
        </w:rPr>
        <w:t xml:space="preserve"> was convicted </w:t>
      </w:r>
      <w:r w:rsidR="00D43ED5">
        <w:rPr>
          <w:color w:val="000000"/>
          <w:szCs w:val="28"/>
        </w:rPr>
        <w:t xml:space="preserve">and </w:t>
      </w:r>
      <w:r w:rsidR="004158ED" w:rsidRPr="00A614AC">
        <w:rPr>
          <w:color w:val="000000"/>
          <w:szCs w:val="28"/>
        </w:rPr>
        <w:t xml:space="preserve">sentenced to </w:t>
      </w:r>
      <w:r w:rsidR="00013A3C">
        <w:rPr>
          <w:color w:val="000000"/>
          <w:szCs w:val="28"/>
        </w:rPr>
        <w:t>10 years and 9 months’</w:t>
      </w:r>
      <w:r w:rsidR="00CC1EF3">
        <w:rPr>
          <w:color w:val="000000"/>
          <w:szCs w:val="28"/>
        </w:rPr>
        <w:t xml:space="preserve"> imprisonment</w:t>
      </w:r>
      <w:r w:rsidR="00500232">
        <w:rPr>
          <w:color w:val="000000"/>
          <w:szCs w:val="28"/>
        </w:rPr>
        <w:t xml:space="preserve">.  </w:t>
      </w:r>
      <w:r w:rsidR="00DA31C7">
        <w:rPr>
          <w:color w:val="000000"/>
          <w:szCs w:val="28"/>
        </w:rPr>
        <w:t xml:space="preserve"> </w:t>
      </w:r>
    </w:p>
    <w:p w:rsidR="00D43ED5" w:rsidRPr="007D7364" w:rsidRDefault="00850A31" w:rsidP="00013A3C">
      <w:pPr>
        <w:pStyle w:val="Final"/>
        <w:ind w:left="0" w:firstLine="0"/>
        <w:rPr>
          <w:color w:val="000000"/>
          <w:szCs w:val="28"/>
        </w:rPr>
      </w:pPr>
      <w:r>
        <w:rPr>
          <w:color w:val="000000"/>
          <w:szCs w:val="28"/>
        </w:rPr>
        <w:t>Subsequently</w:t>
      </w:r>
      <w:r w:rsidR="00862DFB">
        <w:rPr>
          <w:color w:val="000000"/>
          <w:szCs w:val="28"/>
        </w:rPr>
        <w:t>,</w:t>
      </w:r>
      <w:r w:rsidR="00DA31C7">
        <w:rPr>
          <w:color w:val="000000"/>
          <w:szCs w:val="28"/>
        </w:rPr>
        <w:t xml:space="preserve"> the appellant</w:t>
      </w:r>
      <w:r w:rsidR="00D43ED5" w:rsidRPr="00013A3C">
        <w:rPr>
          <w:color w:val="000000"/>
          <w:szCs w:val="28"/>
        </w:rPr>
        <w:t xml:space="preserve"> filed a Notice of Application for Leave to Appeal (</w:t>
      </w:r>
      <w:r w:rsidR="007D7364">
        <w:rPr>
          <w:color w:val="000000"/>
          <w:szCs w:val="28"/>
        </w:rPr>
        <w:t>“</w:t>
      </w:r>
      <w:r w:rsidR="00D43ED5" w:rsidRPr="00013A3C">
        <w:rPr>
          <w:color w:val="000000"/>
          <w:szCs w:val="28"/>
        </w:rPr>
        <w:t>Form XI</w:t>
      </w:r>
      <w:r w:rsidR="007D7364">
        <w:rPr>
          <w:color w:val="000000"/>
          <w:szCs w:val="28"/>
        </w:rPr>
        <w:t>”</w:t>
      </w:r>
      <w:r w:rsidR="00D43ED5" w:rsidRPr="00013A3C">
        <w:rPr>
          <w:color w:val="000000"/>
          <w:szCs w:val="28"/>
        </w:rPr>
        <w:t>) against his conviction</w:t>
      </w:r>
      <w:r w:rsidR="003C43A5">
        <w:rPr>
          <w:color w:val="000000"/>
          <w:szCs w:val="28"/>
        </w:rPr>
        <w:t xml:space="preserve"> and at </w:t>
      </w:r>
      <w:r>
        <w:rPr>
          <w:color w:val="000000"/>
          <w:szCs w:val="28"/>
        </w:rPr>
        <w:t xml:space="preserve">the </w:t>
      </w:r>
      <w:r w:rsidR="00230F99">
        <w:rPr>
          <w:color w:val="000000"/>
          <w:szCs w:val="28"/>
        </w:rPr>
        <w:t xml:space="preserve">hearing </w:t>
      </w:r>
      <w:r w:rsidR="003C43A5">
        <w:rPr>
          <w:color w:val="000000"/>
          <w:szCs w:val="28"/>
        </w:rPr>
        <w:t xml:space="preserve">of his </w:t>
      </w:r>
      <w:r w:rsidR="003C43A5" w:rsidRPr="003C43A5">
        <w:rPr>
          <w:color w:val="000000"/>
          <w:szCs w:val="28"/>
        </w:rPr>
        <w:t>application</w:t>
      </w:r>
      <w:r w:rsidR="003C43A5">
        <w:rPr>
          <w:color w:val="000000"/>
          <w:szCs w:val="28"/>
        </w:rPr>
        <w:t xml:space="preserve"> he was granted </w:t>
      </w:r>
      <w:r w:rsidR="00230F99">
        <w:rPr>
          <w:color w:val="000000"/>
          <w:szCs w:val="28"/>
        </w:rPr>
        <w:t xml:space="preserve">leave to appeal </w:t>
      </w:r>
      <w:r w:rsidR="009C1B4A">
        <w:rPr>
          <w:color w:val="000000"/>
          <w:szCs w:val="28"/>
        </w:rPr>
        <w:t>and</w:t>
      </w:r>
      <w:r w:rsidR="009C1B4A" w:rsidRPr="007D7364">
        <w:rPr>
          <w:color w:val="000000"/>
          <w:szCs w:val="28"/>
        </w:rPr>
        <w:t xml:space="preserve"> an Appeal Aid Certificate</w:t>
      </w:r>
      <w:r w:rsidR="009C1B4A">
        <w:rPr>
          <w:rStyle w:val="FootnoteReference"/>
          <w:color w:val="000000"/>
          <w:szCs w:val="28"/>
        </w:rPr>
        <w:footnoteReference w:id="1"/>
      </w:r>
      <w:r w:rsidR="00500232">
        <w:rPr>
          <w:color w:val="000000"/>
          <w:szCs w:val="28"/>
        </w:rPr>
        <w:t xml:space="preserve">.  </w:t>
      </w:r>
      <w:r w:rsidR="00230F99" w:rsidRPr="007D7364">
        <w:rPr>
          <w:color w:val="000000"/>
          <w:szCs w:val="28"/>
        </w:rPr>
        <w:t xml:space="preserve">   </w:t>
      </w:r>
      <w:r w:rsidR="00D43ED5" w:rsidRPr="007D7364">
        <w:t xml:space="preserve"> </w:t>
      </w:r>
    </w:p>
    <w:p w:rsidR="0083161F" w:rsidRDefault="00463D46" w:rsidP="008D7BE5">
      <w:pPr>
        <w:pStyle w:val="Final"/>
        <w:ind w:left="0" w:firstLine="0"/>
      </w:pPr>
      <w:r>
        <w:t xml:space="preserve">At the conclusion of his </w:t>
      </w:r>
      <w:r w:rsidR="008D7BE5">
        <w:t>appeal</w:t>
      </w:r>
      <w:r w:rsidR="009550AD">
        <w:t xml:space="preserve">, </w:t>
      </w:r>
      <w:r>
        <w:t>we reserved our judgment</w:t>
      </w:r>
      <w:r w:rsidR="00500232">
        <w:t xml:space="preserve">.  </w:t>
      </w:r>
      <w:r>
        <w:t xml:space="preserve">This is our judgment. </w:t>
      </w:r>
    </w:p>
    <w:p w:rsidR="00BA7875" w:rsidRPr="00667DD6" w:rsidRDefault="0083161F" w:rsidP="0083161F">
      <w:pPr>
        <w:pStyle w:val="H-1"/>
      </w:pPr>
      <w:r>
        <w:t>The p</w:t>
      </w:r>
      <w:r w:rsidR="002D6714" w:rsidRPr="00667DD6">
        <w:t>rosecution case</w:t>
      </w:r>
    </w:p>
    <w:p w:rsidR="00F82714" w:rsidRDefault="00013A3C" w:rsidP="008E77A3">
      <w:pPr>
        <w:pStyle w:val="Final"/>
        <w:ind w:left="0" w:firstLine="0"/>
        <w:rPr>
          <w:color w:val="000000"/>
          <w:szCs w:val="28"/>
        </w:rPr>
      </w:pPr>
      <w:r>
        <w:rPr>
          <w:color w:val="000000"/>
          <w:szCs w:val="28"/>
        </w:rPr>
        <w:t xml:space="preserve">In the </w:t>
      </w:r>
      <w:r w:rsidR="00543298">
        <w:rPr>
          <w:color w:val="000000"/>
          <w:szCs w:val="28"/>
        </w:rPr>
        <w:t xml:space="preserve">late </w:t>
      </w:r>
      <w:r>
        <w:rPr>
          <w:color w:val="000000"/>
          <w:szCs w:val="28"/>
        </w:rPr>
        <w:t>a</w:t>
      </w:r>
      <w:r w:rsidR="00A72857">
        <w:rPr>
          <w:color w:val="000000"/>
          <w:szCs w:val="28"/>
        </w:rPr>
        <w:t xml:space="preserve">fternoon on 5 January 2017, the police </w:t>
      </w:r>
      <w:r w:rsidR="00F82714">
        <w:rPr>
          <w:color w:val="000000"/>
          <w:szCs w:val="28"/>
        </w:rPr>
        <w:t xml:space="preserve">intercepted </w:t>
      </w:r>
      <w:r w:rsidR="00A72857">
        <w:rPr>
          <w:color w:val="000000"/>
          <w:szCs w:val="28"/>
        </w:rPr>
        <w:t>the appellant</w:t>
      </w:r>
      <w:r w:rsidR="00B33ECC">
        <w:rPr>
          <w:color w:val="000000"/>
          <w:szCs w:val="28"/>
        </w:rPr>
        <w:t xml:space="preserve"> as he was </w:t>
      </w:r>
      <w:r w:rsidR="00835A1C">
        <w:rPr>
          <w:color w:val="000000"/>
          <w:szCs w:val="28"/>
        </w:rPr>
        <w:t>open</w:t>
      </w:r>
      <w:r w:rsidR="00A72857">
        <w:rPr>
          <w:color w:val="000000"/>
          <w:szCs w:val="28"/>
        </w:rPr>
        <w:t>ing</w:t>
      </w:r>
      <w:r w:rsidR="00835A1C">
        <w:rPr>
          <w:color w:val="000000"/>
          <w:szCs w:val="28"/>
        </w:rPr>
        <w:t xml:space="preserve"> the</w:t>
      </w:r>
      <w:r w:rsidR="00F82714">
        <w:rPr>
          <w:color w:val="000000"/>
          <w:szCs w:val="28"/>
        </w:rPr>
        <w:t xml:space="preserve"> </w:t>
      </w:r>
      <w:r w:rsidR="00892FD6">
        <w:rPr>
          <w:color w:val="000000"/>
          <w:szCs w:val="28"/>
        </w:rPr>
        <w:t xml:space="preserve">driver’s </w:t>
      </w:r>
      <w:r w:rsidR="00F82714">
        <w:rPr>
          <w:color w:val="000000"/>
          <w:szCs w:val="28"/>
        </w:rPr>
        <w:t xml:space="preserve">door of a Toyota </w:t>
      </w:r>
      <w:r w:rsidR="00862DFB">
        <w:rPr>
          <w:color w:val="000000"/>
          <w:szCs w:val="28"/>
        </w:rPr>
        <w:t xml:space="preserve">private </w:t>
      </w:r>
      <w:r w:rsidR="00F82714">
        <w:rPr>
          <w:color w:val="000000"/>
          <w:szCs w:val="28"/>
        </w:rPr>
        <w:t xml:space="preserve">car </w:t>
      </w:r>
      <w:r w:rsidR="00A72857">
        <w:rPr>
          <w:color w:val="000000"/>
          <w:szCs w:val="28"/>
        </w:rPr>
        <w:t>with a car key</w:t>
      </w:r>
      <w:r w:rsidR="001077C0">
        <w:rPr>
          <w:color w:val="000000"/>
          <w:szCs w:val="28"/>
        </w:rPr>
        <w:t>,</w:t>
      </w:r>
      <w:r w:rsidR="00A72857">
        <w:rPr>
          <w:color w:val="000000"/>
          <w:szCs w:val="28"/>
        </w:rPr>
        <w:t xml:space="preserve"> </w:t>
      </w:r>
      <w:r w:rsidR="00835A1C">
        <w:rPr>
          <w:color w:val="000000"/>
          <w:szCs w:val="28"/>
        </w:rPr>
        <w:t>outside his home at No</w:t>
      </w:r>
      <w:r w:rsidR="00A72857">
        <w:rPr>
          <w:color w:val="000000"/>
          <w:szCs w:val="28"/>
        </w:rPr>
        <w:t xml:space="preserve"> </w:t>
      </w:r>
      <w:r w:rsidR="00835A1C">
        <w:rPr>
          <w:color w:val="000000"/>
          <w:szCs w:val="28"/>
        </w:rPr>
        <w:t xml:space="preserve">2A, </w:t>
      </w:r>
      <w:proofErr w:type="spellStart"/>
      <w:r w:rsidR="00835A1C">
        <w:rPr>
          <w:color w:val="000000"/>
          <w:szCs w:val="28"/>
        </w:rPr>
        <w:t>Nai</w:t>
      </w:r>
      <w:proofErr w:type="spellEnd"/>
      <w:r w:rsidR="00835A1C">
        <w:rPr>
          <w:color w:val="000000"/>
          <w:szCs w:val="28"/>
        </w:rPr>
        <w:t xml:space="preserve"> Chung Village, Ma On Shan</w:t>
      </w:r>
      <w:r w:rsidR="00A72857">
        <w:rPr>
          <w:color w:val="000000"/>
          <w:szCs w:val="28"/>
        </w:rPr>
        <w:t xml:space="preserve">.  </w:t>
      </w:r>
      <w:r w:rsidR="002A7C31">
        <w:rPr>
          <w:color w:val="000000"/>
          <w:szCs w:val="28"/>
        </w:rPr>
        <w:t xml:space="preserve">At the time of his interception his girlfriend (“DW2”) was close by.  The police officers searched the </w:t>
      </w:r>
      <w:r w:rsidR="0031208F">
        <w:rPr>
          <w:color w:val="000000"/>
          <w:szCs w:val="28"/>
          <w:lang w:val="en-US"/>
        </w:rPr>
        <w:t>appellant</w:t>
      </w:r>
      <w:r w:rsidR="002A7C31">
        <w:rPr>
          <w:color w:val="000000"/>
          <w:szCs w:val="28"/>
        </w:rPr>
        <w:t xml:space="preserve">’s </w:t>
      </w:r>
      <w:r w:rsidR="00FD03B0">
        <w:rPr>
          <w:color w:val="000000"/>
          <w:szCs w:val="28"/>
        </w:rPr>
        <w:t>person, and later his home</w:t>
      </w:r>
      <w:r w:rsidR="00A72857">
        <w:rPr>
          <w:color w:val="000000"/>
          <w:szCs w:val="28"/>
        </w:rPr>
        <w:t xml:space="preserve">, </w:t>
      </w:r>
      <w:r w:rsidR="002A7C31">
        <w:rPr>
          <w:color w:val="000000"/>
          <w:szCs w:val="28"/>
        </w:rPr>
        <w:t xml:space="preserve">but </w:t>
      </w:r>
      <w:r w:rsidR="00A72857">
        <w:rPr>
          <w:color w:val="000000"/>
          <w:szCs w:val="28"/>
        </w:rPr>
        <w:t xml:space="preserve">nothing incriminating was found.  </w:t>
      </w:r>
    </w:p>
    <w:p w:rsidR="007F67B1" w:rsidRDefault="00463D46" w:rsidP="007F67B1">
      <w:pPr>
        <w:pStyle w:val="Final"/>
        <w:ind w:left="0" w:firstLine="0"/>
        <w:rPr>
          <w:color w:val="000000"/>
          <w:szCs w:val="28"/>
        </w:rPr>
      </w:pPr>
      <w:r>
        <w:rPr>
          <w:color w:val="000000"/>
          <w:szCs w:val="28"/>
        </w:rPr>
        <w:t xml:space="preserve">When officers </w:t>
      </w:r>
      <w:r w:rsidRPr="00463D46">
        <w:rPr>
          <w:color w:val="000000"/>
          <w:szCs w:val="28"/>
          <w:lang w:val="en-US"/>
        </w:rPr>
        <w:t>search</w:t>
      </w:r>
      <w:proofErr w:type="spellStart"/>
      <w:r>
        <w:rPr>
          <w:color w:val="000000"/>
          <w:szCs w:val="28"/>
        </w:rPr>
        <w:t>ed</w:t>
      </w:r>
      <w:proofErr w:type="spellEnd"/>
      <w:r>
        <w:rPr>
          <w:color w:val="000000"/>
          <w:szCs w:val="28"/>
        </w:rPr>
        <w:t xml:space="preserve"> t</w:t>
      </w:r>
      <w:r w:rsidR="00835A1C">
        <w:rPr>
          <w:color w:val="000000"/>
          <w:szCs w:val="28"/>
        </w:rPr>
        <w:t>he</w:t>
      </w:r>
      <w:r w:rsidR="00B45C49">
        <w:rPr>
          <w:color w:val="000000"/>
          <w:szCs w:val="28"/>
        </w:rPr>
        <w:t xml:space="preserve"> car </w:t>
      </w:r>
      <w:r>
        <w:rPr>
          <w:color w:val="000000"/>
          <w:szCs w:val="28"/>
        </w:rPr>
        <w:t xml:space="preserve">they found </w:t>
      </w:r>
      <w:r w:rsidR="00B67B11">
        <w:rPr>
          <w:color w:val="000000"/>
          <w:szCs w:val="28"/>
        </w:rPr>
        <w:t>the c</w:t>
      </w:r>
      <w:r w:rsidR="00B45C49">
        <w:rPr>
          <w:color w:val="000000"/>
          <w:szCs w:val="28"/>
        </w:rPr>
        <w:t xml:space="preserve">ocaine </w:t>
      </w:r>
      <w:r w:rsidR="00B67B11">
        <w:rPr>
          <w:color w:val="000000"/>
          <w:szCs w:val="28"/>
        </w:rPr>
        <w:t>particular</w:t>
      </w:r>
      <w:r>
        <w:rPr>
          <w:color w:val="000000"/>
          <w:szCs w:val="28"/>
        </w:rPr>
        <w:t>ised in the charge</w:t>
      </w:r>
      <w:r w:rsidR="00B45C49">
        <w:rPr>
          <w:color w:val="000000"/>
          <w:szCs w:val="28"/>
        </w:rPr>
        <w:t xml:space="preserve"> </w:t>
      </w:r>
      <w:r w:rsidR="00B67B11">
        <w:rPr>
          <w:color w:val="000000"/>
          <w:szCs w:val="28"/>
        </w:rPr>
        <w:t xml:space="preserve">in two </w:t>
      </w:r>
      <w:r w:rsidR="00FD03B0">
        <w:rPr>
          <w:color w:val="000000"/>
          <w:szCs w:val="28"/>
        </w:rPr>
        <w:t>locations within the car</w:t>
      </w:r>
      <w:r w:rsidR="00B67B11">
        <w:rPr>
          <w:color w:val="000000"/>
          <w:szCs w:val="28"/>
        </w:rPr>
        <w:t>.</w:t>
      </w:r>
      <w:r w:rsidR="00500232">
        <w:rPr>
          <w:color w:val="000000"/>
          <w:szCs w:val="28"/>
        </w:rPr>
        <w:t xml:space="preserve">  </w:t>
      </w:r>
      <w:r w:rsidR="00FD03B0">
        <w:rPr>
          <w:color w:val="000000"/>
          <w:szCs w:val="28"/>
        </w:rPr>
        <w:t>One amount</w:t>
      </w:r>
      <w:r w:rsidR="00B67B11">
        <w:rPr>
          <w:color w:val="000000"/>
          <w:szCs w:val="28"/>
        </w:rPr>
        <w:t xml:space="preserve"> of cocaine was found inside</w:t>
      </w:r>
      <w:r w:rsidR="00B45C49">
        <w:rPr>
          <w:color w:val="000000"/>
          <w:szCs w:val="28"/>
        </w:rPr>
        <w:t xml:space="preserve"> the </w:t>
      </w:r>
      <w:r w:rsidR="001762AA">
        <w:rPr>
          <w:color w:val="000000"/>
          <w:szCs w:val="28"/>
        </w:rPr>
        <w:t xml:space="preserve">glove box </w:t>
      </w:r>
      <w:r w:rsidR="00F54453">
        <w:rPr>
          <w:color w:val="000000"/>
          <w:szCs w:val="28"/>
        </w:rPr>
        <w:t>between the front seats</w:t>
      </w:r>
      <w:r w:rsidR="002A7C31">
        <w:rPr>
          <w:color w:val="000000"/>
          <w:szCs w:val="28"/>
        </w:rPr>
        <w:t>,</w:t>
      </w:r>
      <w:r>
        <w:rPr>
          <w:color w:val="000000"/>
          <w:szCs w:val="28"/>
        </w:rPr>
        <w:t xml:space="preserve"> and it was contained </w:t>
      </w:r>
      <w:r w:rsidR="005D2D3D">
        <w:rPr>
          <w:color w:val="000000"/>
          <w:szCs w:val="28"/>
        </w:rPr>
        <w:t>in 96 small</w:t>
      </w:r>
      <w:r w:rsidR="005D3F3E">
        <w:rPr>
          <w:color w:val="000000"/>
          <w:szCs w:val="28"/>
        </w:rPr>
        <w:t xml:space="preserve"> </w:t>
      </w:r>
      <w:r w:rsidR="005D2D3D">
        <w:rPr>
          <w:color w:val="000000"/>
          <w:szCs w:val="28"/>
        </w:rPr>
        <w:t xml:space="preserve">packets inside a transparent </w:t>
      </w:r>
      <w:proofErr w:type="spellStart"/>
      <w:r w:rsidR="005D2D3D">
        <w:rPr>
          <w:color w:val="000000"/>
          <w:szCs w:val="28"/>
        </w:rPr>
        <w:t>resealable</w:t>
      </w:r>
      <w:proofErr w:type="spellEnd"/>
      <w:r w:rsidR="005D2D3D">
        <w:rPr>
          <w:color w:val="000000"/>
          <w:szCs w:val="28"/>
        </w:rPr>
        <w:t xml:space="preserve"> plastic bag</w:t>
      </w:r>
      <w:r w:rsidR="00B67B11">
        <w:rPr>
          <w:color w:val="000000"/>
          <w:szCs w:val="28"/>
        </w:rPr>
        <w:t>.</w:t>
      </w:r>
      <w:r w:rsidR="00F54453">
        <w:rPr>
          <w:color w:val="000000"/>
          <w:szCs w:val="28"/>
        </w:rPr>
        <w:t xml:space="preserve"> </w:t>
      </w:r>
      <w:r w:rsidR="00B67B11">
        <w:rPr>
          <w:color w:val="000000"/>
          <w:szCs w:val="28"/>
        </w:rPr>
        <w:t xml:space="preserve"> The other </w:t>
      </w:r>
      <w:r w:rsidR="00FD03B0">
        <w:rPr>
          <w:color w:val="000000"/>
          <w:szCs w:val="28"/>
        </w:rPr>
        <w:t>amount</w:t>
      </w:r>
      <w:r w:rsidR="00514582">
        <w:rPr>
          <w:color w:val="000000"/>
          <w:szCs w:val="28"/>
        </w:rPr>
        <w:t>,</w:t>
      </w:r>
      <w:r w:rsidR="00B67B11">
        <w:rPr>
          <w:color w:val="000000"/>
          <w:szCs w:val="28"/>
        </w:rPr>
        <w:t xml:space="preserve"> </w:t>
      </w:r>
      <w:r>
        <w:rPr>
          <w:color w:val="000000"/>
          <w:szCs w:val="28"/>
        </w:rPr>
        <w:t xml:space="preserve">consisting </w:t>
      </w:r>
      <w:r w:rsidR="00B67B11">
        <w:rPr>
          <w:color w:val="000000"/>
          <w:szCs w:val="28"/>
        </w:rPr>
        <w:t xml:space="preserve">of </w:t>
      </w:r>
      <w:r w:rsidR="005D3F3E">
        <w:rPr>
          <w:color w:val="000000"/>
          <w:szCs w:val="28"/>
        </w:rPr>
        <w:t>6 packets</w:t>
      </w:r>
      <w:r>
        <w:rPr>
          <w:color w:val="000000"/>
          <w:szCs w:val="28"/>
        </w:rPr>
        <w:t xml:space="preserve">, </w:t>
      </w:r>
      <w:r w:rsidR="005D2D3D">
        <w:rPr>
          <w:color w:val="000000"/>
          <w:szCs w:val="28"/>
        </w:rPr>
        <w:t xml:space="preserve">together with several </w:t>
      </w:r>
      <w:proofErr w:type="spellStart"/>
      <w:r w:rsidR="005D2D3D">
        <w:rPr>
          <w:color w:val="000000"/>
          <w:szCs w:val="28"/>
        </w:rPr>
        <w:t>resealable</w:t>
      </w:r>
      <w:proofErr w:type="spellEnd"/>
      <w:r w:rsidR="005D2D3D">
        <w:rPr>
          <w:color w:val="000000"/>
          <w:szCs w:val="28"/>
        </w:rPr>
        <w:t xml:space="preserve"> transparent bags and an electronic scale</w:t>
      </w:r>
      <w:r w:rsidR="009550AD">
        <w:rPr>
          <w:color w:val="000000"/>
          <w:szCs w:val="28"/>
        </w:rPr>
        <w:t>,</w:t>
      </w:r>
      <w:r w:rsidR="005D2D3D">
        <w:rPr>
          <w:color w:val="000000"/>
          <w:szCs w:val="28"/>
        </w:rPr>
        <w:t xml:space="preserve"> </w:t>
      </w:r>
      <w:r w:rsidR="009550AD">
        <w:rPr>
          <w:color w:val="000000"/>
          <w:szCs w:val="28"/>
        </w:rPr>
        <w:t xml:space="preserve">was found </w:t>
      </w:r>
      <w:r w:rsidR="005D2D3D">
        <w:rPr>
          <w:color w:val="000000"/>
          <w:szCs w:val="28"/>
        </w:rPr>
        <w:t xml:space="preserve">inside </w:t>
      </w:r>
      <w:r w:rsidR="00B67B11">
        <w:rPr>
          <w:color w:val="000000"/>
          <w:szCs w:val="28"/>
        </w:rPr>
        <w:t>a red plastic bag l</w:t>
      </w:r>
      <w:r w:rsidR="005D2D3D">
        <w:rPr>
          <w:color w:val="000000"/>
          <w:szCs w:val="28"/>
        </w:rPr>
        <w:t>ying</w:t>
      </w:r>
      <w:r w:rsidR="00B67B11">
        <w:rPr>
          <w:color w:val="000000"/>
          <w:szCs w:val="28"/>
        </w:rPr>
        <w:t xml:space="preserve"> on </w:t>
      </w:r>
      <w:r w:rsidR="00B45C49" w:rsidRPr="00F54453">
        <w:rPr>
          <w:color w:val="000000"/>
          <w:szCs w:val="28"/>
        </w:rPr>
        <w:t>the floor behind the front passen</w:t>
      </w:r>
      <w:r w:rsidR="005D2D3D">
        <w:rPr>
          <w:color w:val="000000"/>
          <w:szCs w:val="28"/>
        </w:rPr>
        <w:t>ger seat</w:t>
      </w:r>
      <w:r w:rsidR="00500232">
        <w:rPr>
          <w:color w:val="000000"/>
          <w:szCs w:val="28"/>
        </w:rPr>
        <w:t xml:space="preserve">.  </w:t>
      </w:r>
      <w:r w:rsidR="005D2D3D">
        <w:rPr>
          <w:color w:val="000000"/>
          <w:szCs w:val="28"/>
        </w:rPr>
        <w:t>The e</w:t>
      </w:r>
      <w:r w:rsidR="00FB2359" w:rsidRPr="003A02B9">
        <w:rPr>
          <w:color w:val="000000"/>
          <w:szCs w:val="28"/>
        </w:rPr>
        <w:t xml:space="preserve">stimated value of </w:t>
      </w:r>
      <w:r w:rsidR="005D3F3E">
        <w:rPr>
          <w:color w:val="000000"/>
          <w:szCs w:val="28"/>
        </w:rPr>
        <w:t xml:space="preserve">the </w:t>
      </w:r>
      <w:r w:rsidR="00012400">
        <w:rPr>
          <w:color w:val="000000"/>
          <w:szCs w:val="28"/>
        </w:rPr>
        <w:t>cocaine</w:t>
      </w:r>
      <w:r w:rsidR="00012400" w:rsidRPr="003A02B9">
        <w:rPr>
          <w:color w:val="000000"/>
          <w:szCs w:val="28"/>
        </w:rPr>
        <w:t xml:space="preserve"> </w:t>
      </w:r>
      <w:r w:rsidR="00765BAC">
        <w:rPr>
          <w:color w:val="000000"/>
          <w:szCs w:val="28"/>
        </w:rPr>
        <w:t xml:space="preserve">was </w:t>
      </w:r>
      <w:r w:rsidR="00FB2359" w:rsidRPr="003A02B9">
        <w:rPr>
          <w:color w:val="000000"/>
          <w:szCs w:val="28"/>
        </w:rPr>
        <w:t>HK$</w:t>
      </w:r>
      <w:r w:rsidR="00A4122B">
        <w:rPr>
          <w:color w:val="000000"/>
          <w:szCs w:val="28"/>
        </w:rPr>
        <w:t>157</w:t>
      </w:r>
      <w:r w:rsidR="00FB2359" w:rsidRPr="003A02B9">
        <w:rPr>
          <w:color w:val="000000"/>
          <w:szCs w:val="28"/>
        </w:rPr>
        <w:t>,</w:t>
      </w:r>
      <w:r w:rsidR="00A4122B">
        <w:rPr>
          <w:color w:val="000000"/>
          <w:szCs w:val="28"/>
        </w:rPr>
        <w:t>901</w:t>
      </w:r>
      <w:r w:rsidR="00765BAC">
        <w:rPr>
          <w:color w:val="000000"/>
          <w:szCs w:val="28"/>
        </w:rPr>
        <w:t>.</w:t>
      </w:r>
      <w:r w:rsidR="00A226FC">
        <w:rPr>
          <w:color w:val="000000"/>
          <w:szCs w:val="28"/>
        </w:rPr>
        <w:t xml:space="preserve"> </w:t>
      </w:r>
      <w:r w:rsidR="00765BAC">
        <w:rPr>
          <w:color w:val="000000"/>
          <w:szCs w:val="28"/>
        </w:rPr>
        <w:t xml:space="preserve"> </w:t>
      </w:r>
      <w:r w:rsidR="00500232">
        <w:rPr>
          <w:color w:val="000000"/>
          <w:szCs w:val="28"/>
        </w:rPr>
        <w:t xml:space="preserve">  </w:t>
      </w:r>
    </w:p>
    <w:p w:rsidR="008B54FA" w:rsidRDefault="00463D46" w:rsidP="00EC15C0">
      <w:pPr>
        <w:pStyle w:val="Final"/>
        <w:ind w:left="0" w:firstLine="0"/>
        <w:rPr>
          <w:color w:val="000000"/>
          <w:szCs w:val="28"/>
        </w:rPr>
      </w:pPr>
      <w:r>
        <w:rPr>
          <w:color w:val="000000"/>
          <w:szCs w:val="28"/>
        </w:rPr>
        <w:lastRenderedPageBreak/>
        <w:t xml:space="preserve">When </w:t>
      </w:r>
      <w:r w:rsidR="007F67B1">
        <w:rPr>
          <w:color w:val="000000"/>
          <w:szCs w:val="28"/>
        </w:rPr>
        <w:t xml:space="preserve">arrested and </w:t>
      </w:r>
      <w:r w:rsidR="008B54FA">
        <w:rPr>
          <w:color w:val="000000"/>
          <w:szCs w:val="28"/>
        </w:rPr>
        <w:t>caution</w:t>
      </w:r>
      <w:r>
        <w:rPr>
          <w:color w:val="000000"/>
          <w:szCs w:val="28"/>
        </w:rPr>
        <w:t xml:space="preserve">ed </w:t>
      </w:r>
      <w:r w:rsidR="001762AA">
        <w:rPr>
          <w:color w:val="000000"/>
          <w:szCs w:val="28"/>
        </w:rPr>
        <w:t xml:space="preserve">at </w:t>
      </w:r>
      <w:r>
        <w:rPr>
          <w:color w:val="000000"/>
          <w:szCs w:val="28"/>
        </w:rPr>
        <w:t xml:space="preserve">the </w:t>
      </w:r>
      <w:r w:rsidR="001762AA">
        <w:rPr>
          <w:color w:val="000000"/>
          <w:szCs w:val="28"/>
        </w:rPr>
        <w:t xml:space="preserve">scene </w:t>
      </w:r>
      <w:r w:rsidR="00B709D1">
        <w:rPr>
          <w:color w:val="000000"/>
          <w:szCs w:val="28"/>
        </w:rPr>
        <w:t xml:space="preserve">by PC </w:t>
      </w:r>
      <w:r w:rsidR="001B381F">
        <w:rPr>
          <w:color w:val="000000"/>
          <w:szCs w:val="28"/>
        </w:rPr>
        <w:t>13875 (</w:t>
      </w:r>
      <w:r w:rsidR="008B54FA">
        <w:rPr>
          <w:color w:val="000000"/>
          <w:szCs w:val="28"/>
        </w:rPr>
        <w:t>“</w:t>
      </w:r>
      <w:r w:rsidR="001B381F">
        <w:rPr>
          <w:color w:val="000000"/>
          <w:szCs w:val="28"/>
        </w:rPr>
        <w:t>PW1</w:t>
      </w:r>
      <w:r w:rsidR="008B54FA">
        <w:rPr>
          <w:color w:val="000000"/>
          <w:szCs w:val="28"/>
        </w:rPr>
        <w:t>”</w:t>
      </w:r>
      <w:r w:rsidR="001B381F">
        <w:rPr>
          <w:color w:val="000000"/>
          <w:szCs w:val="28"/>
        </w:rPr>
        <w:t>)</w:t>
      </w:r>
      <w:r w:rsidR="00B709D1">
        <w:rPr>
          <w:color w:val="000000"/>
          <w:szCs w:val="28"/>
        </w:rPr>
        <w:t xml:space="preserve"> </w:t>
      </w:r>
      <w:r w:rsidR="006F5AEE">
        <w:rPr>
          <w:color w:val="000000"/>
          <w:szCs w:val="28"/>
        </w:rPr>
        <w:t xml:space="preserve">for </w:t>
      </w:r>
      <w:r w:rsidR="008B54FA">
        <w:rPr>
          <w:color w:val="000000"/>
          <w:szCs w:val="28"/>
        </w:rPr>
        <w:t xml:space="preserve">the offence of </w:t>
      </w:r>
      <w:r w:rsidR="009550AD">
        <w:rPr>
          <w:color w:val="000000"/>
          <w:szCs w:val="28"/>
        </w:rPr>
        <w:t>t</w:t>
      </w:r>
      <w:r w:rsidR="008B54FA">
        <w:rPr>
          <w:color w:val="000000"/>
          <w:szCs w:val="28"/>
        </w:rPr>
        <w:t>rafficking</w:t>
      </w:r>
      <w:r w:rsidR="001762AA">
        <w:rPr>
          <w:color w:val="000000"/>
          <w:szCs w:val="28"/>
        </w:rPr>
        <w:t xml:space="preserve"> in a </w:t>
      </w:r>
      <w:r w:rsidR="009550AD">
        <w:rPr>
          <w:color w:val="000000"/>
          <w:szCs w:val="28"/>
        </w:rPr>
        <w:t>d</w:t>
      </w:r>
      <w:r w:rsidR="001762AA">
        <w:rPr>
          <w:color w:val="000000"/>
          <w:szCs w:val="28"/>
        </w:rPr>
        <w:t xml:space="preserve">angerous </w:t>
      </w:r>
      <w:r w:rsidR="009550AD">
        <w:rPr>
          <w:color w:val="000000"/>
          <w:szCs w:val="28"/>
        </w:rPr>
        <w:t>d</w:t>
      </w:r>
      <w:r w:rsidR="001762AA">
        <w:rPr>
          <w:color w:val="000000"/>
          <w:szCs w:val="28"/>
        </w:rPr>
        <w:t>rug</w:t>
      </w:r>
      <w:r w:rsidR="008B54FA">
        <w:rPr>
          <w:color w:val="000000"/>
          <w:szCs w:val="28"/>
        </w:rPr>
        <w:t>,</w:t>
      </w:r>
      <w:r w:rsidR="006F5AEE">
        <w:rPr>
          <w:color w:val="000000"/>
          <w:szCs w:val="28"/>
        </w:rPr>
        <w:t xml:space="preserve"> </w:t>
      </w:r>
      <w:r w:rsidR="008B54FA">
        <w:rPr>
          <w:color w:val="000000"/>
          <w:szCs w:val="28"/>
        </w:rPr>
        <w:t xml:space="preserve">the appellant allegedly replied in </w:t>
      </w:r>
      <w:proofErr w:type="spellStart"/>
      <w:r w:rsidR="008B54FA">
        <w:rPr>
          <w:color w:val="000000"/>
          <w:szCs w:val="28"/>
        </w:rPr>
        <w:t>Punti</w:t>
      </w:r>
      <w:proofErr w:type="spellEnd"/>
      <w:r w:rsidR="008B54FA">
        <w:rPr>
          <w:color w:val="000000"/>
          <w:szCs w:val="28"/>
        </w:rPr>
        <w:t>:</w:t>
      </w:r>
      <w:r w:rsidR="006F5AEE">
        <w:rPr>
          <w:color w:val="000000"/>
          <w:szCs w:val="28"/>
        </w:rPr>
        <w:t xml:space="preserve"> </w:t>
      </w:r>
    </w:p>
    <w:p w:rsidR="008B54FA" w:rsidRPr="009D4C20" w:rsidRDefault="006F5AEE" w:rsidP="00255C22">
      <w:pPr>
        <w:pStyle w:val="Quotation"/>
      </w:pPr>
      <w:r w:rsidRPr="009D4C20">
        <w:t xml:space="preserve">“My father is suffering from cancer; that’s why I dragged C Chai </w:t>
      </w:r>
      <w:r w:rsidR="008B54FA" w:rsidRPr="009D4C20">
        <w:t xml:space="preserve">(transliteration) </w:t>
      </w:r>
      <w:r w:rsidRPr="009D4C20">
        <w:t xml:space="preserve">for someone to earn </w:t>
      </w:r>
      <w:r w:rsidRPr="00255C22">
        <w:t>just</w:t>
      </w:r>
      <w:r w:rsidRPr="009D4C20">
        <w:t xml:space="preserve"> a little money</w:t>
      </w:r>
      <w:r w:rsidR="00500232" w:rsidRPr="009D4C20">
        <w:t xml:space="preserve">.  </w:t>
      </w:r>
      <w:r w:rsidRPr="009D4C20">
        <w:t xml:space="preserve">Give </w:t>
      </w:r>
      <w:r w:rsidR="008B54FA" w:rsidRPr="009D4C20">
        <w:t xml:space="preserve">(me) </w:t>
      </w:r>
      <w:r w:rsidRPr="009D4C20">
        <w:t>a chance, Ah SIR</w:t>
      </w:r>
      <w:r w:rsidR="00CF6B18" w:rsidRPr="009D4C20">
        <w:t>.”</w:t>
      </w:r>
      <w:r w:rsidR="00CF6B18" w:rsidRPr="009D4C20">
        <w:rPr>
          <w:rStyle w:val="FootnoteReference"/>
          <w:color w:val="000000"/>
          <w:sz w:val="24"/>
          <w:szCs w:val="28"/>
        </w:rPr>
        <w:footnoteReference w:id="2"/>
      </w:r>
      <w:r w:rsidR="00500232" w:rsidRPr="009D4C20">
        <w:t xml:space="preserve">  </w:t>
      </w:r>
    </w:p>
    <w:p w:rsidR="002A7C31" w:rsidRDefault="00FD03B0" w:rsidP="002A7C31">
      <w:pPr>
        <w:pStyle w:val="Final"/>
        <w:numPr>
          <w:ilvl w:val="0"/>
          <w:numId w:val="0"/>
        </w:numPr>
        <w:rPr>
          <w:color w:val="000000"/>
        </w:rPr>
      </w:pPr>
      <w:r>
        <w:rPr>
          <w:color w:val="000000"/>
        </w:rPr>
        <w:t xml:space="preserve">The appellant denied making this admission and </w:t>
      </w:r>
      <w:r w:rsidR="002F2FD2">
        <w:rPr>
          <w:color w:val="000000"/>
        </w:rPr>
        <w:t>claimed</w:t>
      </w:r>
      <w:r>
        <w:rPr>
          <w:color w:val="000000"/>
        </w:rPr>
        <w:t xml:space="preserve"> it was a police fabrication.  </w:t>
      </w:r>
      <w:r w:rsidR="002F2FD2">
        <w:rPr>
          <w:color w:val="000000"/>
        </w:rPr>
        <w:t>In this judgment we shall refer to this admission as the crime-scene admission.</w:t>
      </w:r>
    </w:p>
    <w:p w:rsidR="007F67B1" w:rsidRPr="00FD03B0" w:rsidRDefault="001762AA" w:rsidP="00CB17D3">
      <w:pPr>
        <w:pStyle w:val="Final"/>
        <w:ind w:left="0" w:firstLine="0"/>
      </w:pPr>
      <w:r w:rsidRPr="00FD03B0">
        <w:t>This</w:t>
      </w:r>
      <w:r w:rsidR="00B709D1" w:rsidRPr="00FD03B0">
        <w:t xml:space="preserve"> </w:t>
      </w:r>
      <w:r w:rsidR="009550AD">
        <w:t xml:space="preserve">alleged </w:t>
      </w:r>
      <w:r w:rsidR="00862DFB">
        <w:t>crime-scene</w:t>
      </w:r>
      <w:r w:rsidR="00B709D1" w:rsidRPr="00FD03B0">
        <w:t xml:space="preserve"> admission was </w:t>
      </w:r>
      <w:r w:rsidR="00F73F9E" w:rsidRPr="00FD03B0">
        <w:t xml:space="preserve">contemporaneously </w:t>
      </w:r>
      <w:r w:rsidR="00B709D1" w:rsidRPr="00FD03B0">
        <w:t>recorded in PW1’s notebook</w:t>
      </w:r>
      <w:r w:rsidR="009550AD">
        <w:t xml:space="preserve"> and the appellant </w:t>
      </w:r>
      <w:r w:rsidR="00B709D1" w:rsidRPr="00FD03B0">
        <w:t xml:space="preserve">countersigned </w:t>
      </w:r>
      <w:r w:rsidR="009550AD">
        <w:t xml:space="preserve">beneath it and also signed a declaration that the post-record of his caution statement was </w:t>
      </w:r>
      <w:r w:rsidR="00B709D1" w:rsidRPr="00FD03B0">
        <w:t>true</w:t>
      </w:r>
      <w:r w:rsidR="0094642E">
        <w:t xml:space="preserve"> and</w:t>
      </w:r>
      <w:r w:rsidR="008A6D37">
        <w:t xml:space="preserve"> </w:t>
      </w:r>
      <w:r w:rsidR="00F94B25">
        <w:t xml:space="preserve">that it </w:t>
      </w:r>
      <w:r w:rsidR="009550AD">
        <w:t xml:space="preserve">had </w:t>
      </w:r>
      <w:r w:rsidR="0094642E">
        <w:t>been</w:t>
      </w:r>
      <w:r w:rsidR="00B709D1" w:rsidRPr="00FD03B0">
        <w:t xml:space="preserve"> made of his own free will</w:t>
      </w:r>
      <w:r w:rsidR="002A7C31">
        <w:t>.</w:t>
      </w:r>
      <w:r w:rsidR="0094642E">
        <w:t xml:space="preserve">  </w:t>
      </w:r>
      <w:r w:rsidR="0094642E">
        <w:rPr>
          <w:szCs w:val="28"/>
        </w:rPr>
        <w:t>I</w:t>
      </w:r>
      <w:r w:rsidR="0094642E" w:rsidRPr="002735CA">
        <w:rPr>
          <w:szCs w:val="28"/>
          <w:lang w:val="en-US"/>
        </w:rPr>
        <w:t>n respect of</w:t>
      </w:r>
      <w:r w:rsidR="0094642E">
        <w:rPr>
          <w:szCs w:val="28"/>
        </w:rPr>
        <w:t xml:space="preserve"> the post-recording of this </w:t>
      </w:r>
      <w:r w:rsidR="00631138">
        <w:rPr>
          <w:rFonts w:hint="eastAsia"/>
          <w:szCs w:val="28"/>
        </w:rPr>
        <w:t>a</w:t>
      </w:r>
      <w:r w:rsidR="00631138">
        <w:rPr>
          <w:szCs w:val="28"/>
        </w:rPr>
        <w:t xml:space="preserve">lleged </w:t>
      </w:r>
      <w:r w:rsidR="0094642E">
        <w:rPr>
          <w:szCs w:val="28"/>
        </w:rPr>
        <w:t xml:space="preserve">false admission in </w:t>
      </w:r>
      <w:r w:rsidR="0094642E" w:rsidRPr="00B90CBC">
        <w:rPr>
          <w:szCs w:val="28"/>
        </w:rPr>
        <w:t xml:space="preserve">PW1’s notebook </w:t>
      </w:r>
      <w:r w:rsidR="0094642E">
        <w:rPr>
          <w:szCs w:val="28"/>
        </w:rPr>
        <w:t xml:space="preserve">the </w:t>
      </w:r>
      <w:r w:rsidR="0094642E" w:rsidRPr="002735CA">
        <w:rPr>
          <w:szCs w:val="28"/>
        </w:rPr>
        <w:t>appellant</w:t>
      </w:r>
      <w:r w:rsidR="0094642E">
        <w:rPr>
          <w:szCs w:val="28"/>
        </w:rPr>
        <w:t xml:space="preserve"> claimed that he signed against it </w:t>
      </w:r>
      <w:r w:rsidR="002A7C31">
        <w:rPr>
          <w:szCs w:val="28"/>
        </w:rPr>
        <w:t xml:space="preserve">only </w:t>
      </w:r>
      <w:r w:rsidR="0094642E" w:rsidRPr="00B90CBC">
        <w:rPr>
          <w:szCs w:val="28"/>
        </w:rPr>
        <w:t>because of the inducement</w:t>
      </w:r>
      <w:r w:rsidR="0094642E">
        <w:rPr>
          <w:szCs w:val="28"/>
        </w:rPr>
        <w:t>s</w:t>
      </w:r>
      <w:r w:rsidR="0094642E" w:rsidRPr="00B90CBC">
        <w:rPr>
          <w:szCs w:val="28"/>
        </w:rPr>
        <w:t xml:space="preserve"> and threat</w:t>
      </w:r>
      <w:r w:rsidR="0094642E">
        <w:rPr>
          <w:szCs w:val="28"/>
        </w:rPr>
        <w:t>s</w:t>
      </w:r>
      <w:r w:rsidR="0094642E" w:rsidRPr="00B90CBC">
        <w:rPr>
          <w:szCs w:val="28"/>
        </w:rPr>
        <w:t xml:space="preserve"> by the police that if he co-operated</w:t>
      </w:r>
      <w:r w:rsidR="0094642E">
        <w:rPr>
          <w:szCs w:val="28"/>
        </w:rPr>
        <w:t xml:space="preserve"> with them</w:t>
      </w:r>
      <w:r w:rsidR="0094642E" w:rsidRPr="00B90CBC">
        <w:rPr>
          <w:szCs w:val="28"/>
        </w:rPr>
        <w:t xml:space="preserve"> his girlfriend would not be arrested and charged.  </w:t>
      </w:r>
    </w:p>
    <w:p w:rsidR="002A7C31" w:rsidRDefault="00463D46" w:rsidP="00B020C7">
      <w:pPr>
        <w:pStyle w:val="Final"/>
        <w:ind w:left="0" w:firstLine="0"/>
        <w:rPr>
          <w:color w:val="000000"/>
          <w:szCs w:val="28"/>
        </w:rPr>
      </w:pPr>
      <w:r>
        <w:rPr>
          <w:color w:val="000000"/>
          <w:szCs w:val="28"/>
        </w:rPr>
        <w:t>Later</w:t>
      </w:r>
      <w:r w:rsidR="00370F6B">
        <w:rPr>
          <w:color w:val="000000"/>
          <w:szCs w:val="28"/>
        </w:rPr>
        <w:t xml:space="preserve">, </w:t>
      </w:r>
      <w:r w:rsidR="002038E5" w:rsidRPr="00B020C7">
        <w:rPr>
          <w:color w:val="000000"/>
          <w:szCs w:val="28"/>
        </w:rPr>
        <w:t>a</w:t>
      </w:r>
      <w:r w:rsidR="00EC15C0" w:rsidRPr="00B020C7">
        <w:rPr>
          <w:color w:val="000000"/>
          <w:szCs w:val="28"/>
        </w:rPr>
        <w:t xml:space="preserve"> </w:t>
      </w:r>
      <w:r w:rsidRPr="00463D46">
        <w:rPr>
          <w:color w:val="000000"/>
          <w:szCs w:val="28"/>
        </w:rPr>
        <w:t>video record of interview</w:t>
      </w:r>
      <w:r w:rsidR="00EC15C0" w:rsidRPr="00B020C7">
        <w:rPr>
          <w:color w:val="000000"/>
          <w:szCs w:val="28"/>
        </w:rPr>
        <w:t xml:space="preserve"> </w:t>
      </w:r>
      <w:r>
        <w:rPr>
          <w:color w:val="000000"/>
          <w:szCs w:val="28"/>
        </w:rPr>
        <w:t xml:space="preserve">(“VRI”) </w:t>
      </w:r>
      <w:r w:rsidR="00EC15C0" w:rsidRPr="00B020C7">
        <w:rPr>
          <w:color w:val="000000"/>
          <w:szCs w:val="28"/>
        </w:rPr>
        <w:t xml:space="preserve">was conducted </w:t>
      </w:r>
      <w:r w:rsidR="002038E5" w:rsidRPr="00B020C7">
        <w:rPr>
          <w:color w:val="000000"/>
          <w:szCs w:val="28"/>
        </w:rPr>
        <w:t xml:space="preserve">with the appellant </w:t>
      </w:r>
      <w:r w:rsidR="00EC15C0" w:rsidRPr="00B020C7">
        <w:rPr>
          <w:color w:val="000000"/>
          <w:szCs w:val="28"/>
        </w:rPr>
        <w:t>in which he</w:t>
      </w:r>
      <w:r w:rsidR="002038E5" w:rsidRPr="00B020C7">
        <w:rPr>
          <w:color w:val="000000"/>
          <w:szCs w:val="28"/>
        </w:rPr>
        <w:t xml:space="preserve"> made admissions to trafficking in the cocaine </w:t>
      </w:r>
      <w:r w:rsidR="00B020C7" w:rsidRPr="00B020C7">
        <w:rPr>
          <w:color w:val="000000"/>
          <w:szCs w:val="28"/>
        </w:rPr>
        <w:t>by</w:t>
      </w:r>
      <w:r w:rsidR="006F24E1" w:rsidRPr="00B020C7">
        <w:rPr>
          <w:color w:val="000000"/>
          <w:szCs w:val="28"/>
        </w:rPr>
        <w:t xml:space="preserve"> </w:t>
      </w:r>
      <w:r w:rsidR="00A23800">
        <w:rPr>
          <w:color w:val="000000"/>
          <w:szCs w:val="28"/>
        </w:rPr>
        <w:t xml:space="preserve">acknowledging and </w:t>
      </w:r>
      <w:r w:rsidR="006F24E1" w:rsidRPr="00B020C7">
        <w:rPr>
          <w:color w:val="000000"/>
          <w:szCs w:val="28"/>
        </w:rPr>
        <w:t>supplementing his</w:t>
      </w:r>
      <w:r w:rsidR="00370F6B">
        <w:rPr>
          <w:color w:val="000000"/>
          <w:szCs w:val="28"/>
        </w:rPr>
        <w:t xml:space="preserve"> earlier</w:t>
      </w:r>
      <w:r w:rsidR="006F24E1" w:rsidRPr="00B020C7">
        <w:rPr>
          <w:color w:val="000000"/>
          <w:szCs w:val="28"/>
        </w:rPr>
        <w:t xml:space="preserve"> </w:t>
      </w:r>
      <w:r w:rsidR="00862DFB">
        <w:rPr>
          <w:color w:val="000000"/>
          <w:szCs w:val="28"/>
        </w:rPr>
        <w:t>crime-scene</w:t>
      </w:r>
      <w:r w:rsidR="006F24E1" w:rsidRPr="00B020C7">
        <w:rPr>
          <w:color w:val="000000"/>
          <w:szCs w:val="28"/>
        </w:rPr>
        <w:t xml:space="preserve"> admission</w:t>
      </w:r>
      <w:r w:rsidR="00500232" w:rsidRPr="00B020C7">
        <w:rPr>
          <w:color w:val="000000"/>
          <w:szCs w:val="28"/>
        </w:rPr>
        <w:t xml:space="preserve">.  </w:t>
      </w:r>
      <w:r>
        <w:rPr>
          <w:color w:val="000000"/>
          <w:szCs w:val="28"/>
        </w:rPr>
        <w:t>H</w:t>
      </w:r>
      <w:r w:rsidR="003320B7" w:rsidRPr="00B020C7">
        <w:rPr>
          <w:color w:val="000000"/>
          <w:szCs w:val="28"/>
        </w:rPr>
        <w:t>e</w:t>
      </w:r>
      <w:r w:rsidR="00EC15C0" w:rsidRPr="00B020C7">
        <w:rPr>
          <w:color w:val="000000"/>
          <w:szCs w:val="28"/>
        </w:rPr>
        <w:t xml:space="preserve"> </w:t>
      </w:r>
      <w:r w:rsidR="003320B7" w:rsidRPr="00B020C7">
        <w:rPr>
          <w:color w:val="000000"/>
          <w:szCs w:val="28"/>
        </w:rPr>
        <w:t xml:space="preserve">said </w:t>
      </w:r>
      <w:r w:rsidR="00F73F9E">
        <w:rPr>
          <w:color w:val="000000"/>
          <w:szCs w:val="28"/>
        </w:rPr>
        <w:t xml:space="preserve">he met </w:t>
      </w:r>
      <w:r w:rsidR="001E0648">
        <w:rPr>
          <w:color w:val="000000"/>
          <w:szCs w:val="28"/>
        </w:rPr>
        <w:t xml:space="preserve">one </w:t>
      </w:r>
      <w:r w:rsidR="00F73F9E">
        <w:rPr>
          <w:color w:val="000000"/>
          <w:szCs w:val="28"/>
        </w:rPr>
        <w:t xml:space="preserve">“Kit Chai” in a bar in </w:t>
      </w:r>
      <w:proofErr w:type="spellStart"/>
      <w:r w:rsidR="00F73F9E">
        <w:rPr>
          <w:color w:val="000000"/>
          <w:szCs w:val="28"/>
        </w:rPr>
        <w:t>Tsim</w:t>
      </w:r>
      <w:proofErr w:type="spellEnd"/>
      <w:r w:rsidR="00F73F9E">
        <w:rPr>
          <w:color w:val="000000"/>
          <w:szCs w:val="28"/>
        </w:rPr>
        <w:t xml:space="preserve"> </w:t>
      </w:r>
      <w:proofErr w:type="spellStart"/>
      <w:r w:rsidR="00F73F9E">
        <w:rPr>
          <w:color w:val="000000"/>
          <w:szCs w:val="28"/>
        </w:rPr>
        <w:t>Sha</w:t>
      </w:r>
      <w:proofErr w:type="spellEnd"/>
      <w:r w:rsidR="00F73F9E">
        <w:rPr>
          <w:color w:val="000000"/>
          <w:szCs w:val="28"/>
        </w:rPr>
        <w:t xml:space="preserve"> </w:t>
      </w:r>
      <w:proofErr w:type="spellStart"/>
      <w:r w:rsidR="00F73F9E">
        <w:rPr>
          <w:color w:val="000000"/>
          <w:szCs w:val="28"/>
        </w:rPr>
        <w:t>Tsui</w:t>
      </w:r>
      <w:proofErr w:type="spellEnd"/>
      <w:r>
        <w:rPr>
          <w:color w:val="000000"/>
          <w:szCs w:val="28"/>
        </w:rPr>
        <w:t xml:space="preserve"> </w:t>
      </w:r>
      <w:r w:rsidR="00A23800">
        <w:rPr>
          <w:color w:val="000000"/>
          <w:szCs w:val="28"/>
        </w:rPr>
        <w:t xml:space="preserve">and he agreed with </w:t>
      </w:r>
      <w:r w:rsidR="00BC08DB">
        <w:rPr>
          <w:color w:val="000000"/>
          <w:szCs w:val="28"/>
        </w:rPr>
        <w:t>this person that in return for a</w:t>
      </w:r>
      <w:r w:rsidR="00A23800">
        <w:rPr>
          <w:color w:val="000000"/>
          <w:szCs w:val="28"/>
        </w:rPr>
        <w:t xml:space="preserve"> reward he would </w:t>
      </w:r>
      <w:r w:rsidRPr="00B020C7">
        <w:rPr>
          <w:color w:val="000000"/>
          <w:szCs w:val="28"/>
        </w:rPr>
        <w:t xml:space="preserve">deliver the cocaine.  </w:t>
      </w:r>
      <w:r w:rsidR="00A23800">
        <w:rPr>
          <w:color w:val="000000"/>
          <w:szCs w:val="28"/>
        </w:rPr>
        <w:t>Kit Chai</w:t>
      </w:r>
      <w:r>
        <w:rPr>
          <w:color w:val="000000"/>
          <w:szCs w:val="28"/>
        </w:rPr>
        <w:t xml:space="preserve"> gave him the keys to the car containing the cocaine after </w:t>
      </w:r>
      <w:r w:rsidR="00F73F9E">
        <w:rPr>
          <w:color w:val="000000"/>
          <w:szCs w:val="28"/>
        </w:rPr>
        <w:t>leaving the car outside his home</w:t>
      </w:r>
      <w:r w:rsidR="008A5C0E">
        <w:rPr>
          <w:color w:val="000000"/>
          <w:szCs w:val="28"/>
        </w:rPr>
        <w:t xml:space="preserve">.  However, </w:t>
      </w:r>
      <w:r w:rsidR="00F73F9E">
        <w:rPr>
          <w:color w:val="000000"/>
          <w:szCs w:val="28"/>
        </w:rPr>
        <w:t>he</w:t>
      </w:r>
      <w:r w:rsidR="003320B7" w:rsidRPr="00B020C7">
        <w:rPr>
          <w:color w:val="000000"/>
          <w:szCs w:val="28"/>
        </w:rPr>
        <w:t xml:space="preserve"> did not know who</w:t>
      </w:r>
      <w:r w:rsidR="008A5C0E">
        <w:rPr>
          <w:color w:val="000000"/>
          <w:szCs w:val="28"/>
        </w:rPr>
        <w:t xml:space="preserve"> </w:t>
      </w:r>
      <w:r w:rsidR="009550AD">
        <w:rPr>
          <w:color w:val="000000"/>
          <w:szCs w:val="28"/>
        </w:rPr>
        <w:t xml:space="preserve">owned </w:t>
      </w:r>
      <w:r w:rsidR="008A5C0E">
        <w:rPr>
          <w:color w:val="000000"/>
          <w:szCs w:val="28"/>
        </w:rPr>
        <w:t>t</w:t>
      </w:r>
      <w:r w:rsidR="003320B7" w:rsidRPr="00B020C7">
        <w:rPr>
          <w:color w:val="000000"/>
          <w:szCs w:val="28"/>
        </w:rPr>
        <w:t>he car</w:t>
      </w:r>
      <w:r w:rsidR="00B020C7" w:rsidRPr="00B020C7">
        <w:rPr>
          <w:color w:val="000000"/>
          <w:szCs w:val="28"/>
        </w:rPr>
        <w:t xml:space="preserve">. </w:t>
      </w:r>
    </w:p>
    <w:p w:rsidR="00B020C7" w:rsidRDefault="002F2FD2" w:rsidP="00B020C7">
      <w:pPr>
        <w:pStyle w:val="Final"/>
        <w:ind w:left="0" w:firstLine="0"/>
        <w:rPr>
          <w:color w:val="000000"/>
          <w:szCs w:val="28"/>
        </w:rPr>
      </w:pPr>
      <w:r>
        <w:rPr>
          <w:color w:val="000000"/>
          <w:szCs w:val="28"/>
        </w:rPr>
        <w:lastRenderedPageBreak/>
        <w:t>In his subsequent trial testimony</w:t>
      </w:r>
      <w:r w:rsidR="00631138">
        <w:rPr>
          <w:color w:val="000000"/>
          <w:szCs w:val="28"/>
        </w:rPr>
        <w:t>,</w:t>
      </w:r>
      <w:r>
        <w:rPr>
          <w:color w:val="000000"/>
          <w:szCs w:val="28"/>
        </w:rPr>
        <w:t xml:space="preserve"> t</w:t>
      </w:r>
      <w:r w:rsidR="002A7C31" w:rsidRPr="00B90CBC">
        <w:rPr>
          <w:color w:val="000000"/>
          <w:szCs w:val="28"/>
        </w:rPr>
        <w:t xml:space="preserve">he </w:t>
      </w:r>
      <w:r w:rsidR="002A7C31" w:rsidRPr="002A7C31">
        <w:rPr>
          <w:color w:val="000000"/>
          <w:szCs w:val="28"/>
        </w:rPr>
        <w:t>appellant</w:t>
      </w:r>
      <w:r w:rsidR="002A7C31">
        <w:rPr>
          <w:color w:val="000000"/>
          <w:szCs w:val="28"/>
        </w:rPr>
        <w:t xml:space="preserve"> claimed that the </w:t>
      </w:r>
      <w:r w:rsidR="002A7C31" w:rsidRPr="00B90CBC">
        <w:rPr>
          <w:color w:val="000000"/>
          <w:szCs w:val="28"/>
        </w:rPr>
        <w:t xml:space="preserve">incriminating answers </w:t>
      </w:r>
      <w:r w:rsidR="0074767A">
        <w:rPr>
          <w:color w:val="000000"/>
          <w:szCs w:val="28"/>
        </w:rPr>
        <w:t xml:space="preserve">that he gave </w:t>
      </w:r>
      <w:r w:rsidR="002A7C31" w:rsidRPr="00B90CBC">
        <w:rPr>
          <w:color w:val="000000"/>
          <w:szCs w:val="28"/>
        </w:rPr>
        <w:t xml:space="preserve">in </w:t>
      </w:r>
      <w:r w:rsidR="002A7C31">
        <w:rPr>
          <w:color w:val="000000"/>
          <w:szCs w:val="28"/>
        </w:rPr>
        <w:t xml:space="preserve">his </w:t>
      </w:r>
      <w:r w:rsidR="002A7C31" w:rsidRPr="00B90CBC">
        <w:rPr>
          <w:color w:val="000000"/>
          <w:szCs w:val="28"/>
        </w:rPr>
        <w:t xml:space="preserve">VRI were </w:t>
      </w:r>
      <w:r w:rsidR="0074767A">
        <w:rPr>
          <w:color w:val="000000"/>
          <w:szCs w:val="28"/>
        </w:rPr>
        <w:t xml:space="preserve">the result of </w:t>
      </w:r>
      <w:r w:rsidR="002A7C31" w:rsidRPr="00B90CBC">
        <w:rPr>
          <w:color w:val="000000"/>
          <w:szCs w:val="28"/>
        </w:rPr>
        <w:t>police</w:t>
      </w:r>
      <w:r w:rsidR="0074767A">
        <w:rPr>
          <w:color w:val="000000"/>
          <w:szCs w:val="28"/>
        </w:rPr>
        <w:t xml:space="preserve"> coaching </w:t>
      </w:r>
      <w:r w:rsidR="002A7C31">
        <w:rPr>
          <w:color w:val="000000"/>
          <w:szCs w:val="28"/>
        </w:rPr>
        <w:t xml:space="preserve">and </w:t>
      </w:r>
      <w:r>
        <w:rPr>
          <w:color w:val="000000"/>
          <w:szCs w:val="28"/>
        </w:rPr>
        <w:t xml:space="preserve">that </w:t>
      </w:r>
      <w:r w:rsidR="002A7C31">
        <w:rPr>
          <w:color w:val="000000"/>
          <w:szCs w:val="28"/>
        </w:rPr>
        <w:t xml:space="preserve">he </w:t>
      </w:r>
      <w:r w:rsidR="0074767A">
        <w:rPr>
          <w:color w:val="000000"/>
          <w:szCs w:val="28"/>
        </w:rPr>
        <w:t xml:space="preserve">only </w:t>
      </w:r>
      <w:r w:rsidR="002A7C31">
        <w:rPr>
          <w:color w:val="000000"/>
          <w:szCs w:val="28"/>
        </w:rPr>
        <w:t xml:space="preserve">agreed to </w:t>
      </w:r>
      <w:r w:rsidR="0074767A">
        <w:rPr>
          <w:color w:val="000000"/>
          <w:szCs w:val="28"/>
        </w:rPr>
        <w:t xml:space="preserve">make these </w:t>
      </w:r>
      <w:r w:rsidR="0074767A" w:rsidRPr="0074767A">
        <w:rPr>
          <w:color w:val="000000"/>
          <w:szCs w:val="28"/>
        </w:rPr>
        <w:t>statement</w:t>
      </w:r>
      <w:r w:rsidR="0074767A">
        <w:rPr>
          <w:color w:val="000000"/>
          <w:szCs w:val="28"/>
        </w:rPr>
        <w:t xml:space="preserve">s because </w:t>
      </w:r>
      <w:r w:rsidR="002A7C31">
        <w:rPr>
          <w:color w:val="000000"/>
          <w:szCs w:val="28"/>
        </w:rPr>
        <w:t xml:space="preserve">of similar </w:t>
      </w:r>
      <w:r w:rsidR="002A7C31" w:rsidRPr="00B90CBC">
        <w:rPr>
          <w:color w:val="000000"/>
          <w:szCs w:val="28"/>
        </w:rPr>
        <w:t>inducement</w:t>
      </w:r>
      <w:r w:rsidR="002A7C31">
        <w:rPr>
          <w:color w:val="000000"/>
          <w:szCs w:val="28"/>
        </w:rPr>
        <w:t>s</w:t>
      </w:r>
      <w:r w:rsidR="002A7C31" w:rsidRPr="00B90CBC">
        <w:rPr>
          <w:color w:val="000000"/>
          <w:szCs w:val="28"/>
        </w:rPr>
        <w:t xml:space="preserve"> and threat</w:t>
      </w:r>
      <w:r w:rsidR="002A7C31">
        <w:rPr>
          <w:color w:val="000000"/>
          <w:szCs w:val="28"/>
        </w:rPr>
        <w:t>s</w:t>
      </w:r>
      <w:r w:rsidR="002A7C31" w:rsidRPr="00B90CBC">
        <w:rPr>
          <w:color w:val="000000"/>
          <w:szCs w:val="28"/>
        </w:rPr>
        <w:t xml:space="preserve"> </w:t>
      </w:r>
      <w:r w:rsidR="002A7C31">
        <w:rPr>
          <w:color w:val="000000"/>
          <w:szCs w:val="28"/>
        </w:rPr>
        <w:t xml:space="preserve">concerning </w:t>
      </w:r>
      <w:r w:rsidR="002A7C31" w:rsidRPr="00B90CBC">
        <w:rPr>
          <w:color w:val="000000"/>
          <w:szCs w:val="28"/>
        </w:rPr>
        <w:t>his girlfriend</w:t>
      </w:r>
      <w:r w:rsidR="002A7C31" w:rsidRPr="00FD03B0">
        <w:rPr>
          <w:color w:val="000000"/>
        </w:rPr>
        <w:t xml:space="preserve">.  </w:t>
      </w:r>
      <w:r w:rsidR="00B020C7" w:rsidRPr="00B020C7">
        <w:rPr>
          <w:color w:val="000000"/>
          <w:szCs w:val="28"/>
        </w:rPr>
        <w:t xml:space="preserve"> </w:t>
      </w:r>
    </w:p>
    <w:p w:rsidR="00B020C7" w:rsidRPr="000F7F68" w:rsidRDefault="00B020C7" w:rsidP="000F7F68">
      <w:pPr>
        <w:pStyle w:val="Final"/>
        <w:ind w:left="0" w:firstLine="0"/>
        <w:rPr>
          <w:color w:val="000000"/>
          <w:szCs w:val="28"/>
        </w:rPr>
      </w:pPr>
      <w:r>
        <w:rPr>
          <w:color w:val="000000"/>
          <w:szCs w:val="28"/>
        </w:rPr>
        <w:t xml:space="preserve">A </w:t>
      </w:r>
      <w:r w:rsidRPr="00592C52">
        <w:rPr>
          <w:color w:val="000000"/>
          <w:szCs w:val="28"/>
        </w:rPr>
        <w:t xml:space="preserve">fingerprint impression was lifted </w:t>
      </w:r>
      <w:r w:rsidR="001120F6">
        <w:rPr>
          <w:color w:val="000000"/>
          <w:szCs w:val="28"/>
        </w:rPr>
        <w:t>by the polic</w:t>
      </w:r>
      <w:r w:rsidR="00463D46">
        <w:rPr>
          <w:color w:val="000000"/>
          <w:szCs w:val="28"/>
        </w:rPr>
        <w:t>e</w:t>
      </w:r>
      <w:r w:rsidR="001120F6">
        <w:rPr>
          <w:color w:val="000000"/>
          <w:szCs w:val="28"/>
        </w:rPr>
        <w:t xml:space="preserve"> </w:t>
      </w:r>
      <w:r w:rsidRPr="00592C52">
        <w:rPr>
          <w:color w:val="000000"/>
          <w:szCs w:val="28"/>
        </w:rPr>
        <w:t xml:space="preserve">from the </w:t>
      </w:r>
      <w:r w:rsidR="00631138">
        <w:rPr>
          <w:color w:val="000000"/>
          <w:szCs w:val="28"/>
        </w:rPr>
        <w:t xml:space="preserve">rear-view mirror inside the car, </w:t>
      </w:r>
      <w:r w:rsidRPr="00592C52">
        <w:rPr>
          <w:color w:val="000000"/>
          <w:szCs w:val="28"/>
        </w:rPr>
        <w:t xml:space="preserve">which </w:t>
      </w:r>
      <w:r w:rsidR="001120F6">
        <w:rPr>
          <w:color w:val="000000"/>
          <w:szCs w:val="28"/>
        </w:rPr>
        <w:t xml:space="preserve">upon comparison </w:t>
      </w:r>
      <w:r w:rsidRPr="00592C52">
        <w:rPr>
          <w:color w:val="000000"/>
          <w:szCs w:val="28"/>
        </w:rPr>
        <w:t xml:space="preserve">matched the </w:t>
      </w:r>
      <w:r w:rsidR="001120F6">
        <w:rPr>
          <w:color w:val="000000"/>
          <w:szCs w:val="28"/>
        </w:rPr>
        <w:t>appellant’s</w:t>
      </w:r>
      <w:r w:rsidR="001120F6" w:rsidRPr="00592C52">
        <w:rPr>
          <w:color w:val="000000"/>
          <w:szCs w:val="28"/>
        </w:rPr>
        <w:t xml:space="preserve"> </w:t>
      </w:r>
      <w:r w:rsidRPr="00592C52">
        <w:rPr>
          <w:color w:val="000000"/>
          <w:szCs w:val="28"/>
        </w:rPr>
        <w:t>right thumb print</w:t>
      </w:r>
      <w:r>
        <w:rPr>
          <w:color w:val="000000"/>
          <w:szCs w:val="28"/>
        </w:rPr>
        <w:t xml:space="preserve">.  It was not in dispute that the car was registered </w:t>
      </w:r>
      <w:r w:rsidR="002F2FD2">
        <w:rPr>
          <w:color w:val="000000"/>
          <w:szCs w:val="28"/>
        </w:rPr>
        <w:t xml:space="preserve">to a person by the name of </w:t>
      </w:r>
      <w:r w:rsidR="00877619">
        <w:rPr>
          <w:color w:val="000000"/>
          <w:szCs w:val="28"/>
        </w:rPr>
        <w:t>Wong On</w:t>
      </w:r>
      <w:r w:rsidR="00F45AC7">
        <w:rPr>
          <w:color w:val="000000"/>
          <w:szCs w:val="28"/>
        </w:rPr>
        <w:t xml:space="preserve"> </w:t>
      </w:r>
      <w:r w:rsidR="00877619">
        <w:rPr>
          <w:color w:val="000000"/>
          <w:szCs w:val="28"/>
        </w:rPr>
        <w:t>Chun</w:t>
      </w:r>
      <w:r w:rsidR="002735CA">
        <w:rPr>
          <w:color w:val="000000"/>
          <w:szCs w:val="28"/>
        </w:rPr>
        <w:t xml:space="preserve">.  This person </w:t>
      </w:r>
      <w:r>
        <w:rPr>
          <w:color w:val="000000"/>
          <w:szCs w:val="28"/>
        </w:rPr>
        <w:t xml:space="preserve">was not called by the prosecution </w:t>
      </w:r>
      <w:r w:rsidR="002735CA">
        <w:rPr>
          <w:color w:val="000000"/>
          <w:szCs w:val="28"/>
        </w:rPr>
        <w:t xml:space="preserve">at the </w:t>
      </w:r>
      <w:r w:rsidR="002735CA" w:rsidRPr="002735CA">
        <w:rPr>
          <w:color w:val="000000"/>
          <w:szCs w:val="28"/>
        </w:rPr>
        <w:t>appellant</w:t>
      </w:r>
      <w:r w:rsidR="002735CA">
        <w:rPr>
          <w:color w:val="000000"/>
          <w:szCs w:val="28"/>
        </w:rPr>
        <w:t>’s trial</w:t>
      </w:r>
      <w:r>
        <w:rPr>
          <w:color w:val="000000"/>
          <w:szCs w:val="28"/>
        </w:rPr>
        <w:t xml:space="preserve">.      </w:t>
      </w:r>
    </w:p>
    <w:p w:rsidR="00C3342C" w:rsidRPr="00B90CBC" w:rsidRDefault="008B2518" w:rsidP="00B90CBC">
      <w:pPr>
        <w:pStyle w:val="Final"/>
        <w:ind w:left="0" w:firstLine="0"/>
        <w:rPr>
          <w:color w:val="000000"/>
          <w:szCs w:val="28"/>
        </w:rPr>
      </w:pPr>
      <w:r>
        <w:rPr>
          <w:color w:val="000000"/>
          <w:szCs w:val="28"/>
        </w:rPr>
        <w:t>A</w:t>
      </w:r>
      <w:r w:rsidR="00514582">
        <w:rPr>
          <w:color w:val="000000"/>
          <w:szCs w:val="28"/>
        </w:rPr>
        <w:t xml:space="preserve"> </w:t>
      </w:r>
      <w:proofErr w:type="spellStart"/>
      <w:r w:rsidR="00514582" w:rsidRPr="00514582">
        <w:rPr>
          <w:i/>
          <w:color w:val="000000"/>
          <w:szCs w:val="28"/>
          <w:lang w:val="en-US"/>
        </w:rPr>
        <w:t>voir</w:t>
      </w:r>
      <w:r w:rsidR="00B70866">
        <w:rPr>
          <w:i/>
          <w:color w:val="000000"/>
          <w:szCs w:val="28"/>
          <w:lang w:val="en-US"/>
        </w:rPr>
        <w:t>e</w:t>
      </w:r>
      <w:proofErr w:type="spellEnd"/>
      <w:r w:rsidR="00514582" w:rsidRPr="00514582">
        <w:rPr>
          <w:i/>
          <w:color w:val="000000"/>
          <w:szCs w:val="28"/>
          <w:lang w:val="en-US"/>
        </w:rPr>
        <w:t xml:space="preserve"> dire</w:t>
      </w:r>
      <w:r>
        <w:rPr>
          <w:i/>
          <w:color w:val="000000"/>
          <w:szCs w:val="28"/>
          <w:lang w:val="en-US"/>
        </w:rPr>
        <w:t xml:space="preserve"> </w:t>
      </w:r>
      <w:r w:rsidRPr="008B2518">
        <w:rPr>
          <w:color w:val="000000"/>
          <w:szCs w:val="28"/>
          <w:lang w:val="en-US"/>
        </w:rPr>
        <w:t>was held to determine the admissibility of</w:t>
      </w:r>
      <w:r>
        <w:rPr>
          <w:i/>
          <w:color w:val="000000"/>
          <w:szCs w:val="28"/>
          <w:lang w:val="en-US"/>
        </w:rPr>
        <w:t xml:space="preserve"> </w:t>
      </w:r>
      <w:r w:rsidR="00514582">
        <w:rPr>
          <w:color w:val="000000"/>
          <w:szCs w:val="28"/>
        </w:rPr>
        <w:t>b</w:t>
      </w:r>
      <w:r w:rsidR="007F3C3D" w:rsidRPr="00B90CBC">
        <w:rPr>
          <w:color w:val="000000"/>
          <w:szCs w:val="28"/>
        </w:rPr>
        <w:t xml:space="preserve">oth the </w:t>
      </w:r>
      <w:r w:rsidR="002735CA">
        <w:rPr>
          <w:color w:val="000000"/>
          <w:szCs w:val="28"/>
        </w:rPr>
        <w:t xml:space="preserve">post-record of the </w:t>
      </w:r>
      <w:r w:rsidR="007155BE">
        <w:rPr>
          <w:color w:val="000000"/>
          <w:szCs w:val="28"/>
        </w:rPr>
        <w:t>crime-scene</w:t>
      </w:r>
      <w:r w:rsidR="007F3C3D" w:rsidRPr="00B90CBC">
        <w:rPr>
          <w:color w:val="000000"/>
          <w:szCs w:val="28"/>
        </w:rPr>
        <w:t xml:space="preserve"> admission and the VRI</w:t>
      </w:r>
      <w:r>
        <w:rPr>
          <w:color w:val="000000"/>
          <w:szCs w:val="28"/>
        </w:rPr>
        <w:t xml:space="preserve">, </w:t>
      </w:r>
      <w:r w:rsidR="002A3E57">
        <w:rPr>
          <w:color w:val="000000"/>
          <w:szCs w:val="28"/>
        </w:rPr>
        <w:t xml:space="preserve">at the end of </w:t>
      </w:r>
      <w:r>
        <w:rPr>
          <w:color w:val="000000"/>
          <w:szCs w:val="28"/>
        </w:rPr>
        <w:t>which they w</w:t>
      </w:r>
      <w:r w:rsidR="00C3342C" w:rsidRPr="00B90CBC">
        <w:rPr>
          <w:color w:val="000000"/>
          <w:szCs w:val="28"/>
        </w:rPr>
        <w:t>ere ruled admissible by the judge</w:t>
      </w:r>
      <w:r w:rsidR="00500232" w:rsidRPr="00B90CBC">
        <w:rPr>
          <w:color w:val="000000"/>
          <w:szCs w:val="28"/>
        </w:rPr>
        <w:t>.</w:t>
      </w:r>
      <w:r w:rsidR="002A3E57">
        <w:rPr>
          <w:color w:val="000000"/>
          <w:szCs w:val="28"/>
        </w:rPr>
        <w:t xml:space="preserve">  The allegations in respect of the admissions were then repeated in the trial.</w:t>
      </w:r>
      <w:r w:rsidR="00500232" w:rsidRPr="00B90CBC">
        <w:rPr>
          <w:color w:val="000000"/>
          <w:szCs w:val="28"/>
        </w:rPr>
        <w:t xml:space="preserve">  </w:t>
      </w:r>
      <w:r w:rsidR="00C3342C" w:rsidRPr="00B90CBC">
        <w:rPr>
          <w:color w:val="000000"/>
          <w:szCs w:val="28"/>
        </w:rPr>
        <w:t xml:space="preserve"> </w:t>
      </w:r>
    </w:p>
    <w:p w:rsidR="002D6714" w:rsidRPr="002D6714" w:rsidRDefault="0083161F" w:rsidP="0083161F">
      <w:pPr>
        <w:pStyle w:val="H-1"/>
      </w:pPr>
      <w:r>
        <w:t>The d</w:t>
      </w:r>
      <w:r w:rsidR="002D6714" w:rsidRPr="002D6714">
        <w:t>efence case</w:t>
      </w:r>
    </w:p>
    <w:p w:rsidR="002B1327" w:rsidRPr="00C4303C" w:rsidRDefault="00AD00B1" w:rsidP="00C4303C">
      <w:pPr>
        <w:pStyle w:val="Final"/>
        <w:ind w:left="0" w:firstLine="0"/>
        <w:rPr>
          <w:color w:val="000000"/>
          <w:szCs w:val="28"/>
        </w:rPr>
      </w:pPr>
      <w:r w:rsidRPr="00A614AC">
        <w:rPr>
          <w:color w:val="000000"/>
          <w:szCs w:val="28"/>
        </w:rPr>
        <w:t xml:space="preserve">The </w:t>
      </w:r>
      <w:r w:rsidR="00230F99">
        <w:rPr>
          <w:color w:val="000000"/>
          <w:szCs w:val="28"/>
        </w:rPr>
        <w:t>appellant</w:t>
      </w:r>
      <w:r w:rsidRPr="00A614AC">
        <w:rPr>
          <w:color w:val="000000"/>
          <w:szCs w:val="28"/>
        </w:rPr>
        <w:t xml:space="preserve"> elected to give evidence </w:t>
      </w:r>
      <w:r w:rsidR="007F6CB5">
        <w:rPr>
          <w:color w:val="000000"/>
          <w:szCs w:val="28"/>
        </w:rPr>
        <w:t xml:space="preserve">and </w:t>
      </w:r>
      <w:r w:rsidRPr="00A614AC">
        <w:rPr>
          <w:color w:val="000000"/>
          <w:szCs w:val="28"/>
        </w:rPr>
        <w:t>call</w:t>
      </w:r>
      <w:r w:rsidR="007F6CB5">
        <w:rPr>
          <w:color w:val="000000"/>
          <w:szCs w:val="28"/>
        </w:rPr>
        <w:t>ed</w:t>
      </w:r>
      <w:r w:rsidRPr="00A614AC">
        <w:rPr>
          <w:color w:val="000000"/>
          <w:szCs w:val="28"/>
        </w:rPr>
        <w:t xml:space="preserve"> </w:t>
      </w:r>
      <w:r w:rsidR="001B381F">
        <w:rPr>
          <w:color w:val="000000"/>
          <w:szCs w:val="28"/>
        </w:rPr>
        <w:t>one</w:t>
      </w:r>
      <w:r w:rsidR="007F6CB5">
        <w:rPr>
          <w:color w:val="000000"/>
          <w:szCs w:val="28"/>
        </w:rPr>
        <w:t xml:space="preserve"> </w:t>
      </w:r>
      <w:r w:rsidRPr="00A614AC">
        <w:rPr>
          <w:color w:val="000000"/>
          <w:szCs w:val="28"/>
        </w:rPr>
        <w:t>witness</w:t>
      </w:r>
      <w:r w:rsidR="001B381F">
        <w:rPr>
          <w:color w:val="000000"/>
          <w:szCs w:val="28"/>
        </w:rPr>
        <w:t xml:space="preserve">, </w:t>
      </w:r>
      <w:r w:rsidR="00594EB5">
        <w:rPr>
          <w:color w:val="000000"/>
          <w:szCs w:val="28"/>
        </w:rPr>
        <w:t xml:space="preserve">his girlfriend </w:t>
      </w:r>
      <w:r w:rsidR="00B70866">
        <w:rPr>
          <w:color w:val="000000"/>
          <w:szCs w:val="28"/>
        </w:rPr>
        <w:t>(“</w:t>
      </w:r>
      <w:r w:rsidR="00007448">
        <w:rPr>
          <w:color w:val="000000"/>
          <w:szCs w:val="28"/>
        </w:rPr>
        <w:t>DW2</w:t>
      </w:r>
      <w:r w:rsidR="00B70866">
        <w:rPr>
          <w:color w:val="000000"/>
          <w:szCs w:val="28"/>
        </w:rPr>
        <w:t>”)</w:t>
      </w:r>
      <w:r w:rsidR="00500232">
        <w:rPr>
          <w:color w:val="000000"/>
          <w:szCs w:val="28"/>
        </w:rPr>
        <w:t xml:space="preserve">.  </w:t>
      </w:r>
      <w:r w:rsidR="00686BE5">
        <w:rPr>
          <w:color w:val="000000"/>
          <w:szCs w:val="28"/>
        </w:rPr>
        <w:t>In his evidence he</w:t>
      </w:r>
      <w:r w:rsidR="002B1327" w:rsidRPr="00686BE5">
        <w:rPr>
          <w:color w:val="000000"/>
          <w:szCs w:val="28"/>
        </w:rPr>
        <w:t xml:space="preserve"> said the car belonged to </w:t>
      </w:r>
      <w:r w:rsidR="00877619">
        <w:rPr>
          <w:color w:val="000000"/>
          <w:szCs w:val="28"/>
        </w:rPr>
        <w:t xml:space="preserve">his friend, </w:t>
      </w:r>
      <w:r w:rsidR="002B1327" w:rsidRPr="00686BE5">
        <w:rPr>
          <w:color w:val="000000"/>
          <w:szCs w:val="28"/>
        </w:rPr>
        <w:t xml:space="preserve">Wong </w:t>
      </w:r>
      <w:r w:rsidR="00EA200B">
        <w:rPr>
          <w:color w:val="000000"/>
          <w:szCs w:val="28"/>
        </w:rPr>
        <w:t>On Chun</w:t>
      </w:r>
      <w:r w:rsidR="00877619">
        <w:rPr>
          <w:color w:val="000000"/>
          <w:szCs w:val="28"/>
        </w:rPr>
        <w:t>,</w:t>
      </w:r>
      <w:r w:rsidR="002B1327" w:rsidRPr="00686BE5">
        <w:rPr>
          <w:color w:val="000000"/>
          <w:szCs w:val="28"/>
        </w:rPr>
        <w:t xml:space="preserve"> and he allowed </w:t>
      </w:r>
      <w:r w:rsidR="00877619">
        <w:rPr>
          <w:color w:val="000000"/>
          <w:szCs w:val="28"/>
        </w:rPr>
        <w:t>Wong</w:t>
      </w:r>
      <w:r w:rsidR="002B1327" w:rsidRPr="00686BE5">
        <w:rPr>
          <w:color w:val="000000"/>
          <w:szCs w:val="28"/>
        </w:rPr>
        <w:t xml:space="preserve"> to park </w:t>
      </w:r>
      <w:r w:rsidR="00877619">
        <w:rPr>
          <w:color w:val="000000"/>
          <w:szCs w:val="28"/>
        </w:rPr>
        <w:t>it</w:t>
      </w:r>
      <w:r w:rsidR="002B1327" w:rsidRPr="00686BE5">
        <w:rPr>
          <w:color w:val="000000"/>
          <w:szCs w:val="28"/>
        </w:rPr>
        <w:t xml:space="preserve"> </w:t>
      </w:r>
      <w:r w:rsidR="00C4303C">
        <w:rPr>
          <w:color w:val="000000"/>
          <w:szCs w:val="28"/>
        </w:rPr>
        <w:t>outside his home</w:t>
      </w:r>
      <w:r w:rsidR="00877619">
        <w:rPr>
          <w:color w:val="000000"/>
          <w:szCs w:val="28"/>
        </w:rPr>
        <w:t xml:space="preserve"> free-of-charge</w:t>
      </w:r>
      <w:r w:rsidR="00C4303C">
        <w:rPr>
          <w:color w:val="000000"/>
          <w:szCs w:val="28"/>
        </w:rPr>
        <w:t xml:space="preserve"> on 4 January</w:t>
      </w:r>
      <w:r w:rsidR="00500232" w:rsidRPr="00686BE5">
        <w:rPr>
          <w:color w:val="000000"/>
          <w:szCs w:val="28"/>
        </w:rPr>
        <w:t xml:space="preserve">.  </w:t>
      </w:r>
      <w:r w:rsidR="002B1327" w:rsidRPr="00686BE5">
        <w:rPr>
          <w:color w:val="000000"/>
          <w:szCs w:val="28"/>
        </w:rPr>
        <w:t xml:space="preserve">Wong </w:t>
      </w:r>
      <w:r w:rsidR="00C4303C">
        <w:rPr>
          <w:color w:val="000000"/>
          <w:szCs w:val="28"/>
        </w:rPr>
        <w:t xml:space="preserve">had </w:t>
      </w:r>
      <w:r w:rsidR="002B1327" w:rsidRPr="00686BE5">
        <w:rPr>
          <w:color w:val="000000"/>
          <w:szCs w:val="28"/>
        </w:rPr>
        <w:t xml:space="preserve">left the car </w:t>
      </w:r>
      <w:r w:rsidR="00877619">
        <w:rPr>
          <w:color w:val="000000"/>
          <w:szCs w:val="28"/>
        </w:rPr>
        <w:t xml:space="preserve">key </w:t>
      </w:r>
      <w:r w:rsidR="008B2518">
        <w:rPr>
          <w:color w:val="000000"/>
          <w:szCs w:val="28"/>
        </w:rPr>
        <w:t xml:space="preserve">with </w:t>
      </w:r>
      <w:r w:rsidR="00C4303C">
        <w:rPr>
          <w:color w:val="000000"/>
          <w:szCs w:val="28"/>
        </w:rPr>
        <w:t xml:space="preserve">the appellant so that </w:t>
      </w:r>
      <w:r w:rsidR="008B2518">
        <w:rPr>
          <w:color w:val="000000"/>
          <w:szCs w:val="28"/>
        </w:rPr>
        <w:t>he could</w:t>
      </w:r>
      <w:r w:rsidR="00C4303C">
        <w:rPr>
          <w:color w:val="000000"/>
          <w:szCs w:val="28"/>
        </w:rPr>
        <w:t xml:space="preserve"> move</w:t>
      </w:r>
      <w:r w:rsidR="002A3E57">
        <w:rPr>
          <w:color w:val="000000"/>
          <w:szCs w:val="28"/>
        </w:rPr>
        <w:t xml:space="preserve"> the car</w:t>
      </w:r>
      <w:r w:rsidR="00C4303C">
        <w:rPr>
          <w:color w:val="000000"/>
          <w:szCs w:val="28"/>
        </w:rPr>
        <w:t xml:space="preserve"> </w:t>
      </w:r>
      <w:r w:rsidR="001120F6">
        <w:rPr>
          <w:color w:val="000000"/>
          <w:szCs w:val="28"/>
        </w:rPr>
        <w:t xml:space="preserve">away </w:t>
      </w:r>
      <w:r w:rsidR="002A3E57">
        <w:rPr>
          <w:color w:val="000000"/>
          <w:szCs w:val="28"/>
        </w:rPr>
        <w:t>if</w:t>
      </w:r>
      <w:r w:rsidR="00C4303C">
        <w:rPr>
          <w:color w:val="000000"/>
          <w:szCs w:val="28"/>
        </w:rPr>
        <w:t xml:space="preserve"> </w:t>
      </w:r>
      <w:r w:rsidR="00AA54B3">
        <w:rPr>
          <w:color w:val="000000"/>
          <w:szCs w:val="28"/>
        </w:rPr>
        <w:t>the</w:t>
      </w:r>
      <w:r w:rsidR="001120F6">
        <w:rPr>
          <w:color w:val="000000"/>
          <w:szCs w:val="28"/>
        </w:rPr>
        <w:t>re were</w:t>
      </w:r>
      <w:r w:rsidR="00AA54B3">
        <w:rPr>
          <w:color w:val="000000"/>
          <w:szCs w:val="28"/>
        </w:rPr>
        <w:t xml:space="preserve"> </w:t>
      </w:r>
      <w:r w:rsidR="00C4303C">
        <w:rPr>
          <w:color w:val="000000"/>
          <w:szCs w:val="28"/>
        </w:rPr>
        <w:t>complaints</w:t>
      </w:r>
      <w:r w:rsidR="001120F6">
        <w:rPr>
          <w:color w:val="000000"/>
          <w:szCs w:val="28"/>
        </w:rPr>
        <w:t xml:space="preserve"> from neighbours</w:t>
      </w:r>
      <w:r w:rsidR="00C4303C">
        <w:rPr>
          <w:color w:val="000000"/>
          <w:szCs w:val="28"/>
        </w:rPr>
        <w:t xml:space="preserve">.  He said </w:t>
      </w:r>
      <w:r w:rsidR="002B1327" w:rsidRPr="00C4303C">
        <w:rPr>
          <w:color w:val="000000"/>
          <w:szCs w:val="28"/>
        </w:rPr>
        <w:t xml:space="preserve">he had </w:t>
      </w:r>
      <w:r w:rsidR="00AA54B3">
        <w:rPr>
          <w:color w:val="000000"/>
          <w:szCs w:val="28"/>
        </w:rPr>
        <w:t>travell</w:t>
      </w:r>
      <w:r w:rsidR="00370DA0">
        <w:rPr>
          <w:color w:val="000000"/>
          <w:szCs w:val="28"/>
        </w:rPr>
        <w:t>ed</w:t>
      </w:r>
      <w:r w:rsidR="00AA54B3">
        <w:rPr>
          <w:color w:val="000000"/>
          <w:szCs w:val="28"/>
        </w:rPr>
        <w:t xml:space="preserve"> </w:t>
      </w:r>
      <w:r w:rsidR="001120F6">
        <w:rPr>
          <w:color w:val="000000"/>
          <w:szCs w:val="28"/>
        </w:rPr>
        <w:t>in this</w:t>
      </w:r>
      <w:r w:rsidR="00C4303C">
        <w:rPr>
          <w:color w:val="000000"/>
          <w:szCs w:val="28"/>
        </w:rPr>
        <w:t xml:space="preserve"> car </w:t>
      </w:r>
      <w:r w:rsidR="002B1327" w:rsidRPr="00C4303C">
        <w:rPr>
          <w:color w:val="000000"/>
          <w:szCs w:val="28"/>
        </w:rPr>
        <w:t>as a passenger</w:t>
      </w:r>
      <w:r w:rsidR="00AA54B3" w:rsidRPr="00AA54B3">
        <w:rPr>
          <w:color w:val="000000"/>
          <w:szCs w:val="28"/>
        </w:rPr>
        <w:t xml:space="preserve"> </w:t>
      </w:r>
      <w:r w:rsidR="00AA54B3">
        <w:rPr>
          <w:color w:val="000000"/>
          <w:szCs w:val="28"/>
        </w:rPr>
        <w:t>many times before</w:t>
      </w:r>
      <w:r w:rsidR="001120F6">
        <w:rPr>
          <w:color w:val="000000"/>
          <w:szCs w:val="28"/>
        </w:rPr>
        <w:t xml:space="preserve"> </w:t>
      </w:r>
      <w:r w:rsidR="00370DA0">
        <w:rPr>
          <w:color w:val="000000"/>
          <w:szCs w:val="28"/>
        </w:rPr>
        <w:t>his arrest</w:t>
      </w:r>
      <w:r w:rsidR="00500232" w:rsidRPr="00C4303C">
        <w:rPr>
          <w:color w:val="000000"/>
          <w:szCs w:val="28"/>
        </w:rPr>
        <w:t xml:space="preserve">.  </w:t>
      </w:r>
      <w:r w:rsidR="002B1327" w:rsidRPr="00C4303C">
        <w:rPr>
          <w:color w:val="000000"/>
          <w:szCs w:val="28"/>
        </w:rPr>
        <w:t xml:space="preserve">  </w:t>
      </w:r>
    </w:p>
    <w:p w:rsidR="00E12D0F" w:rsidRDefault="002F2FD2" w:rsidP="00A614AC">
      <w:pPr>
        <w:pStyle w:val="Final"/>
        <w:ind w:left="0" w:firstLine="0"/>
        <w:rPr>
          <w:color w:val="000000"/>
          <w:szCs w:val="28"/>
        </w:rPr>
      </w:pPr>
      <w:r>
        <w:rPr>
          <w:color w:val="000000"/>
          <w:szCs w:val="28"/>
        </w:rPr>
        <w:t>He said that o</w:t>
      </w:r>
      <w:r w:rsidR="00E36226">
        <w:rPr>
          <w:color w:val="000000"/>
          <w:szCs w:val="28"/>
        </w:rPr>
        <w:t>n</w:t>
      </w:r>
      <w:r w:rsidR="0031417E">
        <w:rPr>
          <w:color w:val="000000"/>
          <w:szCs w:val="28"/>
        </w:rPr>
        <w:t xml:space="preserve"> 5 January </w:t>
      </w:r>
      <w:r w:rsidR="002B1327">
        <w:rPr>
          <w:color w:val="000000"/>
          <w:szCs w:val="28"/>
        </w:rPr>
        <w:t xml:space="preserve">he was </w:t>
      </w:r>
      <w:r w:rsidR="00C4303C">
        <w:rPr>
          <w:color w:val="000000"/>
          <w:szCs w:val="28"/>
        </w:rPr>
        <w:t xml:space="preserve">going to the car in order to </w:t>
      </w:r>
      <w:r w:rsidR="002B1327">
        <w:rPr>
          <w:color w:val="000000"/>
          <w:szCs w:val="28"/>
        </w:rPr>
        <w:t xml:space="preserve">retrieve an ATM card for </w:t>
      </w:r>
      <w:r w:rsidR="0031417E">
        <w:rPr>
          <w:color w:val="000000"/>
          <w:szCs w:val="28"/>
        </w:rPr>
        <w:t>Wong</w:t>
      </w:r>
      <w:r w:rsidR="002735CA">
        <w:rPr>
          <w:color w:val="000000"/>
          <w:szCs w:val="28"/>
        </w:rPr>
        <w:t xml:space="preserve"> and </w:t>
      </w:r>
      <w:r w:rsidR="00446E7C">
        <w:rPr>
          <w:color w:val="000000"/>
          <w:szCs w:val="28"/>
        </w:rPr>
        <w:t>DW2</w:t>
      </w:r>
      <w:r w:rsidR="002B1327">
        <w:rPr>
          <w:color w:val="000000"/>
          <w:szCs w:val="28"/>
        </w:rPr>
        <w:t xml:space="preserve"> was </w:t>
      </w:r>
      <w:r w:rsidR="002735CA">
        <w:rPr>
          <w:color w:val="000000"/>
          <w:szCs w:val="28"/>
        </w:rPr>
        <w:t>with him</w:t>
      </w:r>
      <w:r w:rsidR="003533BD">
        <w:rPr>
          <w:color w:val="000000"/>
          <w:szCs w:val="28"/>
        </w:rPr>
        <w:t>.</w:t>
      </w:r>
      <w:r w:rsidR="002B1327">
        <w:rPr>
          <w:color w:val="000000"/>
          <w:szCs w:val="28"/>
        </w:rPr>
        <w:t xml:space="preserve"> </w:t>
      </w:r>
      <w:r w:rsidR="003533BD">
        <w:rPr>
          <w:color w:val="000000"/>
          <w:szCs w:val="28"/>
        </w:rPr>
        <w:t xml:space="preserve"> </w:t>
      </w:r>
      <w:r w:rsidR="00E12D0F">
        <w:rPr>
          <w:color w:val="000000"/>
          <w:szCs w:val="28"/>
        </w:rPr>
        <w:t xml:space="preserve">At that </w:t>
      </w:r>
      <w:proofErr w:type="gramStart"/>
      <w:r w:rsidR="00E12D0F">
        <w:rPr>
          <w:color w:val="000000"/>
          <w:szCs w:val="28"/>
        </w:rPr>
        <w:t>time</w:t>
      </w:r>
      <w:proofErr w:type="gramEnd"/>
      <w:r w:rsidR="00E12D0F">
        <w:rPr>
          <w:color w:val="000000"/>
          <w:szCs w:val="28"/>
        </w:rPr>
        <w:t xml:space="preserve"> </w:t>
      </w:r>
      <w:r w:rsidR="003533BD">
        <w:rPr>
          <w:color w:val="000000"/>
          <w:szCs w:val="28"/>
        </w:rPr>
        <w:t>he had on him</w:t>
      </w:r>
      <w:r w:rsidR="00862DFB">
        <w:rPr>
          <w:color w:val="000000"/>
          <w:szCs w:val="28"/>
        </w:rPr>
        <w:t xml:space="preserve"> what was referred to as</w:t>
      </w:r>
      <w:r w:rsidR="003533BD">
        <w:rPr>
          <w:color w:val="000000"/>
          <w:szCs w:val="28"/>
        </w:rPr>
        <w:t xml:space="preserve"> a</w:t>
      </w:r>
      <w:r w:rsidR="00E12D0F">
        <w:rPr>
          <w:color w:val="000000"/>
          <w:szCs w:val="28"/>
        </w:rPr>
        <w:t xml:space="preserve"> </w:t>
      </w:r>
      <w:r w:rsidR="00862DFB">
        <w:rPr>
          <w:color w:val="000000"/>
          <w:szCs w:val="28"/>
        </w:rPr>
        <w:t>“</w:t>
      </w:r>
      <w:r w:rsidR="00E12D0F">
        <w:rPr>
          <w:color w:val="000000"/>
          <w:szCs w:val="28"/>
        </w:rPr>
        <w:t>body bag</w:t>
      </w:r>
      <w:r w:rsidR="00862DFB">
        <w:rPr>
          <w:color w:val="000000"/>
          <w:szCs w:val="28"/>
        </w:rPr>
        <w:t>”</w:t>
      </w:r>
      <w:r w:rsidR="00E12D0F">
        <w:rPr>
          <w:color w:val="000000"/>
          <w:szCs w:val="28"/>
        </w:rPr>
        <w:t xml:space="preserve"> </w:t>
      </w:r>
      <w:r w:rsidR="00370DA0">
        <w:rPr>
          <w:color w:val="000000"/>
          <w:szCs w:val="28"/>
        </w:rPr>
        <w:t>containing</w:t>
      </w:r>
      <w:r w:rsidR="00E12D0F">
        <w:rPr>
          <w:color w:val="000000"/>
          <w:szCs w:val="28"/>
        </w:rPr>
        <w:t xml:space="preserve"> </w:t>
      </w:r>
      <w:r w:rsidR="003533BD">
        <w:rPr>
          <w:color w:val="000000"/>
          <w:szCs w:val="28"/>
        </w:rPr>
        <w:t xml:space="preserve">HK$28,720 </w:t>
      </w:r>
      <w:r w:rsidR="003533BD">
        <w:rPr>
          <w:color w:val="000000"/>
          <w:szCs w:val="28"/>
        </w:rPr>
        <w:lastRenderedPageBreak/>
        <w:t xml:space="preserve">cash </w:t>
      </w:r>
      <w:r w:rsidR="00E12D0F">
        <w:rPr>
          <w:color w:val="000000"/>
          <w:szCs w:val="28"/>
        </w:rPr>
        <w:t xml:space="preserve">which </w:t>
      </w:r>
      <w:r w:rsidR="002A7C31">
        <w:rPr>
          <w:color w:val="000000"/>
          <w:szCs w:val="28"/>
        </w:rPr>
        <w:t xml:space="preserve">was money </w:t>
      </w:r>
      <w:r w:rsidR="003533BD">
        <w:rPr>
          <w:color w:val="000000"/>
          <w:szCs w:val="28"/>
        </w:rPr>
        <w:t>he</w:t>
      </w:r>
      <w:r w:rsidR="00370DA0">
        <w:rPr>
          <w:color w:val="000000"/>
          <w:szCs w:val="28"/>
        </w:rPr>
        <w:t xml:space="preserve"> had</w:t>
      </w:r>
      <w:r w:rsidR="003533BD">
        <w:rPr>
          <w:color w:val="000000"/>
          <w:szCs w:val="28"/>
        </w:rPr>
        <w:t xml:space="preserve"> earned by </w:t>
      </w:r>
      <w:r w:rsidR="00B15EEC">
        <w:rPr>
          <w:color w:val="000000"/>
          <w:szCs w:val="28"/>
        </w:rPr>
        <w:t xml:space="preserve">working </w:t>
      </w:r>
      <w:r w:rsidR="00370DA0">
        <w:rPr>
          <w:color w:val="000000"/>
          <w:szCs w:val="28"/>
        </w:rPr>
        <w:t>at</w:t>
      </w:r>
      <w:r w:rsidR="00B15EEC">
        <w:rPr>
          <w:color w:val="000000"/>
          <w:szCs w:val="28"/>
        </w:rPr>
        <w:t xml:space="preserve"> a seafood stall at </w:t>
      </w:r>
      <w:r w:rsidR="00B10368">
        <w:rPr>
          <w:color w:val="000000"/>
          <w:szCs w:val="28"/>
        </w:rPr>
        <w:t xml:space="preserve">Lei Yue </w:t>
      </w:r>
      <w:proofErr w:type="spellStart"/>
      <w:r w:rsidR="00B10368">
        <w:rPr>
          <w:color w:val="000000"/>
          <w:szCs w:val="28"/>
        </w:rPr>
        <w:t>Mun</w:t>
      </w:r>
      <w:proofErr w:type="spellEnd"/>
      <w:r w:rsidR="00500232">
        <w:rPr>
          <w:color w:val="000000"/>
          <w:szCs w:val="28"/>
        </w:rPr>
        <w:t xml:space="preserve">.  </w:t>
      </w:r>
    </w:p>
    <w:p w:rsidR="00594EB5" w:rsidRDefault="003533BD" w:rsidP="00501A99">
      <w:pPr>
        <w:pStyle w:val="Final"/>
        <w:ind w:left="0" w:firstLine="0"/>
        <w:rPr>
          <w:color w:val="000000"/>
          <w:szCs w:val="28"/>
        </w:rPr>
      </w:pPr>
      <w:r>
        <w:rPr>
          <w:color w:val="000000"/>
          <w:szCs w:val="28"/>
        </w:rPr>
        <w:t>He</w:t>
      </w:r>
      <w:r w:rsidR="00E36226">
        <w:rPr>
          <w:color w:val="000000"/>
          <w:szCs w:val="28"/>
        </w:rPr>
        <w:t xml:space="preserve"> </w:t>
      </w:r>
      <w:r w:rsidR="00370DA0">
        <w:rPr>
          <w:color w:val="000000"/>
          <w:szCs w:val="28"/>
        </w:rPr>
        <w:t>said that when</w:t>
      </w:r>
      <w:r w:rsidR="00E36226">
        <w:rPr>
          <w:color w:val="000000"/>
          <w:szCs w:val="28"/>
        </w:rPr>
        <w:t xml:space="preserve"> </w:t>
      </w:r>
      <w:r w:rsidR="00C62AB5">
        <w:rPr>
          <w:color w:val="000000"/>
          <w:szCs w:val="28"/>
        </w:rPr>
        <w:t xml:space="preserve">he was </w:t>
      </w:r>
      <w:r w:rsidR="00E36226">
        <w:rPr>
          <w:color w:val="000000"/>
          <w:szCs w:val="28"/>
        </w:rPr>
        <w:t xml:space="preserve">intercepted by </w:t>
      </w:r>
      <w:r w:rsidR="00C9545D">
        <w:rPr>
          <w:color w:val="000000"/>
          <w:szCs w:val="28"/>
        </w:rPr>
        <w:t xml:space="preserve">the police </w:t>
      </w:r>
      <w:r>
        <w:rPr>
          <w:color w:val="000000"/>
          <w:szCs w:val="28"/>
        </w:rPr>
        <w:t xml:space="preserve">the car key </w:t>
      </w:r>
      <w:r w:rsidR="00D367DC">
        <w:rPr>
          <w:color w:val="000000"/>
          <w:szCs w:val="28"/>
        </w:rPr>
        <w:t>was snatched from his hand</w:t>
      </w:r>
      <w:r w:rsidR="00370DA0">
        <w:rPr>
          <w:color w:val="000000"/>
          <w:szCs w:val="28"/>
        </w:rPr>
        <w:t xml:space="preserve"> and h</w:t>
      </w:r>
      <w:r w:rsidR="00D367DC">
        <w:rPr>
          <w:color w:val="000000"/>
          <w:szCs w:val="28"/>
        </w:rPr>
        <w:t>e and DW2</w:t>
      </w:r>
      <w:r>
        <w:rPr>
          <w:color w:val="000000"/>
          <w:szCs w:val="28"/>
        </w:rPr>
        <w:t xml:space="preserve"> </w:t>
      </w:r>
      <w:r w:rsidR="00E36226" w:rsidRPr="003533BD">
        <w:rPr>
          <w:color w:val="000000"/>
          <w:szCs w:val="28"/>
        </w:rPr>
        <w:t xml:space="preserve">were taken back to </w:t>
      </w:r>
      <w:r>
        <w:rPr>
          <w:color w:val="000000"/>
          <w:szCs w:val="28"/>
        </w:rPr>
        <w:t>his home</w:t>
      </w:r>
      <w:r w:rsidR="00FF549C">
        <w:rPr>
          <w:color w:val="000000"/>
          <w:szCs w:val="28"/>
        </w:rPr>
        <w:t>,</w:t>
      </w:r>
      <w:r>
        <w:rPr>
          <w:color w:val="000000"/>
          <w:szCs w:val="28"/>
        </w:rPr>
        <w:t xml:space="preserve"> </w:t>
      </w:r>
      <w:r w:rsidR="002F2FD2">
        <w:rPr>
          <w:color w:val="000000"/>
          <w:szCs w:val="28"/>
        </w:rPr>
        <w:t>which was searched</w:t>
      </w:r>
      <w:r w:rsidR="00FF549C">
        <w:rPr>
          <w:color w:val="000000"/>
          <w:szCs w:val="28"/>
        </w:rPr>
        <w:t>,</w:t>
      </w:r>
      <w:r w:rsidR="002F2FD2">
        <w:rPr>
          <w:color w:val="000000"/>
          <w:szCs w:val="28"/>
        </w:rPr>
        <w:t xml:space="preserve"> and this was </w:t>
      </w:r>
      <w:r>
        <w:rPr>
          <w:color w:val="000000"/>
          <w:szCs w:val="28"/>
        </w:rPr>
        <w:t xml:space="preserve">followed by </w:t>
      </w:r>
      <w:r w:rsidR="00E36226" w:rsidRPr="003533BD">
        <w:rPr>
          <w:color w:val="000000"/>
          <w:szCs w:val="28"/>
        </w:rPr>
        <w:t xml:space="preserve">the </w:t>
      </w:r>
      <w:r>
        <w:rPr>
          <w:color w:val="000000"/>
          <w:szCs w:val="28"/>
        </w:rPr>
        <w:t xml:space="preserve">search of the </w:t>
      </w:r>
      <w:r w:rsidR="00E36226" w:rsidRPr="003533BD">
        <w:rPr>
          <w:color w:val="000000"/>
          <w:szCs w:val="28"/>
        </w:rPr>
        <w:t>car</w:t>
      </w:r>
      <w:r w:rsidR="00D841BA">
        <w:rPr>
          <w:color w:val="000000"/>
          <w:szCs w:val="28"/>
        </w:rPr>
        <w:t xml:space="preserve">. </w:t>
      </w:r>
      <w:r w:rsidR="00446E7C" w:rsidRPr="003533BD">
        <w:rPr>
          <w:color w:val="000000"/>
          <w:szCs w:val="28"/>
        </w:rPr>
        <w:t xml:space="preserve"> </w:t>
      </w:r>
      <w:r w:rsidR="00370DA0">
        <w:rPr>
          <w:color w:val="000000"/>
          <w:szCs w:val="28"/>
        </w:rPr>
        <w:t>When questioned by the police officers about the co</w:t>
      </w:r>
      <w:r w:rsidR="008A6D37">
        <w:rPr>
          <w:color w:val="000000"/>
          <w:szCs w:val="28"/>
        </w:rPr>
        <w:t>caine in the car</w:t>
      </w:r>
      <w:r w:rsidR="00D367DC">
        <w:rPr>
          <w:color w:val="000000"/>
          <w:szCs w:val="28"/>
        </w:rPr>
        <w:t>, h</w:t>
      </w:r>
      <w:r w:rsidR="00E26C2D">
        <w:rPr>
          <w:color w:val="000000"/>
          <w:szCs w:val="28"/>
        </w:rPr>
        <w:t xml:space="preserve">e denied </w:t>
      </w:r>
      <w:r w:rsidR="00C9545D">
        <w:rPr>
          <w:color w:val="000000"/>
          <w:szCs w:val="28"/>
        </w:rPr>
        <w:t xml:space="preserve">knowing </w:t>
      </w:r>
      <w:r w:rsidR="008A6D37">
        <w:rPr>
          <w:color w:val="000000"/>
          <w:szCs w:val="28"/>
        </w:rPr>
        <w:t xml:space="preserve">of its </w:t>
      </w:r>
      <w:r w:rsidR="00C9545D">
        <w:rPr>
          <w:color w:val="000000"/>
          <w:szCs w:val="28"/>
        </w:rPr>
        <w:t xml:space="preserve">presence </w:t>
      </w:r>
      <w:r w:rsidR="008A6D37">
        <w:rPr>
          <w:color w:val="000000"/>
          <w:szCs w:val="28"/>
        </w:rPr>
        <w:t>and</w:t>
      </w:r>
      <w:r w:rsidR="00446E7C" w:rsidRPr="003533BD">
        <w:rPr>
          <w:color w:val="000000"/>
          <w:szCs w:val="28"/>
        </w:rPr>
        <w:t xml:space="preserve"> </w:t>
      </w:r>
      <w:r w:rsidR="00C9545D">
        <w:rPr>
          <w:color w:val="000000"/>
          <w:szCs w:val="28"/>
        </w:rPr>
        <w:t xml:space="preserve">was eager </w:t>
      </w:r>
      <w:r w:rsidR="00446E7C" w:rsidRPr="003533BD">
        <w:rPr>
          <w:color w:val="000000"/>
          <w:szCs w:val="28"/>
        </w:rPr>
        <w:t>to give</w:t>
      </w:r>
      <w:r w:rsidR="008A6D37">
        <w:rPr>
          <w:color w:val="000000"/>
          <w:szCs w:val="28"/>
        </w:rPr>
        <w:t xml:space="preserve"> the police officers</w:t>
      </w:r>
      <w:r w:rsidR="00446E7C" w:rsidRPr="003533BD">
        <w:rPr>
          <w:color w:val="000000"/>
          <w:szCs w:val="28"/>
        </w:rPr>
        <w:t xml:space="preserve"> information o</w:t>
      </w:r>
      <w:r w:rsidR="002A7C31">
        <w:rPr>
          <w:color w:val="000000"/>
          <w:szCs w:val="28"/>
        </w:rPr>
        <w:t>n</w:t>
      </w:r>
      <w:r w:rsidR="00446E7C" w:rsidRPr="003533BD">
        <w:rPr>
          <w:color w:val="000000"/>
          <w:szCs w:val="28"/>
        </w:rPr>
        <w:t xml:space="preserve"> </w:t>
      </w:r>
      <w:r w:rsidR="00E26C2D">
        <w:rPr>
          <w:color w:val="000000"/>
          <w:szCs w:val="28"/>
        </w:rPr>
        <w:t>Wong</w:t>
      </w:r>
      <w:r w:rsidR="00500232" w:rsidRPr="003533BD">
        <w:rPr>
          <w:color w:val="000000"/>
          <w:szCs w:val="28"/>
        </w:rPr>
        <w:t xml:space="preserve">.  </w:t>
      </w:r>
      <w:r w:rsidR="00E26C2D">
        <w:rPr>
          <w:color w:val="000000"/>
          <w:szCs w:val="28"/>
        </w:rPr>
        <w:t xml:space="preserve">However, </w:t>
      </w:r>
      <w:r w:rsidR="00C62AB5">
        <w:rPr>
          <w:color w:val="000000"/>
          <w:szCs w:val="28"/>
        </w:rPr>
        <w:t xml:space="preserve">he said </w:t>
      </w:r>
      <w:r w:rsidR="00446E7C" w:rsidRPr="003533BD">
        <w:rPr>
          <w:color w:val="000000"/>
          <w:szCs w:val="28"/>
        </w:rPr>
        <w:t xml:space="preserve">the officers were not interested in hearing about </w:t>
      </w:r>
      <w:r w:rsidR="00E26C2D">
        <w:rPr>
          <w:color w:val="000000"/>
          <w:szCs w:val="28"/>
        </w:rPr>
        <w:t>Wong</w:t>
      </w:r>
      <w:r w:rsidR="00446E7C" w:rsidRPr="003533BD">
        <w:rPr>
          <w:color w:val="000000"/>
          <w:szCs w:val="28"/>
        </w:rPr>
        <w:t xml:space="preserve"> </w:t>
      </w:r>
      <w:r w:rsidR="00C62AB5">
        <w:rPr>
          <w:color w:val="000000"/>
          <w:szCs w:val="28"/>
        </w:rPr>
        <w:t xml:space="preserve">at all </w:t>
      </w:r>
      <w:r w:rsidR="00446E7C" w:rsidRPr="003533BD">
        <w:rPr>
          <w:color w:val="000000"/>
          <w:szCs w:val="28"/>
        </w:rPr>
        <w:t xml:space="preserve">and </w:t>
      </w:r>
      <w:r w:rsidR="00E26C2D">
        <w:rPr>
          <w:color w:val="000000"/>
          <w:szCs w:val="28"/>
        </w:rPr>
        <w:t xml:space="preserve">instead </w:t>
      </w:r>
      <w:r w:rsidR="00CB6E01">
        <w:rPr>
          <w:color w:val="000000"/>
          <w:szCs w:val="28"/>
        </w:rPr>
        <w:t xml:space="preserve">took him </w:t>
      </w:r>
      <w:r w:rsidR="00B10368" w:rsidRPr="003533BD">
        <w:rPr>
          <w:color w:val="000000"/>
          <w:szCs w:val="28"/>
        </w:rPr>
        <w:t>to</w:t>
      </w:r>
      <w:r w:rsidR="00446E7C" w:rsidRPr="003533BD">
        <w:rPr>
          <w:color w:val="000000"/>
          <w:szCs w:val="28"/>
        </w:rPr>
        <w:t xml:space="preserve"> </w:t>
      </w:r>
      <w:r w:rsidR="00E26C2D">
        <w:rPr>
          <w:color w:val="000000"/>
          <w:szCs w:val="28"/>
        </w:rPr>
        <w:t>a</w:t>
      </w:r>
      <w:r w:rsidR="00446E7C" w:rsidRPr="003533BD">
        <w:rPr>
          <w:color w:val="000000"/>
          <w:szCs w:val="28"/>
        </w:rPr>
        <w:t xml:space="preserve"> van</w:t>
      </w:r>
      <w:r w:rsidR="00E12D0F" w:rsidRPr="003533BD">
        <w:rPr>
          <w:color w:val="000000"/>
          <w:szCs w:val="28"/>
        </w:rPr>
        <w:t xml:space="preserve"> </w:t>
      </w:r>
      <w:r w:rsidR="00B80647" w:rsidRPr="003533BD">
        <w:rPr>
          <w:color w:val="000000"/>
          <w:szCs w:val="28"/>
        </w:rPr>
        <w:t xml:space="preserve">parked </w:t>
      </w:r>
      <w:r w:rsidR="00E12D0F" w:rsidRPr="003533BD">
        <w:rPr>
          <w:color w:val="000000"/>
          <w:szCs w:val="28"/>
        </w:rPr>
        <w:t>nearby</w:t>
      </w:r>
      <w:r w:rsidR="00D367DC">
        <w:rPr>
          <w:color w:val="000000"/>
          <w:szCs w:val="28"/>
        </w:rPr>
        <w:t xml:space="preserve">.  </w:t>
      </w:r>
      <w:r w:rsidR="00E63E82" w:rsidRPr="00D367DC">
        <w:rPr>
          <w:color w:val="000000"/>
          <w:szCs w:val="28"/>
        </w:rPr>
        <w:t>In the van</w:t>
      </w:r>
      <w:r w:rsidR="007229CF" w:rsidRPr="00D367DC">
        <w:rPr>
          <w:color w:val="000000"/>
          <w:szCs w:val="28"/>
        </w:rPr>
        <w:t xml:space="preserve"> he </w:t>
      </w:r>
      <w:r w:rsidR="00446E7C" w:rsidRPr="00D367DC">
        <w:rPr>
          <w:color w:val="000000"/>
          <w:szCs w:val="28"/>
        </w:rPr>
        <w:t xml:space="preserve">was told that if he </w:t>
      </w:r>
      <w:r w:rsidR="007229CF" w:rsidRPr="00D367DC">
        <w:rPr>
          <w:color w:val="000000"/>
          <w:szCs w:val="28"/>
        </w:rPr>
        <w:t xml:space="preserve">admitted the offence, </w:t>
      </w:r>
      <w:r w:rsidR="00446E7C" w:rsidRPr="00D367DC">
        <w:rPr>
          <w:color w:val="000000"/>
          <w:szCs w:val="28"/>
        </w:rPr>
        <w:t xml:space="preserve">DW2 would </w:t>
      </w:r>
      <w:r w:rsidR="00BA577C">
        <w:rPr>
          <w:color w:val="000000"/>
          <w:szCs w:val="28"/>
        </w:rPr>
        <w:t xml:space="preserve">be released uncharged and </w:t>
      </w:r>
      <w:r w:rsidR="007229CF" w:rsidRPr="00D367DC">
        <w:rPr>
          <w:color w:val="000000"/>
          <w:szCs w:val="28"/>
        </w:rPr>
        <w:t xml:space="preserve">the money </w:t>
      </w:r>
      <w:r w:rsidR="00C62AB5">
        <w:rPr>
          <w:color w:val="000000"/>
          <w:szCs w:val="28"/>
        </w:rPr>
        <w:t xml:space="preserve">in his bag </w:t>
      </w:r>
      <w:r w:rsidR="007229CF" w:rsidRPr="00D367DC">
        <w:rPr>
          <w:color w:val="000000"/>
          <w:szCs w:val="28"/>
        </w:rPr>
        <w:t>would be returned to her</w:t>
      </w:r>
      <w:r w:rsidR="00BA577C">
        <w:rPr>
          <w:color w:val="000000"/>
          <w:szCs w:val="28"/>
        </w:rPr>
        <w:t xml:space="preserve">.  </w:t>
      </w:r>
    </w:p>
    <w:p w:rsidR="00BE0FFC" w:rsidRPr="00501A99" w:rsidRDefault="00C62AB5" w:rsidP="00501A99">
      <w:pPr>
        <w:pStyle w:val="Final"/>
        <w:ind w:left="0" w:firstLine="0"/>
        <w:rPr>
          <w:color w:val="000000"/>
          <w:szCs w:val="28"/>
        </w:rPr>
      </w:pPr>
      <w:r>
        <w:rPr>
          <w:color w:val="000000"/>
          <w:szCs w:val="28"/>
        </w:rPr>
        <w:t>Subsequently</w:t>
      </w:r>
      <w:r w:rsidR="00BA577C" w:rsidRPr="00BA577C">
        <w:rPr>
          <w:color w:val="000000"/>
          <w:szCs w:val="28"/>
        </w:rPr>
        <w:t xml:space="preserve">, </w:t>
      </w:r>
      <w:r>
        <w:rPr>
          <w:color w:val="000000"/>
          <w:szCs w:val="28"/>
        </w:rPr>
        <w:t xml:space="preserve">in the police station, </w:t>
      </w:r>
      <w:r w:rsidR="00BA577C" w:rsidRPr="00BA577C">
        <w:rPr>
          <w:color w:val="000000"/>
          <w:szCs w:val="28"/>
        </w:rPr>
        <w:t xml:space="preserve">the appellant agreed to sign </w:t>
      </w:r>
      <w:r w:rsidR="00594EB5">
        <w:rPr>
          <w:color w:val="000000"/>
          <w:szCs w:val="28"/>
        </w:rPr>
        <w:t>i</w:t>
      </w:r>
      <w:r w:rsidR="00BA577C" w:rsidRPr="00BA577C">
        <w:rPr>
          <w:color w:val="000000"/>
          <w:szCs w:val="28"/>
        </w:rPr>
        <w:t xml:space="preserve">n PW1’s </w:t>
      </w:r>
      <w:r w:rsidR="00B15EEC" w:rsidRPr="00BA577C">
        <w:rPr>
          <w:color w:val="000000"/>
          <w:szCs w:val="28"/>
        </w:rPr>
        <w:t>notebook</w:t>
      </w:r>
      <w:r w:rsidR="00BA577C">
        <w:rPr>
          <w:color w:val="000000"/>
          <w:szCs w:val="28"/>
        </w:rPr>
        <w:t>.</w:t>
      </w:r>
      <w:r w:rsidR="00501A99">
        <w:rPr>
          <w:color w:val="000000"/>
          <w:szCs w:val="28"/>
        </w:rPr>
        <w:t xml:space="preserve">  </w:t>
      </w:r>
      <w:r w:rsidR="00594EB5">
        <w:rPr>
          <w:color w:val="000000"/>
          <w:szCs w:val="28"/>
        </w:rPr>
        <w:t>I</w:t>
      </w:r>
      <w:r w:rsidR="00594EB5" w:rsidRPr="00594EB5">
        <w:rPr>
          <w:color w:val="000000"/>
          <w:szCs w:val="28"/>
          <w:lang w:val="en-US"/>
        </w:rPr>
        <w:t>n respect of</w:t>
      </w:r>
      <w:r w:rsidR="00594EB5">
        <w:rPr>
          <w:color w:val="000000"/>
          <w:szCs w:val="28"/>
        </w:rPr>
        <w:t xml:space="preserve"> his VRI</w:t>
      </w:r>
      <w:r w:rsidR="00631138">
        <w:rPr>
          <w:color w:val="000000"/>
          <w:szCs w:val="28"/>
        </w:rPr>
        <w:t>,</w:t>
      </w:r>
      <w:r w:rsidR="00594EB5">
        <w:rPr>
          <w:color w:val="000000"/>
          <w:szCs w:val="28"/>
        </w:rPr>
        <w:t xml:space="preserve"> he said he was coached by the police </w:t>
      </w:r>
      <w:r w:rsidR="00501A99">
        <w:rPr>
          <w:color w:val="000000"/>
          <w:szCs w:val="28"/>
        </w:rPr>
        <w:t xml:space="preserve">as to </w:t>
      </w:r>
      <w:r>
        <w:rPr>
          <w:color w:val="000000"/>
          <w:szCs w:val="28"/>
        </w:rPr>
        <w:t xml:space="preserve">the answers </w:t>
      </w:r>
      <w:r w:rsidR="00CB6E01">
        <w:rPr>
          <w:color w:val="000000"/>
          <w:szCs w:val="28"/>
        </w:rPr>
        <w:t>he should</w:t>
      </w:r>
      <w:r>
        <w:rPr>
          <w:color w:val="000000"/>
          <w:szCs w:val="28"/>
        </w:rPr>
        <w:t xml:space="preserve"> give </w:t>
      </w:r>
      <w:r w:rsidR="00501A99">
        <w:rPr>
          <w:color w:val="000000"/>
          <w:szCs w:val="28"/>
        </w:rPr>
        <w:t>and was spec</w:t>
      </w:r>
      <w:r w:rsidR="00CB6E01">
        <w:rPr>
          <w:color w:val="000000"/>
          <w:szCs w:val="28"/>
        </w:rPr>
        <w:t xml:space="preserve">ifically warned not to mention </w:t>
      </w:r>
      <w:r w:rsidR="00501A99">
        <w:rPr>
          <w:color w:val="000000"/>
          <w:szCs w:val="28"/>
        </w:rPr>
        <w:t xml:space="preserve">Wong.  </w:t>
      </w:r>
      <w:r w:rsidR="00CB6E01">
        <w:rPr>
          <w:color w:val="000000"/>
          <w:szCs w:val="28"/>
        </w:rPr>
        <w:t>A</w:t>
      </w:r>
      <w:r w:rsidR="00501A99">
        <w:rPr>
          <w:color w:val="000000"/>
          <w:szCs w:val="28"/>
        </w:rPr>
        <w:t>fter</w:t>
      </w:r>
      <w:r w:rsidR="00F60E26" w:rsidRPr="00501A99">
        <w:rPr>
          <w:color w:val="000000"/>
          <w:szCs w:val="28"/>
        </w:rPr>
        <w:t xml:space="preserve"> the </w:t>
      </w:r>
      <w:r w:rsidR="00501A99">
        <w:rPr>
          <w:color w:val="000000"/>
          <w:szCs w:val="28"/>
        </w:rPr>
        <w:t xml:space="preserve">VRI was </w:t>
      </w:r>
      <w:r w:rsidR="00CB6E01">
        <w:rPr>
          <w:color w:val="000000"/>
          <w:szCs w:val="28"/>
        </w:rPr>
        <w:t>concluded</w:t>
      </w:r>
      <w:r w:rsidR="00862DFB">
        <w:rPr>
          <w:color w:val="000000"/>
          <w:szCs w:val="28"/>
        </w:rPr>
        <w:t>,</w:t>
      </w:r>
      <w:r w:rsidR="00501A99">
        <w:rPr>
          <w:color w:val="000000"/>
          <w:szCs w:val="28"/>
        </w:rPr>
        <w:t xml:space="preserve"> the appellant</w:t>
      </w:r>
      <w:r w:rsidR="00F60E26" w:rsidRPr="00501A99">
        <w:rPr>
          <w:color w:val="000000"/>
          <w:szCs w:val="28"/>
        </w:rPr>
        <w:t xml:space="preserve"> </w:t>
      </w:r>
      <w:r w:rsidR="00594EB5">
        <w:rPr>
          <w:color w:val="000000"/>
          <w:szCs w:val="28"/>
        </w:rPr>
        <w:t xml:space="preserve">said he </w:t>
      </w:r>
      <w:r w:rsidR="00F60E26" w:rsidRPr="00501A99">
        <w:rPr>
          <w:color w:val="000000"/>
          <w:szCs w:val="28"/>
        </w:rPr>
        <w:t xml:space="preserve">was allowed to </w:t>
      </w:r>
      <w:r w:rsidR="00501A99">
        <w:rPr>
          <w:color w:val="000000"/>
          <w:szCs w:val="28"/>
        </w:rPr>
        <w:t>pass the</w:t>
      </w:r>
      <w:r w:rsidR="00CB6E01">
        <w:rPr>
          <w:color w:val="000000"/>
          <w:szCs w:val="28"/>
        </w:rPr>
        <w:t xml:space="preserve"> HK$28,720</w:t>
      </w:r>
      <w:r w:rsidR="00501A99">
        <w:rPr>
          <w:color w:val="000000"/>
          <w:szCs w:val="28"/>
        </w:rPr>
        <w:t xml:space="preserve"> cash and </w:t>
      </w:r>
      <w:r w:rsidR="00F60E26" w:rsidRPr="00501A99">
        <w:rPr>
          <w:color w:val="000000"/>
          <w:szCs w:val="28"/>
        </w:rPr>
        <w:t xml:space="preserve">his </w:t>
      </w:r>
      <w:r w:rsidR="00594EB5">
        <w:rPr>
          <w:color w:val="000000"/>
          <w:szCs w:val="28"/>
        </w:rPr>
        <w:t xml:space="preserve">bank </w:t>
      </w:r>
      <w:r w:rsidR="00F60E26" w:rsidRPr="00501A99">
        <w:rPr>
          <w:color w:val="000000"/>
          <w:szCs w:val="28"/>
        </w:rPr>
        <w:t>card</w:t>
      </w:r>
      <w:r w:rsidR="00501A99">
        <w:rPr>
          <w:color w:val="000000"/>
          <w:szCs w:val="28"/>
        </w:rPr>
        <w:t>s</w:t>
      </w:r>
      <w:r w:rsidR="00F60E26" w:rsidRPr="00501A99">
        <w:rPr>
          <w:color w:val="000000"/>
          <w:szCs w:val="28"/>
        </w:rPr>
        <w:t xml:space="preserve"> to DW2</w:t>
      </w:r>
      <w:r w:rsidR="0026012A">
        <w:rPr>
          <w:color w:val="000000"/>
          <w:szCs w:val="28"/>
        </w:rPr>
        <w:t xml:space="preserve"> in a plastic bag</w:t>
      </w:r>
      <w:r w:rsidR="00500232" w:rsidRPr="00501A99">
        <w:rPr>
          <w:color w:val="000000"/>
          <w:szCs w:val="28"/>
        </w:rPr>
        <w:t xml:space="preserve">.  </w:t>
      </w:r>
    </w:p>
    <w:p w:rsidR="00EB531C" w:rsidRDefault="00F94B25" w:rsidP="00501A99">
      <w:pPr>
        <w:pStyle w:val="Final"/>
        <w:ind w:left="0" w:firstLine="0"/>
        <w:rPr>
          <w:color w:val="000000"/>
          <w:szCs w:val="28"/>
        </w:rPr>
      </w:pPr>
      <w:r>
        <w:rPr>
          <w:color w:val="000000"/>
          <w:szCs w:val="28"/>
        </w:rPr>
        <w:t xml:space="preserve">In her </w:t>
      </w:r>
      <w:r w:rsidRPr="00F94B25">
        <w:rPr>
          <w:color w:val="000000"/>
          <w:szCs w:val="28"/>
        </w:rPr>
        <w:t>evidence</w:t>
      </w:r>
      <w:r w:rsidR="00631138">
        <w:rPr>
          <w:color w:val="000000"/>
          <w:szCs w:val="28"/>
        </w:rPr>
        <w:t>,</w:t>
      </w:r>
      <w:r>
        <w:rPr>
          <w:color w:val="000000"/>
          <w:szCs w:val="28"/>
        </w:rPr>
        <w:t xml:space="preserve"> </w:t>
      </w:r>
      <w:r w:rsidR="00BE0FFC">
        <w:rPr>
          <w:color w:val="000000"/>
          <w:szCs w:val="28"/>
        </w:rPr>
        <w:t>DW2</w:t>
      </w:r>
      <w:r w:rsidR="00501A99">
        <w:rPr>
          <w:color w:val="000000"/>
          <w:szCs w:val="28"/>
        </w:rPr>
        <w:t xml:space="preserve"> </w:t>
      </w:r>
      <w:r w:rsidR="00C62AB5">
        <w:rPr>
          <w:color w:val="000000"/>
          <w:szCs w:val="28"/>
        </w:rPr>
        <w:t xml:space="preserve">said she had </w:t>
      </w:r>
      <w:r w:rsidR="00501A99">
        <w:rPr>
          <w:color w:val="000000"/>
          <w:szCs w:val="28"/>
        </w:rPr>
        <w:t xml:space="preserve">stopped </w:t>
      </w:r>
      <w:r w:rsidR="000973D8">
        <w:rPr>
          <w:color w:val="000000"/>
          <w:szCs w:val="28"/>
        </w:rPr>
        <w:t xml:space="preserve">seeing </w:t>
      </w:r>
      <w:r w:rsidR="00501A99">
        <w:rPr>
          <w:color w:val="000000"/>
          <w:szCs w:val="28"/>
        </w:rPr>
        <w:t>the appellant since his arrest.</w:t>
      </w:r>
      <w:r w:rsidR="00500232">
        <w:rPr>
          <w:color w:val="000000"/>
          <w:szCs w:val="28"/>
        </w:rPr>
        <w:t xml:space="preserve">  </w:t>
      </w:r>
      <w:r w:rsidR="00BE0FFC">
        <w:rPr>
          <w:color w:val="000000"/>
          <w:szCs w:val="28"/>
        </w:rPr>
        <w:t xml:space="preserve">She </w:t>
      </w:r>
      <w:r w:rsidR="00501A99">
        <w:rPr>
          <w:color w:val="000000"/>
          <w:szCs w:val="28"/>
        </w:rPr>
        <w:t>recalled</w:t>
      </w:r>
      <w:r w:rsidR="00BE0FFC">
        <w:rPr>
          <w:color w:val="000000"/>
          <w:szCs w:val="28"/>
        </w:rPr>
        <w:t xml:space="preserve"> on 5 January a group of officers </w:t>
      </w:r>
      <w:r w:rsidR="00EB531C">
        <w:rPr>
          <w:color w:val="000000"/>
          <w:szCs w:val="28"/>
        </w:rPr>
        <w:t xml:space="preserve">rushed towards </w:t>
      </w:r>
      <w:r w:rsidR="00501A99">
        <w:rPr>
          <w:color w:val="000000"/>
          <w:szCs w:val="28"/>
        </w:rPr>
        <w:t xml:space="preserve">the appellant as they were </w:t>
      </w:r>
      <w:r w:rsidR="00EB531C">
        <w:rPr>
          <w:color w:val="000000"/>
          <w:szCs w:val="28"/>
        </w:rPr>
        <w:t xml:space="preserve">leaving the building where they lived.  </w:t>
      </w:r>
      <w:r w:rsidR="00C62AB5">
        <w:rPr>
          <w:color w:val="000000"/>
          <w:szCs w:val="28"/>
        </w:rPr>
        <w:t xml:space="preserve">The police </w:t>
      </w:r>
      <w:r w:rsidR="00501A99">
        <w:rPr>
          <w:color w:val="000000"/>
          <w:szCs w:val="28"/>
        </w:rPr>
        <w:t>interrogated he</w:t>
      </w:r>
      <w:r w:rsidR="00C62AB5">
        <w:rPr>
          <w:color w:val="000000"/>
          <w:szCs w:val="28"/>
        </w:rPr>
        <w:t>r</w:t>
      </w:r>
      <w:r>
        <w:rPr>
          <w:color w:val="000000"/>
          <w:szCs w:val="28"/>
        </w:rPr>
        <w:t xml:space="preserve">, </w:t>
      </w:r>
      <w:r w:rsidR="00EB531C">
        <w:rPr>
          <w:color w:val="000000"/>
          <w:szCs w:val="28"/>
        </w:rPr>
        <w:t>searched her bag and took away her mobile phone.  This was at about 3 pm.  She was kept downstairs for about 10</w:t>
      </w:r>
      <w:r>
        <w:rPr>
          <w:color w:val="000000"/>
          <w:szCs w:val="28"/>
          <w:lang w:val="en-US"/>
        </w:rPr>
        <w:t> </w:t>
      </w:r>
      <w:r w:rsidR="00EB531C">
        <w:rPr>
          <w:color w:val="000000"/>
          <w:szCs w:val="28"/>
        </w:rPr>
        <w:t xml:space="preserve">minutes and then taken to the flat whilst it was being searched.  </w:t>
      </w:r>
      <w:r>
        <w:rPr>
          <w:color w:val="000000"/>
          <w:szCs w:val="28"/>
        </w:rPr>
        <w:t xml:space="preserve">At this </w:t>
      </w:r>
      <w:proofErr w:type="gramStart"/>
      <w:r>
        <w:rPr>
          <w:color w:val="000000"/>
          <w:szCs w:val="28"/>
        </w:rPr>
        <w:t>time</w:t>
      </w:r>
      <w:proofErr w:type="gramEnd"/>
      <w:r>
        <w:rPr>
          <w:color w:val="000000"/>
          <w:szCs w:val="28"/>
        </w:rPr>
        <w:t xml:space="preserve"> she was handcuffed.  </w:t>
      </w:r>
      <w:r w:rsidR="00EB531C">
        <w:rPr>
          <w:color w:val="000000"/>
          <w:szCs w:val="28"/>
        </w:rPr>
        <w:t xml:space="preserve">The </w:t>
      </w:r>
      <w:r w:rsidR="00EB531C" w:rsidRPr="00EB531C">
        <w:rPr>
          <w:color w:val="000000"/>
          <w:szCs w:val="28"/>
        </w:rPr>
        <w:t>appellant</w:t>
      </w:r>
      <w:r w:rsidR="00EB531C">
        <w:rPr>
          <w:color w:val="000000"/>
          <w:szCs w:val="28"/>
        </w:rPr>
        <w:t xml:space="preserve"> was </w:t>
      </w:r>
      <w:r>
        <w:rPr>
          <w:color w:val="000000"/>
          <w:szCs w:val="28"/>
        </w:rPr>
        <w:t xml:space="preserve">already there and she said that he saw that she was handcuffed and she heard him tell the police that he would admit everything and then they should let </w:t>
      </w:r>
      <w:r w:rsidR="00631138">
        <w:rPr>
          <w:color w:val="000000"/>
          <w:szCs w:val="28"/>
        </w:rPr>
        <w:t xml:space="preserve">her </w:t>
      </w:r>
      <w:r>
        <w:rPr>
          <w:color w:val="000000"/>
          <w:szCs w:val="28"/>
        </w:rPr>
        <w:t xml:space="preserve">go.  The </w:t>
      </w:r>
      <w:r w:rsidRPr="00F94B25">
        <w:rPr>
          <w:color w:val="000000"/>
          <w:szCs w:val="28"/>
        </w:rPr>
        <w:t>appellant</w:t>
      </w:r>
      <w:r>
        <w:rPr>
          <w:color w:val="000000"/>
          <w:szCs w:val="28"/>
        </w:rPr>
        <w:t xml:space="preserve"> was </w:t>
      </w:r>
      <w:r w:rsidR="00EB531C">
        <w:rPr>
          <w:color w:val="000000"/>
          <w:szCs w:val="28"/>
        </w:rPr>
        <w:lastRenderedPageBreak/>
        <w:t xml:space="preserve">later taken downstairs and 10 minutes </w:t>
      </w:r>
      <w:r>
        <w:rPr>
          <w:color w:val="000000"/>
          <w:szCs w:val="28"/>
        </w:rPr>
        <w:t xml:space="preserve">after that </w:t>
      </w:r>
      <w:r w:rsidR="00EB531C">
        <w:rPr>
          <w:color w:val="000000"/>
          <w:szCs w:val="28"/>
        </w:rPr>
        <w:t xml:space="preserve">DW2 said she was </w:t>
      </w:r>
      <w:r>
        <w:rPr>
          <w:color w:val="000000"/>
          <w:szCs w:val="28"/>
        </w:rPr>
        <w:t xml:space="preserve">also </w:t>
      </w:r>
      <w:r w:rsidR="00EB531C">
        <w:rPr>
          <w:color w:val="000000"/>
          <w:szCs w:val="28"/>
        </w:rPr>
        <w:t xml:space="preserve">taken downstairs.  She </w:t>
      </w:r>
      <w:r w:rsidR="005C01A9">
        <w:rPr>
          <w:color w:val="000000"/>
          <w:szCs w:val="28"/>
        </w:rPr>
        <w:t xml:space="preserve">said she </w:t>
      </w:r>
      <w:r w:rsidR="00EB531C">
        <w:rPr>
          <w:color w:val="000000"/>
          <w:szCs w:val="28"/>
        </w:rPr>
        <w:t xml:space="preserve">saw the </w:t>
      </w:r>
      <w:r w:rsidR="00EB531C" w:rsidRPr="00EB531C">
        <w:rPr>
          <w:color w:val="000000"/>
          <w:szCs w:val="28"/>
        </w:rPr>
        <w:t>appellant</w:t>
      </w:r>
      <w:r w:rsidR="00EB531C">
        <w:rPr>
          <w:color w:val="000000"/>
          <w:szCs w:val="28"/>
        </w:rPr>
        <w:t xml:space="preserve"> being taken to the van.</w:t>
      </w:r>
      <w:r w:rsidR="001F26EA">
        <w:rPr>
          <w:color w:val="000000"/>
          <w:szCs w:val="28"/>
        </w:rPr>
        <w:t xml:space="preserve">  </w:t>
      </w:r>
    </w:p>
    <w:p w:rsidR="003522D9" w:rsidRPr="00501A99" w:rsidRDefault="00501A99" w:rsidP="00501A99">
      <w:pPr>
        <w:pStyle w:val="Final"/>
        <w:ind w:left="0" w:firstLine="0"/>
        <w:rPr>
          <w:color w:val="000000"/>
          <w:szCs w:val="28"/>
        </w:rPr>
      </w:pPr>
      <w:r>
        <w:rPr>
          <w:color w:val="000000"/>
          <w:szCs w:val="28"/>
        </w:rPr>
        <w:t>S</w:t>
      </w:r>
      <w:r w:rsidR="00BE0FFC" w:rsidRPr="00501A99">
        <w:rPr>
          <w:color w:val="000000"/>
          <w:szCs w:val="28"/>
        </w:rPr>
        <w:t xml:space="preserve">he was </w:t>
      </w:r>
      <w:r w:rsidR="001F26EA">
        <w:rPr>
          <w:color w:val="000000"/>
          <w:szCs w:val="28"/>
        </w:rPr>
        <w:t xml:space="preserve">later </w:t>
      </w:r>
      <w:r w:rsidR="00BE0FFC" w:rsidRPr="00501A99">
        <w:rPr>
          <w:color w:val="000000"/>
          <w:szCs w:val="28"/>
        </w:rPr>
        <w:t xml:space="preserve">taken </w:t>
      </w:r>
      <w:r>
        <w:rPr>
          <w:color w:val="000000"/>
          <w:szCs w:val="28"/>
        </w:rPr>
        <w:t xml:space="preserve">to the </w:t>
      </w:r>
      <w:r w:rsidR="00F17FC2" w:rsidRPr="00501A99">
        <w:rPr>
          <w:color w:val="000000"/>
          <w:szCs w:val="28"/>
        </w:rPr>
        <w:t>police station</w:t>
      </w:r>
      <w:r>
        <w:rPr>
          <w:color w:val="000000"/>
          <w:szCs w:val="28"/>
        </w:rPr>
        <w:t xml:space="preserve"> and</w:t>
      </w:r>
      <w:r w:rsidR="00BE0FFC" w:rsidRPr="00501A99">
        <w:rPr>
          <w:color w:val="000000"/>
          <w:szCs w:val="28"/>
        </w:rPr>
        <w:t xml:space="preserve"> </w:t>
      </w:r>
      <w:r w:rsidR="00CF3543" w:rsidRPr="00501A99">
        <w:rPr>
          <w:color w:val="000000"/>
          <w:szCs w:val="28"/>
        </w:rPr>
        <w:t xml:space="preserve">was told </w:t>
      </w:r>
      <w:r>
        <w:rPr>
          <w:color w:val="000000"/>
          <w:szCs w:val="28"/>
        </w:rPr>
        <w:t xml:space="preserve">that </w:t>
      </w:r>
      <w:r w:rsidR="00BE0FFC" w:rsidRPr="00501A99">
        <w:rPr>
          <w:color w:val="000000"/>
          <w:szCs w:val="28"/>
        </w:rPr>
        <w:t xml:space="preserve">she would be </w:t>
      </w:r>
      <w:r>
        <w:rPr>
          <w:color w:val="000000"/>
          <w:szCs w:val="28"/>
        </w:rPr>
        <w:t>released</w:t>
      </w:r>
      <w:r w:rsidR="00BE0FFC" w:rsidRPr="00501A99">
        <w:rPr>
          <w:color w:val="000000"/>
          <w:szCs w:val="28"/>
        </w:rPr>
        <w:t xml:space="preserve"> after the </w:t>
      </w:r>
      <w:r w:rsidR="00230F99" w:rsidRPr="00501A99">
        <w:rPr>
          <w:color w:val="000000"/>
          <w:szCs w:val="28"/>
        </w:rPr>
        <w:t>appellant</w:t>
      </w:r>
      <w:r w:rsidR="00BE0FFC" w:rsidRPr="00501A99">
        <w:rPr>
          <w:color w:val="000000"/>
          <w:szCs w:val="28"/>
        </w:rPr>
        <w:t xml:space="preserve"> </w:t>
      </w:r>
      <w:r w:rsidR="001F26EA">
        <w:rPr>
          <w:color w:val="000000"/>
          <w:szCs w:val="28"/>
        </w:rPr>
        <w:t xml:space="preserve">had </w:t>
      </w:r>
      <w:r>
        <w:rPr>
          <w:color w:val="000000"/>
          <w:szCs w:val="28"/>
        </w:rPr>
        <w:t>completed</w:t>
      </w:r>
      <w:r w:rsidR="00BE0FFC" w:rsidRPr="00501A99">
        <w:rPr>
          <w:color w:val="000000"/>
          <w:szCs w:val="28"/>
        </w:rPr>
        <w:t xml:space="preserve"> his VRI</w:t>
      </w:r>
      <w:r w:rsidR="0026012A">
        <w:rPr>
          <w:color w:val="000000"/>
          <w:szCs w:val="28"/>
        </w:rPr>
        <w:t>.</w:t>
      </w:r>
      <w:r w:rsidR="00500232" w:rsidRPr="00501A99">
        <w:rPr>
          <w:color w:val="000000"/>
          <w:szCs w:val="28"/>
        </w:rPr>
        <w:t xml:space="preserve"> </w:t>
      </w:r>
      <w:r w:rsidR="0026012A">
        <w:rPr>
          <w:color w:val="000000"/>
          <w:szCs w:val="28"/>
        </w:rPr>
        <w:t xml:space="preserve"> H</w:t>
      </w:r>
      <w:r w:rsidR="00F17FC2" w:rsidRPr="00501A99">
        <w:rPr>
          <w:color w:val="000000"/>
          <w:szCs w:val="28"/>
        </w:rPr>
        <w:t>er mobile phone and ID card</w:t>
      </w:r>
      <w:r w:rsidR="00A528AF" w:rsidRPr="00501A99">
        <w:rPr>
          <w:color w:val="000000"/>
          <w:szCs w:val="28"/>
        </w:rPr>
        <w:t xml:space="preserve">, a plastic bag containing the money and two </w:t>
      </w:r>
      <w:r w:rsidR="001F26EA">
        <w:rPr>
          <w:color w:val="000000"/>
          <w:szCs w:val="28"/>
        </w:rPr>
        <w:t xml:space="preserve">bank </w:t>
      </w:r>
      <w:r w:rsidR="00A528AF" w:rsidRPr="00501A99">
        <w:rPr>
          <w:color w:val="000000"/>
          <w:szCs w:val="28"/>
        </w:rPr>
        <w:t xml:space="preserve">cards of the </w:t>
      </w:r>
      <w:r w:rsidR="00230F99" w:rsidRPr="00501A99">
        <w:rPr>
          <w:color w:val="000000"/>
          <w:szCs w:val="28"/>
        </w:rPr>
        <w:t>appellant</w:t>
      </w:r>
      <w:r w:rsidR="003C355F">
        <w:rPr>
          <w:color w:val="000000"/>
          <w:szCs w:val="28"/>
        </w:rPr>
        <w:t>, and a</w:t>
      </w:r>
      <w:r w:rsidR="003A1F91" w:rsidRPr="00501A99">
        <w:rPr>
          <w:color w:val="000000"/>
          <w:szCs w:val="28"/>
        </w:rPr>
        <w:t xml:space="preserve"> ATM card belonging to Wong were</w:t>
      </w:r>
      <w:r w:rsidR="00F17FC2" w:rsidRPr="00501A99">
        <w:rPr>
          <w:color w:val="000000"/>
          <w:szCs w:val="28"/>
        </w:rPr>
        <w:t xml:space="preserve"> </w:t>
      </w:r>
      <w:r w:rsidR="003C355F">
        <w:rPr>
          <w:color w:val="000000"/>
          <w:szCs w:val="28"/>
        </w:rPr>
        <w:t xml:space="preserve">all </w:t>
      </w:r>
      <w:r w:rsidR="00F17FC2" w:rsidRPr="00501A99">
        <w:rPr>
          <w:color w:val="000000"/>
          <w:szCs w:val="28"/>
        </w:rPr>
        <w:t xml:space="preserve">returned to her </w:t>
      </w:r>
      <w:r w:rsidR="003C355F">
        <w:rPr>
          <w:color w:val="000000"/>
          <w:szCs w:val="28"/>
        </w:rPr>
        <w:t>upon her release</w:t>
      </w:r>
      <w:r w:rsidR="00C62AB5">
        <w:rPr>
          <w:color w:val="000000"/>
          <w:szCs w:val="28"/>
        </w:rPr>
        <w:t>, which was 8 hours after</w:t>
      </w:r>
      <w:r w:rsidR="003C160A">
        <w:rPr>
          <w:color w:val="000000"/>
          <w:szCs w:val="28"/>
        </w:rPr>
        <w:t xml:space="preserve"> </w:t>
      </w:r>
      <w:r w:rsidR="00C62AB5">
        <w:rPr>
          <w:color w:val="000000"/>
          <w:szCs w:val="28"/>
        </w:rPr>
        <w:t>the</w:t>
      </w:r>
      <w:r w:rsidR="002A7C31">
        <w:rPr>
          <w:color w:val="000000"/>
          <w:szCs w:val="28"/>
        </w:rPr>
        <w:t>ir</w:t>
      </w:r>
      <w:r w:rsidR="00CB6E01">
        <w:rPr>
          <w:color w:val="000000"/>
          <w:szCs w:val="28"/>
        </w:rPr>
        <w:t xml:space="preserve"> arrest</w:t>
      </w:r>
      <w:r w:rsidR="00C62AB5">
        <w:rPr>
          <w:color w:val="000000"/>
          <w:szCs w:val="28"/>
        </w:rPr>
        <w:t xml:space="preserve">.  </w:t>
      </w:r>
      <w:r w:rsidR="00500232" w:rsidRPr="00501A99">
        <w:rPr>
          <w:color w:val="000000"/>
          <w:szCs w:val="28"/>
        </w:rPr>
        <w:t xml:space="preserve">  </w:t>
      </w:r>
    </w:p>
    <w:p w:rsidR="00DB0104" w:rsidRDefault="00630070" w:rsidP="00DB0104">
      <w:pPr>
        <w:pStyle w:val="H-1"/>
      </w:pPr>
      <w:r>
        <w:t>T</w:t>
      </w:r>
      <w:r w:rsidR="00DB0104">
        <w:rPr>
          <w:rFonts w:hint="eastAsia"/>
        </w:rPr>
        <w:t xml:space="preserve">he </w:t>
      </w:r>
      <w:r w:rsidR="00230F99">
        <w:rPr>
          <w:rFonts w:hint="eastAsia"/>
          <w:szCs w:val="28"/>
          <w:lang w:val="en-US"/>
        </w:rPr>
        <w:t>appellant</w:t>
      </w:r>
      <w:r w:rsidR="00341D40">
        <w:t xml:space="preserve">’s </w:t>
      </w:r>
      <w:r w:rsidR="00DB0104">
        <w:rPr>
          <w:rFonts w:hint="eastAsia"/>
        </w:rPr>
        <w:t>ground</w:t>
      </w:r>
      <w:r w:rsidR="00521A09">
        <w:t>s</w:t>
      </w:r>
      <w:r w:rsidR="00DB0104">
        <w:rPr>
          <w:rFonts w:hint="eastAsia"/>
        </w:rPr>
        <w:t xml:space="preserve"> of appeal </w:t>
      </w:r>
    </w:p>
    <w:p w:rsidR="005472D4" w:rsidRDefault="005472D4" w:rsidP="006B567A">
      <w:pPr>
        <w:pStyle w:val="Final"/>
        <w:ind w:left="0" w:firstLine="0"/>
      </w:pPr>
      <w:r>
        <w:t>M</w:t>
      </w:r>
      <w:r w:rsidR="00B70866">
        <w:t>r</w:t>
      </w:r>
      <w:r>
        <w:t xml:space="preserve"> </w:t>
      </w:r>
      <w:r w:rsidR="000563A8">
        <w:t xml:space="preserve">David </w:t>
      </w:r>
      <w:proofErr w:type="spellStart"/>
      <w:r>
        <w:t>Boyton</w:t>
      </w:r>
      <w:proofErr w:type="spellEnd"/>
      <w:r>
        <w:t xml:space="preserve">, </w:t>
      </w:r>
      <w:r w:rsidR="000563A8">
        <w:t xml:space="preserve">who appeared for the appellant both at trial and on appeal, </w:t>
      </w:r>
      <w:r>
        <w:t xml:space="preserve">relies on two grounds of appeal </w:t>
      </w:r>
      <w:r w:rsidR="007F22B0">
        <w:t xml:space="preserve">in his </w:t>
      </w:r>
      <w:r>
        <w:t xml:space="preserve">Perfected Grounds of Appeal.    </w:t>
      </w:r>
    </w:p>
    <w:p w:rsidR="007E35D0" w:rsidRDefault="005472D4" w:rsidP="005472D4">
      <w:pPr>
        <w:pStyle w:val="Final"/>
        <w:ind w:left="0" w:firstLine="0"/>
      </w:pPr>
      <w:r>
        <w:t xml:space="preserve">In </w:t>
      </w:r>
      <w:r w:rsidR="00B70866">
        <w:t>the first ground of appeal</w:t>
      </w:r>
      <w:r>
        <w:t xml:space="preserve"> </w:t>
      </w:r>
      <w:r w:rsidR="007F22B0">
        <w:t xml:space="preserve">he contends </w:t>
      </w:r>
      <w:r>
        <w:t xml:space="preserve">that the judge erred by failing to direct the jury on </w:t>
      </w:r>
      <w:r w:rsidR="001F61A2">
        <w:t>circumstantial evidence</w:t>
      </w:r>
      <w:r w:rsidR="00AF38F0">
        <w:t xml:space="preserve"> and inferential reasoning</w:t>
      </w:r>
      <w:r w:rsidR="001F61A2">
        <w:t xml:space="preserve"> in terms of Direction 21</w:t>
      </w:r>
      <w:r w:rsidR="00B90CE7">
        <w:t xml:space="preserve">.3 </w:t>
      </w:r>
      <w:r w:rsidR="001F61A2">
        <w:t>of the Specimen Directions</w:t>
      </w:r>
      <w:r w:rsidR="003C160A">
        <w:t xml:space="preserve"> in Jury Trials</w:t>
      </w:r>
      <w:r w:rsidR="001F61A2">
        <w:t xml:space="preserve">.  </w:t>
      </w:r>
      <w:r w:rsidR="002249F7">
        <w:t xml:space="preserve">Mr </w:t>
      </w:r>
      <w:proofErr w:type="spellStart"/>
      <w:r w:rsidR="002249F7">
        <w:t>Boyton</w:t>
      </w:r>
      <w:proofErr w:type="spellEnd"/>
      <w:r w:rsidR="002249F7">
        <w:t xml:space="preserve"> refers to the </w:t>
      </w:r>
      <w:r w:rsidR="007E35D0">
        <w:t xml:space="preserve">prosecution </w:t>
      </w:r>
      <w:r w:rsidR="002249F7">
        <w:t>opening</w:t>
      </w:r>
      <w:r w:rsidR="00CB6E01">
        <w:t xml:space="preserve"> and closing</w:t>
      </w:r>
      <w:r w:rsidR="007E35D0">
        <w:t xml:space="preserve"> speech</w:t>
      </w:r>
      <w:r w:rsidR="00CB6E01">
        <w:t>es</w:t>
      </w:r>
      <w:r w:rsidR="002249F7">
        <w:t xml:space="preserve"> and </w:t>
      </w:r>
      <w:r w:rsidR="007E35D0">
        <w:t xml:space="preserve">submits that </w:t>
      </w:r>
      <w:r w:rsidR="007F22B0">
        <w:t xml:space="preserve">the prosecution sought the appellant’s </w:t>
      </w:r>
      <w:r w:rsidR="00AF38F0">
        <w:t xml:space="preserve">conviction </w:t>
      </w:r>
      <w:r w:rsidR="007F22B0">
        <w:t xml:space="preserve">on the basis </w:t>
      </w:r>
      <w:r w:rsidR="00AF38F0">
        <w:t>of both the disputed admissions of the appellant as well as the circumstantial evidence.</w:t>
      </w:r>
      <w:r w:rsidR="00CC2A3A">
        <w:t xml:space="preserve">  </w:t>
      </w:r>
      <w:r w:rsidR="00CB6E01">
        <w:t xml:space="preserve">That being </w:t>
      </w:r>
      <w:r w:rsidR="002A7C31">
        <w:t>so</w:t>
      </w:r>
      <w:r w:rsidR="00CB6E01">
        <w:t>, he argue</w:t>
      </w:r>
      <w:r w:rsidR="000563A8">
        <w:t>s</w:t>
      </w:r>
      <w:r w:rsidR="005E1777">
        <w:t xml:space="preserve">, the question </w:t>
      </w:r>
      <w:r w:rsidR="000563A8">
        <w:t xml:space="preserve">arose </w:t>
      </w:r>
      <w:r w:rsidR="005E1777">
        <w:t>of whether a direction</w:t>
      </w:r>
      <w:r w:rsidR="00CB6E01">
        <w:t xml:space="preserve"> on inferences</w:t>
      </w:r>
      <w:r w:rsidR="005E1777">
        <w:t xml:space="preserve"> </w:t>
      </w:r>
      <w:r w:rsidR="000563A8">
        <w:t>wa</w:t>
      </w:r>
      <w:r w:rsidR="005E1777">
        <w:t xml:space="preserve">s </w:t>
      </w:r>
      <w:r w:rsidR="002A7C31">
        <w:t>required</w:t>
      </w:r>
      <w:r w:rsidR="000563A8">
        <w:t xml:space="preserve">.  In support of this proposition he relied on the judgment of the Court of Final Appeal in </w:t>
      </w:r>
      <w:r w:rsidR="000563A8" w:rsidRPr="005E1777">
        <w:rPr>
          <w:i/>
        </w:rPr>
        <w:t>Tang Kwok</w:t>
      </w:r>
      <w:r w:rsidR="00B70866">
        <w:rPr>
          <w:i/>
        </w:rPr>
        <w:t xml:space="preserve"> </w:t>
      </w:r>
      <w:proofErr w:type="spellStart"/>
      <w:r w:rsidR="00B70866">
        <w:rPr>
          <w:i/>
        </w:rPr>
        <w:t>W</w:t>
      </w:r>
      <w:r w:rsidR="000563A8" w:rsidRPr="005E1777">
        <w:rPr>
          <w:i/>
        </w:rPr>
        <w:t>ah</w:t>
      </w:r>
      <w:proofErr w:type="spellEnd"/>
      <w:r w:rsidR="000563A8" w:rsidRPr="005E1777">
        <w:rPr>
          <w:i/>
        </w:rPr>
        <w:t xml:space="preserve"> v HKSAR</w:t>
      </w:r>
      <w:r w:rsidR="000563A8">
        <w:rPr>
          <w:rStyle w:val="FootnoteReference"/>
        </w:rPr>
        <w:footnoteReference w:id="3"/>
      </w:r>
      <w:r w:rsidR="00B70866" w:rsidRPr="00B70866">
        <w:t>.</w:t>
      </w:r>
      <w:r w:rsidR="000563A8">
        <w:t xml:space="preserve"> </w:t>
      </w:r>
    </w:p>
    <w:p w:rsidR="00CC2A3A" w:rsidRDefault="00AF38F0" w:rsidP="000D0786">
      <w:pPr>
        <w:pStyle w:val="Final"/>
        <w:ind w:left="0" w:firstLine="0"/>
      </w:pPr>
      <w:r>
        <w:t>M</w:t>
      </w:r>
      <w:r w:rsidR="00C42BA7">
        <w:t xml:space="preserve">r </w:t>
      </w:r>
      <w:proofErr w:type="spellStart"/>
      <w:r w:rsidR="00C42BA7">
        <w:t>Boyton</w:t>
      </w:r>
      <w:proofErr w:type="spellEnd"/>
      <w:r w:rsidR="00C42BA7">
        <w:t xml:space="preserve"> </w:t>
      </w:r>
      <w:r w:rsidR="000563A8">
        <w:t xml:space="preserve">submitted </w:t>
      </w:r>
      <w:r w:rsidR="007F22B0">
        <w:t>that t</w:t>
      </w:r>
      <w:r w:rsidR="005E1777">
        <w:t>he</w:t>
      </w:r>
      <w:r w:rsidR="00B90CE7">
        <w:t xml:space="preserve"> </w:t>
      </w:r>
      <w:r w:rsidR="000563A8">
        <w:t xml:space="preserve">prejudice from failing to give the inferential direction arises in two ways.  Firstly, </w:t>
      </w:r>
      <w:r w:rsidR="00B90CE7">
        <w:t xml:space="preserve">the jury </w:t>
      </w:r>
      <w:r w:rsidR="007F22B0">
        <w:t xml:space="preserve">might reason that </w:t>
      </w:r>
      <w:r w:rsidR="000563A8">
        <w:lastRenderedPageBreak/>
        <w:t xml:space="preserve">knowledge </w:t>
      </w:r>
      <w:r w:rsidR="00B90CE7">
        <w:t xml:space="preserve">of </w:t>
      </w:r>
      <w:r w:rsidR="000563A8">
        <w:t xml:space="preserve">the </w:t>
      </w:r>
      <w:r w:rsidR="00B90CE7">
        <w:t xml:space="preserve">cocaine in the car </w:t>
      </w:r>
      <w:r w:rsidR="007F22B0">
        <w:t xml:space="preserve">meant the </w:t>
      </w:r>
      <w:r w:rsidR="00B90CE7">
        <w:t>appellant</w:t>
      </w:r>
      <w:r w:rsidR="007F22B0">
        <w:t xml:space="preserve"> </w:t>
      </w:r>
      <w:r w:rsidR="000563A8">
        <w:t xml:space="preserve">was trafficking in it.  </w:t>
      </w:r>
      <w:r w:rsidR="00CC2A3A">
        <w:rPr>
          <w:rFonts w:ascii="PMingLiU" w:eastAsia="PMingLiU" w:hAnsi="PMingLiU"/>
          <w:lang w:eastAsia="zh-TW"/>
        </w:rPr>
        <w:t xml:space="preserve"> </w:t>
      </w:r>
      <w:r w:rsidR="00B90CE7">
        <w:t xml:space="preserve">  </w:t>
      </w:r>
    </w:p>
    <w:p w:rsidR="001F61A2" w:rsidRDefault="000563A8" w:rsidP="00CC2A3A">
      <w:pPr>
        <w:pStyle w:val="Final"/>
        <w:ind w:left="0" w:firstLine="0"/>
      </w:pPr>
      <w:r>
        <w:t xml:space="preserve">Secondly, apart from the admissions, </w:t>
      </w:r>
      <w:r w:rsidR="00B90CE7">
        <w:t xml:space="preserve">the </w:t>
      </w:r>
      <w:r>
        <w:t xml:space="preserve">primary facts in the present case, by themselves, may </w:t>
      </w:r>
      <w:r w:rsidR="00B90CE7">
        <w:t xml:space="preserve">not have been sufficient to secure a conviction.  </w:t>
      </w:r>
      <w:r w:rsidR="00AF38F0">
        <w:t xml:space="preserve">Accordingly, a </w:t>
      </w:r>
      <w:r>
        <w:t xml:space="preserve">proper </w:t>
      </w:r>
      <w:r w:rsidR="00AF38F0">
        <w:t xml:space="preserve">direction on circumstantial evidence and inferential reasoning </w:t>
      </w:r>
      <w:r>
        <w:t>was required</w:t>
      </w:r>
      <w:r w:rsidR="00AF38F0">
        <w:t xml:space="preserve">.  </w:t>
      </w:r>
    </w:p>
    <w:p w:rsidR="005E1777" w:rsidRDefault="007F22B0" w:rsidP="005472D4">
      <w:pPr>
        <w:pStyle w:val="Final"/>
        <w:ind w:left="0" w:firstLine="0"/>
      </w:pPr>
      <w:r>
        <w:t xml:space="preserve">In </w:t>
      </w:r>
      <w:r w:rsidR="00B70866">
        <w:t>the second ground of appeal</w:t>
      </w:r>
      <w:r w:rsidR="001F61A2">
        <w:t xml:space="preserve">, Mr </w:t>
      </w:r>
      <w:proofErr w:type="spellStart"/>
      <w:r w:rsidR="001F61A2">
        <w:t>Boyton</w:t>
      </w:r>
      <w:proofErr w:type="spellEnd"/>
      <w:r w:rsidR="001F61A2">
        <w:t xml:space="preserve"> complains that the judge erred by failing to give </w:t>
      </w:r>
      <w:r w:rsidR="004B7FCA">
        <w:t xml:space="preserve">a </w:t>
      </w:r>
      <w:r w:rsidR="001F61A2">
        <w:t xml:space="preserve">full and proper </w:t>
      </w:r>
      <w:proofErr w:type="spellStart"/>
      <w:r w:rsidR="004B7FCA" w:rsidRPr="004B7FCA">
        <w:rPr>
          <w:i/>
        </w:rPr>
        <w:t>Mushtaq</w:t>
      </w:r>
      <w:proofErr w:type="spellEnd"/>
      <w:r w:rsidR="004B7FCA">
        <w:t xml:space="preserve"> </w:t>
      </w:r>
      <w:r w:rsidR="001F61A2">
        <w:t xml:space="preserve">direction concerning the appellant’s </w:t>
      </w:r>
      <w:r w:rsidR="007155BE">
        <w:t xml:space="preserve">crime-scene </w:t>
      </w:r>
      <w:r w:rsidR="001F61A2">
        <w:t>admissions and in his VRI in accordance with Direction 39.1 of the Specimen Direction</w:t>
      </w:r>
      <w:r w:rsidR="00DA5C99">
        <w:t>s in Jury Trials</w:t>
      </w:r>
      <w:r w:rsidR="004B7FCA">
        <w:t xml:space="preserve">.  </w:t>
      </w:r>
      <w:r w:rsidR="005E1777">
        <w:t xml:space="preserve">Mr </w:t>
      </w:r>
      <w:proofErr w:type="spellStart"/>
      <w:r w:rsidR="005E1777">
        <w:t>Boyton</w:t>
      </w:r>
      <w:proofErr w:type="spellEnd"/>
      <w:r w:rsidR="005E1777">
        <w:t xml:space="preserve"> refers to </w:t>
      </w:r>
      <w:r w:rsidR="00DA5C99">
        <w:t xml:space="preserve">the judgment of the Court of Appeal in </w:t>
      </w:r>
      <w:r w:rsidR="005E1777" w:rsidRPr="005E1777">
        <w:rPr>
          <w:i/>
        </w:rPr>
        <w:t>HKSAR v Yeung Chun</w:t>
      </w:r>
      <w:r w:rsidR="00B70866">
        <w:rPr>
          <w:i/>
        </w:rPr>
        <w:t xml:space="preserve"> </w:t>
      </w:r>
      <w:proofErr w:type="spellStart"/>
      <w:r w:rsidR="00B70866">
        <w:rPr>
          <w:i/>
        </w:rPr>
        <w:t>H</w:t>
      </w:r>
      <w:r w:rsidR="005E1777" w:rsidRPr="005E1777">
        <w:rPr>
          <w:i/>
        </w:rPr>
        <w:t>in</w:t>
      </w:r>
      <w:proofErr w:type="spellEnd"/>
      <w:r w:rsidR="005E1777">
        <w:rPr>
          <w:rStyle w:val="FootnoteReference"/>
        </w:rPr>
        <w:footnoteReference w:id="4"/>
      </w:r>
      <w:r w:rsidR="005E1777">
        <w:rPr>
          <w:i/>
        </w:rPr>
        <w:t xml:space="preserve">, </w:t>
      </w:r>
      <w:r w:rsidR="005E1777" w:rsidRPr="005E1777">
        <w:t xml:space="preserve">where </w:t>
      </w:r>
      <w:proofErr w:type="spellStart"/>
      <w:r w:rsidR="00DA5C99">
        <w:t>Macrae</w:t>
      </w:r>
      <w:proofErr w:type="spellEnd"/>
      <w:r w:rsidR="00DA5C99">
        <w:t xml:space="preserve"> VP </w:t>
      </w:r>
      <w:r w:rsidR="004B7FCA">
        <w:t xml:space="preserve">emphasized the need, when giving the jury a </w:t>
      </w:r>
      <w:proofErr w:type="spellStart"/>
      <w:r w:rsidR="004B7FCA" w:rsidRPr="004B7FCA">
        <w:rPr>
          <w:i/>
        </w:rPr>
        <w:t>Mushtaq</w:t>
      </w:r>
      <w:proofErr w:type="spellEnd"/>
      <w:r w:rsidR="004B7FCA">
        <w:t xml:space="preserve"> direction, </w:t>
      </w:r>
      <w:r w:rsidR="001E29DB">
        <w:t xml:space="preserve">to adopt </w:t>
      </w:r>
      <w:r w:rsidR="005E1777">
        <w:t>a st</w:t>
      </w:r>
      <w:r w:rsidR="004B7FCA">
        <w:t xml:space="preserve">ep-by-step, structured approach, </w:t>
      </w:r>
      <w:r w:rsidR="005E1777">
        <w:t>warn</w:t>
      </w:r>
      <w:r w:rsidR="004B7FCA">
        <w:t>ing</w:t>
      </w:r>
      <w:r w:rsidR="005E1777">
        <w:t xml:space="preserve"> that a departure from the terms of </w:t>
      </w:r>
      <w:r w:rsidR="001E29DB">
        <w:t>the Specimen Direction</w:t>
      </w:r>
      <w:r w:rsidR="005E1777">
        <w:t xml:space="preserve"> is a “particularly unwise course”</w:t>
      </w:r>
      <w:r w:rsidR="003C160A">
        <w:rPr>
          <w:rStyle w:val="FootnoteReference"/>
        </w:rPr>
        <w:footnoteReference w:id="5"/>
      </w:r>
      <w:r w:rsidR="00B70866">
        <w:t>.</w:t>
      </w:r>
      <w:r w:rsidR="005E1777">
        <w:t xml:space="preserve">  It was also </w:t>
      </w:r>
      <w:r w:rsidR="00DA5C99">
        <w:t xml:space="preserve">said by </w:t>
      </w:r>
      <w:proofErr w:type="spellStart"/>
      <w:r w:rsidR="00DA5C99">
        <w:t>Macrae</w:t>
      </w:r>
      <w:proofErr w:type="spellEnd"/>
      <w:r w:rsidR="00DA5C99">
        <w:t xml:space="preserve"> VP that </w:t>
      </w:r>
      <w:r w:rsidR="001E29DB">
        <w:t>given the importance of the admission</w:t>
      </w:r>
      <w:r w:rsidR="00DA5C99">
        <w:t>s</w:t>
      </w:r>
      <w:r w:rsidR="001E29DB">
        <w:t xml:space="preserve"> to the prosecution case, </w:t>
      </w:r>
      <w:r w:rsidR="00DA5C99">
        <w:t xml:space="preserve">the </w:t>
      </w:r>
      <w:r w:rsidR="00DA5C99" w:rsidRPr="005D3314">
        <w:rPr>
          <w:rFonts w:hint="eastAsia"/>
          <w:szCs w:val="28"/>
          <w:lang w:val="en-US"/>
        </w:rPr>
        <w:t>applicant</w:t>
      </w:r>
      <w:r w:rsidR="00DA5C99">
        <w:t xml:space="preserve"> in that case </w:t>
      </w:r>
      <w:r w:rsidR="005E1777">
        <w:t xml:space="preserve">would </w:t>
      </w:r>
      <w:r w:rsidR="00DA5C99">
        <w:t xml:space="preserve">have been entitled to </w:t>
      </w:r>
      <w:r w:rsidR="005E1777">
        <w:t xml:space="preserve">expect </w:t>
      </w:r>
      <w:r w:rsidR="00DA5C99">
        <w:t xml:space="preserve">that “the jury would receive from the </w:t>
      </w:r>
      <w:r w:rsidR="007155BE">
        <w:rPr>
          <w:kern w:val="2"/>
          <w:lang w:val="en-US"/>
        </w:rPr>
        <w:t>J</w:t>
      </w:r>
      <w:r w:rsidR="00DA5C99">
        <w:rPr>
          <w:kern w:val="2"/>
          <w:lang w:val="en-US"/>
        </w:rPr>
        <w:t>udge</w:t>
      </w:r>
      <w:r w:rsidR="00DA5C99">
        <w:t xml:space="preserve"> the </w:t>
      </w:r>
      <w:r w:rsidR="005E1777">
        <w:t xml:space="preserve">full </w:t>
      </w:r>
      <w:r w:rsidR="001E29DB">
        <w:t xml:space="preserve">and emphatic </w:t>
      </w:r>
      <w:r w:rsidR="00DA5C99">
        <w:t>terms of the relevant Specimen D</w:t>
      </w:r>
      <w:r w:rsidR="001E29DB">
        <w:t>irection</w:t>
      </w:r>
      <w:r w:rsidR="005C01A9">
        <w:t>”</w:t>
      </w:r>
      <w:r w:rsidR="00AB67F1">
        <w:rPr>
          <w:rStyle w:val="FootnoteReference"/>
        </w:rPr>
        <w:footnoteReference w:id="6"/>
      </w:r>
      <w:r w:rsidR="00B70866">
        <w:t>.</w:t>
      </w:r>
      <w:r w:rsidR="005E1777">
        <w:t xml:space="preserve"> </w:t>
      </w:r>
    </w:p>
    <w:p w:rsidR="007F6CCB" w:rsidRDefault="007F6CCB" w:rsidP="005472D4">
      <w:pPr>
        <w:pStyle w:val="Final"/>
        <w:ind w:left="0" w:firstLine="0"/>
      </w:pPr>
      <w:r>
        <w:t>In the pres</w:t>
      </w:r>
      <w:r w:rsidR="00B70866">
        <w:t xml:space="preserve">ent case Mr </w:t>
      </w:r>
      <w:proofErr w:type="spellStart"/>
      <w:r w:rsidR="00B70866">
        <w:t>Boyton</w:t>
      </w:r>
      <w:proofErr w:type="spellEnd"/>
      <w:r w:rsidR="00B70866">
        <w:t xml:space="preserve"> argues that </w:t>
      </w:r>
      <w:r>
        <w:t xml:space="preserve">the trial </w:t>
      </w:r>
      <w:r>
        <w:rPr>
          <w:kern w:val="2"/>
          <w:lang w:val="en-US"/>
        </w:rPr>
        <w:t>judge</w:t>
      </w:r>
      <w:r>
        <w:t xml:space="preserve"> did not convey all the elements</w:t>
      </w:r>
      <w:r w:rsidR="00862DFB">
        <w:t xml:space="preserve"> of the direction</w:t>
      </w:r>
      <w:r>
        <w:t xml:space="preserve"> required, nor was it in the structure recommended by the </w:t>
      </w:r>
      <w:r w:rsidRPr="009B4F76">
        <w:rPr>
          <w:lang w:val="en-US" w:eastAsia="zh-TW"/>
        </w:rPr>
        <w:t>Hong Kong</w:t>
      </w:r>
      <w:r>
        <w:t xml:space="preserve"> Judicial Institute. </w:t>
      </w:r>
    </w:p>
    <w:p w:rsidR="00DD7F45" w:rsidRDefault="001E29DB" w:rsidP="003D7F0A">
      <w:pPr>
        <w:pStyle w:val="Final"/>
        <w:ind w:left="0" w:firstLine="0"/>
      </w:pPr>
      <w:r>
        <w:lastRenderedPageBreak/>
        <w:t xml:space="preserve">Mr </w:t>
      </w:r>
      <w:proofErr w:type="spellStart"/>
      <w:r>
        <w:t>Boyton</w:t>
      </w:r>
      <w:proofErr w:type="spellEnd"/>
      <w:r>
        <w:t xml:space="preserve"> </w:t>
      </w:r>
      <w:r w:rsidR="003D7F0A">
        <w:t xml:space="preserve">complains that the judge’s direction in relation to </w:t>
      </w:r>
      <w:r w:rsidR="00DD7F45">
        <w:t xml:space="preserve">both </w:t>
      </w:r>
      <w:r w:rsidR="003D7F0A">
        <w:t xml:space="preserve">the appellant’s </w:t>
      </w:r>
      <w:r w:rsidR="00862DFB">
        <w:t>crime-scene</w:t>
      </w:r>
      <w:r w:rsidR="003D7F0A">
        <w:t xml:space="preserve"> admission and the VRI primarily focused on assessing the credibility of the police witnesses rather than the reliability of the admissions</w:t>
      </w:r>
      <w:r w:rsidR="00DD7F45">
        <w:t xml:space="preserve">.  </w:t>
      </w:r>
      <w:r w:rsidR="007F6CCB">
        <w:t xml:space="preserve">As a consequence, the </w:t>
      </w:r>
      <w:r w:rsidR="007F6CCB">
        <w:rPr>
          <w:kern w:val="2"/>
          <w:lang w:val="en-US"/>
        </w:rPr>
        <w:t>judge</w:t>
      </w:r>
      <w:r w:rsidR="007F6CCB">
        <w:t>’s direction “comes across as a comment on a submission from the Defence Counsel, rather than a point of law”</w:t>
      </w:r>
      <w:r w:rsidR="00B70866">
        <w:rPr>
          <w:rStyle w:val="FootnoteReference"/>
        </w:rPr>
        <w:footnoteReference w:id="7"/>
      </w:r>
      <w:r w:rsidR="00B70866">
        <w:t>.</w:t>
      </w:r>
    </w:p>
    <w:p w:rsidR="000F0EB0" w:rsidRDefault="00DD7F45" w:rsidP="003D7F0A">
      <w:pPr>
        <w:pStyle w:val="Final"/>
        <w:ind w:left="0" w:firstLine="0"/>
      </w:pPr>
      <w:r>
        <w:t xml:space="preserve">Secondly, </w:t>
      </w:r>
      <w:r w:rsidR="005C01A9">
        <w:rPr>
          <w:lang w:val="en-US"/>
        </w:rPr>
        <w:t>in respect of</w:t>
      </w:r>
      <w:r w:rsidR="005C01A9">
        <w:t xml:space="preserve"> </w:t>
      </w:r>
      <w:r>
        <w:t xml:space="preserve">the disputed </w:t>
      </w:r>
      <w:r w:rsidR="00862DFB">
        <w:t>crime-scene</w:t>
      </w:r>
      <w:r w:rsidR="000F0EB0">
        <w:t xml:space="preserve"> admission</w:t>
      </w:r>
      <w:r>
        <w:t xml:space="preserve">, </w:t>
      </w:r>
      <w:r w:rsidR="000F0EB0">
        <w:t xml:space="preserve">Mr </w:t>
      </w:r>
      <w:proofErr w:type="spellStart"/>
      <w:r w:rsidR="000F0EB0">
        <w:t>Boyton</w:t>
      </w:r>
      <w:proofErr w:type="spellEnd"/>
      <w:r w:rsidR="000F0EB0">
        <w:t xml:space="preserve"> complained that the judge </w:t>
      </w:r>
      <w:r w:rsidR="003811F0">
        <w:t xml:space="preserve">did </w:t>
      </w:r>
      <w:r w:rsidR="000F0EB0">
        <w:t>no</w:t>
      </w:r>
      <w:r w:rsidR="003811F0">
        <w:t>t</w:t>
      </w:r>
      <w:r w:rsidR="000F0EB0">
        <w:t xml:space="preserve"> </w:t>
      </w:r>
      <w:r w:rsidR="003811F0">
        <w:t xml:space="preserve">specifically direct </w:t>
      </w:r>
      <w:r w:rsidR="000F0EB0">
        <w:t xml:space="preserve">the jury that if they were not sure that </w:t>
      </w:r>
      <w:r w:rsidR="003811F0">
        <w:t xml:space="preserve">the appellant </w:t>
      </w:r>
      <w:r w:rsidR="000F0EB0">
        <w:t>made the oral admission</w:t>
      </w:r>
      <w:r w:rsidR="003811F0">
        <w:t>,</w:t>
      </w:r>
      <w:r w:rsidR="000F0EB0">
        <w:t xml:space="preserve"> </w:t>
      </w:r>
      <w:r w:rsidR="003811F0">
        <w:t xml:space="preserve">then </w:t>
      </w:r>
      <w:r w:rsidR="000F0EB0">
        <w:t xml:space="preserve">they must ignore it.  Also, the judge failed to tell the jury that if they were satisfied that the answers were </w:t>
      </w:r>
      <w:r w:rsidR="00631138">
        <w:t xml:space="preserve">in fact </w:t>
      </w:r>
      <w:r w:rsidR="000F0EB0">
        <w:t xml:space="preserve">given </w:t>
      </w:r>
      <w:r w:rsidR="0078735D">
        <w:t>but were</w:t>
      </w:r>
      <w:r w:rsidR="00862DFB">
        <w:t xml:space="preserve"> </w:t>
      </w:r>
      <w:r w:rsidR="0078735D">
        <w:t xml:space="preserve">given, or may have been given, </w:t>
      </w:r>
      <w:r w:rsidR="003811F0">
        <w:t xml:space="preserve">because of </w:t>
      </w:r>
      <w:r w:rsidR="000F0EB0">
        <w:t>the inducement</w:t>
      </w:r>
      <w:r w:rsidR="007155BE">
        <w:t>s</w:t>
      </w:r>
      <w:r w:rsidR="000F0EB0">
        <w:t xml:space="preserve"> and threat</w:t>
      </w:r>
      <w:r w:rsidR="007155BE">
        <w:t>s</w:t>
      </w:r>
      <w:r w:rsidR="000F0EB0">
        <w:t xml:space="preserve"> by the police, </w:t>
      </w:r>
      <w:r w:rsidR="0078735D">
        <w:t xml:space="preserve">then </w:t>
      </w:r>
      <w:r w:rsidR="000F0EB0">
        <w:t xml:space="preserve">they should ignore them altogether.  </w:t>
      </w:r>
    </w:p>
    <w:p w:rsidR="000F0EB0" w:rsidRDefault="001077C0" w:rsidP="000F0EB0">
      <w:pPr>
        <w:pStyle w:val="Final"/>
        <w:ind w:left="0" w:firstLine="0"/>
      </w:pPr>
      <w:r>
        <w:t xml:space="preserve">By </w:t>
      </w:r>
      <w:r w:rsidR="000F0EB0">
        <w:t xml:space="preserve">reason of the two grounds of appeal, individually or cumulatively, </w:t>
      </w:r>
      <w:r>
        <w:t xml:space="preserve">Mr </w:t>
      </w:r>
      <w:proofErr w:type="spellStart"/>
      <w:r>
        <w:t>Boyton</w:t>
      </w:r>
      <w:proofErr w:type="spellEnd"/>
      <w:r>
        <w:t xml:space="preserve"> submits that </w:t>
      </w:r>
      <w:r w:rsidR="000F0EB0">
        <w:t xml:space="preserve">the appellant’s conviction is unsafe and unsatisfactory.  </w:t>
      </w:r>
      <w:r w:rsidR="003D7F0A">
        <w:t xml:space="preserve">  </w:t>
      </w:r>
    </w:p>
    <w:p w:rsidR="000F0EB0" w:rsidRPr="00DE6D40" w:rsidRDefault="00DE6D40" w:rsidP="0083161F">
      <w:pPr>
        <w:pStyle w:val="H-1"/>
      </w:pPr>
      <w:r w:rsidRPr="00DE6D40">
        <w:t xml:space="preserve">The </w:t>
      </w:r>
      <w:r w:rsidR="0083161F">
        <w:t>r</w:t>
      </w:r>
      <w:r w:rsidR="000F0EB0" w:rsidRPr="00DE6D40">
        <w:t>espondent’s submission</w:t>
      </w:r>
      <w:r w:rsidR="003811F0">
        <w:t>s</w:t>
      </w:r>
    </w:p>
    <w:p w:rsidR="00716F41" w:rsidRPr="002F2FD2" w:rsidRDefault="001077C0" w:rsidP="009904A1">
      <w:pPr>
        <w:pStyle w:val="Final"/>
        <w:ind w:left="0" w:firstLine="0"/>
        <w:rPr>
          <w:color w:val="000000"/>
          <w:szCs w:val="28"/>
        </w:rPr>
      </w:pPr>
      <w:r w:rsidRPr="002F2FD2">
        <w:rPr>
          <w:color w:val="000000"/>
          <w:szCs w:val="28"/>
        </w:rPr>
        <w:t xml:space="preserve">Ms </w:t>
      </w:r>
      <w:proofErr w:type="spellStart"/>
      <w:r w:rsidRPr="002F2FD2">
        <w:rPr>
          <w:color w:val="000000"/>
          <w:szCs w:val="28"/>
        </w:rPr>
        <w:t>Christal</w:t>
      </w:r>
      <w:proofErr w:type="spellEnd"/>
      <w:r w:rsidRPr="002F2FD2">
        <w:rPr>
          <w:color w:val="000000"/>
          <w:szCs w:val="28"/>
        </w:rPr>
        <w:t xml:space="preserve"> Chan, for the respondent, </w:t>
      </w:r>
      <w:r w:rsidR="00514582" w:rsidRPr="002F2FD2">
        <w:rPr>
          <w:color w:val="000000"/>
          <w:szCs w:val="28"/>
        </w:rPr>
        <w:t xml:space="preserve">submits in </w:t>
      </w:r>
      <w:r w:rsidR="00B60CA2" w:rsidRPr="002F2FD2">
        <w:rPr>
          <w:color w:val="000000"/>
          <w:szCs w:val="28"/>
        </w:rPr>
        <w:t xml:space="preserve">reply to </w:t>
      </w:r>
      <w:r w:rsidR="00B70866" w:rsidRPr="002F2FD2">
        <w:rPr>
          <w:color w:val="000000"/>
          <w:szCs w:val="28"/>
        </w:rPr>
        <w:t>the first ground of appeal</w:t>
      </w:r>
      <w:r w:rsidR="0044039E" w:rsidRPr="002F2FD2">
        <w:rPr>
          <w:color w:val="000000"/>
          <w:szCs w:val="28"/>
        </w:rPr>
        <w:t xml:space="preserve"> that</w:t>
      </w:r>
      <w:r w:rsidR="00FF549C">
        <w:rPr>
          <w:color w:val="000000"/>
          <w:szCs w:val="28"/>
        </w:rPr>
        <w:t>,</w:t>
      </w:r>
      <w:r w:rsidR="0044039E" w:rsidRPr="002F2FD2">
        <w:rPr>
          <w:color w:val="000000"/>
          <w:szCs w:val="28"/>
        </w:rPr>
        <w:t xml:space="preserve"> </w:t>
      </w:r>
      <w:r w:rsidR="0078735D" w:rsidRPr="002F2FD2">
        <w:rPr>
          <w:color w:val="000000"/>
          <w:szCs w:val="28"/>
        </w:rPr>
        <w:t>n</w:t>
      </w:r>
      <w:r w:rsidR="00570058" w:rsidRPr="002F2FD2">
        <w:rPr>
          <w:color w:val="000000"/>
          <w:szCs w:val="28"/>
        </w:rPr>
        <w:t xml:space="preserve">otwithstanding </w:t>
      </w:r>
      <w:r w:rsidR="008459C0" w:rsidRPr="002F2FD2">
        <w:rPr>
          <w:color w:val="000000"/>
          <w:szCs w:val="28"/>
        </w:rPr>
        <w:t xml:space="preserve">that </w:t>
      </w:r>
      <w:r w:rsidR="00570058" w:rsidRPr="002F2FD2">
        <w:rPr>
          <w:color w:val="000000"/>
          <w:szCs w:val="28"/>
        </w:rPr>
        <w:t xml:space="preserve">the judge did not give any direction on inferential reasoning, </w:t>
      </w:r>
      <w:r w:rsidR="002F2FD2" w:rsidRPr="002F2FD2">
        <w:rPr>
          <w:color w:val="000000"/>
          <w:szCs w:val="28"/>
        </w:rPr>
        <w:t>hi</w:t>
      </w:r>
      <w:r w:rsidR="00716F41" w:rsidRPr="002F2FD2">
        <w:rPr>
          <w:color w:val="000000"/>
          <w:szCs w:val="28"/>
        </w:rPr>
        <w:t xml:space="preserve">s directions </w:t>
      </w:r>
      <w:r w:rsidR="00570058" w:rsidRPr="002F2FD2">
        <w:rPr>
          <w:color w:val="000000"/>
          <w:szCs w:val="28"/>
        </w:rPr>
        <w:t xml:space="preserve">were </w:t>
      </w:r>
      <w:r w:rsidR="00716F41" w:rsidRPr="002F2FD2">
        <w:rPr>
          <w:color w:val="000000"/>
          <w:szCs w:val="28"/>
        </w:rPr>
        <w:t xml:space="preserve">proper and </w:t>
      </w:r>
      <w:r w:rsidR="00570058" w:rsidRPr="002F2FD2">
        <w:rPr>
          <w:color w:val="000000"/>
          <w:szCs w:val="28"/>
        </w:rPr>
        <w:t>sufficient in a case like the present where the primary facts were simple and straightforward.</w:t>
      </w:r>
      <w:r w:rsidR="00663959" w:rsidRPr="002F2FD2">
        <w:rPr>
          <w:color w:val="000000"/>
          <w:szCs w:val="28"/>
        </w:rPr>
        <w:t xml:space="preserve">  Ms Chan </w:t>
      </w:r>
      <w:r w:rsidR="00B70866" w:rsidRPr="002F2FD2">
        <w:rPr>
          <w:color w:val="000000"/>
          <w:szCs w:val="28"/>
        </w:rPr>
        <w:t>further submits</w:t>
      </w:r>
      <w:r w:rsidR="00D442FD" w:rsidRPr="002F2FD2">
        <w:rPr>
          <w:color w:val="000000"/>
          <w:szCs w:val="28"/>
        </w:rPr>
        <w:t xml:space="preserve"> that</w:t>
      </w:r>
      <w:r w:rsidR="00663959" w:rsidRPr="002F2FD2">
        <w:rPr>
          <w:color w:val="000000"/>
          <w:szCs w:val="28"/>
        </w:rPr>
        <w:t xml:space="preserve"> </w:t>
      </w:r>
      <w:r w:rsidR="00D442FD" w:rsidRPr="002F2FD2">
        <w:rPr>
          <w:color w:val="000000"/>
          <w:szCs w:val="28"/>
        </w:rPr>
        <w:t xml:space="preserve">the present case </w:t>
      </w:r>
      <w:r w:rsidR="002A57DC" w:rsidRPr="002F2FD2">
        <w:rPr>
          <w:color w:val="000000"/>
          <w:szCs w:val="28"/>
        </w:rPr>
        <w:t xml:space="preserve">falls within </w:t>
      </w:r>
      <w:r w:rsidR="008459C0" w:rsidRPr="002F2FD2">
        <w:rPr>
          <w:color w:val="000000"/>
          <w:szCs w:val="28"/>
        </w:rPr>
        <w:t xml:space="preserve">that </w:t>
      </w:r>
      <w:r w:rsidR="002A57DC" w:rsidRPr="002F2FD2">
        <w:rPr>
          <w:color w:val="000000"/>
          <w:szCs w:val="28"/>
        </w:rPr>
        <w:t xml:space="preserve">category </w:t>
      </w:r>
      <w:r w:rsidR="008459C0" w:rsidRPr="002F2FD2">
        <w:rPr>
          <w:color w:val="000000"/>
          <w:szCs w:val="28"/>
        </w:rPr>
        <w:t xml:space="preserve">of case where it is unnecessary </w:t>
      </w:r>
      <w:r w:rsidR="0069623A" w:rsidRPr="002F2FD2">
        <w:rPr>
          <w:color w:val="000000"/>
          <w:szCs w:val="28"/>
        </w:rPr>
        <w:t xml:space="preserve">for </w:t>
      </w:r>
      <w:r w:rsidR="00D442FD" w:rsidRPr="002F2FD2">
        <w:rPr>
          <w:color w:val="000000"/>
          <w:szCs w:val="28"/>
        </w:rPr>
        <w:t>the judge</w:t>
      </w:r>
      <w:r w:rsidR="0069623A" w:rsidRPr="002F2FD2">
        <w:rPr>
          <w:color w:val="000000"/>
          <w:szCs w:val="28"/>
        </w:rPr>
        <w:t xml:space="preserve"> </w:t>
      </w:r>
      <w:r w:rsidR="002A57DC" w:rsidRPr="002F2FD2">
        <w:rPr>
          <w:color w:val="000000"/>
          <w:szCs w:val="28"/>
        </w:rPr>
        <w:t>to</w:t>
      </w:r>
      <w:r w:rsidR="00D442FD" w:rsidRPr="002F2FD2">
        <w:rPr>
          <w:color w:val="000000"/>
          <w:szCs w:val="28"/>
        </w:rPr>
        <w:t xml:space="preserve"> </w:t>
      </w:r>
      <w:r w:rsidR="002A57DC" w:rsidRPr="002F2FD2">
        <w:rPr>
          <w:color w:val="000000"/>
          <w:szCs w:val="28"/>
        </w:rPr>
        <w:t>direct</w:t>
      </w:r>
      <w:r w:rsidR="00D442FD" w:rsidRPr="002F2FD2">
        <w:rPr>
          <w:color w:val="000000"/>
          <w:szCs w:val="28"/>
        </w:rPr>
        <w:t xml:space="preserve"> the jury </w:t>
      </w:r>
      <w:r w:rsidR="002A57DC" w:rsidRPr="002F2FD2">
        <w:rPr>
          <w:color w:val="000000"/>
          <w:szCs w:val="28"/>
        </w:rPr>
        <w:t xml:space="preserve">on inferential reasoning.  </w:t>
      </w:r>
      <w:r w:rsidR="00D442FD" w:rsidRPr="002F2FD2">
        <w:rPr>
          <w:color w:val="000000"/>
          <w:szCs w:val="28"/>
        </w:rPr>
        <w:t xml:space="preserve">   </w:t>
      </w:r>
    </w:p>
    <w:p w:rsidR="00C90C7A" w:rsidRDefault="003A012C" w:rsidP="00C36E3E">
      <w:pPr>
        <w:pStyle w:val="Final"/>
        <w:ind w:left="0" w:firstLine="0"/>
        <w:rPr>
          <w:color w:val="000000"/>
          <w:szCs w:val="28"/>
        </w:rPr>
      </w:pPr>
      <w:r>
        <w:rPr>
          <w:color w:val="000000"/>
          <w:szCs w:val="28"/>
        </w:rPr>
        <w:lastRenderedPageBreak/>
        <w:t xml:space="preserve">In reply to </w:t>
      </w:r>
      <w:r w:rsidR="00B70866">
        <w:rPr>
          <w:color w:val="000000"/>
          <w:szCs w:val="28"/>
        </w:rPr>
        <w:t>the second ground of appeal</w:t>
      </w:r>
      <w:r>
        <w:rPr>
          <w:color w:val="000000"/>
          <w:szCs w:val="28"/>
        </w:rPr>
        <w:t xml:space="preserve">, Ms Chan accepts that a </w:t>
      </w:r>
      <w:proofErr w:type="spellStart"/>
      <w:r w:rsidRPr="003A012C">
        <w:rPr>
          <w:i/>
          <w:color w:val="000000"/>
          <w:szCs w:val="28"/>
        </w:rPr>
        <w:t>Mushtaq</w:t>
      </w:r>
      <w:proofErr w:type="spellEnd"/>
      <w:r>
        <w:rPr>
          <w:color w:val="000000"/>
          <w:szCs w:val="28"/>
        </w:rPr>
        <w:t xml:space="preserve"> direction in terms of Specimen Direction 39</w:t>
      </w:r>
      <w:r w:rsidR="00631138">
        <w:rPr>
          <w:color w:val="000000"/>
          <w:szCs w:val="28"/>
        </w:rPr>
        <w:t>.1</w:t>
      </w:r>
      <w:r>
        <w:rPr>
          <w:color w:val="000000"/>
          <w:szCs w:val="28"/>
        </w:rPr>
        <w:t xml:space="preserve"> </w:t>
      </w:r>
      <w:r w:rsidR="00C36E3E">
        <w:rPr>
          <w:color w:val="000000"/>
          <w:szCs w:val="28"/>
        </w:rPr>
        <w:t>was</w:t>
      </w:r>
      <w:r>
        <w:rPr>
          <w:color w:val="000000"/>
          <w:szCs w:val="28"/>
        </w:rPr>
        <w:t xml:space="preserve"> called for</w:t>
      </w:r>
      <w:r w:rsidR="00C36E3E">
        <w:rPr>
          <w:color w:val="000000"/>
          <w:szCs w:val="28"/>
        </w:rPr>
        <w:t xml:space="preserve"> in the present case</w:t>
      </w:r>
      <w:r>
        <w:rPr>
          <w:color w:val="000000"/>
          <w:szCs w:val="28"/>
        </w:rPr>
        <w:t>.</w:t>
      </w:r>
      <w:r w:rsidR="00C36E3E">
        <w:rPr>
          <w:color w:val="000000"/>
          <w:szCs w:val="28"/>
        </w:rPr>
        <w:t xml:space="preserve">  Although the judge did not direct the jury strictly in the form of Specimen Direction 39.1, </w:t>
      </w:r>
      <w:r w:rsidR="00335DC3">
        <w:rPr>
          <w:color w:val="000000"/>
          <w:szCs w:val="28"/>
        </w:rPr>
        <w:t>she argue</w:t>
      </w:r>
      <w:r w:rsidR="002F2FD2">
        <w:rPr>
          <w:color w:val="000000"/>
          <w:szCs w:val="28"/>
        </w:rPr>
        <w:t>s</w:t>
      </w:r>
      <w:r w:rsidR="00335DC3">
        <w:rPr>
          <w:color w:val="000000"/>
          <w:szCs w:val="28"/>
        </w:rPr>
        <w:t xml:space="preserve"> that, nevertheless, </w:t>
      </w:r>
      <w:r w:rsidR="00C36E3E">
        <w:rPr>
          <w:color w:val="000000"/>
          <w:szCs w:val="28"/>
        </w:rPr>
        <w:t xml:space="preserve">all the elements </w:t>
      </w:r>
      <w:r w:rsidR="0069623A">
        <w:rPr>
          <w:color w:val="000000"/>
          <w:szCs w:val="28"/>
        </w:rPr>
        <w:t xml:space="preserve">of </w:t>
      </w:r>
      <w:r w:rsidR="00C36E3E">
        <w:rPr>
          <w:color w:val="000000"/>
          <w:szCs w:val="28"/>
        </w:rPr>
        <w:t xml:space="preserve">the </w:t>
      </w:r>
      <w:proofErr w:type="spellStart"/>
      <w:r w:rsidR="00C36E3E" w:rsidRPr="00C36E3E">
        <w:rPr>
          <w:i/>
          <w:color w:val="000000"/>
          <w:szCs w:val="28"/>
        </w:rPr>
        <w:t>Mus</w:t>
      </w:r>
      <w:r w:rsidR="006811B9">
        <w:rPr>
          <w:rFonts w:hint="eastAsia"/>
          <w:i/>
          <w:color w:val="000000"/>
          <w:szCs w:val="28"/>
        </w:rPr>
        <w:t>h</w:t>
      </w:r>
      <w:r w:rsidR="00C36E3E" w:rsidRPr="00C36E3E">
        <w:rPr>
          <w:i/>
          <w:color w:val="000000"/>
          <w:szCs w:val="28"/>
        </w:rPr>
        <w:t>taq</w:t>
      </w:r>
      <w:proofErr w:type="spellEnd"/>
      <w:r w:rsidR="00C36E3E">
        <w:rPr>
          <w:color w:val="000000"/>
          <w:szCs w:val="28"/>
        </w:rPr>
        <w:t xml:space="preserve"> direction had been fully conveyed to the jury</w:t>
      </w:r>
      <w:r w:rsidR="002F2FD2">
        <w:rPr>
          <w:color w:val="000000"/>
          <w:szCs w:val="28"/>
        </w:rPr>
        <w:t>.</w:t>
      </w:r>
      <w:r w:rsidR="00EA0AAB">
        <w:rPr>
          <w:color w:val="000000"/>
          <w:szCs w:val="28"/>
        </w:rPr>
        <w:t xml:space="preserve">   </w:t>
      </w:r>
      <w:r w:rsidR="00C36E3E" w:rsidRPr="00C36E3E">
        <w:rPr>
          <w:color w:val="000000"/>
          <w:szCs w:val="28"/>
        </w:rPr>
        <w:t xml:space="preserve">    </w:t>
      </w:r>
    </w:p>
    <w:p w:rsidR="002A57DC" w:rsidRPr="00C90C7A" w:rsidRDefault="0069623A" w:rsidP="0069623A">
      <w:pPr>
        <w:pStyle w:val="H-1"/>
      </w:pPr>
      <w:r>
        <w:t xml:space="preserve">Discussion </w:t>
      </w:r>
    </w:p>
    <w:p w:rsidR="008B7B2A" w:rsidRDefault="00B70866" w:rsidP="00871C60">
      <w:pPr>
        <w:pStyle w:val="H-1"/>
      </w:pPr>
      <w:r>
        <w:t>The first ground of appeal: non-direction on circumstantial evidence and inferential reasoning</w:t>
      </w:r>
    </w:p>
    <w:p w:rsidR="00B42CB5" w:rsidRDefault="005B2770" w:rsidP="008B7B2A">
      <w:pPr>
        <w:pStyle w:val="Final"/>
        <w:ind w:left="0" w:firstLine="0"/>
        <w:rPr>
          <w:color w:val="000000"/>
          <w:szCs w:val="28"/>
        </w:rPr>
      </w:pPr>
      <w:r>
        <w:rPr>
          <w:color w:val="000000"/>
          <w:szCs w:val="28"/>
        </w:rPr>
        <w:t xml:space="preserve">This </w:t>
      </w:r>
      <w:r w:rsidRPr="005B2770">
        <w:rPr>
          <w:color w:val="000000"/>
          <w:szCs w:val="28"/>
        </w:rPr>
        <w:t>ground of appeal</w:t>
      </w:r>
      <w:r>
        <w:rPr>
          <w:color w:val="000000"/>
          <w:szCs w:val="28"/>
        </w:rPr>
        <w:t xml:space="preserve"> relies on what Mr </w:t>
      </w:r>
      <w:proofErr w:type="spellStart"/>
      <w:r>
        <w:rPr>
          <w:color w:val="000000"/>
          <w:szCs w:val="28"/>
        </w:rPr>
        <w:t>Boyton</w:t>
      </w:r>
      <w:proofErr w:type="spellEnd"/>
      <w:r>
        <w:rPr>
          <w:color w:val="000000"/>
          <w:szCs w:val="28"/>
        </w:rPr>
        <w:t xml:space="preserve"> asserts </w:t>
      </w:r>
      <w:r w:rsidR="00862DFB">
        <w:rPr>
          <w:color w:val="000000"/>
          <w:szCs w:val="28"/>
        </w:rPr>
        <w:t>was</w:t>
      </w:r>
      <w:r>
        <w:rPr>
          <w:color w:val="000000"/>
          <w:szCs w:val="28"/>
        </w:rPr>
        <w:t xml:space="preserve">, in effect, an invitation by Mr </w:t>
      </w:r>
      <w:r w:rsidR="00B70866">
        <w:rPr>
          <w:color w:val="000000"/>
          <w:szCs w:val="28"/>
        </w:rPr>
        <w:t xml:space="preserve">John </w:t>
      </w:r>
      <w:proofErr w:type="spellStart"/>
      <w:r>
        <w:rPr>
          <w:color w:val="000000"/>
          <w:szCs w:val="28"/>
        </w:rPr>
        <w:t>Marray</w:t>
      </w:r>
      <w:proofErr w:type="spellEnd"/>
      <w:r>
        <w:rPr>
          <w:color w:val="000000"/>
          <w:szCs w:val="28"/>
        </w:rPr>
        <w:t xml:space="preserve">, </w:t>
      </w:r>
      <w:r w:rsidR="00631138" w:rsidRPr="00631138">
        <w:rPr>
          <w:color w:val="000000"/>
          <w:szCs w:val="28"/>
          <w:lang w:val="en-US"/>
        </w:rPr>
        <w:t>counsel</w:t>
      </w:r>
      <w:r w:rsidR="00631138">
        <w:rPr>
          <w:color w:val="000000"/>
          <w:szCs w:val="28"/>
        </w:rPr>
        <w:t xml:space="preserve"> </w:t>
      </w:r>
      <w:r>
        <w:rPr>
          <w:color w:val="000000"/>
          <w:szCs w:val="28"/>
        </w:rPr>
        <w:t xml:space="preserve">for the </w:t>
      </w:r>
      <w:r w:rsidRPr="005B2770">
        <w:rPr>
          <w:color w:val="000000"/>
          <w:szCs w:val="28"/>
        </w:rPr>
        <w:t>prosecution</w:t>
      </w:r>
      <w:r w:rsidR="00631138">
        <w:rPr>
          <w:color w:val="000000"/>
          <w:szCs w:val="28"/>
        </w:rPr>
        <w:t xml:space="preserve"> at trial</w:t>
      </w:r>
      <w:r>
        <w:rPr>
          <w:color w:val="000000"/>
          <w:szCs w:val="28"/>
        </w:rPr>
        <w:t xml:space="preserve">, to the jury to convict the </w:t>
      </w:r>
      <w:r w:rsidRPr="005B2770">
        <w:rPr>
          <w:color w:val="000000"/>
          <w:szCs w:val="28"/>
        </w:rPr>
        <w:t>appellant</w:t>
      </w:r>
      <w:r>
        <w:rPr>
          <w:color w:val="000000"/>
          <w:szCs w:val="28"/>
        </w:rPr>
        <w:t xml:space="preserve"> on circumstantial </w:t>
      </w:r>
      <w:r w:rsidRPr="005B2770">
        <w:rPr>
          <w:color w:val="000000"/>
          <w:szCs w:val="28"/>
        </w:rPr>
        <w:t>evidence</w:t>
      </w:r>
      <w:r>
        <w:rPr>
          <w:color w:val="000000"/>
          <w:szCs w:val="28"/>
        </w:rPr>
        <w:t xml:space="preserve"> should they find themselves unable to rely </w:t>
      </w:r>
      <w:r w:rsidR="000B1795">
        <w:rPr>
          <w:color w:val="000000"/>
          <w:szCs w:val="28"/>
        </w:rPr>
        <w:t xml:space="preserve">on </w:t>
      </w:r>
      <w:r w:rsidR="00B42CB5">
        <w:rPr>
          <w:color w:val="000000"/>
          <w:szCs w:val="28"/>
        </w:rPr>
        <w:t xml:space="preserve">the </w:t>
      </w:r>
      <w:r w:rsidR="00B42CB5" w:rsidRPr="00B42CB5">
        <w:rPr>
          <w:color w:val="000000"/>
          <w:szCs w:val="28"/>
        </w:rPr>
        <w:t>appellant</w:t>
      </w:r>
      <w:r w:rsidR="00B42CB5">
        <w:rPr>
          <w:color w:val="000000"/>
          <w:szCs w:val="28"/>
        </w:rPr>
        <w:t>’s admission</w:t>
      </w:r>
      <w:r w:rsidR="000B1795">
        <w:rPr>
          <w:color w:val="000000"/>
          <w:szCs w:val="28"/>
        </w:rPr>
        <w:t>s</w:t>
      </w:r>
      <w:r w:rsidR="00B42CB5">
        <w:rPr>
          <w:color w:val="000000"/>
          <w:szCs w:val="28"/>
        </w:rPr>
        <w:t xml:space="preserve">.  He relies on comments by </w:t>
      </w:r>
      <w:r w:rsidR="00A8386E">
        <w:rPr>
          <w:color w:val="000000"/>
          <w:szCs w:val="28"/>
        </w:rPr>
        <w:t>Mr</w:t>
      </w:r>
      <w:r w:rsidR="00A8386E">
        <w:rPr>
          <w:color w:val="000000"/>
          <w:szCs w:val="28"/>
          <w:lang w:val="en-US"/>
        </w:rPr>
        <w:t> </w:t>
      </w:r>
      <w:proofErr w:type="spellStart"/>
      <w:r w:rsidR="00A8386E">
        <w:rPr>
          <w:color w:val="000000"/>
          <w:szCs w:val="28"/>
        </w:rPr>
        <w:t>Marray</w:t>
      </w:r>
      <w:proofErr w:type="spellEnd"/>
      <w:r w:rsidR="00A8386E">
        <w:rPr>
          <w:color w:val="000000"/>
          <w:szCs w:val="28"/>
        </w:rPr>
        <w:t xml:space="preserve"> </w:t>
      </w:r>
      <w:r w:rsidR="00B42CB5">
        <w:rPr>
          <w:color w:val="000000"/>
          <w:szCs w:val="28"/>
        </w:rPr>
        <w:t xml:space="preserve">in his opening and closing addresses </w:t>
      </w:r>
      <w:r w:rsidR="000B1795">
        <w:rPr>
          <w:color w:val="000000"/>
          <w:szCs w:val="28"/>
        </w:rPr>
        <w:t>as</w:t>
      </w:r>
      <w:r w:rsidR="00B42CB5">
        <w:rPr>
          <w:color w:val="000000"/>
          <w:szCs w:val="28"/>
        </w:rPr>
        <w:t xml:space="preserve"> supporting his contention that the </w:t>
      </w:r>
      <w:r w:rsidR="00B42CB5" w:rsidRPr="00B42CB5">
        <w:rPr>
          <w:color w:val="000000"/>
          <w:szCs w:val="28"/>
        </w:rPr>
        <w:t>prosecution</w:t>
      </w:r>
      <w:r w:rsidR="00B42CB5">
        <w:rPr>
          <w:color w:val="000000"/>
          <w:szCs w:val="28"/>
        </w:rPr>
        <w:t xml:space="preserve"> was seeking a </w:t>
      </w:r>
      <w:r w:rsidR="00B42CB5" w:rsidRPr="00B42CB5">
        <w:rPr>
          <w:color w:val="000000"/>
          <w:szCs w:val="28"/>
        </w:rPr>
        <w:t>conviction</w:t>
      </w:r>
      <w:r w:rsidR="00B42CB5">
        <w:rPr>
          <w:color w:val="000000"/>
          <w:szCs w:val="28"/>
        </w:rPr>
        <w:t xml:space="preserve"> </w:t>
      </w:r>
      <w:r w:rsidR="000B1795">
        <w:rPr>
          <w:color w:val="000000"/>
          <w:szCs w:val="28"/>
        </w:rPr>
        <w:t xml:space="preserve">on </w:t>
      </w:r>
      <w:r w:rsidR="00B42CB5">
        <w:rPr>
          <w:color w:val="000000"/>
          <w:szCs w:val="28"/>
        </w:rPr>
        <w:t>this alternative basis.</w:t>
      </w:r>
    </w:p>
    <w:p w:rsidR="002B04CB" w:rsidRDefault="00B42CB5" w:rsidP="008B7B2A">
      <w:pPr>
        <w:pStyle w:val="Final"/>
        <w:ind w:left="0" w:firstLine="0"/>
        <w:rPr>
          <w:color w:val="000000"/>
          <w:szCs w:val="28"/>
        </w:rPr>
      </w:pPr>
      <w:r>
        <w:rPr>
          <w:color w:val="000000"/>
          <w:szCs w:val="28"/>
        </w:rPr>
        <w:t xml:space="preserve">In his opening address Mr </w:t>
      </w:r>
      <w:proofErr w:type="spellStart"/>
      <w:r>
        <w:rPr>
          <w:color w:val="000000"/>
          <w:szCs w:val="28"/>
        </w:rPr>
        <w:t>Marray</w:t>
      </w:r>
      <w:proofErr w:type="spellEnd"/>
      <w:r>
        <w:rPr>
          <w:color w:val="000000"/>
          <w:szCs w:val="28"/>
        </w:rPr>
        <w:t xml:space="preserve"> said:</w:t>
      </w:r>
    </w:p>
    <w:p w:rsidR="006855E0" w:rsidRDefault="006855E0" w:rsidP="006855E0">
      <w:pPr>
        <w:pStyle w:val="Quotation"/>
      </w:pPr>
      <w:r>
        <w:t>“… Members of the jury, in this case, apart from the admissions to support the case of trafficking, the prosecution would also rely on the evidence that the drugs were found inside the vehicle to which he had the keys and to which he was trying to open at the time he was intercepted by the police.</w:t>
      </w:r>
    </w:p>
    <w:p w:rsidR="006855E0" w:rsidRDefault="006855E0" w:rsidP="006855E0">
      <w:pPr>
        <w:pStyle w:val="Quotation"/>
      </w:pPr>
      <w:r>
        <w:t>In fact, one of his fingerprints was found on the rear mirror inside the vehicle.  So the prosecution says that this evidence supports the case that bearing in mind that the drugs were inside the vehicle to which he had the keys, that they were in his possession, and that he had knowledge of them.  You can see that the drugs were placed, in many ways, quite openly inside the vehicle.  They are not hidden, so anybody getting into that vehicle would have seen the red bag, or would have seen the items which were in the compartment in the front of the car.</w:t>
      </w:r>
    </w:p>
    <w:p w:rsidR="006855E0" w:rsidRDefault="006855E0" w:rsidP="006855E0">
      <w:pPr>
        <w:pStyle w:val="Quotation"/>
      </w:pPr>
      <w:r>
        <w:t xml:space="preserve">So the prosecution </w:t>
      </w:r>
      <w:proofErr w:type="gramStart"/>
      <w:r>
        <w:t>say</w:t>
      </w:r>
      <w:proofErr w:type="gramEnd"/>
      <w:r>
        <w:t xml:space="preserve"> there can be no doubt that the defendant was in possession of these drugs and he had those drugs for the </w:t>
      </w:r>
      <w:r>
        <w:lastRenderedPageBreak/>
        <w:t>purpose of trafficking, and in fact that is what he actually admitted to.  Taking into account the high value of the drugs and the quantity of the drugs, the prosecution say that the only possible inference could be is that he had those drugs not to take himself, but to be trafficked in.  So, members of the jury, that is an outline of the prosecution case.”</w:t>
      </w:r>
      <w:r>
        <w:rPr>
          <w:rStyle w:val="FootnoteReference"/>
        </w:rPr>
        <w:footnoteReference w:id="8"/>
      </w:r>
    </w:p>
    <w:p w:rsidR="00B101BD" w:rsidRDefault="00B101BD" w:rsidP="008B7B2A">
      <w:pPr>
        <w:pStyle w:val="Final"/>
        <w:ind w:left="0" w:firstLine="0"/>
        <w:rPr>
          <w:color w:val="000000"/>
          <w:szCs w:val="28"/>
        </w:rPr>
      </w:pPr>
      <w:r>
        <w:rPr>
          <w:color w:val="000000"/>
          <w:szCs w:val="28"/>
        </w:rPr>
        <w:t xml:space="preserve">In his closing address Mr </w:t>
      </w:r>
      <w:proofErr w:type="spellStart"/>
      <w:r>
        <w:rPr>
          <w:color w:val="000000"/>
          <w:szCs w:val="28"/>
        </w:rPr>
        <w:t>Marray</w:t>
      </w:r>
      <w:proofErr w:type="spellEnd"/>
      <w:r>
        <w:rPr>
          <w:color w:val="000000"/>
          <w:szCs w:val="28"/>
        </w:rPr>
        <w:t xml:space="preserve"> said:</w:t>
      </w:r>
    </w:p>
    <w:p w:rsidR="00052A78" w:rsidRDefault="00052A78" w:rsidP="00052A78">
      <w:pPr>
        <w:pStyle w:val="Quotation"/>
      </w:pPr>
      <w:r>
        <w:t>“But even apart from the admissions, there is a lot of evidence against the defendant in this case.  First of all, that car, which could be seen in the photographs at item number 8, had drugs stored in the vehicle in two separate places.  In the compartment, as shown in photograph number 9 and in the red bag behind the front passenger seat, as shown in photograph number 11.</w:t>
      </w:r>
    </w:p>
    <w:p w:rsidR="00052A78" w:rsidRDefault="00052A78" w:rsidP="00052A78">
      <w:pPr>
        <w:pStyle w:val="Quotation"/>
      </w:pPr>
      <w:r>
        <w:t>That vehicle was parked outside the defendant’s home.  He had the key to the vehicle.  He was apprehended as he was opening the vehicle.  Members of the jury, would it make sense for anybody to lend somebody a car that was full of drugs?  No.  The defendant must have known about those drugs.</w:t>
      </w:r>
    </w:p>
    <w:p w:rsidR="00052A78" w:rsidRDefault="00052A78" w:rsidP="00052A78">
      <w:pPr>
        <w:pStyle w:val="Quotation"/>
      </w:pPr>
      <w:r>
        <w:t>And it’s quite clear from the quantity of drugs involved and from the fact that there are so many different packages and some of them were very small packages, that that drug was going to be distributed to somebody else; perhaps a sale, or perhaps further down the line.  But it’s quite clear that these drugs were for trafficking.  And from the circumstances the defendant must have known, even without the admission, that those drugs were in the car and that he was trafficking in those drugs.”</w:t>
      </w:r>
      <w:r>
        <w:rPr>
          <w:rStyle w:val="FootnoteReference"/>
        </w:rPr>
        <w:footnoteReference w:id="9"/>
      </w:r>
    </w:p>
    <w:p w:rsidR="00B101BD" w:rsidRPr="00B101BD" w:rsidRDefault="00B101BD" w:rsidP="008B7B2A">
      <w:pPr>
        <w:pStyle w:val="Final"/>
        <w:ind w:left="0" w:firstLine="0"/>
        <w:rPr>
          <w:color w:val="000000"/>
          <w:szCs w:val="28"/>
        </w:rPr>
      </w:pPr>
      <w:r>
        <w:rPr>
          <w:color w:val="000000"/>
          <w:szCs w:val="28"/>
        </w:rPr>
        <w:t xml:space="preserve">What is significant </w:t>
      </w:r>
      <w:r w:rsidRPr="00B101BD">
        <w:rPr>
          <w:color w:val="000000"/>
          <w:szCs w:val="28"/>
          <w:lang w:val="en-US"/>
        </w:rPr>
        <w:t>in respect of</w:t>
      </w:r>
      <w:r>
        <w:rPr>
          <w:color w:val="000000"/>
          <w:szCs w:val="28"/>
          <w:lang w:val="en-US"/>
        </w:rPr>
        <w:t xml:space="preserve"> these comments is the absence of a clear expression by </w:t>
      </w:r>
      <w:proofErr w:type="spellStart"/>
      <w:r>
        <w:rPr>
          <w:color w:val="000000"/>
          <w:szCs w:val="28"/>
          <w:lang w:val="en-US"/>
        </w:rPr>
        <w:t>Mr</w:t>
      </w:r>
      <w:proofErr w:type="spellEnd"/>
      <w:r>
        <w:rPr>
          <w:color w:val="000000"/>
          <w:szCs w:val="28"/>
          <w:lang w:val="en-US"/>
        </w:rPr>
        <w:t xml:space="preserve"> </w:t>
      </w:r>
      <w:proofErr w:type="spellStart"/>
      <w:r>
        <w:rPr>
          <w:color w:val="000000"/>
          <w:szCs w:val="28"/>
          <w:lang w:val="en-US"/>
        </w:rPr>
        <w:t>Marray</w:t>
      </w:r>
      <w:proofErr w:type="spellEnd"/>
      <w:r>
        <w:rPr>
          <w:color w:val="000000"/>
          <w:szCs w:val="28"/>
          <w:lang w:val="en-US"/>
        </w:rPr>
        <w:t xml:space="preserve"> of an alternative case and a clear invitation by him to the jury to convict on the circumstantial </w:t>
      </w:r>
      <w:r w:rsidRPr="00B101BD">
        <w:rPr>
          <w:color w:val="000000"/>
          <w:szCs w:val="28"/>
          <w:lang w:val="en-US"/>
        </w:rPr>
        <w:t>evidence</w:t>
      </w:r>
      <w:r>
        <w:rPr>
          <w:color w:val="000000"/>
          <w:szCs w:val="28"/>
          <w:lang w:val="en-US"/>
        </w:rPr>
        <w:t xml:space="preserve"> alone.</w:t>
      </w:r>
    </w:p>
    <w:p w:rsidR="00B101BD" w:rsidRPr="00B101BD" w:rsidRDefault="00B101BD" w:rsidP="008B7B2A">
      <w:pPr>
        <w:pStyle w:val="Final"/>
        <w:ind w:left="0" w:firstLine="0"/>
        <w:rPr>
          <w:color w:val="000000"/>
          <w:szCs w:val="28"/>
        </w:rPr>
      </w:pPr>
      <w:r>
        <w:rPr>
          <w:color w:val="000000"/>
          <w:szCs w:val="28"/>
          <w:lang w:val="en-US"/>
        </w:rPr>
        <w:t xml:space="preserve">Clearly, </w:t>
      </w:r>
      <w:proofErr w:type="spellStart"/>
      <w:r>
        <w:rPr>
          <w:color w:val="000000"/>
          <w:szCs w:val="28"/>
          <w:lang w:val="en-US"/>
        </w:rPr>
        <w:t>Mr</w:t>
      </w:r>
      <w:proofErr w:type="spellEnd"/>
      <w:r>
        <w:rPr>
          <w:color w:val="000000"/>
          <w:szCs w:val="28"/>
          <w:lang w:val="en-US"/>
        </w:rPr>
        <w:t xml:space="preserve"> </w:t>
      </w:r>
      <w:proofErr w:type="spellStart"/>
      <w:r>
        <w:rPr>
          <w:color w:val="000000"/>
          <w:szCs w:val="28"/>
          <w:lang w:val="en-US"/>
        </w:rPr>
        <w:t>Marray</w:t>
      </w:r>
      <w:proofErr w:type="spellEnd"/>
      <w:r>
        <w:rPr>
          <w:color w:val="000000"/>
          <w:szCs w:val="28"/>
          <w:lang w:val="en-US"/>
        </w:rPr>
        <w:t xml:space="preserve"> was duty-bound to refer </w:t>
      </w:r>
      <w:r w:rsidR="00335DC3">
        <w:rPr>
          <w:color w:val="000000"/>
          <w:szCs w:val="28"/>
          <w:lang w:val="en-US"/>
        </w:rPr>
        <w:t xml:space="preserve">in his closing speech </w:t>
      </w:r>
      <w:r>
        <w:rPr>
          <w:color w:val="000000"/>
          <w:szCs w:val="28"/>
          <w:lang w:val="en-US"/>
        </w:rPr>
        <w:t xml:space="preserve">to the other </w:t>
      </w:r>
      <w:r w:rsidRPr="00B101BD">
        <w:rPr>
          <w:color w:val="000000"/>
          <w:szCs w:val="28"/>
          <w:lang w:val="en-US"/>
        </w:rPr>
        <w:t>evidence</w:t>
      </w:r>
      <w:r>
        <w:rPr>
          <w:color w:val="000000"/>
          <w:szCs w:val="28"/>
          <w:lang w:val="en-US"/>
        </w:rPr>
        <w:t xml:space="preserve"> but</w:t>
      </w:r>
      <w:r w:rsidR="005C01A9">
        <w:rPr>
          <w:color w:val="000000"/>
          <w:szCs w:val="28"/>
          <w:lang w:val="en-US"/>
        </w:rPr>
        <w:t>, in our view,</w:t>
      </w:r>
      <w:r>
        <w:rPr>
          <w:color w:val="000000"/>
          <w:szCs w:val="28"/>
          <w:lang w:val="en-US"/>
        </w:rPr>
        <w:t xml:space="preserve"> his comments </w:t>
      </w:r>
      <w:r w:rsidRPr="00B101BD">
        <w:rPr>
          <w:color w:val="000000"/>
          <w:szCs w:val="28"/>
          <w:lang w:val="en-US"/>
        </w:rPr>
        <w:t>in respect of</w:t>
      </w:r>
      <w:r>
        <w:rPr>
          <w:color w:val="000000"/>
          <w:szCs w:val="28"/>
          <w:lang w:val="en-US"/>
        </w:rPr>
        <w:t xml:space="preserve"> this other </w:t>
      </w:r>
      <w:r w:rsidRPr="00B101BD">
        <w:rPr>
          <w:color w:val="000000"/>
          <w:szCs w:val="28"/>
          <w:lang w:val="en-US"/>
        </w:rPr>
        <w:t>evidence</w:t>
      </w:r>
      <w:r>
        <w:rPr>
          <w:color w:val="000000"/>
          <w:szCs w:val="28"/>
          <w:lang w:val="en-US"/>
        </w:rPr>
        <w:t xml:space="preserve"> are more in the nature of it being supportive of the </w:t>
      </w:r>
      <w:r>
        <w:rPr>
          <w:color w:val="000000"/>
          <w:szCs w:val="28"/>
          <w:lang w:val="en-US"/>
        </w:rPr>
        <w:lastRenderedPageBreak/>
        <w:t xml:space="preserve">admissions rather than as constituting an alternative basis for </w:t>
      </w:r>
      <w:r w:rsidRPr="00B101BD">
        <w:rPr>
          <w:color w:val="000000"/>
          <w:szCs w:val="28"/>
          <w:lang w:val="en-US"/>
        </w:rPr>
        <w:t>conviction</w:t>
      </w:r>
      <w:r>
        <w:rPr>
          <w:color w:val="000000"/>
          <w:szCs w:val="28"/>
          <w:lang w:val="en-US"/>
        </w:rPr>
        <w:t xml:space="preserve"> independent of the admissions.</w:t>
      </w:r>
    </w:p>
    <w:p w:rsidR="00B101BD" w:rsidRPr="00B101BD" w:rsidRDefault="00B101BD" w:rsidP="008B7B2A">
      <w:pPr>
        <w:pStyle w:val="Final"/>
        <w:ind w:left="0" w:firstLine="0"/>
        <w:rPr>
          <w:color w:val="000000"/>
          <w:szCs w:val="28"/>
        </w:rPr>
      </w:pPr>
      <w:proofErr w:type="spellStart"/>
      <w:r>
        <w:rPr>
          <w:color w:val="000000"/>
          <w:szCs w:val="28"/>
          <w:lang w:val="en-US"/>
        </w:rPr>
        <w:t>Mr</w:t>
      </w:r>
      <w:proofErr w:type="spellEnd"/>
      <w:r>
        <w:rPr>
          <w:color w:val="000000"/>
          <w:szCs w:val="28"/>
          <w:lang w:val="en-US"/>
        </w:rPr>
        <w:t xml:space="preserve"> </w:t>
      </w:r>
      <w:proofErr w:type="spellStart"/>
      <w:r>
        <w:rPr>
          <w:color w:val="000000"/>
          <w:szCs w:val="28"/>
          <w:lang w:val="en-US"/>
        </w:rPr>
        <w:t>Boyton</w:t>
      </w:r>
      <w:proofErr w:type="spellEnd"/>
      <w:r>
        <w:rPr>
          <w:color w:val="000000"/>
          <w:szCs w:val="28"/>
          <w:lang w:val="en-US"/>
        </w:rPr>
        <w:t xml:space="preserve">, in his closing address, treated the </w:t>
      </w:r>
      <w:r w:rsidRPr="00B101BD">
        <w:rPr>
          <w:color w:val="000000"/>
          <w:szCs w:val="28"/>
          <w:lang w:val="en-US"/>
        </w:rPr>
        <w:t>prosecution</w:t>
      </w:r>
      <w:r>
        <w:rPr>
          <w:color w:val="000000"/>
          <w:szCs w:val="28"/>
          <w:lang w:val="en-US"/>
        </w:rPr>
        <w:t xml:space="preserve"> case as being wholly, and solely, dependent </w:t>
      </w:r>
      <w:r w:rsidR="00A8386E">
        <w:rPr>
          <w:color w:val="000000"/>
          <w:szCs w:val="28"/>
          <w:lang w:val="en-US"/>
        </w:rPr>
        <w:t>up</w:t>
      </w:r>
      <w:r>
        <w:rPr>
          <w:color w:val="000000"/>
          <w:szCs w:val="28"/>
          <w:lang w:val="en-US"/>
        </w:rPr>
        <w:t>on the admissions.  He commenced his speech by saying:</w:t>
      </w:r>
    </w:p>
    <w:p w:rsidR="00267066" w:rsidRDefault="00267066" w:rsidP="00862DFB">
      <w:pPr>
        <w:pStyle w:val="Quotation"/>
        <w:tabs>
          <w:tab w:val="clear" w:pos="1440"/>
          <w:tab w:val="clear" w:pos="2016"/>
        </w:tabs>
        <w:ind w:left="1530" w:hanging="90"/>
      </w:pPr>
      <w:r>
        <w:t>“Members of the jury, there is onl</w:t>
      </w:r>
      <w:r w:rsidR="00862DFB">
        <w:t xml:space="preserve">y one issue for you to consider </w:t>
      </w:r>
      <w:r>
        <w:t>really, one issue.  Whether the defendant made those admissions because he was forced to confess.  If, members of the jury, you think he was forced to make those admissions or you know he was forced to make those admissions, then ultimately you have to say those confessions and admissions cannot be true and prosecution case cannot stand on its own feet and you must acquit.  You must acquit him of this charge.”</w:t>
      </w:r>
      <w:r>
        <w:rPr>
          <w:rStyle w:val="FootnoteReference"/>
        </w:rPr>
        <w:footnoteReference w:id="10"/>
      </w:r>
    </w:p>
    <w:p w:rsidR="00141BD0" w:rsidRDefault="00141BD0" w:rsidP="008B7B2A">
      <w:pPr>
        <w:pStyle w:val="Final"/>
        <w:ind w:left="0" w:firstLine="0"/>
        <w:rPr>
          <w:color w:val="000000"/>
          <w:szCs w:val="28"/>
        </w:rPr>
      </w:pPr>
      <w:r>
        <w:rPr>
          <w:color w:val="000000"/>
          <w:szCs w:val="28"/>
        </w:rPr>
        <w:t xml:space="preserve">It is clear from the summing-up that the judge also understood the prosecution </w:t>
      </w:r>
      <w:r w:rsidR="004706FC">
        <w:rPr>
          <w:color w:val="000000"/>
          <w:szCs w:val="28"/>
        </w:rPr>
        <w:t>to</w:t>
      </w:r>
      <w:r>
        <w:rPr>
          <w:color w:val="000000"/>
          <w:szCs w:val="28"/>
        </w:rPr>
        <w:t xml:space="preserve"> </w:t>
      </w:r>
      <w:r w:rsidR="00F5542C">
        <w:rPr>
          <w:color w:val="000000"/>
          <w:szCs w:val="28"/>
        </w:rPr>
        <w:t>b</w:t>
      </w:r>
      <w:r>
        <w:rPr>
          <w:color w:val="000000"/>
          <w:szCs w:val="28"/>
        </w:rPr>
        <w:t xml:space="preserve">e presenting a case </w:t>
      </w:r>
      <w:r w:rsidR="002F2FD2">
        <w:rPr>
          <w:color w:val="000000"/>
          <w:szCs w:val="28"/>
        </w:rPr>
        <w:t xml:space="preserve">wholly </w:t>
      </w:r>
      <w:r>
        <w:rPr>
          <w:color w:val="000000"/>
          <w:szCs w:val="28"/>
        </w:rPr>
        <w:t xml:space="preserve">dependent </w:t>
      </w:r>
      <w:r w:rsidR="002A7C31">
        <w:rPr>
          <w:color w:val="000000"/>
          <w:szCs w:val="28"/>
        </w:rPr>
        <w:t xml:space="preserve">upon </w:t>
      </w:r>
      <w:r>
        <w:rPr>
          <w:color w:val="000000"/>
          <w:szCs w:val="28"/>
        </w:rPr>
        <w:t>the admissions.  In summarizing the defence case the judge said:</w:t>
      </w:r>
    </w:p>
    <w:p w:rsidR="00141BD0" w:rsidRPr="009F66BD" w:rsidRDefault="009E2CB5" w:rsidP="008C28BC">
      <w:pPr>
        <w:pStyle w:val="Quotation"/>
        <w:rPr>
          <w:i/>
        </w:rPr>
      </w:pPr>
      <w:r w:rsidRPr="000346CE">
        <w:t>“</w:t>
      </w:r>
      <w:r w:rsidR="008C28BC">
        <w:tab/>
        <w:t>And so it is that when the interview took place in the video</w:t>
      </w:r>
      <w:r w:rsidR="008C28BC">
        <w:noBreakHyphen/>
        <w:t>recording room, he made a confession which was the confession he had been asked to make by the police who had given him advance notice of the questions he would be asked so that he was told what answers he should give, and what Mr </w:t>
      </w:r>
      <w:proofErr w:type="spellStart"/>
      <w:r w:rsidR="008C28BC">
        <w:t>Boyton</w:t>
      </w:r>
      <w:proofErr w:type="spellEnd"/>
      <w:r w:rsidR="008C28BC">
        <w:t xml:space="preserve"> has just argued to you just a few minutes ago is that if the confession and all the other stuff is, as it were, a false confession, but made under threat and inducement, so that is why he did it, you cannot trust the police an inch.  </w:t>
      </w:r>
      <w:r w:rsidR="008C28BC" w:rsidRPr="008C28BC">
        <w:rPr>
          <w:i/>
        </w:rPr>
        <w:t>That is what they are saying.  And if you cannot trust the police, you throw this case out and that is the end of it, because if the evidence that they have given is false, making him come up with a false confession to an offence he never committed, well, then, of course, he must be acquitted; found not guilty.  And that is not just if it was the case, but if it may be the case, you would also find him not guilty, because if it may be the case, anything might have happened.  You have to be sure that the police have played the investigation straight and have told you the truth,</w:t>
      </w:r>
      <w:r w:rsidR="008C28BC">
        <w:t xml:space="preserve"> …</w:t>
      </w:r>
      <w:r w:rsidRPr="000346CE">
        <w:t>”</w:t>
      </w:r>
      <w:r w:rsidR="00C6076B" w:rsidRPr="000346CE">
        <w:rPr>
          <w:rStyle w:val="FootnoteReference"/>
        </w:rPr>
        <w:footnoteReference w:id="11"/>
      </w:r>
      <w:r w:rsidR="002A7C31">
        <w:t xml:space="preserve"> </w:t>
      </w:r>
      <w:r w:rsidR="002A7C31">
        <w:rPr>
          <w:szCs w:val="24"/>
        </w:rPr>
        <w:t>(</w:t>
      </w:r>
      <w:r w:rsidR="002A7C31" w:rsidRPr="00474305">
        <w:rPr>
          <w:szCs w:val="24"/>
        </w:rPr>
        <w:t>Emphasis added</w:t>
      </w:r>
      <w:r w:rsidR="002A7C31">
        <w:rPr>
          <w:szCs w:val="24"/>
        </w:rPr>
        <w:t>.)</w:t>
      </w:r>
      <w:r w:rsidR="002A7C31">
        <w:t xml:space="preserve"> </w:t>
      </w:r>
    </w:p>
    <w:p w:rsidR="00141BD0" w:rsidRPr="007B133F" w:rsidRDefault="00141BD0" w:rsidP="001001D6">
      <w:pPr>
        <w:pStyle w:val="Final"/>
        <w:ind w:left="0" w:firstLine="0"/>
        <w:rPr>
          <w:color w:val="000000"/>
        </w:rPr>
      </w:pPr>
      <w:r w:rsidRPr="007B133F">
        <w:rPr>
          <w:color w:val="000000"/>
          <w:szCs w:val="28"/>
        </w:rPr>
        <w:lastRenderedPageBreak/>
        <w:t xml:space="preserve">What the judge said in the italicised passage </w:t>
      </w:r>
      <w:r w:rsidR="002A7C31">
        <w:rPr>
          <w:color w:val="000000"/>
          <w:szCs w:val="28"/>
        </w:rPr>
        <w:t>represents</w:t>
      </w:r>
      <w:r w:rsidRPr="007B133F">
        <w:rPr>
          <w:color w:val="000000"/>
          <w:szCs w:val="28"/>
        </w:rPr>
        <w:t>, we have no doubt, a judicial endorsement of the defence position.</w:t>
      </w:r>
      <w:r w:rsidR="00281D4D">
        <w:rPr>
          <w:rStyle w:val="FootnoteReference"/>
          <w:color w:val="000000"/>
          <w:szCs w:val="28"/>
        </w:rPr>
        <w:footnoteReference w:id="12"/>
      </w:r>
      <w:r w:rsidRPr="007B133F">
        <w:rPr>
          <w:color w:val="000000"/>
          <w:szCs w:val="28"/>
        </w:rPr>
        <w:t xml:space="preserve">  </w:t>
      </w:r>
      <w:r w:rsidRPr="007B133F">
        <w:rPr>
          <w:color w:val="000000"/>
        </w:rPr>
        <w:t xml:space="preserve">Furthermore, </w:t>
      </w:r>
      <w:r w:rsidR="00044596">
        <w:rPr>
          <w:color w:val="000000"/>
        </w:rPr>
        <w:t>when</w:t>
      </w:r>
      <w:r w:rsidRPr="007B133F">
        <w:rPr>
          <w:color w:val="000000"/>
        </w:rPr>
        <w:t xml:space="preserve"> the judge referred to the other evidence he</w:t>
      </w:r>
      <w:r w:rsidR="00A8386E">
        <w:rPr>
          <w:color w:val="000000"/>
        </w:rPr>
        <w:t>, likewise,</w:t>
      </w:r>
      <w:r w:rsidRPr="007B133F">
        <w:rPr>
          <w:color w:val="000000"/>
        </w:rPr>
        <w:t xml:space="preserve"> never suggested that it could be an alternative stand-alone basis for </w:t>
      </w:r>
      <w:r w:rsidR="006458D9" w:rsidRPr="007B133F">
        <w:rPr>
          <w:color w:val="000000"/>
        </w:rPr>
        <w:t>convicting t</w:t>
      </w:r>
      <w:r w:rsidRPr="007B133F">
        <w:rPr>
          <w:color w:val="000000"/>
        </w:rPr>
        <w:t>he appellant.  For example</w:t>
      </w:r>
      <w:r w:rsidR="00631138">
        <w:rPr>
          <w:color w:val="000000"/>
        </w:rPr>
        <w:t>,</w:t>
      </w:r>
      <w:r w:rsidRPr="007B133F">
        <w:rPr>
          <w:color w:val="000000"/>
        </w:rPr>
        <w:t xml:space="preserve"> he said:</w:t>
      </w:r>
    </w:p>
    <w:p w:rsidR="00AF2173" w:rsidRDefault="00AF2173" w:rsidP="00AF2173">
      <w:pPr>
        <w:pStyle w:val="Quotation"/>
      </w:pPr>
      <w:r>
        <w:t xml:space="preserve">“And you know, of course, that in this particular case it is not just the confession which is alleged to have been made by the defendant.  It is the fact that he had the </w:t>
      </w:r>
      <w:r w:rsidR="00A96C03">
        <w:t>k</w:t>
      </w:r>
      <w:r>
        <w:t xml:space="preserve">ey to the car which had the drugs in it; the fact that there was 157, nearly $158,000 worth of drugs openly in the car, not somewhere that he would not have spotted them if he had been in the car, said to have been lent to him or left by a friend of his who lived in Sham </w:t>
      </w:r>
      <w:proofErr w:type="spellStart"/>
      <w:r>
        <w:t>Shui</w:t>
      </w:r>
      <w:proofErr w:type="spellEnd"/>
      <w:r>
        <w:t xml:space="preserve"> Po.”</w:t>
      </w:r>
      <w:r w:rsidR="00B70866">
        <w:rPr>
          <w:rStyle w:val="FootnoteReference"/>
        </w:rPr>
        <w:footnoteReference w:id="13"/>
      </w:r>
    </w:p>
    <w:p w:rsidR="006811B9" w:rsidRDefault="006811B9" w:rsidP="00A8386E">
      <w:pPr>
        <w:pStyle w:val="Final"/>
        <w:numPr>
          <w:ilvl w:val="0"/>
          <w:numId w:val="0"/>
        </w:numPr>
        <w:rPr>
          <w:color w:val="000000"/>
          <w:szCs w:val="28"/>
        </w:rPr>
      </w:pPr>
      <w:r>
        <w:rPr>
          <w:color w:val="000000"/>
          <w:szCs w:val="28"/>
        </w:rPr>
        <w:t xml:space="preserve">Like </w:t>
      </w:r>
      <w:r w:rsidR="00A8386E">
        <w:rPr>
          <w:color w:val="000000"/>
          <w:szCs w:val="28"/>
        </w:rPr>
        <w:t xml:space="preserve">the words employed by Mr </w:t>
      </w:r>
      <w:proofErr w:type="spellStart"/>
      <w:r w:rsidR="00A8386E">
        <w:rPr>
          <w:color w:val="000000"/>
          <w:szCs w:val="28"/>
        </w:rPr>
        <w:t>Marray</w:t>
      </w:r>
      <w:proofErr w:type="spellEnd"/>
      <w:r w:rsidR="00A8386E">
        <w:rPr>
          <w:color w:val="000000"/>
          <w:szCs w:val="28"/>
        </w:rPr>
        <w:t xml:space="preserve">, </w:t>
      </w:r>
      <w:r>
        <w:rPr>
          <w:color w:val="000000"/>
          <w:szCs w:val="28"/>
        </w:rPr>
        <w:t xml:space="preserve">this is the language of there being other </w:t>
      </w:r>
      <w:r w:rsidRPr="006811B9">
        <w:rPr>
          <w:color w:val="000000"/>
          <w:szCs w:val="28"/>
        </w:rPr>
        <w:t>evidence</w:t>
      </w:r>
      <w:r>
        <w:rPr>
          <w:color w:val="000000"/>
          <w:szCs w:val="28"/>
        </w:rPr>
        <w:t xml:space="preserve"> to support the confes</w:t>
      </w:r>
      <w:r w:rsidR="00A8386E">
        <w:rPr>
          <w:color w:val="000000"/>
          <w:szCs w:val="28"/>
        </w:rPr>
        <w:t xml:space="preserve">sion, not the language of there </w:t>
      </w:r>
      <w:r>
        <w:rPr>
          <w:color w:val="000000"/>
          <w:szCs w:val="28"/>
        </w:rPr>
        <w:t xml:space="preserve">being other </w:t>
      </w:r>
      <w:r w:rsidRPr="006811B9">
        <w:rPr>
          <w:color w:val="000000"/>
          <w:szCs w:val="28"/>
        </w:rPr>
        <w:t>evidence</w:t>
      </w:r>
      <w:r>
        <w:rPr>
          <w:color w:val="000000"/>
          <w:szCs w:val="28"/>
        </w:rPr>
        <w:t xml:space="preserve"> independent of the confession which could provide the jury with an alternative basis for </w:t>
      </w:r>
      <w:r w:rsidRPr="006811B9">
        <w:rPr>
          <w:color w:val="000000"/>
          <w:szCs w:val="28"/>
        </w:rPr>
        <w:t>conviction</w:t>
      </w:r>
      <w:r>
        <w:rPr>
          <w:color w:val="000000"/>
          <w:szCs w:val="28"/>
        </w:rPr>
        <w:t xml:space="preserve">.  </w:t>
      </w:r>
    </w:p>
    <w:p w:rsidR="003C7457" w:rsidRPr="00C41034" w:rsidRDefault="003C7457" w:rsidP="008B7B2A">
      <w:pPr>
        <w:pStyle w:val="Final"/>
        <w:ind w:left="0" w:firstLine="0"/>
        <w:rPr>
          <w:color w:val="000000"/>
          <w:szCs w:val="28"/>
        </w:rPr>
      </w:pPr>
      <w:r>
        <w:rPr>
          <w:color w:val="000000"/>
          <w:szCs w:val="28"/>
        </w:rPr>
        <w:t xml:space="preserve">It is clear to us that </w:t>
      </w:r>
      <w:r w:rsidR="00A8386E">
        <w:rPr>
          <w:color w:val="000000"/>
          <w:szCs w:val="28"/>
        </w:rPr>
        <w:t xml:space="preserve">Mr </w:t>
      </w:r>
      <w:proofErr w:type="spellStart"/>
      <w:r w:rsidR="00A8386E">
        <w:rPr>
          <w:color w:val="000000"/>
          <w:szCs w:val="28"/>
        </w:rPr>
        <w:t>Marray</w:t>
      </w:r>
      <w:proofErr w:type="spellEnd"/>
      <w:r w:rsidR="00A8386E">
        <w:rPr>
          <w:color w:val="000000"/>
          <w:szCs w:val="28"/>
        </w:rPr>
        <w:t xml:space="preserve"> </w:t>
      </w:r>
      <w:r>
        <w:rPr>
          <w:color w:val="000000"/>
          <w:szCs w:val="28"/>
        </w:rPr>
        <w:t xml:space="preserve">was </w:t>
      </w:r>
      <w:r w:rsidR="002A7C31">
        <w:rPr>
          <w:color w:val="000000"/>
          <w:szCs w:val="28"/>
        </w:rPr>
        <w:t xml:space="preserve">not </w:t>
      </w:r>
      <w:r>
        <w:rPr>
          <w:color w:val="000000"/>
          <w:szCs w:val="28"/>
        </w:rPr>
        <w:t xml:space="preserve">putting forward an alternative basis for </w:t>
      </w:r>
      <w:r w:rsidR="0035125E">
        <w:rPr>
          <w:color w:val="000000"/>
          <w:szCs w:val="28"/>
        </w:rPr>
        <w:t>conviction</w:t>
      </w:r>
      <w:r w:rsidR="00631138">
        <w:rPr>
          <w:color w:val="000000"/>
          <w:szCs w:val="28"/>
        </w:rPr>
        <w:t>,</w:t>
      </w:r>
      <w:r w:rsidR="0035125E">
        <w:rPr>
          <w:color w:val="000000"/>
          <w:szCs w:val="28"/>
        </w:rPr>
        <w:t xml:space="preserve"> </w:t>
      </w:r>
      <w:r>
        <w:rPr>
          <w:color w:val="000000"/>
          <w:szCs w:val="28"/>
        </w:rPr>
        <w:t xml:space="preserve">consisting of the </w:t>
      </w:r>
      <w:r w:rsidR="002A28B2">
        <w:rPr>
          <w:color w:val="000000"/>
          <w:szCs w:val="28"/>
        </w:rPr>
        <w:t>circumstan</w:t>
      </w:r>
      <w:r w:rsidR="0035125E">
        <w:rPr>
          <w:color w:val="000000"/>
          <w:szCs w:val="28"/>
        </w:rPr>
        <w:t>tial</w:t>
      </w:r>
      <w:r w:rsidR="002A28B2">
        <w:rPr>
          <w:color w:val="000000"/>
          <w:szCs w:val="28"/>
        </w:rPr>
        <w:t xml:space="preserve"> evidence only.  It is equally clear to us that neither M</w:t>
      </w:r>
      <w:r w:rsidR="0063085E">
        <w:rPr>
          <w:color w:val="000000"/>
          <w:szCs w:val="28"/>
        </w:rPr>
        <w:t xml:space="preserve">r </w:t>
      </w:r>
      <w:proofErr w:type="spellStart"/>
      <w:r w:rsidR="0063085E" w:rsidRPr="007D7364">
        <w:t>Boyton</w:t>
      </w:r>
      <w:proofErr w:type="spellEnd"/>
      <w:r w:rsidR="0063085E">
        <w:t xml:space="preserve"> nor the judge thought that was the case.  In these circumstance</w:t>
      </w:r>
      <w:r w:rsidR="00B70866">
        <w:t>s</w:t>
      </w:r>
      <w:r w:rsidR="00631138">
        <w:t>,</w:t>
      </w:r>
      <w:r w:rsidR="0063085E">
        <w:t xml:space="preserve"> we do not see that there was any risk that the </w:t>
      </w:r>
      <w:r w:rsidR="002A7C31">
        <w:t>jury</w:t>
      </w:r>
      <w:r w:rsidR="0063085E">
        <w:t xml:space="preserve">, </w:t>
      </w:r>
      <w:r w:rsidR="002A7C31">
        <w:t xml:space="preserve">without </w:t>
      </w:r>
      <w:r w:rsidR="0063085E">
        <w:t xml:space="preserve">any encouragement </w:t>
      </w:r>
      <w:r w:rsidR="00D532DC">
        <w:t xml:space="preserve">or invitation from the </w:t>
      </w:r>
      <w:r w:rsidR="00D532DC">
        <w:rPr>
          <w:kern w:val="2"/>
          <w:lang w:val="en-US"/>
        </w:rPr>
        <w:t>judge</w:t>
      </w:r>
      <w:r w:rsidR="00D532DC">
        <w:t xml:space="preserve">, </w:t>
      </w:r>
      <w:r w:rsidR="0063085E">
        <w:t>would</w:t>
      </w:r>
      <w:r w:rsidR="00A8386E">
        <w:t>,</w:t>
      </w:r>
      <w:r w:rsidR="0063085E">
        <w:t xml:space="preserve"> </w:t>
      </w:r>
      <w:r w:rsidR="002D4C72">
        <w:t>on</w:t>
      </w:r>
      <w:r w:rsidR="0063085E">
        <w:t xml:space="preserve"> their </w:t>
      </w:r>
      <w:r w:rsidR="002D4C72">
        <w:t>own</w:t>
      </w:r>
      <w:r w:rsidR="002A7C31">
        <w:t xml:space="preserve"> initiative</w:t>
      </w:r>
      <w:r w:rsidR="00A8386E">
        <w:t>,</w:t>
      </w:r>
      <w:r w:rsidR="002A7C31">
        <w:t xml:space="preserve"> </w:t>
      </w:r>
      <w:r w:rsidR="0063085E">
        <w:t xml:space="preserve">convict on such an alternative basis. </w:t>
      </w:r>
      <w:r w:rsidR="00432D8D">
        <w:t xml:space="preserve"> W</w:t>
      </w:r>
      <w:r w:rsidR="00C41034">
        <w:t>e reject the first ground of appeal.</w:t>
      </w:r>
    </w:p>
    <w:p w:rsidR="002A7C31" w:rsidRDefault="006F01A8" w:rsidP="002A7C31">
      <w:pPr>
        <w:pStyle w:val="H-1"/>
      </w:pPr>
      <w:r>
        <w:lastRenderedPageBreak/>
        <w:t>The second ground of appeal</w:t>
      </w:r>
      <w:r w:rsidR="006A4372">
        <w:rPr>
          <w:rFonts w:hint="eastAsia"/>
        </w:rPr>
        <w:t xml:space="preserve">: </w:t>
      </w:r>
      <w:proofErr w:type="gramStart"/>
      <w:r>
        <w:t>the</w:t>
      </w:r>
      <w:proofErr w:type="gramEnd"/>
      <w:r>
        <w:t xml:space="preserve"> </w:t>
      </w:r>
      <w:proofErr w:type="spellStart"/>
      <w:r w:rsidRPr="008B2B00">
        <w:t>Mushtaq</w:t>
      </w:r>
      <w:proofErr w:type="spellEnd"/>
      <w:r>
        <w:t xml:space="preserve"> direction</w:t>
      </w:r>
      <w:r w:rsidR="00432D8D">
        <w:t xml:space="preserve">  </w:t>
      </w:r>
    </w:p>
    <w:p w:rsidR="00CE43A8" w:rsidRPr="00D55132" w:rsidRDefault="00CE43A8" w:rsidP="00CE43A8">
      <w:pPr>
        <w:pStyle w:val="Final"/>
        <w:ind w:left="0" w:firstLine="0"/>
        <w:rPr>
          <w:color w:val="000000"/>
          <w:szCs w:val="28"/>
        </w:rPr>
      </w:pPr>
      <w:r>
        <w:rPr>
          <w:color w:val="000000"/>
          <w:szCs w:val="28"/>
        </w:rPr>
        <w:t xml:space="preserve">Before analysing the directions given by the </w:t>
      </w:r>
      <w:r w:rsidRPr="00D55132">
        <w:rPr>
          <w:color w:val="000000"/>
          <w:kern w:val="2"/>
          <w:szCs w:val="28"/>
          <w:lang w:val="en-US"/>
        </w:rPr>
        <w:t>judge</w:t>
      </w:r>
      <w:r>
        <w:rPr>
          <w:color w:val="000000"/>
          <w:szCs w:val="28"/>
        </w:rPr>
        <w:t xml:space="preserve"> it is necessary to understand first</w:t>
      </w:r>
      <w:r w:rsidR="00862DFB">
        <w:rPr>
          <w:color w:val="000000"/>
          <w:szCs w:val="28"/>
        </w:rPr>
        <w:t>,</w:t>
      </w:r>
      <w:r>
        <w:rPr>
          <w:color w:val="000000"/>
          <w:szCs w:val="28"/>
        </w:rPr>
        <w:t xml:space="preserve"> the context in which the directions were to be given</w:t>
      </w:r>
      <w:r w:rsidR="00862DFB">
        <w:rPr>
          <w:color w:val="000000"/>
          <w:szCs w:val="28"/>
        </w:rPr>
        <w:t>;</w:t>
      </w:r>
      <w:r>
        <w:rPr>
          <w:color w:val="000000"/>
          <w:szCs w:val="28"/>
        </w:rPr>
        <w:t xml:space="preserve"> and second</w:t>
      </w:r>
      <w:r w:rsidR="00862DFB">
        <w:rPr>
          <w:color w:val="000000"/>
          <w:szCs w:val="28"/>
        </w:rPr>
        <w:t>,</w:t>
      </w:r>
      <w:r>
        <w:rPr>
          <w:color w:val="000000"/>
          <w:szCs w:val="28"/>
        </w:rPr>
        <w:t xml:space="preserve"> the elements of the </w:t>
      </w:r>
      <w:proofErr w:type="spellStart"/>
      <w:r w:rsidR="0034515A" w:rsidRPr="0034515A">
        <w:rPr>
          <w:i/>
          <w:color w:val="000000"/>
          <w:szCs w:val="28"/>
        </w:rPr>
        <w:t>Mushtaq</w:t>
      </w:r>
      <w:proofErr w:type="spellEnd"/>
      <w:r w:rsidR="0034515A">
        <w:rPr>
          <w:color w:val="000000"/>
          <w:szCs w:val="28"/>
        </w:rPr>
        <w:t xml:space="preserve"> </w:t>
      </w:r>
      <w:r>
        <w:rPr>
          <w:color w:val="000000"/>
          <w:szCs w:val="28"/>
        </w:rPr>
        <w:t xml:space="preserve">direction which a </w:t>
      </w:r>
      <w:r w:rsidRPr="00D55132">
        <w:rPr>
          <w:color w:val="000000"/>
          <w:kern w:val="2"/>
          <w:szCs w:val="28"/>
          <w:lang w:val="en-US"/>
        </w:rPr>
        <w:t>judge</w:t>
      </w:r>
      <w:r>
        <w:rPr>
          <w:color w:val="000000"/>
          <w:szCs w:val="28"/>
          <w:lang w:val="en-US"/>
        </w:rPr>
        <w:t xml:space="preserve"> is obliged to convey to the jury.</w:t>
      </w:r>
    </w:p>
    <w:p w:rsidR="006F7A82" w:rsidRPr="006F7A82" w:rsidRDefault="00CE43A8" w:rsidP="00CE43A8">
      <w:pPr>
        <w:pStyle w:val="Final"/>
        <w:ind w:left="0" w:firstLine="0"/>
        <w:rPr>
          <w:color w:val="000000"/>
          <w:szCs w:val="28"/>
        </w:rPr>
      </w:pPr>
      <w:r w:rsidRPr="00CE43A8">
        <w:rPr>
          <w:color w:val="000000"/>
          <w:szCs w:val="28"/>
        </w:rPr>
        <w:t>The context is that there are two sets of admissions, both of which are alleged to be tainted by police impropriety and one of which was alleged to have not been made.  I</w:t>
      </w:r>
      <w:r w:rsidRPr="00CE43A8">
        <w:rPr>
          <w:color w:val="000000"/>
          <w:szCs w:val="28"/>
          <w:lang w:val="en-US"/>
        </w:rPr>
        <w:t>n respect of the first</w:t>
      </w:r>
      <w:r w:rsidR="0034515A">
        <w:rPr>
          <w:color w:val="000000"/>
          <w:szCs w:val="28"/>
          <w:lang w:val="en-US"/>
        </w:rPr>
        <w:t>,</w:t>
      </w:r>
      <w:r w:rsidRPr="00CE43A8">
        <w:rPr>
          <w:color w:val="000000"/>
          <w:szCs w:val="28"/>
          <w:lang w:val="en-US"/>
        </w:rPr>
        <w:t xml:space="preserve"> </w:t>
      </w:r>
      <w:r w:rsidR="00631138">
        <w:rPr>
          <w:color w:val="000000"/>
          <w:szCs w:val="28"/>
          <w:lang w:val="en-US"/>
        </w:rPr>
        <w:t xml:space="preserve">the </w:t>
      </w:r>
      <w:r w:rsidRPr="00CE43A8">
        <w:rPr>
          <w:color w:val="000000"/>
          <w:szCs w:val="28"/>
          <w:lang w:val="en-US"/>
        </w:rPr>
        <w:t>crime-scene</w:t>
      </w:r>
      <w:r w:rsidR="00631138">
        <w:rPr>
          <w:color w:val="000000"/>
          <w:szCs w:val="28"/>
          <w:lang w:val="en-US"/>
        </w:rPr>
        <w:t xml:space="preserve"> admission, </w:t>
      </w:r>
      <w:r w:rsidRPr="00CE43A8">
        <w:rPr>
          <w:color w:val="000000"/>
          <w:szCs w:val="28"/>
          <w:lang w:val="en-US"/>
        </w:rPr>
        <w:t xml:space="preserve">the appellant denied making the statement attributed to him and so the jury had to be told that they must first decide whether this admission was, in fact, made.  If they were of the view that this admission was not made, or may have not been made, then they should ignore it.  Only if they were sure that it was made was there any need for them to go on to consider the circumstances in which it was made.  </w:t>
      </w:r>
      <w:r>
        <w:rPr>
          <w:color w:val="000000"/>
          <w:szCs w:val="28"/>
          <w:lang w:val="en-US"/>
        </w:rPr>
        <w:t>These</w:t>
      </w:r>
      <w:r w:rsidRPr="00CE43A8">
        <w:rPr>
          <w:color w:val="000000"/>
          <w:szCs w:val="28"/>
          <w:lang w:val="en-US"/>
        </w:rPr>
        <w:t xml:space="preserve"> circumstances</w:t>
      </w:r>
      <w:r w:rsidR="0034515A">
        <w:rPr>
          <w:color w:val="000000"/>
          <w:szCs w:val="28"/>
          <w:lang w:val="en-US"/>
        </w:rPr>
        <w:t>,</w:t>
      </w:r>
      <w:r w:rsidRPr="00CE43A8">
        <w:rPr>
          <w:color w:val="000000"/>
          <w:szCs w:val="28"/>
          <w:lang w:val="en-US"/>
        </w:rPr>
        <w:t xml:space="preserve"> </w:t>
      </w:r>
      <w:r>
        <w:rPr>
          <w:color w:val="000000"/>
          <w:szCs w:val="28"/>
          <w:lang w:val="en-US"/>
        </w:rPr>
        <w:t>of course</w:t>
      </w:r>
      <w:r w:rsidR="0034515A">
        <w:rPr>
          <w:color w:val="000000"/>
          <w:szCs w:val="28"/>
          <w:lang w:val="en-US"/>
        </w:rPr>
        <w:t>,</w:t>
      </w:r>
      <w:r>
        <w:rPr>
          <w:color w:val="000000"/>
          <w:szCs w:val="28"/>
          <w:lang w:val="en-US"/>
        </w:rPr>
        <w:t xml:space="preserve"> included the allegations of the </w:t>
      </w:r>
      <w:proofErr w:type="spellStart"/>
      <w:r w:rsidRPr="00CE43A8">
        <w:rPr>
          <w:color w:val="000000"/>
          <w:szCs w:val="28"/>
          <w:lang w:val="en-US"/>
        </w:rPr>
        <w:t>defence</w:t>
      </w:r>
      <w:proofErr w:type="spellEnd"/>
      <w:r w:rsidRPr="00CE43A8">
        <w:rPr>
          <w:color w:val="000000"/>
          <w:szCs w:val="28"/>
          <w:lang w:val="en-US"/>
        </w:rPr>
        <w:t xml:space="preserve"> which would deprive the admissions of their asserted voluntary character. </w:t>
      </w:r>
    </w:p>
    <w:p w:rsidR="006F7A82" w:rsidRPr="00D50D07" w:rsidRDefault="006F7A82" w:rsidP="006F7A82">
      <w:pPr>
        <w:pStyle w:val="Final"/>
        <w:ind w:left="0" w:firstLine="0"/>
        <w:rPr>
          <w:color w:val="000000"/>
          <w:szCs w:val="28"/>
        </w:rPr>
      </w:pPr>
      <w:r>
        <w:t xml:space="preserve">To give further context to the issue before us, we should point out that an accused will first challenge the admissibility of admissions attributed to him by seeking a ruling from the court in a </w:t>
      </w:r>
      <w:proofErr w:type="spellStart"/>
      <w:r w:rsidRPr="00B2441F">
        <w:rPr>
          <w:i/>
          <w:lang w:val="en-US"/>
        </w:rPr>
        <w:t>voi</w:t>
      </w:r>
      <w:r>
        <w:rPr>
          <w:i/>
          <w:lang w:val="en-US"/>
        </w:rPr>
        <w:t>re</w:t>
      </w:r>
      <w:proofErr w:type="spellEnd"/>
      <w:r w:rsidRPr="00B2441F">
        <w:rPr>
          <w:i/>
          <w:lang w:val="en-US"/>
        </w:rPr>
        <w:t xml:space="preserve"> dire</w:t>
      </w:r>
      <w:r>
        <w:t xml:space="preserve"> usually on the basis that the admissions were involuntary or that they would result in unfairness to the accused if admitted into evidence.  </w:t>
      </w:r>
      <w:r>
        <w:rPr>
          <w:lang w:val="en-US"/>
        </w:rPr>
        <w:t xml:space="preserve">Notwithstanding that </w:t>
      </w:r>
      <w:r>
        <w:t xml:space="preserve">the admissions have been ruled admissible, the accused can still </w:t>
      </w:r>
      <w:proofErr w:type="spellStart"/>
      <w:r>
        <w:t>relitigate</w:t>
      </w:r>
      <w:proofErr w:type="spellEnd"/>
      <w:r>
        <w:t xml:space="preserve"> in front of the jury the circumstances in which the admissions were made in order to show that they were not voluntary or reliable.    </w:t>
      </w:r>
    </w:p>
    <w:p w:rsidR="005A7F62" w:rsidRPr="00C76C1D" w:rsidRDefault="005C01A9" w:rsidP="00046541">
      <w:pPr>
        <w:pStyle w:val="Final"/>
        <w:ind w:left="0" w:firstLine="0"/>
        <w:rPr>
          <w:color w:val="000000"/>
          <w:szCs w:val="28"/>
        </w:rPr>
      </w:pPr>
      <w:r w:rsidRPr="00C76C1D">
        <w:rPr>
          <w:color w:val="000000"/>
          <w:szCs w:val="28"/>
        </w:rPr>
        <w:lastRenderedPageBreak/>
        <w:t>Given the way the defence was conducted at trial, the present case call</w:t>
      </w:r>
      <w:r w:rsidR="00C76C1D" w:rsidRPr="00C76C1D">
        <w:rPr>
          <w:color w:val="000000"/>
          <w:szCs w:val="28"/>
        </w:rPr>
        <w:t>ed</w:t>
      </w:r>
      <w:r w:rsidRPr="00C76C1D">
        <w:rPr>
          <w:color w:val="000000"/>
          <w:szCs w:val="28"/>
        </w:rPr>
        <w:t xml:space="preserve"> for a </w:t>
      </w:r>
      <w:proofErr w:type="spellStart"/>
      <w:r w:rsidRPr="00C76C1D">
        <w:rPr>
          <w:i/>
          <w:color w:val="000000"/>
          <w:szCs w:val="28"/>
        </w:rPr>
        <w:t>Mushtaq</w:t>
      </w:r>
      <w:proofErr w:type="spellEnd"/>
      <w:r w:rsidRPr="00C76C1D">
        <w:rPr>
          <w:color w:val="000000"/>
          <w:szCs w:val="28"/>
        </w:rPr>
        <w:t xml:space="preserve"> direction to be given to the jury</w:t>
      </w:r>
      <w:r w:rsidR="00631138">
        <w:rPr>
          <w:color w:val="000000"/>
          <w:szCs w:val="28"/>
        </w:rPr>
        <w:t>,</w:t>
      </w:r>
      <w:r w:rsidRPr="00C76C1D">
        <w:rPr>
          <w:color w:val="000000"/>
          <w:szCs w:val="28"/>
        </w:rPr>
        <w:t xml:space="preserve"> as the respondent rightly concedes.  Although the judge had the direction in mind</w:t>
      </w:r>
      <w:r>
        <w:rPr>
          <w:rStyle w:val="FootnoteReference"/>
          <w:color w:val="000000"/>
          <w:szCs w:val="28"/>
        </w:rPr>
        <w:footnoteReference w:id="14"/>
      </w:r>
      <w:r w:rsidRPr="00C76C1D">
        <w:rPr>
          <w:color w:val="000000"/>
          <w:szCs w:val="28"/>
        </w:rPr>
        <w:t xml:space="preserve">, the appellant contends that he erred </w:t>
      </w:r>
      <w:r w:rsidR="00C76C1D" w:rsidRPr="00C76C1D">
        <w:rPr>
          <w:color w:val="000000"/>
          <w:szCs w:val="28"/>
        </w:rPr>
        <w:t xml:space="preserve">by not giving it </w:t>
      </w:r>
      <w:r w:rsidRPr="00C76C1D">
        <w:rPr>
          <w:color w:val="000000"/>
          <w:szCs w:val="28"/>
        </w:rPr>
        <w:t>in the exact terms of Specimen Direction 39.1</w:t>
      </w:r>
      <w:r w:rsidR="00C76C1D" w:rsidRPr="00C76C1D">
        <w:rPr>
          <w:color w:val="000000"/>
          <w:szCs w:val="28"/>
        </w:rPr>
        <w:t xml:space="preserve">, thereby failing </w:t>
      </w:r>
      <w:r w:rsidR="006F01A8" w:rsidRPr="00C76C1D">
        <w:rPr>
          <w:color w:val="000000"/>
          <w:szCs w:val="28"/>
        </w:rPr>
        <w:t xml:space="preserve">to convey all the elements of </w:t>
      </w:r>
      <w:r w:rsidR="00C76C1D">
        <w:rPr>
          <w:color w:val="000000"/>
          <w:szCs w:val="28"/>
        </w:rPr>
        <w:t xml:space="preserve">such a direction.  The argument of the respondent, on the other hand, </w:t>
      </w:r>
      <w:r w:rsidR="006F01A8" w:rsidRPr="00C76C1D">
        <w:rPr>
          <w:color w:val="000000"/>
          <w:szCs w:val="28"/>
        </w:rPr>
        <w:t>is that the judge in fact conveyed all those elements</w:t>
      </w:r>
      <w:r w:rsidR="002A7C31" w:rsidRPr="00C76C1D">
        <w:rPr>
          <w:color w:val="000000"/>
          <w:szCs w:val="28"/>
        </w:rPr>
        <w:t>,</w:t>
      </w:r>
      <w:r w:rsidR="006F01A8" w:rsidRPr="00C76C1D">
        <w:rPr>
          <w:color w:val="000000"/>
          <w:szCs w:val="28"/>
        </w:rPr>
        <w:t xml:space="preserve"> albeit in his own words and perhaps not in the structured way </w:t>
      </w:r>
      <w:r w:rsidR="002A7C31" w:rsidRPr="00C76C1D">
        <w:rPr>
          <w:color w:val="000000"/>
          <w:szCs w:val="28"/>
        </w:rPr>
        <w:t xml:space="preserve">that is </w:t>
      </w:r>
      <w:r w:rsidR="006F01A8" w:rsidRPr="00C76C1D">
        <w:rPr>
          <w:color w:val="000000"/>
          <w:szCs w:val="28"/>
        </w:rPr>
        <w:t xml:space="preserve">set out </w:t>
      </w:r>
      <w:r w:rsidR="005A7F62" w:rsidRPr="00C76C1D">
        <w:rPr>
          <w:color w:val="000000"/>
          <w:szCs w:val="28"/>
        </w:rPr>
        <w:t>in the Specimen Direction.</w:t>
      </w:r>
      <w:r w:rsidR="00C76C1D">
        <w:rPr>
          <w:color w:val="000000"/>
          <w:szCs w:val="28"/>
        </w:rPr>
        <w:t xml:space="preserve">  The </w:t>
      </w:r>
      <w:r w:rsidR="00C76C1D" w:rsidRPr="00C76C1D">
        <w:rPr>
          <w:color w:val="000000"/>
          <w:kern w:val="2"/>
          <w:szCs w:val="28"/>
          <w:lang w:val="en-US"/>
        </w:rPr>
        <w:t>judge</w:t>
      </w:r>
      <w:r w:rsidR="00C76C1D">
        <w:rPr>
          <w:color w:val="000000"/>
          <w:szCs w:val="28"/>
        </w:rPr>
        <w:t xml:space="preserve">’s direction may not be desirable, but it was not erroneous. </w:t>
      </w:r>
    </w:p>
    <w:p w:rsidR="00144288" w:rsidRPr="00144288" w:rsidRDefault="005C01A9" w:rsidP="005C01A9">
      <w:pPr>
        <w:pStyle w:val="Final"/>
        <w:ind w:left="0" w:firstLine="0"/>
        <w:rPr>
          <w:color w:val="000000"/>
          <w:szCs w:val="28"/>
        </w:rPr>
      </w:pPr>
      <w:r>
        <w:t xml:space="preserve">Thus, in the present case the question is really about whether the direction given by the judge contains </w:t>
      </w:r>
      <w:r w:rsidR="00C76C1D">
        <w:t xml:space="preserve">all that </w:t>
      </w:r>
      <w:r>
        <w:t>is required by law</w:t>
      </w:r>
      <w:r w:rsidR="00C76C1D">
        <w:t xml:space="preserve"> and does so in a way that would clearly convey to the jury the key message of the</w:t>
      </w:r>
      <w:r w:rsidR="00513E8D">
        <w:t xml:space="preserve"> </w:t>
      </w:r>
      <w:proofErr w:type="spellStart"/>
      <w:r w:rsidR="00513E8D" w:rsidRPr="00CE43A8">
        <w:rPr>
          <w:i/>
        </w:rPr>
        <w:t>Mushtaq</w:t>
      </w:r>
      <w:proofErr w:type="spellEnd"/>
      <w:r w:rsidR="00C76C1D">
        <w:t xml:space="preserve"> direction.  In determining this </w:t>
      </w:r>
      <w:proofErr w:type="gramStart"/>
      <w:r w:rsidR="00C76C1D">
        <w:t>issue</w:t>
      </w:r>
      <w:proofErr w:type="gramEnd"/>
      <w:r w:rsidR="00C76C1D">
        <w:t xml:space="preserve"> it is appropriate to commence by </w:t>
      </w:r>
      <w:r w:rsidR="00D50D07">
        <w:t xml:space="preserve">analysing the case law on the </w:t>
      </w:r>
      <w:proofErr w:type="spellStart"/>
      <w:r w:rsidR="00D50D07" w:rsidRPr="00C76C1D">
        <w:rPr>
          <w:i/>
        </w:rPr>
        <w:t>Mushtaq</w:t>
      </w:r>
      <w:proofErr w:type="spellEnd"/>
      <w:r w:rsidR="00D50D07">
        <w:t xml:space="preserve"> direction, and then </w:t>
      </w:r>
      <w:r w:rsidR="00C76C1D">
        <w:t>exami</w:t>
      </w:r>
      <w:r w:rsidR="00D50D07">
        <w:t xml:space="preserve">ning the Specimen Direction and, finally, </w:t>
      </w:r>
      <w:r w:rsidR="00C76C1D">
        <w:t xml:space="preserve">the </w:t>
      </w:r>
      <w:r w:rsidR="00C76C1D">
        <w:rPr>
          <w:kern w:val="2"/>
          <w:lang w:val="en-US"/>
        </w:rPr>
        <w:t>judge</w:t>
      </w:r>
      <w:r w:rsidR="00D50D07">
        <w:t xml:space="preserve">’s direction.  </w:t>
      </w:r>
      <w:r w:rsidR="00C76C1D">
        <w:t xml:space="preserve">We shall then be in a position to say whether, and if so to what extent, the </w:t>
      </w:r>
      <w:r w:rsidR="00C76C1D">
        <w:rPr>
          <w:kern w:val="2"/>
          <w:lang w:val="en-US"/>
        </w:rPr>
        <w:t>judge</w:t>
      </w:r>
      <w:r w:rsidR="00C76C1D">
        <w:t>’s direction has fallen short of what is required.</w:t>
      </w:r>
    </w:p>
    <w:p w:rsidR="00B12B2A" w:rsidRPr="00B12B2A" w:rsidRDefault="00D50D07" w:rsidP="00D50D07">
      <w:pPr>
        <w:pStyle w:val="Final"/>
        <w:ind w:left="0" w:firstLine="0"/>
      </w:pPr>
      <w:r>
        <w:rPr>
          <w:rFonts w:hint="eastAsia"/>
        </w:rPr>
        <w:t xml:space="preserve">As </w:t>
      </w:r>
      <w:r>
        <w:t>Specimen Direction</w:t>
      </w:r>
      <w:r w:rsidR="0034515A">
        <w:t xml:space="preserve">s are </w:t>
      </w:r>
      <w:r>
        <w:t xml:space="preserve">not law and do not possess any legal authority until approved by an appellate court it is appropriate to start our consideration of this issue by an </w:t>
      </w:r>
      <w:r>
        <w:rPr>
          <w:lang w:val="en-US"/>
        </w:rPr>
        <w:t>examination</w:t>
      </w:r>
      <w:r>
        <w:t xml:space="preserve"> of the law.  Though stating the obvious, it needs to be emphasized that we are concerned only </w:t>
      </w:r>
      <w:r>
        <w:rPr>
          <w:rFonts w:hint="eastAsia"/>
        </w:rPr>
        <w:t xml:space="preserve">with the law of </w:t>
      </w:r>
      <w:r w:rsidRPr="009B4F76">
        <w:rPr>
          <w:lang w:val="en-US" w:eastAsia="zh-TW"/>
        </w:rPr>
        <w:t>Hong Kong</w:t>
      </w:r>
      <w:r>
        <w:rPr>
          <w:lang w:val="en-US"/>
        </w:rPr>
        <w:t>, and not the law of England</w:t>
      </w:r>
      <w:r w:rsidR="00862DFB">
        <w:rPr>
          <w:lang w:val="en-US"/>
        </w:rPr>
        <w:t xml:space="preserve"> and Wales</w:t>
      </w:r>
      <w:r>
        <w:rPr>
          <w:lang w:val="en-US"/>
        </w:rPr>
        <w:t xml:space="preserve">.  The reason this needs to be emphasized is because the </w:t>
      </w:r>
      <w:proofErr w:type="spellStart"/>
      <w:r w:rsidRPr="009E42D8">
        <w:rPr>
          <w:i/>
          <w:lang w:val="en-US"/>
        </w:rPr>
        <w:t>Mushtaq</w:t>
      </w:r>
      <w:proofErr w:type="spellEnd"/>
      <w:r>
        <w:rPr>
          <w:lang w:val="en-US"/>
        </w:rPr>
        <w:t xml:space="preserve"> direction is concerned with the way a jury should be directed </w:t>
      </w:r>
      <w:r w:rsidRPr="009E42D8">
        <w:rPr>
          <w:lang w:val="en-US"/>
        </w:rPr>
        <w:t>in respect of</w:t>
      </w:r>
      <w:r>
        <w:rPr>
          <w:lang w:val="en-US"/>
        </w:rPr>
        <w:t xml:space="preserve"> admissions by an accused </w:t>
      </w:r>
      <w:r w:rsidR="004C577C">
        <w:rPr>
          <w:lang w:val="en-US"/>
        </w:rPr>
        <w:t>wh</w:t>
      </w:r>
      <w:r w:rsidR="00783701">
        <w:rPr>
          <w:lang w:val="en-US"/>
        </w:rPr>
        <w:t>ose</w:t>
      </w:r>
      <w:r w:rsidR="004C577C">
        <w:rPr>
          <w:lang w:val="en-US"/>
        </w:rPr>
        <w:t xml:space="preserve"> </w:t>
      </w:r>
      <w:r>
        <w:rPr>
          <w:lang w:val="en-US"/>
        </w:rPr>
        <w:t xml:space="preserve">voluntariness are the subject of challenge.  In </w:t>
      </w:r>
      <w:r w:rsidRPr="009E42D8">
        <w:rPr>
          <w:lang w:val="en-US" w:eastAsia="zh-TW"/>
        </w:rPr>
        <w:t xml:space="preserve">Hong </w:t>
      </w:r>
      <w:r w:rsidRPr="009E42D8">
        <w:rPr>
          <w:lang w:val="en-US" w:eastAsia="zh-TW"/>
        </w:rPr>
        <w:lastRenderedPageBreak/>
        <w:t>Kong</w:t>
      </w:r>
      <w:r>
        <w:rPr>
          <w:lang w:val="en-US"/>
        </w:rPr>
        <w:t xml:space="preserve"> the law in this area is common law; in England it </w:t>
      </w:r>
      <w:r w:rsidR="00862DFB">
        <w:rPr>
          <w:lang w:val="en-US"/>
        </w:rPr>
        <w:t>is</w:t>
      </w:r>
      <w:r>
        <w:rPr>
          <w:lang w:val="en-US"/>
        </w:rPr>
        <w:t xml:space="preserve"> now regulated by statu</w:t>
      </w:r>
      <w:r w:rsidR="00513E8D">
        <w:rPr>
          <w:lang w:val="en-US"/>
        </w:rPr>
        <w:t>t</w:t>
      </w:r>
      <w:r>
        <w:rPr>
          <w:lang w:val="en-US"/>
        </w:rPr>
        <w:t xml:space="preserve">e.  </w:t>
      </w:r>
    </w:p>
    <w:p w:rsidR="00B12B2A" w:rsidRPr="00B12B2A" w:rsidRDefault="00B12B2A" w:rsidP="00B12B2A">
      <w:pPr>
        <w:pStyle w:val="H-1"/>
      </w:pPr>
      <w:r>
        <w:rPr>
          <w:lang w:val="en-US"/>
        </w:rPr>
        <w:t>The English law</w:t>
      </w:r>
    </w:p>
    <w:p w:rsidR="00D50D07" w:rsidRPr="00015231" w:rsidRDefault="00D50D07" w:rsidP="00D50D07">
      <w:pPr>
        <w:pStyle w:val="Final"/>
        <w:ind w:left="0" w:firstLine="0"/>
      </w:pPr>
      <w:r>
        <w:rPr>
          <w:lang w:val="en-US"/>
        </w:rPr>
        <w:t xml:space="preserve">The English statutory provision is </w:t>
      </w:r>
      <w:r w:rsidRPr="009E42D8">
        <w:rPr>
          <w:lang w:val="en-US"/>
        </w:rPr>
        <w:t>section</w:t>
      </w:r>
      <w:r>
        <w:rPr>
          <w:lang w:val="en-US"/>
        </w:rPr>
        <w:t xml:space="preserve"> 76(2) of the </w:t>
      </w:r>
      <w:r w:rsidRPr="00015231">
        <w:rPr>
          <w:i/>
          <w:lang w:val="en-US"/>
        </w:rPr>
        <w:t>Police and Criminal Evidence Act 1984</w:t>
      </w:r>
      <w:r>
        <w:rPr>
          <w:lang w:val="en-US"/>
        </w:rPr>
        <w:t xml:space="preserve"> </w:t>
      </w:r>
      <w:r w:rsidR="00B70866">
        <w:rPr>
          <w:lang w:val="en-US"/>
        </w:rPr>
        <w:t>(“PACE”)</w:t>
      </w:r>
      <w:r w:rsidR="00631138">
        <w:rPr>
          <w:lang w:val="en-US"/>
        </w:rPr>
        <w:t>,</w:t>
      </w:r>
      <w:r w:rsidR="00B70866">
        <w:rPr>
          <w:lang w:val="en-US"/>
        </w:rPr>
        <w:t xml:space="preserve"> </w:t>
      </w:r>
      <w:r>
        <w:rPr>
          <w:lang w:val="en-US"/>
        </w:rPr>
        <w:t>which provides:</w:t>
      </w:r>
    </w:p>
    <w:p w:rsidR="00D50D07" w:rsidRPr="00015231" w:rsidRDefault="00D50D07" w:rsidP="00D50D07">
      <w:pPr>
        <w:pStyle w:val="Quotation"/>
        <w:tabs>
          <w:tab w:val="clear" w:pos="1440"/>
          <w:tab w:val="clear" w:pos="2016"/>
        </w:tabs>
        <w:ind w:left="1980" w:hanging="540"/>
      </w:pPr>
      <w:r>
        <w:rPr>
          <w:lang w:val="en-US"/>
        </w:rPr>
        <w:t>“(1)</w:t>
      </w:r>
      <w:r>
        <w:rPr>
          <w:lang w:val="en-US"/>
        </w:rPr>
        <w:tab/>
        <w:t>In any proceedings a confession made by an accused person may be given in evidence against him insofar as it is relevant to any matter in issue in the proceedings and is not excluded by the court in pursuance of this section.</w:t>
      </w:r>
    </w:p>
    <w:p w:rsidR="00D50D07" w:rsidRDefault="00D50D07" w:rsidP="00D50D07">
      <w:pPr>
        <w:pStyle w:val="Quotation"/>
        <w:tabs>
          <w:tab w:val="clear" w:pos="1440"/>
          <w:tab w:val="clear" w:pos="2016"/>
        </w:tabs>
        <w:ind w:left="1980" w:hanging="540"/>
      </w:pPr>
      <w:r>
        <w:t>(2)</w:t>
      </w:r>
      <w:r>
        <w:tab/>
        <w:t>If, in any proceedings where the prosecution proposes to give in evidence a confession made by an accused person, it is represented to the court that the confession was or may have been obtained—</w:t>
      </w:r>
    </w:p>
    <w:p w:rsidR="00D50D07" w:rsidRDefault="00D50D07" w:rsidP="00D50D07">
      <w:pPr>
        <w:pStyle w:val="Quotation"/>
        <w:tabs>
          <w:tab w:val="clear" w:pos="1440"/>
          <w:tab w:val="clear" w:pos="2016"/>
          <w:tab w:val="clear" w:pos="2448"/>
          <w:tab w:val="left" w:pos="2160"/>
        </w:tabs>
        <w:ind w:left="2520" w:hanging="1080"/>
      </w:pPr>
      <w:r>
        <w:tab/>
        <w:t>(a)</w:t>
      </w:r>
      <w:r>
        <w:tab/>
        <w:t>by oppression of the person who made it; or</w:t>
      </w:r>
    </w:p>
    <w:p w:rsidR="00D50D07" w:rsidRDefault="00D50D07" w:rsidP="00D50D07">
      <w:pPr>
        <w:pStyle w:val="Quotation"/>
        <w:tabs>
          <w:tab w:val="clear" w:pos="1440"/>
          <w:tab w:val="clear" w:pos="2016"/>
          <w:tab w:val="clear" w:pos="2448"/>
          <w:tab w:val="left" w:pos="2160"/>
        </w:tabs>
        <w:ind w:left="2520" w:hanging="1080"/>
      </w:pPr>
      <w:r>
        <w:tab/>
        <w:t>(b)</w:t>
      </w:r>
      <w:r>
        <w:tab/>
        <w:t xml:space="preserve">in consequence of anything said or done which was likely, in the circumstances existing at the time, to render unreliable any confession which might be made by him in consequence thereof, </w:t>
      </w:r>
    </w:p>
    <w:p w:rsidR="00D50D07" w:rsidRPr="009E42D8" w:rsidRDefault="00862DFB" w:rsidP="00D50D07">
      <w:pPr>
        <w:pStyle w:val="Quotation"/>
        <w:tabs>
          <w:tab w:val="clear" w:pos="1440"/>
          <w:tab w:val="clear" w:pos="2016"/>
        </w:tabs>
      </w:pPr>
      <w:r>
        <w:t>t</w:t>
      </w:r>
      <w:r w:rsidR="00D50D07">
        <w:t>he court shall not allow the confession to be given in evidence against him except insofar as the prosecution proves to the court beyond reasonable doubt that the confession (n</w:t>
      </w:r>
      <w:proofErr w:type="spellStart"/>
      <w:r w:rsidR="00D50D07">
        <w:rPr>
          <w:lang w:val="en-US"/>
        </w:rPr>
        <w:t>otwithstanding</w:t>
      </w:r>
      <w:proofErr w:type="spellEnd"/>
      <w:r w:rsidR="00D50D07">
        <w:t xml:space="preserve"> that it may be true) was not obtained as aforesaid.”</w:t>
      </w:r>
    </w:p>
    <w:p w:rsidR="00D50D07" w:rsidRPr="007F4703" w:rsidRDefault="00D50D07" w:rsidP="00D50D07">
      <w:pPr>
        <w:pStyle w:val="Final"/>
      </w:pPr>
      <w:r>
        <w:rPr>
          <w:lang w:val="en-US"/>
        </w:rPr>
        <w:tab/>
        <w:t>“Oppression” is inclusively defined in sub-section (8) as:</w:t>
      </w:r>
    </w:p>
    <w:p w:rsidR="00D50D07" w:rsidRDefault="00D50D07" w:rsidP="00D50D07">
      <w:pPr>
        <w:pStyle w:val="Quotation"/>
        <w:tabs>
          <w:tab w:val="clear" w:pos="1440"/>
        </w:tabs>
        <w:ind w:left="1980" w:hanging="540"/>
      </w:pPr>
      <w:r>
        <w:t>“(8)</w:t>
      </w:r>
      <w:r>
        <w:tab/>
        <w:t>In this section ‘oppression’ includes torture, inhuman or degrading treatment, and the use or threat of violence (whether or not amounting to torture).</w:t>
      </w:r>
      <w:r w:rsidR="004C577C">
        <w:t>”</w:t>
      </w:r>
    </w:p>
    <w:p w:rsidR="00D50D07" w:rsidRDefault="00D50D07" w:rsidP="00D50D07">
      <w:pPr>
        <w:pStyle w:val="Final"/>
        <w:ind w:left="0" w:firstLine="0"/>
      </w:pPr>
      <w:r>
        <w:t>In “Blackstone</w:t>
      </w:r>
      <w:r w:rsidR="004C577C">
        <w:t>’</w:t>
      </w:r>
      <w:r>
        <w:t>s Criminal Practice 2021” the following comment on section 76(2) is made:</w:t>
      </w:r>
    </w:p>
    <w:p w:rsidR="00D50D07" w:rsidRDefault="00D50D07" w:rsidP="00D50D07">
      <w:pPr>
        <w:pStyle w:val="Quotation"/>
      </w:pPr>
      <w:r>
        <w:t xml:space="preserve">“In </w:t>
      </w:r>
      <w:r w:rsidRPr="00515E04">
        <w:rPr>
          <w:i/>
        </w:rPr>
        <w:t>Fulling</w:t>
      </w:r>
      <w:r>
        <w:t xml:space="preserve"> [1987] QB 426, the Court of Appeal held (without referring to the PACE 1984, s. 76(8)) that the 1984 Act does not follow the wording of earlier rules or decisions, nor is it expressed to be a consolidating Act. It is a codifying Act, in the interpretation of which the proper course is to start by ascertaining the natural meaning of the language used, uninfluenced by any considerations </w:t>
      </w:r>
      <w:r>
        <w:lastRenderedPageBreak/>
        <w:t>derived from the previous state of the law. It was further stated that much of the sort of treatment which would have fallen within the wider definition of oppression at common law will now fall to be dealt with under the ‘reliability’ head of exclusion.”</w:t>
      </w:r>
      <w:r w:rsidR="00B1494A">
        <w:rPr>
          <w:rStyle w:val="FootnoteReference"/>
        </w:rPr>
        <w:footnoteReference w:id="15"/>
      </w:r>
      <w:r>
        <w:t xml:space="preserve"> </w:t>
      </w:r>
    </w:p>
    <w:p w:rsidR="00D50D07" w:rsidRPr="00133B6D" w:rsidRDefault="00D50D07" w:rsidP="00D50D07">
      <w:pPr>
        <w:pStyle w:val="Final"/>
        <w:ind w:left="0" w:firstLine="0"/>
      </w:pPr>
      <w:r>
        <w:rPr>
          <w:lang w:val="en-US"/>
        </w:rPr>
        <w:t>In respect of sub-section (2)</w:t>
      </w:r>
      <w:r w:rsidR="00783701">
        <w:rPr>
          <w:lang w:val="en-US"/>
        </w:rPr>
        <w:t>(b)</w:t>
      </w:r>
      <w:r w:rsidR="00677FCC">
        <w:rPr>
          <w:lang w:val="en-US"/>
        </w:rPr>
        <w:t xml:space="preserve">, “the ‘reliability’ head of exclusion”, </w:t>
      </w:r>
      <w:r w:rsidR="003F2F47">
        <w:rPr>
          <w:lang w:val="en-US"/>
        </w:rPr>
        <w:t>the English c</w:t>
      </w:r>
      <w:r>
        <w:rPr>
          <w:lang w:val="en-US"/>
        </w:rPr>
        <w:t>ourt</w:t>
      </w:r>
      <w:r w:rsidR="00783701">
        <w:rPr>
          <w:lang w:val="en-US"/>
        </w:rPr>
        <w:t>s</w:t>
      </w:r>
      <w:r>
        <w:rPr>
          <w:lang w:val="en-US"/>
        </w:rPr>
        <w:t xml:space="preserve"> have not concerned themselves with whether the </w:t>
      </w:r>
      <w:r w:rsidRPr="00631138">
        <w:rPr>
          <w:i/>
          <w:lang w:val="en-US"/>
        </w:rPr>
        <w:t>actual</w:t>
      </w:r>
      <w:r>
        <w:rPr>
          <w:lang w:val="en-US"/>
        </w:rPr>
        <w:t xml:space="preserve"> confession </w:t>
      </w:r>
      <w:r w:rsidR="004C577C">
        <w:rPr>
          <w:lang w:val="en-US"/>
        </w:rPr>
        <w:t xml:space="preserve">being challenged </w:t>
      </w:r>
      <w:r>
        <w:rPr>
          <w:lang w:val="en-US"/>
        </w:rPr>
        <w:t xml:space="preserve">is unreliable but whether what is alleged to have taken place </w:t>
      </w:r>
      <w:r w:rsidRPr="009A673C">
        <w:rPr>
          <w:lang w:val="en-US"/>
        </w:rPr>
        <w:t>in respect of</w:t>
      </w:r>
      <w:r>
        <w:rPr>
          <w:lang w:val="en-US"/>
        </w:rPr>
        <w:t xml:space="preserve"> it was likely to </w:t>
      </w:r>
      <w:r w:rsidR="00677FCC">
        <w:rPr>
          <w:lang w:val="en-US"/>
        </w:rPr>
        <w:t xml:space="preserve">render </w:t>
      </w:r>
      <w:r w:rsidR="00677FCC" w:rsidRPr="002F2FD2">
        <w:rPr>
          <w:i/>
          <w:lang w:val="en-US"/>
        </w:rPr>
        <w:t>any</w:t>
      </w:r>
      <w:r w:rsidR="00677FCC">
        <w:rPr>
          <w:lang w:val="en-US"/>
        </w:rPr>
        <w:t xml:space="preserve"> </w:t>
      </w:r>
      <w:r>
        <w:rPr>
          <w:lang w:val="en-US"/>
        </w:rPr>
        <w:t>confession</w:t>
      </w:r>
      <w:r w:rsidR="003F2F47">
        <w:rPr>
          <w:lang w:val="en-US"/>
        </w:rPr>
        <w:t xml:space="preserve"> unreliable</w:t>
      </w:r>
      <w:r>
        <w:rPr>
          <w:lang w:val="en-US"/>
        </w:rPr>
        <w:t>.  Blackstone</w:t>
      </w:r>
      <w:r w:rsidR="004C577C">
        <w:rPr>
          <w:lang w:val="en-US"/>
        </w:rPr>
        <w:t>’</w:t>
      </w:r>
      <w:r>
        <w:rPr>
          <w:lang w:val="en-US"/>
        </w:rPr>
        <w:t>s comment on sub-section (2)</w:t>
      </w:r>
      <w:r w:rsidR="00677FCC">
        <w:rPr>
          <w:lang w:val="en-US"/>
        </w:rPr>
        <w:t>(b)</w:t>
      </w:r>
      <w:r>
        <w:rPr>
          <w:lang w:val="en-US"/>
        </w:rPr>
        <w:t xml:space="preserve"> </w:t>
      </w:r>
      <w:r w:rsidR="00513E8D">
        <w:rPr>
          <w:lang w:val="en-US"/>
        </w:rPr>
        <w:t xml:space="preserve">is </w:t>
      </w:r>
      <w:r>
        <w:rPr>
          <w:lang w:val="en-US"/>
        </w:rPr>
        <w:t xml:space="preserve">as follows: </w:t>
      </w:r>
    </w:p>
    <w:p w:rsidR="00D50D07" w:rsidRPr="0066304B" w:rsidRDefault="00D50D07" w:rsidP="00D50D07">
      <w:pPr>
        <w:pStyle w:val="Quotation"/>
      </w:pPr>
      <w:r>
        <w:rPr>
          <w:lang w:val="en-US"/>
        </w:rPr>
        <w:t>“T</w:t>
      </w:r>
      <w:r w:rsidR="004C577C">
        <w:rPr>
          <w:lang w:val="en-US"/>
        </w:rPr>
        <w:t>he</w:t>
      </w:r>
      <w:r>
        <w:rPr>
          <w:lang w:val="en-US"/>
        </w:rPr>
        <w:t xml:space="preserve"> PACE 1984 requires the trial </w:t>
      </w:r>
      <w:r w:rsidRPr="00133B6D">
        <w:rPr>
          <w:lang w:val="en-US"/>
        </w:rPr>
        <w:t>judge</w:t>
      </w:r>
      <w:r>
        <w:rPr>
          <w:lang w:val="en-US"/>
        </w:rPr>
        <w:t xml:space="preserve"> to consider a hypothetical question: not whether </w:t>
      </w:r>
      <w:r w:rsidRPr="00A51A56">
        <w:rPr>
          <w:i/>
          <w:lang w:val="en-US"/>
        </w:rPr>
        <w:t>this</w:t>
      </w:r>
      <w:r>
        <w:rPr>
          <w:lang w:val="en-US"/>
        </w:rPr>
        <w:t xml:space="preserve"> confession is unreliable, but whether </w:t>
      </w:r>
      <w:r w:rsidRPr="00A51A56">
        <w:rPr>
          <w:i/>
          <w:lang w:val="en-US"/>
        </w:rPr>
        <w:t>any</w:t>
      </w:r>
      <w:r>
        <w:rPr>
          <w:lang w:val="en-US"/>
        </w:rPr>
        <w:t xml:space="preserve"> confession which the accused might make in consequence of what was said or done was likely to be rendered unreliable. The purport of this provision was considered in </w:t>
      </w:r>
      <w:r w:rsidRPr="00A51A56">
        <w:rPr>
          <w:i/>
          <w:lang w:val="en-US"/>
        </w:rPr>
        <w:t xml:space="preserve">Re </w:t>
      </w:r>
      <w:proofErr w:type="spellStart"/>
      <w:r w:rsidRPr="00A51A56">
        <w:rPr>
          <w:i/>
          <w:lang w:val="en-US"/>
        </w:rPr>
        <w:t>Proulx</w:t>
      </w:r>
      <w:proofErr w:type="spellEnd"/>
      <w:r>
        <w:rPr>
          <w:lang w:val="en-US"/>
        </w:rPr>
        <w:t xml:space="preserve"> [2001] 1 All ER 57, where </w:t>
      </w:r>
      <w:proofErr w:type="spellStart"/>
      <w:r>
        <w:rPr>
          <w:lang w:val="en-US"/>
        </w:rPr>
        <w:t>Mance</w:t>
      </w:r>
      <w:proofErr w:type="spellEnd"/>
      <w:r>
        <w:rPr>
          <w:lang w:val="en-US"/>
        </w:rPr>
        <w:t xml:space="preserve"> LJ stated (at [46]):</w:t>
      </w:r>
    </w:p>
    <w:p w:rsidR="00D50D07" w:rsidRPr="007D3B2F" w:rsidRDefault="00D50D07" w:rsidP="00D50D07">
      <w:pPr>
        <w:pStyle w:val="Quotation"/>
        <w:tabs>
          <w:tab w:val="clear" w:pos="1440"/>
          <w:tab w:val="clear" w:pos="2016"/>
        </w:tabs>
        <w:ind w:left="1800" w:hanging="360"/>
      </w:pPr>
      <w:r>
        <w:tab/>
        <w:t xml:space="preserve">The test in s. 76 cannot be satisfied by postulating some entirely different confession. There is also no likelihood that anything said or done would have induced any other confession. The word ‘any’ must thus, I think, be understood as indicating ‘any such’ or ‘such a’ confession as the </w:t>
      </w:r>
      <w:r w:rsidRPr="005D3314">
        <w:rPr>
          <w:rFonts w:hint="eastAsia"/>
          <w:szCs w:val="28"/>
          <w:lang w:val="en-US"/>
        </w:rPr>
        <w:t>applicant</w:t>
      </w:r>
      <w:r>
        <w:rPr>
          <w:lang w:val="en-US"/>
        </w:rPr>
        <w:t xml:space="preserve"> made. The abstract element involved also reflects the fact that the test is not whether the actual confession was untruthful or inaccurate. It is whether whatever was said or done was, in the </w:t>
      </w:r>
      <w:r w:rsidRPr="007D3B2F">
        <w:rPr>
          <w:lang w:val="en-US"/>
        </w:rPr>
        <w:t>circumstances</w:t>
      </w:r>
      <w:r>
        <w:rPr>
          <w:lang w:val="en-US"/>
        </w:rPr>
        <w:t xml:space="preserve"> existing as at the time of the confession, </w:t>
      </w:r>
      <w:r w:rsidRPr="007D3B2F">
        <w:rPr>
          <w:i/>
          <w:lang w:val="en-US"/>
        </w:rPr>
        <w:t>likely</w:t>
      </w:r>
      <w:r>
        <w:rPr>
          <w:lang w:val="en-US"/>
        </w:rPr>
        <w:t xml:space="preserve"> to have rendered such a confession unreliable, whether or not it may be seen </w:t>
      </w:r>
      <w:r w:rsidRPr="007D3B2F">
        <w:rPr>
          <w:lang w:val="en-US"/>
        </w:rPr>
        <w:t>subsequent</w:t>
      </w:r>
      <w:r>
        <w:rPr>
          <w:lang w:val="en-US"/>
        </w:rPr>
        <w:t>ly – with hindsight and in the light of all the material available at trial – that it did or did not actually do so.</w:t>
      </w:r>
    </w:p>
    <w:p w:rsidR="005C01A9" w:rsidRPr="00D50D07" w:rsidRDefault="00D50D07" w:rsidP="00D50D07">
      <w:pPr>
        <w:pStyle w:val="Quotation"/>
      </w:pPr>
      <w:r>
        <w:t xml:space="preserve">Thus the court must consider whether what happened was likely in the circumstances to induce </w:t>
      </w:r>
      <w:r w:rsidRPr="00565099">
        <w:rPr>
          <w:i/>
        </w:rPr>
        <w:t>an</w:t>
      </w:r>
      <w:r>
        <w:t xml:space="preserve"> unreliable confession to the offence in question, and to ignore any evidence suggesting that the </w:t>
      </w:r>
      <w:r w:rsidRPr="00565099">
        <w:rPr>
          <w:i/>
        </w:rPr>
        <w:t>actual</w:t>
      </w:r>
      <w:r>
        <w:t xml:space="preserve"> confession was reliable.”</w:t>
      </w:r>
      <w:r w:rsidR="004C577C">
        <w:rPr>
          <w:rStyle w:val="FootnoteReference"/>
        </w:rPr>
        <w:footnoteReference w:id="16"/>
      </w:r>
    </w:p>
    <w:p w:rsidR="00A91F66" w:rsidRDefault="00513E8D" w:rsidP="006F01A8">
      <w:pPr>
        <w:pStyle w:val="Final"/>
        <w:ind w:left="0" w:firstLine="0"/>
        <w:rPr>
          <w:color w:val="000000"/>
          <w:szCs w:val="28"/>
        </w:rPr>
      </w:pPr>
      <w:r>
        <w:rPr>
          <w:color w:val="000000"/>
          <w:szCs w:val="28"/>
        </w:rPr>
        <w:t xml:space="preserve">Correlating </w:t>
      </w:r>
      <w:r w:rsidR="00A91F66" w:rsidRPr="00A91F66">
        <w:rPr>
          <w:color w:val="000000"/>
          <w:szCs w:val="28"/>
        </w:rPr>
        <w:t>section</w:t>
      </w:r>
      <w:r w:rsidR="00A91F66">
        <w:rPr>
          <w:color w:val="000000"/>
          <w:szCs w:val="28"/>
        </w:rPr>
        <w:t xml:space="preserve"> 76(2)(a) </w:t>
      </w:r>
      <w:r>
        <w:rPr>
          <w:color w:val="000000"/>
          <w:szCs w:val="28"/>
        </w:rPr>
        <w:t>to the common law</w:t>
      </w:r>
      <w:r w:rsidR="00A91F66">
        <w:rPr>
          <w:color w:val="000000"/>
          <w:szCs w:val="28"/>
        </w:rPr>
        <w:t xml:space="preserve"> would appear to be simple enough for it invokes the concept</w:t>
      </w:r>
      <w:r>
        <w:rPr>
          <w:color w:val="000000"/>
          <w:szCs w:val="28"/>
        </w:rPr>
        <w:t>s</w:t>
      </w:r>
      <w:r w:rsidR="00A91F66">
        <w:rPr>
          <w:color w:val="000000"/>
          <w:szCs w:val="28"/>
        </w:rPr>
        <w:t xml:space="preserve"> of voluntariness</w:t>
      </w:r>
      <w:r w:rsidR="003F2F47">
        <w:rPr>
          <w:color w:val="000000"/>
          <w:szCs w:val="28"/>
        </w:rPr>
        <w:t xml:space="preserve"> </w:t>
      </w:r>
      <w:r>
        <w:rPr>
          <w:color w:val="000000"/>
          <w:szCs w:val="28"/>
        </w:rPr>
        <w:t xml:space="preserve">and </w:t>
      </w:r>
      <w:r>
        <w:rPr>
          <w:color w:val="000000"/>
          <w:szCs w:val="28"/>
        </w:rPr>
        <w:lastRenderedPageBreak/>
        <w:t xml:space="preserve">oppression </w:t>
      </w:r>
      <w:r w:rsidR="003F2F47">
        <w:rPr>
          <w:color w:val="000000"/>
          <w:szCs w:val="28"/>
        </w:rPr>
        <w:t xml:space="preserve">and perhaps focusses primarily </w:t>
      </w:r>
      <w:r w:rsidR="0034515A">
        <w:rPr>
          <w:color w:val="000000"/>
          <w:szCs w:val="28"/>
        </w:rPr>
        <w:t>o</w:t>
      </w:r>
      <w:r w:rsidR="003F2F47">
        <w:rPr>
          <w:color w:val="000000"/>
          <w:szCs w:val="28"/>
        </w:rPr>
        <w:t xml:space="preserve">n improper conduct by </w:t>
      </w:r>
      <w:r w:rsidR="003F2F47" w:rsidRPr="003F2F47">
        <w:rPr>
          <w:color w:val="000000"/>
          <w:szCs w:val="28"/>
        </w:rPr>
        <w:t>law enforcement</w:t>
      </w:r>
      <w:r w:rsidR="003F2F47">
        <w:rPr>
          <w:color w:val="000000"/>
          <w:szCs w:val="28"/>
        </w:rPr>
        <w:t xml:space="preserve"> officers</w:t>
      </w:r>
      <w:r w:rsidR="00A91F66">
        <w:rPr>
          <w:color w:val="000000"/>
          <w:szCs w:val="28"/>
        </w:rPr>
        <w:t xml:space="preserve">.  The common law concept of voluntariness was summarised by Li CJ in giving a </w:t>
      </w:r>
      <w:r w:rsidR="00A91F66" w:rsidRPr="00A91F66">
        <w:rPr>
          <w:color w:val="000000"/>
          <w:szCs w:val="28"/>
        </w:rPr>
        <w:t>judgment</w:t>
      </w:r>
      <w:r w:rsidR="00A91F66">
        <w:rPr>
          <w:color w:val="000000"/>
          <w:szCs w:val="28"/>
        </w:rPr>
        <w:t xml:space="preserve"> in the </w:t>
      </w:r>
      <w:r w:rsidR="00A91F66" w:rsidRPr="00A91F66">
        <w:rPr>
          <w:color w:val="000000"/>
          <w:kern w:val="2"/>
          <w:szCs w:val="28"/>
          <w:lang w:val="en-US"/>
        </w:rPr>
        <w:t>Court of Final Appeal</w:t>
      </w:r>
      <w:r w:rsidR="00783701">
        <w:rPr>
          <w:color w:val="000000"/>
          <w:kern w:val="2"/>
          <w:szCs w:val="28"/>
          <w:lang w:val="en-US"/>
        </w:rPr>
        <w:t>,</w:t>
      </w:r>
      <w:r w:rsidR="00A91F66">
        <w:rPr>
          <w:color w:val="000000"/>
          <w:szCs w:val="28"/>
        </w:rPr>
        <w:t xml:space="preserve"> with which the other members of the court agreed</w:t>
      </w:r>
      <w:r w:rsidR="00783701">
        <w:rPr>
          <w:color w:val="000000"/>
          <w:szCs w:val="28"/>
        </w:rPr>
        <w:t>,</w:t>
      </w:r>
      <w:r w:rsidR="00A91F66">
        <w:rPr>
          <w:color w:val="000000"/>
          <w:szCs w:val="28"/>
        </w:rPr>
        <w:t xml:space="preserve"> in </w:t>
      </w:r>
      <w:r w:rsidR="00A91F66" w:rsidRPr="00A91F66">
        <w:rPr>
          <w:i/>
          <w:color w:val="000000"/>
          <w:szCs w:val="28"/>
          <w:lang w:val="en-US"/>
        </w:rPr>
        <w:t>Secretary for Justice</w:t>
      </w:r>
      <w:r w:rsidR="00A91F66" w:rsidRPr="00A91F66">
        <w:rPr>
          <w:i/>
          <w:color w:val="000000"/>
          <w:szCs w:val="28"/>
        </w:rPr>
        <w:t xml:space="preserve"> v Lam Tat Ming &amp; Anor</w:t>
      </w:r>
      <w:r w:rsidR="00A91F66" w:rsidRPr="00A77B83">
        <w:rPr>
          <w:rStyle w:val="FootnoteReference"/>
          <w:color w:val="000000"/>
          <w:szCs w:val="28"/>
        </w:rPr>
        <w:footnoteReference w:id="17"/>
      </w:r>
      <w:r w:rsidR="00A91F66">
        <w:rPr>
          <w:color w:val="000000"/>
          <w:szCs w:val="28"/>
        </w:rPr>
        <w:t>.  At page 177E-J</w:t>
      </w:r>
      <w:r w:rsidR="00631138">
        <w:rPr>
          <w:color w:val="000000"/>
          <w:szCs w:val="28"/>
        </w:rPr>
        <w:t>,</w:t>
      </w:r>
      <w:r w:rsidR="00A91F66">
        <w:rPr>
          <w:color w:val="000000"/>
          <w:szCs w:val="28"/>
        </w:rPr>
        <w:t xml:space="preserve"> he said:</w:t>
      </w:r>
    </w:p>
    <w:p w:rsidR="006F1FC4" w:rsidRDefault="00D8088E" w:rsidP="006F1FC4">
      <w:pPr>
        <w:pStyle w:val="Quotation"/>
        <w:rPr>
          <w:lang w:val="en-US"/>
        </w:rPr>
      </w:pPr>
      <w:r>
        <w:rPr>
          <w:lang w:val="en-US"/>
        </w:rPr>
        <w:t>“</w:t>
      </w:r>
      <w:r>
        <w:rPr>
          <w:lang w:val="en-US"/>
        </w:rPr>
        <w:tab/>
      </w:r>
      <w:r w:rsidR="006F1FC4">
        <w:rPr>
          <w:lang w:val="en-US"/>
        </w:rPr>
        <w:t>The prosecution must establish that the statement made is a voluntary</w:t>
      </w:r>
      <w:r>
        <w:rPr>
          <w:lang w:val="en-US"/>
        </w:rPr>
        <w:t xml:space="preserve"> </w:t>
      </w:r>
      <w:r w:rsidR="006F1FC4">
        <w:rPr>
          <w:lang w:val="en-US"/>
        </w:rPr>
        <w:t>statement in the sense that it has not been obtained from the accused either</w:t>
      </w:r>
      <w:r>
        <w:rPr>
          <w:lang w:val="en-US"/>
        </w:rPr>
        <w:t xml:space="preserve"> </w:t>
      </w:r>
      <w:r w:rsidR="006F1FC4">
        <w:rPr>
          <w:lang w:val="en-US"/>
        </w:rPr>
        <w:t>by fear of prejudice or hope of advantage excited or held out by a person</w:t>
      </w:r>
      <w:r w:rsidR="006C7E5A">
        <w:rPr>
          <w:lang w:val="en-US"/>
        </w:rPr>
        <w:t xml:space="preserve"> </w:t>
      </w:r>
      <w:r w:rsidR="006F1FC4">
        <w:rPr>
          <w:lang w:val="en-US"/>
        </w:rPr>
        <w:t xml:space="preserve">in authority or by oppression. See </w:t>
      </w:r>
      <w:r w:rsidR="006F1FC4">
        <w:rPr>
          <w:rFonts w:ascii="Bembo-SemiboldItalic" w:hAnsi="Bembo-SemiboldItalic" w:cs="Bembo-SemiboldItalic"/>
          <w:i/>
          <w:iCs/>
          <w:lang w:val="en-US"/>
        </w:rPr>
        <w:t xml:space="preserve">Ibrahim v R </w:t>
      </w:r>
      <w:r w:rsidR="006F1FC4">
        <w:rPr>
          <w:lang w:val="en-US"/>
        </w:rPr>
        <w:t>[1914] AC 599 at p.609;</w:t>
      </w:r>
      <w:r w:rsidR="006C7E5A">
        <w:rPr>
          <w:lang w:val="en-US"/>
        </w:rPr>
        <w:t xml:space="preserve"> </w:t>
      </w:r>
      <w:r w:rsidR="006F1FC4">
        <w:rPr>
          <w:rFonts w:ascii="Bembo-SemiboldItalic" w:hAnsi="Bembo-SemiboldItalic" w:cs="Bembo-SemiboldItalic"/>
          <w:i/>
          <w:iCs/>
          <w:lang w:val="en-US"/>
        </w:rPr>
        <w:t xml:space="preserve">DPP v Ping Lin </w:t>
      </w:r>
      <w:r w:rsidR="006F1FC4">
        <w:rPr>
          <w:lang w:val="en-US"/>
        </w:rPr>
        <w:t>[1976] AC 574 at pp.597G–598A, 600D–F, where Lord</w:t>
      </w:r>
      <w:r w:rsidR="006C7E5A">
        <w:rPr>
          <w:lang w:val="en-US"/>
        </w:rPr>
        <w:t xml:space="preserve"> </w:t>
      </w:r>
      <w:proofErr w:type="spellStart"/>
      <w:r w:rsidR="006F1FC4">
        <w:rPr>
          <w:lang w:val="en-US"/>
        </w:rPr>
        <w:t>Hailsham</w:t>
      </w:r>
      <w:proofErr w:type="spellEnd"/>
      <w:r w:rsidR="006F1FC4">
        <w:rPr>
          <w:lang w:val="en-US"/>
        </w:rPr>
        <w:t xml:space="preserve"> read the word </w:t>
      </w:r>
      <w:r w:rsidR="00F8387F">
        <w:rPr>
          <w:lang w:val="en-US"/>
        </w:rPr>
        <w:t>‘</w:t>
      </w:r>
      <w:r w:rsidR="006F1FC4">
        <w:rPr>
          <w:lang w:val="en-US"/>
        </w:rPr>
        <w:t>exercised</w:t>
      </w:r>
      <w:r w:rsidR="00F8387F">
        <w:rPr>
          <w:lang w:val="en-US"/>
        </w:rPr>
        <w:t>’</w:t>
      </w:r>
      <w:r w:rsidR="006F1FC4">
        <w:rPr>
          <w:lang w:val="en-US"/>
        </w:rPr>
        <w:t xml:space="preserve"> in Lord Sumner’s classic test in</w:t>
      </w:r>
      <w:r w:rsidR="006C7E5A">
        <w:rPr>
          <w:lang w:val="en-US"/>
        </w:rPr>
        <w:t xml:space="preserve"> </w:t>
      </w:r>
      <w:r w:rsidR="006F1FC4">
        <w:rPr>
          <w:rFonts w:ascii="Bembo-SemiboldItalic" w:hAnsi="Bembo-SemiboldItalic" w:cs="Bembo-SemiboldItalic"/>
          <w:i/>
          <w:iCs/>
          <w:lang w:val="en-US"/>
        </w:rPr>
        <w:t xml:space="preserve">Ibrahim v R </w:t>
      </w:r>
      <w:r w:rsidR="006F1FC4">
        <w:rPr>
          <w:lang w:val="en-US"/>
        </w:rPr>
        <w:t xml:space="preserve">to mean </w:t>
      </w:r>
      <w:r w:rsidR="00F8387F">
        <w:rPr>
          <w:lang w:val="en-US"/>
        </w:rPr>
        <w:t>‘</w:t>
      </w:r>
      <w:r w:rsidR="006F1FC4">
        <w:rPr>
          <w:lang w:val="en-US"/>
        </w:rPr>
        <w:t>excited</w:t>
      </w:r>
      <w:r w:rsidR="00F8387F">
        <w:rPr>
          <w:lang w:val="en-US"/>
        </w:rPr>
        <w:t>’</w:t>
      </w:r>
      <w:r w:rsidR="006F1FC4">
        <w:rPr>
          <w:lang w:val="en-US"/>
        </w:rPr>
        <w:t xml:space="preserve"> and also added oppression to that test; </w:t>
      </w:r>
      <w:r w:rsidR="006F1FC4">
        <w:rPr>
          <w:rFonts w:ascii="Bembo-SemiboldItalic" w:hAnsi="Bembo-SemiboldItalic" w:cs="Bembo-SemiboldItalic"/>
          <w:i/>
          <w:iCs/>
          <w:lang w:val="en-US"/>
        </w:rPr>
        <w:t>R</w:t>
      </w:r>
      <w:r w:rsidR="006C7E5A">
        <w:rPr>
          <w:rFonts w:ascii="Bembo-SemiboldItalic" w:hAnsi="Bembo-SemiboldItalic" w:cs="Bembo-SemiboldItalic"/>
          <w:i/>
          <w:iCs/>
          <w:lang w:val="en-US"/>
        </w:rPr>
        <w:t xml:space="preserve"> </w:t>
      </w:r>
      <w:r w:rsidR="006F1FC4">
        <w:rPr>
          <w:rFonts w:ascii="Bembo-SemiboldItalic" w:hAnsi="Bembo-SemiboldItalic" w:cs="Bembo-SemiboldItalic"/>
          <w:i/>
          <w:iCs/>
          <w:lang w:val="en-US"/>
        </w:rPr>
        <w:t xml:space="preserve">v Lam Yip Ying </w:t>
      </w:r>
      <w:r w:rsidR="006F1FC4">
        <w:rPr>
          <w:lang w:val="en-US"/>
        </w:rPr>
        <w:t>[1984] HKLR 419. Oppression in this context is conduct</w:t>
      </w:r>
      <w:r w:rsidR="006C7E5A">
        <w:rPr>
          <w:lang w:val="en-US"/>
        </w:rPr>
        <w:t xml:space="preserve"> </w:t>
      </w:r>
      <w:r w:rsidR="006F1FC4">
        <w:rPr>
          <w:lang w:val="en-US"/>
        </w:rPr>
        <w:t>by a person in authority which tends to sap and does sap the will of the</w:t>
      </w:r>
      <w:r w:rsidR="006C7E5A">
        <w:rPr>
          <w:lang w:val="en-US"/>
        </w:rPr>
        <w:t xml:space="preserve"> </w:t>
      </w:r>
      <w:r w:rsidR="006F1FC4">
        <w:rPr>
          <w:lang w:val="en-US"/>
        </w:rPr>
        <w:t xml:space="preserve">accused so that he makes the statement. See </w:t>
      </w:r>
      <w:r w:rsidR="006F1FC4">
        <w:rPr>
          <w:rFonts w:ascii="Bembo-SemiboldItalic" w:hAnsi="Bembo-SemiboldItalic" w:cs="Bembo-SemiboldItalic"/>
          <w:i/>
          <w:iCs/>
          <w:lang w:val="en-US"/>
        </w:rPr>
        <w:t xml:space="preserve">R v Prager (No 2) </w:t>
      </w:r>
      <w:r w:rsidR="006F1FC4">
        <w:rPr>
          <w:lang w:val="en-US"/>
        </w:rPr>
        <w:t>[1972] 1</w:t>
      </w:r>
      <w:r w:rsidR="006C7E5A">
        <w:rPr>
          <w:lang w:val="en-US"/>
        </w:rPr>
        <w:t xml:space="preserve"> </w:t>
      </w:r>
      <w:r w:rsidR="006F1FC4">
        <w:rPr>
          <w:lang w:val="en-US"/>
        </w:rPr>
        <w:t xml:space="preserve">WLR 260; </w:t>
      </w:r>
      <w:r w:rsidR="006F1FC4">
        <w:rPr>
          <w:rFonts w:ascii="Bembo-SemiboldItalic" w:hAnsi="Bembo-SemiboldItalic" w:cs="Bembo-SemiboldItalic"/>
          <w:i/>
          <w:iCs/>
          <w:lang w:val="en-US"/>
        </w:rPr>
        <w:t xml:space="preserve">Li </w:t>
      </w:r>
      <w:proofErr w:type="spellStart"/>
      <w:r w:rsidR="006F1FC4">
        <w:rPr>
          <w:rFonts w:ascii="Bembo-SemiboldItalic" w:hAnsi="Bembo-SemiboldItalic" w:cs="Bembo-SemiboldItalic"/>
          <w:i/>
          <w:iCs/>
          <w:lang w:val="en-US"/>
        </w:rPr>
        <w:t>Wai</w:t>
      </w:r>
      <w:proofErr w:type="spellEnd"/>
      <w:r w:rsidR="006F1FC4">
        <w:rPr>
          <w:rFonts w:ascii="Bembo-SemiboldItalic" w:hAnsi="Bembo-SemiboldItalic" w:cs="Bembo-SemiboldItalic"/>
          <w:i/>
          <w:iCs/>
          <w:lang w:val="en-US"/>
        </w:rPr>
        <w:t xml:space="preserve"> Fat &amp; Others v R </w:t>
      </w:r>
      <w:r w:rsidR="006F1FC4">
        <w:rPr>
          <w:lang w:val="en-US"/>
        </w:rPr>
        <w:t>[1977] HKLR 531.</w:t>
      </w:r>
    </w:p>
    <w:p w:rsidR="006F1FC4" w:rsidRDefault="006C7E5A" w:rsidP="006F1FC4">
      <w:pPr>
        <w:pStyle w:val="Quotation"/>
        <w:rPr>
          <w:lang w:val="en-US"/>
        </w:rPr>
      </w:pPr>
      <w:r>
        <w:rPr>
          <w:lang w:val="en-US"/>
        </w:rPr>
        <w:tab/>
      </w:r>
      <w:r w:rsidR="006F1FC4">
        <w:rPr>
          <w:lang w:val="en-US"/>
        </w:rPr>
        <w:t>Further, a statement signed by the accused as a result of a fraudulent</w:t>
      </w:r>
      <w:r>
        <w:rPr>
          <w:lang w:val="en-US"/>
        </w:rPr>
        <w:t xml:space="preserve"> </w:t>
      </w:r>
      <w:r w:rsidR="006F1FC4">
        <w:rPr>
          <w:lang w:val="en-US"/>
        </w:rPr>
        <w:t>misrepresentation made by a person in authority as to the character</w:t>
      </w:r>
      <w:r>
        <w:rPr>
          <w:lang w:val="en-US"/>
        </w:rPr>
        <w:t xml:space="preserve"> </w:t>
      </w:r>
      <w:r w:rsidR="006F1FC4">
        <w:rPr>
          <w:lang w:val="en-US"/>
        </w:rPr>
        <w:t xml:space="preserve">of the document is involuntary. See </w:t>
      </w:r>
      <w:proofErr w:type="spellStart"/>
      <w:r w:rsidR="006F1FC4">
        <w:rPr>
          <w:rFonts w:ascii="Bembo-SemiboldItalic" w:hAnsi="Bembo-SemiboldItalic" w:cs="Bembo-SemiboldItalic"/>
          <w:i/>
          <w:iCs/>
          <w:lang w:val="en-US"/>
        </w:rPr>
        <w:t>Ajodha</w:t>
      </w:r>
      <w:proofErr w:type="spellEnd"/>
      <w:r w:rsidR="006F1FC4">
        <w:rPr>
          <w:rFonts w:ascii="Bembo-SemiboldItalic" w:hAnsi="Bembo-SemiboldItalic" w:cs="Bembo-SemiboldItalic"/>
          <w:i/>
          <w:iCs/>
          <w:lang w:val="en-US"/>
        </w:rPr>
        <w:t xml:space="preserve"> v Trinidad and Tobago</w:t>
      </w:r>
      <w:r>
        <w:rPr>
          <w:rFonts w:ascii="Bembo-SemiboldItalic" w:hAnsi="Bembo-SemiboldItalic" w:cs="Bembo-SemiboldItalic"/>
          <w:i/>
          <w:iCs/>
          <w:lang w:val="en-US"/>
        </w:rPr>
        <w:t xml:space="preserve"> </w:t>
      </w:r>
      <w:r w:rsidR="006F1FC4">
        <w:rPr>
          <w:lang w:val="en-US"/>
        </w:rPr>
        <w:t>[1982] AC 204 at p.221F–G where a police officer had falsely informed</w:t>
      </w:r>
      <w:r>
        <w:rPr>
          <w:lang w:val="en-US"/>
        </w:rPr>
        <w:t xml:space="preserve"> </w:t>
      </w:r>
      <w:r w:rsidR="006F1FC4">
        <w:rPr>
          <w:lang w:val="en-US"/>
        </w:rPr>
        <w:t>the accused that he was signing a document of an entirely different</w:t>
      </w:r>
      <w:r>
        <w:rPr>
          <w:lang w:val="en-US"/>
        </w:rPr>
        <w:t xml:space="preserve"> </w:t>
      </w:r>
      <w:r w:rsidR="006F1FC4">
        <w:rPr>
          <w:lang w:val="en-US"/>
        </w:rPr>
        <w:t>character from that which he did sign.</w:t>
      </w:r>
    </w:p>
    <w:p w:rsidR="006F1FC4" w:rsidRDefault="006C7E5A" w:rsidP="006F1FC4">
      <w:pPr>
        <w:pStyle w:val="Quotation"/>
        <w:rPr>
          <w:lang w:val="en-US"/>
        </w:rPr>
      </w:pPr>
      <w:r>
        <w:rPr>
          <w:lang w:val="en-US"/>
        </w:rPr>
        <w:tab/>
      </w:r>
      <w:r w:rsidR="006F1FC4">
        <w:rPr>
          <w:lang w:val="en-US"/>
        </w:rPr>
        <w:t>In relation to the person in authority, it is important that the accused</w:t>
      </w:r>
      <w:r>
        <w:rPr>
          <w:lang w:val="en-US"/>
        </w:rPr>
        <w:t xml:space="preserve"> </w:t>
      </w:r>
      <w:r w:rsidR="006F1FC4">
        <w:rPr>
          <w:lang w:val="en-US"/>
        </w:rPr>
        <w:t>actually perceives the person in question to be a person in authority.</w:t>
      </w:r>
      <w:r>
        <w:rPr>
          <w:lang w:val="en-US"/>
        </w:rPr>
        <w:t xml:space="preserve"> </w:t>
      </w:r>
      <w:r w:rsidR="006F1FC4">
        <w:rPr>
          <w:lang w:val="en-US"/>
        </w:rPr>
        <w:t xml:space="preserve">See </w:t>
      </w:r>
      <w:proofErr w:type="spellStart"/>
      <w:r w:rsidR="006F1FC4">
        <w:rPr>
          <w:rFonts w:ascii="Bembo-SemiboldItalic" w:hAnsi="Bembo-SemiboldItalic" w:cs="Bembo-SemiboldItalic"/>
          <w:i/>
          <w:iCs/>
          <w:lang w:val="en-US"/>
        </w:rPr>
        <w:t>Deokinanan</w:t>
      </w:r>
      <w:proofErr w:type="spellEnd"/>
      <w:r w:rsidR="006F1FC4">
        <w:rPr>
          <w:rFonts w:ascii="Bembo-SemiboldItalic" w:hAnsi="Bembo-SemiboldItalic" w:cs="Bembo-SemiboldItalic"/>
          <w:i/>
          <w:iCs/>
          <w:lang w:val="en-US"/>
        </w:rPr>
        <w:t xml:space="preserve"> v The Queen </w:t>
      </w:r>
      <w:r w:rsidR="006F1FC4">
        <w:rPr>
          <w:lang w:val="en-US"/>
        </w:rPr>
        <w:t>[1969] 1 AC 20.</w:t>
      </w:r>
      <w:r>
        <w:rPr>
          <w:lang w:val="en-US"/>
        </w:rPr>
        <w:t>”</w:t>
      </w:r>
    </w:p>
    <w:p w:rsidR="00631138" w:rsidRDefault="00631138" w:rsidP="004F620E">
      <w:pPr>
        <w:pStyle w:val="Final"/>
        <w:numPr>
          <w:ilvl w:val="0"/>
          <w:numId w:val="0"/>
        </w:numPr>
        <w:rPr>
          <w:color w:val="000000"/>
          <w:szCs w:val="28"/>
        </w:rPr>
      </w:pPr>
      <w:r>
        <w:rPr>
          <w:color w:val="000000"/>
          <w:szCs w:val="28"/>
        </w:rPr>
        <w:t>The court also has a residual discretion to exclude a voluntary admission if it would result in unfairness to the accused.</w:t>
      </w:r>
      <w:r>
        <w:rPr>
          <w:rStyle w:val="FootnoteReference"/>
          <w:color w:val="000000"/>
          <w:szCs w:val="28"/>
        </w:rPr>
        <w:footnoteReference w:id="18"/>
      </w:r>
      <w:r>
        <w:rPr>
          <w:color w:val="000000"/>
          <w:szCs w:val="28"/>
        </w:rPr>
        <w:t xml:space="preserve"> </w:t>
      </w:r>
    </w:p>
    <w:p w:rsidR="00A91F66" w:rsidRDefault="007227EA" w:rsidP="006F1FC4">
      <w:pPr>
        <w:pStyle w:val="Final"/>
        <w:ind w:left="0" w:firstLine="0"/>
        <w:rPr>
          <w:color w:val="000000"/>
          <w:szCs w:val="28"/>
        </w:rPr>
      </w:pPr>
      <w:r>
        <w:rPr>
          <w:color w:val="000000"/>
          <w:szCs w:val="28"/>
        </w:rPr>
        <w:t>Section 76(2)(b) of PACE</w:t>
      </w:r>
      <w:r w:rsidR="00513E8D">
        <w:rPr>
          <w:color w:val="000000"/>
          <w:szCs w:val="28"/>
        </w:rPr>
        <w:t>, however,</w:t>
      </w:r>
      <w:r>
        <w:rPr>
          <w:color w:val="000000"/>
          <w:szCs w:val="28"/>
        </w:rPr>
        <w:t xml:space="preserve"> refers to things said or done “likely … to render unreliable” the confession being challenged.  </w:t>
      </w:r>
      <w:r>
        <w:rPr>
          <w:color w:val="000000"/>
          <w:szCs w:val="28"/>
        </w:rPr>
        <w:lastRenderedPageBreak/>
        <w:t xml:space="preserve">“Unreliable” was construed by the English </w:t>
      </w:r>
      <w:r w:rsidRPr="007227EA">
        <w:rPr>
          <w:color w:val="000000"/>
          <w:szCs w:val="28"/>
        </w:rPr>
        <w:t>Court of Appeal</w:t>
      </w:r>
      <w:r>
        <w:rPr>
          <w:color w:val="000000"/>
          <w:szCs w:val="28"/>
        </w:rPr>
        <w:t xml:space="preserve"> in </w:t>
      </w:r>
      <w:r w:rsidRPr="00F8387F">
        <w:rPr>
          <w:i/>
          <w:color w:val="000000"/>
          <w:szCs w:val="28"/>
        </w:rPr>
        <w:t>Crampton</w:t>
      </w:r>
      <w:r>
        <w:rPr>
          <w:color w:val="000000"/>
          <w:szCs w:val="28"/>
        </w:rPr>
        <w:t xml:space="preserve"> </w:t>
      </w:r>
      <w:r w:rsidR="006E36EA">
        <w:rPr>
          <w:color w:val="000000"/>
          <w:szCs w:val="28"/>
        </w:rPr>
        <w:t>and it said:</w:t>
      </w:r>
    </w:p>
    <w:p w:rsidR="006E36EA" w:rsidRDefault="006E36EA" w:rsidP="00054942">
      <w:pPr>
        <w:pStyle w:val="Quotation"/>
      </w:pPr>
      <w:r>
        <w:t>“The word</w:t>
      </w:r>
      <w:r w:rsidR="00F8387F">
        <w:t xml:space="preserve"> ‘</w:t>
      </w:r>
      <w:r w:rsidR="00862DFB">
        <w:t>u</w:t>
      </w:r>
      <w:r>
        <w:t>nreliable</w:t>
      </w:r>
      <w:r w:rsidR="00F8387F">
        <w:t>’</w:t>
      </w:r>
      <w:r>
        <w:t xml:space="preserve">, in our </w:t>
      </w:r>
      <w:r w:rsidRPr="006E36EA">
        <w:t>judgment</w:t>
      </w:r>
      <w:r>
        <w:t xml:space="preserve">, means </w:t>
      </w:r>
      <w:r w:rsidR="00F8387F">
        <w:t>‘</w:t>
      </w:r>
      <w:r>
        <w:t>cannot be relied upon as being the truth.</w:t>
      </w:r>
      <w:r w:rsidR="00F8387F">
        <w:t>’</w:t>
      </w:r>
      <w:r>
        <w:t xml:space="preserve">  What the provision of subsection 2(b) is concerned with is the nature and quality of the words spoken or the things done by the police which are likely to, in the </w:t>
      </w:r>
      <w:r w:rsidRPr="006E36EA">
        <w:t>circumstances</w:t>
      </w:r>
      <w:r>
        <w:t xml:space="preserve"> existing at the time render the confession unreliable in the sense that it is not true.”</w:t>
      </w:r>
      <w:r w:rsidR="00B70866" w:rsidRPr="00B70866">
        <w:rPr>
          <w:rStyle w:val="FootnoteReference"/>
          <w:color w:val="000000"/>
          <w:szCs w:val="28"/>
        </w:rPr>
        <w:t xml:space="preserve"> </w:t>
      </w:r>
      <w:r w:rsidR="00B70866">
        <w:rPr>
          <w:rStyle w:val="FootnoteReference"/>
          <w:color w:val="000000"/>
          <w:szCs w:val="28"/>
        </w:rPr>
        <w:footnoteReference w:id="19"/>
      </w:r>
    </w:p>
    <w:p w:rsidR="002A2616" w:rsidRPr="002A2616" w:rsidRDefault="00054942" w:rsidP="006F1FC4">
      <w:pPr>
        <w:pStyle w:val="Final"/>
        <w:ind w:left="0" w:firstLine="0"/>
        <w:rPr>
          <w:color w:val="000000"/>
          <w:szCs w:val="28"/>
        </w:rPr>
      </w:pPr>
      <w:r>
        <w:rPr>
          <w:color w:val="000000"/>
          <w:szCs w:val="28"/>
        </w:rPr>
        <w:t>Thus, it would appear that in terms of the common law approach to the treatment of admission</w:t>
      </w:r>
      <w:r w:rsidR="00F8387F">
        <w:rPr>
          <w:color w:val="000000"/>
          <w:szCs w:val="28"/>
        </w:rPr>
        <w:t>s</w:t>
      </w:r>
      <w:r>
        <w:rPr>
          <w:color w:val="000000"/>
          <w:szCs w:val="28"/>
        </w:rPr>
        <w:t xml:space="preserve"> by an accused the </w:t>
      </w:r>
      <w:r w:rsidRPr="00054942">
        <w:rPr>
          <w:color w:val="000000"/>
          <w:szCs w:val="28"/>
        </w:rPr>
        <w:t>section</w:t>
      </w:r>
      <w:r>
        <w:rPr>
          <w:color w:val="000000"/>
          <w:szCs w:val="28"/>
        </w:rPr>
        <w:t xml:space="preserve"> 76(2)(b) provision is concerned with </w:t>
      </w:r>
      <w:r w:rsidR="003F2F47">
        <w:rPr>
          <w:color w:val="000000"/>
          <w:szCs w:val="28"/>
        </w:rPr>
        <w:t xml:space="preserve">conduct broader than the concept of oppression which could impact upon </w:t>
      </w:r>
      <w:r w:rsidR="00871E3C">
        <w:rPr>
          <w:color w:val="000000"/>
          <w:szCs w:val="28"/>
        </w:rPr>
        <w:t>any</w:t>
      </w:r>
      <w:r w:rsidR="003F2F47">
        <w:rPr>
          <w:color w:val="000000"/>
          <w:szCs w:val="28"/>
        </w:rPr>
        <w:t xml:space="preserve"> confession </w:t>
      </w:r>
      <w:r w:rsidR="00EE687A">
        <w:rPr>
          <w:color w:val="000000"/>
          <w:szCs w:val="28"/>
        </w:rPr>
        <w:t>i</w:t>
      </w:r>
      <w:r w:rsidR="003F2F47">
        <w:rPr>
          <w:color w:val="000000"/>
          <w:szCs w:val="28"/>
        </w:rPr>
        <w:t xml:space="preserve">n the adverse way stated by </w:t>
      </w:r>
      <w:r w:rsidR="003F2F47" w:rsidRPr="003F2F47">
        <w:rPr>
          <w:color w:val="000000"/>
          <w:szCs w:val="28"/>
        </w:rPr>
        <w:t>section</w:t>
      </w:r>
      <w:r w:rsidR="003A11D1">
        <w:rPr>
          <w:color w:val="000000"/>
          <w:szCs w:val="28"/>
          <w:lang w:val="en-US"/>
        </w:rPr>
        <w:t> </w:t>
      </w:r>
      <w:r w:rsidR="003F2F47">
        <w:rPr>
          <w:color w:val="000000"/>
          <w:szCs w:val="28"/>
        </w:rPr>
        <w:t>76(2)(b)</w:t>
      </w:r>
      <w:r w:rsidR="00862DFB">
        <w:rPr>
          <w:color w:val="000000"/>
          <w:szCs w:val="28"/>
        </w:rPr>
        <w:t>,</w:t>
      </w:r>
      <w:r w:rsidR="003F2F47">
        <w:rPr>
          <w:color w:val="000000"/>
          <w:szCs w:val="28"/>
        </w:rPr>
        <w:t xml:space="preserve"> </w:t>
      </w:r>
      <w:proofErr w:type="spellStart"/>
      <w:r w:rsidR="003F2F47">
        <w:rPr>
          <w:color w:val="000000"/>
          <w:szCs w:val="28"/>
        </w:rPr>
        <w:t>ie</w:t>
      </w:r>
      <w:proofErr w:type="spellEnd"/>
      <w:r w:rsidR="003F2F47">
        <w:rPr>
          <w:color w:val="000000"/>
          <w:szCs w:val="28"/>
        </w:rPr>
        <w:t xml:space="preserve"> by making it likely that </w:t>
      </w:r>
      <w:r w:rsidR="00871E3C">
        <w:rPr>
          <w:color w:val="000000"/>
          <w:szCs w:val="28"/>
        </w:rPr>
        <w:t xml:space="preserve">any </w:t>
      </w:r>
      <w:r w:rsidR="003F2F47">
        <w:rPr>
          <w:color w:val="000000"/>
          <w:szCs w:val="28"/>
        </w:rPr>
        <w:t>confession is rendered unreliable.</w:t>
      </w:r>
      <w:r w:rsidR="003F2F47">
        <w:rPr>
          <w:color w:val="000000"/>
          <w:szCs w:val="28"/>
          <w:lang w:val="en-US"/>
        </w:rPr>
        <w:t xml:space="preserve">  Being conduct, whether improper or not, that is broader than oppression, it presumably could extend to conduct that may be outside the common law concept of voluntariness.  </w:t>
      </w:r>
    </w:p>
    <w:p w:rsidR="00677FCC" w:rsidRDefault="00783701" w:rsidP="006F1FC4">
      <w:pPr>
        <w:pStyle w:val="Final"/>
        <w:ind w:left="0" w:firstLine="0"/>
        <w:rPr>
          <w:color w:val="000000"/>
          <w:szCs w:val="28"/>
        </w:rPr>
      </w:pPr>
      <w:r>
        <w:rPr>
          <w:color w:val="000000"/>
          <w:szCs w:val="28"/>
        </w:rPr>
        <w:t xml:space="preserve">But, again it must be emphasised, under PACE the confession does not have </w:t>
      </w:r>
      <w:r w:rsidR="003F2F47">
        <w:rPr>
          <w:color w:val="000000"/>
          <w:szCs w:val="28"/>
        </w:rPr>
        <w:t xml:space="preserve">to be </w:t>
      </w:r>
      <w:r>
        <w:rPr>
          <w:color w:val="000000"/>
          <w:szCs w:val="28"/>
        </w:rPr>
        <w:t xml:space="preserve">proven to </w:t>
      </w:r>
      <w:r w:rsidR="00FF549C">
        <w:rPr>
          <w:color w:val="000000"/>
          <w:szCs w:val="28"/>
        </w:rPr>
        <w:t xml:space="preserve">be, </w:t>
      </w:r>
      <w:r>
        <w:rPr>
          <w:color w:val="000000"/>
          <w:szCs w:val="28"/>
        </w:rPr>
        <w:t>in fact</w:t>
      </w:r>
      <w:r w:rsidR="00FF549C">
        <w:rPr>
          <w:color w:val="000000"/>
          <w:szCs w:val="28"/>
        </w:rPr>
        <w:t>,</w:t>
      </w:r>
      <w:r w:rsidR="003F2F47">
        <w:rPr>
          <w:color w:val="000000"/>
          <w:szCs w:val="28"/>
        </w:rPr>
        <w:t xml:space="preserve"> </w:t>
      </w:r>
      <w:r>
        <w:rPr>
          <w:color w:val="000000"/>
          <w:szCs w:val="28"/>
        </w:rPr>
        <w:t xml:space="preserve">unreliable as to its truth, only that things were </w:t>
      </w:r>
      <w:r w:rsidR="003F2F47">
        <w:rPr>
          <w:color w:val="000000"/>
          <w:szCs w:val="28"/>
        </w:rPr>
        <w:t xml:space="preserve">said or done which, in the </w:t>
      </w:r>
      <w:r w:rsidR="003F2F47" w:rsidRPr="003F2F47">
        <w:rPr>
          <w:color w:val="000000"/>
          <w:szCs w:val="28"/>
        </w:rPr>
        <w:t>circumstances</w:t>
      </w:r>
      <w:r w:rsidR="003F2F47">
        <w:rPr>
          <w:color w:val="000000"/>
          <w:szCs w:val="28"/>
        </w:rPr>
        <w:t xml:space="preserve"> existing at the time, </w:t>
      </w:r>
      <w:r>
        <w:rPr>
          <w:color w:val="000000"/>
          <w:szCs w:val="28"/>
        </w:rPr>
        <w:t xml:space="preserve">rendered </w:t>
      </w:r>
      <w:r w:rsidR="002F2FD2" w:rsidRPr="00631138">
        <w:rPr>
          <w:i/>
          <w:color w:val="000000"/>
          <w:szCs w:val="28"/>
        </w:rPr>
        <w:t>any</w:t>
      </w:r>
      <w:r w:rsidR="002F2FD2">
        <w:rPr>
          <w:color w:val="000000"/>
          <w:szCs w:val="28"/>
        </w:rPr>
        <w:t xml:space="preserve"> confession</w:t>
      </w:r>
      <w:r>
        <w:rPr>
          <w:color w:val="000000"/>
          <w:szCs w:val="28"/>
        </w:rPr>
        <w:t xml:space="preserve"> likely to be unreliable</w:t>
      </w:r>
      <w:r w:rsidR="00631138">
        <w:rPr>
          <w:color w:val="000000"/>
          <w:szCs w:val="28"/>
        </w:rPr>
        <w:t xml:space="preserve"> or </w:t>
      </w:r>
      <w:r>
        <w:rPr>
          <w:color w:val="000000"/>
          <w:szCs w:val="28"/>
        </w:rPr>
        <w:t xml:space="preserve">untrue. </w:t>
      </w:r>
      <w:r w:rsidR="003F2F47">
        <w:rPr>
          <w:color w:val="000000"/>
          <w:szCs w:val="28"/>
        </w:rPr>
        <w:t xml:space="preserve"> This would suggest that </w:t>
      </w:r>
      <w:r w:rsidR="003F2F47" w:rsidRPr="003F2F47">
        <w:rPr>
          <w:color w:val="000000"/>
          <w:szCs w:val="28"/>
        </w:rPr>
        <w:t>section</w:t>
      </w:r>
      <w:r w:rsidR="003F2F47">
        <w:rPr>
          <w:color w:val="000000"/>
          <w:szCs w:val="28"/>
        </w:rPr>
        <w:t xml:space="preserve"> 76(2)(b)</w:t>
      </w:r>
      <w:r w:rsidR="002A2616">
        <w:rPr>
          <w:color w:val="000000"/>
          <w:szCs w:val="28"/>
        </w:rPr>
        <w:t xml:space="preserve"> is concerned</w:t>
      </w:r>
      <w:r w:rsidR="00FF549C">
        <w:rPr>
          <w:color w:val="000000"/>
          <w:szCs w:val="28"/>
        </w:rPr>
        <w:t xml:space="preserve"> with the issue of the voluntariness of the confession in a broader </w:t>
      </w:r>
      <w:r w:rsidR="00631138">
        <w:rPr>
          <w:color w:val="000000"/>
          <w:szCs w:val="28"/>
        </w:rPr>
        <w:t xml:space="preserve">sense </w:t>
      </w:r>
      <w:r w:rsidR="00FF549C">
        <w:rPr>
          <w:color w:val="000000"/>
          <w:szCs w:val="28"/>
        </w:rPr>
        <w:t>than section 76(2)(a) and perhaps also the common law</w:t>
      </w:r>
      <w:r w:rsidR="002F2FD2">
        <w:rPr>
          <w:color w:val="000000"/>
          <w:szCs w:val="28"/>
        </w:rPr>
        <w:t>.</w:t>
      </w:r>
      <w:r w:rsidR="003F2F47">
        <w:rPr>
          <w:color w:val="000000"/>
          <w:szCs w:val="28"/>
        </w:rPr>
        <w:t xml:space="preserve"> </w:t>
      </w:r>
    </w:p>
    <w:p w:rsidR="00783701" w:rsidRDefault="00677FCC" w:rsidP="006F1FC4">
      <w:pPr>
        <w:pStyle w:val="Final"/>
        <w:ind w:left="0" w:firstLine="0"/>
        <w:rPr>
          <w:color w:val="000000"/>
          <w:szCs w:val="28"/>
        </w:rPr>
      </w:pPr>
      <w:r>
        <w:rPr>
          <w:color w:val="000000"/>
          <w:szCs w:val="28"/>
        </w:rPr>
        <w:t xml:space="preserve">The purpose </w:t>
      </w:r>
      <w:r w:rsidR="002F2FD2">
        <w:rPr>
          <w:color w:val="000000"/>
          <w:szCs w:val="28"/>
        </w:rPr>
        <w:t>of</w:t>
      </w:r>
      <w:r>
        <w:rPr>
          <w:color w:val="000000"/>
          <w:szCs w:val="28"/>
        </w:rPr>
        <w:t xml:space="preserve"> this necessarily limited </w:t>
      </w:r>
      <w:r w:rsidR="00631138">
        <w:rPr>
          <w:color w:val="000000"/>
          <w:szCs w:val="28"/>
        </w:rPr>
        <w:t xml:space="preserve">consideration of </w:t>
      </w:r>
      <w:r>
        <w:rPr>
          <w:color w:val="000000"/>
          <w:szCs w:val="28"/>
        </w:rPr>
        <w:t xml:space="preserve">the English law that has developed </w:t>
      </w:r>
      <w:r w:rsidRPr="00A91F66">
        <w:rPr>
          <w:color w:val="000000"/>
          <w:szCs w:val="28"/>
          <w:lang w:val="en-US"/>
        </w:rPr>
        <w:t>in respect of</w:t>
      </w:r>
      <w:r>
        <w:rPr>
          <w:color w:val="000000"/>
          <w:szCs w:val="28"/>
        </w:rPr>
        <w:t xml:space="preserve"> </w:t>
      </w:r>
      <w:r w:rsidRPr="00A91F66">
        <w:rPr>
          <w:color w:val="000000"/>
          <w:szCs w:val="28"/>
        </w:rPr>
        <w:t>section</w:t>
      </w:r>
      <w:r>
        <w:rPr>
          <w:color w:val="000000"/>
          <w:szCs w:val="28"/>
        </w:rPr>
        <w:t xml:space="preserve"> 76(2) is to demonstrate that a body of case law has developed in England</w:t>
      </w:r>
      <w:r w:rsidR="00862DFB">
        <w:rPr>
          <w:color w:val="000000"/>
          <w:szCs w:val="28"/>
        </w:rPr>
        <w:t xml:space="preserve"> and Wales</w:t>
      </w:r>
      <w:r>
        <w:rPr>
          <w:color w:val="000000"/>
          <w:szCs w:val="28"/>
        </w:rPr>
        <w:t xml:space="preserve"> in relation to </w:t>
      </w:r>
      <w:r>
        <w:rPr>
          <w:color w:val="000000"/>
          <w:szCs w:val="28"/>
        </w:rPr>
        <w:lastRenderedPageBreak/>
        <w:t xml:space="preserve">the construction of the section.  This is particularly important in respect of section 76(2)(b) for if the English law on this provision has become part of </w:t>
      </w:r>
      <w:r w:rsidRPr="00677FCC">
        <w:rPr>
          <w:color w:val="000000"/>
          <w:szCs w:val="28"/>
          <w:lang w:val="en-US" w:eastAsia="zh-TW"/>
        </w:rPr>
        <w:t>Hong Kong</w:t>
      </w:r>
      <w:r>
        <w:rPr>
          <w:color w:val="000000"/>
          <w:szCs w:val="28"/>
        </w:rPr>
        <w:t xml:space="preserve"> law then</w:t>
      </w:r>
      <w:r w:rsidR="00696888">
        <w:rPr>
          <w:color w:val="000000"/>
          <w:szCs w:val="28"/>
        </w:rPr>
        <w:t xml:space="preserve">, arguably, it may </w:t>
      </w:r>
      <w:r>
        <w:rPr>
          <w:color w:val="000000"/>
          <w:szCs w:val="28"/>
        </w:rPr>
        <w:t xml:space="preserve">be an extension of </w:t>
      </w:r>
      <w:r w:rsidR="00696888">
        <w:rPr>
          <w:color w:val="000000"/>
          <w:szCs w:val="28"/>
        </w:rPr>
        <w:t xml:space="preserve">the </w:t>
      </w:r>
      <w:r>
        <w:rPr>
          <w:color w:val="000000"/>
          <w:szCs w:val="28"/>
        </w:rPr>
        <w:t>common law</w:t>
      </w:r>
      <w:r w:rsidR="00696888">
        <w:rPr>
          <w:color w:val="000000"/>
          <w:szCs w:val="28"/>
        </w:rPr>
        <w:t xml:space="preserve"> concept of voluntariness.</w:t>
      </w:r>
      <w:r w:rsidR="003F2F47">
        <w:rPr>
          <w:color w:val="000000"/>
          <w:szCs w:val="28"/>
        </w:rPr>
        <w:t xml:space="preserve"> </w:t>
      </w:r>
    </w:p>
    <w:p w:rsidR="00B12B2A" w:rsidRDefault="00B12B2A" w:rsidP="00B12B2A">
      <w:pPr>
        <w:pStyle w:val="H-1"/>
      </w:pPr>
      <w:r>
        <w:t xml:space="preserve">R v </w:t>
      </w:r>
      <w:proofErr w:type="spellStart"/>
      <w:r>
        <w:t>Mushtaq</w:t>
      </w:r>
      <w:proofErr w:type="spellEnd"/>
      <w:r w:rsidRPr="00B12B2A">
        <w:rPr>
          <w:rStyle w:val="FootnoteReference"/>
          <w:i w:val="0"/>
          <w:color w:val="000000"/>
          <w:szCs w:val="28"/>
        </w:rPr>
        <w:footnoteReference w:id="20"/>
      </w:r>
    </w:p>
    <w:p w:rsidR="002A2616" w:rsidRDefault="00054942" w:rsidP="006F1FC4">
      <w:pPr>
        <w:pStyle w:val="Final"/>
        <w:ind w:left="0" w:firstLine="0"/>
        <w:rPr>
          <w:color w:val="000000"/>
          <w:szCs w:val="28"/>
        </w:rPr>
      </w:pPr>
      <w:r>
        <w:rPr>
          <w:color w:val="000000"/>
          <w:szCs w:val="28"/>
        </w:rPr>
        <w:t xml:space="preserve">And then came the </w:t>
      </w:r>
      <w:r w:rsidRPr="00054942">
        <w:rPr>
          <w:color w:val="000000"/>
          <w:szCs w:val="28"/>
        </w:rPr>
        <w:t>judgment</w:t>
      </w:r>
      <w:r>
        <w:rPr>
          <w:color w:val="000000"/>
          <w:szCs w:val="28"/>
        </w:rPr>
        <w:t xml:space="preserve"> of the House of Lords in </w:t>
      </w:r>
      <w:r w:rsidR="00B70866" w:rsidRPr="00B70866">
        <w:rPr>
          <w:i/>
          <w:color w:val="000000"/>
          <w:szCs w:val="28"/>
        </w:rPr>
        <w:t>R</w:t>
      </w:r>
      <w:r w:rsidR="00B70866">
        <w:rPr>
          <w:i/>
          <w:color w:val="000000"/>
          <w:szCs w:val="28"/>
        </w:rPr>
        <w:t xml:space="preserve"> v </w:t>
      </w:r>
      <w:proofErr w:type="spellStart"/>
      <w:r w:rsidRPr="00054942">
        <w:rPr>
          <w:i/>
          <w:color w:val="000000"/>
          <w:szCs w:val="28"/>
        </w:rPr>
        <w:t>Mushtaq</w:t>
      </w:r>
      <w:proofErr w:type="spellEnd"/>
      <w:r>
        <w:rPr>
          <w:color w:val="000000"/>
          <w:szCs w:val="28"/>
        </w:rPr>
        <w:t>.</w:t>
      </w:r>
      <w:r w:rsidR="002A2616">
        <w:rPr>
          <w:color w:val="000000"/>
          <w:szCs w:val="28"/>
        </w:rPr>
        <w:t xml:space="preserve">  We shall not discuss it in any great detail as that </w:t>
      </w:r>
      <w:r w:rsidR="00677FCC">
        <w:rPr>
          <w:color w:val="000000"/>
          <w:szCs w:val="28"/>
        </w:rPr>
        <w:t xml:space="preserve">has been </w:t>
      </w:r>
      <w:r w:rsidR="002A2616">
        <w:rPr>
          <w:color w:val="000000"/>
          <w:szCs w:val="28"/>
        </w:rPr>
        <w:t xml:space="preserve">done by the </w:t>
      </w:r>
      <w:r w:rsidR="002A2616" w:rsidRPr="002A2616">
        <w:rPr>
          <w:color w:val="000000"/>
          <w:kern w:val="2"/>
          <w:szCs w:val="28"/>
          <w:lang w:val="en-US"/>
        </w:rPr>
        <w:t>Court of Final Appeal</w:t>
      </w:r>
      <w:r w:rsidR="002A2616">
        <w:rPr>
          <w:color w:val="000000"/>
          <w:szCs w:val="28"/>
        </w:rPr>
        <w:t xml:space="preserve"> in </w:t>
      </w:r>
      <w:r w:rsidR="002A2616" w:rsidRPr="002A2616">
        <w:rPr>
          <w:i/>
          <w:color w:val="000000"/>
          <w:szCs w:val="28"/>
        </w:rPr>
        <w:t xml:space="preserve">HKSAR v Pang </w:t>
      </w:r>
      <w:proofErr w:type="spellStart"/>
      <w:r w:rsidR="002A2616" w:rsidRPr="002A2616">
        <w:rPr>
          <w:i/>
          <w:color w:val="000000"/>
          <w:szCs w:val="28"/>
        </w:rPr>
        <w:t>Hiu</w:t>
      </w:r>
      <w:proofErr w:type="spellEnd"/>
      <w:r w:rsidR="002A2616" w:rsidRPr="002A2616">
        <w:rPr>
          <w:i/>
          <w:color w:val="000000"/>
          <w:szCs w:val="28"/>
        </w:rPr>
        <w:t xml:space="preserve"> San</w:t>
      </w:r>
      <w:r w:rsidR="002A2616">
        <w:rPr>
          <w:rStyle w:val="FootnoteReference"/>
          <w:color w:val="000000"/>
          <w:szCs w:val="28"/>
        </w:rPr>
        <w:footnoteReference w:id="21"/>
      </w:r>
      <w:r w:rsidR="007155BE">
        <w:rPr>
          <w:i/>
          <w:color w:val="000000"/>
          <w:szCs w:val="28"/>
        </w:rPr>
        <w:t>.</w:t>
      </w:r>
      <w:r w:rsidR="002A2616">
        <w:rPr>
          <w:color w:val="000000"/>
          <w:szCs w:val="28"/>
        </w:rPr>
        <w:t xml:space="preserve">  Suffice it to say that the </w:t>
      </w:r>
      <w:r w:rsidR="002A2616" w:rsidRPr="002A2616">
        <w:rPr>
          <w:color w:val="000000"/>
          <w:szCs w:val="28"/>
        </w:rPr>
        <w:t>judgment</w:t>
      </w:r>
      <w:r w:rsidR="002A2616">
        <w:rPr>
          <w:color w:val="000000"/>
          <w:szCs w:val="28"/>
        </w:rPr>
        <w:t xml:space="preserve"> of the majority, given by Lord Rodger of </w:t>
      </w:r>
      <w:proofErr w:type="spellStart"/>
      <w:r w:rsidR="002A2616">
        <w:rPr>
          <w:color w:val="000000"/>
          <w:szCs w:val="28"/>
        </w:rPr>
        <w:t>Earlsferry</w:t>
      </w:r>
      <w:proofErr w:type="spellEnd"/>
      <w:r w:rsidR="002A2616">
        <w:rPr>
          <w:color w:val="000000"/>
          <w:szCs w:val="28"/>
        </w:rPr>
        <w:t>, was summarised in the he</w:t>
      </w:r>
      <w:r w:rsidR="00EE687A">
        <w:rPr>
          <w:color w:val="000000"/>
          <w:szCs w:val="28"/>
        </w:rPr>
        <w:t>a</w:t>
      </w:r>
      <w:r w:rsidR="002A2616">
        <w:rPr>
          <w:color w:val="000000"/>
          <w:szCs w:val="28"/>
        </w:rPr>
        <w:t xml:space="preserve">dnote in the language of </w:t>
      </w:r>
      <w:r w:rsidR="002A2616" w:rsidRPr="002A2616">
        <w:rPr>
          <w:color w:val="000000"/>
          <w:szCs w:val="28"/>
        </w:rPr>
        <w:t>section</w:t>
      </w:r>
      <w:r w:rsidR="002A2616">
        <w:rPr>
          <w:color w:val="000000"/>
          <w:szCs w:val="28"/>
        </w:rPr>
        <w:t xml:space="preserve"> 76(2).  Holding (1) reads:</w:t>
      </w:r>
    </w:p>
    <w:p w:rsidR="00054942" w:rsidRPr="002A2616" w:rsidRDefault="002A2616" w:rsidP="002A2616">
      <w:pPr>
        <w:pStyle w:val="Quotation"/>
      </w:pPr>
      <w:r>
        <w:rPr>
          <w:rStyle w:val="Strong"/>
          <w:b w:val="0"/>
          <w:bCs w:val="0"/>
        </w:rPr>
        <w:t>“</w:t>
      </w:r>
      <w:r w:rsidRPr="002A2616">
        <w:rPr>
          <w:rStyle w:val="Strong"/>
          <w:b w:val="0"/>
          <w:bCs w:val="0"/>
        </w:rPr>
        <w:t>Held,</w:t>
      </w:r>
      <w:r w:rsidRPr="002A2616">
        <w:t xml:space="preserve"> (1) </w:t>
      </w:r>
      <w:r w:rsidR="00B70866" w:rsidRPr="00B70866">
        <w:t xml:space="preserve">(per Lord Steyn, Lord Phillips of Worth </w:t>
      </w:r>
      <w:proofErr w:type="spellStart"/>
      <w:r w:rsidR="00B70866" w:rsidRPr="00B70866">
        <w:t>Matravers</w:t>
      </w:r>
      <w:proofErr w:type="spellEnd"/>
      <w:r w:rsidR="00B70866" w:rsidRPr="00B70866">
        <w:t xml:space="preserve"> MR and Lord Rodger of </w:t>
      </w:r>
      <w:proofErr w:type="spellStart"/>
      <w:r w:rsidR="00B70866" w:rsidRPr="00B70866">
        <w:t>Earlsferry</w:t>
      </w:r>
      <w:proofErr w:type="spellEnd"/>
      <w:r w:rsidR="00B70866" w:rsidRPr="00B70866">
        <w:t xml:space="preserve">), that the rule against admitting a confession which was not made voluntarily was based not only upon its potential unreliability but also upon the principle that a man cannot be compelled to incriminate himself and upon the importance attached in a civilised society to proper behaviour by the police towards those in their custody; that since </w:t>
      </w:r>
      <w:r w:rsidR="00B70866" w:rsidRPr="00B70866">
        <w:rPr>
          <w:lang w:val="en"/>
        </w:rPr>
        <w:t>section 76(2) of the 1984 Act</w:t>
      </w:r>
      <w:r w:rsidR="00B70866" w:rsidRPr="00B70866">
        <w:t xml:space="preserve"> was based upon all those considerations it was inconsistent with the purpose of that provision that the jury should rely on a confession which was not made voluntarily; that therefore the logic of section 76(2) required that the jury should be directed that if they considered that the confession was, or may have been, obtained by </w:t>
      </w:r>
      <w:r w:rsidR="00B70866" w:rsidRPr="00631138">
        <w:rPr>
          <w:i/>
        </w:rPr>
        <w:t>oppression or any other improper conduct</w:t>
      </w:r>
      <w:r w:rsidR="00631138" w:rsidRPr="00A219F5">
        <w:rPr>
          <w:rStyle w:val="FootnoteReference"/>
        </w:rPr>
        <w:footnoteReference w:id="22"/>
      </w:r>
      <w:r w:rsidR="00B70866" w:rsidRPr="00B70866">
        <w:t xml:space="preserve"> they should disregard it; and that, accordingly, the judge had misdirected the jury (post, paras 1, 27, 45-48 )</w:t>
      </w:r>
      <w:r w:rsidRPr="00B70866">
        <w:t>.”</w:t>
      </w:r>
      <w:r w:rsidR="008B0D96">
        <w:t xml:space="preserve">  </w:t>
      </w:r>
      <w:r w:rsidR="008B0D96">
        <w:rPr>
          <w:szCs w:val="24"/>
        </w:rPr>
        <w:t>(</w:t>
      </w:r>
      <w:r w:rsidR="008B0D96" w:rsidRPr="00474305">
        <w:rPr>
          <w:szCs w:val="24"/>
        </w:rPr>
        <w:t>Emphasis added</w:t>
      </w:r>
      <w:r w:rsidR="008B0D96">
        <w:rPr>
          <w:szCs w:val="24"/>
        </w:rPr>
        <w:t>.)</w:t>
      </w:r>
      <w:r w:rsidR="008B0D96">
        <w:t xml:space="preserve"> </w:t>
      </w:r>
    </w:p>
    <w:p w:rsidR="00450DF4" w:rsidRDefault="00450DF4" w:rsidP="006F01A8">
      <w:pPr>
        <w:pStyle w:val="Final"/>
        <w:ind w:left="0" w:firstLine="0"/>
        <w:rPr>
          <w:color w:val="000000"/>
          <w:szCs w:val="28"/>
        </w:rPr>
      </w:pPr>
      <w:r>
        <w:rPr>
          <w:color w:val="000000"/>
          <w:szCs w:val="28"/>
        </w:rPr>
        <w:lastRenderedPageBreak/>
        <w:t>This holding reflects the fact that the majority simply said that they would answer the certified question in the affirmative and the certified question was drafted as follows:</w:t>
      </w:r>
    </w:p>
    <w:p w:rsidR="00450DF4" w:rsidRDefault="00450DF4" w:rsidP="00450DF4">
      <w:pPr>
        <w:pStyle w:val="Quotation"/>
        <w:rPr>
          <w:szCs w:val="28"/>
        </w:rPr>
      </w:pPr>
      <w:r>
        <w:rPr>
          <w:lang w:val="en"/>
        </w:rPr>
        <w:t>“</w:t>
      </w:r>
      <w:r w:rsidRPr="00450DF4">
        <w:rPr>
          <w:lang w:val="en"/>
        </w:rPr>
        <w:t>Whether</w:t>
      </w:r>
      <w:r w:rsidR="00B70866">
        <w:rPr>
          <w:lang w:val="en"/>
        </w:rPr>
        <w:t>,</w:t>
      </w:r>
      <w:r w:rsidRPr="00450DF4">
        <w:rPr>
          <w:lang w:val="en"/>
        </w:rPr>
        <w:t xml:space="preserve"> in view of </w:t>
      </w:r>
      <w:r w:rsidR="00B70866">
        <w:rPr>
          <w:lang w:val="en"/>
        </w:rPr>
        <w:t>A</w:t>
      </w:r>
      <w:r>
        <w:rPr>
          <w:lang w:val="en"/>
        </w:rPr>
        <w:t xml:space="preserve">rticle </w:t>
      </w:r>
      <w:r w:rsidRPr="00450DF4">
        <w:rPr>
          <w:lang w:val="en"/>
        </w:rPr>
        <w:t xml:space="preserve">6 of the Convention for the Protection of Human Rights and Fundamental Freedoms, a </w:t>
      </w:r>
      <w:r w:rsidR="00B70866">
        <w:rPr>
          <w:lang w:val="en"/>
        </w:rPr>
        <w:t>J</w:t>
      </w:r>
      <w:r w:rsidRPr="00450DF4">
        <w:rPr>
          <w:lang w:val="en"/>
        </w:rPr>
        <w:t xml:space="preserve">udge, who has ruled </w:t>
      </w:r>
      <w:r w:rsidRPr="00677FCC">
        <w:rPr>
          <w:lang w:val="en"/>
        </w:rPr>
        <w:t xml:space="preserve">pursuant to </w:t>
      </w:r>
      <w:hyperlink r:id="rId8" w:history="1">
        <w:r w:rsidRPr="00677FCC">
          <w:rPr>
            <w:rStyle w:val="Hyperlink"/>
            <w:color w:val="auto"/>
            <w:lang w:val="en"/>
          </w:rPr>
          <w:t>s 76(2) of the Police and Criminal Evidence Act 1984</w:t>
        </w:r>
      </w:hyperlink>
      <w:r w:rsidRPr="00450DF4">
        <w:rPr>
          <w:lang w:val="en"/>
        </w:rPr>
        <w:t xml:space="preserve"> that evidence of the alleged confession has not been obtained by</w:t>
      </w:r>
      <w:r w:rsidR="00513E8D">
        <w:rPr>
          <w:lang w:val="en"/>
        </w:rPr>
        <w:t xml:space="preserve"> </w:t>
      </w:r>
      <w:r w:rsidRPr="00450DF4">
        <w:rPr>
          <w:lang w:val="en"/>
        </w:rPr>
        <w:t xml:space="preserve">oppression, </w:t>
      </w:r>
      <w:r w:rsidRPr="00871E3C">
        <w:rPr>
          <w:lang w:val="en"/>
        </w:rPr>
        <w:t>nor has it been obtained in consequence of anything said or done which is likely to render unreliable any confession,</w:t>
      </w:r>
      <w:r>
        <w:rPr>
          <w:lang w:val="en"/>
        </w:rPr>
        <w:t xml:space="preserve"> is required to direct the jury, if they conclude that the alleged confession may have been so obtained, they must disregard it.”</w:t>
      </w:r>
      <w:r w:rsidR="00B70866">
        <w:rPr>
          <w:rStyle w:val="FootnoteReference"/>
          <w:lang w:val="en"/>
        </w:rPr>
        <w:footnoteReference w:id="23"/>
      </w:r>
      <w:r w:rsidR="00513E8D">
        <w:rPr>
          <w:lang w:val="en"/>
        </w:rPr>
        <w:t xml:space="preserve"> </w:t>
      </w:r>
    </w:p>
    <w:p w:rsidR="00B12B2A" w:rsidRPr="00B12B2A" w:rsidRDefault="00871E3C" w:rsidP="006F01A8">
      <w:pPr>
        <w:pStyle w:val="Final"/>
        <w:ind w:left="0" w:firstLine="0"/>
        <w:rPr>
          <w:color w:val="000000"/>
          <w:szCs w:val="28"/>
        </w:rPr>
      </w:pPr>
      <w:r w:rsidRPr="00871E3C">
        <w:rPr>
          <w:color w:val="000000"/>
          <w:szCs w:val="28"/>
          <w:lang w:val="en-US"/>
        </w:rPr>
        <w:t>Notwithstanding</w:t>
      </w:r>
      <w:r>
        <w:rPr>
          <w:color w:val="000000"/>
          <w:szCs w:val="28"/>
          <w:lang w:val="en-US"/>
        </w:rPr>
        <w:t xml:space="preserve"> that the question is drafted in the language of</w:t>
      </w:r>
      <w:r w:rsidR="00FF549C">
        <w:rPr>
          <w:color w:val="000000"/>
          <w:szCs w:val="28"/>
          <w:lang w:val="en-US"/>
        </w:rPr>
        <w:t xml:space="preserve"> an English statutory provision in</w:t>
      </w:r>
      <w:r>
        <w:rPr>
          <w:color w:val="000000"/>
          <w:szCs w:val="28"/>
          <w:lang w:val="en-US"/>
        </w:rPr>
        <w:t xml:space="preserve"> PACE, and that the holding is similarly drafted, </w:t>
      </w:r>
      <w:r w:rsidR="00FF549C">
        <w:rPr>
          <w:color w:val="000000"/>
          <w:szCs w:val="28"/>
          <w:lang w:val="en-US"/>
        </w:rPr>
        <w:t xml:space="preserve">no attempt has been made by a Hong Kong court to “translate” the </w:t>
      </w:r>
      <w:proofErr w:type="spellStart"/>
      <w:r w:rsidR="00FF549C">
        <w:rPr>
          <w:i/>
          <w:color w:val="000000"/>
          <w:szCs w:val="28"/>
          <w:lang w:val="en-US"/>
        </w:rPr>
        <w:t>Mushtaq</w:t>
      </w:r>
      <w:proofErr w:type="spellEnd"/>
      <w:r w:rsidR="00FF549C">
        <w:rPr>
          <w:color w:val="000000"/>
          <w:szCs w:val="28"/>
          <w:lang w:val="en-US"/>
        </w:rPr>
        <w:t xml:space="preserve"> principle into the language of </w:t>
      </w:r>
      <w:r w:rsidR="00EE7D1B">
        <w:rPr>
          <w:color w:val="000000"/>
          <w:szCs w:val="28"/>
          <w:lang w:val="en-US"/>
        </w:rPr>
        <w:t xml:space="preserve">the </w:t>
      </w:r>
      <w:r w:rsidR="00FF549C">
        <w:rPr>
          <w:color w:val="000000"/>
          <w:szCs w:val="28"/>
          <w:lang w:val="en-US"/>
        </w:rPr>
        <w:t>common law.  Nevertheless</w:t>
      </w:r>
      <w:r w:rsidR="00455FA6">
        <w:rPr>
          <w:color w:val="000000"/>
          <w:szCs w:val="28"/>
          <w:lang w:val="en-US"/>
        </w:rPr>
        <w:t>,</w:t>
      </w:r>
      <w:r w:rsidR="00FF549C">
        <w:rPr>
          <w:color w:val="000000"/>
          <w:szCs w:val="28"/>
          <w:lang w:val="en-US"/>
        </w:rPr>
        <w:t xml:space="preserve"> the</w:t>
      </w:r>
      <w:r w:rsidR="00455FA6">
        <w:rPr>
          <w:color w:val="000000"/>
          <w:szCs w:val="28"/>
          <w:lang w:val="en-US"/>
        </w:rPr>
        <w:t xml:space="preserve"> two</w:t>
      </w:r>
      <w:r w:rsidR="00FF549C">
        <w:rPr>
          <w:color w:val="000000"/>
          <w:szCs w:val="28"/>
          <w:lang w:val="en-US"/>
        </w:rPr>
        <w:t xml:space="preserve"> key principles of </w:t>
      </w:r>
      <w:proofErr w:type="spellStart"/>
      <w:r w:rsidR="00FF549C" w:rsidRPr="00FF549C">
        <w:rPr>
          <w:i/>
          <w:color w:val="000000"/>
          <w:szCs w:val="28"/>
          <w:lang w:val="en-US"/>
        </w:rPr>
        <w:t>Mushtaq</w:t>
      </w:r>
      <w:proofErr w:type="spellEnd"/>
      <w:r w:rsidR="00FF549C">
        <w:rPr>
          <w:color w:val="000000"/>
          <w:szCs w:val="28"/>
          <w:lang w:val="en-US"/>
        </w:rPr>
        <w:t xml:space="preserve"> are </w:t>
      </w:r>
      <w:r w:rsidR="00455FA6">
        <w:rPr>
          <w:color w:val="000000"/>
          <w:szCs w:val="28"/>
          <w:lang w:val="en-US"/>
        </w:rPr>
        <w:t>readily apparent</w:t>
      </w:r>
      <w:r w:rsidR="00FF549C">
        <w:rPr>
          <w:color w:val="000000"/>
          <w:szCs w:val="28"/>
          <w:lang w:val="en-US"/>
        </w:rPr>
        <w:t xml:space="preserve">.  The first key principle </w:t>
      </w:r>
      <w:r w:rsidR="00CE43A8">
        <w:rPr>
          <w:color w:val="000000"/>
          <w:szCs w:val="28"/>
          <w:lang w:val="en-US"/>
        </w:rPr>
        <w:t xml:space="preserve">is that both the common law and human rights law require that the jury be told that if they found that any confession made by an accused was or may have been obtained in circumstances of involuntariness, oppression </w:t>
      </w:r>
      <w:r w:rsidR="00CE43A8" w:rsidRPr="00A219F5">
        <w:rPr>
          <w:i/>
          <w:color w:val="000000"/>
          <w:szCs w:val="28"/>
          <w:lang w:val="en-US"/>
        </w:rPr>
        <w:t>or in consequence of anything said or done which was likely to render any confession unreliable</w:t>
      </w:r>
      <w:r w:rsidR="00A219F5">
        <w:rPr>
          <w:rStyle w:val="FootnoteReference"/>
          <w:i/>
          <w:color w:val="000000"/>
          <w:szCs w:val="28"/>
          <w:lang w:val="en-US"/>
        </w:rPr>
        <w:footnoteReference w:id="24"/>
      </w:r>
      <w:r w:rsidR="00CE43A8">
        <w:rPr>
          <w:color w:val="000000"/>
          <w:szCs w:val="28"/>
          <w:lang w:val="en-US"/>
        </w:rPr>
        <w:t xml:space="preserve"> then they must disregard it.</w:t>
      </w:r>
      <w:r w:rsidR="001C791D">
        <w:rPr>
          <w:color w:val="000000"/>
          <w:szCs w:val="28"/>
          <w:lang w:val="en-US"/>
        </w:rPr>
        <w:t xml:space="preserve">  </w:t>
      </w:r>
      <w:r w:rsidR="00455FA6">
        <w:rPr>
          <w:color w:val="000000"/>
          <w:szCs w:val="28"/>
          <w:lang w:val="en-US"/>
        </w:rPr>
        <w:t>The second key principle is that t</w:t>
      </w:r>
      <w:r w:rsidR="001C791D">
        <w:rPr>
          <w:color w:val="000000"/>
          <w:szCs w:val="28"/>
          <w:lang w:val="en-US"/>
        </w:rPr>
        <w:t xml:space="preserve">he jury must clearly understand that they must disregard </w:t>
      </w:r>
      <w:r w:rsidR="00455FA6">
        <w:rPr>
          <w:color w:val="000000"/>
          <w:szCs w:val="28"/>
          <w:lang w:val="en-US"/>
        </w:rPr>
        <w:t>such a</w:t>
      </w:r>
      <w:r w:rsidR="001C791D">
        <w:rPr>
          <w:color w:val="000000"/>
          <w:szCs w:val="28"/>
          <w:lang w:val="en-US"/>
        </w:rPr>
        <w:t xml:space="preserve"> confession even if they </w:t>
      </w:r>
      <w:r w:rsidR="00677FCC">
        <w:rPr>
          <w:color w:val="000000"/>
          <w:szCs w:val="28"/>
          <w:lang w:val="en-US"/>
        </w:rPr>
        <w:t xml:space="preserve">are sure </w:t>
      </w:r>
      <w:r w:rsidR="001C791D">
        <w:rPr>
          <w:color w:val="000000"/>
          <w:szCs w:val="28"/>
          <w:lang w:val="en-US"/>
        </w:rPr>
        <w:t>it is true.</w:t>
      </w:r>
      <w:r w:rsidR="00DA6C84">
        <w:rPr>
          <w:color w:val="000000"/>
          <w:szCs w:val="28"/>
          <w:lang w:val="en-US"/>
        </w:rPr>
        <w:t xml:space="preserve"> </w:t>
      </w:r>
    </w:p>
    <w:p w:rsidR="00CE43A8" w:rsidRPr="006765F5" w:rsidRDefault="00B12B2A" w:rsidP="00B12B2A">
      <w:pPr>
        <w:pStyle w:val="H-1"/>
      </w:pPr>
      <w:r>
        <w:rPr>
          <w:lang w:val="en-US"/>
        </w:rPr>
        <w:t xml:space="preserve">HKSAR v Pang </w:t>
      </w:r>
      <w:proofErr w:type="spellStart"/>
      <w:r>
        <w:rPr>
          <w:lang w:val="en-US"/>
        </w:rPr>
        <w:t>Hiu</w:t>
      </w:r>
      <w:proofErr w:type="spellEnd"/>
      <w:r>
        <w:rPr>
          <w:lang w:val="en-US"/>
        </w:rPr>
        <w:t xml:space="preserve"> San</w:t>
      </w:r>
      <w:r w:rsidR="00DA6C84">
        <w:rPr>
          <w:lang w:val="en-US"/>
        </w:rPr>
        <w:t xml:space="preserve"> </w:t>
      </w:r>
    </w:p>
    <w:p w:rsidR="006765F5" w:rsidRPr="006765F5" w:rsidRDefault="001C791D" w:rsidP="006F01A8">
      <w:pPr>
        <w:pStyle w:val="Final"/>
        <w:ind w:left="0" w:firstLine="0"/>
        <w:rPr>
          <w:color w:val="000000"/>
          <w:szCs w:val="28"/>
        </w:rPr>
      </w:pPr>
      <w:r>
        <w:rPr>
          <w:color w:val="000000"/>
          <w:szCs w:val="28"/>
          <w:lang w:val="en-US"/>
        </w:rPr>
        <w:t>I</w:t>
      </w:r>
      <w:r w:rsidR="006765F5">
        <w:rPr>
          <w:color w:val="000000"/>
          <w:szCs w:val="28"/>
          <w:lang w:val="en-US"/>
        </w:rPr>
        <w:t xml:space="preserve">n its judgment in </w:t>
      </w:r>
      <w:r w:rsidR="006765F5">
        <w:rPr>
          <w:i/>
          <w:color w:val="000000"/>
          <w:szCs w:val="28"/>
          <w:lang w:val="en-US"/>
        </w:rPr>
        <w:t xml:space="preserve">Pang </w:t>
      </w:r>
      <w:proofErr w:type="spellStart"/>
      <w:r w:rsidR="006765F5">
        <w:rPr>
          <w:i/>
          <w:color w:val="000000"/>
          <w:szCs w:val="28"/>
          <w:lang w:val="en-US"/>
        </w:rPr>
        <w:t>Hiu</w:t>
      </w:r>
      <w:proofErr w:type="spellEnd"/>
      <w:r w:rsidR="006765F5">
        <w:rPr>
          <w:i/>
          <w:color w:val="000000"/>
          <w:szCs w:val="28"/>
          <w:lang w:val="en-US"/>
        </w:rPr>
        <w:t xml:space="preserve"> San</w:t>
      </w:r>
      <w:r w:rsidR="006765F5">
        <w:rPr>
          <w:color w:val="000000"/>
          <w:szCs w:val="28"/>
          <w:lang w:val="en-US"/>
        </w:rPr>
        <w:t xml:space="preserve"> the Court of Final Appeal demonstrated quite clearly that they were aware that </w:t>
      </w:r>
      <w:proofErr w:type="spellStart"/>
      <w:r w:rsidR="006765F5">
        <w:rPr>
          <w:i/>
          <w:color w:val="000000"/>
          <w:szCs w:val="28"/>
          <w:lang w:val="en-US"/>
        </w:rPr>
        <w:t>Mushtaq</w:t>
      </w:r>
      <w:proofErr w:type="spellEnd"/>
      <w:r w:rsidR="006765F5">
        <w:rPr>
          <w:color w:val="000000"/>
          <w:szCs w:val="28"/>
          <w:lang w:val="en-US"/>
        </w:rPr>
        <w:t xml:space="preserve"> was </w:t>
      </w:r>
      <w:r w:rsidR="006765F5">
        <w:rPr>
          <w:color w:val="000000"/>
          <w:szCs w:val="28"/>
          <w:lang w:val="en-US"/>
        </w:rPr>
        <w:lastRenderedPageBreak/>
        <w:t xml:space="preserve">concerned with section 76(2) of PACE and that similar legislation did not exist in Hong Kong but nevertheless said that the </w:t>
      </w:r>
      <w:proofErr w:type="spellStart"/>
      <w:r w:rsidR="006765F5">
        <w:rPr>
          <w:i/>
          <w:color w:val="000000"/>
          <w:szCs w:val="28"/>
          <w:lang w:val="en-US"/>
        </w:rPr>
        <w:t>Mushtaq</w:t>
      </w:r>
      <w:proofErr w:type="spellEnd"/>
      <w:r w:rsidR="006765F5">
        <w:rPr>
          <w:color w:val="000000"/>
          <w:szCs w:val="28"/>
          <w:lang w:val="en-US"/>
        </w:rPr>
        <w:t xml:space="preserve"> direction, unmodified, </w:t>
      </w:r>
      <w:r w:rsidR="00677FCC">
        <w:rPr>
          <w:color w:val="000000"/>
          <w:szCs w:val="28"/>
          <w:lang w:val="en-US"/>
        </w:rPr>
        <w:t xml:space="preserve">in its terms, </w:t>
      </w:r>
      <w:r w:rsidR="006765F5">
        <w:rPr>
          <w:color w:val="000000"/>
          <w:szCs w:val="28"/>
          <w:lang w:val="en-US"/>
        </w:rPr>
        <w:t>represented the common law for Hong Kong.  It said:</w:t>
      </w:r>
    </w:p>
    <w:p w:rsidR="006765F5" w:rsidRDefault="006765F5" w:rsidP="006765F5">
      <w:pPr>
        <w:pStyle w:val="Quotation"/>
        <w:rPr>
          <w:lang w:val="en-US"/>
        </w:rPr>
      </w:pPr>
      <w:r>
        <w:t>“</w:t>
      </w:r>
      <w:r w:rsidRPr="006765F5">
        <w:rPr>
          <w:b/>
          <w:lang w:val="en-US"/>
        </w:rPr>
        <w:t>The position now to apply in Hong Kong</w:t>
      </w:r>
    </w:p>
    <w:p w:rsidR="006765F5" w:rsidRDefault="006765F5" w:rsidP="006765F5">
      <w:pPr>
        <w:pStyle w:val="Quotation"/>
      </w:pPr>
      <w:r>
        <w:tab/>
      </w:r>
      <w:r w:rsidRPr="006765F5">
        <w:t>52. In Hong Kong we do not have the equivalent of s.76(2) of the PACE. But, when commenting on the principles relating to voluntariness, Li CJ said:</w:t>
      </w:r>
    </w:p>
    <w:p w:rsidR="00CE43A8" w:rsidRDefault="00CE43A8" w:rsidP="00B70866">
      <w:pPr>
        <w:pStyle w:val="Quotation"/>
        <w:ind w:left="2016" w:right="711"/>
        <w:rPr>
          <w:lang w:val="en-US"/>
        </w:rPr>
      </w:pPr>
      <w:r>
        <w:rPr>
          <w:lang w:val="en-US"/>
        </w:rPr>
        <w:t>The underlying rationale is based both on the need to ensure the reliability of confessions as well as the right of silence</w:t>
      </w:r>
      <w:r w:rsidR="00B70866">
        <w:rPr>
          <w:lang w:val="en-US"/>
        </w:rPr>
        <w:t>…</w:t>
      </w:r>
      <w:r>
        <w:rPr>
          <w:lang w:val="en-US"/>
        </w:rPr>
        <w:t>The right of silence is deeply rooted in the common law.</w:t>
      </w:r>
    </w:p>
    <w:p w:rsidR="00CE43A8" w:rsidRDefault="00CE43A8" w:rsidP="006765F5">
      <w:pPr>
        <w:pStyle w:val="Quotation"/>
      </w:pPr>
      <w:r>
        <w:tab/>
        <w:t>53. However, we have the equivalent of art.6(1) in art.10 of the Hong Kong Bill of Rights.</w:t>
      </w:r>
    </w:p>
    <w:p w:rsidR="006765F5" w:rsidRPr="006765F5" w:rsidRDefault="00CE43A8" w:rsidP="00CE43A8">
      <w:pPr>
        <w:pStyle w:val="Quotation"/>
      </w:pPr>
      <w:r>
        <w:tab/>
        <w:t xml:space="preserve">54. In our opinion, </w:t>
      </w:r>
      <w:r>
        <w:rPr>
          <w:i/>
        </w:rPr>
        <w:t xml:space="preserve">Chan Wei Keung v R </w:t>
      </w:r>
      <w:r>
        <w:t xml:space="preserve">should no longer be followed in Hong Kong and the common law is as stated in </w:t>
      </w:r>
      <w:r>
        <w:rPr>
          <w:i/>
        </w:rPr>
        <w:t xml:space="preserve">R v </w:t>
      </w:r>
      <w:proofErr w:type="spellStart"/>
      <w:r>
        <w:rPr>
          <w:i/>
        </w:rPr>
        <w:t>Mushtaq</w:t>
      </w:r>
      <w:proofErr w:type="spellEnd"/>
      <w:r>
        <w:rPr>
          <w:i/>
        </w:rPr>
        <w:t xml:space="preserve"> </w:t>
      </w:r>
      <w:r>
        <w:t xml:space="preserve">and </w:t>
      </w:r>
      <w:proofErr w:type="spellStart"/>
      <w:r>
        <w:rPr>
          <w:i/>
        </w:rPr>
        <w:t>Wizzard</w:t>
      </w:r>
      <w:proofErr w:type="spellEnd"/>
      <w:r>
        <w:rPr>
          <w:i/>
        </w:rPr>
        <w:t xml:space="preserve"> v The Queen</w:t>
      </w:r>
      <w:r>
        <w:t xml:space="preserve">. It follows that in our respectful view the Court of Appeal in </w:t>
      </w:r>
      <w:r>
        <w:rPr>
          <w:i/>
        </w:rPr>
        <w:t xml:space="preserve">HKSAR v </w:t>
      </w:r>
      <w:proofErr w:type="spellStart"/>
      <w:r>
        <w:rPr>
          <w:i/>
        </w:rPr>
        <w:t>Ho</w:t>
      </w:r>
      <w:proofErr w:type="spellEnd"/>
      <w:r>
        <w:rPr>
          <w:i/>
        </w:rPr>
        <w:t xml:space="preserve"> Wing To (No 2)</w:t>
      </w:r>
      <w:r>
        <w:t xml:space="preserve"> and the Judicial Institute were right in adopting the </w:t>
      </w:r>
      <w:proofErr w:type="spellStart"/>
      <w:r>
        <w:rPr>
          <w:i/>
        </w:rPr>
        <w:t>Mushtaq</w:t>
      </w:r>
      <w:proofErr w:type="spellEnd"/>
      <w:r>
        <w:rPr>
          <w:i/>
        </w:rPr>
        <w:t xml:space="preserve"> </w:t>
      </w:r>
      <w:r>
        <w:t>direction.”</w:t>
      </w:r>
      <w:r>
        <w:rPr>
          <w:rStyle w:val="FootnoteReference"/>
        </w:rPr>
        <w:footnoteReference w:id="25"/>
      </w:r>
    </w:p>
    <w:p w:rsidR="00677FCC" w:rsidRDefault="00CE43A8" w:rsidP="006F01A8">
      <w:pPr>
        <w:pStyle w:val="Final"/>
        <w:ind w:left="0" w:firstLine="0"/>
        <w:rPr>
          <w:color w:val="000000"/>
          <w:szCs w:val="28"/>
        </w:rPr>
      </w:pPr>
      <w:r>
        <w:rPr>
          <w:color w:val="000000"/>
          <w:szCs w:val="28"/>
        </w:rPr>
        <w:t xml:space="preserve">For the purpose of this appeal it is not necessary for us to delve further into the </w:t>
      </w:r>
      <w:r w:rsidR="001C791D">
        <w:rPr>
          <w:color w:val="000000"/>
          <w:szCs w:val="28"/>
        </w:rPr>
        <w:t xml:space="preserve">language </w:t>
      </w:r>
      <w:r>
        <w:rPr>
          <w:color w:val="000000"/>
          <w:szCs w:val="28"/>
        </w:rPr>
        <w:t xml:space="preserve">of the </w:t>
      </w:r>
      <w:proofErr w:type="spellStart"/>
      <w:r w:rsidR="001C791D" w:rsidRPr="001C791D">
        <w:rPr>
          <w:i/>
          <w:color w:val="000000"/>
          <w:szCs w:val="28"/>
        </w:rPr>
        <w:t>Mushtaq</w:t>
      </w:r>
      <w:proofErr w:type="spellEnd"/>
      <w:r w:rsidR="001C791D">
        <w:rPr>
          <w:color w:val="000000"/>
          <w:szCs w:val="28"/>
        </w:rPr>
        <w:t xml:space="preserve"> </w:t>
      </w:r>
      <w:r>
        <w:rPr>
          <w:color w:val="000000"/>
          <w:szCs w:val="28"/>
        </w:rPr>
        <w:t>direction and the meaning that should be given to the words “likely to render unreliable”</w:t>
      </w:r>
      <w:r w:rsidR="00696888">
        <w:rPr>
          <w:color w:val="000000"/>
          <w:szCs w:val="28"/>
        </w:rPr>
        <w:t xml:space="preserve"> as the </w:t>
      </w:r>
      <w:r w:rsidR="00677FCC">
        <w:rPr>
          <w:color w:val="000000"/>
          <w:szCs w:val="28"/>
        </w:rPr>
        <w:t xml:space="preserve">meaning </w:t>
      </w:r>
      <w:r w:rsidR="00696888">
        <w:rPr>
          <w:color w:val="000000"/>
          <w:szCs w:val="28"/>
        </w:rPr>
        <w:t xml:space="preserve">that </w:t>
      </w:r>
      <w:r w:rsidR="00677FCC">
        <w:rPr>
          <w:color w:val="000000"/>
          <w:szCs w:val="28"/>
        </w:rPr>
        <w:t xml:space="preserve">should be given to those words is not relevant to the resolution of this </w:t>
      </w:r>
      <w:r w:rsidR="00677FCC" w:rsidRPr="00677FCC">
        <w:rPr>
          <w:color w:val="000000"/>
          <w:szCs w:val="28"/>
        </w:rPr>
        <w:t>ground of appeal</w:t>
      </w:r>
      <w:r w:rsidR="00677FCC">
        <w:rPr>
          <w:color w:val="000000"/>
          <w:szCs w:val="28"/>
        </w:rPr>
        <w:t xml:space="preserve">.  What is at issue is whether the </w:t>
      </w:r>
      <w:r w:rsidR="00677FCC" w:rsidRPr="00677FCC">
        <w:rPr>
          <w:color w:val="000000"/>
          <w:kern w:val="2"/>
          <w:szCs w:val="28"/>
          <w:lang w:val="en-US"/>
        </w:rPr>
        <w:t>judge</w:t>
      </w:r>
      <w:r w:rsidR="00677FCC">
        <w:rPr>
          <w:color w:val="000000"/>
          <w:szCs w:val="28"/>
        </w:rPr>
        <w:t>, by his directions</w:t>
      </w:r>
      <w:r w:rsidR="00696888">
        <w:rPr>
          <w:color w:val="000000"/>
          <w:szCs w:val="28"/>
        </w:rPr>
        <w:t>,</w:t>
      </w:r>
      <w:r w:rsidR="00FF549C">
        <w:rPr>
          <w:color w:val="000000"/>
          <w:szCs w:val="28"/>
        </w:rPr>
        <w:t xml:space="preserve"> sufficiently conveyed those</w:t>
      </w:r>
      <w:r w:rsidR="00677FCC">
        <w:rPr>
          <w:color w:val="000000"/>
          <w:szCs w:val="28"/>
        </w:rPr>
        <w:t xml:space="preserve"> </w:t>
      </w:r>
      <w:r w:rsidR="00455FA6">
        <w:rPr>
          <w:color w:val="000000"/>
          <w:szCs w:val="28"/>
        </w:rPr>
        <w:t xml:space="preserve">two </w:t>
      </w:r>
      <w:r w:rsidR="00677FCC">
        <w:rPr>
          <w:color w:val="000000"/>
          <w:szCs w:val="28"/>
        </w:rPr>
        <w:t xml:space="preserve">key </w:t>
      </w:r>
      <w:r w:rsidR="00FF549C">
        <w:rPr>
          <w:color w:val="000000"/>
          <w:szCs w:val="28"/>
        </w:rPr>
        <w:t>principles</w:t>
      </w:r>
      <w:r w:rsidR="00677FCC">
        <w:rPr>
          <w:color w:val="000000"/>
          <w:szCs w:val="28"/>
        </w:rPr>
        <w:t xml:space="preserve"> of the </w:t>
      </w:r>
      <w:proofErr w:type="spellStart"/>
      <w:r w:rsidR="00677FCC" w:rsidRPr="00677FCC">
        <w:rPr>
          <w:i/>
          <w:color w:val="000000"/>
          <w:szCs w:val="28"/>
        </w:rPr>
        <w:t>Mushtaq</w:t>
      </w:r>
      <w:proofErr w:type="spellEnd"/>
      <w:r w:rsidR="00677FCC">
        <w:rPr>
          <w:color w:val="000000"/>
          <w:szCs w:val="28"/>
        </w:rPr>
        <w:t xml:space="preserve"> direction</w:t>
      </w:r>
      <w:r w:rsidR="00FF549C">
        <w:rPr>
          <w:color w:val="000000"/>
          <w:szCs w:val="28"/>
        </w:rPr>
        <w:t xml:space="preserve"> which we have earlier identified</w:t>
      </w:r>
      <w:r w:rsidR="00677FCC">
        <w:rPr>
          <w:color w:val="000000"/>
          <w:szCs w:val="28"/>
        </w:rPr>
        <w:t xml:space="preserve">.  </w:t>
      </w:r>
      <w:r w:rsidR="00696888">
        <w:rPr>
          <w:color w:val="000000"/>
          <w:szCs w:val="28"/>
        </w:rPr>
        <w:t>In this respect, w</w:t>
      </w:r>
      <w:r w:rsidR="00677FCC">
        <w:t xml:space="preserve">e note that in </w:t>
      </w:r>
      <w:r w:rsidR="00677FCC" w:rsidRPr="00171B65">
        <w:rPr>
          <w:i/>
        </w:rPr>
        <w:t>Yeung Chun</w:t>
      </w:r>
      <w:r w:rsidR="00B70866">
        <w:rPr>
          <w:i/>
        </w:rPr>
        <w:t xml:space="preserve"> </w:t>
      </w:r>
      <w:proofErr w:type="spellStart"/>
      <w:r w:rsidR="00B70866">
        <w:rPr>
          <w:i/>
        </w:rPr>
        <w:t>H</w:t>
      </w:r>
      <w:r w:rsidR="00677FCC" w:rsidRPr="00171B65">
        <w:rPr>
          <w:i/>
        </w:rPr>
        <w:t>in</w:t>
      </w:r>
      <w:proofErr w:type="spellEnd"/>
      <w:r w:rsidR="00677FCC">
        <w:rPr>
          <w:rStyle w:val="FootnoteReference"/>
        </w:rPr>
        <w:footnoteReference w:id="26"/>
      </w:r>
      <w:r w:rsidR="00677FCC" w:rsidRPr="00171B65">
        <w:rPr>
          <w:i/>
        </w:rPr>
        <w:t xml:space="preserve"> </w:t>
      </w:r>
      <w:r w:rsidR="00677FCC" w:rsidRPr="00171B65">
        <w:rPr>
          <w:color w:val="000000"/>
          <w:szCs w:val="28"/>
        </w:rPr>
        <w:t xml:space="preserve">the Court of Appeal, though </w:t>
      </w:r>
      <w:r w:rsidR="00677FCC">
        <w:rPr>
          <w:color w:val="000000"/>
          <w:szCs w:val="28"/>
        </w:rPr>
        <w:t xml:space="preserve">warning of the dangers associated with </w:t>
      </w:r>
      <w:r w:rsidR="00342BD5">
        <w:rPr>
          <w:color w:val="000000"/>
          <w:szCs w:val="28"/>
        </w:rPr>
        <w:t xml:space="preserve">departing from the progressive step-by-step approach set out in the </w:t>
      </w:r>
      <w:r w:rsidR="00677FCC" w:rsidRPr="005C01A9">
        <w:rPr>
          <w:color w:val="000000"/>
          <w:szCs w:val="28"/>
        </w:rPr>
        <w:t>Specimen Direction</w:t>
      </w:r>
      <w:r w:rsidR="00677FCC">
        <w:rPr>
          <w:color w:val="000000"/>
          <w:szCs w:val="28"/>
        </w:rPr>
        <w:t xml:space="preserve">, </w:t>
      </w:r>
      <w:r w:rsidR="00677FCC" w:rsidRPr="00171B65">
        <w:rPr>
          <w:color w:val="000000"/>
          <w:szCs w:val="28"/>
        </w:rPr>
        <w:t>did not say that a</w:t>
      </w:r>
      <w:r w:rsidR="00342BD5">
        <w:rPr>
          <w:color w:val="000000"/>
          <w:szCs w:val="28"/>
        </w:rPr>
        <w:t>ny such departure</w:t>
      </w:r>
      <w:r w:rsidR="00677FCC" w:rsidRPr="00171B65">
        <w:rPr>
          <w:color w:val="000000"/>
          <w:szCs w:val="28"/>
        </w:rPr>
        <w:t xml:space="preserve"> would necessarily </w:t>
      </w:r>
      <w:r w:rsidR="00677FCC">
        <w:rPr>
          <w:color w:val="000000"/>
          <w:szCs w:val="28"/>
        </w:rPr>
        <w:t xml:space="preserve">be </w:t>
      </w:r>
      <w:r w:rsidR="00677FCC" w:rsidRPr="00171B65">
        <w:rPr>
          <w:color w:val="000000"/>
          <w:szCs w:val="28"/>
        </w:rPr>
        <w:t>fatal</w:t>
      </w:r>
      <w:r w:rsidR="00677FCC">
        <w:rPr>
          <w:color w:val="000000"/>
          <w:szCs w:val="28"/>
        </w:rPr>
        <w:t xml:space="preserve">.  </w:t>
      </w:r>
    </w:p>
    <w:p w:rsidR="00D636EF" w:rsidRDefault="00886EDF" w:rsidP="006F01A8">
      <w:pPr>
        <w:pStyle w:val="Final"/>
        <w:ind w:left="0" w:firstLine="0"/>
        <w:rPr>
          <w:color w:val="000000"/>
          <w:szCs w:val="28"/>
        </w:rPr>
      </w:pPr>
      <w:r>
        <w:rPr>
          <w:color w:val="000000"/>
          <w:szCs w:val="28"/>
        </w:rPr>
        <w:lastRenderedPageBreak/>
        <w:t xml:space="preserve">In </w:t>
      </w:r>
      <w:r w:rsidRPr="00886EDF">
        <w:rPr>
          <w:i/>
          <w:color w:val="000000"/>
          <w:szCs w:val="28"/>
        </w:rPr>
        <w:t>Benjamin and Ganga v The State of Trinidad and T</w:t>
      </w:r>
      <w:r w:rsidR="00696888">
        <w:rPr>
          <w:i/>
          <w:color w:val="000000"/>
          <w:szCs w:val="28"/>
        </w:rPr>
        <w:t>o</w:t>
      </w:r>
      <w:r w:rsidRPr="00886EDF">
        <w:rPr>
          <w:i/>
          <w:color w:val="000000"/>
          <w:szCs w:val="28"/>
        </w:rPr>
        <w:t>bago</w:t>
      </w:r>
      <w:r w:rsidRPr="00886EDF">
        <w:rPr>
          <w:rStyle w:val="FootnoteReference"/>
          <w:color w:val="000000"/>
          <w:szCs w:val="28"/>
        </w:rPr>
        <w:footnoteReference w:id="27"/>
      </w:r>
      <w:r>
        <w:rPr>
          <w:color w:val="000000"/>
          <w:szCs w:val="28"/>
        </w:rPr>
        <w:t xml:space="preserve"> the Judicial Committee of the Privy </w:t>
      </w:r>
      <w:r w:rsidR="00434FEE">
        <w:rPr>
          <w:color w:val="000000"/>
          <w:szCs w:val="28"/>
        </w:rPr>
        <w:t xml:space="preserve">Council was faced with a similar argument.  This </w:t>
      </w:r>
      <w:r>
        <w:rPr>
          <w:color w:val="000000"/>
          <w:szCs w:val="28"/>
        </w:rPr>
        <w:t xml:space="preserve">case is also interesting because the </w:t>
      </w:r>
      <w:r w:rsidRPr="00886EDF">
        <w:rPr>
          <w:color w:val="000000"/>
          <w:szCs w:val="28"/>
        </w:rPr>
        <w:t>judgment</w:t>
      </w:r>
      <w:r>
        <w:rPr>
          <w:color w:val="000000"/>
          <w:szCs w:val="28"/>
        </w:rPr>
        <w:t xml:space="preserve"> of the Committee, delivered by Lord Kerr, rejected that part of the earlier Privy Council </w:t>
      </w:r>
      <w:r w:rsidRPr="00886EDF">
        <w:rPr>
          <w:color w:val="000000"/>
          <w:szCs w:val="28"/>
        </w:rPr>
        <w:t>judgment</w:t>
      </w:r>
      <w:r>
        <w:rPr>
          <w:color w:val="000000"/>
          <w:szCs w:val="28"/>
        </w:rPr>
        <w:t xml:space="preserve"> of </w:t>
      </w:r>
      <w:r w:rsidRPr="00434FEE">
        <w:rPr>
          <w:i/>
          <w:color w:val="000000"/>
          <w:szCs w:val="28"/>
        </w:rPr>
        <w:t>B</w:t>
      </w:r>
      <w:r w:rsidR="00696888">
        <w:rPr>
          <w:i/>
          <w:color w:val="000000"/>
          <w:szCs w:val="28"/>
        </w:rPr>
        <w:t xml:space="preserve">arry </w:t>
      </w:r>
      <w:proofErr w:type="spellStart"/>
      <w:r w:rsidRPr="00434FEE">
        <w:rPr>
          <w:i/>
          <w:color w:val="000000"/>
          <w:szCs w:val="28"/>
        </w:rPr>
        <w:t>Wizzard</w:t>
      </w:r>
      <w:proofErr w:type="spellEnd"/>
      <w:r w:rsidRPr="00434FEE">
        <w:rPr>
          <w:i/>
          <w:color w:val="000000"/>
          <w:szCs w:val="28"/>
        </w:rPr>
        <w:t xml:space="preserve"> v The Queen</w:t>
      </w:r>
      <w:r>
        <w:rPr>
          <w:rStyle w:val="FootnoteReference"/>
          <w:color w:val="000000"/>
          <w:szCs w:val="28"/>
        </w:rPr>
        <w:footnoteReference w:id="28"/>
      </w:r>
      <w:r w:rsidR="00A219F5" w:rsidRPr="00A219F5">
        <w:rPr>
          <w:color w:val="000000"/>
          <w:szCs w:val="28"/>
        </w:rPr>
        <w:t>,</w:t>
      </w:r>
      <w:r>
        <w:rPr>
          <w:color w:val="000000"/>
          <w:szCs w:val="28"/>
        </w:rPr>
        <w:t xml:space="preserve"> </w:t>
      </w:r>
      <w:r w:rsidR="00A5228C">
        <w:rPr>
          <w:color w:val="000000"/>
          <w:szCs w:val="28"/>
        </w:rPr>
        <w:t xml:space="preserve">where it was said that an alleged fabricated confession did not require a </w:t>
      </w:r>
      <w:proofErr w:type="spellStart"/>
      <w:r w:rsidR="00A5228C" w:rsidRPr="00A5228C">
        <w:rPr>
          <w:i/>
          <w:color w:val="000000"/>
          <w:szCs w:val="28"/>
        </w:rPr>
        <w:t>Mushtaq</w:t>
      </w:r>
      <w:proofErr w:type="spellEnd"/>
      <w:r w:rsidR="00A5228C">
        <w:rPr>
          <w:color w:val="000000"/>
          <w:szCs w:val="28"/>
        </w:rPr>
        <w:t xml:space="preserve"> direction.  I</w:t>
      </w:r>
      <w:r w:rsidR="00D636EF">
        <w:rPr>
          <w:color w:val="000000"/>
          <w:szCs w:val="28"/>
        </w:rPr>
        <w:t>n</w:t>
      </w:r>
      <w:r w:rsidR="00A219F5">
        <w:rPr>
          <w:color w:val="000000"/>
          <w:szCs w:val="28"/>
        </w:rPr>
        <w:t xml:space="preserve"> so ruling, </w:t>
      </w:r>
      <w:r w:rsidR="00A5228C">
        <w:rPr>
          <w:color w:val="000000"/>
          <w:szCs w:val="28"/>
        </w:rPr>
        <w:t xml:space="preserve">Lord Kerr aligned English law with existing </w:t>
      </w:r>
      <w:r w:rsidR="00A5228C" w:rsidRPr="00A5228C">
        <w:rPr>
          <w:color w:val="000000"/>
          <w:szCs w:val="28"/>
          <w:lang w:val="en-US" w:eastAsia="zh-TW"/>
        </w:rPr>
        <w:t>Hong Kong</w:t>
      </w:r>
      <w:r w:rsidR="00A5228C">
        <w:rPr>
          <w:color w:val="000000"/>
          <w:szCs w:val="28"/>
        </w:rPr>
        <w:t xml:space="preserve"> law.  The following excerpt from the </w:t>
      </w:r>
      <w:r w:rsidR="00A5228C" w:rsidRPr="00A5228C">
        <w:rPr>
          <w:color w:val="000000"/>
          <w:szCs w:val="28"/>
        </w:rPr>
        <w:t>judgment</w:t>
      </w:r>
      <w:r w:rsidR="00A5228C">
        <w:rPr>
          <w:color w:val="000000"/>
          <w:szCs w:val="28"/>
        </w:rPr>
        <w:t xml:space="preserve"> of Lord Kerr informs the approach that we now take to the resoluti</w:t>
      </w:r>
      <w:r w:rsidR="00696888">
        <w:rPr>
          <w:color w:val="000000"/>
          <w:szCs w:val="28"/>
        </w:rPr>
        <w:t>on</w:t>
      </w:r>
      <w:r w:rsidR="00A5228C">
        <w:rPr>
          <w:color w:val="000000"/>
          <w:szCs w:val="28"/>
        </w:rPr>
        <w:t xml:space="preserve"> of the </w:t>
      </w:r>
      <w:r w:rsidR="00A5228C" w:rsidRPr="00A5228C">
        <w:rPr>
          <w:color w:val="000000"/>
          <w:szCs w:val="28"/>
        </w:rPr>
        <w:t>appellant</w:t>
      </w:r>
      <w:r w:rsidR="00A5228C">
        <w:rPr>
          <w:color w:val="000000"/>
          <w:szCs w:val="28"/>
        </w:rPr>
        <w:t xml:space="preserve">’s </w:t>
      </w:r>
      <w:r w:rsidR="00A5228C" w:rsidRPr="00A5228C">
        <w:rPr>
          <w:color w:val="000000"/>
          <w:szCs w:val="28"/>
        </w:rPr>
        <w:t>ground of appeal</w:t>
      </w:r>
      <w:r w:rsidR="00A5228C">
        <w:rPr>
          <w:color w:val="000000"/>
          <w:szCs w:val="28"/>
        </w:rPr>
        <w:t xml:space="preserve">:   </w:t>
      </w:r>
    </w:p>
    <w:p w:rsidR="007A0F77" w:rsidRDefault="007A0F77" w:rsidP="007A0F77">
      <w:pPr>
        <w:pStyle w:val="Quotation"/>
        <w:rPr>
          <w:color w:val="000000"/>
          <w:szCs w:val="28"/>
        </w:rPr>
      </w:pPr>
      <w:r>
        <w:t>“</w:t>
      </w:r>
      <w:r w:rsidR="00342BD5">
        <w:t>17. …</w:t>
      </w:r>
      <w:r w:rsidR="006310A1">
        <w:t>But both issues (</w:t>
      </w:r>
      <w:proofErr w:type="spellStart"/>
      <w:r w:rsidR="006310A1">
        <w:t>viz</w:t>
      </w:r>
      <w:proofErr w:type="spellEnd"/>
      <w:r w:rsidR="006310A1">
        <w:t xml:space="preserve"> whether the appellants made the statements and whether they were induced by oppression) remained live before the jury. The claim that the statements had not been made does not extinguish as an issue which the jury had to decide, whether, if they had been made and were true, they had been procured by violence. A </w:t>
      </w:r>
      <w:proofErr w:type="spellStart"/>
      <w:r w:rsidR="006310A1" w:rsidRPr="007A0F77">
        <w:rPr>
          <w:i/>
        </w:rPr>
        <w:t>Mushtaq</w:t>
      </w:r>
      <w:proofErr w:type="spellEnd"/>
      <w:r w:rsidR="006310A1">
        <w:t xml:space="preserve"> direction was therefore required. The question is whether the judge’s charge to the jury contained the elements of such a direction.</w:t>
      </w:r>
      <w:r w:rsidR="00886EDF">
        <w:rPr>
          <w:color w:val="000000"/>
          <w:szCs w:val="28"/>
        </w:rPr>
        <w:t xml:space="preserve"> </w:t>
      </w:r>
    </w:p>
    <w:p w:rsidR="007A0F77" w:rsidRDefault="007A0F77" w:rsidP="007A0F77">
      <w:pPr>
        <w:pStyle w:val="Quotation"/>
      </w:pPr>
      <w:r>
        <w:t>18.</w:t>
      </w:r>
      <w:r>
        <w:tab/>
        <w:t xml:space="preserve">The judge gave the following instruction to the jury: </w:t>
      </w:r>
    </w:p>
    <w:p w:rsidR="007A0F77" w:rsidRDefault="007A0F77" w:rsidP="007A0F77">
      <w:pPr>
        <w:pStyle w:val="Quotation"/>
        <w:tabs>
          <w:tab w:val="clear" w:pos="1440"/>
        </w:tabs>
        <w:ind w:left="1980" w:right="1251" w:hanging="540"/>
      </w:pPr>
      <w:r>
        <w:tab/>
        <w:t xml:space="preserve">‘The question for you to ask is whether you believe that either of the accused was forced in any way to dictate any statement or to sign any statement. If you believe that they were forced, or you think that they may have been forced in some way to sign the statement then you would have to disregard the statement. It is only if you are sure that the statement was given in the circumstances as related by the witnesses for the State, then you are to accept that the statement was made and then proceed to consider whether the statement was true.’ </w:t>
      </w:r>
    </w:p>
    <w:p w:rsidR="00677FCC" w:rsidRDefault="007A0F77" w:rsidP="007A0F77">
      <w:pPr>
        <w:pStyle w:val="Quotation"/>
        <w:rPr>
          <w:color w:val="000000"/>
          <w:szCs w:val="28"/>
        </w:rPr>
      </w:pPr>
      <w:r>
        <w:t>19.</w:t>
      </w:r>
      <w:r>
        <w:tab/>
        <w:t xml:space="preserve">This direction effectively removed from the range of options available to the jury that they could act on the statements if they considered that they had been signed (or might have been signed) as a result of improper conduct on the part of the police, even if they believed the statements to be true. These instructions to the </w:t>
      </w:r>
      <w:r>
        <w:lastRenderedPageBreak/>
        <w:t xml:space="preserve">jury therefore contained all the necessary elements of a </w:t>
      </w:r>
      <w:proofErr w:type="spellStart"/>
      <w:r w:rsidRPr="007A0F77">
        <w:rPr>
          <w:i/>
        </w:rPr>
        <w:t>Mushtaq</w:t>
      </w:r>
      <w:proofErr w:type="spellEnd"/>
      <w:r>
        <w:t xml:space="preserve"> direction. The appellants’ argument on this ground fails.</w:t>
      </w:r>
      <w:r>
        <w:rPr>
          <w:color w:val="000000"/>
          <w:szCs w:val="28"/>
        </w:rPr>
        <w:t>”</w:t>
      </w:r>
      <w:r w:rsidR="00696888">
        <w:rPr>
          <w:rStyle w:val="FootnoteReference"/>
          <w:color w:val="000000"/>
          <w:szCs w:val="28"/>
        </w:rPr>
        <w:footnoteReference w:id="29"/>
      </w:r>
    </w:p>
    <w:p w:rsidR="00CE43A8" w:rsidRDefault="00FF549C" w:rsidP="006F01A8">
      <w:pPr>
        <w:pStyle w:val="Final"/>
        <w:ind w:left="0" w:firstLine="0"/>
        <w:rPr>
          <w:color w:val="000000"/>
          <w:szCs w:val="28"/>
        </w:rPr>
      </w:pPr>
      <w:r>
        <w:rPr>
          <w:color w:val="000000"/>
          <w:szCs w:val="28"/>
        </w:rPr>
        <w:t>As it</w:t>
      </w:r>
      <w:r w:rsidR="00696888">
        <w:rPr>
          <w:color w:val="000000"/>
          <w:szCs w:val="28"/>
        </w:rPr>
        <w:t xml:space="preserve"> is accepted by the parties that</w:t>
      </w:r>
      <w:r w:rsidR="00DA6C84">
        <w:rPr>
          <w:color w:val="000000"/>
          <w:szCs w:val="28"/>
        </w:rPr>
        <w:t xml:space="preserve"> in the present case</w:t>
      </w:r>
      <w:r w:rsidR="00696888">
        <w:rPr>
          <w:color w:val="000000"/>
          <w:szCs w:val="28"/>
        </w:rPr>
        <w:t xml:space="preserve"> </w:t>
      </w:r>
      <w:r w:rsidR="00504A03">
        <w:rPr>
          <w:color w:val="000000"/>
          <w:szCs w:val="28"/>
        </w:rPr>
        <w:t xml:space="preserve">the </w:t>
      </w:r>
      <w:r w:rsidR="00504A03" w:rsidRPr="00504A03">
        <w:rPr>
          <w:color w:val="000000"/>
          <w:kern w:val="2"/>
          <w:szCs w:val="28"/>
          <w:lang w:val="en-US"/>
        </w:rPr>
        <w:t>judge</w:t>
      </w:r>
      <w:r w:rsidR="00504A03">
        <w:rPr>
          <w:color w:val="000000"/>
          <w:szCs w:val="28"/>
        </w:rPr>
        <w:t xml:space="preserve"> purported to follow </w:t>
      </w:r>
      <w:r w:rsidR="00CE43A8">
        <w:rPr>
          <w:color w:val="000000"/>
          <w:szCs w:val="28"/>
        </w:rPr>
        <w:t>Specimen Direction</w:t>
      </w:r>
      <w:r w:rsidR="00A219F5">
        <w:rPr>
          <w:color w:val="000000"/>
          <w:szCs w:val="28"/>
        </w:rPr>
        <w:t xml:space="preserve"> 39.1</w:t>
      </w:r>
      <w:r w:rsidR="00504A03">
        <w:rPr>
          <w:color w:val="000000"/>
          <w:szCs w:val="28"/>
        </w:rPr>
        <w:t xml:space="preserve">, </w:t>
      </w:r>
      <w:r w:rsidR="00CE43A8">
        <w:rPr>
          <w:color w:val="000000"/>
          <w:szCs w:val="28"/>
        </w:rPr>
        <w:t xml:space="preserve">it is </w:t>
      </w:r>
      <w:r w:rsidR="00696888">
        <w:rPr>
          <w:color w:val="000000"/>
          <w:szCs w:val="28"/>
        </w:rPr>
        <w:t xml:space="preserve">appropriate to start with a consideration of </w:t>
      </w:r>
      <w:r w:rsidR="00A219F5">
        <w:rPr>
          <w:color w:val="000000"/>
          <w:szCs w:val="28"/>
        </w:rPr>
        <w:t>it</w:t>
      </w:r>
      <w:r w:rsidR="00CE43A8">
        <w:rPr>
          <w:color w:val="000000"/>
          <w:szCs w:val="28"/>
        </w:rPr>
        <w:t>.</w:t>
      </w:r>
    </w:p>
    <w:p w:rsidR="005A7F62" w:rsidRDefault="005A7F62" w:rsidP="006F01A8">
      <w:pPr>
        <w:pStyle w:val="Final"/>
        <w:ind w:left="0" w:firstLine="0"/>
        <w:rPr>
          <w:color w:val="000000"/>
          <w:szCs w:val="28"/>
        </w:rPr>
      </w:pPr>
      <w:r>
        <w:rPr>
          <w:color w:val="000000"/>
          <w:szCs w:val="28"/>
        </w:rPr>
        <w:t xml:space="preserve">Specimen Direction </w:t>
      </w:r>
      <w:r w:rsidR="00987648">
        <w:rPr>
          <w:color w:val="000000"/>
          <w:szCs w:val="28"/>
        </w:rPr>
        <w:t>39</w:t>
      </w:r>
      <w:r w:rsidR="002A7C31">
        <w:rPr>
          <w:color w:val="000000"/>
          <w:szCs w:val="28"/>
        </w:rPr>
        <w:t>.1</w:t>
      </w:r>
      <w:r w:rsidR="00987648">
        <w:rPr>
          <w:color w:val="000000"/>
          <w:szCs w:val="28"/>
        </w:rPr>
        <w:t xml:space="preserve"> </w:t>
      </w:r>
      <w:r w:rsidR="00A219F5">
        <w:rPr>
          <w:color w:val="000000"/>
          <w:szCs w:val="28"/>
        </w:rPr>
        <w:t>reads</w:t>
      </w:r>
      <w:r w:rsidR="00C34C52">
        <w:rPr>
          <w:color w:val="000000"/>
          <w:szCs w:val="28"/>
        </w:rPr>
        <w:t xml:space="preserve"> </w:t>
      </w:r>
      <w:r>
        <w:rPr>
          <w:color w:val="000000"/>
          <w:szCs w:val="28"/>
        </w:rPr>
        <w:t>as follows:</w:t>
      </w:r>
    </w:p>
    <w:p w:rsidR="006A4372" w:rsidRDefault="006A4372" w:rsidP="006A4372">
      <w:pPr>
        <w:pStyle w:val="Quotation"/>
        <w:rPr>
          <w:lang w:val="en-US"/>
        </w:rPr>
      </w:pPr>
      <w:r>
        <w:rPr>
          <w:lang w:val="en-US"/>
        </w:rPr>
        <w:t xml:space="preserve">“There have been produced records of certain interviews which the police say they conducted with the defendant. The prosecution assert that [although you should not accept everything said by the defendant to the police as accurate] nonetheless the interviews contain admissions by the defendant that </w:t>
      </w:r>
      <w:r w:rsidRPr="00380419">
        <w:rPr>
          <w:i/>
          <w:lang w:val="en-US"/>
        </w:rPr>
        <w:t>(state the essence of the admissions)</w:t>
      </w:r>
      <w:r>
        <w:rPr>
          <w:lang w:val="en-US"/>
        </w:rPr>
        <w:t xml:space="preserve"> and the prosecution further contend that those admissions are true.</w:t>
      </w:r>
    </w:p>
    <w:p w:rsidR="006A4372" w:rsidRDefault="006A4372" w:rsidP="006A4372">
      <w:pPr>
        <w:pStyle w:val="Quotation"/>
        <w:rPr>
          <w:lang w:val="en-US"/>
        </w:rPr>
      </w:pPr>
      <w:r>
        <w:rPr>
          <w:lang w:val="en-US"/>
        </w:rPr>
        <w:t xml:space="preserve">The defendant’s case is that [he made none of those admissions and that they were fabricated by the police {but that to the extent that he is said to have adopted the admissions by appending his signature to those documents he was forced to do so; that the signatures are therefore worthless; and that the admissions are untrue}] [although he made the confession it is not true]. </w:t>
      </w:r>
    </w:p>
    <w:p w:rsidR="006A4372" w:rsidRDefault="006A4372" w:rsidP="006A4372">
      <w:pPr>
        <w:pStyle w:val="Quotation"/>
        <w:rPr>
          <w:lang w:val="en-US"/>
        </w:rPr>
      </w:pPr>
      <w:r>
        <w:rPr>
          <w:lang w:val="en-US"/>
        </w:rPr>
        <w:t>In deciding whether you can safely rely upon the admissions, you must decide two issues:</w:t>
      </w:r>
    </w:p>
    <w:p w:rsidR="006A4372" w:rsidRDefault="006A4372" w:rsidP="006A4372">
      <w:pPr>
        <w:pStyle w:val="Quotation"/>
        <w:tabs>
          <w:tab w:val="clear" w:pos="1440"/>
        </w:tabs>
        <w:ind w:left="1980" w:hanging="540"/>
        <w:rPr>
          <w:lang w:val="en-US"/>
        </w:rPr>
      </w:pPr>
      <w:r>
        <w:rPr>
          <w:lang w:val="en-US"/>
        </w:rPr>
        <w:t>1.</w:t>
      </w:r>
      <w:r>
        <w:rPr>
          <w:lang w:val="en-US"/>
        </w:rPr>
        <w:tab/>
        <w:t xml:space="preserve">Did the defendant in fact make the admissions? If you are not sure that he did, you must ignore them. </w:t>
      </w:r>
      <w:proofErr w:type="gramStart"/>
      <w:r>
        <w:rPr>
          <w:lang w:val="en-US"/>
        </w:rPr>
        <w:t>If</w:t>
      </w:r>
      <w:proofErr w:type="gramEnd"/>
      <w:r>
        <w:rPr>
          <w:lang w:val="en-US"/>
        </w:rPr>
        <w:t xml:space="preserve"> however you are sure he did, then: </w:t>
      </w:r>
    </w:p>
    <w:p w:rsidR="006A4372" w:rsidRDefault="006A4372" w:rsidP="006A4372">
      <w:pPr>
        <w:pStyle w:val="Quotation"/>
        <w:tabs>
          <w:tab w:val="clear" w:pos="1440"/>
        </w:tabs>
        <w:ind w:left="1980" w:hanging="540"/>
        <w:rPr>
          <w:lang w:val="en-US"/>
        </w:rPr>
      </w:pPr>
      <w:r>
        <w:rPr>
          <w:lang w:val="en-US"/>
        </w:rPr>
        <w:t>2.</w:t>
      </w:r>
      <w:r>
        <w:rPr>
          <w:lang w:val="en-US"/>
        </w:rPr>
        <w:tab/>
        <w:t>Are you sure that the admissions are true? In addressing that issue (whether the admissions / answers were true) decide whether they were, or may have been, made or given as a result of [oppression] [something said or done which was likely to render them unreliable]. If you conclude that the admissions / answers were or may have been obtained by (identifying the person or persons in authority) as a result of [oppression] [something said or done which was likely to render them unreliable] then you must disregard the admissions / answers.</w:t>
      </w:r>
    </w:p>
    <w:p w:rsidR="006A4372" w:rsidRDefault="006A4372" w:rsidP="006A4372">
      <w:pPr>
        <w:pStyle w:val="Quotation"/>
        <w:rPr>
          <w:lang w:val="en-US"/>
        </w:rPr>
      </w:pPr>
      <w:r>
        <w:rPr>
          <w:lang w:val="en-US"/>
        </w:rPr>
        <w:t>In this case, the defendant alleges that (</w:t>
      </w:r>
      <w:proofErr w:type="spellStart"/>
      <w:r>
        <w:rPr>
          <w:lang w:val="en-US"/>
        </w:rPr>
        <w:t>summarise</w:t>
      </w:r>
      <w:proofErr w:type="spellEnd"/>
      <w:r>
        <w:rPr>
          <w:lang w:val="en-US"/>
        </w:rPr>
        <w:t xml:space="preserve"> the allegation). If you conclude that that allegation is or may be correct and that the admissions / answers were or may have been obtained as a </w:t>
      </w:r>
      <w:r>
        <w:rPr>
          <w:lang w:val="en-US"/>
        </w:rPr>
        <w:lastRenderedPageBreak/>
        <w:t>result of that conduct, then you must disregard the admissions / answers.</w:t>
      </w:r>
    </w:p>
    <w:p w:rsidR="006A4372" w:rsidRDefault="006A4372" w:rsidP="006A4372">
      <w:pPr>
        <w:pStyle w:val="Quotation"/>
        <w:rPr>
          <w:lang w:val="en-US"/>
        </w:rPr>
      </w:pPr>
      <w:r>
        <w:rPr>
          <w:lang w:val="en-US"/>
        </w:rPr>
        <w:t>If, however, you are sure that the defendant made the admissions and that they were not obtained in that way, you must nonetheless decide whether you are sure that the admissions are true. If, for whatever reason, you are not sure that the admissions are true, you must disregard them. If on the other hand, you are sure that they are true, you may rely on them</w:t>
      </w:r>
      <w:r w:rsidRPr="00380419">
        <w:rPr>
          <w:i/>
          <w:lang w:val="en-US"/>
        </w:rPr>
        <w:t>. (Remind the jury of any specific weaknesses in the confession evidence which may reflect on its reliability.)</w:t>
      </w:r>
      <w:r>
        <w:rPr>
          <w:lang w:val="en-US"/>
        </w:rPr>
        <w:t xml:space="preserve">” </w:t>
      </w:r>
    </w:p>
    <w:p w:rsidR="00C76C1D" w:rsidRDefault="00C76C1D" w:rsidP="00C76C1D">
      <w:pPr>
        <w:pStyle w:val="Final"/>
        <w:ind w:left="0" w:firstLine="0"/>
        <w:rPr>
          <w:lang w:val="en-US"/>
        </w:rPr>
      </w:pPr>
      <w:r>
        <w:rPr>
          <w:lang w:val="en-US"/>
        </w:rPr>
        <w:t xml:space="preserve">As can be seen, the </w:t>
      </w:r>
      <w:r w:rsidRPr="00C76C1D">
        <w:rPr>
          <w:lang w:val="en-US"/>
        </w:rPr>
        <w:t>Specimen Direction</w:t>
      </w:r>
      <w:r>
        <w:rPr>
          <w:lang w:val="en-US"/>
        </w:rPr>
        <w:t xml:space="preserve"> employs a two issue approach for the jury to adopt in their </w:t>
      </w:r>
      <w:r w:rsidRPr="00C76C1D">
        <w:rPr>
          <w:lang w:val="en-US"/>
        </w:rPr>
        <w:t>application</w:t>
      </w:r>
      <w:r>
        <w:rPr>
          <w:lang w:val="en-US"/>
        </w:rPr>
        <w:t xml:space="preserve"> of the direction.  The two issues for the jury to resolve are:</w:t>
      </w:r>
    </w:p>
    <w:p w:rsidR="00C76C1D" w:rsidRDefault="00C76C1D" w:rsidP="00B2254C">
      <w:pPr>
        <w:pStyle w:val="Hanging"/>
        <w:rPr>
          <w:lang w:val="en-US"/>
        </w:rPr>
      </w:pPr>
      <w:r>
        <w:rPr>
          <w:lang w:val="en-US"/>
        </w:rPr>
        <w:t>1)</w:t>
      </w:r>
      <w:r>
        <w:rPr>
          <w:lang w:val="en-US"/>
        </w:rPr>
        <w:tab/>
        <w:t xml:space="preserve">did the </w:t>
      </w:r>
      <w:r w:rsidRPr="00C76C1D">
        <w:rPr>
          <w:kern w:val="0"/>
          <w:lang w:val="en-US" w:eastAsia="zh-TW"/>
        </w:rPr>
        <w:t>defendant</w:t>
      </w:r>
      <w:r>
        <w:rPr>
          <w:lang w:val="en-US"/>
        </w:rPr>
        <w:t xml:space="preserve"> make the admission</w:t>
      </w:r>
      <w:r w:rsidR="00C4128A">
        <w:rPr>
          <w:lang w:val="en-US"/>
        </w:rPr>
        <w:t>s</w:t>
      </w:r>
      <w:r>
        <w:rPr>
          <w:lang w:val="en-US"/>
        </w:rPr>
        <w:t>; and</w:t>
      </w:r>
    </w:p>
    <w:p w:rsidR="00C76C1D" w:rsidRDefault="00C76C1D" w:rsidP="00B2254C">
      <w:pPr>
        <w:pStyle w:val="Hanging"/>
        <w:rPr>
          <w:lang w:val="en-US"/>
        </w:rPr>
      </w:pPr>
      <w:r>
        <w:rPr>
          <w:lang w:val="en-US"/>
        </w:rPr>
        <w:t>2)</w:t>
      </w:r>
      <w:r>
        <w:rPr>
          <w:lang w:val="en-US"/>
        </w:rPr>
        <w:tab/>
        <w:t>are the admissions true.</w:t>
      </w:r>
    </w:p>
    <w:p w:rsidR="00492BD3" w:rsidRDefault="006047C0" w:rsidP="00C76C1D">
      <w:pPr>
        <w:pStyle w:val="Final"/>
        <w:ind w:left="0" w:firstLine="0"/>
        <w:rPr>
          <w:lang w:val="en-US"/>
        </w:rPr>
      </w:pPr>
      <w:r>
        <w:rPr>
          <w:lang w:val="en-US"/>
        </w:rPr>
        <w:t>At first glance it would appear that t</w:t>
      </w:r>
      <w:r w:rsidR="005504BA">
        <w:rPr>
          <w:lang w:val="en-US"/>
        </w:rPr>
        <w:t xml:space="preserve">he Specimen Direction assumes that the </w:t>
      </w:r>
      <w:proofErr w:type="spellStart"/>
      <w:r w:rsidR="00C76C1D" w:rsidRPr="00193B20">
        <w:rPr>
          <w:i/>
          <w:lang w:val="en-US"/>
        </w:rPr>
        <w:t>Mushtaq</w:t>
      </w:r>
      <w:proofErr w:type="spellEnd"/>
      <w:r w:rsidR="00C76C1D">
        <w:rPr>
          <w:lang w:val="en-US"/>
        </w:rPr>
        <w:t xml:space="preserve"> message is </w:t>
      </w:r>
      <w:r w:rsidR="00C4128A">
        <w:rPr>
          <w:lang w:val="en-US"/>
        </w:rPr>
        <w:t xml:space="preserve">bound </w:t>
      </w:r>
      <w:r w:rsidR="00C76C1D">
        <w:rPr>
          <w:lang w:val="en-US"/>
        </w:rPr>
        <w:t xml:space="preserve">up in the second issue </w:t>
      </w:r>
      <w:r w:rsidR="001C791D">
        <w:rPr>
          <w:lang w:val="en-US"/>
        </w:rPr>
        <w:t xml:space="preserve">of whether the admissions are true, implying that is the only relevance of the </w:t>
      </w:r>
      <w:proofErr w:type="spellStart"/>
      <w:r w:rsidR="001C791D">
        <w:rPr>
          <w:lang w:val="en-US"/>
        </w:rPr>
        <w:t>defence</w:t>
      </w:r>
      <w:proofErr w:type="spellEnd"/>
      <w:r w:rsidR="001C791D">
        <w:rPr>
          <w:lang w:val="en-US"/>
        </w:rPr>
        <w:t xml:space="preserve"> allegations of oppression.  </w:t>
      </w:r>
      <w:r w:rsidR="009F5F08">
        <w:rPr>
          <w:lang w:val="en-US"/>
        </w:rPr>
        <w:t>Such a view reflects the pre-</w:t>
      </w:r>
      <w:proofErr w:type="spellStart"/>
      <w:r w:rsidR="009F5F08" w:rsidRPr="009F5F08">
        <w:rPr>
          <w:i/>
          <w:lang w:val="en-US"/>
        </w:rPr>
        <w:t>Mushtaq</w:t>
      </w:r>
      <w:proofErr w:type="spellEnd"/>
      <w:r w:rsidR="009F5F08">
        <w:rPr>
          <w:lang w:val="en-US"/>
        </w:rPr>
        <w:t xml:space="preserve"> legal position but not the position as established by </w:t>
      </w:r>
      <w:proofErr w:type="spellStart"/>
      <w:r w:rsidR="009F5F08" w:rsidRPr="009F5F08">
        <w:rPr>
          <w:i/>
          <w:lang w:val="en-US"/>
        </w:rPr>
        <w:t>Mushtaq</w:t>
      </w:r>
      <w:proofErr w:type="spellEnd"/>
      <w:r w:rsidR="00492BD3">
        <w:rPr>
          <w:i/>
          <w:lang w:val="en-US"/>
        </w:rPr>
        <w:t xml:space="preserve">.  </w:t>
      </w:r>
      <w:r w:rsidR="00492BD3" w:rsidRPr="00492BD3">
        <w:rPr>
          <w:lang w:val="en-US"/>
        </w:rPr>
        <w:t xml:space="preserve">This </w:t>
      </w:r>
      <w:r w:rsidR="00492BD3">
        <w:rPr>
          <w:lang w:val="en-US"/>
        </w:rPr>
        <w:t xml:space="preserve">point was made by the </w:t>
      </w:r>
      <w:r w:rsidR="00492BD3" w:rsidRPr="00492BD3">
        <w:rPr>
          <w:kern w:val="2"/>
          <w:lang w:val="en-US"/>
        </w:rPr>
        <w:t>Court of Final Appeal</w:t>
      </w:r>
      <w:r w:rsidR="00492BD3">
        <w:rPr>
          <w:lang w:val="en-US"/>
        </w:rPr>
        <w:t xml:space="preserve"> in </w:t>
      </w:r>
      <w:r w:rsidR="00492BD3" w:rsidRPr="00492BD3">
        <w:rPr>
          <w:i/>
          <w:lang w:val="en-US"/>
        </w:rPr>
        <w:t xml:space="preserve">Pang </w:t>
      </w:r>
      <w:proofErr w:type="spellStart"/>
      <w:r w:rsidR="00492BD3" w:rsidRPr="00492BD3">
        <w:rPr>
          <w:i/>
          <w:lang w:val="en-US"/>
        </w:rPr>
        <w:t>Hiu</w:t>
      </w:r>
      <w:proofErr w:type="spellEnd"/>
      <w:r w:rsidR="00492BD3" w:rsidRPr="00492BD3">
        <w:rPr>
          <w:i/>
          <w:lang w:val="en-US"/>
        </w:rPr>
        <w:t xml:space="preserve"> San</w:t>
      </w:r>
      <w:r w:rsidR="00492BD3">
        <w:rPr>
          <w:lang w:val="en-US"/>
        </w:rPr>
        <w:t xml:space="preserve"> when it said:</w:t>
      </w:r>
    </w:p>
    <w:p w:rsidR="009F5F08" w:rsidRPr="00492BD3" w:rsidRDefault="00492BD3" w:rsidP="00492BD3">
      <w:pPr>
        <w:pStyle w:val="Quotation"/>
      </w:pPr>
      <w:r w:rsidRPr="00492BD3">
        <w:t>“</w:t>
      </w:r>
      <w:r w:rsidR="00342BD5">
        <w:t>47. …</w:t>
      </w:r>
      <w:r w:rsidRPr="00492BD3">
        <w:t xml:space="preserve">On the </w:t>
      </w:r>
      <w:proofErr w:type="spellStart"/>
      <w:r w:rsidRPr="00492BD3">
        <w:rPr>
          <w:rStyle w:val="Emphasis"/>
          <w:iCs w:val="0"/>
        </w:rPr>
        <w:t>voir</w:t>
      </w:r>
      <w:proofErr w:type="spellEnd"/>
      <w:r w:rsidRPr="00492BD3">
        <w:rPr>
          <w:rStyle w:val="Emphasis"/>
          <w:iCs w:val="0"/>
        </w:rPr>
        <w:t xml:space="preserve"> dire</w:t>
      </w:r>
      <w:r w:rsidRPr="00492BD3">
        <w:t xml:space="preserve"> the court is not concerned with the reliability of the confession. A true but involuntary confession may not be admitted. After the </w:t>
      </w:r>
      <w:proofErr w:type="spellStart"/>
      <w:r w:rsidRPr="00492BD3">
        <w:rPr>
          <w:rStyle w:val="Emphasis"/>
          <w:iCs w:val="0"/>
        </w:rPr>
        <w:t>voir</w:t>
      </w:r>
      <w:proofErr w:type="spellEnd"/>
      <w:r w:rsidRPr="00492BD3">
        <w:rPr>
          <w:rStyle w:val="Emphasis"/>
          <w:iCs w:val="0"/>
        </w:rPr>
        <w:t xml:space="preserve"> dire</w:t>
      </w:r>
      <w:r w:rsidRPr="00492BD3">
        <w:t xml:space="preserve">, the issue of the voluntariness of the statement may be repeated before the jury. With respect, we cannot agree with </w:t>
      </w:r>
      <w:proofErr w:type="spellStart"/>
      <w:r w:rsidRPr="00492BD3">
        <w:rPr>
          <w:rStyle w:val="Emphasis"/>
          <w:iCs w:val="0"/>
        </w:rPr>
        <w:t>Basto</w:t>
      </w:r>
      <w:proofErr w:type="spellEnd"/>
      <w:r w:rsidRPr="00492BD3">
        <w:rPr>
          <w:rStyle w:val="Emphasis"/>
          <w:iCs w:val="0"/>
        </w:rPr>
        <w:t xml:space="preserve"> v The Queen</w:t>
      </w:r>
      <w:r w:rsidRPr="00492BD3">
        <w:t xml:space="preserve"> that voluntariness is only concerned with admissibility. The jury is as much concerned with the voluntariness of the confession as the judge. Though, prior to </w:t>
      </w:r>
      <w:r w:rsidRPr="00492BD3">
        <w:rPr>
          <w:rStyle w:val="Emphasis"/>
          <w:iCs w:val="0"/>
        </w:rPr>
        <w:t xml:space="preserve">R v </w:t>
      </w:r>
      <w:proofErr w:type="spellStart"/>
      <w:r w:rsidRPr="00492BD3">
        <w:rPr>
          <w:rStyle w:val="Emphasis"/>
          <w:iCs w:val="0"/>
        </w:rPr>
        <w:t>Mushtaq</w:t>
      </w:r>
      <w:proofErr w:type="spellEnd"/>
      <w:r w:rsidRPr="00492BD3">
        <w:t>, only as far as its voluntariness might affect reliability.</w:t>
      </w:r>
      <w:bookmarkStart w:id="1" w:name="r31"/>
      <w:r w:rsidR="00342BD5">
        <w:t>”</w:t>
      </w:r>
      <w:r w:rsidR="00811EB5">
        <w:rPr>
          <w:rStyle w:val="FootnoteReference"/>
        </w:rPr>
        <w:footnoteReference w:id="30"/>
      </w:r>
      <w:hyperlink r:id="rId9" w:anchor="f31" w:history="1"/>
      <w:bookmarkEnd w:id="1"/>
    </w:p>
    <w:p w:rsidR="005C4FF3" w:rsidRDefault="00504A03" w:rsidP="00C76C1D">
      <w:pPr>
        <w:pStyle w:val="Final"/>
        <w:ind w:left="0" w:firstLine="0"/>
        <w:rPr>
          <w:lang w:val="en-US"/>
        </w:rPr>
      </w:pPr>
      <w:r>
        <w:rPr>
          <w:lang w:val="en-US"/>
        </w:rPr>
        <w:lastRenderedPageBreak/>
        <w:t xml:space="preserve">Linking the voluntariness of the confession to the issue of its truth </w:t>
      </w:r>
      <w:r w:rsidR="001C791D">
        <w:rPr>
          <w:lang w:val="en-US"/>
        </w:rPr>
        <w:t xml:space="preserve">creates the risk that the jury </w:t>
      </w:r>
      <w:r w:rsidR="00C34C52">
        <w:rPr>
          <w:lang w:val="en-US"/>
        </w:rPr>
        <w:t xml:space="preserve">might </w:t>
      </w:r>
      <w:r w:rsidR="001C791D">
        <w:rPr>
          <w:lang w:val="en-US"/>
        </w:rPr>
        <w:t xml:space="preserve">conclude that the confession was true, and thereafter act upon it, even though they are persuaded that the allegations </w:t>
      </w:r>
      <w:r w:rsidR="00C34C52">
        <w:rPr>
          <w:lang w:val="en-US"/>
        </w:rPr>
        <w:t xml:space="preserve">of the </w:t>
      </w:r>
      <w:proofErr w:type="spellStart"/>
      <w:r w:rsidR="00C34C52">
        <w:rPr>
          <w:lang w:val="en-US"/>
        </w:rPr>
        <w:t>defence</w:t>
      </w:r>
      <w:proofErr w:type="spellEnd"/>
      <w:r w:rsidR="00C34C52">
        <w:rPr>
          <w:lang w:val="en-US"/>
        </w:rPr>
        <w:t xml:space="preserve"> that the confession was oppressively obtained </w:t>
      </w:r>
      <w:r w:rsidR="003A4508">
        <w:rPr>
          <w:lang w:val="en-US"/>
        </w:rPr>
        <w:t xml:space="preserve">are or </w:t>
      </w:r>
      <w:r w:rsidR="001C791D">
        <w:rPr>
          <w:lang w:val="en-US"/>
        </w:rPr>
        <w:t xml:space="preserve">may be correct.  </w:t>
      </w:r>
      <w:r w:rsidR="005C4FF3">
        <w:rPr>
          <w:lang w:val="en-US"/>
        </w:rPr>
        <w:t xml:space="preserve">That is precisely the form of reasoning that the </w:t>
      </w:r>
      <w:proofErr w:type="spellStart"/>
      <w:r w:rsidR="005C4FF3" w:rsidRPr="00B34A74">
        <w:rPr>
          <w:i/>
          <w:lang w:val="en-US"/>
        </w:rPr>
        <w:t>Mushtaq</w:t>
      </w:r>
      <w:proofErr w:type="spellEnd"/>
      <w:r w:rsidR="005C4FF3">
        <w:rPr>
          <w:lang w:val="en-US"/>
        </w:rPr>
        <w:t xml:space="preserve"> direction is designed to prevent.  To say that </w:t>
      </w:r>
      <w:proofErr w:type="spellStart"/>
      <w:r w:rsidR="005C4FF3" w:rsidRPr="00B34A74">
        <w:rPr>
          <w:i/>
          <w:lang w:val="en-US"/>
        </w:rPr>
        <w:t>Mushtaq</w:t>
      </w:r>
      <w:proofErr w:type="spellEnd"/>
      <w:r w:rsidR="005C4FF3">
        <w:rPr>
          <w:lang w:val="en-US"/>
        </w:rPr>
        <w:t xml:space="preserve"> requires the jury to be directed that </w:t>
      </w:r>
      <w:r w:rsidR="0034515A">
        <w:rPr>
          <w:lang w:val="en-US"/>
        </w:rPr>
        <w:t>if</w:t>
      </w:r>
      <w:r w:rsidR="005C4FF3">
        <w:rPr>
          <w:lang w:val="en-US"/>
        </w:rPr>
        <w:t xml:space="preserve"> they find the </w:t>
      </w:r>
      <w:proofErr w:type="spellStart"/>
      <w:r w:rsidR="005C4FF3">
        <w:rPr>
          <w:lang w:val="en-US"/>
        </w:rPr>
        <w:t>defence</w:t>
      </w:r>
      <w:proofErr w:type="spellEnd"/>
      <w:r w:rsidR="005C4FF3">
        <w:rPr>
          <w:lang w:val="en-US"/>
        </w:rPr>
        <w:t xml:space="preserve"> allegations of oppression are or may be true </w:t>
      </w:r>
      <w:r>
        <w:rPr>
          <w:lang w:val="en-US"/>
        </w:rPr>
        <w:t xml:space="preserve">then they must disregard the confession </w:t>
      </w:r>
      <w:r w:rsidR="00994CE9">
        <w:rPr>
          <w:lang w:val="en-US"/>
        </w:rPr>
        <w:t xml:space="preserve">addresses only one half of </w:t>
      </w:r>
      <w:r w:rsidR="004F620E">
        <w:rPr>
          <w:lang w:val="en-US"/>
        </w:rPr>
        <w:t xml:space="preserve">the dual purposes </w:t>
      </w:r>
      <w:r w:rsidR="00994CE9">
        <w:rPr>
          <w:lang w:val="en-US"/>
        </w:rPr>
        <w:t xml:space="preserve">the </w:t>
      </w:r>
      <w:proofErr w:type="spellStart"/>
      <w:r w:rsidR="00994CE9" w:rsidRPr="00994CE9">
        <w:rPr>
          <w:i/>
          <w:lang w:val="en-US"/>
        </w:rPr>
        <w:t>Mushtaq</w:t>
      </w:r>
      <w:proofErr w:type="spellEnd"/>
      <w:r w:rsidR="003A4508">
        <w:rPr>
          <w:lang w:val="en-US"/>
        </w:rPr>
        <w:t xml:space="preserve"> decision.  It </w:t>
      </w:r>
      <w:r w:rsidR="005C4FF3">
        <w:rPr>
          <w:lang w:val="en-US"/>
        </w:rPr>
        <w:t xml:space="preserve">ignores the </w:t>
      </w:r>
      <w:r w:rsidR="00994CE9">
        <w:rPr>
          <w:lang w:val="en-US"/>
        </w:rPr>
        <w:t xml:space="preserve">very </w:t>
      </w:r>
      <w:r w:rsidR="00A219F5">
        <w:rPr>
          <w:lang w:val="en-US"/>
        </w:rPr>
        <w:t xml:space="preserve">important other purpose that </w:t>
      </w:r>
      <w:r w:rsidR="005C4FF3">
        <w:rPr>
          <w:lang w:val="en-US"/>
        </w:rPr>
        <w:t xml:space="preserve">the direction exists to </w:t>
      </w:r>
      <w:r w:rsidR="004F620E">
        <w:rPr>
          <w:lang w:val="en-US"/>
        </w:rPr>
        <w:t xml:space="preserve">serve, namely, preventing </w:t>
      </w:r>
      <w:r w:rsidR="00A219F5">
        <w:rPr>
          <w:lang w:val="en-US"/>
        </w:rPr>
        <w:t xml:space="preserve">the danger </w:t>
      </w:r>
      <w:r w:rsidR="004F620E">
        <w:rPr>
          <w:lang w:val="en-US"/>
        </w:rPr>
        <w:t>of</w:t>
      </w:r>
      <w:r w:rsidR="005C4FF3">
        <w:rPr>
          <w:lang w:val="en-US"/>
        </w:rPr>
        <w:t xml:space="preserve"> the jury </w:t>
      </w:r>
      <w:r w:rsidR="004F620E">
        <w:rPr>
          <w:lang w:val="en-US"/>
        </w:rPr>
        <w:t xml:space="preserve">impermissibly thinking </w:t>
      </w:r>
      <w:r w:rsidR="005C4FF3">
        <w:rPr>
          <w:lang w:val="en-US"/>
        </w:rPr>
        <w:t>that they can act on an oppressively obtained confession if th</w:t>
      </w:r>
      <w:r>
        <w:rPr>
          <w:lang w:val="en-US"/>
        </w:rPr>
        <w:t xml:space="preserve">ey </w:t>
      </w:r>
      <w:r w:rsidR="004F620E">
        <w:rPr>
          <w:lang w:val="en-US"/>
        </w:rPr>
        <w:t xml:space="preserve">conclude </w:t>
      </w:r>
      <w:r>
        <w:rPr>
          <w:lang w:val="en-US"/>
        </w:rPr>
        <w:t xml:space="preserve">that the confession is, nevertheless, </w:t>
      </w:r>
      <w:r w:rsidR="005C4FF3">
        <w:rPr>
          <w:lang w:val="en-US"/>
        </w:rPr>
        <w:t>t</w:t>
      </w:r>
      <w:r>
        <w:rPr>
          <w:lang w:val="en-US"/>
        </w:rPr>
        <w:t xml:space="preserve">rue.  The importance of preventing </w:t>
      </w:r>
      <w:r w:rsidR="005C4FF3">
        <w:rPr>
          <w:lang w:val="en-US"/>
        </w:rPr>
        <w:t xml:space="preserve">this type of reasoning from occurring was highlighted by the </w:t>
      </w:r>
      <w:r w:rsidR="005C4FF3" w:rsidRPr="005C4FF3">
        <w:rPr>
          <w:kern w:val="2"/>
          <w:lang w:val="en-US"/>
        </w:rPr>
        <w:t>Court of Final Appeal</w:t>
      </w:r>
      <w:r w:rsidR="005C4FF3">
        <w:rPr>
          <w:lang w:val="en-US"/>
        </w:rPr>
        <w:t xml:space="preserve"> in </w:t>
      </w:r>
      <w:r w:rsidR="005C4FF3" w:rsidRPr="005C4FF3">
        <w:rPr>
          <w:i/>
          <w:lang w:val="en-US"/>
        </w:rPr>
        <w:t xml:space="preserve">Pang </w:t>
      </w:r>
      <w:proofErr w:type="spellStart"/>
      <w:r w:rsidR="005C4FF3" w:rsidRPr="005C4FF3">
        <w:rPr>
          <w:i/>
          <w:lang w:val="en-US"/>
        </w:rPr>
        <w:t>Hiu</w:t>
      </w:r>
      <w:proofErr w:type="spellEnd"/>
      <w:r w:rsidR="005C4FF3" w:rsidRPr="005C4FF3">
        <w:rPr>
          <w:i/>
          <w:lang w:val="en-US"/>
        </w:rPr>
        <w:t xml:space="preserve"> San</w:t>
      </w:r>
      <w:r w:rsidR="005C4FF3">
        <w:rPr>
          <w:lang w:val="en-US"/>
        </w:rPr>
        <w:t xml:space="preserve"> </w:t>
      </w:r>
      <w:r>
        <w:rPr>
          <w:lang w:val="en-US"/>
        </w:rPr>
        <w:t>when it said</w:t>
      </w:r>
      <w:r w:rsidR="005C4FF3">
        <w:rPr>
          <w:lang w:val="en-US"/>
        </w:rPr>
        <w:t>:</w:t>
      </w:r>
    </w:p>
    <w:p w:rsidR="00B34A74" w:rsidRPr="00B34A74" w:rsidRDefault="007A69C9" w:rsidP="007A69C9">
      <w:pPr>
        <w:pStyle w:val="Quotation"/>
        <w:tabs>
          <w:tab w:val="clear" w:pos="2016"/>
          <w:tab w:val="left" w:pos="2160"/>
        </w:tabs>
        <w:rPr>
          <w:lang w:val="en"/>
        </w:rPr>
      </w:pPr>
      <w:r>
        <w:rPr>
          <w:lang w:val="en"/>
        </w:rPr>
        <w:t>“</w:t>
      </w:r>
      <w:r w:rsidR="00B34A74" w:rsidRPr="00B34A74">
        <w:rPr>
          <w:lang w:val="en"/>
        </w:rPr>
        <w:t>37.</w:t>
      </w:r>
      <w:r>
        <w:rPr>
          <w:lang w:val="en"/>
        </w:rPr>
        <w:tab/>
      </w:r>
      <w:r w:rsidR="00B34A74" w:rsidRPr="00B34A74">
        <w:rPr>
          <w:lang w:val="en"/>
        </w:rPr>
        <w:t xml:space="preserve">The judge had directed the jury that if they are sure that the accused had made the statement and that it was true they may rely on it: </w:t>
      </w:r>
    </w:p>
    <w:p w:rsidR="00B34A74" w:rsidRPr="00B34A74" w:rsidRDefault="007A69C9" w:rsidP="007A69C9">
      <w:pPr>
        <w:pStyle w:val="Quotation"/>
        <w:tabs>
          <w:tab w:val="clear" w:pos="1440"/>
          <w:tab w:val="clear" w:pos="2016"/>
          <w:tab w:val="clear" w:pos="2448"/>
        </w:tabs>
        <w:ind w:left="2070" w:hanging="630"/>
        <w:rPr>
          <w:lang w:val="en"/>
        </w:rPr>
      </w:pPr>
      <w:r>
        <w:rPr>
          <w:lang w:val="en"/>
        </w:rPr>
        <w:tab/>
      </w:r>
      <w:r w:rsidR="00B34A74" w:rsidRPr="00B34A74">
        <w:rPr>
          <w:lang w:val="en"/>
        </w:rPr>
        <w:t>… even if it was or may have been made as a result of oppression or other improper circumstances.</w:t>
      </w:r>
    </w:p>
    <w:p w:rsidR="00B34A74" w:rsidRPr="00B34A74" w:rsidRDefault="00B34A74" w:rsidP="007A69C9">
      <w:pPr>
        <w:pStyle w:val="Quotation"/>
        <w:tabs>
          <w:tab w:val="clear" w:pos="2016"/>
          <w:tab w:val="left" w:pos="2160"/>
        </w:tabs>
        <w:rPr>
          <w:lang w:val="en"/>
        </w:rPr>
      </w:pPr>
      <w:r w:rsidRPr="00B34A74">
        <w:rPr>
          <w:lang w:val="en"/>
        </w:rPr>
        <w:t>38.</w:t>
      </w:r>
      <w:r w:rsidR="007A69C9">
        <w:rPr>
          <w:lang w:val="en"/>
        </w:rPr>
        <w:tab/>
      </w:r>
      <w:r w:rsidRPr="00B34A74">
        <w:rPr>
          <w:lang w:val="en"/>
        </w:rPr>
        <w:t xml:space="preserve">Hence, Lord Rodger of </w:t>
      </w:r>
      <w:proofErr w:type="spellStart"/>
      <w:r w:rsidRPr="00B34A74">
        <w:rPr>
          <w:lang w:val="en"/>
        </w:rPr>
        <w:t>Earlsferry</w:t>
      </w:r>
      <w:proofErr w:type="spellEnd"/>
      <w:r w:rsidRPr="00B34A74">
        <w:rPr>
          <w:lang w:val="en"/>
        </w:rPr>
        <w:t xml:space="preserve"> pointed out in his judgment (which had the concurrence of Lord Steyn and Lord Phillips) it was important to note that: </w:t>
      </w:r>
    </w:p>
    <w:p w:rsidR="00B34A74" w:rsidRPr="00B34A74" w:rsidRDefault="007A69C9" w:rsidP="007A69C9">
      <w:pPr>
        <w:pStyle w:val="Quotation"/>
        <w:tabs>
          <w:tab w:val="clear" w:pos="1440"/>
          <w:tab w:val="clear" w:pos="2016"/>
        </w:tabs>
        <w:ind w:left="2070" w:hanging="630"/>
        <w:rPr>
          <w:lang w:val="en"/>
        </w:rPr>
      </w:pPr>
      <w:r>
        <w:rPr>
          <w:lang w:val="en"/>
        </w:rPr>
        <w:tab/>
      </w:r>
      <w:r w:rsidR="00B34A74" w:rsidRPr="00B34A74">
        <w:rPr>
          <w:lang w:val="en"/>
        </w:rPr>
        <w:t>the Crown</w:t>
      </w:r>
      <w:r>
        <w:rPr>
          <w:lang w:val="en"/>
        </w:rPr>
        <w:t>’</w:t>
      </w:r>
      <w:r w:rsidR="00B34A74" w:rsidRPr="00B34A74">
        <w:rPr>
          <w:lang w:val="en"/>
        </w:rPr>
        <w:t>s contention is that in cases where the jury have rightly concluded that the confession was obtained by oppression or other improper means, they are to be told that they can still rely on it if they think that it is true.</w:t>
      </w:r>
    </w:p>
    <w:p w:rsidR="00B34A74" w:rsidRPr="00B34A74" w:rsidRDefault="007A69C9" w:rsidP="007A69C9">
      <w:pPr>
        <w:pStyle w:val="Quotation"/>
        <w:tabs>
          <w:tab w:val="clear" w:pos="2016"/>
          <w:tab w:val="left" w:pos="2160"/>
        </w:tabs>
        <w:rPr>
          <w:lang w:val="en"/>
        </w:rPr>
      </w:pPr>
      <w:r>
        <w:rPr>
          <w:lang w:val="en"/>
        </w:rPr>
        <w:t>39.</w:t>
      </w:r>
      <w:r>
        <w:rPr>
          <w:lang w:val="en"/>
        </w:rPr>
        <w:tab/>
      </w:r>
      <w:r w:rsidR="00B34A74" w:rsidRPr="00B34A74">
        <w:rPr>
          <w:lang w:val="en"/>
        </w:rPr>
        <w:t>This stark statement lays bare the importance of the issue. In our respectful view, the majority</w:t>
      </w:r>
      <w:r w:rsidR="00B34A74" w:rsidRPr="00B34A74">
        <w:rPr>
          <w:vertAlign w:val="superscript"/>
          <w:lang w:val="en"/>
        </w:rPr>
        <w:t xml:space="preserve"> </w:t>
      </w:r>
      <w:r w:rsidR="00B34A74" w:rsidRPr="00B34A74">
        <w:rPr>
          <w:lang w:val="en"/>
        </w:rPr>
        <w:t xml:space="preserve">in </w:t>
      </w:r>
      <w:r w:rsidR="00B34A74" w:rsidRPr="00B34A74">
        <w:rPr>
          <w:i/>
          <w:iCs/>
          <w:lang w:val="en"/>
        </w:rPr>
        <w:t xml:space="preserve">R v </w:t>
      </w:r>
      <w:proofErr w:type="spellStart"/>
      <w:r w:rsidR="00B34A74" w:rsidRPr="00B34A74">
        <w:rPr>
          <w:i/>
          <w:iCs/>
          <w:lang w:val="en"/>
        </w:rPr>
        <w:t>Mushtaq</w:t>
      </w:r>
      <w:proofErr w:type="spellEnd"/>
      <w:r w:rsidR="00B34A74" w:rsidRPr="00B34A74">
        <w:rPr>
          <w:lang w:val="en"/>
        </w:rPr>
        <w:t xml:space="preserve"> provided the only acceptable answer.</w:t>
      </w:r>
      <w:r>
        <w:rPr>
          <w:lang w:val="en"/>
        </w:rPr>
        <w:t>”</w:t>
      </w:r>
      <w:r w:rsidR="00342BD5">
        <w:rPr>
          <w:rStyle w:val="FootnoteReference"/>
          <w:lang w:val="en"/>
        </w:rPr>
        <w:footnoteReference w:id="31"/>
      </w:r>
    </w:p>
    <w:p w:rsidR="00C76C1D" w:rsidRDefault="00504A03" w:rsidP="00C76C1D">
      <w:pPr>
        <w:pStyle w:val="Final"/>
        <w:ind w:left="0" w:firstLine="0"/>
        <w:rPr>
          <w:lang w:val="en-US"/>
        </w:rPr>
      </w:pPr>
      <w:r>
        <w:rPr>
          <w:lang w:val="en-US"/>
        </w:rPr>
        <w:lastRenderedPageBreak/>
        <w:t>I</w:t>
      </w:r>
      <w:r w:rsidRPr="00504A03">
        <w:rPr>
          <w:lang w:val="en-US"/>
        </w:rPr>
        <w:t>n respect of</w:t>
      </w:r>
      <w:r>
        <w:rPr>
          <w:lang w:val="en-US"/>
        </w:rPr>
        <w:t xml:space="preserve"> </w:t>
      </w:r>
      <w:r w:rsidR="006047C0">
        <w:rPr>
          <w:lang w:val="en-US"/>
        </w:rPr>
        <w:t xml:space="preserve">the </w:t>
      </w:r>
      <w:r w:rsidRPr="00504A03">
        <w:rPr>
          <w:lang w:val="en-US"/>
        </w:rPr>
        <w:t>Specimen Direction</w:t>
      </w:r>
      <w:r>
        <w:rPr>
          <w:lang w:val="en-US"/>
        </w:rPr>
        <w:t xml:space="preserve"> it is apparent from what the </w:t>
      </w:r>
      <w:r w:rsidRPr="00504A03">
        <w:rPr>
          <w:kern w:val="2"/>
          <w:lang w:val="en-US"/>
        </w:rPr>
        <w:t>Court of Final Appeal</w:t>
      </w:r>
      <w:r>
        <w:rPr>
          <w:lang w:val="en-US"/>
        </w:rPr>
        <w:t xml:space="preserve"> said in </w:t>
      </w:r>
      <w:proofErr w:type="spellStart"/>
      <w:r w:rsidRPr="00504A03">
        <w:rPr>
          <w:i/>
          <w:lang w:val="en-US"/>
        </w:rPr>
        <w:t>Mushtaq</w:t>
      </w:r>
      <w:proofErr w:type="spellEnd"/>
      <w:r>
        <w:rPr>
          <w:lang w:val="en-US"/>
        </w:rPr>
        <w:t xml:space="preserve"> that the Judicial Studies Board</w:t>
      </w:r>
      <w:r w:rsidR="00994CE9">
        <w:rPr>
          <w:rStyle w:val="FootnoteReference"/>
          <w:lang w:val="en-US"/>
        </w:rPr>
        <w:footnoteReference w:id="32"/>
      </w:r>
      <w:r>
        <w:rPr>
          <w:lang w:val="en-US"/>
        </w:rPr>
        <w:t xml:space="preserve"> amended the Direction </w:t>
      </w:r>
      <w:r w:rsidRPr="00504A03">
        <w:rPr>
          <w:lang w:val="en-US"/>
        </w:rPr>
        <w:t>in order to</w:t>
      </w:r>
      <w:r>
        <w:rPr>
          <w:lang w:val="en-US"/>
        </w:rPr>
        <w:t xml:space="preserve"> reflect the </w:t>
      </w:r>
      <w:r w:rsidRPr="00504A03">
        <w:rPr>
          <w:lang w:val="en-US"/>
        </w:rPr>
        <w:t>judgment</w:t>
      </w:r>
      <w:r>
        <w:rPr>
          <w:lang w:val="en-US"/>
        </w:rPr>
        <w:t xml:space="preserve"> in </w:t>
      </w:r>
      <w:proofErr w:type="spellStart"/>
      <w:r w:rsidRPr="00504A03">
        <w:rPr>
          <w:i/>
          <w:lang w:val="en-US"/>
        </w:rPr>
        <w:t>Mushtaq</w:t>
      </w:r>
      <w:proofErr w:type="spellEnd"/>
      <w:r w:rsidR="00A219F5" w:rsidRPr="00A219F5">
        <w:rPr>
          <w:rStyle w:val="FootnoteReference"/>
          <w:lang w:val="en-US"/>
        </w:rPr>
        <w:footnoteReference w:id="33"/>
      </w:r>
      <w:r>
        <w:rPr>
          <w:lang w:val="en-US"/>
        </w:rPr>
        <w:t xml:space="preserve">.  How this was done is made clear in the </w:t>
      </w:r>
      <w:r w:rsidR="006047C0">
        <w:rPr>
          <w:lang w:val="en-US"/>
        </w:rPr>
        <w:t xml:space="preserve">Note to the direction </w:t>
      </w:r>
      <w:r>
        <w:rPr>
          <w:lang w:val="en-US"/>
        </w:rPr>
        <w:t xml:space="preserve">which states </w:t>
      </w:r>
      <w:r w:rsidR="005504BA">
        <w:rPr>
          <w:lang w:val="en-US"/>
        </w:rPr>
        <w:t xml:space="preserve">that it is </w:t>
      </w:r>
      <w:r w:rsidR="00C76C1D">
        <w:rPr>
          <w:lang w:val="en-US"/>
        </w:rPr>
        <w:t xml:space="preserve">the </w:t>
      </w:r>
      <w:r w:rsidR="006047C0">
        <w:rPr>
          <w:lang w:val="en-US"/>
        </w:rPr>
        <w:t xml:space="preserve">last two </w:t>
      </w:r>
      <w:r w:rsidR="00C76C1D" w:rsidRPr="00C76C1D">
        <w:rPr>
          <w:lang w:val="en-US"/>
        </w:rPr>
        <w:t>paragraph</w:t>
      </w:r>
      <w:r w:rsidR="006047C0">
        <w:rPr>
          <w:lang w:val="en-US"/>
        </w:rPr>
        <w:t>s</w:t>
      </w:r>
      <w:r w:rsidR="00C76C1D">
        <w:rPr>
          <w:lang w:val="en-US"/>
        </w:rPr>
        <w:t xml:space="preserve"> of the Specimen Direction </w:t>
      </w:r>
      <w:r w:rsidR="005504BA">
        <w:rPr>
          <w:lang w:val="en-US"/>
        </w:rPr>
        <w:t xml:space="preserve">that </w:t>
      </w:r>
      <w:r w:rsidR="006047C0">
        <w:rPr>
          <w:lang w:val="en-US"/>
        </w:rPr>
        <w:t xml:space="preserve">are intended to implement the House of Lords’ </w:t>
      </w:r>
      <w:r w:rsidR="006047C0" w:rsidRPr="006047C0">
        <w:rPr>
          <w:lang w:val="en-US"/>
        </w:rPr>
        <w:t>judgment</w:t>
      </w:r>
      <w:r w:rsidR="006047C0">
        <w:rPr>
          <w:lang w:val="en-US"/>
        </w:rPr>
        <w:t xml:space="preserve"> in </w:t>
      </w:r>
      <w:proofErr w:type="spellStart"/>
      <w:r w:rsidR="006047C0" w:rsidRPr="006047C0">
        <w:rPr>
          <w:i/>
          <w:lang w:val="en-US"/>
        </w:rPr>
        <w:t>Mushtaq</w:t>
      </w:r>
      <w:proofErr w:type="spellEnd"/>
      <w:r w:rsidR="006047C0">
        <w:rPr>
          <w:lang w:val="en-US"/>
        </w:rPr>
        <w:t xml:space="preserve">.  These last two </w:t>
      </w:r>
      <w:r w:rsidR="006047C0" w:rsidRPr="006047C0">
        <w:rPr>
          <w:lang w:val="en-US"/>
        </w:rPr>
        <w:t>paragraph</w:t>
      </w:r>
      <w:r w:rsidR="006047C0">
        <w:rPr>
          <w:lang w:val="en-US"/>
        </w:rPr>
        <w:t xml:space="preserve">s </w:t>
      </w:r>
      <w:r w:rsidR="00C76C1D">
        <w:rPr>
          <w:lang w:val="en-US"/>
        </w:rPr>
        <w:t>contain a t</w:t>
      </w:r>
      <w:r w:rsidR="00C4128A">
        <w:rPr>
          <w:lang w:val="en-US"/>
        </w:rPr>
        <w:t>h</w:t>
      </w:r>
      <w:r w:rsidR="00C76C1D">
        <w:rPr>
          <w:lang w:val="en-US"/>
        </w:rPr>
        <w:t>ree step approach to resolving the two issues</w:t>
      </w:r>
      <w:r w:rsidR="009F5F08">
        <w:rPr>
          <w:lang w:val="en-US"/>
        </w:rPr>
        <w:t xml:space="preserve"> of whether the </w:t>
      </w:r>
      <w:r w:rsidR="009F5F08" w:rsidRPr="009F5F08">
        <w:rPr>
          <w:lang w:val="en-US" w:eastAsia="zh-TW"/>
        </w:rPr>
        <w:t>defendant</w:t>
      </w:r>
      <w:r w:rsidR="009F5F08">
        <w:rPr>
          <w:lang w:val="en-US"/>
        </w:rPr>
        <w:t xml:space="preserve"> made the admissions and whether they are true</w:t>
      </w:r>
      <w:r w:rsidR="00C76C1D">
        <w:rPr>
          <w:lang w:val="en-US"/>
        </w:rPr>
        <w:t>.  This three step approach, in effect, d</w:t>
      </w:r>
      <w:r w:rsidR="00C4128A">
        <w:rPr>
          <w:lang w:val="en-US"/>
        </w:rPr>
        <w:t xml:space="preserve">isentangles </w:t>
      </w:r>
      <w:r w:rsidR="00C76C1D">
        <w:rPr>
          <w:lang w:val="en-US"/>
        </w:rPr>
        <w:t xml:space="preserve">the </w:t>
      </w:r>
      <w:proofErr w:type="spellStart"/>
      <w:r w:rsidR="00C76C1D" w:rsidRPr="00C76C1D">
        <w:rPr>
          <w:i/>
          <w:lang w:val="en-US"/>
        </w:rPr>
        <w:t>Mushtaq</w:t>
      </w:r>
      <w:proofErr w:type="spellEnd"/>
      <w:r w:rsidR="00C76C1D">
        <w:rPr>
          <w:lang w:val="en-US"/>
        </w:rPr>
        <w:t xml:space="preserve"> message from the second issue.  Thus the three steps b</w:t>
      </w:r>
      <w:r w:rsidR="00193B20">
        <w:rPr>
          <w:lang w:val="en-US"/>
        </w:rPr>
        <w:t>e</w:t>
      </w:r>
      <w:r w:rsidR="00C76C1D">
        <w:rPr>
          <w:lang w:val="en-US"/>
        </w:rPr>
        <w:t>come:</w:t>
      </w:r>
    </w:p>
    <w:p w:rsidR="00193B20" w:rsidRDefault="00193B20" w:rsidP="00193B20">
      <w:pPr>
        <w:pStyle w:val="Hanging"/>
        <w:rPr>
          <w:lang w:val="en-US"/>
        </w:rPr>
      </w:pPr>
      <w:r>
        <w:rPr>
          <w:lang w:val="en-US"/>
        </w:rPr>
        <w:t>1)</w:t>
      </w:r>
      <w:r>
        <w:rPr>
          <w:lang w:val="en-US"/>
        </w:rPr>
        <w:tab/>
        <w:t xml:space="preserve">did the </w:t>
      </w:r>
      <w:r w:rsidRPr="00193B20">
        <w:rPr>
          <w:kern w:val="0"/>
          <w:lang w:val="en-US" w:eastAsia="zh-TW"/>
        </w:rPr>
        <w:t>defendant</w:t>
      </w:r>
      <w:r>
        <w:rPr>
          <w:lang w:val="en-US"/>
        </w:rPr>
        <w:t xml:space="preserve"> make the admissions;</w:t>
      </w:r>
    </w:p>
    <w:p w:rsidR="00193B20" w:rsidRDefault="00193B20" w:rsidP="00193B20">
      <w:pPr>
        <w:pStyle w:val="Hanging"/>
        <w:rPr>
          <w:lang w:val="en-US"/>
        </w:rPr>
      </w:pPr>
      <w:r>
        <w:rPr>
          <w:lang w:val="en-US"/>
        </w:rPr>
        <w:t>2)</w:t>
      </w:r>
      <w:r>
        <w:rPr>
          <w:lang w:val="en-US"/>
        </w:rPr>
        <w:tab/>
        <w:t>were the admissions made in circumstances of oppression; and</w:t>
      </w:r>
    </w:p>
    <w:p w:rsidR="00193B20" w:rsidRDefault="00193B20" w:rsidP="00193B20">
      <w:pPr>
        <w:pStyle w:val="Hanging"/>
        <w:rPr>
          <w:lang w:val="en-US"/>
        </w:rPr>
      </w:pPr>
      <w:r>
        <w:rPr>
          <w:lang w:val="en-US"/>
        </w:rPr>
        <w:t>3)</w:t>
      </w:r>
      <w:r>
        <w:rPr>
          <w:lang w:val="en-US"/>
        </w:rPr>
        <w:tab/>
        <w:t>are the admissions true.</w:t>
      </w:r>
    </w:p>
    <w:p w:rsidR="009F5F08" w:rsidRPr="00FD1713" w:rsidRDefault="002E3FDD" w:rsidP="00C76C1D">
      <w:pPr>
        <w:pStyle w:val="Final"/>
        <w:ind w:left="0" w:firstLine="0"/>
        <w:rPr>
          <w:spacing w:val="-2"/>
          <w:lang w:val="en-US"/>
        </w:rPr>
      </w:pPr>
      <w:r w:rsidRPr="00FD1713">
        <w:rPr>
          <w:spacing w:val="-2"/>
          <w:lang w:val="en-US"/>
        </w:rPr>
        <w:t xml:space="preserve">Under this three step formula the jury will only arrive at the third step if they are sure that the </w:t>
      </w:r>
      <w:r w:rsidRPr="00FD1713">
        <w:rPr>
          <w:spacing w:val="-2"/>
          <w:lang w:val="en-US" w:eastAsia="zh-TW"/>
        </w:rPr>
        <w:t>defendant</w:t>
      </w:r>
      <w:r w:rsidRPr="00FD1713">
        <w:rPr>
          <w:spacing w:val="-2"/>
          <w:lang w:val="en-US"/>
        </w:rPr>
        <w:t xml:space="preserve"> made the admissions and that the admissions were not made in circumstances of oppression.  </w:t>
      </w:r>
      <w:r w:rsidR="006415F4" w:rsidRPr="00FD1713">
        <w:rPr>
          <w:spacing w:val="-2"/>
          <w:lang w:val="en-US"/>
        </w:rPr>
        <w:t xml:space="preserve">We note that in the </w:t>
      </w:r>
      <w:r w:rsidR="00D232A5" w:rsidRPr="00FD1713">
        <w:rPr>
          <w:spacing w:val="-2"/>
          <w:lang w:val="en-US"/>
        </w:rPr>
        <w:t xml:space="preserve">Hong Kong </w:t>
      </w:r>
      <w:r w:rsidR="006415F4" w:rsidRPr="00FD1713">
        <w:rPr>
          <w:spacing w:val="-2"/>
          <w:lang w:val="en-US"/>
        </w:rPr>
        <w:t>Judicial Institute</w:t>
      </w:r>
      <w:r w:rsidR="00504A03" w:rsidRPr="00FD1713">
        <w:rPr>
          <w:spacing w:val="-2"/>
          <w:lang w:val="en-US"/>
        </w:rPr>
        <w:t>’</w:t>
      </w:r>
      <w:r w:rsidR="006415F4" w:rsidRPr="00FD1713">
        <w:rPr>
          <w:spacing w:val="-2"/>
          <w:lang w:val="en-US"/>
        </w:rPr>
        <w:t>s 2020 update of the Specimen Directions the jury are directed to decide three issues which are identical to the t</w:t>
      </w:r>
      <w:r w:rsidR="0034515A" w:rsidRPr="00FD1713">
        <w:rPr>
          <w:spacing w:val="-2"/>
          <w:lang w:val="en-US"/>
        </w:rPr>
        <w:t>h</w:t>
      </w:r>
      <w:r w:rsidR="006415F4" w:rsidRPr="00FD1713">
        <w:rPr>
          <w:spacing w:val="-2"/>
          <w:lang w:val="en-US"/>
        </w:rPr>
        <w:t>ree steps contained in the last two paragraphs of the 2013 Specimen Direction.</w:t>
      </w:r>
      <w:r w:rsidR="004F620E">
        <w:rPr>
          <w:rStyle w:val="FootnoteReference"/>
          <w:lang w:val="en-US"/>
        </w:rPr>
        <w:footnoteReference w:id="34"/>
      </w:r>
      <w:r w:rsidR="006415F4" w:rsidRPr="00FD1713">
        <w:rPr>
          <w:spacing w:val="-2"/>
          <w:lang w:val="en-US"/>
        </w:rPr>
        <w:t xml:space="preserve"> </w:t>
      </w:r>
    </w:p>
    <w:p w:rsidR="00193B20" w:rsidRDefault="002E3FDD" w:rsidP="00C76C1D">
      <w:pPr>
        <w:pStyle w:val="Final"/>
        <w:ind w:left="0" w:firstLine="0"/>
        <w:rPr>
          <w:lang w:val="en-US"/>
        </w:rPr>
      </w:pPr>
      <w:r>
        <w:rPr>
          <w:lang w:val="en-US"/>
        </w:rPr>
        <w:t xml:space="preserve">Unfortunately, given the way the </w:t>
      </w:r>
      <w:r w:rsidR="009F5F08">
        <w:rPr>
          <w:lang w:val="en-US"/>
        </w:rPr>
        <w:t xml:space="preserve">2013 </w:t>
      </w:r>
      <w:r>
        <w:rPr>
          <w:lang w:val="en-US"/>
        </w:rPr>
        <w:t xml:space="preserve">Specimen Direction is drafted, the importance of the three step formula, especially in the way it </w:t>
      </w:r>
      <w:r>
        <w:rPr>
          <w:lang w:val="en-US"/>
        </w:rPr>
        <w:lastRenderedPageBreak/>
        <w:t>clearly separate</w:t>
      </w:r>
      <w:r w:rsidR="005504BA">
        <w:rPr>
          <w:lang w:val="en-US"/>
        </w:rPr>
        <w:t>s</w:t>
      </w:r>
      <w:r>
        <w:rPr>
          <w:lang w:val="en-US"/>
        </w:rPr>
        <w:t xml:space="preserve"> out the issue of the voluntar</w:t>
      </w:r>
      <w:r w:rsidR="00027242">
        <w:rPr>
          <w:lang w:val="en-US"/>
        </w:rPr>
        <w:t>iness</w:t>
      </w:r>
      <w:r>
        <w:rPr>
          <w:lang w:val="en-US"/>
        </w:rPr>
        <w:t xml:space="preserve"> of the admissions from the issue of their truth, may not always be fully appreciated.</w:t>
      </w:r>
    </w:p>
    <w:p w:rsidR="00144288" w:rsidRDefault="00144288" w:rsidP="00144288">
      <w:pPr>
        <w:pStyle w:val="H-1"/>
        <w:rPr>
          <w:lang w:val="en-US"/>
        </w:rPr>
      </w:pPr>
      <w:r>
        <w:rPr>
          <w:lang w:val="en-US"/>
        </w:rPr>
        <w:t>The direction in the present case</w:t>
      </w:r>
    </w:p>
    <w:p w:rsidR="007D0EC7" w:rsidRDefault="00C4128A" w:rsidP="006F01A8">
      <w:pPr>
        <w:pStyle w:val="Final"/>
        <w:ind w:left="0" w:firstLine="0"/>
        <w:rPr>
          <w:color w:val="000000"/>
          <w:szCs w:val="28"/>
        </w:rPr>
      </w:pPr>
      <w:r>
        <w:rPr>
          <w:color w:val="000000"/>
          <w:szCs w:val="28"/>
        </w:rPr>
        <w:t xml:space="preserve">We shall now turn to how the </w:t>
      </w:r>
      <w:r w:rsidRPr="00C4128A">
        <w:rPr>
          <w:color w:val="000000"/>
          <w:kern w:val="2"/>
          <w:szCs w:val="28"/>
          <w:lang w:val="en-US"/>
        </w:rPr>
        <w:t>judge</w:t>
      </w:r>
      <w:r>
        <w:rPr>
          <w:color w:val="000000"/>
          <w:szCs w:val="28"/>
        </w:rPr>
        <w:t xml:space="preserve"> directed the jury.  </w:t>
      </w:r>
      <w:r w:rsidR="007D0EC7">
        <w:rPr>
          <w:color w:val="000000"/>
          <w:szCs w:val="28"/>
        </w:rPr>
        <w:t xml:space="preserve">What </w:t>
      </w:r>
      <w:r>
        <w:rPr>
          <w:color w:val="000000"/>
          <w:szCs w:val="28"/>
        </w:rPr>
        <w:t xml:space="preserve">he </w:t>
      </w:r>
      <w:r w:rsidR="007D0EC7">
        <w:rPr>
          <w:color w:val="000000"/>
          <w:szCs w:val="28"/>
        </w:rPr>
        <w:t>said was</w:t>
      </w:r>
      <w:r>
        <w:rPr>
          <w:color w:val="000000"/>
          <w:szCs w:val="28"/>
        </w:rPr>
        <w:t xml:space="preserve"> as follows</w:t>
      </w:r>
      <w:r w:rsidR="007D0EC7">
        <w:rPr>
          <w:color w:val="000000"/>
          <w:szCs w:val="28"/>
        </w:rPr>
        <w:t>:</w:t>
      </w:r>
    </w:p>
    <w:p w:rsidR="00987648" w:rsidRDefault="005B1E73" w:rsidP="005B1E73">
      <w:pPr>
        <w:pStyle w:val="Quotation"/>
      </w:pPr>
      <w:r>
        <w:t>“</w:t>
      </w:r>
      <w:r w:rsidR="00987648">
        <w:t xml:space="preserve">Now I want to say a word or two about the alleged confession of the defendant to the police.  You have been provided with evidence which, if it was accepted, would amount to a complete confession to trafficking in cocaine, and that evidence is found in two places.  First of all, the conversation at the side of the car between PC Fong and the defendant after the drugs has been found, and that is coupled with the recording in the policeman’s notebook and the defendant’s signature and his writing of a certificate which the police showed him to say that </w:t>
      </w:r>
      <w:r w:rsidR="00987648" w:rsidRPr="002A41A9">
        <w:rPr>
          <w:i/>
        </w:rPr>
        <w:t>the document was true</w:t>
      </w:r>
      <w:r w:rsidR="00987648">
        <w:t>.</w:t>
      </w:r>
    </w:p>
    <w:p w:rsidR="00670C3B" w:rsidRDefault="00987648" w:rsidP="005B1E73">
      <w:pPr>
        <w:pStyle w:val="Quotation"/>
      </w:pPr>
      <w:r>
        <w:t>The second part of the confession evidence is from the video-recorded interview.  The prosecution invited you to conclude that when the defendant admitted possessing cocaine</w:t>
      </w:r>
      <w:r w:rsidR="00670C3B">
        <w:t xml:space="preserve"> with the intention of supplying it to others, </w:t>
      </w:r>
      <w:r w:rsidR="00670C3B" w:rsidRPr="002A41A9">
        <w:rPr>
          <w:i/>
        </w:rPr>
        <w:t>this was not just a confession on the interview which he was making in words, it was actually a true confession.  That is the important thing: true.</w:t>
      </w:r>
    </w:p>
    <w:p w:rsidR="00670C3B" w:rsidRDefault="00670C3B" w:rsidP="005B1E73">
      <w:pPr>
        <w:pStyle w:val="Quotation"/>
      </w:pPr>
      <w:r w:rsidRPr="002A41A9">
        <w:rPr>
          <w:i/>
        </w:rPr>
        <w:t>In regard to the alleged admission</w:t>
      </w:r>
      <w:r>
        <w:t xml:space="preserve">, what the law has to say about this is just this.  You will first have to decide, with regard to PC Fong and his conversation with the defendant, if the admission was made at all.  </w:t>
      </w:r>
      <w:r w:rsidRPr="002A41A9">
        <w:rPr>
          <w:i/>
        </w:rPr>
        <w:t xml:space="preserve">Was it said; and if it was said, was it a true admission </w:t>
      </w:r>
      <w:r>
        <w:t xml:space="preserve">that he was going to supply </w:t>
      </w:r>
      <w:r w:rsidR="005B2770">
        <w:t>‘</w:t>
      </w:r>
      <w:r>
        <w:t>C Chai</w:t>
      </w:r>
      <w:r w:rsidR="005B2770">
        <w:t>’</w:t>
      </w:r>
      <w:r>
        <w:t xml:space="preserve"> (?) because his father was suffering from </w:t>
      </w:r>
      <w:r w:rsidR="00697DB6">
        <w:t>cancer and he needed the extra money; that sort of thing.</w:t>
      </w:r>
    </w:p>
    <w:p w:rsidR="00697DB6" w:rsidRDefault="00697DB6" w:rsidP="005B1E73">
      <w:pPr>
        <w:pStyle w:val="Quotation"/>
      </w:pPr>
      <w:r w:rsidRPr="002A41A9">
        <w:rPr>
          <w:i/>
        </w:rPr>
        <w:t>The defendant’s case is that he did not say those words recorded in the officer’s notebook.</w:t>
      </w:r>
      <w:r>
        <w:t xml:space="preserve">  In fact, he told you that what he did was to volunteer the owner’s name and offered some information, and he only signed the notebook later, much later, at the police station, not in the van, because of inducements and threats which were made to him.  </w:t>
      </w:r>
      <w:r w:rsidRPr="002A41A9">
        <w:rPr>
          <w:i/>
        </w:rPr>
        <w:t>And so it is that the police evidence is criticised as being without</w:t>
      </w:r>
      <w:r w:rsidR="00E93A90" w:rsidRPr="002A41A9">
        <w:rPr>
          <w:i/>
        </w:rPr>
        <w:t xml:space="preserve"> any truthfulness whatever on the point.</w:t>
      </w:r>
    </w:p>
    <w:p w:rsidR="00E93A90" w:rsidRDefault="00E93A90" w:rsidP="005B1E73">
      <w:pPr>
        <w:pStyle w:val="Quotation"/>
      </w:pPr>
      <w:r w:rsidRPr="002A41A9">
        <w:rPr>
          <w:i/>
        </w:rPr>
        <w:t>As to the video-recorded interview</w:t>
      </w:r>
      <w:r>
        <w:t xml:space="preserve">, you have actually seen the defendant saying the words that are recorded, </w:t>
      </w:r>
      <w:r w:rsidRPr="002A41A9">
        <w:rPr>
          <w:i/>
        </w:rPr>
        <w:t>but again you will have to decide, in that case, whether he was making a true confession</w:t>
      </w:r>
      <w:r>
        <w:t xml:space="preserve"> to his role in this matter or were the answers merely the answers that he had been told by the police to make following what the defence allege was a prepared script of questions to </w:t>
      </w:r>
      <w:r>
        <w:lastRenderedPageBreak/>
        <w:t>which he was given the answers to supply in the course of the interview.  Were</w:t>
      </w:r>
      <w:r w:rsidR="008E3272">
        <w:t xml:space="preserve"> these false answers given because of inducement and threat; and by that I mean, of course, that he would be able to see his girlfriend released without charge and he would get the money back – to his girlfriend, that is – if he confessed to the offence.</w:t>
      </w:r>
    </w:p>
    <w:p w:rsidR="008E3272" w:rsidRDefault="00F00A00" w:rsidP="005B1E73">
      <w:pPr>
        <w:pStyle w:val="Quotation"/>
      </w:pPr>
      <w:r w:rsidRPr="002A41A9">
        <w:rPr>
          <w:i/>
        </w:rPr>
        <w:t>And it is only if you are sure that the defendant, of his own free will, gave those answers in the interview that you could rely on the answers that are provided by him in the course of the interview.  If you are sure that he was making a true confession, well, then, only then could you rely on that evidence.</w:t>
      </w:r>
      <w:r w:rsidR="005B1E73">
        <w:t>”</w:t>
      </w:r>
      <w:r w:rsidR="007D0EC7">
        <w:rPr>
          <w:rStyle w:val="FootnoteReference"/>
        </w:rPr>
        <w:footnoteReference w:id="35"/>
      </w:r>
      <w:r w:rsidR="002A41A9">
        <w:t xml:space="preserve">  </w:t>
      </w:r>
      <w:r w:rsidR="002A41A9">
        <w:rPr>
          <w:szCs w:val="24"/>
        </w:rPr>
        <w:t>(</w:t>
      </w:r>
      <w:r w:rsidR="002A41A9" w:rsidRPr="00474305">
        <w:rPr>
          <w:szCs w:val="24"/>
        </w:rPr>
        <w:t>Emphasis added</w:t>
      </w:r>
      <w:r w:rsidR="002A41A9">
        <w:rPr>
          <w:szCs w:val="24"/>
        </w:rPr>
        <w:t>.)</w:t>
      </w:r>
      <w:r w:rsidR="002A41A9">
        <w:t xml:space="preserve"> </w:t>
      </w:r>
    </w:p>
    <w:p w:rsidR="00336B4E" w:rsidRDefault="00336B4E" w:rsidP="0084115C">
      <w:pPr>
        <w:pStyle w:val="Final"/>
        <w:ind w:left="0" w:firstLine="0"/>
        <w:rPr>
          <w:color w:val="000000"/>
          <w:szCs w:val="28"/>
        </w:rPr>
      </w:pPr>
      <w:r>
        <w:rPr>
          <w:color w:val="000000"/>
          <w:szCs w:val="28"/>
        </w:rPr>
        <w:t xml:space="preserve">In the words of Lord Kerr in </w:t>
      </w:r>
      <w:r w:rsidRPr="00336B4E">
        <w:rPr>
          <w:i/>
          <w:color w:val="000000"/>
          <w:szCs w:val="28"/>
        </w:rPr>
        <w:t>Benjamin and Ganga</w:t>
      </w:r>
      <w:r>
        <w:rPr>
          <w:color w:val="000000"/>
          <w:szCs w:val="28"/>
        </w:rPr>
        <w:t xml:space="preserve">, does this direction effectively remove from the range of options available to the jury that they could act on the </w:t>
      </w:r>
      <w:r w:rsidRPr="00336B4E">
        <w:rPr>
          <w:color w:val="000000"/>
          <w:szCs w:val="28"/>
        </w:rPr>
        <w:t>statement</w:t>
      </w:r>
      <w:r>
        <w:rPr>
          <w:color w:val="000000"/>
          <w:szCs w:val="28"/>
        </w:rPr>
        <w:t xml:space="preserve">s if they considered that they had been made, or might have been made, as a result of improper conduct on the part of the police, even if they believed the </w:t>
      </w:r>
      <w:r w:rsidRPr="00336B4E">
        <w:rPr>
          <w:color w:val="000000"/>
          <w:szCs w:val="28"/>
        </w:rPr>
        <w:t>statement</w:t>
      </w:r>
      <w:r>
        <w:rPr>
          <w:color w:val="000000"/>
          <w:szCs w:val="28"/>
        </w:rPr>
        <w:t>s to be true.</w:t>
      </w:r>
    </w:p>
    <w:p w:rsidR="005719C6" w:rsidRDefault="005B6230" w:rsidP="0084115C">
      <w:pPr>
        <w:pStyle w:val="Final"/>
        <w:ind w:left="0" w:firstLine="0"/>
        <w:rPr>
          <w:color w:val="000000"/>
          <w:szCs w:val="28"/>
        </w:rPr>
      </w:pPr>
      <w:r>
        <w:rPr>
          <w:color w:val="000000"/>
          <w:szCs w:val="28"/>
        </w:rPr>
        <w:t>It is quite clear that t</w:t>
      </w:r>
      <w:r w:rsidR="005719C6">
        <w:rPr>
          <w:color w:val="000000"/>
          <w:szCs w:val="28"/>
        </w:rPr>
        <w:t xml:space="preserve">he judge reminded the jury of the </w:t>
      </w:r>
      <w:r>
        <w:rPr>
          <w:color w:val="000000"/>
          <w:szCs w:val="28"/>
        </w:rPr>
        <w:t xml:space="preserve">requirement that </w:t>
      </w:r>
      <w:r w:rsidR="005719C6">
        <w:rPr>
          <w:color w:val="000000"/>
          <w:szCs w:val="28"/>
        </w:rPr>
        <w:t xml:space="preserve">before they could act on the </w:t>
      </w:r>
      <w:r>
        <w:rPr>
          <w:color w:val="000000"/>
          <w:szCs w:val="28"/>
        </w:rPr>
        <w:t xml:space="preserve">crime-scene </w:t>
      </w:r>
      <w:r w:rsidR="005719C6">
        <w:rPr>
          <w:color w:val="000000"/>
          <w:szCs w:val="28"/>
        </w:rPr>
        <w:t xml:space="preserve">admission </w:t>
      </w:r>
      <w:r>
        <w:rPr>
          <w:rFonts w:hint="eastAsia"/>
          <w:color w:val="000000"/>
          <w:szCs w:val="28"/>
        </w:rPr>
        <w:t xml:space="preserve">they had to find that </w:t>
      </w:r>
      <w:r w:rsidR="005719C6">
        <w:rPr>
          <w:color w:val="000000"/>
          <w:szCs w:val="28"/>
        </w:rPr>
        <w:t xml:space="preserve">the appellant actually made </w:t>
      </w:r>
      <w:r>
        <w:rPr>
          <w:color w:val="000000"/>
          <w:szCs w:val="28"/>
        </w:rPr>
        <w:t>it.</w:t>
      </w:r>
      <w:r w:rsidR="005719C6">
        <w:rPr>
          <w:color w:val="000000"/>
          <w:szCs w:val="28"/>
        </w:rPr>
        <w:t xml:space="preserve"> </w:t>
      </w:r>
      <w:r w:rsidR="003C4A8B">
        <w:rPr>
          <w:color w:val="000000"/>
          <w:szCs w:val="28"/>
        </w:rPr>
        <w:t xml:space="preserve"> It is also clear that the </w:t>
      </w:r>
      <w:r w:rsidR="003C4A8B" w:rsidRPr="003C4A8B">
        <w:rPr>
          <w:color w:val="000000"/>
          <w:kern w:val="2"/>
          <w:szCs w:val="28"/>
          <w:lang w:val="en-US"/>
        </w:rPr>
        <w:t>judge</w:t>
      </w:r>
      <w:r w:rsidR="003C4A8B">
        <w:rPr>
          <w:color w:val="000000"/>
          <w:szCs w:val="28"/>
        </w:rPr>
        <w:t xml:space="preserve"> directed the jury that they could rely on the </w:t>
      </w:r>
      <w:r w:rsidR="003C4A8B" w:rsidRPr="003C4A8B">
        <w:rPr>
          <w:color w:val="000000"/>
          <w:szCs w:val="28"/>
        </w:rPr>
        <w:t>appellant</w:t>
      </w:r>
      <w:r w:rsidR="003C4A8B">
        <w:rPr>
          <w:color w:val="000000"/>
          <w:szCs w:val="28"/>
        </w:rPr>
        <w:t xml:space="preserve">’s VRI answers only if they were sure that he gave those answers “of his own free will.”  </w:t>
      </w:r>
    </w:p>
    <w:p w:rsidR="001517B3" w:rsidRDefault="006811B9" w:rsidP="00DE553A">
      <w:pPr>
        <w:pStyle w:val="Final"/>
        <w:ind w:left="0" w:firstLine="0"/>
        <w:rPr>
          <w:szCs w:val="28"/>
        </w:rPr>
      </w:pPr>
      <w:r w:rsidRPr="00434FEE">
        <w:rPr>
          <w:color w:val="000000"/>
          <w:szCs w:val="28"/>
        </w:rPr>
        <w:t>T</w:t>
      </w:r>
      <w:r w:rsidR="0033574D" w:rsidRPr="00434FEE">
        <w:rPr>
          <w:color w:val="000000"/>
          <w:szCs w:val="28"/>
        </w:rPr>
        <w:t xml:space="preserve">he judge did not tell the jury to </w:t>
      </w:r>
      <w:r w:rsidR="006D2632" w:rsidRPr="00434FEE">
        <w:rPr>
          <w:color w:val="000000"/>
          <w:szCs w:val="28"/>
        </w:rPr>
        <w:t xml:space="preserve">disregard the </w:t>
      </w:r>
      <w:r w:rsidR="001517B3" w:rsidRPr="00434FEE">
        <w:rPr>
          <w:color w:val="000000"/>
          <w:szCs w:val="28"/>
        </w:rPr>
        <w:t xml:space="preserve">crime-scene </w:t>
      </w:r>
      <w:r w:rsidR="006D2632" w:rsidRPr="00434FEE">
        <w:rPr>
          <w:color w:val="000000"/>
          <w:szCs w:val="28"/>
        </w:rPr>
        <w:t xml:space="preserve">admission if </w:t>
      </w:r>
      <w:r w:rsidR="00B553F1">
        <w:rPr>
          <w:color w:val="000000"/>
          <w:szCs w:val="28"/>
        </w:rPr>
        <w:t xml:space="preserve">they found </w:t>
      </w:r>
      <w:r w:rsidR="006D2632" w:rsidRPr="00434FEE">
        <w:rPr>
          <w:color w:val="000000"/>
          <w:szCs w:val="28"/>
        </w:rPr>
        <w:t>it was made</w:t>
      </w:r>
      <w:r w:rsidR="00B553F1">
        <w:rPr>
          <w:color w:val="000000"/>
          <w:szCs w:val="28"/>
        </w:rPr>
        <w:t xml:space="preserve"> and</w:t>
      </w:r>
      <w:r w:rsidR="006D2632" w:rsidRPr="00434FEE">
        <w:rPr>
          <w:color w:val="000000"/>
          <w:szCs w:val="28"/>
        </w:rPr>
        <w:t xml:space="preserve"> </w:t>
      </w:r>
      <w:r w:rsidR="00BA0579" w:rsidRPr="00434FEE">
        <w:rPr>
          <w:color w:val="000000"/>
          <w:szCs w:val="28"/>
        </w:rPr>
        <w:t xml:space="preserve">if they </w:t>
      </w:r>
      <w:r w:rsidR="00B553F1">
        <w:rPr>
          <w:color w:val="000000"/>
          <w:szCs w:val="28"/>
        </w:rPr>
        <w:t xml:space="preserve">further </w:t>
      </w:r>
      <w:r w:rsidR="00BA0579" w:rsidRPr="00434FEE">
        <w:rPr>
          <w:color w:val="000000"/>
          <w:szCs w:val="28"/>
        </w:rPr>
        <w:t xml:space="preserve">found </w:t>
      </w:r>
      <w:r w:rsidR="006D2632" w:rsidRPr="00434FEE">
        <w:rPr>
          <w:color w:val="000000"/>
          <w:szCs w:val="28"/>
        </w:rPr>
        <w:t>it was made under inducement</w:t>
      </w:r>
      <w:r w:rsidR="007155BE">
        <w:rPr>
          <w:color w:val="000000"/>
          <w:szCs w:val="28"/>
        </w:rPr>
        <w:t>s</w:t>
      </w:r>
      <w:r w:rsidR="006D2632" w:rsidRPr="00434FEE">
        <w:rPr>
          <w:color w:val="000000"/>
          <w:szCs w:val="28"/>
        </w:rPr>
        <w:t xml:space="preserve"> and threat</w:t>
      </w:r>
      <w:r w:rsidR="007155BE">
        <w:rPr>
          <w:color w:val="000000"/>
          <w:szCs w:val="28"/>
        </w:rPr>
        <w:t>s</w:t>
      </w:r>
      <w:r w:rsidR="001517B3" w:rsidRPr="00434FEE">
        <w:rPr>
          <w:color w:val="000000"/>
          <w:szCs w:val="28"/>
        </w:rPr>
        <w:t xml:space="preserve">.  </w:t>
      </w:r>
      <w:r w:rsidR="001517B3" w:rsidRPr="00434FEE">
        <w:rPr>
          <w:szCs w:val="28"/>
        </w:rPr>
        <w:t xml:space="preserve">Nor </w:t>
      </w:r>
      <w:r w:rsidR="00342BD5">
        <w:rPr>
          <w:szCs w:val="28"/>
        </w:rPr>
        <w:t>did</w:t>
      </w:r>
      <w:r w:rsidR="001517B3" w:rsidRPr="00434FEE">
        <w:rPr>
          <w:szCs w:val="28"/>
        </w:rPr>
        <w:t xml:space="preserve"> he tell them that they </w:t>
      </w:r>
      <w:r w:rsidR="00342BD5">
        <w:rPr>
          <w:szCs w:val="28"/>
        </w:rPr>
        <w:t>could not</w:t>
      </w:r>
      <w:r w:rsidR="001517B3" w:rsidRPr="00434FEE">
        <w:rPr>
          <w:szCs w:val="28"/>
        </w:rPr>
        <w:t xml:space="preserve"> act on any admission, even if they believe</w:t>
      </w:r>
      <w:r w:rsidR="00342BD5">
        <w:rPr>
          <w:szCs w:val="28"/>
        </w:rPr>
        <w:t>d</w:t>
      </w:r>
      <w:r w:rsidR="001517B3" w:rsidRPr="00434FEE">
        <w:rPr>
          <w:szCs w:val="28"/>
        </w:rPr>
        <w:t xml:space="preserve"> the admission </w:t>
      </w:r>
      <w:r w:rsidR="00342BD5">
        <w:rPr>
          <w:szCs w:val="28"/>
        </w:rPr>
        <w:t>was</w:t>
      </w:r>
      <w:r w:rsidR="001517B3" w:rsidRPr="00434FEE">
        <w:rPr>
          <w:szCs w:val="28"/>
        </w:rPr>
        <w:t xml:space="preserve"> true, </w:t>
      </w:r>
      <w:r w:rsidR="00B553F1">
        <w:rPr>
          <w:szCs w:val="28"/>
        </w:rPr>
        <w:t>once</w:t>
      </w:r>
      <w:r w:rsidR="001517B3" w:rsidRPr="00434FEE">
        <w:rPr>
          <w:szCs w:val="28"/>
        </w:rPr>
        <w:t xml:space="preserve"> they conclude</w:t>
      </w:r>
      <w:r w:rsidR="00342BD5">
        <w:rPr>
          <w:szCs w:val="28"/>
        </w:rPr>
        <w:t>d</w:t>
      </w:r>
      <w:r w:rsidR="001517B3" w:rsidRPr="00434FEE">
        <w:rPr>
          <w:szCs w:val="28"/>
        </w:rPr>
        <w:t xml:space="preserve"> that the admission was or may have been obtained as a result of police impropriety.</w:t>
      </w:r>
    </w:p>
    <w:p w:rsidR="00B553F1" w:rsidRDefault="00B553F1" w:rsidP="00DE553A">
      <w:pPr>
        <w:pStyle w:val="Final"/>
        <w:ind w:left="0" w:firstLine="0"/>
        <w:rPr>
          <w:szCs w:val="28"/>
        </w:rPr>
      </w:pPr>
      <w:r>
        <w:rPr>
          <w:szCs w:val="28"/>
        </w:rPr>
        <w:lastRenderedPageBreak/>
        <w:t xml:space="preserve">On its own, divorced from the context of the way this trial was conducted and the way the issues in it were presented to the jury, the directions of the </w:t>
      </w:r>
      <w:r w:rsidRPr="00B553F1">
        <w:rPr>
          <w:kern w:val="2"/>
          <w:szCs w:val="28"/>
          <w:lang w:val="en-US"/>
        </w:rPr>
        <w:t>judge</w:t>
      </w:r>
      <w:r>
        <w:rPr>
          <w:szCs w:val="28"/>
        </w:rPr>
        <w:t xml:space="preserve"> would be a cause for concern and might have prompted us to answer Lord Kerr’s question in the negative.  But that is not the way that judicial directions fall to be considered.  Bringing realism to an analysis of judicial directions requires that they be considered as a whole and analysed in the context </w:t>
      </w:r>
      <w:r w:rsidR="003A4508">
        <w:rPr>
          <w:szCs w:val="28"/>
        </w:rPr>
        <w:t xml:space="preserve">of the trial </w:t>
      </w:r>
      <w:r>
        <w:rPr>
          <w:szCs w:val="28"/>
        </w:rPr>
        <w:t>in which they were given.</w:t>
      </w:r>
    </w:p>
    <w:p w:rsidR="00257B7C" w:rsidRDefault="00257B7C" w:rsidP="00DE553A">
      <w:pPr>
        <w:pStyle w:val="Final"/>
        <w:ind w:left="0" w:firstLine="0"/>
        <w:rPr>
          <w:szCs w:val="28"/>
        </w:rPr>
      </w:pPr>
      <w:r>
        <w:rPr>
          <w:szCs w:val="28"/>
        </w:rPr>
        <w:t xml:space="preserve">That context was summarised by the </w:t>
      </w:r>
      <w:r w:rsidRPr="00257B7C">
        <w:rPr>
          <w:kern w:val="2"/>
          <w:szCs w:val="28"/>
          <w:lang w:val="en-US"/>
        </w:rPr>
        <w:t>judge</w:t>
      </w:r>
      <w:r>
        <w:rPr>
          <w:szCs w:val="28"/>
        </w:rPr>
        <w:t xml:space="preserve"> at the beginning of his </w:t>
      </w:r>
      <w:r w:rsidRPr="00257B7C">
        <w:rPr>
          <w:szCs w:val="28"/>
        </w:rPr>
        <w:t>summing-up</w:t>
      </w:r>
      <w:r>
        <w:rPr>
          <w:szCs w:val="28"/>
        </w:rPr>
        <w:t xml:space="preserve"> which we have quoted at [</w:t>
      </w:r>
      <w:r w:rsidR="00DA6C84">
        <w:rPr>
          <w:szCs w:val="28"/>
        </w:rPr>
        <w:t>36</w:t>
      </w:r>
      <w:r>
        <w:rPr>
          <w:szCs w:val="28"/>
        </w:rPr>
        <w:t xml:space="preserve">] of this </w:t>
      </w:r>
      <w:r w:rsidRPr="00257B7C">
        <w:rPr>
          <w:szCs w:val="28"/>
        </w:rPr>
        <w:t>judgment</w:t>
      </w:r>
      <w:r>
        <w:rPr>
          <w:szCs w:val="28"/>
        </w:rPr>
        <w:t xml:space="preserve"> and in footnote 1</w:t>
      </w:r>
      <w:r w:rsidR="00DA6C84">
        <w:rPr>
          <w:szCs w:val="28"/>
        </w:rPr>
        <w:t>2</w:t>
      </w:r>
      <w:r>
        <w:rPr>
          <w:szCs w:val="28"/>
        </w:rPr>
        <w:t xml:space="preserve"> to that </w:t>
      </w:r>
      <w:r w:rsidRPr="00257B7C">
        <w:rPr>
          <w:szCs w:val="28"/>
        </w:rPr>
        <w:t>paragraph</w:t>
      </w:r>
      <w:r>
        <w:rPr>
          <w:szCs w:val="28"/>
        </w:rPr>
        <w:t xml:space="preserve">.  The position of the defence is apparent from the quote from Mr </w:t>
      </w:r>
      <w:proofErr w:type="spellStart"/>
      <w:r>
        <w:rPr>
          <w:szCs w:val="28"/>
        </w:rPr>
        <w:t>Boyton’s</w:t>
      </w:r>
      <w:proofErr w:type="spellEnd"/>
      <w:r>
        <w:rPr>
          <w:szCs w:val="28"/>
        </w:rPr>
        <w:t xml:space="preserve"> closing address that is set out in [3</w:t>
      </w:r>
      <w:r w:rsidR="00DA6C84">
        <w:rPr>
          <w:szCs w:val="28"/>
        </w:rPr>
        <w:t>4</w:t>
      </w:r>
      <w:r>
        <w:rPr>
          <w:szCs w:val="28"/>
        </w:rPr>
        <w:t xml:space="preserve">] of this </w:t>
      </w:r>
      <w:r w:rsidRPr="00257B7C">
        <w:rPr>
          <w:szCs w:val="28"/>
        </w:rPr>
        <w:t>judgment</w:t>
      </w:r>
      <w:r>
        <w:rPr>
          <w:szCs w:val="28"/>
        </w:rPr>
        <w:t xml:space="preserve">.  One of the last comments of the </w:t>
      </w:r>
      <w:r w:rsidRPr="00257B7C">
        <w:rPr>
          <w:kern w:val="2"/>
          <w:szCs w:val="28"/>
          <w:lang w:val="en-US"/>
        </w:rPr>
        <w:t>judge</w:t>
      </w:r>
      <w:r>
        <w:rPr>
          <w:szCs w:val="28"/>
        </w:rPr>
        <w:t xml:space="preserve"> in summarising the </w:t>
      </w:r>
      <w:r w:rsidRPr="00257B7C">
        <w:rPr>
          <w:szCs w:val="28"/>
        </w:rPr>
        <w:t>evidence</w:t>
      </w:r>
      <w:r>
        <w:rPr>
          <w:szCs w:val="28"/>
        </w:rPr>
        <w:t xml:space="preserve"> was:</w:t>
      </w:r>
    </w:p>
    <w:p w:rsidR="00B553F1" w:rsidRPr="00434FEE" w:rsidRDefault="00257B7C" w:rsidP="007C749A">
      <w:pPr>
        <w:pStyle w:val="Quotation"/>
      </w:pPr>
      <w:r>
        <w:t xml:space="preserve">“If what the </w:t>
      </w:r>
      <w:r w:rsidRPr="00257B7C">
        <w:rPr>
          <w:kern w:val="0"/>
          <w:lang w:val="en-US" w:eastAsia="zh-TW"/>
        </w:rPr>
        <w:t>defendant</w:t>
      </w:r>
      <w:r>
        <w:t xml:space="preserve"> says may be true – and Mr </w:t>
      </w:r>
      <w:proofErr w:type="spellStart"/>
      <w:r>
        <w:t>Boyton</w:t>
      </w:r>
      <w:proofErr w:type="spellEnd"/>
      <w:r>
        <w:t xml:space="preserve"> was correct in saying this – if it may be true, then you should find him not guilty.”</w:t>
      </w:r>
      <w:r>
        <w:rPr>
          <w:rStyle w:val="FootnoteReference"/>
          <w:szCs w:val="28"/>
        </w:rPr>
        <w:footnoteReference w:id="36"/>
      </w:r>
      <w:r>
        <w:t xml:space="preserve">     </w:t>
      </w:r>
    </w:p>
    <w:p w:rsidR="00D45D3A" w:rsidRPr="00D45D3A" w:rsidRDefault="00D45D3A" w:rsidP="005B6230">
      <w:pPr>
        <w:pStyle w:val="Final"/>
        <w:ind w:left="0" w:firstLine="0"/>
        <w:rPr>
          <w:szCs w:val="28"/>
        </w:rPr>
      </w:pPr>
      <w:r>
        <w:rPr>
          <w:color w:val="000000"/>
          <w:szCs w:val="28"/>
        </w:rPr>
        <w:t xml:space="preserve">It is apparent that this was a trial </w:t>
      </w:r>
      <w:r w:rsidR="001517B3">
        <w:rPr>
          <w:color w:val="000000"/>
          <w:szCs w:val="28"/>
        </w:rPr>
        <w:t xml:space="preserve">which </w:t>
      </w:r>
      <w:r w:rsidR="00F464AC">
        <w:rPr>
          <w:color w:val="000000"/>
          <w:szCs w:val="28"/>
        </w:rPr>
        <w:t xml:space="preserve">was prosecuted, defended and presented to the jury by the </w:t>
      </w:r>
      <w:r w:rsidR="001517B3">
        <w:rPr>
          <w:color w:val="000000"/>
          <w:szCs w:val="28"/>
        </w:rPr>
        <w:t xml:space="preserve">parties and the </w:t>
      </w:r>
      <w:r w:rsidR="00F464AC" w:rsidRPr="00F464AC">
        <w:rPr>
          <w:color w:val="000000"/>
          <w:kern w:val="2"/>
          <w:szCs w:val="28"/>
          <w:lang w:val="en-US"/>
        </w:rPr>
        <w:t>judge</w:t>
      </w:r>
      <w:r w:rsidR="00F464AC">
        <w:rPr>
          <w:color w:val="000000"/>
          <w:szCs w:val="28"/>
        </w:rPr>
        <w:t xml:space="preserve"> in stark, black and white terms; believe the police, then convict; disbelieve the police</w:t>
      </w:r>
      <w:r>
        <w:rPr>
          <w:color w:val="000000"/>
          <w:szCs w:val="28"/>
        </w:rPr>
        <w:t>, or conclude that the allegations of the defence of police impropriety are or may be true,</w:t>
      </w:r>
      <w:r w:rsidR="00F464AC">
        <w:rPr>
          <w:color w:val="000000"/>
          <w:szCs w:val="28"/>
        </w:rPr>
        <w:t xml:space="preserve"> then acquit. </w:t>
      </w:r>
    </w:p>
    <w:p w:rsidR="009C5FE2" w:rsidRPr="009C5FE2" w:rsidRDefault="00D45D3A" w:rsidP="005B6230">
      <w:pPr>
        <w:pStyle w:val="Final"/>
        <w:ind w:left="0" w:firstLine="0"/>
        <w:rPr>
          <w:szCs w:val="28"/>
        </w:rPr>
      </w:pPr>
      <w:r>
        <w:rPr>
          <w:color w:val="000000"/>
          <w:szCs w:val="28"/>
        </w:rPr>
        <w:t xml:space="preserve">Placed </w:t>
      </w:r>
      <w:r w:rsidR="008F263F">
        <w:rPr>
          <w:color w:val="000000"/>
          <w:szCs w:val="28"/>
        </w:rPr>
        <w:t>in this context we are confident we can answer Lord</w:t>
      </w:r>
      <w:r w:rsidR="00192598">
        <w:rPr>
          <w:color w:val="000000"/>
          <w:szCs w:val="28"/>
          <w:lang w:val="en-US"/>
        </w:rPr>
        <w:t> </w:t>
      </w:r>
      <w:r w:rsidR="008F263F">
        <w:rPr>
          <w:color w:val="000000"/>
          <w:szCs w:val="28"/>
        </w:rPr>
        <w:t xml:space="preserve">Kerr’s question in the affirmative.  In the particular </w:t>
      </w:r>
      <w:r w:rsidR="008F263F" w:rsidRPr="008F263F">
        <w:rPr>
          <w:color w:val="000000"/>
          <w:szCs w:val="28"/>
        </w:rPr>
        <w:t>circumstances</w:t>
      </w:r>
      <w:r w:rsidR="008F263F">
        <w:rPr>
          <w:color w:val="000000"/>
          <w:szCs w:val="28"/>
        </w:rPr>
        <w:t xml:space="preserve"> of this trial there was no risk that the jury might be lured into the impermissible reasoning of acting upon </w:t>
      </w:r>
      <w:r w:rsidR="004E0F03">
        <w:rPr>
          <w:color w:val="000000"/>
          <w:szCs w:val="28"/>
        </w:rPr>
        <w:t xml:space="preserve">any of the admissions </w:t>
      </w:r>
      <w:r w:rsidR="008F263F">
        <w:rPr>
          <w:color w:val="000000"/>
          <w:szCs w:val="28"/>
        </w:rPr>
        <w:t xml:space="preserve">they believed was true but </w:t>
      </w:r>
      <w:r w:rsidR="008F263F" w:rsidRPr="008F263F">
        <w:rPr>
          <w:color w:val="000000"/>
          <w:szCs w:val="28"/>
          <w:lang w:val="en-US"/>
        </w:rPr>
        <w:lastRenderedPageBreak/>
        <w:t>in respect of</w:t>
      </w:r>
      <w:r w:rsidR="008F263F">
        <w:rPr>
          <w:color w:val="000000"/>
          <w:szCs w:val="28"/>
        </w:rPr>
        <w:t xml:space="preserve"> which they concluded had, or might have, been obtained oppressively.  </w:t>
      </w:r>
      <w:r w:rsidR="00F464AC">
        <w:rPr>
          <w:color w:val="000000"/>
          <w:szCs w:val="28"/>
        </w:rPr>
        <w:t xml:space="preserve"> </w:t>
      </w:r>
    </w:p>
    <w:p w:rsidR="00871C60" w:rsidRPr="00667DD6" w:rsidRDefault="00871C60" w:rsidP="00871C60">
      <w:pPr>
        <w:pStyle w:val="H-1"/>
        <w:rPr>
          <w:szCs w:val="28"/>
        </w:rPr>
      </w:pPr>
      <w:r>
        <w:t>Disposition</w:t>
      </w:r>
    </w:p>
    <w:p w:rsidR="00871C60" w:rsidRDefault="00871C60" w:rsidP="00871C60">
      <w:pPr>
        <w:pStyle w:val="Final"/>
        <w:ind w:left="0" w:firstLine="0"/>
      </w:pPr>
      <w:r>
        <w:t>For these reasons</w:t>
      </w:r>
      <w:r w:rsidR="00BF092B">
        <w:t xml:space="preserve"> </w:t>
      </w:r>
      <w:r w:rsidR="00DA6C84">
        <w:t>we are not persuaded that the appellant’s conviction is unsafe or unsatisfactory and we, therefore, dismiss his appeal</w:t>
      </w:r>
      <w:r w:rsidR="00BF092B">
        <w:t>.</w:t>
      </w:r>
    </w:p>
    <w:p w:rsidR="00597A95" w:rsidRDefault="00597A95" w:rsidP="00871C60">
      <w:pPr>
        <w:pStyle w:val="Final"/>
        <w:numPr>
          <w:ilvl w:val="0"/>
          <w:numId w:val="0"/>
        </w:numPr>
        <w:ind w:left="360" w:hanging="360"/>
      </w:pPr>
    </w:p>
    <w:p w:rsidR="00EA476F" w:rsidRDefault="00EA476F" w:rsidP="00871C60">
      <w:pPr>
        <w:pStyle w:val="Final"/>
        <w:numPr>
          <w:ilvl w:val="0"/>
          <w:numId w:val="0"/>
        </w:numPr>
        <w:ind w:left="360" w:hanging="360"/>
      </w:pPr>
    </w:p>
    <w:p w:rsidR="000C5F23" w:rsidRDefault="000C5F23" w:rsidP="00871C60">
      <w:pPr>
        <w:pStyle w:val="Final"/>
        <w:numPr>
          <w:ilvl w:val="0"/>
          <w:numId w:val="0"/>
        </w:numPr>
        <w:ind w:left="360" w:hanging="360"/>
      </w:pPr>
    </w:p>
    <w:p w:rsidR="00871C60" w:rsidRDefault="00871C60" w:rsidP="00871C60">
      <w:pPr>
        <w:tabs>
          <w:tab w:val="clear" w:pos="1440"/>
          <w:tab w:val="center" w:pos="6336"/>
        </w:tabs>
      </w:pPr>
    </w:p>
    <w:p w:rsidR="00D05045" w:rsidRDefault="00D05045" w:rsidP="00871C60">
      <w:pPr>
        <w:tabs>
          <w:tab w:val="clear" w:pos="1440"/>
          <w:tab w:val="center" w:pos="6336"/>
        </w:tabs>
      </w:pPr>
    </w:p>
    <w:tbl>
      <w:tblPr>
        <w:tblW w:w="8658" w:type="dxa"/>
        <w:tblLayout w:type="fixed"/>
        <w:tblLook w:val="04A0" w:firstRow="1" w:lastRow="0" w:firstColumn="1" w:lastColumn="0" w:noHBand="0" w:noVBand="1"/>
      </w:tblPr>
      <w:tblGrid>
        <w:gridCol w:w="2988"/>
        <w:gridCol w:w="2880"/>
        <w:gridCol w:w="2790"/>
      </w:tblGrid>
      <w:tr w:rsidR="00871C60" w:rsidRPr="0008136E" w:rsidTr="003925B1">
        <w:tc>
          <w:tcPr>
            <w:tcW w:w="2988" w:type="dxa"/>
          </w:tcPr>
          <w:p w:rsidR="00871C60" w:rsidRPr="0008136E" w:rsidRDefault="00871C60" w:rsidP="003925B1">
            <w:pPr>
              <w:pStyle w:val="normal2"/>
              <w:tabs>
                <w:tab w:val="clear" w:pos="4320"/>
                <w:tab w:val="clear" w:pos="9072"/>
                <w:tab w:val="left" w:pos="720"/>
              </w:tabs>
              <w:overflowPunct/>
              <w:autoSpaceDE/>
              <w:spacing w:line="240" w:lineRule="auto"/>
              <w:rPr>
                <w:rFonts w:eastAsia="宋体"/>
                <w:caps w:val="0"/>
                <w:szCs w:val="28"/>
              </w:rPr>
            </w:pPr>
            <w:r w:rsidRPr="0008136E">
              <w:rPr>
                <w:rFonts w:eastAsia="宋体"/>
                <w:caps w:val="0"/>
                <w:szCs w:val="28"/>
              </w:rPr>
              <w:t>(</w:t>
            </w:r>
            <w:r>
              <w:rPr>
                <w:rFonts w:eastAsia="宋体"/>
                <w:caps w:val="0"/>
                <w:szCs w:val="28"/>
              </w:rPr>
              <w:t xml:space="preserve">Andrew </w:t>
            </w:r>
            <w:proofErr w:type="spellStart"/>
            <w:r>
              <w:rPr>
                <w:rFonts w:eastAsia="宋体"/>
                <w:caps w:val="0"/>
                <w:szCs w:val="28"/>
              </w:rPr>
              <w:t>Macrae</w:t>
            </w:r>
            <w:proofErr w:type="spellEnd"/>
            <w:r w:rsidRPr="0008136E">
              <w:rPr>
                <w:rFonts w:eastAsia="宋体"/>
                <w:caps w:val="0"/>
                <w:szCs w:val="28"/>
              </w:rPr>
              <w:t>)</w:t>
            </w:r>
          </w:p>
        </w:tc>
        <w:tc>
          <w:tcPr>
            <w:tcW w:w="2880" w:type="dxa"/>
            <w:hideMark/>
          </w:tcPr>
          <w:p w:rsidR="00871C60" w:rsidRPr="0008136E" w:rsidRDefault="00871C60" w:rsidP="003925B1">
            <w:pPr>
              <w:pStyle w:val="normal2"/>
              <w:tabs>
                <w:tab w:val="clear" w:pos="4320"/>
                <w:tab w:val="clear" w:pos="9072"/>
                <w:tab w:val="left" w:pos="720"/>
              </w:tabs>
              <w:overflowPunct/>
              <w:autoSpaceDE/>
              <w:spacing w:line="240" w:lineRule="auto"/>
              <w:rPr>
                <w:rFonts w:eastAsia="宋体"/>
                <w:caps w:val="0"/>
                <w:szCs w:val="28"/>
              </w:rPr>
            </w:pPr>
            <w:r w:rsidRPr="0008136E">
              <w:rPr>
                <w:rFonts w:eastAsia="宋体"/>
                <w:caps w:val="0"/>
                <w:szCs w:val="28"/>
              </w:rPr>
              <w:t>(</w:t>
            </w:r>
            <w:r>
              <w:rPr>
                <w:rFonts w:eastAsia="宋体" w:hint="eastAsia"/>
                <w:caps w:val="0"/>
                <w:szCs w:val="28"/>
              </w:rPr>
              <w:t xml:space="preserve">Ian </w:t>
            </w:r>
            <w:proofErr w:type="spellStart"/>
            <w:r>
              <w:rPr>
                <w:rFonts w:eastAsia="宋体" w:hint="eastAsia"/>
                <w:caps w:val="0"/>
                <w:szCs w:val="28"/>
              </w:rPr>
              <w:t>McWalters</w:t>
            </w:r>
            <w:proofErr w:type="spellEnd"/>
            <w:r w:rsidRPr="0008136E">
              <w:rPr>
                <w:rFonts w:eastAsia="宋体"/>
                <w:caps w:val="0"/>
                <w:szCs w:val="28"/>
              </w:rPr>
              <w:t>)</w:t>
            </w:r>
          </w:p>
        </w:tc>
        <w:tc>
          <w:tcPr>
            <w:tcW w:w="2790" w:type="dxa"/>
          </w:tcPr>
          <w:p w:rsidR="00871C60" w:rsidRPr="0008136E" w:rsidRDefault="00871C60" w:rsidP="003925B1">
            <w:pPr>
              <w:pStyle w:val="normal2"/>
              <w:tabs>
                <w:tab w:val="clear" w:pos="4320"/>
                <w:tab w:val="clear" w:pos="9072"/>
                <w:tab w:val="left" w:pos="720"/>
              </w:tabs>
              <w:overflowPunct/>
              <w:autoSpaceDE/>
              <w:spacing w:line="240" w:lineRule="auto"/>
              <w:rPr>
                <w:rFonts w:eastAsia="宋体"/>
                <w:caps w:val="0"/>
                <w:szCs w:val="28"/>
              </w:rPr>
            </w:pPr>
            <w:r w:rsidRPr="0008136E">
              <w:rPr>
                <w:rFonts w:eastAsia="宋体"/>
                <w:caps w:val="0"/>
                <w:szCs w:val="28"/>
              </w:rPr>
              <w:t>(</w:t>
            </w:r>
            <w:r>
              <w:rPr>
                <w:rFonts w:eastAsia="宋体"/>
                <w:caps w:val="0"/>
                <w:szCs w:val="28"/>
              </w:rPr>
              <w:t xml:space="preserve">Kevin </w:t>
            </w:r>
            <w:proofErr w:type="spellStart"/>
            <w:r>
              <w:rPr>
                <w:rFonts w:eastAsia="宋体"/>
                <w:caps w:val="0"/>
                <w:szCs w:val="28"/>
              </w:rPr>
              <w:t>Zervos</w:t>
            </w:r>
            <w:proofErr w:type="spellEnd"/>
            <w:r w:rsidRPr="0008136E">
              <w:rPr>
                <w:rFonts w:eastAsia="宋体"/>
                <w:caps w:val="0"/>
                <w:szCs w:val="28"/>
              </w:rPr>
              <w:t>)</w:t>
            </w:r>
          </w:p>
        </w:tc>
      </w:tr>
      <w:tr w:rsidR="00871C60" w:rsidRPr="0008136E" w:rsidTr="003925B1">
        <w:tc>
          <w:tcPr>
            <w:tcW w:w="2988" w:type="dxa"/>
          </w:tcPr>
          <w:p w:rsidR="00871C60" w:rsidRPr="0008136E" w:rsidRDefault="00871C60" w:rsidP="003925B1">
            <w:pPr>
              <w:tabs>
                <w:tab w:val="left" w:pos="720"/>
              </w:tabs>
              <w:jc w:val="center"/>
              <w:rPr>
                <w:szCs w:val="28"/>
              </w:rPr>
            </w:pPr>
            <w:r>
              <w:rPr>
                <w:rFonts w:hint="eastAsia"/>
                <w:szCs w:val="28"/>
              </w:rPr>
              <w:t>Vice-President</w:t>
            </w:r>
          </w:p>
        </w:tc>
        <w:tc>
          <w:tcPr>
            <w:tcW w:w="2880" w:type="dxa"/>
            <w:hideMark/>
          </w:tcPr>
          <w:p w:rsidR="00871C60" w:rsidRPr="0008136E" w:rsidRDefault="00871C60" w:rsidP="003925B1">
            <w:pPr>
              <w:tabs>
                <w:tab w:val="left" w:pos="720"/>
              </w:tabs>
              <w:jc w:val="center"/>
              <w:rPr>
                <w:szCs w:val="28"/>
              </w:rPr>
            </w:pPr>
            <w:r w:rsidRPr="0008136E">
              <w:rPr>
                <w:szCs w:val="28"/>
              </w:rPr>
              <w:t>Justice of Appeal</w:t>
            </w:r>
          </w:p>
        </w:tc>
        <w:tc>
          <w:tcPr>
            <w:tcW w:w="2790" w:type="dxa"/>
          </w:tcPr>
          <w:p w:rsidR="00871C60" w:rsidRPr="0008136E" w:rsidRDefault="00871C60" w:rsidP="003925B1">
            <w:pPr>
              <w:tabs>
                <w:tab w:val="left" w:pos="720"/>
              </w:tabs>
              <w:jc w:val="center"/>
              <w:rPr>
                <w:szCs w:val="28"/>
              </w:rPr>
            </w:pPr>
            <w:r w:rsidRPr="009E28BD">
              <w:rPr>
                <w:szCs w:val="28"/>
              </w:rPr>
              <w:t>Justice of Appeal</w:t>
            </w:r>
          </w:p>
        </w:tc>
      </w:tr>
    </w:tbl>
    <w:p w:rsidR="00871C60" w:rsidRDefault="00871C60" w:rsidP="00871C60">
      <w:pPr>
        <w:tabs>
          <w:tab w:val="clear" w:pos="1440"/>
          <w:tab w:val="center" w:pos="6336"/>
        </w:tabs>
      </w:pPr>
    </w:p>
    <w:p w:rsidR="00871C60" w:rsidRDefault="00871C60" w:rsidP="00871C60">
      <w:pPr>
        <w:rPr>
          <w:szCs w:val="24"/>
        </w:rPr>
      </w:pPr>
    </w:p>
    <w:p w:rsidR="00E25C5E" w:rsidRDefault="00871C60" w:rsidP="007155BE">
      <w:pPr>
        <w:rPr>
          <w:rFonts w:eastAsia="PMingLiU"/>
          <w:szCs w:val="24"/>
          <w:lang w:eastAsia="zh-TW"/>
        </w:rPr>
      </w:pPr>
      <w:r>
        <w:rPr>
          <w:szCs w:val="24"/>
        </w:rPr>
        <w:t>M</w:t>
      </w:r>
      <w:r w:rsidR="00E25C5E">
        <w:rPr>
          <w:szCs w:val="24"/>
        </w:rPr>
        <w:t xml:space="preserve">s </w:t>
      </w:r>
      <w:proofErr w:type="spellStart"/>
      <w:r w:rsidR="00E25C5E">
        <w:rPr>
          <w:szCs w:val="24"/>
        </w:rPr>
        <w:t>Christal</w:t>
      </w:r>
      <w:proofErr w:type="spellEnd"/>
      <w:r w:rsidR="00E25C5E">
        <w:rPr>
          <w:szCs w:val="24"/>
        </w:rPr>
        <w:t xml:space="preserve"> Chan, ADPP (Ag)</w:t>
      </w:r>
      <w:r>
        <w:rPr>
          <w:szCs w:val="24"/>
        </w:rPr>
        <w:t xml:space="preserve">, </w:t>
      </w:r>
      <w:r w:rsidRPr="00770454">
        <w:rPr>
          <w:rFonts w:eastAsia="PMingLiU"/>
          <w:szCs w:val="24"/>
          <w:lang w:eastAsia="zh-TW"/>
        </w:rPr>
        <w:t xml:space="preserve">of </w:t>
      </w:r>
      <w:r w:rsidRPr="00770454">
        <w:rPr>
          <w:rFonts w:hint="eastAsia"/>
          <w:szCs w:val="24"/>
        </w:rPr>
        <w:t>D</w:t>
      </w:r>
      <w:r w:rsidRPr="00770454">
        <w:rPr>
          <w:rFonts w:eastAsia="PMingLiU"/>
          <w:szCs w:val="24"/>
          <w:lang w:eastAsia="zh-TW"/>
        </w:rPr>
        <w:t>epartment</w:t>
      </w:r>
      <w:r>
        <w:rPr>
          <w:rFonts w:eastAsia="PMingLiU"/>
          <w:szCs w:val="24"/>
          <w:lang w:eastAsia="zh-TW"/>
        </w:rPr>
        <w:t xml:space="preserve"> of Justice</w:t>
      </w:r>
      <w:r>
        <w:rPr>
          <w:rFonts w:eastAsiaTheme="minorEastAsia" w:hint="eastAsia"/>
          <w:szCs w:val="24"/>
        </w:rPr>
        <w:t xml:space="preserve">, </w:t>
      </w:r>
      <w:r w:rsidRPr="00081BE4">
        <w:rPr>
          <w:rFonts w:eastAsia="PMingLiU"/>
          <w:szCs w:val="24"/>
          <w:lang w:eastAsia="zh-TW"/>
        </w:rPr>
        <w:t>for the</w:t>
      </w:r>
    </w:p>
    <w:p w:rsidR="00871C60" w:rsidRPr="00081BE4" w:rsidRDefault="00E25C5E" w:rsidP="00E25C5E">
      <w:pPr>
        <w:tabs>
          <w:tab w:val="left" w:pos="360"/>
        </w:tabs>
        <w:rPr>
          <w:szCs w:val="24"/>
        </w:rPr>
      </w:pPr>
      <w:r>
        <w:rPr>
          <w:rFonts w:eastAsiaTheme="minorEastAsia"/>
          <w:szCs w:val="24"/>
        </w:rPr>
        <w:tab/>
      </w:r>
      <w:r w:rsidR="00871C60">
        <w:rPr>
          <w:rFonts w:eastAsiaTheme="minorEastAsia" w:hint="eastAsia"/>
          <w:szCs w:val="24"/>
        </w:rPr>
        <w:t>r</w:t>
      </w:r>
      <w:r w:rsidR="00871C60" w:rsidRPr="00081BE4">
        <w:rPr>
          <w:rFonts w:eastAsia="PMingLiU"/>
          <w:szCs w:val="24"/>
          <w:lang w:eastAsia="zh-TW"/>
        </w:rPr>
        <w:t>espondent</w:t>
      </w:r>
    </w:p>
    <w:p w:rsidR="00871C60" w:rsidRDefault="00871C60" w:rsidP="00871C60">
      <w:pPr>
        <w:rPr>
          <w:szCs w:val="24"/>
        </w:rPr>
      </w:pPr>
    </w:p>
    <w:p w:rsidR="00871C60" w:rsidRDefault="00871C60" w:rsidP="00871C60">
      <w:pPr>
        <w:tabs>
          <w:tab w:val="left" w:pos="360"/>
        </w:tabs>
        <w:rPr>
          <w:szCs w:val="24"/>
        </w:rPr>
      </w:pPr>
      <w:r>
        <w:rPr>
          <w:szCs w:val="24"/>
        </w:rPr>
        <w:t xml:space="preserve">Mr </w:t>
      </w:r>
      <w:r w:rsidR="00E25C5E">
        <w:rPr>
          <w:szCs w:val="24"/>
        </w:rPr>
        <w:t xml:space="preserve">David </w:t>
      </w:r>
      <w:proofErr w:type="spellStart"/>
      <w:r w:rsidR="00E25C5E">
        <w:rPr>
          <w:szCs w:val="24"/>
        </w:rPr>
        <w:t>Boyton</w:t>
      </w:r>
      <w:proofErr w:type="spellEnd"/>
      <w:r>
        <w:rPr>
          <w:szCs w:val="24"/>
        </w:rPr>
        <w:t>, instructed by</w:t>
      </w:r>
      <w:r w:rsidR="00E25C5E">
        <w:rPr>
          <w:szCs w:val="24"/>
        </w:rPr>
        <w:t xml:space="preserve"> Stevenson, Wong &amp; Co,</w:t>
      </w:r>
      <w:r>
        <w:rPr>
          <w:szCs w:val="24"/>
        </w:rPr>
        <w:t xml:space="preserve"> assigned </w:t>
      </w:r>
    </w:p>
    <w:p w:rsidR="009E42D8" w:rsidRDefault="00871C60" w:rsidP="00FF549C">
      <w:pPr>
        <w:tabs>
          <w:tab w:val="left" w:pos="360"/>
        </w:tabs>
      </w:pPr>
      <w:r>
        <w:rPr>
          <w:szCs w:val="24"/>
        </w:rPr>
        <w:tab/>
        <w:t xml:space="preserve">by DLA, for the </w:t>
      </w:r>
      <w:r w:rsidRPr="00871C60">
        <w:rPr>
          <w:szCs w:val="28"/>
          <w:lang w:val="en-US"/>
        </w:rPr>
        <w:t>appellant</w:t>
      </w:r>
      <w:r>
        <w:rPr>
          <w:rFonts w:hint="eastAsia"/>
          <w:szCs w:val="28"/>
          <w:lang w:val="en-US"/>
        </w:rPr>
        <w:t xml:space="preserve"> </w:t>
      </w:r>
    </w:p>
    <w:sectPr w:rsidR="009E42D8" w:rsidSect="00DA6C84">
      <w:headerReference w:type="even" r:id="rId10"/>
      <w:headerReference w:type="default" r:id="rId11"/>
      <w:footerReference w:type="default" r:id="rId12"/>
      <w:headerReference w:type="first" r:id="rId13"/>
      <w:pgSz w:w="11907" w:h="16840" w:code="9"/>
      <w:pgMar w:top="1728" w:right="1728" w:bottom="1530" w:left="1728" w:header="720" w:footer="720" w:gutter="0"/>
      <w:pgNumType w:start="1"/>
      <w:cols w:space="720"/>
      <w:titlePg/>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5103" w:rsidRDefault="00405103">
      <w:r>
        <w:separator/>
      </w:r>
    </w:p>
  </w:endnote>
  <w:endnote w:type="continuationSeparator" w:id="0">
    <w:p w:rsidR="00405103" w:rsidRDefault="00405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Bembo-SemiboldItalic">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20C7" w:rsidRDefault="00B020C7">
    <w:pPr>
      <w:pStyle w:val="Footer"/>
      <w:tabs>
        <w:tab w:val="clear" w:pos="8306"/>
        <w:tab w:val="right" w:pos="8493"/>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5103" w:rsidRDefault="00405103">
      <w:r>
        <w:separator/>
      </w:r>
    </w:p>
  </w:footnote>
  <w:footnote w:type="continuationSeparator" w:id="0">
    <w:p w:rsidR="00405103" w:rsidRDefault="00405103">
      <w:r>
        <w:continuationSeparator/>
      </w:r>
    </w:p>
  </w:footnote>
  <w:footnote w:id="1">
    <w:p w:rsidR="00B020C7" w:rsidRPr="0083161F" w:rsidRDefault="00B020C7">
      <w:pPr>
        <w:pStyle w:val="FootnoteText"/>
        <w:rPr>
          <w:sz w:val="20"/>
        </w:rPr>
      </w:pPr>
      <w:r w:rsidRPr="0083161F">
        <w:rPr>
          <w:rStyle w:val="FootnoteReference"/>
          <w:sz w:val="20"/>
        </w:rPr>
        <w:footnoteRef/>
      </w:r>
      <w:r w:rsidR="0083161F">
        <w:rPr>
          <w:sz w:val="20"/>
        </w:rPr>
        <w:tab/>
      </w:r>
      <w:r w:rsidRPr="0083161F">
        <w:rPr>
          <w:sz w:val="20"/>
        </w:rPr>
        <w:t>[2019] HKCA 1244.</w:t>
      </w:r>
    </w:p>
  </w:footnote>
  <w:footnote w:id="2">
    <w:p w:rsidR="00B020C7" w:rsidRPr="0083161F" w:rsidRDefault="00B020C7">
      <w:pPr>
        <w:pStyle w:val="FootnoteText"/>
        <w:rPr>
          <w:sz w:val="20"/>
        </w:rPr>
      </w:pPr>
      <w:r w:rsidRPr="0083161F">
        <w:rPr>
          <w:rStyle w:val="FootnoteReference"/>
          <w:sz w:val="20"/>
        </w:rPr>
        <w:footnoteRef/>
      </w:r>
      <w:r w:rsidR="0083161F">
        <w:rPr>
          <w:sz w:val="20"/>
        </w:rPr>
        <w:tab/>
      </w:r>
      <w:r w:rsidR="00BC5258" w:rsidRPr="0083161F">
        <w:rPr>
          <w:sz w:val="20"/>
        </w:rPr>
        <w:t>Appeal Bundle, page</w:t>
      </w:r>
      <w:r w:rsidRPr="0083161F">
        <w:rPr>
          <w:sz w:val="20"/>
        </w:rPr>
        <w:t xml:space="preserve"> 42.</w:t>
      </w:r>
    </w:p>
  </w:footnote>
  <w:footnote w:id="3">
    <w:p w:rsidR="000563A8" w:rsidRPr="0083161F" w:rsidRDefault="000563A8" w:rsidP="000563A8">
      <w:pPr>
        <w:pStyle w:val="FootnoteText"/>
        <w:rPr>
          <w:sz w:val="20"/>
        </w:rPr>
      </w:pPr>
      <w:r w:rsidRPr="0083161F">
        <w:rPr>
          <w:rStyle w:val="FootnoteReference"/>
          <w:sz w:val="20"/>
        </w:rPr>
        <w:footnoteRef/>
      </w:r>
      <w:r>
        <w:rPr>
          <w:sz w:val="20"/>
        </w:rPr>
        <w:tab/>
      </w:r>
      <w:r w:rsidR="00B70866">
        <w:rPr>
          <w:sz w:val="20"/>
        </w:rPr>
        <w:t>(</w:t>
      </w:r>
      <w:r w:rsidRPr="0083161F">
        <w:rPr>
          <w:sz w:val="20"/>
        </w:rPr>
        <w:t>2002</w:t>
      </w:r>
      <w:r w:rsidR="00B70866">
        <w:rPr>
          <w:sz w:val="20"/>
        </w:rPr>
        <w:t>)</w:t>
      </w:r>
      <w:r w:rsidRPr="0083161F">
        <w:rPr>
          <w:sz w:val="20"/>
        </w:rPr>
        <w:t xml:space="preserve"> 5 HKCFAR 209</w:t>
      </w:r>
    </w:p>
  </w:footnote>
  <w:footnote w:id="4">
    <w:p w:rsidR="005E1777" w:rsidRPr="007F6CCB" w:rsidRDefault="005E1777">
      <w:pPr>
        <w:pStyle w:val="FootnoteText"/>
        <w:rPr>
          <w:sz w:val="20"/>
        </w:rPr>
      </w:pPr>
      <w:r w:rsidRPr="007F6CCB">
        <w:rPr>
          <w:rStyle w:val="FootnoteReference"/>
          <w:sz w:val="20"/>
        </w:rPr>
        <w:footnoteRef/>
      </w:r>
      <w:r w:rsidR="0083161F" w:rsidRPr="007F6CCB">
        <w:rPr>
          <w:sz w:val="20"/>
        </w:rPr>
        <w:tab/>
      </w:r>
      <w:r w:rsidRPr="007F6CCB">
        <w:rPr>
          <w:sz w:val="20"/>
        </w:rPr>
        <w:t>[2018] 5 HKLRD 412</w:t>
      </w:r>
    </w:p>
  </w:footnote>
  <w:footnote w:id="5">
    <w:p w:rsidR="003C160A" w:rsidRPr="007F6CCB" w:rsidRDefault="003C160A" w:rsidP="003C160A">
      <w:pPr>
        <w:pStyle w:val="FootnoteText"/>
        <w:rPr>
          <w:sz w:val="20"/>
        </w:rPr>
      </w:pPr>
      <w:r w:rsidRPr="007F6CCB">
        <w:rPr>
          <w:rStyle w:val="FootnoteReference"/>
          <w:sz w:val="20"/>
        </w:rPr>
        <w:footnoteRef/>
      </w:r>
      <w:r w:rsidRPr="007F6CCB">
        <w:rPr>
          <w:sz w:val="20"/>
        </w:rPr>
        <w:t xml:space="preserve"> </w:t>
      </w:r>
      <w:r w:rsidRPr="007F6CCB">
        <w:rPr>
          <w:sz w:val="20"/>
        </w:rPr>
        <w:tab/>
        <w:t>Ibid, at page 420, [19].</w:t>
      </w:r>
    </w:p>
  </w:footnote>
  <w:footnote w:id="6">
    <w:p w:rsidR="00AB67F1" w:rsidRPr="007F6CCB" w:rsidRDefault="00AB67F1">
      <w:pPr>
        <w:pStyle w:val="FootnoteText"/>
        <w:rPr>
          <w:sz w:val="20"/>
        </w:rPr>
      </w:pPr>
      <w:r w:rsidRPr="007F6CCB">
        <w:rPr>
          <w:rStyle w:val="FootnoteReference"/>
          <w:sz w:val="20"/>
        </w:rPr>
        <w:footnoteRef/>
      </w:r>
      <w:r w:rsidRPr="007F6CCB">
        <w:rPr>
          <w:sz w:val="20"/>
        </w:rPr>
        <w:t xml:space="preserve"> </w:t>
      </w:r>
      <w:r w:rsidRPr="007F6CCB">
        <w:rPr>
          <w:sz w:val="20"/>
        </w:rPr>
        <w:tab/>
        <w:t>Ibid, at page 422, [30].</w:t>
      </w:r>
    </w:p>
  </w:footnote>
  <w:footnote w:id="7">
    <w:p w:rsidR="00B70866" w:rsidRDefault="00B70866" w:rsidP="00B70866">
      <w:pPr>
        <w:pStyle w:val="FootnoteText"/>
      </w:pPr>
      <w:r w:rsidRPr="007F6CCB">
        <w:rPr>
          <w:rStyle w:val="FootnoteReference"/>
          <w:sz w:val="20"/>
        </w:rPr>
        <w:footnoteRef/>
      </w:r>
      <w:r w:rsidRPr="007F6CCB">
        <w:rPr>
          <w:sz w:val="20"/>
        </w:rPr>
        <w:t xml:space="preserve"> </w:t>
      </w:r>
      <w:r w:rsidRPr="007F6CCB">
        <w:rPr>
          <w:sz w:val="20"/>
        </w:rPr>
        <w:tab/>
        <w:t>Appellant’s W</w:t>
      </w:r>
      <w:proofErr w:type="spellStart"/>
      <w:r w:rsidRPr="007F6CCB">
        <w:rPr>
          <w:kern w:val="2"/>
          <w:sz w:val="20"/>
          <w:lang w:val="en-US"/>
        </w:rPr>
        <w:t>ritten</w:t>
      </w:r>
      <w:proofErr w:type="spellEnd"/>
      <w:r w:rsidRPr="007F6CCB">
        <w:rPr>
          <w:kern w:val="2"/>
          <w:sz w:val="20"/>
          <w:lang w:val="en-US"/>
        </w:rPr>
        <w:t xml:space="preserve"> Submissions</w:t>
      </w:r>
      <w:r w:rsidRPr="007F6CCB">
        <w:rPr>
          <w:sz w:val="20"/>
        </w:rPr>
        <w:t>, [2</w:t>
      </w:r>
      <w:r>
        <w:rPr>
          <w:sz w:val="20"/>
        </w:rPr>
        <w:t>2</w:t>
      </w:r>
      <w:r w:rsidRPr="007F6CCB">
        <w:rPr>
          <w:sz w:val="20"/>
        </w:rPr>
        <w:t>].</w:t>
      </w:r>
      <w:r>
        <w:t xml:space="preserve">  </w:t>
      </w:r>
    </w:p>
  </w:footnote>
  <w:footnote w:id="8">
    <w:p w:rsidR="006855E0" w:rsidRPr="006855E0" w:rsidRDefault="006855E0">
      <w:pPr>
        <w:pStyle w:val="FootnoteText"/>
        <w:rPr>
          <w:sz w:val="20"/>
        </w:rPr>
      </w:pPr>
      <w:r w:rsidRPr="006855E0">
        <w:rPr>
          <w:rStyle w:val="FootnoteReference"/>
          <w:sz w:val="20"/>
        </w:rPr>
        <w:footnoteRef/>
      </w:r>
      <w:r w:rsidRPr="006855E0">
        <w:rPr>
          <w:sz w:val="20"/>
        </w:rPr>
        <w:t xml:space="preserve"> </w:t>
      </w:r>
      <w:r w:rsidRPr="006855E0">
        <w:rPr>
          <w:sz w:val="20"/>
        </w:rPr>
        <w:tab/>
        <w:t>Appeal Bundle, page 76G – P.</w:t>
      </w:r>
    </w:p>
  </w:footnote>
  <w:footnote w:id="9">
    <w:p w:rsidR="00052A78" w:rsidRPr="00052A78" w:rsidRDefault="00052A78">
      <w:pPr>
        <w:pStyle w:val="FootnoteText"/>
        <w:rPr>
          <w:sz w:val="20"/>
        </w:rPr>
      </w:pPr>
      <w:r w:rsidRPr="00052A78">
        <w:rPr>
          <w:rStyle w:val="FootnoteReference"/>
          <w:sz w:val="20"/>
        </w:rPr>
        <w:footnoteRef/>
      </w:r>
      <w:r w:rsidRPr="00052A78">
        <w:rPr>
          <w:sz w:val="20"/>
        </w:rPr>
        <w:t xml:space="preserve"> </w:t>
      </w:r>
      <w:r w:rsidRPr="00052A78">
        <w:rPr>
          <w:sz w:val="20"/>
        </w:rPr>
        <w:tab/>
        <w:t xml:space="preserve">Appeal Bundle, page 65I - R. </w:t>
      </w:r>
    </w:p>
  </w:footnote>
  <w:footnote w:id="10">
    <w:p w:rsidR="00267066" w:rsidRPr="00267066" w:rsidRDefault="00267066">
      <w:pPr>
        <w:pStyle w:val="FootnoteText"/>
        <w:rPr>
          <w:sz w:val="20"/>
        </w:rPr>
      </w:pPr>
      <w:r w:rsidRPr="00267066">
        <w:rPr>
          <w:rStyle w:val="FootnoteReference"/>
          <w:sz w:val="20"/>
        </w:rPr>
        <w:footnoteRef/>
      </w:r>
      <w:r w:rsidRPr="00267066">
        <w:rPr>
          <w:sz w:val="20"/>
        </w:rPr>
        <w:t xml:space="preserve"> </w:t>
      </w:r>
      <w:r w:rsidRPr="00267066">
        <w:rPr>
          <w:sz w:val="20"/>
        </w:rPr>
        <w:tab/>
        <w:t>Appeal Bundle, page 67E – H.</w:t>
      </w:r>
    </w:p>
  </w:footnote>
  <w:footnote w:id="11">
    <w:p w:rsidR="00C6076B" w:rsidRDefault="00C6076B" w:rsidP="0035125E">
      <w:pPr>
        <w:pStyle w:val="FootnoteText"/>
      </w:pPr>
      <w:r w:rsidRPr="00766791">
        <w:rPr>
          <w:rStyle w:val="FootnoteReference"/>
          <w:sz w:val="20"/>
        </w:rPr>
        <w:footnoteRef/>
      </w:r>
      <w:r w:rsidR="007D0EC7">
        <w:tab/>
      </w:r>
      <w:r>
        <w:rPr>
          <w:sz w:val="20"/>
        </w:rPr>
        <w:t>Appeal Bundle, page 2G</w:t>
      </w:r>
      <w:r w:rsidRPr="0083161F">
        <w:rPr>
          <w:sz w:val="20"/>
        </w:rPr>
        <w:t xml:space="preserve"> – </w:t>
      </w:r>
      <w:r>
        <w:rPr>
          <w:sz w:val="20"/>
        </w:rPr>
        <w:t>R</w:t>
      </w:r>
      <w:r w:rsidRPr="0083161F">
        <w:rPr>
          <w:sz w:val="20"/>
        </w:rPr>
        <w:t>.</w:t>
      </w:r>
    </w:p>
  </w:footnote>
  <w:footnote w:id="12">
    <w:p w:rsidR="002A7C31" w:rsidRDefault="00281D4D">
      <w:pPr>
        <w:pStyle w:val="FootnoteText"/>
        <w:rPr>
          <w:sz w:val="20"/>
        </w:rPr>
      </w:pPr>
      <w:r w:rsidRPr="00766791">
        <w:rPr>
          <w:rStyle w:val="FootnoteReference"/>
          <w:sz w:val="20"/>
        </w:rPr>
        <w:footnoteRef/>
      </w:r>
      <w:r w:rsidR="00FD2425">
        <w:tab/>
      </w:r>
      <w:r w:rsidR="00FD2425" w:rsidRPr="00FD2425">
        <w:rPr>
          <w:sz w:val="20"/>
        </w:rPr>
        <w:t xml:space="preserve">The judge made a similar </w:t>
      </w:r>
      <w:r w:rsidR="002A7C31">
        <w:rPr>
          <w:sz w:val="20"/>
        </w:rPr>
        <w:t xml:space="preserve">comment </w:t>
      </w:r>
      <w:r w:rsidR="00FD2425" w:rsidRPr="00FD2425">
        <w:rPr>
          <w:sz w:val="20"/>
        </w:rPr>
        <w:t>at page 13B-E of Appeal Bundle, saying:</w:t>
      </w:r>
    </w:p>
    <w:p w:rsidR="00281D4D" w:rsidRPr="00281D4D" w:rsidRDefault="002A7C31" w:rsidP="00B41CB0">
      <w:pPr>
        <w:pStyle w:val="FootnoteText"/>
        <w:tabs>
          <w:tab w:val="clear" w:pos="8453"/>
        </w:tabs>
        <w:ind w:left="630" w:right="441" w:hanging="630"/>
        <w:rPr>
          <w:rStyle w:val="FootnoteReference"/>
          <w:sz w:val="20"/>
        </w:rPr>
      </w:pPr>
      <w:r>
        <w:rPr>
          <w:sz w:val="20"/>
        </w:rPr>
        <w:tab/>
      </w:r>
      <w:r w:rsidR="00281D4D" w:rsidRPr="00FD2425">
        <w:rPr>
          <w:sz w:val="20"/>
        </w:rPr>
        <w:t xml:space="preserve">“Mr </w:t>
      </w:r>
      <w:proofErr w:type="spellStart"/>
      <w:r w:rsidR="00281D4D" w:rsidRPr="00FD2425">
        <w:rPr>
          <w:sz w:val="20"/>
        </w:rPr>
        <w:t>Boyton</w:t>
      </w:r>
      <w:proofErr w:type="spellEnd"/>
      <w:r w:rsidR="00281D4D" w:rsidRPr="00FD2425">
        <w:rPr>
          <w:sz w:val="20"/>
        </w:rPr>
        <w:t xml:space="preserve"> said in his speech yesterday afternoon, and I am not using his words exactly but I am paraphrasing what he was saying, if the police were up to dirty tricks here and a false confession was obtained, then the whole case against the defendant is in doubt, </w:t>
      </w:r>
      <w:r w:rsidR="00281D4D" w:rsidRPr="00B41CB0">
        <w:rPr>
          <w:i/>
          <w:sz w:val="20"/>
        </w:rPr>
        <w:t xml:space="preserve">and no doubt you would, in those circumstances, find the defendant not </w:t>
      </w:r>
      <w:r w:rsidR="00B41CB0">
        <w:rPr>
          <w:i/>
          <w:sz w:val="20"/>
        </w:rPr>
        <w:t>g</w:t>
      </w:r>
      <w:r w:rsidR="00281D4D" w:rsidRPr="00B41CB0">
        <w:rPr>
          <w:i/>
          <w:sz w:val="20"/>
        </w:rPr>
        <w:t>uilty because you cannot trust anything they have told you.</w:t>
      </w:r>
      <w:r w:rsidR="00281D4D">
        <w:rPr>
          <w:sz w:val="20"/>
        </w:rPr>
        <w:t>”</w:t>
      </w:r>
      <w:r w:rsidR="00281D4D" w:rsidRPr="00281D4D">
        <w:rPr>
          <w:rStyle w:val="FootnoteReference"/>
          <w:sz w:val="20"/>
        </w:rPr>
        <w:t xml:space="preserve">  </w:t>
      </w:r>
      <w:r w:rsidR="00B41CB0" w:rsidRPr="00B41CB0">
        <w:rPr>
          <w:rStyle w:val="FootnoteReference"/>
          <w:sz w:val="20"/>
          <w:szCs w:val="24"/>
          <w:vertAlign w:val="baseline"/>
        </w:rPr>
        <w:t>(Emphasis added)</w:t>
      </w:r>
      <w:r w:rsidR="00B41CB0" w:rsidRPr="00B41CB0">
        <w:rPr>
          <w:rStyle w:val="FootnoteReference"/>
          <w:sz w:val="20"/>
          <w:vertAlign w:val="baseline"/>
        </w:rPr>
        <w:t xml:space="preserve"> </w:t>
      </w:r>
    </w:p>
  </w:footnote>
  <w:footnote w:id="13">
    <w:p w:rsidR="00B70866" w:rsidRPr="00B70866" w:rsidRDefault="00B70866">
      <w:pPr>
        <w:pStyle w:val="FootnoteText"/>
        <w:rPr>
          <w:sz w:val="20"/>
          <w:lang w:val="en-US"/>
        </w:rPr>
      </w:pPr>
      <w:r w:rsidRPr="00B70866">
        <w:rPr>
          <w:rStyle w:val="FootnoteReference"/>
          <w:sz w:val="20"/>
        </w:rPr>
        <w:footnoteRef/>
      </w:r>
      <w:r w:rsidRPr="00B70866">
        <w:rPr>
          <w:sz w:val="20"/>
        </w:rPr>
        <w:t xml:space="preserve"> </w:t>
      </w:r>
      <w:r w:rsidRPr="00B70866">
        <w:rPr>
          <w:sz w:val="20"/>
          <w:lang w:val="en-US"/>
        </w:rPr>
        <w:t xml:space="preserve"> Appeal Bundle, page 8I-M.</w:t>
      </w:r>
    </w:p>
  </w:footnote>
  <w:footnote w:id="14">
    <w:p w:rsidR="005C01A9" w:rsidRDefault="005C01A9" w:rsidP="005C01A9">
      <w:pPr>
        <w:pStyle w:val="FootnoteText"/>
      </w:pPr>
      <w:r w:rsidRPr="00871C60">
        <w:rPr>
          <w:rStyle w:val="FootnoteReference"/>
          <w:sz w:val="20"/>
        </w:rPr>
        <w:footnoteRef/>
      </w:r>
      <w:r>
        <w:rPr>
          <w:sz w:val="20"/>
        </w:rPr>
        <w:tab/>
      </w:r>
      <w:r w:rsidRPr="00871C60">
        <w:rPr>
          <w:rFonts w:hint="eastAsia"/>
          <w:sz w:val="20"/>
        </w:rPr>
        <w:t xml:space="preserve">Appeal Bundle, pages 11N </w:t>
      </w:r>
      <w:r w:rsidRPr="00871C60">
        <w:rPr>
          <w:sz w:val="20"/>
        </w:rPr>
        <w:t>–</w:t>
      </w:r>
      <w:r w:rsidRPr="00871C60">
        <w:rPr>
          <w:rFonts w:hint="eastAsia"/>
          <w:sz w:val="20"/>
        </w:rPr>
        <w:t xml:space="preserve"> </w:t>
      </w:r>
      <w:r w:rsidRPr="00871C60">
        <w:rPr>
          <w:sz w:val="20"/>
        </w:rPr>
        <w:t>13</w:t>
      </w:r>
      <w:r w:rsidRPr="00871C60">
        <w:rPr>
          <w:rFonts w:hint="eastAsia"/>
          <w:sz w:val="20"/>
        </w:rPr>
        <w:t>E.</w:t>
      </w:r>
      <w:r>
        <w:t xml:space="preserve">  </w:t>
      </w:r>
    </w:p>
  </w:footnote>
  <w:footnote w:id="15">
    <w:p w:rsidR="00B1494A" w:rsidRDefault="00B1494A">
      <w:pPr>
        <w:pStyle w:val="FootnoteText"/>
      </w:pPr>
      <w:r w:rsidRPr="00027242">
        <w:rPr>
          <w:rStyle w:val="FootnoteReference"/>
          <w:sz w:val="20"/>
        </w:rPr>
        <w:footnoteRef/>
      </w:r>
      <w:r w:rsidRPr="00027242">
        <w:rPr>
          <w:sz w:val="20"/>
        </w:rPr>
        <w:t xml:space="preserve"> </w:t>
      </w:r>
      <w:r w:rsidRPr="00027242">
        <w:rPr>
          <w:sz w:val="20"/>
        </w:rPr>
        <w:tab/>
        <w:t>At pa</w:t>
      </w:r>
      <w:r w:rsidRPr="004C577C">
        <w:rPr>
          <w:sz w:val="20"/>
        </w:rPr>
        <w:t>ge 2991, [F18.11].</w:t>
      </w:r>
    </w:p>
  </w:footnote>
  <w:footnote w:id="16">
    <w:p w:rsidR="004C577C" w:rsidRPr="004C577C" w:rsidRDefault="004C577C">
      <w:pPr>
        <w:pStyle w:val="FootnoteText"/>
        <w:rPr>
          <w:sz w:val="20"/>
        </w:rPr>
      </w:pPr>
      <w:r w:rsidRPr="004C577C">
        <w:rPr>
          <w:rStyle w:val="FootnoteReference"/>
          <w:sz w:val="20"/>
        </w:rPr>
        <w:footnoteRef/>
      </w:r>
      <w:r w:rsidRPr="004C577C">
        <w:rPr>
          <w:sz w:val="20"/>
        </w:rPr>
        <w:t xml:space="preserve"> </w:t>
      </w:r>
      <w:r w:rsidRPr="004C577C">
        <w:rPr>
          <w:sz w:val="20"/>
        </w:rPr>
        <w:tab/>
      </w:r>
      <w:r w:rsidR="00B1494A">
        <w:rPr>
          <w:sz w:val="20"/>
        </w:rPr>
        <w:t>Ibid, at pages 2993-2994 [F18.18].</w:t>
      </w:r>
    </w:p>
  </w:footnote>
  <w:footnote w:id="17">
    <w:p w:rsidR="00A91F66" w:rsidRPr="00A77B83" w:rsidRDefault="00A91F66">
      <w:pPr>
        <w:pStyle w:val="FootnoteText"/>
        <w:rPr>
          <w:sz w:val="20"/>
        </w:rPr>
      </w:pPr>
      <w:r w:rsidRPr="00A77B83">
        <w:rPr>
          <w:rStyle w:val="FootnoteReference"/>
          <w:sz w:val="20"/>
        </w:rPr>
        <w:footnoteRef/>
      </w:r>
      <w:r w:rsidRPr="00A77B83">
        <w:rPr>
          <w:sz w:val="20"/>
        </w:rPr>
        <w:t xml:space="preserve"> </w:t>
      </w:r>
      <w:r w:rsidRPr="00A77B83">
        <w:rPr>
          <w:sz w:val="20"/>
        </w:rPr>
        <w:tab/>
      </w:r>
      <w:r w:rsidR="00A77B83" w:rsidRPr="00A77B83">
        <w:rPr>
          <w:sz w:val="20"/>
        </w:rPr>
        <w:t>(2000) 3 HKCFAR 168</w:t>
      </w:r>
    </w:p>
  </w:footnote>
  <w:footnote w:id="18">
    <w:p w:rsidR="00631138" w:rsidRPr="00631138" w:rsidRDefault="00631138">
      <w:pPr>
        <w:pStyle w:val="FootnoteText"/>
        <w:rPr>
          <w:sz w:val="20"/>
        </w:rPr>
      </w:pPr>
      <w:r w:rsidRPr="00631138">
        <w:rPr>
          <w:rStyle w:val="FootnoteReference"/>
          <w:sz w:val="20"/>
        </w:rPr>
        <w:footnoteRef/>
      </w:r>
      <w:r w:rsidRPr="00631138">
        <w:rPr>
          <w:sz w:val="20"/>
        </w:rPr>
        <w:t xml:space="preserve"> </w:t>
      </w:r>
      <w:r w:rsidRPr="00631138">
        <w:rPr>
          <w:sz w:val="20"/>
        </w:rPr>
        <w:tab/>
        <w:t xml:space="preserve">See </w:t>
      </w:r>
      <w:r w:rsidRPr="00631138">
        <w:rPr>
          <w:i/>
          <w:sz w:val="20"/>
          <w:lang w:val="en-US"/>
        </w:rPr>
        <w:t>Secretary for Justice</w:t>
      </w:r>
      <w:r w:rsidRPr="00631138">
        <w:rPr>
          <w:i/>
          <w:sz w:val="20"/>
        </w:rPr>
        <w:t xml:space="preserve"> </w:t>
      </w:r>
      <w:proofErr w:type="gramStart"/>
      <w:r w:rsidRPr="00631138">
        <w:rPr>
          <w:i/>
          <w:sz w:val="20"/>
        </w:rPr>
        <w:t>v</w:t>
      </w:r>
      <w:proofErr w:type="gramEnd"/>
      <w:r w:rsidRPr="00631138">
        <w:rPr>
          <w:i/>
          <w:sz w:val="20"/>
        </w:rPr>
        <w:t xml:space="preserve"> Lam Tat Ming</w:t>
      </w:r>
      <w:r w:rsidRPr="00631138">
        <w:rPr>
          <w:sz w:val="20"/>
        </w:rPr>
        <w:t xml:space="preserve"> (2000) 3 HKCFAR 168, 173E-F, 183D, and 184C-E</w:t>
      </w:r>
      <w:r w:rsidR="004F620E">
        <w:rPr>
          <w:sz w:val="20"/>
        </w:rPr>
        <w:t>. T</w:t>
      </w:r>
      <w:r w:rsidRPr="00631138">
        <w:rPr>
          <w:sz w:val="20"/>
        </w:rPr>
        <w:t>he English statutory equivalent of the common l</w:t>
      </w:r>
      <w:r w:rsidRPr="00631138">
        <w:rPr>
          <w:sz w:val="20"/>
          <w:lang w:val="en-US"/>
        </w:rPr>
        <w:t>a</w:t>
      </w:r>
      <w:r w:rsidRPr="00631138">
        <w:rPr>
          <w:sz w:val="20"/>
        </w:rPr>
        <w:t xml:space="preserve">w </w:t>
      </w:r>
      <w:r w:rsidR="004F620E">
        <w:rPr>
          <w:sz w:val="20"/>
        </w:rPr>
        <w:t xml:space="preserve">can be found </w:t>
      </w:r>
      <w:r w:rsidRPr="00631138">
        <w:rPr>
          <w:sz w:val="20"/>
        </w:rPr>
        <w:t>in s 78 of PACE.</w:t>
      </w:r>
    </w:p>
  </w:footnote>
  <w:footnote w:id="19">
    <w:p w:rsidR="00B70866" w:rsidRPr="007227EA" w:rsidRDefault="00B70866" w:rsidP="00B70866">
      <w:pPr>
        <w:pStyle w:val="FootnoteText"/>
        <w:rPr>
          <w:sz w:val="20"/>
        </w:rPr>
      </w:pPr>
      <w:r w:rsidRPr="007227EA">
        <w:rPr>
          <w:rStyle w:val="FootnoteReference"/>
          <w:sz w:val="20"/>
        </w:rPr>
        <w:footnoteRef/>
      </w:r>
      <w:r w:rsidRPr="007227EA">
        <w:rPr>
          <w:sz w:val="20"/>
        </w:rPr>
        <w:t xml:space="preserve"> </w:t>
      </w:r>
      <w:r w:rsidRPr="007227EA">
        <w:rPr>
          <w:sz w:val="20"/>
        </w:rPr>
        <w:tab/>
        <w:t>(1991) 92 Cr App R 369 at 372.</w:t>
      </w:r>
    </w:p>
  </w:footnote>
  <w:footnote w:id="20">
    <w:p w:rsidR="00B12B2A" w:rsidRPr="00B70866" w:rsidRDefault="00B12B2A" w:rsidP="00B12B2A">
      <w:pPr>
        <w:pStyle w:val="FootnoteText"/>
        <w:rPr>
          <w:sz w:val="20"/>
          <w:lang w:val="en-US"/>
        </w:rPr>
      </w:pPr>
      <w:r w:rsidRPr="00B70866">
        <w:rPr>
          <w:rStyle w:val="FootnoteReference"/>
          <w:sz w:val="20"/>
        </w:rPr>
        <w:footnoteRef/>
      </w:r>
      <w:r w:rsidRPr="00B70866">
        <w:rPr>
          <w:sz w:val="20"/>
        </w:rPr>
        <w:t xml:space="preserve">  [2005] 1 WLR 1513.</w:t>
      </w:r>
    </w:p>
  </w:footnote>
  <w:footnote w:id="21">
    <w:p w:rsidR="002A2616" w:rsidRPr="002A2616" w:rsidRDefault="002A2616">
      <w:pPr>
        <w:pStyle w:val="FootnoteText"/>
        <w:rPr>
          <w:sz w:val="20"/>
        </w:rPr>
      </w:pPr>
      <w:r w:rsidRPr="002A2616">
        <w:rPr>
          <w:rStyle w:val="FootnoteReference"/>
          <w:sz w:val="20"/>
        </w:rPr>
        <w:footnoteRef/>
      </w:r>
      <w:r w:rsidRPr="002A2616">
        <w:rPr>
          <w:sz w:val="20"/>
        </w:rPr>
        <w:t xml:space="preserve"> </w:t>
      </w:r>
      <w:r w:rsidRPr="002A2616">
        <w:rPr>
          <w:sz w:val="20"/>
        </w:rPr>
        <w:tab/>
        <w:t>(2014) 17 HKCFAR 545</w:t>
      </w:r>
    </w:p>
  </w:footnote>
  <w:footnote w:id="22">
    <w:p w:rsidR="00631138" w:rsidRPr="00631138" w:rsidRDefault="00631138">
      <w:pPr>
        <w:pStyle w:val="FootnoteText"/>
        <w:rPr>
          <w:sz w:val="20"/>
        </w:rPr>
      </w:pPr>
      <w:r w:rsidRPr="00631138">
        <w:rPr>
          <w:rStyle w:val="FootnoteReference"/>
          <w:sz w:val="20"/>
        </w:rPr>
        <w:footnoteRef/>
      </w:r>
      <w:r w:rsidRPr="00631138">
        <w:rPr>
          <w:sz w:val="20"/>
        </w:rPr>
        <w:t xml:space="preserve"> </w:t>
      </w:r>
      <w:r w:rsidRPr="00631138">
        <w:rPr>
          <w:sz w:val="20"/>
        </w:rPr>
        <w:tab/>
        <w:t xml:space="preserve">This phrase was used by Lord Rodger and Lord </w:t>
      </w:r>
      <w:proofErr w:type="spellStart"/>
      <w:r w:rsidRPr="00631138">
        <w:rPr>
          <w:sz w:val="20"/>
        </w:rPr>
        <w:t>C</w:t>
      </w:r>
      <w:r w:rsidR="004F620E">
        <w:rPr>
          <w:sz w:val="20"/>
        </w:rPr>
        <w:t>a</w:t>
      </w:r>
      <w:r w:rsidRPr="00631138">
        <w:rPr>
          <w:sz w:val="20"/>
        </w:rPr>
        <w:t>rswell</w:t>
      </w:r>
      <w:proofErr w:type="spellEnd"/>
      <w:r w:rsidRPr="00631138">
        <w:rPr>
          <w:sz w:val="20"/>
        </w:rPr>
        <w:t xml:space="preserve"> as a shorthand expression for the means described in 76(2)(a) and (b) of PACE.  See [30] and [63] of the judgment. </w:t>
      </w:r>
    </w:p>
  </w:footnote>
  <w:footnote w:id="23">
    <w:p w:rsidR="00B70866" w:rsidRPr="00B70866" w:rsidRDefault="00B70866">
      <w:pPr>
        <w:pStyle w:val="FootnoteText"/>
        <w:rPr>
          <w:sz w:val="20"/>
          <w:lang w:val="en-US"/>
        </w:rPr>
      </w:pPr>
      <w:r w:rsidRPr="00B70866">
        <w:rPr>
          <w:rStyle w:val="FootnoteReference"/>
          <w:sz w:val="20"/>
        </w:rPr>
        <w:footnoteRef/>
      </w:r>
      <w:r w:rsidRPr="00B70866">
        <w:rPr>
          <w:sz w:val="20"/>
        </w:rPr>
        <w:t xml:space="preserve"> </w:t>
      </w:r>
      <w:r w:rsidRPr="00B70866">
        <w:rPr>
          <w:sz w:val="20"/>
          <w:lang w:val="en-US"/>
        </w:rPr>
        <w:t xml:space="preserve"> Ibid, at 1517H, [5].</w:t>
      </w:r>
    </w:p>
  </w:footnote>
  <w:footnote w:id="24">
    <w:p w:rsidR="00A219F5" w:rsidRPr="00A219F5" w:rsidRDefault="00A219F5">
      <w:pPr>
        <w:pStyle w:val="FootnoteText"/>
        <w:rPr>
          <w:sz w:val="20"/>
        </w:rPr>
      </w:pPr>
      <w:r w:rsidRPr="00A219F5">
        <w:rPr>
          <w:rStyle w:val="FootnoteReference"/>
          <w:sz w:val="20"/>
        </w:rPr>
        <w:footnoteRef/>
      </w:r>
      <w:r w:rsidRPr="00A219F5">
        <w:rPr>
          <w:sz w:val="20"/>
        </w:rPr>
        <w:t xml:space="preserve"> </w:t>
      </w:r>
      <w:r w:rsidRPr="00A219F5">
        <w:rPr>
          <w:sz w:val="20"/>
        </w:rPr>
        <w:tab/>
        <w:t xml:space="preserve">These words are added to reflect the judgment of the </w:t>
      </w:r>
      <w:r w:rsidRPr="00A219F5">
        <w:rPr>
          <w:kern w:val="2"/>
          <w:sz w:val="20"/>
          <w:lang w:val="en-US"/>
        </w:rPr>
        <w:t>Court of Final Appeal</w:t>
      </w:r>
      <w:r w:rsidRPr="00A219F5">
        <w:rPr>
          <w:sz w:val="20"/>
        </w:rPr>
        <w:t xml:space="preserve"> in </w:t>
      </w:r>
      <w:r w:rsidRPr="00A219F5">
        <w:rPr>
          <w:i/>
          <w:sz w:val="20"/>
        </w:rPr>
        <w:t xml:space="preserve">HKSAR v Pang </w:t>
      </w:r>
      <w:proofErr w:type="spellStart"/>
      <w:r w:rsidRPr="00A219F5">
        <w:rPr>
          <w:i/>
          <w:sz w:val="20"/>
        </w:rPr>
        <w:t>Hiu</w:t>
      </w:r>
      <w:proofErr w:type="spellEnd"/>
      <w:r w:rsidRPr="00A219F5">
        <w:rPr>
          <w:i/>
          <w:sz w:val="20"/>
        </w:rPr>
        <w:t xml:space="preserve"> San</w:t>
      </w:r>
      <w:r w:rsidRPr="00A219F5">
        <w:rPr>
          <w:sz w:val="20"/>
        </w:rPr>
        <w:t xml:space="preserve">.  </w:t>
      </w:r>
    </w:p>
  </w:footnote>
  <w:footnote w:id="25">
    <w:p w:rsidR="00CE43A8" w:rsidRPr="003A6407" w:rsidRDefault="00CE43A8">
      <w:pPr>
        <w:pStyle w:val="FootnoteText"/>
        <w:rPr>
          <w:sz w:val="20"/>
        </w:rPr>
      </w:pPr>
      <w:r w:rsidRPr="003A6407">
        <w:rPr>
          <w:rStyle w:val="FootnoteReference"/>
          <w:sz w:val="20"/>
        </w:rPr>
        <w:footnoteRef/>
      </w:r>
      <w:r w:rsidRPr="003A6407">
        <w:rPr>
          <w:sz w:val="20"/>
        </w:rPr>
        <w:t xml:space="preserve"> </w:t>
      </w:r>
      <w:r w:rsidR="003A6407" w:rsidRPr="003A6407">
        <w:rPr>
          <w:sz w:val="20"/>
        </w:rPr>
        <w:t xml:space="preserve"> </w:t>
      </w:r>
      <w:r w:rsidRPr="003A6407">
        <w:rPr>
          <w:sz w:val="20"/>
        </w:rPr>
        <w:t>(2014) 17 HKCFAR 545 at 563, [52] – 564, [54</w:t>
      </w:r>
      <w:r w:rsidR="003A6407" w:rsidRPr="003A6407">
        <w:rPr>
          <w:sz w:val="20"/>
        </w:rPr>
        <w:t>].</w:t>
      </w:r>
    </w:p>
  </w:footnote>
  <w:footnote w:id="26">
    <w:p w:rsidR="00677FCC" w:rsidRPr="00871C60" w:rsidRDefault="00677FCC" w:rsidP="00677FCC">
      <w:pPr>
        <w:pStyle w:val="FootnoteText"/>
        <w:rPr>
          <w:sz w:val="20"/>
        </w:rPr>
      </w:pPr>
      <w:r w:rsidRPr="00871C60">
        <w:rPr>
          <w:rStyle w:val="FootnoteReference"/>
          <w:sz w:val="20"/>
        </w:rPr>
        <w:footnoteRef/>
      </w:r>
      <w:r>
        <w:rPr>
          <w:sz w:val="20"/>
        </w:rPr>
        <w:tab/>
      </w:r>
      <w:r w:rsidRPr="00871C60">
        <w:rPr>
          <w:sz w:val="20"/>
        </w:rPr>
        <w:t>[2018] 5 HKLRD 412</w:t>
      </w:r>
    </w:p>
  </w:footnote>
  <w:footnote w:id="27">
    <w:p w:rsidR="00886EDF" w:rsidRPr="00886EDF" w:rsidRDefault="00886EDF">
      <w:pPr>
        <w:pStyle w:val="FootnoteText"/>
        <w:rPr>
          <w:sz w:val="20"/>
        </w:rPr>
      </w:pPr>
      <w:r w:rsidRPr="00886EDF">
        <w:rPr>
          <w:rStyle w:val="FootnoteReference"/>
          <w:sz w:val="20"/>
        </w:rPr>
        <w:footnoteRef/>
      </w:r>
      <w:r w:rsidRPr="00886EDF">
        <w:rPr>
          <w:sz w:val="20"/>
        </w:rPr>
        <w:t xml:space="preserve"> </w:t>
      </w:r>
      <w:r w:rsidRPr="00886EDF">
        <w:rPr>
          <w:sz w:val="20"/>
        </w:rPr>
        <w:tab/>
        <w:t>[2012] UKPC 8</w:t>
      </w:r>
    </w:p>
  </w:footnote>
  <w:footnote w:id="28">
    <w:p w:rsidR="00886EDF" w:rsidRPr="00886EDF" w:rsidRDefault="00886EDF">
      <w:pPr>
        <w:pStyle w:val="FootnoteText"/>
        <w:rPr>
          <w:sz w:val="20"/>
        </w:rPr>
      </w:pPr>
      <w:r w:rsidRPr="00886EDF">
        <w:rPr>
          <w:rStyle w:val="FootnoteReference"/>
          <w:sz w:val="20"/>
        </w:rPr>
        <w:footnoteRef/>
      </w:r>
      <w:r w:rsidRPr="00886EDF">
        <w:rPr>
          <w:sz w:val="20"/>
        </w:rPr>
        <w:t xml:space="preserve"> </w:t>
      </w:r>
      <w:r w:rsidRPr="00886EDF">
        <w:rPr>
          <w:sz w:val="20"/>
        </w:rPr>
        <w:tab/>
        <w:t>[2007] UK PC 21</w:t>
      </w:r>
    </w:p>
  </w:footnote>
  <w:footnote w:id="29">
    <w:p w:rsidR="00696888" w:rsidRPr="00696888" w:rsidRDefault="00696888">
      <w:pPr>
        <w:pStyle w:val="FootnoteText"/>
        <w:rPr>
          <w:sz w:val="20"/>
        </w:rPr>
      </w:pPr>
      <w:r w:rsidRPr="00696888">
        <w:rPr>
          <w:rStyle w:val="FootnoteReference"/>
          <w:sz w:val="20"/>
        </w:rPr>
        <w:footnoteRef/>
      </w:r>
      <w:r w:rsidRPr="00696888">
        <w:rPr>
          <w:sz w:val="20"/>
        </w:rPr>
        <w:t xml:space="preserve"> </w:t>
      </w:r>
      <w:r w:rsidRPr="00696888">
        <w:rPr>
          <w:sz w:val="20"/>
        </w:rPr>
        <w:tab/>
      </w:r>
      <w:r w:rsidRPr="00696888">
        <w:rPr>
          <w:i/>
          <w:sz w:val="20"/>
        </w:rPr>
        <w:t>Benjamin and Ganga v The State of Trinidad and Tobago</w:t>
      </w:r>
      <w:r w:rsidRPr="00696888">
        <w:rPr>
          <w:sz w:val="20"/>
        </w:rPr>
        <w:t xml:space="preserve"> [2012] UKPC 8 at [17]</w:t>
      </w:r>
      <w:proofErr w:type="gramStart"/>
      <w:r w:rsidRPr="00696888">
        <w:rPr>
          <w:sz w:val="20"/>
        </w:rPr>
        <w:t>-[</w:t>
      </w:r>
      <w:proofErr w:type="gramEnd"/>
      <w:r w:rsidRPr="00696888">
        <w:rPr>
          <w:sz w:val="20"/>
        </w:rPr>
        <w:t>1</w:t>
      </w:r>
      <w:r w:rsidR="00342BD5">
        <w:rPr>
          <w:sz w:val="20"/>
        </w:rPr>
        <w:t>9</w:t>
      </w:r>
      <w:r w:rsidRPr="00696888">
        <w:rPr>
          <w:sz w:val="20"/>
        </w:rPr>
        <w:t>].</w:t>
      </w:r>
    </w:p>
  </w:footnote>
  <w:footnote w:id="30">
    <w:p w:rsidR="00811EB5" w:rsidRPr="00811EB5" w:rsidRDefault="00811EB5">
      <w:pPr>
        <w:pStyle w:val="FootnoteText"/>
        <w:rPr>
          <w:sz w:val="20"/>
        </w:rPr>
      </w:pPr>
      <w:r w:rsidRPr="00811EB5">
        <w:rPr>
          <w:rStyle w:val="FootnoteReference"/>
          <w:sz w:val="20"/>
        </w:rPr>
        <w:footnoteRef/>
      </w:r>
      <w:r w:rsidRPr="00811EB5">
        <w:rPr>
          <w:sz w:val="20"/>
        </w:rPr>
        <w:t xml:space="preserve"> </w:t>
      </w:r>
      <w:r w:rsidRPr="00811EB5">
        <w:rPr>
          <w:sz w:val="20"/>
        </w:rPr>
        <w:tab/>
        <w:t>(2014) 17 HKCFAR 545, 562-563, [47].</w:t>
      </w:r>
    </w:p>
  </w:footnote>
  <w:footnote w:id="31">
    <w:p w:rsidR="00342BD5" w:rsidRPr="00342BD5" w:rsidRDefault="00342BD5">
      <w:pPr>
        <w:pStyle w:val="FootnoteText"/>
        <w:rPr>
          <w:sz w:val="20"/>
        </w:rPr>
      </w:pPr>
      <w:r w:rsidRPr="00342BD5">
        <w:rPr>
          <w:rStyle w:val="FootnoteReference"/>
          <w:sz w:val="20"/>
        </w:rPr>
        <w:footnoteRef/>
      </w:r>
      <w:r w:rsidRPr="00342BD5">
        <w:rPr>
          <w:sz w:val="20"/>
        </w:rPr>
        <w:t xml:space="preserve">  Ibid, at 559, [37] – [39].</w:t>
      </w:r>
    </w:p>
  </w:footnote>
  <w:footnote w:id="32">
    <w:p w:rsidR="00994CE9" w:rsidRPr="00994CE9" w:rsidRDefault="00994CE9">
      <w:pPr>
        <w:pStyle w:val="FootnoteText"/>
        <w:rPr>
          <w:sz w:val="20"/>
        </w:rPr>
      </w:pPr>
      <w:r w:rsidRPr="00994CE9">
        <w:rPr>
          <w:rStyle w:val="FootnoteReference"/>
          <w:sz w:val="20"/>
        </w:rPr>
        <w:footnoteRef/>
      </w:r>
      <w:r w:rsidRPr="00994CE9">
        <w:rPr>
          <w:sz w:val="20"/>
        </w:rPr>
        <w:t xml:space="preserve"> </w:t>
      </w:r>
      <w:r w:rsidRPr="00994CE9">
        <w:rPr>
          <w:sz w:val="20"/>
        </w:rPr>
        <w:tab/>
        <w:t xml:space="preserve">The Judicial Studies Board was the predecessor of The </w:t>
      </w:r>
      <w:r w:rsidR="003A4508" w:rsidRPr="003A4508">
        <w:rPr>
          <w:sz w:val="20"/>
          <w:lang w:val="en-US" w:eastAsia="zh-TW"/>
        </w:rPr>
        <w:t>Hong Kong</w:t>
      </w:r>
      <w:r w:rsidR="003A4508">
        <w:rPr>
          <w:sz w:val="20"/>
        </w:rPr>
        <w:t xml:space="preserve"> </w:t>
      </w:r>
      <w:r w:rsidRPr="00994CE9">
        <w:rPr>
          <w:sz w:val="20"/>
        </w:rPr>
        <w:t>Judicial Institute.</w:t>
      </w:r>
    </w:p>
  </w:footnote>
  <w:footnote w:id="33">
    <w:p w:rsidR="00A219F5" w:rsidRPr="00A219F5" w:rsidRDefault="00A219F5">
      <w:pPr>
        <w:pStyle w:val="FootnoteText"/>
        <w:rPr>
          <w:sz w:val="20"/>
        </w:rPr>
      </w:pPr>
      <w:r w:rsidRPr="00A219F5">
        <w:rPr>
          <w:rStyle w:val="FootnoteReference"/>
          <w:sz w:val="20"/>
        </w:rPr>
        <w:footnoteRef/>
      </w:r>
      <w:r w:rsidRPr="00A219F5">
        <w:rPr>
          <w:sz w:val="20"/>
        </w:rPr>
        <w:t xml:space="preserve"> </w:t>
      </w:r>
      <w:r w:rsidRPr="00A219F5">
        <w:rPr>
          <w:sz w:val="20"/>
        </w:rPr>
        <w:tab/>
        <w:t xml:space="preserve">See [54] of the </w:t>
      </w:r>
      <w:r w:rsidRPr="00A219F5">
        <w:rPr>
          <w:kern w:val="2"/>
          <w:sz w:val="20"/>
          <w:lang w:val="en-US"/>
        </w:rPr>
        <w:t>Court of Final Appeal</w:t>
      </w:r>
      <w:r w:rsidRPr="00A219F5">
        <w:rPr>
          <w:sz w:val="20"/>
        </w:rPr>
        <w:t xml:space="preserve">’s judgment in </w:t>
      </w:r>
      <w:r w:rsidRPr="00A219F5">
        <w:rPr>
          <w:i/>
          <w:sz w:val="20"/>
        </w:rPr>
        <w:t xml:space="preserve">HKSAR v Pang </w:t>
      </w:r>
      <w:proofErr w:type="spellStart"/>
      <w:r w:rsidRPr="00A219F5">
        <w:rPr>
          <w:i/>
          <w:sz w:val="20"/>
        </w:rPr>
        <w:t>Hiu</w:t>
      </w:r>
      <w:proofErr w:type="spellEnd"/>
      <w:r w:rsidRPr="00A219F5">
        <w:rPr>
          <w:i/>
          <w:sz w:val="20"/>
        </w:rPr>
        <w:t xml:space="preserve"> San</w:t>
      </w:r>
      <w:r w:rsidRPr="00A219F5">
        <w:rPr>
          <w:sz w:val="20"/>
        </w:rPr>
        <w:t xml:space="preserve">. </w:t>
      </w:r>
    </w:p>
  </w:footnote>
  <w:footnote w:id="34">
    <w:p w:rsidR="004F620E" w:rsidRPr="00A219F5" w:rsidRDefault="004F620E" w:rsidP="004F620E">
      <w:pPr>
        <w:pStyle w:val="FootnoteText"/>
        <w:rPr>
          <w:sz w:val="20"/>
        </w:rPr>
      </w:pPr>
      <w:r w:rsidRPr="00A219F5">
        <w:rPr>
          <w:rStyle w:val="FootnoteReference"/>
          <w:sz w:val="20"/>
        </w:rPr>
        <w:footnoteRef/>
      </w:r>
      <w:r w:rsidRPr="00A219F5">
        <w:rPr>
          <w:sz w:val="20"/>
        </w:rPr>
        <w:t xml:space="preserve"> </w:t>
      </w:r>
      <w:r w:rsidRPr="00A219F5">
        <w:rPr>
          <w:sz w:val="20"/>
        </w:rPr>
        <w:tab/>
        <w:t xml:space="preserve">In the 2020 Specimen Direction 39.1 the second step is expressed as were the admissions made </w:t>
      </w:r>
      <w:r>
        <w:rPr>
          <w:sz w:val="20"/>
        </w:rPr>
        <w:t xml:space="preserve">or given </w:t>
      </w:r>
      <w:r w:rsidRPr="00A219F5">
        <w:rPr>
          <w:sz w:val="20"/>
        </w:rPr>
        <w:t xml:space="preserve">or may they have been made or given as a result of oppression or something said or done which may make it unsafe to rely on what was said.  This direction appears to focus on the actual direction given and replaces the test of whether the admission is reliable with whether it is safe to rely on it. This appears to derive from section </w:t>
      </w:r>
      <w:r>
        <w:rPr>
          <w:sz w:val="20"/>
        </w:rPr>
        <w:t>7</w:t>
      </w:r>
      <w:r w:rsidRPr="00A219F5">
        <w:rPr>
          <w:sz w:val="20"/>
        </w:rPr>
        <w:t xml:space="preserve">6(2)(b) although it does not employ the same language of that section.  </w:t>
      </w:r>
    </w:p>
  </w:footnote>
  <w:footnote w:id="35">
    <w:p w:rsidR="007D0EC7" w:rsidRDefault="007D0EC7">
      <w:pPr>
        <w:pStyle w:val="FootnoteText"/>
      </w:pPr>
      <w:r w:rsidRPr="002003D3">
        <w:rPr>
          <w:rStyle w:val="FootnoteReference"/>
          <w:sz w:val="20"/>
        </w:rPr>
        <w:footnoteRef/>
      </w:r>
      <w:r w:rsidR="00766791">
        <w:tab/>
      </w:r>
      <w:r>
        <w:rPr>
          <w:sz w:val="20"/>
        </w:rPr>
        <w:t>Appeal Bundle, page 11N</w:t>
      </w:r>
      <w:r w:rsidRPr="0083161F">
        <w:rPr>
          <w:sz w:val="20"/>
        </w:rPr>
        <w:t xml:space="preserve"> – </w:t>
      </w:r>
      <w:r>
        <w:rPr>
          <w:sz w:val="20"/>
        </w:rPr>
        <w:t>13A</w:t>
      </w:r>
      <w:r w:rsidRPr="0083161F">
        <w:rPr>
          <w:sz w:val="20"/>
        </w:rPr>
        <w:t>.</w:t>
      </w:r>
    </w:p>
  </w:footnote>
  <w:footnote w:id="36">
    <w:p w:rsidR="00257B7C" w:rsidRPr="00257B7C" w:rsidRDefault="00257B7C">
      <w:pPr>
        <w:pStyle w:val="FootnoteText"/>
        <w:rPr>
          <w:sz w:val="20"/>
        </w:rPr>
      </w:pPr>
      <w:r w:rsidRPr="00257B7C">
        <w:rPr>
          <w:rStyle w:val="FootnoteReference"/>
          <w:sz w:val="20"/>
        </w:rPr>
        <w:footnoteRef/>
      </w:r>
      <w:r w:rsidRPr="00257B7C">
        <w:rPr>
          <w:sz w:val="20"/>
        </w:rPr>
        <w:t xml:space="preserve"> </w:t>
      </w:r>
      <w:r w:rsidRPr="00257B7C">
        <w:rPr>
          <w:sz w:val="20"/>
        </w:rPr>
        <w:tab/>
        <w:t xml:space="preserve">Appeal Bundle, page 31K-L.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20C7" w:rsidRDefault="00B020C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020C7" w:rsidRDefault="00B020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20C7" w:rsidRPr="00A34041" w:rsidRDefault="00B020C7" w:rsidP="00A34041">
    <w:pPr>
      <w:tabs>
        <w:tab w:val="clear" w:pos="1440"/>
      </w:tabs>
      <w:jc w:val="center"/>
      <w:rPr>
        <w:lang w:val="en-US"/>
      </w:rPr>
    </w:pPr>
    <w:r>
      <w:rPr>
        <w:noProof/>
        <w:lang w:val="en-US"/>
      </w:rPr>
      <mc:AlternateContent>
        <mc:Choice Requires="wps">
          <w:drawing>
            <wp:anchor distT="0" distB="0" distL="114300" distR="114300" simplePos="0" relativeHeight="251656192" behindDoc="0" locked="0" layoutInCell="0" allowOverlap="1">
              <wp:simplePos x="0" y="0"/>
              <wp:positionH relativeFrom="column">
                <wp:posOffset>5850890</wp:posOffset>
              </wp:positionH>
              <wp:positionV relativeFrom="paragraph">
                <wp:posOffset>71755</wp:posOffset>
              </wp:positionV>
              <wp:extent cx="342900" cy="10150475"/>
              <wp:effectExtent l="4445" t="0" r="0" b="0"/>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015047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B020C7" w:rsidRDefault="00B020C7">
                          <w:pPr>
                            <w:spacing w:line="720" w:lineRule="exact"/>
                            <w:jc w:val="right"/>
                            <w:rPr>
                              <w:b/>
                              <w:sz w:val="20"/>
                            </w:rPr>
                          </w:pPr>
                          <w:r>
                            <w:rPr>
                              <w:b/>
                              <w:sz w:val="20"/>
                            </w:rPr>
                            <w:t>A</w:t>
                          </w:r>
                        </w:p>
                        <w:p w:rsidR="00B020C7" w:rsidRDefault="00B020C7">
                          <w:pPr>
                            <w:spacing w:line="720" w:lineRule="exact"/>
                            <w:jc w:val="right"/>
                            <w:rPr>
                              <w:b/>
                              <w:sz w:val="20"/>
                            </w:rPr>
                          </w:pPr>
                          <w:r>
                            <w:rPr>
                              <w:b/>
                              <w:sz w:val="20"/>
                            </w:rPr>
                            <w:t>B</w:t>
                          </w:r>
                        </w:p>
                        <w:p w:rsidR="00B020C7" w:rsidRDefault="00B020C7">
                          <w:pPr>
                            <w:spacing w:line="720" w:lineRule="exact"/>
                            <w:jc w:val="right"/>
                            <w:rPr>
                              <w:b/>
                              <w:sz w:val="20"/>
                            </w:rPr>
                          </w:pPr>
                          <w:r>
                            <w:rPr>
                              <w:b/>
                              <w:sz w:val="20"/>
                            </w:rPr>
                            <w:t>C</w:t>
                          </w:r>
                        </w:p>
                        <w:p w:rsidR="00B020C7" w:rsidRDefault="00B020C7">
                          <w:pPr>
                            <w:spacing w:line="720" w:lineRule="exact"/>
                            <w:jc w:val="right"/>
                            <w:rPr>
                              <w:b/>
                              <w:sz w:val="20"/>
                            </w:rPr>
                          </w:pPr>
                          <w:r>
                            <w:rPr>
                              <w:b/>
                              <w:sz w:val="20"/>
                            </w:rPr>
                            <w:t>D</w:t>
                          </w:r>
                        </w:p>
                        <w:p w:rsidR="00B020C7" w:rsidRDefault="00B020C7">
                          <w:pPr>
                            <w:spacing w:line="720" w:lineRule="exact"/>
                            <w:jc w:val="right"/>
                            <w:rPr>
                              <w:b/>
                              <w:sz w:val="20"/>
                            </w:rPr>
                          </w:pPr>
                          <w:r>
                            <w:rPr>
                              <w:b/>
                              <w:sz w:val="20"/>
                            </w:rPr>
                            <w:t>E</w:t>
                          </w:r>
                        </w:p>
                        <w:p w:rsidR="00B020C7" w:rsidRDefault="00B020C7">
                          <w:pPr>
                            <w:pStyle w:val="Heading3"/>
                            <w:spacing w:line="720" w:lineRule="exact"/>
                            <w:jc w:val="right"/>
                          </w:pPr>
                          <w:r>
                            <w:t>F</w:t>
                          </w:r>
                        </w:p>
                        <w:p w:rsidR="00B020C7" w:rsidRDefault="00B020C7">
                          <w:pPr>
                            <w:spacing w:line="720" w:lineRule="exact"/>
                            <w:jc w:val="right"/>
                            <w:rPr>
                              <w:b/>
                              <w:sz w:val="20"/>
                            </w:rPr>
                          </w:pPr>
                          <w:r>
                            <w:rPr>
                              <w:b/>
                              <w:sz w:val="20"/>
                            </w:rPr>
                            <w:t>G</w:t>
                          </w:r>
                        </w:p>
                        <w:p w:rsidR="00B020C7" w:rsidRDefault="00B020C7">
                          <w:pPr>
                            <w:spacing w:line="720" w:lineRule="exact"/>
                            <w:jc w:val="right"/>
                            <w:rPr>
                              <w:b/>
                              <w:sz w:val="20"/>
                            </w:rPr>
                          </w:pPr>
                          <w:r>
                            <w:rPr>
                              <w:b/>
                              <w:sz w:val="20"/>
                            </w:rPr>
                            <w:t>H</w:t>
                          </w:r>
                        </w:p>
                        <w:p w:rsidR="00B020C7" w:rsidRDefault="00B020C7">
                          <w:pPr>
                            <w:spacing w:line="720" w:lineRule="exact"/>
                            <w:jc w:val="right"/>
                            <w:rPr>
                              <w:b/>
                              <w:sz w:val="20"/>
                            </w:rPr>
                          </w:pPr>
                          <w:r>
                            <w:rPr>
                              <w:b/>
                              <w:sz w:val="20"/>
                            </w:rPr>
                            <w:t>I</w:t>
                          </w:r>
                        </w:p>
                        <w:p w:rsidR="00B020C7" w:rsidRDefault="00B020C7">
                          <w:pPr>
                            <w:spacing w:line="720" w:lineRule="exact"/>
                            <w:jc w:val="right"/>
                            <w:rPr>
                              <w:b/>
                              <w:sz w:val="20"/>
                            </w:rPr>
                          </w:pPr>
                          <w:r>
                            <w:rPr>
                              <w:b/>
                              <w:sz w:val="20"/>
                            </w:rPr>
                            <w:t>J</w:t>
                          </w:r>
                        </w:p>
                        <w:p w:rsidR="00B020C7" w:rsidRDefault="00B020C7">
                          <w:pPr>
                            <w:spacing w:line="720" w:lineRule="exact"/>
                            <w:jc w:val="right"/>
                            <w:rPr>
                              <w:b/>
                              <w:sz w:val="20"/>
                            </w:rPr>
                          </w:pPr>
                          <w:r>
                            <w:rPr>
                              <w:b/>
                              <w:sz w:val="20"/>
                            </w:rPr>
                            <w:t>K</w:t>
                          </w:r>
                        </w:p>
                        <w:p w:rsidR="00B020C7" w:rsidRDefault="00B020C7">
                          <w:pPr>
                            <w:spacing w:line="720" w:lineRule="exact"/>
                            <w:jc w:val="right"/>
                            <w:rPr>
                              <w:b/>
                              <w:sz w:val="20"/>
                            </w:rPr>
                          </w:pPr>
                          <w:r>
                            <w:rPr>
                              <w:b/>
                              <w:sz w:val="20"/>
                            </w:rPr>
                            <w:t>L</w:t>
                          </w:r>
                        </w:p>
                        <w:p w:rsidR="00B020C7" w:rsidRDefault="00B020C7">
                          <w:pPr>
                            <w:spacing w:line="720" w:lineRule="exact"/>
                            <w:jc w:val="right"/>
                            <w:rPr>
                              <w:b/>
                              <w:sz w:val="20"/>
                            </w:rPr>
                          </w:pPr>
                          <w:r>
                            <w:rPr>
                              <w:b/>
                              <w:sz w:val="20"/>
                            </w:rPr>
                            <w:t>M</w:t>
                          </w:r>
                        </w:p>
                        <w:p w:rsidR="00B020C7" w:rsidRDefault="00B020C7">
                          <w:pPr>
                            <w:spacing w:line="720" w:lineRule="exact"/>
                            <w:jc w:val="right"/>
                            <w:rPr>
                              <w:b/>
                              <w:sz w:val="20"/>
                            </w:rPr>
                          </w:pPr>
                          <w:r>
                            <w:rPr>
                              <w:b/>
                              <w:sz w:val="20"/>
                            </w:rPr>
                            <w:t>N</w:t>
                          </w:r>
                        </w:p>
                        <w:p w:rsidR="00B020C7" w:rsidRDefault="00B020C7">
                          <w:pPr>
                            <w:spacing w:line="720" w:lineRule="exact"/>
                            <w:jc w:val="right"/>
                            <w:rPr>
                              <w:b/>
                              <w:sz w:val="20"/>
                            </w:rPr>
                          </w:pPr>
                          <w:r>
                            <w:rPr>
                              <w:b/>
                              <w:sz w:val="20"/>
                            </w:rPr>
                            <w:t>O</w:t>
                          </w:r>
                        </w:p>
                        <w:p w:rsidR="00B020C7" w:rsidRDefault="00B020C7">
                          <w:pPr>
                            <w:spacing w:line="720" w:lineRule="exact"/>
                            <w:jc w:val="right"/>
                            <w:rPr>
                              <w:b/>
                              <w:sz w:val="20"/>
                            </w:rPr>
                          </w:pPr>
                          <w:r>
                            <w:rPr>
                              <w:b/>
                              <w:sz w:val="20"/>
                            </w:rPr>
                            <w:t>P</w:t>
                          </w:r>
                        </w:p>
                        <w:p w:rsidR="00B020C7" w:rsidRDefault="00B020C7">
                          <w:pPr>
                            <w:spacing w:line="720" w:lineRule="exact"/>
                            <w:jc w:val="right"/>
                            <w:rPr>
                              <w:b/>
                              <w:sz w:val="20"/>
                            </w:rPr>
                          </w:pPr>
                          <w:r>
                            <w:rPr>
                              <w:b/>
                              <w:sz w:val="20"/>
                            </w:rPr>
                            <w:t>Q</w:t>
                          </w:r>
                        </w:p>
                        <w:p w:rsidR="00B020C7" w:rsidRDefault="00B020C7">
                          <w:pPr>
                            <w:spacing w:line="720" w:lineRule="exact"/>
                            <w:jc w:val="right"/>
                            <w:rPr>
                              <w:b/>
                              <w:sz w:val="20"/>
                            </w:rPr>
                          </w:pPr>
                          <w:r>
                            <w:rPr>
                              <w:b/>
                              <w:sz w:val="20"/>
                            </w:rPr>
                            <w:t>R</w:t>
                          </w:r>
                        </w:p>
                        <w:p w:rsidR="00B020C7" w:rsidRDefault="00B020C7">
                          <w:pPr>
                            <w:spacing w:line="720" w:lineRule="exact"/>
                            <w:jc w:val="right"/>
                            <w:rPr>
                              <w:b/>
                              <w:sz w:val="20"/>
                            </w:rPr>
                          </w:pPr>
                          <w:r>
                            <w:rPr>
                              <w:b/>
                              <w:sz w:val="20"/>
                            </w:rPr>
                            <w:t>S</w:t>
                          </w:r>
                        </w:p>
                        <w:p w:rsidR="00B020C7" w:rsidRDefault="00B020C7">
                          <w:pPr>
                            <w:spacing w:line="720" w:lineRule="exact"/>
                            <w:jc w:val="right"/>
                            <w:rPr>
                              <w:b/>
                              <w:sz w:val="20"/>
                            </w:rPr>
                          </w:pPr>
                          <w:r>
                            <w:rPr>
                              <w:b/>
                              <w:sz w:val="20"/>
                            </w:rPr>
                            <w:t>T</w:t>
                          </w:r>
                        </w:p>
                        <w:p w:rsidR="00B020C7" w:rsidRDefault="00B020C7">
                          <w:pPr>
                            <w:spacing w:line="720" w:lineRule="exact"/>
                            <w:jc w:val="right"/>
                            <w:rPr>
                              <w:b/>
                              <w:sz w:val="20"/>
                            </w:rPr>
                          </w:pPr>
                          <w:r>
                            <w:rPr>
                              <w:b/>
                              <w:sz w:val="20"/>
                            </w:rPr>
                            <w:t>U</w:t>
                          </w:r>
                        </w:p>
                        <w:p w:rsidR="00B020C7" w:rsidRDefault="00B020C7">
                          <w:pPr>
                            <w:spacing w:line="720" w:lineRule="exact"/>
                            <w:jc w:val="right"/>
                            <w:rPr>
                              <w:b/>
                              <w:sz w:val="20"/>
                            </w:rPr>
                          </w:pPr>
                          <w:r>
                            <w:rPr>
                              <w:b/>
                              <w:sz w:val="20"/>
                            </w:rPr>
                            <w:t>V</w:t>
                          </w:r>
                        </w:p>
                        <w:p w:rsidR="00B020C7" w:rsidRDefault="00B020C7">
                          <w:pPr>
                            <w:spacing w:line="720" w:lineRule="exact"/>
                            <w:jc w:val="right"/>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7" style="position:absolute;left:0;text-align:left;margin-left:460.7pt;margin-top:5.65pt;width:27pt;height:799.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" o:allowincell="f" stroked="f" strokeweight="0">
              <v:textbox inset="0,0,0,0">
                <w:txbxContent>
                  <w:p w:rsidR="00B020C7" w:rsidRDefault="00B020C7">
                    <w:pPr>
                      <w:spacing w:line="720" w:lineRule="exact"/>
                      <w:jc w:val="right"/>
                      <w:rPr>
                        <w:b/>
                        <w:sz w:val="20"/>
                      </w:rPr>
                    </w:pPr>
                    <w:r>
                      <w:rPr>
                        <w:b/>
                        <w:sz w:val="20"/>
                      </w:rPr>
                      <w:t>A</w:t>
                    </w:r>
                  </w:p>
                  <w:p w:rsidR="00B020C7" w:rsidRDefault="00B020C7">
                    <w:pPr>
                      <w:spacing w:line="720" w:lineRule="exact"/>
                      <w:jc w:val="right"/>
                      <w:rPr>
                        <w:b/>
                        <w:sz w:val="20"/>
                      </w:rPr>
                    </w:pPr>
                    <w:r>
                      <w:rPr>
                        <w:b/>
                        <w:sz w:val="20"/>
                      </w:rPr>
                      <w:t>B</w:t>
                    </w:r>
                  </w:p>
                  <w:p w:rsidR="00B020C7" w:rsidRDefault="00B020C7">
                    <w:pPr>
                      <w:spacing w:line="720" w:lineRule="exact"/>
                      <w:jc w:val="right"/>
                      <w:rPr>
                        <w:b/>
                        <w:sz w:val="20"/>
                      </w:rPr>
                    </w:pPr>
                    <w:r>
                      <w:rPr>
                        <w:b/>
                        <w:sz w:val="20"/>
                      </w:rPr>
                      <w:t>C</w:t>
                    </w:r>
                  </w:p>
                  <w:p w:rsidR="00B020C7" w:rsidRDefault="00B020C7">
                    <w:pPr>
                      <w:spacing w:line="720" w:lineRule="exact"/>
                      <w:jc w:val="right"/>
                      <w:rPr>
                        <w:b/>
                        <w:sz w:val="20"/>
                      </w:rPr>
                    </w:pPr>
                    <w:r>
                      <w:rPr>
                        <w:b/>
                        <w:sz w:val="20"/>
                      </w:rPr>
                      <w:t>D</w:t>
                    </w:r>
                  </w:p>
                  <w:p w:rsidR="00B020C7" w:rsidRDefault="00B020C7">
                    <w:pPr>
                      <w:spacing w:line="720" w:lineRule="exact"/>
                      <w:jc w:val="right"/>
                      <w:rPr>
                        <w:b/>
                        <w:sz w:val="20"/>
                      </w:rPr>
                    </w:pPr>
                    <w:r>
                      <w:rPr>
                        <w:b/>
                        <w:sz w:val="20"/>
                      </w:rPr>
                      <w:t>E</w:t>
                    </w:r>
                  </w:p>
                  <w:p w:rsidR="00B020C7" w:rsidRDefault="00B020C7">
                    <w:pPr>
                      <w:pStyle w:val="Heading3"/>
                      <w:spacing w:line="720" w:lineRule="exact"/>
                      <w:jc w:val="right"/>
                    </w:pPr>
                    <w:r>
                      <w:t>F</w:t>
                    </w:r>
                  </w:p>
                  <w:p w:rsidR="00B020C7" w:rsidRDefault="00B020C7">
                    <w:pPr>
                      <w:spacing w:line="720" w:lineRule="exact"/>
                      <w:jc w:val="right"/>
                      <w:rPr>
                        <w:b/>
                        <w:sz w:val="20"/>
                      </w:rPr>
                    </w:pPr>
                    <w:r>
                      <w:rPr>
                        <w:b/>
                        <w:sz w:val="20"/>
                      </w:rPr>
                      <w:t>G</w:t>
                    </w:r>
                  </w:p>
                  <w:p w:rsidR="00B020C7" w:rsidRDefault="00B020C7">
                    <w:pPr>
                      <w:spacing w:line="720" w:lineRule="exact"/>
                      <w:jc w:val="right"/>
                      <w:rPr>
                        <w:b/>
                        <w:sz w:val="20"/>
                      </w:rPr>
                    </w:pPr>
                    <w:r>
                      <w:rPr>
                        <w:b/>
                        <w:sz w:val="20"/>
                      </w:rPr>
                      <w:t>H</w:t>
                    </w:r>
                  </w:p>
                  <w:p w:rsidR="00B020C7" w:rsidRDefault="00B020C7">
                    <w:pPr>
                      <w:spacing w:line="720" w:lineRule="exact"/>
                      <w:jc w:val="right"/>
                      <w:rPr>
                        <w:b/>
                        <w:sz w:val="20"/>
                      </w:rPr>
                    </w:pPr>
                    <w:r>
                      <w:rPr>
                        <w:b/>
                        <w:sz w:val="20"/>
                      </w:rPr>
                      <w:t>I</w:t>
                    </w:r>
                  </w:p>
                  <w:p w:rsidR="00B020C7" w:rsidRDefault="00B020C7">
                    <w:pPr>
                      <w:spacing w:line="720" w:lineRule="exact"/>
                      <w:jc w:val="right"/>
                      <w:rPr>
                        <w:b/>
                        <w:sz w:val="20"/>
                      </w:rPr>
                    </w:pPr>
                    <w:r>
                      <w:rPr>
                        <w:b/>
                        <w:sz w:val="20"/>
                      </w:rPr>
                      <w:t>J</w:t>
                    </w:r>
                  </w:p>
                  <w:p w:rsidR="00B020C7" w:rsidRDefault="00B020C7">
                    <w:pPr>
                      <w:spacing w:line="720" w:lineRule="exact"/>
                      <w:jc w:val="right"/>
                      <w:rPr>
                        <w:b/>
                        <w:sz w:val="20"/>
                      </w:rPr>
                    </w:pPr>
                    <w:r>
                      <w:rPr>
                        <w:b/>
                        <w:sz w:val="20"/>
                      </w:rPr>
                      <w:t>K</w:t>
                    </w:r>
                  </w:p>
                  <w:p w:rsidR="00B020C7" w:rsidRDefault="00B020C7">
                    <w:pPr>
                      <w:spacing w:line="720" w:lineRule="exact"/>
                      <w:jc w:val="right"/>
                      <w:rPr>
                        <w:b/>
                        <w:sz w:val="20"/>
                      </w:rPr>
                    </w:pPr>
                    <w:r>
                      <w:rPr>
                        <w:b/>
                        <w:sz w:val="20"/>
                      </w:rPr>
                      <w:t>L</w:t>
                    </w:r>
                  </w:p>
                  <w:p w:rsidR="00B020C7" w:rsidRDefault="00B020C7">
                    <w:pPr>
                      <w:spacing w:line="720" w:lineRule="exact"/>
                      <w:jc w:val="right"/>
                      <w:rPr>
                        <w:b/>
                        <w:sz w:val="20"/>
                      </w:rPr>
                    </w:pPr>
                    <w:r>
                      <w:rPr>
                        <w:b/>
                        <w:sz w:val="20"/>
                      </w:rPr>
                      <w:t>M</w:t>
                    </w:r>
                  </w:p>
                  <w:p w:rsidR="00B020C7" w:rsidRDefault="00B020C7">
                    <w:pPr>
                      <w:spacing w:line="720" w:lineRule="exact"/>
                      <w:jc w:val="right"/>
                      <w:rPr>
                        <w:b/>
                        <w:sz w:val="20"/>
                      </w:rPr>
                    </w:pPr>
                    <w:r>
                      <w:rPr>
                        <w:b/>
                        <w:sz w:val="20"/>
                      </w:rPr>
                      <w:t>N</w:t>
                    </w:r>
                  </w:p>
                  <w:p w:rsidR="00B020C7" w:rsidRDefault="00B020C7">
                    <w:pPr>
                      <w:spacing w:line="720" w:lineRule="exact"/>
                      <w:jc w:val="right"/>
                      <w:rPr>
                        <w:b/>
                        <w:sz w:val="20"/>
                      </w:rPr>
                    </w:pPr>
                    <w:r>
                      <w:rPr>
                        <w:b/>
                        <w:sz w:val="20"/>
                      </w:rPr>
                      <w:t>O</w:t>
                    </w:r>
                  </w:p>
                  <w:p w:rsidR="00B020C7" w:rsidRDefault="00B020C7">
                    <w:pPr>
                      <w:spacing w:line="720" w:lineRule="exact"/>
                      <w:jc w:val="right"/>
                      <w:rPr>
                        <w:b/>
                        <w:sz w:val="20"/>
                      </w:rPr>
                    </w:pPr>
                    <w:r>
                      <w:rPr>
                        <w:b/>
                        <w:sz w:val="20"/>
                      </w:rPr>
                      <w:t>P</w:t>
                    </w:r>
                  </w:p>
                  <w:p w:rsidR="00B020C7" w:rsidRDefault="00B020C7">
                    <w:pPr>
                      <w:spacing w:line="720" w:lineRule="exact"/>
                      <w:jc w:val="right"/>
                      <w:rPr>
                        <w:b/>
                        <w:sz w:val="20"/>
                      </w:rPr>
                    </w:pPr>
                    <w:r>
                      <w:rPr>
                        <w:b/>
                        <w:sz w:val="20"/>
                      </w:rPr>
                      <w:t>Q</w:t>
                    </w:r>
                  </w:p>
                  <w:p w:rsidR="00B020C7" w:rsidRDefault="00B020C7">
                    <w:pPr>
                      <w:spacing w:line="720" w:lineRule="exact"/>
                      <w:jc w:val="right"/>
                      <w:rPr>
                        <w:b/>
                        <w:sz w:val="20"/>
                      </w:rPr>
                    </w:pPr>
                    <w:r>
                      <w:rPr>
                        <w:b/>
                        <w:sz w:val="20"/>
                      </w:rPr>
                      <w:t>R</w:t>
                    </w:r>
                  </w:p>
                  <w:p w:rsidR="00B020C7" w:rsidRDefault="00B020C7">
                    <w:pPr>
                      <w:spacing w:line="720" w:lineRule="exact"/>
                      <w:jc w:val="right"/>
                      <w:rPr>
                        <w:b/>
                        <w:sz w:val="20"/>
                      </w:rPr>
                    </w:pPr>
                    <w:r>
                      <w:rPr>
                        <w:b/>
                        <w:sz w:val="20"/>
                      </w:rPr>
                      <w:t>S</w:t>
                    </w:r>
                  </w:p>
                  <w:p w:rsidR="00B020C7" w:rsidRDefault="00B020C7">
                    <w:pPr>
                      <w:spacing w:line="720" w:lineRule="exact"/>
                      <w:jc w:val="right"/>
                      <w:rPr>
                        <w:b/>
                        <w:sz w:val="20"/>
                      </w:rPr>
                    </w:pPr>
                    <w:r>
                      <w:rPr>
                        <w:b/>
                        <w:sz w:val="20"/>
                      </w:rPr>
                      <w:t>T</w:t>
                    </w:r>
                  </w:p>
                  <w:p w:rsidR="00B020C7" w:rsidRDefault="00B020C7">
                    <w:pPr>
                      <w:spacing w:line="720" w:lineRule="exact"/>
                      <w:jc w:val="right"/>
                      <w:rPr>
                        <w:b/>
                        <w:sz w:val="20"/>
                      </w:rPr>
                    </w:pPr>
                    <w:r>
                      <w:rPr>
                        <w:b/>
                        <w:sz w:val="20"/>
                      </w:rPr>
                      <w:t>U</w:t>
                    </w:r>
                  </w:p>
                  <w:p w:rsidR="00B020C7" w:rsidRDefault="00B020C7">
                    <w:pPr>
                      <w:spacing w:line="720" w:lineRule="exact"/>
                      <w:jc w:val="right"/>
                      <w:rPr>
                        <w:b/>
                        <w:sz w:val="20"/>
                      </w:rPr>
                    </w:pPr>
                    <w:r>
                      <w:rPr>
                        <w:b/>
                        <w:sz w:val="20"/>
                      </w:rPr>
                      <w:t>V</w:t>
                    </w:r>
                  </w:p>
                  <w:p w:rsidR="00B020C7" w:rsidRDefault="00B020C7">
                    <w:pPr>
                      <w:spacing w:line="720" w:lineRule="exact"/>
                      <w:jc w:val="right"/>
                      <w:rPr>
                        <w:b/>
                        <w:sz w:val="20"/>
                      </w:rPr>
                    </w:pPr>
                  </w:p>
                </w:txbxContent>
              </v:textbox>
            </v:rect>
          </w:pict>
        </mc:Fallback>
      </mc:AlternateContent>
    </w:r>
    <w:r>
      <w:rPr>
        <w:noProof/>
        <w:lang w:val="en-US"/>
      </w:rPr>
      <mc:AlternateContent>
        <mc:Choice Requires="wps">
          <w:drawing>
            <wp:anchor distT="0" distB="0" distL="114300" distR="114300" simplePos="0" relativeHeight="251657216" behindDoc="0" locked="0" layoutInCell="0" allowOverlap="1">
              <wp:simplePos x="0" y="0"/>
              <wp:positionH relativeFrom="column">
                <wp:posOffset>-720090</wp:posOffset>
              </wp:positionH>
              <wp:positionV relativeFrom="paragraph">
                <wp:posOffset>71755</wp:posOffset>
              </wp:positionV>
              <wp:extent cx="342900" cy="10150475"/>
              <wp:effectExtent l="0" t="0" r="381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015047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B020C7" w:rsidRDefault="00B020C7">
                          <w:pPr>
                            <w:spacing w:line="720" w:lineRule="exact"/>
                            <w:rPr>
                              <w:b/>
                              <w:sz w:val="20"/>
                            </w:rPr>
                          </w:pPr>
                          <w:r>
                            <w:rPr>
                              <w:b/>
                              <w:sz w:val="20"/>
                            </w:rPr>
                            <w:t>A</w:t>
                          </w:r>
                        </w:p>
                        <w:p w:rsidR="00B020C7" w:rsidRDefault="00B020C7">
                          <w:pPr>
                            <w:spacing w:line="720" w:lineRule="exact"/>
                            <w:rPr>
                              <w:b/>
                              <w:sz w:val="20"/>
                            </w:rPr>
                          </w:pPr>
                          <w:r>
                            <w:rPr>
                              <w:b/>
                              <w:sz w:val="20"/>
                            </w:rPr>
                            <w:t>B</w:t>
                          </w:r>
                        </w:p>
                        <w:p w:rsidR="00B020C7" w:rsidRDefault="00B020C7">
                          <w:pPr>
                            <w:spacing w:line="720" w:lineRule="exact"/>
                            <w:rPr>
                              <w:b/>
                              <w:sz w:val="20"/>
                            </w:rPr>
                          </w:pPr>
                          <w:r>
                            <w:rPr>
                              <w:b/>
                              <w:sz w:val="20"/>
                            </w:rPr>
                            <w:t>C</w:t>
                          </w:r>
                        </w:p>
                        <w:p w:rsidR="00B020C7" w:rsidRDefault="00B020C7">
                          <w:pPr>
                            <w:spacing w:line="720" w:lineRule="exact"/>
                            <w:rPr>
                              <w:b/>
                              <w:sz w:val="20"/>
                            </w:rPr>
                          </w:pPr>
                          <w:r>
                            <w:rPr>
                              <w:b/>
                              <w:sz w:val="20"/>
                            </w:rPr>
                            <w:t>D</w:t>
                          </w:r>
                        </w:p>
                        <w:p w:rsidR="00B020C7" w:rsidRDefault="00B020C7">
                          <w:pPr>
                            <w:spacing w:line="720" w:lineRule="exact"/>
                            <w:rPr>
                              <w:b/>
                              <w:sz w:val="20"/>
                            </w:rPr>
                          </w:pPr>
                          <w:r>
                            <w:rPr>
                              <w:b/>
                              <w:sz w:val="20"/>
                            </w:rPr>
                            <w:t>E</w:t>
                          </w:r>
                        </w:p>
                        <w:p w:rsidR="00B020C7" w:rsidRDefault="00B020C7">
                          <w:pPr>
                            <w:pStyle w:val="Heading3"/>
                            <w:spacing w:line="720" w:lineRule="exact"/>
                            <w:jc w:val="left"/>
                          </w:pPr>
                          <w:r>
                            <w:t>F</w:t>
                          </w:r>
                        </w:p>
                        <w:p w:rsidR="00B020C7" w:rsidRDefault="00B020C7">
                          <w:pPr>
                            <w:spacing w:line="720" w:lineRule="exact"/>
                            <w:rPr>
                              <w:b/>
                              <w:sz w:val="20"/>
                            </w:rPr>
                          </w:pPr>
                          <w:r>
                            <w:rPr>
                              <w:b/>
                              <w:sz w:val="20"/>
                            </w:rPr>
                            <w:t>G</w:t>
                          </w:r>
                        </w:p>
                        <w:p w:rsidR="00B020C7" w:rsidRDefault="00B020C7">
                          <w:pPr>
                            <w:spacing w:line="720" w:lineRule="exact"/>
                            <w:rPr>
                              <w:b/>
                              <w:sz w:val="20"/>
                            </w:rPr>
                          </w:pPr>
                          <w:r>
                            <w:rPr>
                              <w:b/>
                              <w:sz w:val="20"/>
                            </w:rPr>
                            <w:t>H</w:t>
                          </w:r>
                        </w:p>
                        <w:p w:rsidR="00B020C7" w:rsidRDefault="00B020C7">
                          <w:pPr>
                            <w:spacing w:line="720" w:lineRule="exact"/>
                            <w:rPr>
                              <w:b/>
                              <w:sz w:val="20"/>
                            </w:rPr>
                          </w:pPr>
                          <w:r>
                            <w:rPr>
                              <w:b/>
                              <w:sz w:val="20"/>
                            </w:rPr>
                            <w:t>I</w:t>
                          </w:r>
                        </w:p>
                        <w:p w:rsidR="00B020C7" w:rsidRDefault="00B020C7">
                          <w:pPr>
                            <w:spacing w:line="720" w:lineRule="exact"/>
                            <w:rPr>
                              <w:b/>
                              <w:sz w:val="20"/>
                            </w:rPr>
                          </w:pPr>
                          <w:r>
                            <w:rPr>
                              <w:b/>
                              <w:sz w:val="20"/>
                            </w:rPr>
                            <w:t>J</w:t>
                          </w:r>
                        </w:p>
                        <w:p w:rsidR="00B020C7" w:rsidRDefault="00B020C7">
                          <w:pPr>
                            <w:spacing w:line="720" w:lineRule="exact"/>
                            <w:rPr>
                              <w:b/>
                              <w:sz w:val="20"/>
                            </w:rPr>
                          </w:pPr>
                          <w:r>
                            <w:rPr>
                              <w:b/>
                              <w:sz w:val="20"/>
                            </w:rPr>
                            <w:t>K</w:t>
                          </w:r>
                        </w:p>
                        <w:p w:rsidR="00B020C7" w:rsidRDefault="00B020C7">
                          <w:pPr>
                            <w:spacing w:line="720" w:lineRule="exact"/>
                            <w:rPr>
                              <w:b/>
                              <w:sz w:val="20"/>
                            </w:rPr>
                          </w:pPr>
                          <w:r>
                            <w:rPr>
                              <w:b/>
                              <w:sz w:val="20"/>
                            </w:rPr>
                            <w:t>L</w:t>
                          </w:r>
                        </w:p>
                        <w:p w:rsidR="00B020C7" w:rsidRDefault="00B020C7">
                          <w:pPr>
                            <w:spacing w:line="720" w:lineRule="exact"/>
                            <w:rPr>
                              <w:b/>
                              <w:sz w:val="20"/>
                            </w:rPr>
                          </w:pPr>
                          <w:r>
                            <w:rPr>
                              <w:b/>
                              <w:sz w:val="20"/>
                            </w:rPr>
                            <w:t>M</w:t>
                          </w:r>
                        </w:p>
                        <w:p w:rsidR="00B020C7" w:rsidRDefault="00B020C7">
                          <w:pPr>
                            <w:spacing w:line="720" w:lineRule="exact"/>
                            <w:rPr>
                              <w:b/>
                              <w:sz w:val="20"/>
                            </w:rPr>
                          </w:pPr>
                          <w:r>
                            <w:rPr>
                              <w:b/>
                              <w:sz w:val="20"/>
                            </w:rPr>
                            <w:t>N</w:t>
                          </w:r>
                        </w:p>
                        <w:p w:rsidR="00B020C7" w:rsidRDefault="00B020C7">
                          <w:pPr>
                            <w:spacing w:line="720" w:lineRule="exact"/>
                            <w:rPr>
                              <w:b/>
                              <w:sz w:val="20"/>
                            </w:rPr>
                          </w:pPr>
                          <w:r>
                            <w:rPr>
                              <w:b/>
                              <w:sz w:val="20"/>
                            </w:rPr>
                            <w:t>O</w:t>
                          </w:r>
                        </w:p>
                        <w:p w:rsidR="00B020C7" w:rsidRDefault="00B020C7">
                          <w:pPr>
                            <w:spacing w:line="720" w:lineRule="exact"/>
                            <w:rPr>
                              <w:b/>
                              <w:sz w:val="20"/>
                            </w:rPr>
                          </w:pPr>
                          <w:r>
                            <w:rPr>
                              <w:b/>
                              <w:sz w:val="20"/>
                            </w:rPr>
                            <w:t>P</w:t>
                          </w:r>
                        </w:p>
                        <w:p w:rsidR="00B020C7" w:rsidRDefault="00B020C7">
                          <w:pPr>
                            <w:spacing w:line="720" w:lineRule="exact"/>
                            <w:rPr>
                              <w:b/>
                              <w:sz w:val="20"/>
                            </w:rPr>
                          </w:pPr>
                          <w:r>
                            <w:rPr>
                              <w:b/>
                              <w:sz w:val="20"/>
                            </w:rPr>
                            <w:t>Q</w:t>
                          </w:r>
                        </w:p>
                        <w:p w:rsidR="00B020C7" w:rsidRDefault="00B020C7">
                          <w:pPr>
                            <w:spacing w:line="720" w:lineRule="exact"/>
                            <w:rPr>
                              <w:b/>
                              <w:sz w:val="20"/>
                            </w:rPr>
                          </w:pPr>
                          <w:r>
                            <w:rPr>
                              <w:b/>
                              <w:sz w:val="20"/>
                            </w:rPr>
                            <w:t>R</w:t>
                          </w:r>
                        </w:p>
                        <w:p w:rsidR="00B020C7" w:rsidRDefault="00B020C7">
                          <w:pPr>
                            <w:spacing w:line="720" w:lineRule="exact"/>
                            <w:rPr>
                              <w:b/>
                              <w:sz w:val="20"/>
                            </w:rPr>
                          </w:pPr>
                          <w:r>
                            <w:rPr>
                              <w:b/>
                              <w:sz w:val="20"/>
                            </w:rPr>
                            <w:t>S</w:t>
                          </w:r>
                        </w:p>
                        <w:p w:rsidR="00B020C7" w:rsidRDefault="00B020C7">
                          <w:pPr>
                            <w:spacing w:line="720" w:lineRule="exact"/>
                            <w:rPr>
                              <w:b/>
                              <w:sz w:val="20"/>
                            </w:rPr>
                          </w:pPr>
                          <w:r>
                            <w:rPr>
                              <w:b/>
                              <w:sz w:val="20"/>
                            </w:rPr>
                            <w:t>T</w:t>
                          </w:r>
                        </w:p>
                        <w:p w:rsidR="00B020C7" w:rsidRDefault="00B020C7">
                          <w:pPr>
                            <w:spacing w:line="720" w:lineRule="exact"/>
                            <w:rPr>
                              <w:b/>
                              <w:sz w:val="20"/>
                            </w:rPr>
                          </w:pPr>
                          <w:r>
                            <w:rPr>
                              <w:b/>
                              <w:sz w:val="20"/>
                            </w:rPr>
                            <w:t>U</w:t>
                          </w:r>
                        </w:p>
                        <w:p w:rsidR="00B020C7" w:rsidRDefault="00B020C7">
                          <w:pPr>
                            <w:spacing w:line="720" w:lineRule="exact"/>
                            <w:rPr>
                              <w:b/>
                              <w:sz w:val="20"/>
                            </w:rPr>
                          </w:pPr>
                          <w:r>
                            <w:rPr>
                              <w:b/>
                              <w:sz w:val="20"/>
                            </w:rPr>
                            <w:t>V</w:t>
                          </w:r>
                        </w:p>
                        <w:p w:rsidR="00B020C7" w:rsidRDefault="00B020C7">
                          <w:pPr>
                            <w:spacing w:line="720" w:lineRule="exact"/>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8" style="position:absolute;left:0;text-align:left;margin-left:-56.7pt;margin-top:5.65pt;width:27pt;height:799.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" o:allowincell="f" stroked="f" strokeweight="0">
              <v:textbox inset="0,0,0,0">
                <w:txbxContent>
                  <w:p w:rsidR="00B020C7" w:rsidRDefault="00B020C7">
                    <w:pPr>
                      <w:spacing w:line="720" w:lineRule="exact"/>
                      <w:rPr>
                        <w:b/>
                        <w:sz w:val="20"/>
                      </w:rPr>
                    </w:pPr>
                    <w:r>
                      <w:rPr>
                        <w:b/>
                        <w:sz w:val="20"/>
                      </w:rPr>
                      <w:t>A</w:t>
                    </w:r>
                  </w:p>
                  <w:p w:rsidR="00B020C7" w:rsidRDefault="00B020C7">
                    <w:pPr>
                      <w:spacing w:line="720" w:lineRule="exact"/>
                      <w:rPr>
                        <w:b/>
                        <w:sz w:val="20"/>
                      </w:rPr>
                    </w:pPr>
                    <w:r>
                      <w:rPr>
                        <w:b/>
                        <w:sz w:val="20"/>
                      </w:rPr>
                      <w:t>B</w:t>
                    </w:r>
                  </w:p>
                  <w:p w:rsidR="00B020C7" w:rsidRDefault="00B020C7">
                    <w:pPr>
                      <w:spacing w:line="720" w:lineRule="exact"/>
                      <w:rPr>
                        <w:b/>
                        <w:sz w:val="20"/>
                      </w:rPr>
                    </w:pPr>
                    <w:r>
                      <w:rPr>
                        <w:b/>
                        <w:sz w:val="20"/>
                      </w:rPr>
                      <w:t>C</w:t>
                    </w:r>
                  </w:p>
                  <w:p w:rsidR="00B020C7" w:rsidRDefault="00B020C7">
                    <w:pPr>
                      <w:spacing w:line="720" w:lineRule="exact"/>
                      <w:rPr>
                        <w:b/>
                        <w:sz w:val="20"/>
                      </w:rPr>
                    </w:pPr>
                    <w:r>
                      <w:rPr>
                        <w:b/>
                        <w:sz w:val="20"/>
                      </w:rPr>
                      <w:t>D</w:t>
                    </w:r>
                  </w:p>
                  <w:p w:rsidR="00B020C7" w:rsidRDefault="00B020C7">
                    <w:pPr>
                      <w:spacing w:line="720" w:lineRule="exact"/>
                      <w:rPr>
                        <w:b/>
                        <w:sz w:val="20"/>
                      </w:rPr>
                    </w:pPr>
                    <w:r>
                      <w:rPr>
                        <w:b/>
                        <w:sz w:val="20"/>
                      </w:rPr>
                      <w:t>E</w:t>
                    </w:r>
                  </w:p>
                  <w:p w:rsidR="00B020C7" w:rsidRDefault="00B020C7">
                    <w:pPr>
                      <w:pStyle w:val="Heading3"/>
                      <w:spacing w:line="720" w:lineRule="exact"/>
                      <w:jc w:val="left"/>
                    </w:pPr>
                    <w:r>
                      <w:t>F</w:t>
                    </w:r>
                  </w:p>
                  <w:p w:rsidR="00B020C7" w:rsidRDefault="00B020C7">
                    <w:pPr>
                      <w:spacing w:line="720" w:lineRule="exact"/>
                      <w:rPr>
                        <w:b/>
                        <w:sz w:val="20"/>
                      </w:rPr>
                    </w:pPr>
                    <w:r>
                      <w:rPr>
                        <w:b/>
                        <w:sz w:val="20"/>
                      </w:rPr>
                      <w:t>G</w:t>
                    </w:r>
                  </w:p>
                  <w:p w:rsidR="00B020C7" w:rsidRDefault="00B020C7">
                    <w:pPr>
                      <w:spacing w:line="720" w:lineRule="exact"/>
                      <w:rPr>
                        <w:b/>
                        <w:sz w:val="20"/>
                      </w:rPr>
                    </w:pPr>
                    <w:r>
                      <w:rPr>
                        <w:b/>
                        <w:sz w:val="20"/>
                      </w:rPr>
                      <w:t>H</w:t>
                    </w:r>
                  </w:p>
                  <w:p w:rsidR="00B020C7" w:rsidRDefault="00B020C7">
                    <w:pPr>
                      <w:spacing w:line="720" w:lineRule="exact"/>
                      <w:rPr>
                        <w:b/>
                        <w:sz w:val="20"/>
                      </w:rPr>
                    </w:pPr>
                    <w:r>
                      <w:rPr>
                        <w:b/>
                        <w:sz w:val="20"/>
                      </w:rPr>
                      <w:t>I</w:t>
                    </w:r>
                  </w:p>
                  <w:p w:rsidR="00B020C7" w:rsidRDefault="00B020C7">
                    <w:pPr>
                      <w:spacing w:line="720" w:lineRule="exact"/>
                      <w:rPr>
                        <w:b/>
                        <w:sz w:val="20"/>
                      </w:rPr>
                    </w:pPr>
                    <w:r>
                      <w:rPr>
                        <w:b/>
                        <w:sz w:val="20"/>
                      </w:rPr>
                      <w:t>J</w:t>
                    </w:r>
                  </w:p>
                  <w:p w:rsidR="00B020C7" w:rsidRDefault="00B020C7">
                    <w:pPr>
                      <w:spacing w:line="720" w:lineRule="exact"/>
                      <w:rPr>
                        <w:b/>
                        <w:sz w:val="20"/>
                      </w:rPr>
                    </w:pPr>
                    <w:r>
                      <w:rPr>
                        <w:b/>
                        <w:sz w:val="20"/>
                      </w:rPr>
                      <w:t>K</w:t>
                    </w:r>
                  </w:p>
                  <w:p w:rsidR="00B020C7" w:rsidRDefault="00B020C7">
                    <w:pPr>
                      <w:spacing w:line="720" w:lineRule="exact"/>
                      <w:rPr>
                        <w:b/>
                        <w:sz w:val="20"/>
                      </w:rPr>
                    </w:pPr>
                    <w:r>
                      <w:rPr>
                        <w:b/>
                        <w:sz w:val="20"/>
                      </w:rPr>
                      <w:t>L</w:t>
                    </w:r>
                  </w:p>
                  <w:p w:rsidR="00B020C7" w:rsidRDefault="00B020C7">
                    <w:pPr>
                      <w:spacing w:line="720" w:lineRule="exact"/>
                      <w:rPr>
                        <w:b/>
                        <w:sz w:val="20"/>
                      </w:rPr>
                    </w:pPr>
                    <w:r>
                      <w:rPr>
                        <w:b/>
                        <w:sz w:val="20"/>
                      </w:rPr>
                      <w:t>M</w:t>
                    </w:r>
                  </w:p>
                  <w:p w:rsidR="00B020C7" w:rsidRDefault="00B020C7">
                    <w:pPr>
                      <w:spacing w:line="720" w:lineRule="exact"/>
                      <w:rPr>
                        <w:b/>
                        <w:sz w:val="20"/>
                      </w:rPr>
                    </w:pPr>
                    <w:r>
                      <w:rPr>
                        <w:b/>
                        <w:sz w:val="20"/>
                      </w:rPr>
                      <w:t>N</w:t>
                    </w:r>
                  </w:p>
                  <w:p w:rsidR="00B020C7" w:rsidRDefault="00B020C7">
                    <w:pPr>
                      <w:spacing w:line="720" w:lineRule="exact"/>
                      <w:rPr>
                        <w:b/>
                        <w:sz w:val="20"/>
                      </w:rPr>
                    </w:pPr>
                    <w:r>
                      <w:rPr>
                        <w:b/>
                        <w:sz w:val="20"/>
                      </w:rPr>
                      <w:t>O</w:t>
                    </w:r>
                  </w:p>
                  <w:p w:rsidR="00B020C7" w:rsidRDefault="00B020C7">
                    <w:pPr>
                      <w:spacing w:line="720" w:lineRule="exact"/>
                      <w:rPr>
                        <w:b/>
                        <w:sz w:val="20"/>
                      </w:rPr>
                    </w:pPr>
                    <w:r>
                      <w:rPr>
                        <w:b/>
                        <w:sz w:val="20"/>
                      </w:rPr>
                      <w:t>P</w:t>
                    </w:r>
                  </w:p>
                  <w:p w:rsidR="00B020C7" w:rsidRDefault="00B020C7">
                    <w:pPr>
                      <w:spacing w:line="720" w:lineRule="exact"/>
                      <w:rPr>
                        <w:b/>
                        <w:sz w:val="20"/>
                      </w:rPr>
                    </w:pPr>
                    <w:r>
                      <w:rPr>
                        <w:b/>
                        <w:sz w:val="20"/>
                      </w:rPr>
                      <w:t>Q</w:t>
                    </w:r>
                  </w:p>
                  <w:p w:rsidR="00B020C7" w:rsidRDefault="00B020C7">
                    <w:pPr>
                      <w:spacing w:line="720" w:lineRule="exact"/>
                      <w:rPr>
                        <w:b/>
                        <w:sz w:val="20"/>
                      </w:rPr>
                    </w:pPr>
                    <w:r>
                      <w:rPr>
                        <w:b/>
                        <w:sz w:val="20"/>
                      </w:rPr>
                      <w:t>R</w:t>
                    </w:r>
                  </w:p>
                  <w:p w:rsidR="00B020C7" w:rsidRDefault="00B020C7">
                    <w:pPr>
                      <w:spacing w:line="720" w:lineRule="exact"/>
                      <w:rPr>
                        <w:b/>
                        <w:sz w:val="20"/>
                      </w:rPr>
                    </w:pPr>
                    <w:r>
                      <w:rPr>
                        <w:b/>
                        <w:sz w:val="20"/>
                      </w:rPr>
                      <w:t>S</w:t>
                    </w:r>
                  </w:p>
                  <w:p w:rsidR="00B020C7" w:rsidRDefault="00B020C7">
                    <w:pPr>
                      <w:spacing w:line="720" w:lineRule="exact"/>
                      <w:rPr>
                        <w:b/>
                        <w:sz w:val="20"/>
                      </w:rPr>
                    </w:pPr>
                    <w:r>
                      <w:rPr>
                        <w:b/>
                        <w:sz w:val="20"/>
                      </w:rPr>
                      <w:t>T</w:t>
                    </w:r>
                  </w:p>
                  <w:p w:rsidR="00B020C7" w:rsidRDefault="00B020C7">
                    <w:pPr>
                      <w:spacing w:line="720" w:lineRule="exact"/>
                      <w:rPr>
                        <w:b/>
                        <w:sz w:val="20"/>
                      </w:rPr>
                    </w:pPr>
                    <w:r>
                      <w:rPr>
                        <w:b/>
                        <w:sz w:val="20"/>
                      </w:rPr>
                      <w:t>U</w:t>
                    </w:r>
                  </w:p>
                  <w:p w:rsidR="00B020C7" w:rsidRDefault="00B020C7">
                    <w:pPr>
                      <w:spacing w:line="720" w:lineRule="exact"/>
                      <w:rPr>
                        <w:b/>
                        <w:sz w:val="20"/>
                      </w:rPr>
                    </w:pPr>
                    <w:r>
                      <w:rPr>
                        <w:b/>
                        <w:sz w:val="20"/>
                      </w:rPr>
                      <w:t>V</w:t>
                    </w:r>
                  </w:p>
                  <w:p w:rsidR="00B020C7" w:rsidRDefault="00B020C7">
                    <w:pPr>
                      <w:spacing w:line="720" w:lineRule="exact"/>
                      <w:rPr>
                        <w:b/>
                        <w:sz w:val="20"/>
                      </w:rPr>
                    </w:pPr>
                  </w:p>
                </w:txbxContent>
              </v:textbox>
            </v:rect>
          </w:pict>
        </mc:Fallback>
      </mc:AlternateContent>
    </w:r>
    <w:r>
      <w:rPr>
        <w:rFonts w:hint="eastAsia"/>
      </w:rPr>
      <w:t xml:space="preserve">-  </w:t>
    </w:r>
    <w:r>
      <w:rPr>
        <w:rStyle w:val="PageNumber"/>
      </w:rPr>
      <w:fldChar w:fldCharType="begin"/>
    </w:r>
    <w:r>
      <w:rPr>
        <w:rStyle w:val="PageNumber"/>
      </w:rPr>
      <w:instrText xml:space="preserve"> PAGE </w:instrText>
    </w:r>
    <w:r>
      <w:rPr>
        <w:rStyle w:val="PageNumber"/>
      </w:rPr>
      <w:fldChar w:fldCharType="separate"/>
    </w:r>
    <w:r w:rsidR="0060022E">
      <w:rPr>
        <w:rStyle w:val="PageNumber"/>
        <w:noProof/>
      </w:rPr>
      <w:t>2</w:t>
    </w:r>
    <w:r>
      <w:rPr>
        <w:rStyle w:val="PageNumber"/>
      </w:rPr>
      <w:fldChar w:fldCharType="end"/>
    </w:r>
    <w:r>
      <w:rPr>
        <w:rStyle w:val="PageNumbe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20C7" w:rsidRDefault="00B020C7">
    <w:pPr>
      <w:pStyle w:val="Header"/>
    </w:pPr>
    <w:r>
      <w:rPr>
        <w:noProof/>
        <w:lang w:val="en-US"/>
      </w:rPr>
      <mc:AlternateContent>
        <mc:Choice Requires="wps">
          <w:drawing>
            <wp:anchor distT="0" distB="0" distL="114300" distR="114300" simplePos="0" relativeHeight="251659264" behindDoc="0" locked="0" layoutInCell="0" allowOverlap="1">
              <wp:simplePos x="0" y="0"/>
              <wp:positionH relativeFrom="column">
                <wp:posOffset>5850890</wp:posOffset>
              </wp:positionH>
              <wp:positionV relativeFrom="paragraph">
                <wp:posOffset>71755</wp:posOffset>
              </wp:positionV>
              <wp:extent cx="342900" cy="10150475"/>
              <wp:effectExtent l="4445" t="0" r="0"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015047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B020C7" w:rsidRDefault="00B020C7">
                          <w:pPr>
                            <w:spacing w:line="720" w:lineRule="exact"/>
                            <w:jc w:val="right"/>
                            <w:rPr>
                              <w:b/>
                              <w:sz w:val="20"/>
                            </w:rPr>
                          </w:pPr>
                          <w:r>
                            <w:rPr>
                              <w:b/>
                              <w:sz w:val="20"/>
                            </w:rPr>
                            <w:t>A</w:t>
                          </w:r>
                        </w:p>
                        <w:p w:rsidR="00B020C7" w:rsidRDefault="00B020C7">
                          <w:pPr>
                            <w:spacing w:line="720" w:lineRule="exact"/>
                            <w:jc w:val="right"/>
                            <w:rPr>
                              <w:b/>
                              <w:sz w:val="20"/>
                            </w:rPr>
                          </w:pPr>
                          <w:r>
                            <w:rPr>
                              <w:b/>
                              <w:sz w:val="20"/>
                            </w:rPr>
                            <w:t>B</w:t>
                          </w:r>
                        </w:p>
                        <w:p w:rsidR="00B020C7" w:rsidRDefault="00B020C7">
                          <w:pPr>
                            <w:spacing w:line="720" w:lineRule="exact"/>
                            <w:jc w:val="right"/>
                            <w:rPr>
                              <w:b/>
                              <w:sz w:val="20"/>
                            </w:rPr>
                          </w:pPr>
                          <w:r>
                            <w:rPr>
                              <w:b/>
                              <w:sz w:val="20"/>
                            </w:rPr>
                            <w:t>C</w:t>
                          </w:r>
                        </w:p>
                        <w:p w:rsidR="00B020C7" w:rsidRDefault="00B020C7">
                          <w:pPr>
                            <w:spacing w:line="720" w:lineRule="exact"/>
                            <w:jc w:val="right"/>
                            <w:rPr>
                              <w:b/>
                              <w:sz w:val="20"/>
                            </w:rPr>
                          </w:pPr>
                          <w:r>
                            <w:rPr>
                              <w:b/>
                              <w:sz w:val="20"/>
                            </w:rPr>
                            <w:t>D</w:t>
                          </w:r>
                        </w:p>
                        <w:p w:rsidR="00B020C7" w:rsidRDefault="00B020C7">
                          <w:pPr>
                            <w:spacing w:line="720" w:lineRule="exact"/>
                            <w:jc w:val="right"/>
                            <w:rPr>
                              <w:b/>
                              <w:sz w:val="20"/>
                            </w:rPr>
                          </w:pPr>
                          <w:r>
                            <w:rPr>
                              <w:b/>
                              <w:sz w:val="20"/>
                            </w:rPr>
                            <w:t>E</w:t>
                          </w:r>
                        </w:p>
                        <w:p w:rsidR="00B020C7" w:rsidRDefault="00B020C7">
                          <w:pPr>
                            <w:pStyle w:val="Heading3"/>
                            <w:spacing w:line="720" w:lineRule="exact"/>
                            <w:jc w:val="right"/>
                          </w:pPr>
                          <w:r>
                            <w:t>F</w:t>
                          </w:r>
                        </w:p>
                        <w:p w:rsidR="00B020C7" w:rsidRDefault="00B020C7">
                          <w:pPr>
                            <w:spacing w:line="720" w:lineRule="exact"/>
                            <w:jc w:val="right"/>
                            <w:rPr>
                              <w:b/>
                              <w:sz w:val="20"/>
                            </w:rPr>
                          </w:pPr>
                          <w:r>
                            <w:rPr>
                              <w:b/>
                              <w:sz w:val="20"/>
                            </w:rPr>
                            <w:t>G</w:t>
                          </w:r>
                        </w:p>
                        <w:p w:rsidR="00B020C7" w:rsidRDefault="00B020C7">
                          <w:pPr>
                            <w:spacing w:line="720" w:lineRule="exact"/>
                            <w:jc w:val="right"/>
                            <w:rPr>
                              <w:b/>
                              <w:sz w:val="20"/>
                            </w:rPr>
                          </w:pPr>
                          <w:r>
                            <w:rPr>
                              <w:b/>
                              <w:sz w:val="20"/>
                            </w:rPr>
                            <w:t>H</w:t>
                          </w:r>
                        </w:p>
                        <w:p w:rsidR="00B020C7" w:rsidRDefault="00B020C7">
                          <w:pPr>
                            <w:spacing w:line="720" w:lineRule="exact"/>
                            <w:jc w:val="right"/>
                            <w:rPr>
                              <w:b/>
                              <w:sz w:val="20"/>
                            </w:rPr>
                          </w:pPr>
                          <w:r>
                            <w:rPr>
                              <w:b/>
                              <w:sz w:val="20"/>
                            </w:rPr>
                            <w:t>I</w:t>
                          </w:r>
                        </w:p>
                        <w:p w:rsidR="00B020C7" w:rsidRDefault="00B020C7">
                          <w:pPr>
                            <w:spacing w:line="720" w:lineRule="exact"/>
                            <w:jc w:val="right"/>
                            <w:rPr>
                              <w:b/>
                              <w:sz w:val="20"/>
                            </w:rPr>
                          </w:pPr>
                          <w:r>
                            <w:rPr>
                              <w:b/>
                              <w:sz w:val="20"/>
                            </w:rPr>
                            <w:t>J</w:t>
                          </w:r>
                        </w:p>
                        <w:p w:rsidR="00B020C7" w:rsidRDefault="00B020C7">
                          <w:pPr>
                            <w:spacing w:line="720" w:lineRule="exact"/>
                            <w:jc w:val="right"/>
                            <w:rPr>
                              <w:b/>
                              <w:sz w:val="20"/>
                            </w:rPr>
                          </w:pPr>
                          <w:r>
                            <w:rPr>
                              <w:b/>
                              <w:sz w:val="20"/>
                            </w:rPr>
                            <w:t>K</w:t>
                          </w:r>
                        </w:p>
                        <w:p w:rsidR="00B020C7" w:rsidRDefault="00B020C7">
                          <w:pPr>
                            <w:spacing w:line="720" w:lineRule="exact"/>
                            <w:jc w:val="right"/>
                            <w:rPr>
                              <w:b/>
                              <w:sz w:val="20"/>
                            </w:rPr>
                          </w:pPr>
                          <w:r>
                            <w:rPr>
                              <w:b/>
                              <w:sz w:val="20"/>
                            </w:rPr>
                            <w:t>L</w:t>
                          </w:r>
                        </w:p>
                        <w:p w:rsidR="00B020C7" w:rsidRDefault="00B020C7">
                          <w:pPr>
                            <w:spacing w:line="720" w:lineRule="exact"/>
                            <w:jc w:val="right"/>
                            <w:rPr>
                              <w:b/>
                              <w:sz w:val="20"/>
                            </w:rPr>
                          </w:pPr>
                          <w:r>
                            <w:rPr>
                              <w:b/>
                              <w:sz w:val="20"/>
                            </w:rPr>
                            <w:t>M</w:t>
                          </w:r>
                        </w:p>
                        <w:p w:rsidR="00B020C7" w:rsidRDefault="00B020C7">
                          <w:pPr>
                            <w:spacing w:line="720" w:lineRule="exact"/>
                            <w:jc w:val="right"/>
                            <w:rPr>
                              <w:b/>
                              <w:sz w:val="20"/>
                            </w:rPr>
                          </w:pPr>
                          <w:r>
                            <w:rPr>
                              <w:b/>
                              <w:sz w:val="20"/>
                            </w:rPr>
                            <w:t>N</w:t>
                          </w:r>
                        </w:p>
                        <w:p w:rsidR="00B020C7" w:rsidRDefault="00B020C7">
                          <w:pPr>
                            <w:spacing w:line="720" w:lineRule="exact"/>
                            <w:jc w:val="right"/>
                            <w:rPr>
                              <w:b/>
                              <w:sz w:val="20"/>
                            </w:rPr>
                          </w:pPr>
                          <w:r>
                            <w:rPr>
                              <w:b/>
                              <w:sz w:val="20"/>
                            </w:rPr>
                            <w:t>O</w:t>
                          </w:r>
                        </w:p>
                        <w:p w:rsidR="00B020C7" w:rsidRDefault="00B020C7">
                          <w:pPr>
                            <w:spacing w:line="720" w:lineRule="exact"/>
                            <w:jc w:val="right"/>
                            <w:rPr>
                              <w:b/>
                              <w:sz w:val="20"/>
                            </w:rPr>
                          </w:pPr>
                          <w:r>
                            <w:rPr>
                              <w:b/>
                              <w:sz w:val="20"/>
                            </w:rPr>
                            <w:t>P</w:t>
                          </w:r>
                        </w:p>
                        <w:p w:rsidR="00B020C7" w:rsidRDefault="00B020C7">
                          <w:pPr>
                            <w:spacing w:line="720" w:lineRule="exact"/>
                            <w:jc w:val="right"/>
                            <w:rPr>
                              <w:b/>
                              <w:sz w:val="20"/>
                            </w:rPr>
                          </w:pPr>
                          <w:r>
                            <w:rPr>
                              <w:b/>
                              <w:sz w:val="20"/>
                            </w:rPr>
                            <w:t>Q</w:t>
                          </w:r>
                        </w:p>
                        <w:p w:rsidR="00B020C7" w:rsidRDefault="00B020C7">
                          <w:pPr>
                            <w:spacing w:line="720" w:lineRule="exact"/>
                            <w:jc w:val="right"/>
                            <w:rPr>
                              <w:b/>
                              <w:sz w:val="20"/>
                            </w:rPr>
                          </w:pPr>
                          <w:r>
                            <w:rPr>
                              <w:b/>
                              <w:sz w:val="20"/>
                            </w:rPr>
                            <w:t>R</w:t>
                          </w:r>
                        </w:p>
                        <w:p w:rsidR="00B020C7" w:rsidRDefault="00B020C7">
                          <w:pPr>
                            <w:spacing w:line="720" w:lineRule="exact"/>
                            <w:jc w:val="right"/>
                            <w:rPr>
                              <w:b/>
                              <w:sz w:val="20"/>
                            </w:rPr>
                          </w:pPr>
                          <w:r>
                            <w:rPr>
                              <w:b/>
                              <w:sz w:val="20"/>
                            </w:rPr>
                            <w:t>S</w:t>
                          </w:r>
                        </w:p>
                        <w:p w:rsidR="00B020C7" w:rsidRDefault="00B020C7">
                          <w:pPr>
                            <w:spacing w:line="720" w:lineRule="exact"/>
                            <w:jc w:val="right"/>
                            <w:rPr>
                              <w:b/>
                              <w:sz w:val="20"/>
                            </w:rPr>
                          </w:pPr>
                          <w:r>
                            <w:rPr>
                              <w:b/>
                              <w:sz w:val="20"/>
                            </w:rPr>
                            <w:t>T</w:t>
                          </w:r>
                        </w:p>
                        <w:p w:rsidR="00B020C7" w:rsidRDefault="00B020C7">
                          <w:pPr>
                            <w:spacing w:line="720" w:lineRule="exact"/>
                            <w:jc w:val="right"/>
                            <w:rPr>
                              <w:b/>
                              <w:sz w:val="20"/>
                            </w:rPr>
                          </w:pPr>
                          <w:r>
                            <w:rPr>
                              <w:b/>
                              <w:sz w:val="20"/>
                            </w:rPr>
                            <w:t>U</w:t>
                          </w:r>
                        </w:p>
                        <w:p w:rsidR="00B020C7" w:rsidRDefault="00B020C7">
                          <w:pPr>
                            <w:spacing w:line="720" w:lineRule="exact"/>
                            <w:jc w:val="right"/>
                            <w:rPr>
                              <w:b/>
                              <w:sz w:val="20"/>
                            </w:rPr>
                          </w:pPr>
                          <w:r>
                            <w:rPr>
                              <w:b/>
                              <w:sz w:val="20"/>
                            </w:rPr>
                            <w:t>V</w:t>
                          </w:r>
                        </w:p>
                        <w:p w:rsidR="00B020C7" w:rsidRDefault="00B020C7">
                          <w:pPr>
                            <w:spacing w:line="720" w:lineRule="exact"/>
                            <w:jc w:val="right"/>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9" style="position:absolute;margin-left:460.7pt;margin-top:5.65pt;width:27pt;height:79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" o:allowincell="f" stroked="f" strokeweight="0">
              <v:textbox inset="0,0,0,0">
                <w:txbxContent>
                  <w:p w:rsidR="00B020C7" w:rsidRDefault="00B020C7">
                    <w:pPr>
                      <w:spacing w:line="720" w:lineRule="exact"/>
                      <w:jc w:val="right"/>
                      <w:rPr>
                        <w:b/>
                        <w:sz w:val="20"/>
                      </w:rPr>
                    </w:pPr>
                    <w:r>
                      <w:rPr>
                        <w:b/>
                        <w:sz w:val="20"/>
                      </w:rPr>
                      <w:t>A</w:t>
                    </w:r>
                  </w:p>
                  <w:p w:rsidR="00B020C7" w:rsidRDefault="00B020C7">
                    <w:pPr>
                      <w:spacing w:line="720" w:lineRule="exact"/>
                      <w:jc w:val="right"/>
                      <w:rPr>
                        <w:b/>
                        <w:sz w:val="20"/>
                      </w:rPr>
                    </w:pPr>
                    <w:r>
                      <w:rPr>
                        <w:b/>
                        <w:sz w:val="20"/>
                      </w:rPr>
                      <w:t>B</w:t>
                    </w:r>
                  </w:p>
                  <w:p w:rsidR="00B020C7" w:rsidRDefault="00B020C7">
                    <w:pPr>
                      <w:spacing w:line="720" w:lineRule="exact"/>
                      <w:jc w:val="right"/>
                      <w:rPr>
                        <w:b/>
                        <w:sz w:val="20"/>
                      </w:rPr>
                    </w:pPr>
                    <w:r>
                      <w:rPr>
                        <w:b/>
                        <w:sz w:val="20"/>
                      </w:rPr>
                      <w:t>C</w:t>
                    </w:r>
                  </w:p>
                  <w:p w:rsidR="00B020C7" w:rsidRDefault="00B020C7">
                    <w:pPr>
                      <w:spacing w:line="720" w:lineRule="exact"/>
                      <w:jc w:val="right"/>
                      <w:rPr>
                        <w:b/>
                        <w:sz w:val="20"/>
                      </w:rPr>
                    </w:pPr>
                    <w:r>
                      <w:rPr>
                        <w:b/>
                        <w:sz w:val="20"/>
                      </w:rPr>
                      <w:t>D</w:t>
                    </w:r>
                  </w:p>
                  <w:p w:rsidR="00B020C7" w:rsidRDefault="00B020C7">
                    <w:pPr>
                      <w:spacing w:line="720" w:lineRule="exact"/>
                      <w:jc w:val="right"/>
                      <w:rPr>
                        <w:b/>
                        <w:sz w:val="20"/>
                      </w:rPr>
                    </w:pPr>
                    <w:r>
                      <w:rPr>
                        <w:b/>
                        <w:sz w:val="20"/>
                      </w:rPr>
                      <w:t>E</w:t>
                    </w:r>
                  </w:p>
                  <w:p w:rsidR="00B020C7" w:rsidRDefault="00B020C7">
                    <w:pPr>
                      <w:pStyle w:val="Heading3"/>
                      <w:spacing w:line="720" w:lineRule="exact"/>
                      <w:jc w:val="right"/>
                    </w:pPr>
                    <w:r>
                      <w:t>F</w:t>
                    </w:r>
                  </w:p>
                  <w:p w:rsidR="00B020C7" w:rsidRDefault="00B020C7">
                    <w:pPr>
                      <w:spacing w:line="720" w:lineRule="exact"/>
                      <w:jc w:val="right"/>
                      <w:rPr>
                        <w:b/>
                        <w:sz w:val="20"/>
                      </w:rPr>
                    </w:pPr>
                    <w:r>
                      <w:rPr>
                        <w:b/>
                        <w:sz w:val="20"/>
                      </w:rPr>
                      <w:t>G</w:t>
                    </w:r>
                  </w:p>
                  <w:p w:rsidR="00B020C7" w:rsidRDefault="00B020C7">
                    <w:pPr>
                      <w:spacing w:line="720" w:lineRule="exact"/>
                      <w:jc w:val="right"/>
                      <w:rPr>
                        <w:b/>
                        <w:sz w:val="20"/>
                      </w:rPr>
                    </w:pPr>
                    <w:r>
                      <w:rPr>
                        <w:b/>
                        <w:sz w:val="20"/>
                      </w:rPr>
                      <w:t>H</w:t>
                    </w:r>
                  </w:p>
                  <w:p w:rsidR="00B020C7" w:rsidRDefault="00B020C7">
                    <w:pPr>
                      <w:spacing w:line="720" w:lineRule="exact"/>
                      <w:jc w:val="right"/>
                      <w:rPr>
                        <w:b/>
                        <w:sz w:val="20"/>
                      </w:rPr>
                    </w:pPr>
                    <w:r>
                      <w:rPr>
                        <w:b/>
                        <w:sz w:val="20"/>
                      </w:rPr>
                      <w:t>I</w:t>
                    </w:r>
                  </w:p>
                  <w:p w:rsidR="00B020C7" w:rsidRDefault="00B020C7">
                    <w:pPr>
                      <w:spacing w:line="720" w:lineRule="exact"/>
                      <w:jc w:val="right"/>
                      <w:rPr>
                        <w:b/>
                        <w:sz w:val="20"/>
                      </w:rPr>
                    </w:pPr>
                    <w:r>
                      <w:rPr>
                        <w:b/>
                        <w:sz w:val="20"/>
                      </w:rPr>
                      <w:t>J</w:t>
                    </w:r>
                  </w:p>
                  <w:p w:rsidR="00B020C7" w:rsidRDefault="00B020C7">
                    <w:pPr>
                      <w:spacing w:line="720" w:lineRule="exact"/>
                      <w:jc w:val="right"/>
                      <w:rPr>
                        <w:b/>
                        <w:sz w:val="20"/>
                      </w:rPr>
                    </w:pPr>
                    <w:r>
                      <w:rPr>
                        <w:b/>
                        <w:sz w:val="20"/>
                      </w:rPr>
                      <w:t>K</w:t>
                    </w:r>
                  </w:p>
                  <w:p w:rsidR="00B020C7" w:rsidRDefault="00B020C7">
                    <w:pPr>
                      <w:spacing w:line="720" w:lineRule="exact"/>
                      <w:jc w:val="right"/>
                      <w:rPr>
                        <w:b/>
                        <w:sz w:val="20"/>
                      </w:rPr>
                    </w:pPr>
                    <w:r>
                      <w:rPr>
                        <w:b/>
                        <w:sz w:val="20"/>
                      </w:rPr>
                      <w:t>L</w:t>
                    </w:r>
                  </w:p>
                  <w:p w:rsidR="00B020C7" w:rsidRDefault="00B020C7">
                    <w:pPr>
                      <w:spacing w:line="720" w:lineRule="exact"/>
                      <w:jc w:val="right"/>
                      <w:rPr>
                        <w:b/>
                        <w:sz w:val="20"/>
                      </w:rPr>
                    </w:pPr>
                    <w:r>
                      <w:rPr>
                        <w:b/>
                        <w:sz w:val="20"/>
                      </w:rPr>
                      <w:t>M</w:t>
                    </w:r>
                  </w:p>
                  <w:p w:rsidR="00B020C7" w:rsidRDefault="00B020C7">
                    <w:pPr>
                      <w:spacing w:line="720" w:lineRule="exact"/>
                      <w:jc w:val="right"/>
                      <w:rPr>
                        <w:b/>
                        <w:sz w:val="20"/>
                      </w:rPr>
                    </w:pPr>
                    <w:r>
                      <w:rPr>
                        <w:b/>
                        <w:sz w:val="20"/>
                      </w:rPr>
                      <w:t>N</w:t>
                    </w:r>
                  </w:p>
                  <w:p w:rsidR="00B020C7" w:rsidRDefault="00B020C7">
                    <w:pPr>
                      <w:spacing w:line="720" w:lineRule="exact"/>
                      <w:jc w:val="right"/>
                      <w:rPr>
                        <w:b/>
                        <w:sz w:val="20"/>
                      </w:rPr>
                    </w:pPr>
                    <w:r>
                      <w:rPr>
                        <w:b/>
                        <w:sz w:val="20"/>
                      </w:rPr>
                      <w:t>O</w:t>
                    </w:r>
                  </w:p>
                  <w:p w:rsidR="00B020C7" w:rsidRDefault="00B020C7">
                    <w:pPr>
                      <w:spacing w:line="720" w:lineRule="exact"/>
                      <w:jc w:val="right"/>
                      <w:rPr>
                        <w:b/>
                        <w:sz w:val="20"/>
                      </w:rPr>
                    </w:pPr>
                    <w:r>
                      <w:rPr>
                        <w:b/>
                        <w:sz w:val="20"/>
                      </w:rPr>
                      <w:t>P</w:t>
                    </w:r>
                  </w:p>
                  <w:p w:rsidR="00B020C7" w:rsidRDefault="00B020C7">
                    <w:pPr>
                      <w:spacing w:line="720" w:lineRule="exact"/>
                      <w:jc w:val="right"/>
                      <w:rPr>
                        <w:b/>
                        <w:sz w:val="20"/>
                      </w:rPr>
                    </w:pPr>
                    <w:r>
                      <w:rPr>
                        <w:b/>
                        <w:sz w:val="20"/>
                      </w:rPr>
                      <w:t>Q</w:t>
                    </w:r>
                  </w:p>
                  <w:p w:rsidR="00B020C7" w:rsidRDefault="00B020C7">
                    <w:pPr>
                      <w:spacing w:line="720" w:lineRule="exact"/>
                      <w:jc w:val="right"/>
                      <w:rPr>
                        <w:b/>
                        <w:sz w:val="20"/>
                      </w:rPr>
                    </w:pPr>
                    <w:r>
                      <w:rPr>
                        <w:b/>
                        <w:sz w:val="20"/>
                      </w:rPr>
                      <w:t>R</w:t>
                    </w:r>
                  </w:p>
                  <w:p w:rsidR="00B020C7" w:rsidRDefault="00B020C7">
                    <w:pPr>
                      <w:spacing w:line="720" w:lineRule="exact"/>
                      <w:jc w:val="right"/>
                      <w:rPr>
                        <w:b/>
                        <w:sz w:val="20"/>
                      </w:rPr>
                    </w:pPr>
                    <w:r>
                      <w:rPr>
                        <w:b/>
                        <w:sz w:val="20"/>
                      </w:rPr>
                      <w:t>S</w:t>
                    </w:r>
                  </w:p>
                  <w:p w:rsidR="00B020C7" w:rsidRDefault="00B020C7">
                    <w:pPr>
                      <w:spacing w:line="720" w:lineRule="exact"/>
                      <w:jc w:val="right"/>
                      <w:rPr>
                        <w:b/>
                        <w:sz w:val="20"/>
                      </w:rPr>
                    </w:pPr>
                    <w:r>
                      <w:rPr>
                        <w:b/>
                        <w:sz w:val="20"/>
                      </w:rPr>
                      <w:t>T</w:t>
                    </w:r>
                  </w:p>
                  <w:p w:rsidR="00B020C7" w:rsidRDefault="00B020C7">
                    <w:pPr>
                      <w:spacing w:line="720" w:lineRule="exact"/>
                      <w:jc w:val="right"/>
                      <w:rPr>
                        <w:b/>
                        <w:sz w:val="20"/>
                      </w:rPr>
                    </w:pPr>
                    <w:r>
                      <w:rPr>
                        <w:b/>
                        <w:sz w:val="20"/>
                      </w:rPr>
                      <w:t>U</w:t>
                    </w:r>
                  </w:p>
                  <w:p w:rsidR="00B020C7" w:rsidRDefault="00B020C7">
                    <w:pPr>
                      <w:spacing w:line="720" w:lineRule="exact"/>
                      <w:jc w:val="right"/>
                      <w:rPr>
                        <w:b/>
                        <w:sz w:val="20"/>
                      </w:rPr>
                    </w:pPr>
                    <w:r>
                      <w:rPr>
                        <w:b/>
                        <w:sz w:val="20"/>
                      </w:rPr>
                      <w:t>V</w:t>
                    </w:r>
                  </w:p>
                  <w:p w:rsidR="00B020C7" w:rsidRDefault="00B020C7">
                    <w:pPr>
                      <w:spacing w:line="720" w:lineRule="exact"/>
                      <w:jc w:val="right"/>
                      <w:rPr>
                        <w:b/>
                        <w:sz w:val="20"/>
                      </w:rPr>
                    </w:pPr>
                  </w:p>
                </w:txbxContent>
              </v:textbox>
            </v:rect>
          </w:pict>
        </mc:Fallback>
      </mc:AlternateContent>
    </w:r>
    <w:r>
      <w:rPr>
        <w:noProof/>
        <w:lang w:val="en-US"/>
      </w:rPr>
      <mc:AlternateContent>
        <mc:Choice Requires="wps">
          <w:drawing>
            <wp:anchor distT="0" distB="0" distL="114300" distR="114300" simplePos="0" relativeHeight="251658240" behindDoc="0" locked="0" layoutInCell="0" allowOverlap="1">
              <wp:simplePos x="0" y="0"/>
              <wp:positionH relativeFrom="column">
                <wp:posOffset>-720090</wp:posOffset>
              </wp:positionH>
              <wp:positionV relativeFrom="paragraph">
                <wp:posOffset>71755</wp:posOffset>
              </wp:positionV>
              <wp:extent cx="342900" cy="10150475"/>
              <wp:effectExtent l="0" t="0" r="381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015047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B020C7" w:rsidRDefault="00B020C7">
                          <w:pPr>
                            <w:spacing w:line="720" w:lineRule="exact"/>
                            <w:rPr>
                              <w:b/>
                              <w:sz w:val="20"/>
                            </w:rPr>
                          </w:pPr>
                          <w:r>
                            <w:rPr>
                              <w:b/>
                              <w:sz w:val="20"/>
                            </w:rPr>
                            <w:t>A</w:t>
                          </w:r>
                        </w:p>
                        <w:p w:rsidR="00B020C7" w:rsidRDefault="00B020C7">
                          <w:pPr>
                            <w:spacing w:line="720" w:lineRule="exact"/>
                            <w:rPr>
                              <w:b/>
                              <w:sz w:val="20"/>
                            </w:rPr>
                          </w:pPr>
                          <w:r>
                            <w:rPr>
                              <w:b/>
                              <w:sz w:val="20"/>
                            </w:rPr>
                            <w:t>B</w:t>
                          </w:r>
                        </w:p>
                        <w:p w:rsidR="00B020C7" w:rsidRDefault="00B020C7">
                          <w:pPr>
                            <w:spacing w:line="720" w:lineRule="exact"/>
                            <w:rPr>
                              <w:b/>
                              <w:sz w:val="20"/>
                            </w:rPr>
                          </w:pPr>
                          <w:r>
                            <w:rPr>
                              <w:b/>
                              <w:sz w:val="20"/>
                            </w:rPr>
                            <w:t>C</w:t>
                          </w:r>
                        </w:p>
                        <w:p w:rsidR="00B020C7" w:rsidRDefault="00B020C7">
                          <w:pPr>
                            <w:spacing w:line="720" w:lineRule="exact"/>
                            <w:rPr>
                              <w:b/>
                              <w:sz w:val="20"/>
                            </w:rPr>
                          </w:pPr>
                          <w:r>
                            <w:rPr>
                              <w:b/>
                              <w:sz w:val="20"/>
                            </w:rPr>
                            <w:t>D</w:t>
                          </w:r>
                        </w:p>
                        <w:p w:rsidR="00B020C7" w:rsidRDefault="00B020C7">
                          <w:pPr>
                            <w:spacing w:line="720" w:lineRule="exact"/>
                            <w:rPr>
                              <w:b/>
                              <w:sz w:val="20"/>
                            </w:rPr>
                          </w:pPr>
                          <w:r>
                            <w:rPr>
                              <w:b/>
                              <w:sz w:val="20"/>
                            </w:rPr>
                            <w:t>E</w:t>
                          </w:r>
                        </w:p>
                        <w:p w:rsidR="00B020C7" w:rsidRDefault="00B020C7">
                          <w:pPr>
                            <w:pStyle w:val="Heading3"/>
                            <w:spacing w:line="720" w:lineRule="exact"/>
                            <w:jc w:val="left"/>
                          </w:pPr>
                          <w:r>
                            <w:t>F</w:t>
                          </w:r>
                        </w:p>
                        <w:p w:rsidR="00B020C7" w:rsidRDefault="00B020C7">
                          <w:pPr>
                            <w:spacing w:line="720" w:lineRule="exact"/>
                            <w:rPr>
                              <w:b/>
                              <w:sz w:val="20"/>
                            </w:rPr>
                          </w:pPr>
                          <w:r>
                            <w:rPr>
                              <w:b/>
                              <w:sz w:val="20"/>
                            </w:rPr>
                            <w:t>G</w:t>
                          </w:r>
                        </w:p>
                        <w:p w:rsidR="00B020C7" w:rsidRDefault="00B020C7">
                          <w:pPr>
                            <w:spacing w:line="720" w:lineRule="exact"/>
                            <w:rPr>
                              <w:b/>
                              <w:sz w:val="20"/>
                            </w:rPr>
                          </w:pPr>
                          <w:r>
                            <w:rPr>
                              <w:b/>
                              <w:sz w:val="20"/>
                            </w:rPr>
                            <w:t>H</w:t>
                          </w:r>
                        </w:p>
                        <w:p w:rsidR="00B020C7" w:rsidRDefault="00B020C7">
                          <w:pPr>
                            <w:spacing w:line="720" w:lineRule="exact"/>
                            <w:rPr>
                              <w:b/>
                              <w:sz w:val="20"/>
                            </w:rPr>
                          </w:pPr>
                          <w:r>
                            <w:rPr>
                              <w:b/>
                              <w:sz w:val="20"/>
                            </w:rPr>
                            <w:t>I</w:t>
                          </w:r>
                        </w:p>
                        <w:p w:rsidR="00B020C7" w:rsidRDefault="00B020C7">
                          <w:pPr>
                            <w:spacing w:line="720" w:lineRule="exact"/>
                            <w:rPr>
                              <w:b/>
                              <w:sz w:val="20"/>
                            </w:rPr>
                          </w:pPr>
                          <w:r>
                            <w:rPr>
                              <w:b/>
                              <w:sz w:val="20"/>
                            </w:rPr>
                            <w:t>J</w:t>
                          </w:r>
                        </w:p>
                        <w:p w:rsidR="00B020C7" w:rsidRDefault="00B020C7">
                          <w:pPr>
                            <w:spacing w:line="720" w:lineRule="exact"/>
                            <w:rPr>
                              <w:b/>
                              <w:sz w:val="20"/>
                            </w:rPr>
                          </w:pPr>
                          <w:r>
                            <w:rPr>
                              <w:b/>
                              <w:sz w:val="20"/>
                            </w:rPr>
                            <w:t>K</w:t>
                          </w:r>
                        </w:p>
                        <w:p w:rsidR="00B020C7" w:rsidRDefault="00B020C7">
                          <w:pPr>
                            <w:spacing w:line="720" w:lineRule="exact"/>
                            <w:rPr>
                              <w:b/>
                              <w:sz w:val="20"/>
                            </w:rPr>
                          </w:pPr>
                          <w:r>
                            <w:rPr>
                              <w:b/>
                              <w:sz w:val="20"/>
                            </w:rPr>
                            <w:t>L</w:t>
                          </w:r>
                        </w:p>
                        <w:p w:rsidR="00B020C7" w:rsidRDefault="00B020C7">
                          <w:pPr>
                            <w:spacing w:line="720" w:lineRule="exact"/>
                            <w:rPr>
                              <w:b/>
                              <w:sz w:val="20"/>
                            </w:rPr>
                          </w:pPr>
                          <w:r>
                            <w:rPr>
                              <w:b/>
                              <w:sz w:val="20"/>
                            </w:rPr>
                            <w:t>M</w:t>
                          </w:r>
                        </w:p>
                        <w:p w:rsidR="00B020C7" w:rsidRDefault="00B020C7">
                          <w:pPr>
                            <w:spacing w:line="720" w:lineRule="exact"/>
                            <w:rPr>
                              <w:b/>
                              <w:sz w:val="20"/>
                            </w:rPr>
                          </w:pPr>
                          <w:r>
                            <w:rPr>
                              <w:b/>
                              <w:sz w:val="20"/>
                            </w:rPr>
                            <w:t>N</w:t>
                          </w:r>
                        </w:p>
                        <w:p w:rsidR="00B020C7" w:rsidRDefault="00B020C7">
                          <w:pPr>
                            <w:spacing w:line="720" w:lineRule="exact"/>
                            <w:rPr>
                              <w:b/>
                              <w:sz w:val="20"/>
                            </w:rPr>
                          </w:pPr>
                          <w:r>
                            <w:rPr>
                              <w:b/>
                              <w:sz w:val="20"/>
                            </w:rPr>
                            <w:t>O</w:t>
                          </w:r>
                        </w:p>
                        <w:p w:rsidR="00B020C7" w:rsidRDefault="00B020C7">
                          <w:pPr>
                            <w:spacing w:line="720" w:lineRule="exact"/>
                            <w:rPr>
                              <w:b/>
                              <w:sz w:val="20"/>
                            </w:rPr>
                          </w:pPr>
                          <w:r>
                            <w:rPr>
                              <w:b/>
                              <w:sz w:val="20"/>
                            </w:rPr>
                            <w:t>P</w:t>
                          </w:r>
                        </w:p>
                        <w:p w:rsidR="00B020C7" w:rsidRDefault="00B020C7">
                          <w:pPr>
                            <w:spacing w:line="720" w:lineRule="exact"/>
                            <w:rPr>
                              <w:b/>
                              <w:sz w:val="20"/>
                            </w:rPr>
                          </w:pPr>
                          <w:r>
                            <w:rPr>
                              <w:b/>
                              <w:sz w:val="20"/>
                            </w:rPr>
                            <w:t>Q</w:t>
                          </w:r>
                        </w:p>
                        <w:p w:rsidR="00B020C7" w:rsidRDefault="00B020C7">
                          <w:pPr>
                            <w:spacing w:line="720" w:lineRule="exact"/>
                            <w:rPr>
                              <w:b/>
                              <w:sz w:val="20"/>
                            </w:rPr>
                          </w:pPr>
                          <w:r>
                            <w:rPr>
                              <w:b/>
                              <w:sz w:val="20"/>
                            </w:rPr>
                            <w:t>R</w:t>
                          </w:r>
                        </w:p>
                        <w:p w:rsidR="00B020C7" w:rsidRDefault="00B020C7">
                          <w:pPr>
                            <w:spacing w:line="720" w:lineRule="exact"/>
                            <w:rPr>
                              <w:b/>
                              <w:sz w:val="20"/>
                            </w:rPr>
                          </w:pPr>
                          <w:r>
                            <w:rPr>
                              <w:b/>
                              <w:sz w:val="20"/>
                            </w:rPr>
                            <w:t>S</w:t>
                          </w:r>
                        </w:p>
                        <w:p w:rsidR="00B020C7" w:rsidRDefault="00B020C7">
                          <w:pPr>
                            <w:spacing w:line="720" w:lineRule="exact"/>
                            <w:rPr>
                              <w:b/>
                              <w:sz w:val="20"/>
                            </w:rPr>
                          </w:pPr>
                          <w:r>
                            <w:rPr>
                              <w:b/>
                              <w:sz w:val="20"/>
                            </w:rPr>
                            <w:t>T</w:t>
                          </w:r>
                        </w:p>
                        <w:p w:rsidR="00B020C7" w:rsidRDefault="00B020C7">
                          <w:pPr>
                            <w:spacing w:line="720" w:lineRule="exact"/>
                            <w:rPr>
                              <w:b/>
                              <w:sz w:val="20"/>
                            </w:rPr>
                          </w:pPr>
                          <w:r>
                            <w:rPr>
                              <w:b/>
                              <w:sz w:val="20"/>
                            </w:rPr>
                            <w:t>U</w:t>
                          </w:r>
                        </w:p>
                        <w:p w:rsidR="00B020C7" w:rsidRDefault="00B020C7">
                          <w:pPr>
                            <w:spacing w:line="720" w:lineRule="exact"/>
                            <w:rPr>
                              <w:b/>
                              <w:sz w:val="20"/>
                            </w:rPr>
                          </w:pPr>
                          <w:r>
                            <w:rPr>
                              <w:b/>
                              <w:sz w:val="20"/>
                            </w:rPr>
                            <w:t>V</w:t>
                          </w:r>
                        </w:p>
                        <w:p w:rsidR="00B020C7" w:rsidRDefault="00B020C7">
                          <w:pPr>
                            <w:spacing w:line="720" w:lineRule="exact"/>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0" style="position:absolute;margin-left:-56.7pt;margin-top:5.65pt;width:27pt;height:79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" o:allowincell="f" stroked="f" strokeweight="0">
              <v:textbox inset="0,0,0,0">
                <w:txbxContent>
                  <w:p w:rsidR="00B020C7" w:rsidRDefault="00B020C7">
                    <w:pPr>
                      <w:spacing w:line="720" w:lineRule="exact"/>
                      <w:rPr>
                        <w:b/>
                        <w:sz w:val="20"/>
                      </w:rPr>
                    </w:pPr>
                    <w:r>
                      <w:rPr>
                        <w:b/>
                        <w:sz w:val="20"/>
                      </w:rPr>
                      <w:t>A</w:t>
                    </w:r>
                  </w:p>
                  <w:p w:rsidR="00B020C7" w:rsidRDefault="00B020C7">
                    <w:pPr>
                      <w:spacing w:line="720" w:lineRule="exact"/>
                      <w:rPr>
                        <w:b/>
                        <w:sz w:val="20"/>
                      </w:rPr>
                    </w:pPr>
                    <w:r>
                      <w:rPr>
                        <w:b/>
                        <w:sz w:val="20"/>
                      </w:rPr>
                      <w:t>B</w:t>
                    </w:r>
                  </w:p>
                  <w:p w:rsidR="00B020C7" w:rsidRDefault="00B020C7">
                    <w:pPr>
                      <w:spacing w:line="720" w:lineRule="exact"/>
                      <w:rPr>
                        <w:b/>
                        <w:sz w:val="20"/>
                      </w:rPr>
                    </w:pPr>
                    <w:r>
                      <w:rPr>
                        <w:b/>
                        <w:sz w:val="20"/>
                      </w:rPr>
                      <w:t>C</w:t>
                    </w:r>
                  </w:p>
                  <w:p w:rsidR="00B020C7" w:rsidRDefault="00B020C7">
                    <w:pPr>
                      <w:spacing w:line="720" w:lineRule="exact"/>
                      <w:rPr>
                        <w:b/>
                        <w:sz w:val="20"/>
                      </w:rPr>
                    </w:pPr>
                    <w:r>
                      <w:rPr>
                        <w:b/>
                        <w:sz w:val="20"/>
                      </w:rPr>
                      <w:t>D</w:t>
                    </w:r>
                  </w:p>
                  <w:p w:rsidR="00B020C7" w:rsidRDefault="00B020C7">
                    <w:pPr>
                      <w:spacing w:line="720" w:lineRule="exact"/>
                      <w:rPr>
                        <w:b/>
                        <w:sz w:val="20"/>
                      </w:rPr>
                    </w:pPr>
                    <w:r>
                      <w:rPr>
                        <w:b/>
                        <w:sz w:val="20"/>
                      </w:rPr>
                      <w:t>E</w:t>
                    </w:r>
                  </w:p>
                  <w:p w:rsidR="00B020C7" w:rsidRDefault="00B020C7">
                    <w:pPr>
                      <w:pStyle w:val="Heading3"/>
                      <w:spacing w:line="720" w:lineRule="exact"/>
                      <w:jc w:val="left"/>
                    </w:pPr>
                    <w:r>
                      <w:t>F</w:t>
                    </w:r>
                  </w:p>
                  <w:p w:rsidR="00B020C7" w:rsidRDefault="00B020C7">
                    <w:pPr>
                      <w:spacing w:line="720" w:lineRule="exact"/>
                      <w:rPr>
                        <w:b/>
                        <w:sz w:val="20"/>
                      </w:rPr>
                    </w:pPr>
                    <w:r>
                      <w:rPr>
                        <w:b/>
                        <w:sz w:val="20"/>
                      </w:rPr>
                      <w:t>G</w:t>
                    </w:r>
                  </w:p>
                  <w:p w:rsidR="00B020C7" w:rsidRDefault="00B020C7">
                    <w:pPr>
                      <w:spacing w:line="720" w:lineRule="exact"/>
                      <w:rPr>
                        <w:b/>
                        <w:sz w:val="20"/>
                      </w:rPr>
                    </w:pPr>
                    <w:r>
                      <w:rPr>
                        <w:b/>
                        <w:sz w:val="20"/>
                      </w:rPr>
                      <w:t>H</w:t>
                    </w:r>
                  </w:p>
                  <w:p w:rsidR="00B020C7" w:rsidRDefault="00B020C7">
                    <w:pPr>
                      <w:spacing w:line="720" w:lineRule="exact"/>
                      <w:rPr>
                        <w:b/>
                        <w:sz w:val="20"/>
                      </w:rPr>
                    </w:pPr>
                    <w:r>
                      <w:rPr>
                        <w:b/>
                        <w:sz w:val="20"/>
                      </w:rPr>
                      <w:t>I</w:t>
                    </w:r>
                  </w:p>
                  <w:p w:rsidR="00B020C7" w:rsidRDefault="00B020C7">
                    <w:pPr>
                      <w:spacing w:line="720" w:lineRule="exact"/>
                      <w:rPr>
                        <w:b/>
                        <w:sz w:val="20"/>
                      </w:rPr>
                    </w:pPr>
                    <w:r>
                      <w:rPr>
                        <w:b/>
                        <w:sz w:val="20"/>
                      </w:rPr>
                      <w:t>J</w:t>
                    </w:r>
                  </w:p>
                  <w:p w:rsidR="00B020C7" w:rsidRDefault="00B020C7">
                    <w:pPr>
                      <w:spacing w:line="720" w:lineRule="exact"/>
                      <w:rPr>
                        <w:b/>
                        <w:sz w:val="20"/>
                      </w:rPr>
                    </w:pPr>
                    <w:r>
                      <w:rPr>
                        <w:b/>
                        <w:sz w:val="20"/>
                      </w:rPr>
                      <w:t>K</w:t>
                    </w:r>
                  </w:p>
                  <w:p w:rsidR="00B020C7" w:rsidRDefault="00B020C7">
                    <w:pPr>
                      <w:spacing w:line="720" w:lineRule="exact"/>
                      <w:rPr>
                        <w:b/>
                        <w:sz w:val="20"/>
                      </w:rPr>
                    </w:pPr>
                    <w:r>
                      <w:rPr>
                        <w:b/>
                        <w:sz w:val="20"/>
                      </w:rPr>
                      <w:t>L</w:t>
                    </w:r>
                  </w:p>
                  <w:p w:rsidR="00B020C7" w:rsidRDefault="00B020C7">
                    <w:pPr>
                      <w:spacing w:line="720" w:lineRule="exact"/>
                      <w:rPr>
                        <w:b/>
                        <w:sz w:val="20"/>
                      </w:rPr>
                    </w:pPr>
                    <w:r>
                      <w:rPr>
                        <w:b/>
                        <w:sz w:val="20"/>
                      </w:rPr>
                      <w:t>M</w:t>
                    </w:r>
                  </w:p>
                  <w:p w:rsidR="00B020C7" w:rsidRDefault="00B020C7">
                    <w:pPr>
                      <w:spacing w:line="720" w:lineRule="exact"/>
                      <w:rPr>
                        <w:b/>
                        <w:sz w:val="20"/>
                      </w:rPr>
                    </w:pPr>
                    <w:r>
                      <w:rPr>
                        <w:b/>
                        <w:sz w:val="20"/>
                      </w:rPr>
                      <w:t>N</w:t>
                    </w:r>
                  </w:p>
                  <w:p w:rsidR="00B020C7" w:rsidRDefault="00B020C7">
                    <w:pPr>
                      <w:spacing w:line="720" w:lineRule="exact"/>
                      <w:rPr>
                        <w:b/>
                        <w:sz w:val="20"/>
                      </w:rPr>
                    </w:pPr>
                    <w:r>
                      <w:rPr>
                        <w:b/>
                        <w:sz w:val="20"/>
                      </w:rPr>
                      <w:t>O</w:t>
                    </w:r>
                  </w:p>
                  <w:p w:rsidR="00B020C7" w:rsidRDefault="00B020C7">
                    <w:pPr>
                      <w:spacing w:line="720" w:lineRule="exact"/>
                      <w:rPr>
                        <w:b/>
                        <w:sz w:val="20"/>
                      </w:rPr>
                    </w:pPr>
                    <w:r>
                      <w:rPr>
                        <w:b/>
                        <w:sz w:val="20"/>
                      </w:rPr>
                      <w:t>P</w:t>
                    </w:r>
                  </w:p>
                  <w:p w:rsidR="00B020C7" w:rsidRDefault="00B020C7">
                    <w:pPr>
                      <w:spacing w:line="720" w:lineRule="exact"/>
                      <w:rPr>
                        <w:b/>
                        <w:sz w:val="20"/>
                      </w:rPr>
                    </w:pPr>
                    <w:r>
                      <w:rPr>
                        <w:b/>
                        <w:sz w:val="20"/>
                      </w:rPr>
                      <w:t>Q</w:t>
                    </w:r>
                  </w:p>
                  <w:p w:rsidR="00B020C7" w:rsidRDefault="00B020C7">
                    <w:pPr>
                      <w:spacing w:line="720" w:lineRule="exact"/>
                      <w:rPr>
                        <w:b/>
                        <w:sz w:val="20"/>
                      </w:rPr>
                    </w:pPr>
                    <w:r>
                      <w:rPr>
                        <w:b/>
                        <w:sz w:val="20"/>
                      </w:rPr>
                      <w:t>R</w:t>
                    </w:r>
                  </w:p>
                  <w:p w:rsidR="00B020C7" w:rsidRDefault="00B020C7">
                    <w:pPr>
                      <w:spacing w:line="720" w:lineRule="exact"/>
                      <w:rPr>
                        <w:b/>
                        <w:sz w:val="20"/>
                      </w:rPr>
                    </w:pPr>
                    <w:r>
                      <w:rPr>
                        <w:b/>
                        <w:sz w:val="20"/>
                      </w:rPr>
                      <w:t>S</w:t>
                    </w:r>
                  </w:p>
                  <w:p w:rsidR="00B020C7" w:rsidRDefault="00B020C7">
                    <w:pPr>
                      <w:spacing w:line="720" w:lineRule="exact"/>
                      <w:rPr>
                        <w:b/>
                        <w:sz w:val="20"/>
                      </w:rPr>
                    </w:pPr>
                    <w:r>
                      <w:rPr>
                        <w:b/>
                        <w:sz w:val="20"/>
                      </w:rPr>
                      <w:t>T</w:t>
                    </w:r>
                  </w:p>
                  <w:p w:rsidR="00B020C7" w:rsidRDefault="00B020C7">
                    <w:pPr>
                      <w:spacing w:line="720" w:lineRule="exact"/>
                      <w:rPr>
                        <w:b/>
                        <w:sz w:val="20"/>
                      </w:rPr>
                    </w:pPr>
                    <w:r>
                      <w:rPr>
                        <w:b/>
                        <w:sz w:val="20"/>
                      </w:rPr>
                      <w:t>U</w:t>
                    </w:r>
                  </w:p>
                  <w:p w:rsidR="00B020C7" w:rsidRDefault="00B020C7">
                    <w:pPr>
                      <w:spacing w:line="720" w:lineRule="exact"/>
                      <w:rPr>
                        <w:b/>
                        <w:sz w:val="20"/>
                      </w:rPr>
                    </w:pPr>
                    <w:r>
                      <w:rPr>
                        <w:b/>
                        <w:sz w:val="20"/>
                      </w:rPr>
                      <w:t>V</w:t>
                    </w:r>
                  </w:p>
                  <w:p w:rsidR="00B020C7" w:rsidRDefault="00B020C7">
                    <w:pPr>
                      <w:spacing w:line="720" w:lineRule="exact"/>
                      <w:rPr>
                        <w:b/>
                        <w:sz w:val="20"/>
                      </w:rP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85B57"/>
    <w:multiLevelType w:val="hybridMultilevel"/>
    <w:tmpl w:val="8EE6B9EE"/>
    <w:lvl w:ilvl="0" w:tplc="826A9CEC">
      <w:numFmt w:val="bullet"/>
      <w:lvlText w:val="-"/>
      <w:lvlJc w:val="left"/>
      <w:pPr>
        <w:ind w:left="720" w:hanging="360"/>
      </w:pPr>
      <w:rPr>
        <w:rFonts w:ascii="Times New Roman" w:eastAsia="宋体"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5524F7"/>
    <w:multiLevelType w:val="hybridMultilevel"/>
    <w:tmpl w:val="05608022"/>
    <w:lvl w:ilvl="0" w:tplc="A12EF218">
      <w:numFmt w:val="bullet"/>
      <w:lvlText w:val="-"/>
      <w:lvlJc w:val="left"/>
      <w:pPr>
        <w:ind w:left="1800" w:hanging="360"/>
      </w:pPr>
      <w:rPr>
        <w:rFonts w:ascii="Times New Roman" w:eastAsia="宋体"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21C36FF3"/>
    <w:multiLevelType w:val="hybridMultilevel"/>
    <w:tmpl w:val="39DE7D6A"/>
    <w:lvl w:ilvl="0" w:tplc="E2A8C244">
      <w:start w:val="6"/>
      <w:numFmt w:val="decimal"/>
      <w:lvlRestart w:val="0"/>
      <w:lvlText w:val="1.           "/>
      <w:lvlJc w:val="left"/>
      <w:pPr>
        <w:tabs>
          <w:tab w:val="num" w:pos="2160"/>
        </w:tabs>
        <w:ind w:left="1080"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62469AB"/>
    <w:multiLevelType w:val="singleLevel"/>
    <w:tmpl w:val="A77A8EE4"/>
    <w:lvl w:ilvl="0">
      <w:start w:val="1"/>
      <w:numFmt w:val="decimal"/>
      <w:pStyle w:val="para"/>
      <w:lvlText w:val="%1."/>
      <w:lvlJc w:val="left"/>
      <w:pPr>
        <w:tabs>
          <w:tab w:val="num" w:pos="360"/>
        </w:tabs>
        <w:ind w:left="0" w:firstLine="0"/>
      </w:pPr>
      <w:rPr>
        <w:rFonts w:hint="eastAsia"/>
      </w:rPr>
    </w:lvl>
  </w:abstractNum>
  <w:abstractNum w:abstractNumId="4" w15:restartNumberingAfterBreak="0">
    <w:nsid w:val="2D303A41"/>
    <w:multiLevelType w:val="hybridMultilevel"/>
    <w:tmpl w:val="69DEF228"/>
    <w:lvl w:ilvl="0" w:tplc="8102B3FC">
      <w:numFmt w:val="bullet"/>
      <w:lvlText w:val="-"/>
      <w:lvlJc w:val="left"/>
      <w:pPr>
        <w:ind w:left="720" w:hanging="360"/>
      </w:pPr>
      <w:rPr>
        <w:rFonts w:ascii="Times New Roman" w:eastAsia="宋体"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2176C7"/>
    <w:multiLevelType w:val="hybridMultilevel"/>
    <w:tmpl w:val="A7BE9686"/>
    <w:lvl w:ilvl="0" w:tplc="EE26C22C">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6" w15:restartNumberingAfterBreak="0">
    <w:nsid w:val="2E6A56F6"/>
    <w:multiLevelType w:val="hybridMultilevel"/>
    <w:tmpl w:val="E12018F8"/>
    <w:lvl w:ilvl="0" w:tplc="4CA00DEA">
      <w:start w:val="1"/>
      <w:numFmt w:val="decimal"/>
      <w:lvlRestart w:val="0"/>
      <w:lvlText w:val="%1.      "/>
      <w:lvlJc w:val="left"/>
      <w:pPr>
        <w:tabs>
          <w:tab w:val="num" w:pos="720"/>
        </w:tabs>
        <w:ind w:left="0"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FB364CA"/>
    <w:multiLevelType w:val="hybridMultilevel"/>
    <w:tmpl w:val="D0C6EF48"/>
    <w:lvl w:ilvl="0" w:tplc="EF58C5FC">
      <w:numFmt w:val="bullet"/>
      <w:lvlText w:val="-"/>
      <w:lvlJc w:val="left"/>
      <w:pPr>
        <w:ind w:left="4545" w:hanging="360"/>
      </w:pPr>
      <w:rPr>
        <w:rFonts w:ascii="Times New Roman" w:eastAsia="宋体" w:hAnsi="Times New Roman" w:cs="Times New Roman" w:hint="default"/>
      </w:rPr>
    </w:lvl>
    <w:lvl w:ilvl="1" w:tplc="08090003" w:tentative="1">
      <w:start w:val="1"/>
      <w:numFmt w:val="bullet"/>
      <w:lvlText w:val="o"/>
      <w:lvlJc w:val="left"/>
      <w:pPr>
        <w:ind w:left="5265" w:hanging="360"/>
      </w:pPr>
      <w:rPr>
        <w:rFonts w:ascii="Courier New" w:hAnsi="Courier New" w:cs="Courier New" w:hint="default"/>
      </w:rPr>
    </w:lvl>
    <w:lvl w:ilvl="2" w:tplc="08090005" w:tentative="1">
      <w:start w:val="1"/>
      <w:numFmt w:val="bullet"/>
      <w:lvlText w:val=""/>
      <w:lvlJc w:val="left"/>
      <w:pPr>
        <w:ind w:left="5985" w:hanging="360"/>
      </w:pPr>
      <w:rPr>
        <w:rFonts w:ascii="Wingdings" w:hAnsi="Wingdings" w:hint="default"/>
      </w:rPr>
    </w:lvl>
    <w:lvl w:ilvl="3" w:tplc="08090001" w:tentative="1">
      <w:start w:val="1"/>
      <w:numFmt w:val="bullet"/>
      <w:lvlText w:val=""/>
      <w:lvlJc w:val="left"/>
      <w:pPr>
        <w:ind w:left="6705" w:hanging="360"/>
      </w:pPr>
      <w:rPr>
        <w:rFonts w:ascii="Symbol" w:hAnsi="Symbol" w:hint="default"/>
      </w:rPr>
    </w:lvl>
    <w:lvl w:ilvl="4" w:tplc="08090003" w:tentative="1">
      <w:start w:val="1"/>
      <w:numFmt w:val="bullet"/>
      <w:lvlText w:val="o"/>
      <w:lvlJc w:val="left"/>
      <w:pPr>
        <w:ind w:left="7425" w:hanging="360"/>
      </w:pPr>
      <w:rPr>
        <w:rFonts w:ascii="Courier New" w:hAnsi="Courier New" w:cs="Courier New" w:hint="default"/>
      </w:rPr>
    </w:lvl>
    <w:lvl w:ilvl="5" w:tplc="08090005" w:tentative="1">
      <w:start w:val="1"/>
      <w:numFmt w:val="bullet"/>
      <w:lvlText w:val=""/>
      <w:lvlJc w:val="left"/>
      <w:pPr>
        <w:ind w:left="8145" w:hanging="360"/>
      </w:pPr>
      <w:rPr>
        <w:rFonts w:ascii="Wingdings" w:hAnsi="Wingdings" w:hint="default"/>
      </w:rPr>
    </w:lvl>
    <w:lvl w:ilvl="6" w:tplc="08090001" w:tentative="1">
      <w:start w:val="1"/>
      <w:numFmt w:val="bullet"/>
      <w:lvlText w:val=""/>
      <w:lvlJc w:val="left"/>
      <w:pPr>
        <w:ind w:left="8865" w:hanging="360"/>
      </w:pPr>
      <w:rPr>
        <w:rFonts w:ascii="Symbol" w:hAnsi="Symbol" w:hint="default"/>
      </w:rPr>
    </w:lvl>
    <w:lvl w:ilvl="7" w:tplc="08090003" w:tentative="1">
      <w:start w:val="1"/>
      <w:numFmt w:val="bullet"/>
      <w:lvlText w:val="o"/>
      <w:lvlJc w:val="left"/>
      <w:pPr>
        <w:ind w:left="9585" w:hanging="360"/>
      </w:pPr>
      <w:rPr>
        <w:rFonts w:ascii="Courier New" w:hAnsi="Courier New" w:cs="Courier New" w:hint="default"/>
      </w:rPr>
    </w:lvl>
    <w:lvl w:ilvl="8" w:tplc="08090005" w:tentative="1">
      <w:start w:val="1"/>
      <w:numFmt w:val="bullet"/>
      <w:lvlText w:val=""/>
      <w:lvlJc w:val="left"/>
      <w:pPr>
        <w:ind w:left="10305" w:hanging="360"/>
      </w:pPr>
      <w:rPr>
        <w:rFonts w:ascii="Wingdings" w:hAnsi="Wingdings" w:hint="default"/>
      </w:rPr>
    </w:lvl>
  </w:abstractNum>
  <w:abstractNum w:abstractNumId="8" w15:restartNumberingAfterBreak="0">
    <w:nsid w:val="50843016"/>
    <w:multiLevelType w:val="multilevel"/>
    <w:tmpl w:val="DA28EB8C"/>
    <w:lvl w:ilvl="0">
      <w:start w:val="1"/>
      <w:numFmt w:val="decimal"/>
      <w:pStyle w:val="bw"/>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59990664"/>
    <w:multiLevelType w:val="multilevel"/>
    <w:tmpl w:val="CB9E0B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64D626BE"/>
    <w:multiLevelType w:val="hybridMultilevel"/>
    <w:tmpl w:val="602C06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E13E0C"/>
    <w:multiLevelType w:val="hybridMultilevel"/>
    <w:tmpl w:val="064AC0A8"/>
    <w:lvl w:ilvl="0" w:tplc="E56ABFF0">
      <w:start w:val="2"/>
      <w:numFmt w:val="decimal"/>
      <w:lvlText w:val="(%1)"/>
      <w:lvlJc w:val="left"/>
      <w:pPr>
        <w:tabs>
          <w:tab w:val="num" w:pos="1440"/>
        </w:tabs>
        <w:ind w:left="1440" w:hanging="72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6D522A80"/>
    <w:multiLevelType w:val="hybridMultilevel"/>
    <w:tmpl w:val="41A6EAB4"/>
    <w:lvl w:ilvl="0" w:tplc="C37C00CC">
      <w:start w:val="1"/>
      <w:numFmt w:val="decimal"/>
      <w:pStyle w:val="Final"/>
      <w:lvlText w:val="%1."/>
      <w:lvlJc w:val="left"/>
      <w:pPr>
        <w:ind w:left="360" w:hanging="360"/>
      </w:pPr>
      <w:rPr>
        <w:rFonts w:hint="default"/>
        <w:b w:val="0"/>
        <w:i w:val="0"/>
        <w:sz w:val="28"/>
        <w:lang w:val="en-G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DE0040B"/>
    <w:multiLevelType w:val="hybridMultilevel"/>
    <w:tmpl w:val="7E1EE136"/>
    <w:lvl w:ilvl="0" w:tplc="23200706">
      <w:start w:val="1"/>
      <w:numFmt w:val="decimal"/>
      <w:lvlRestart w:val="0"/>
      <w:lvlText w:val="%1.      "/>
      <w:lvlJc w:val="left"/>
      <w:pPr>
        <w:tabs>
          <w:tab w:val="num" w:pos="720"/>
        </w:tabs>
        <w:ind w:left="0"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34B4697"/>
    <w:multiLevelType w:val="hybridMultilevel"/>
    <w:tmpl w:val="C6A8D6A6"/>
    <w:lvl w:ilvl="0" w:tplc="1EB2FAB6">
      <w:numFmt w:val="bullet"/>
      <w:lvlText w:val="-"/>
      <w:lvlJc w:val="left"/>
      <w:pPr>
        <w:ind w:left="720" w:hanging="360"/>
      </w:pPr>
      <w:rPr>
        <w:rFonts w:ascii="Times New Roman" w:eastAsia="宋体"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3"/>
  </w:num>
  <w:num w:numId="4">
    <w:abstractNumId w:val="12"/>
  </w:num>
  <w:num w:numId="5">
    <w:abstractNumId w:val="14"/>
  </w:num>
  <w:num w:numId="6">
    <w:abstractNumId w:val="1"/>
  </w:num>
  <w:num w:numId="7">
    <w:abstractNumId w:val="0"/>
  </w:num>
  <w:num w:numId="8">
    <w:abstractNumId w:val="7"/>
  </w:num>
  <w:num w:numId="9">
    <w:abstractNumId w:val="4"/>
  </w:num>
  <w:num w:numId="10">
    <w:abstractNumId w:val="3"/>
  </w:num>
  <w:num w:numId="11">
    <w:abstractNumId w:val="11"/>
  </w:num>
  <w:num w:numId="12">
    <w:abstractNumId w:val="9"/>
  </w:num>
  <w:num w:numId="13">
    <w:abstractNumId w:val="5"/>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12"/>
    <w:lvlOverride w:ilvl="0">
      <w:startOverride w:val="1"/>
    </w:lvlOverride>
  </w:num>
  <w:num w:numId="29">
    <w:abstractNumId w:val="10"/>
  </w:num>
  <w:num w:numId="30">
    <w:abstractNumId w:val="12"/>
  </w:num>
  <w:num w:numId="31">
    <w:abstractNumId w:val="12"/>
  </w:num>
  <w:num w:numId="32">
    <w:abstractNumId w:val="12"/>
  </w:num>
  <w:num w:numId="33">
    <w:abstractNumId w:val="12"/>
  </w:num>
  <w:num w:numId="34">
    <w:abstractNumId w:val="12"/>
  </w:num>
  <w:num w:numId="35">
    <w:abstractNumId w:val="12"/>
  </w:num>
  <w:num w:numId="36">
    <w:abstractNumId w:val="12"/>
  </w:num>
  <w:num w:numId="37">
    <w:abstractNumId w:val="12"/>
  </w:num>
  <w:num w:numId="38">
    <w:abstractNumId w:val="12"/>
  </w:num>
  <w:num w:numId="39">
    <w:abstractNumId w:val="12"/>
  </w:num>
  <w:num w:numId="40">
    <w:abstractNumId w:val="12"/>
  </w:num>
  <w:num w:numId="41">
    <w:abstractNumId w:val="12"/>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57"/>
  <w:drawingGridVerticalSpacing w:val="39"/>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F8C"/>
    <w:rsid w:val="00000DE2"/>
    <w:rsid w:val="00001F79"/>
    <w:rsid w:val="000021A0"/>
    <w:rsid w:val="0000307C"/>
    <w:rsid w:val="000033C8"/>
    <w:rsid w:val="00007448"/>
    <w:rsid w:val="00011101"/>
    <w:rsid w:val="00012400"/>
    <w:rsid w:val="00013A3C"/>
    <w:rsid w:val="00015231"/>
    <w:rsid w:val="00015C06"/>
    <w:rsid w:val="000176F4"/>
    <w:rsid w:val="000208C8"/>
    <w:rsid w:val="000211A8"/>
    <w:rsid w:val="00021D49"/>
    <w:rsid w:val="0002329D"/>
    <w:rsid w:val="0002405C"/>
    <w:rsid w:val="00026128"/>
    <w:rsid w:val="0002703D"/>
    <w:rsid w:val="00027242"/>
    <w:rsid w:val="00033E29"/>
    <w:rsid w:val="000346CE"/>
    <w:rsid w:val="000365FC"/>
    <w:rsid w:val="00036AE3"/>
    <w:rsid w:val="00037DDC"/>
    <w:rsid w:val="00040A25"/>
    <w:rsid w:val="00043D2B"/>
    <w:rsid w:val="00044596"/>
    <w:rsid w:val="00045E83"/>
    <w:rsid w:val="0004623A"/>
    <w:rsid w:val="00046497"/>
    <w:rsid w:val="00047516"/>
    <w:rsid w:val="00052044"/>
    <w:rsid w:val="00052A78"/>
    <w:rsid w:val="00054202"/>
    <w:rsid w:val="00054683"/>
    <w:rsid w:val="00054942"/>
    <w:rsid w:val="000563A8"/>
    <w:rsid w:val="000614D4"/>
    <w:rsid w:val="000638ED"/>
    <w:rsid w:val="0006521F"/>
    <w:rsid w:val="00065DC3"/>
    <w:rsid w:val="0007181C"/>
    <w:rsid w:val="00074797"/>
    <w:rsid w:val="00075B80"/>
    <w:rsid w:val="00076DF4"/>
    <w:rsid w:val="00082801"/>
    <w:rsid w:val="00090772"/>
    <w:rsid w:val="00091496"/>
    <w:rsid w:val="00091998"/>
    <w:rsid w:val="000929D8"/>
    <w:rsid w:val="000969BF"/>
    <w:rsid w:val="000973D8"/>
    <w:rsid w:val="000A04F4"/>
    <w:rsid w:val="000A3BA8"/>
    <w:rsid w:val="000A3D6B"/>
    <w:rsid w:val="000A599D"/>
    <w:rsid w:val="000A61B1"/>
    <w:rsid w:val="000A6F24"/>
    <w:rsid w:val="000B0732"/>
    <w:rsid w:val="000B0982"/>
    <w:rsid w:val="000B1795"/>
    <w:rsid w:val="000B475B"/>
    <w:rsid w:val="000B5613"/>
    <w:rsid w:val="000B5780"/>
    <w:rsid w:val="000C06FD"/>
    <w:rsid w:val="000C19CE"/>
    <w:rsid w:val="000C1CF0"/>
    <w:rsid w:val="000C3128"/>
    <w:rsid w:val="000C44A7"/>
    <w:rsid w:val="000C59BC"/>
    <w:rsid w:val="000C5F23"/>
    <w:rsid w:val="000C7AE7"/>
    <w:rsid w:val="000D04FB"/>
    <w:rsid w:val="000D1BA1"/>
    <w:rsid w:val="000D5473"/>
    <w:rsid w:val="000E064F"/>
    <w:rsid w:val="000E0ED1"/>
    <w:rsid w:val="000E1AE2"/>
    <w:rsid w:val="000E2CD3"/>
    <w:rsid w:val="000E3DE9"/>
    <w:rsid w:val="000E7AB2"/>
    <w:rsid w:val="000F0D35"/>
    <w:rsid w:val="000F0EB0"/>
    <w:rsid w:val="000F16BC"/>
    <w:rsid w:val="000F1A5A"/>
    <w:rsid w:val="000F56C2"/>
    <w:rsid w:val="000F5B37"/>
    <w:rsid w:val="000F611C"/>
    <w:rsid w:val="000F7567"/>
    <w:rsid w:val="000F7784"/>
    <w:rsid w:val="000F7F68"/>
    <w:rsid w:val="0010119C"/>
    <w:rsid w:val="00106996"/>
    <w:rsid w:val="001077C0"/>
    <w:rsid w:val="001116B1"/>
    <w:rsid w:val="001120F6"/>
    <w:rsid w:val="00112997"/>
    <w:rsid w:val="00113E79"/>
    <w:rsid w:val="00115B1D"/>
    <w:rsid w:val="001175E2"/>
    <w:rsid w:val="00117D48"/>
    <w:rsid w:val="00120800"/>
    <w:rsid w:val="00120890"/>
    <w:rsid w:val="001210E1"/>
    <w:rsid w:val="00122D0B"/>
    <w:rsid w:val="00124F54"/>
    <w:rsid w:val="0013026A"/>
    <w:rsid w:val="00133B6D"/>
    <w:rsid w:val="00134273"/>
    <w:rsid w:val="00134E1B"/>
    <w:rsid w:val="00136117"/>
    <w:rsid w:val="00141BD0"/>
    <w:rsid w:val="00141EB6"/>
    <w:rsid w:val="00144288"/>
    <w:rsid w:val="00144A8D"/>
    <w:rsid w:val="001450FA"/>
    <w:rsid w:val="00151114"/>
    <w:rsid w:val="001517B3"/>
    <w:rsid w:val="00152A27"/>
    <w:rsid w:val="0015303F"/>
    <w:rsid w:val="001539BA"/>
    <w:rsid w:val="00154708"/>
    <w:rsid w:val="00154A57"/>
    <w:rsid w:val="00154B88"/>
    <w:rsid w:val="00157E92"/>
    <w:rsid w:val="001615BF"/>
    <w:rsid w:val="001617D8"/>
    <w:rsid w:val="001619B4"/>
    <w:rsid w:val="00161A4A"/>
    <w:rsid w:val="00161FD2"/>
    <w:rsid w:val="00162462"/>
    <w:rsid w:val="0016456F"/>
    <w:rsid w:val="00171B0C"/>
    <w:rsid w:val="00171B65"/>
    <w:rsid w:val="00175CA3"/>
    <w:rsid w:val="001762AA"/>
    <w:rsid w:val="001819DC"/>
    <w:rsid w:val="001824F0"/>
    <w:rsid w:val="00182F5B"/>
    <w:rsid w:val="00182FB0"/>
    <w:rsid w:val="00184D94"/>
    <w:rsid w:val="0019006F"/>
    <w:rsid w:val="00192598"/>
    <w:rsid w:val="001926B1"/>
    <w:rsid w:val="00193B20"/>
    <w:rsid w:val="0019554D"/>
    <w:rsid w:val="001A1D08"/>
    <w:rsid w:val="001A1EB0"/>
    <w:rsid w:val="001A6172"/>
    <w:rsid w:val="001A639E"/>
    <w:rsid w:val="001B2041"/>
    <w:rsid w:val="001B274B"/>
    <w:rsid w:val="001B381F"/>
    <w:rsid w:val="001B47C1"/>
    <w:rsid w:val="001B57A9"/>
    <w:rsid w:val="001B5802"/>
    <w:rsid w:val="001C2171"/>
    <w:rsid w:val="001C4860"/>
    <w:rsid w:val="001C7521"/>
    <w:rsid w:val="001C791D"/>
    <w:rsid w:val="001C7928"/>
    <w:rsid w:val="001D247B"/>
    <w:rsid w:val="001D381A"/>
    <w:rsid w:val="001D3EAF"/>
    <w:rsid w:val="001D407E"/>
    <w:rsid w:val="001D520C"/>
    <w:rsid w:val="001D58FD"/>
    <w:rsid w:val="001E0648"/>
    <w:rsid w:val="001E29DB"/>
    <w:rsid w:val="001E30AC"/>
    <w:rsid w:val="001E388F"/>
    <w:rsid w:val="001E6991"/>
    <w:rsid w:val="001F038A"/>
    <w:rsid w:val="001F0913"/>
    <w:rsid w:val="001F1DE4"/>
    <w:rsid w:val="001F26EA"/>
    <w:rsid w:val="001F414B"/>
    <w:rsid w:val="001F61A2"/>
    <w:rsid w:val="001F6D7C"/>
    <w:rsid w:val="002003D3"/>
    <w:rsid w:val="0020150A"/>
    <w:rsid w:val="00201861"/>
    <w:rsid w:val="0020295F"/>
    <w:rsid w:val="002038E5"/>
    <w:rsid w:val="00205C81"/>
    <w:rsid w:val="00206433"/>
    <w:rsid w:val="00207CE6"/>
    <w:rsid w:val="00210561"/>
    <w:rsid w:val="0021246D"/>
    <w:rsid w:val="002207C0"/>
    <w:rsid w:val="0022491B"/>
    <w:rsid w:val="002249F7"/>
    <w:rsid w:val="00224A87"/>
    <w:rsid w:val="00225A78"/>
    <w:rsid w:val="00230F99"/>
    <w:rsid w:val="002317DB"/>
    <w:rsid w:val="00232A12"/>
    <w:rsid w:val="00233583"/>
    <w:rsid w:val="00234816"/>
    <w:rsid w:val="00236528"/>
    <w:rsid w:val="00237BB0"/>
    <w:rsid w:val="00240FC7"/>
    <w:rsid w:val="00247CDF"/>
    <w:rsid w:val="00247F69"/>
    <w:rsid w:val="0025061D"/>
    <w:rsid w:val="0025110E"/>
    <w:rsid w:val="0025218E"/>
    <w:rsid w:val="00255349"/>
    <w:rsid w:val="0025587F"/>
    <w:rsid w:val="00255C22"/>
    <w:rsid w:val="00256A94"/>
    <w:rsid w:val="00257B7C"/>
    <w:rsid w:val="0026012A"/>
    <w:rsid w:val="002609F1"/>
    <w:rsid w:val="00266B7C"/>
    <w:rsid w:val="00267066"/>
    <w:rsid w:val="00270D21"/>
    <w:rsid w:val="002711EE"/>
    <w:rsid w:val="002714CF"/>
    <w:rsid w:val="002735CA"/>
    <w:rsid w:val="00273DA9"/>
    <w:rsid w:val="00281305"/>
    <w:rsid w:val="00281D4D"/>
    <w:rsid w:val="00281E84"/>
    <w:rsid w:val="00282914"/>
    <w:rsid w:val="00284AED"/>
    <w:rsid w:val="002906B8"/>
    <w:rsid w:val="00291C4D"/>
    <w:rsid w:val="00292C9B"/>
    <w:rsid w:val="002938FA"/>
    <w:rsid w:val="0029430A"/>
    <w:rsid w:val="00294714"/>
    <w:rsid w:val="00297299"/>
    <w:rsid w:val="002A2616"/>
    <w:rsid w:val="002A2870"/>
    <w:rsid w:val="002A28B2"/>
    <w:rsid w:val="002A3868"/>
    <w:rsid w:val="002A3981"/>
    <w:rsid w:val="002A3E57"/>
    <w:rsid w:val="002A41A9"/>
    <w:rsid w:val="002A46B9"/>
    <w:rsid w:val="002A4BD9"/>
    <w:rsid w:val="002A57DC"/>
    <w:rsid w:val="002A5C2C"/>
    <w:rsid w:val="002A6A36"/>
    <w:rsid w:val="002A6E5C"/>
    <w:rsid w:val="002A7C31"/>
    <w:rsid w:val="002B04CB"/>
    <w:rsid w:val="002B1327"/>
    <w:rsid w:val="002B2C5E"/>
    <w:rsid w:val="002B2E76"/>
    <w:rsid w:val="002B757F"/>
    <w:rsid w:val="002C11B0"/>
    <w:rsid w:val="002C1D2E"/>
    <w:rsid w:val="002C481B"/>
    <w:rsid w:val="002C7EF8"/>
    <w:rsid w:val="002D1657"/>
    <w:rsid w:val="002D3D0D"/>
    <w:rsid w:val="002D3EC4"/>
    <w:rsid w:val="002D4C72"/>
    <w:rsid w:val="002D505A"/>
    <w:rsid w:val="002D57DD"/>
    <w:rsid w:val="002D6714"/>
    <w:rsid w:val="002D6971"/>
    <w:rsid w:val="002E0EB1"/>
    <w:rsid w:val="002E3836"/>
    <w:rsid w:val="002E3FDD"/>
    <w:rsid w:val="002F1740"/>
    <w:rsid w:val="002F2FD2"/>
    <w:rsid w:val="003014FA"/>
    <w:rsid w:val="00302562"/>
    <w:rsid w:val="003040EA"/>
    <w:rsid w:val="00304B54"/>
    <w:rsid w:val="0031208F"/>
    <w:rsid w:val="00312B7C"/>
    <w:rsid w:val="0031417E"/>
    <w:rsid w:val="00320618"/>
    <w:rsid w:val="003215DB"/>
    <w:rsid w:val="00321ADC"/>
    <w:rsid w:val="003241F9"/>
    <w:rsid w:val="00327EDE"/>
    <w:rsid w:val="003320B7"/>
    <w:rsid w:val="00333CF0"/>
    <w:rsid w:val="00333CFE"/>
    <w:rsid w:val="003355FE"/>
    <w:rsid w:val="0033574D"/>
    <w:rsid w:val="00335DC3"/>
    <w:rsid w:val="00336B4E"/>
    <w:rsid w:val="00340BFF"/>
    <w:rsid w:val="00340C91"/>
    <w:rsid w:val="00341D40"/>
    <w:rsid w:val="00341EF6"/>
    <w:rsid w:val="00342BD5"/>
    <w:rsid w:val="003434FE"/>
    <w:rsid w:val="0034515A"/>
    <w:rsid w:val="00347024"/>
    <w:rsid w:val="00350081"/>
    <w:rsid w:val="0035125E"/>
    <w:rsid w:val="00351B31"/>
    <w:rsid w:val="003522D9"/>
    <w:rsid w:val="003533BD"/>
    <w:rsid w:val="003534B0"/>
    <w:rsid w:val="0035382F"/>
    <w:rsid w:val="00353F1D"/>
    <w:rsid w:val="003542F7"/>
    <w:rsid w:val="003569A6"/>
    <w:rsid w:val="00357771"/>
    <w:rsid w:val="00357E8D"/>
    <w:rsid w:val="00360765"/>
    <w:rsid w:val="00361D30"/>
    <w:rsid w:val="00365E74"/>
    <w:rsid w:val="003708C8"/>
    <w:rsid w:val="00370DA0"/>
    <w:rsid w:val="00370F6B"/>
    <w:rsid w:val="00372CBA"/>
    <w:rsid w:val="00380419"/>
    <w:rsid w:val="003811F0"/>
    <w:rsid w:val="00384F47"/>
    <w:rsid w:val="00390429"/>
    <w:rsid w:val="003907E6"/>
    <w:rsid w:val="00391577"/>
    <w:rsid w:val="00391632"/>
    <w:rsid w:val="00394B87"/>
    <w:rsid w:val="003969B8"/>
    <w:rsid w:val="00397C3A"/>
    <w:rsid w:val="003A012C"/>
    <w:rsid w:val="003A02B9"/>
    <w:rsid w:val="003A0D65"/>
    <w:rsid w:val="003A0E86"/>
    <w:rsid w:val="003A0F44"/>
    <w:rsid w:val="003A11D1"/>
    <w:rsid w:val="003A1F91"/>
    <w:rsid w:val="003A232C"/>
    <w:rsid w:val="003A4508"/>
    <w:rsid w:val="003A54B7"/>
    <w:rsid w:val="003A6407"/>
    <w:rsid w:val="003A721E"/>
    <w:rsid w:val="003B1254"/>
    <w:rsid w:val="003B2DB2"/>
    <w:rsid w:val="003B4C36"/>
    <w:rsid w:val="003B50E7"/>
    <w:rsid w:val="003C07C2"/>
    <w:rsid w:val="003C160A"/>
    <w:rsid w:val="003C1F93"/>
    <w:rsid w:val="003C2AE3"/>
    <w:rsid w:val="003C355F"/>
    <w:rsid w:val="003C43A5"/>
    <w:rsid w:val="003C4A8B"/>
    <w:rsid w:val="003C68DC"/>
    <w:rsid w:val="003C7095"/>
    <w:rsid w:val="003C7457"/>
    <w:rsid w:val="003C7B98"/>
    <w:rsid w:val="003D1305"/>
    <w:rsid w:val="003D4A40"/>
    <w:rsid w:val="003D5D66"/>
    <w:rsid w:val="003D7F0A"/>
    <w:rsid w:val="003E186E"/>
    <w:rsid w:val="003E4D92"/>
    <w:rsid w:val="003E59F8"/>
    <w:rsid w:val="003E7934"/>
    <w:rsid w:val="003E79F8"/>
    <w:rsid w:val="003E7FA0"/>
    <w:rsid w:val="003F116D"/>
    <w:rsid w:val="003F27BF"/>
    <w:rsid w:val="003F28A4"/>
    <w:rsid w:val="003F2F47"/>
    <w:rsid w:val="003F413A"/>
    <w:rsid w:val="003F4935"/>
    <w:rsid w:val="003F4F8A"/>
    <w:rsid w:val="003F5CEB"/>
    <w:rsid w:val="00400D9C"/>
    <w:rsid w:val="00402681"/>
    <w:rsid w:val="004039FA"/>
    <w:rsid w:val="00405103"/>
    <w:rsid w:val="004052CE"/>
    <w:rsid w:val="004072F1"/>
    <w:rsid w:val="0040794A"/>
    <w:rsid w:val="00410931"/>
    <w:rsid w:val="004114EA"/>
    <w:rsid w:val="004115DE"/>
    <w:rsid w:val="0041216E"/>
    <w:rsid w:val="004122BE"/>
    <w:rsid w:val="00412AF4"/>
    <w:rsid w:val="004158ED"/>
    <w:rsid w:val="0041679A"/>
    <w:rsid w:val="00420A33"/>
    <w:rsid w:val="00421D45"/>
    <w:rsid w:val="0042239F"/>
    <w:rsid w:val="0042315D"/>
    <w:rsid w:val="00424FC2"/>
    <w:rsid w:val="00425091"/>
    <w:rsid w:val="00426787"/>
    <w:rsid w:val="00431F69"/>
    <w:rsid w:val="00432D8D"/>
    <w:rsid w:val="00434FEE"/>
    <w:rsid w:val="00435AAD"/>
    <w:rsid w:val="00437302"/>
    <w:rsid w:val="0044039E"/>
    <w:rsid w:val="00441234"/>
    <w:rsid w:val="004429D9"/>
    <w:rsid w:val="00444843"/>
    <w:rsid w:val="004450A0"/>
    <w:rsid w:val="004451C2"/>
    <w:rsid w:val="00446E7C"/>
    <w:rsid w:val="00447948"/>
    <w:rsid w:val="0045095C"/>
    <w:rsid w:val="00450DF4"/>
    <w:rsid w:val="0045266D"/>
    <w:rsid w:val="004528A2"/>
    <w:rsid w:val="004529AA"/>
    <w:rsid w:val="00452EC0"/>
    <w:rsid w:val="00453549"/>
    <w:rsid w:val="0045590F"/>
    <w:rsid w:val="00455FA6"/>
    <w:rsid w:val="00460CD6"/>
    <w:rsid w:val="00462BA1"/>
    <w:rsid w:val="00463D46"/>
    <w:rsid w:val="004646F9"/>
    <w:rsid w:val="00466E79"/>
    <w:rsid w:val="004706FC"/>
    <w:rsid w:val="004715B7"/>
    <w:rsid w:val="004736A5"/>
    <w:rsid w:val="0047442D"/>
    <w:rsid w:val="00474F98"/>
    <w:rsid w:val="004801A1"/>
    <w:rsid w:val="00480EFF"/>
    <w:rsid w:val="00481225"/>
    <w:rsid w:val="00485909"/>
    <w:rsid w:val="00486116"/>
    <w:rsid w:val="004872CF"/>
    <w:rsid w:val="00487D84"/>
    <w:rsid w:val="004918FC"/>
    <w:rsid w:val="00492BD3"/>
    <w:rsid w:val="00495558"/>
    <w:rsid w:val="00495A04"/>
    <w:rsid w:val="00496767"/>
    <w:rsid w:val="004A2255"/>
    <w:rsid w:val="004A5278"/>
    <w:rsid w:val="004A5E13"/>
    <w:rsid w:val="004A7755"/>
    <w:rsid w:val="004B177C"/>
    <w:rsid w:val="004B1E11"/>
    <w:rsid w:val="004B38F4"/>
    <w:rsid w:val="004B4EE3"/>
    <w:rsid w:val="004B7FCA"/>
    <w:rsid w:val="004C2FFE"/>
    <w:rsid w:val="004C577C"/>
    <w:rsid w:val="004C732D"/>
    <w:rsid w:val="004C7D48"/>
    <w:rsid w:val="004D03EB"/>
    <w:rsid w:val="004D048B"/>
    <w:rsid w:val="004D1A49"/>
    <w:rsid w:val="004D23CC"/>
    <w:rsid w:val="004D478F"/>
    <w:rsid w:val="004D5C5F"/>
    <w:rsid w:val="004E0F03"/>
    <w:rsid w:val="004E0FF3"/>
    <w:rsid w:val="004E2E98"/>
    <w:rsid w:val="004E3ABF"/>
    <w:rsid w:val="004E5196"/>
    <w:rsid w:val="004F0989"/>
    <w:rsid w:val="004F11BF"/>
    <w:rsid w:val="004F6035"/>
    <w:rsid w:val="004F620E"/>
    <w:rsid w:val="00500232"/>
    <w:rsid w:val="00501A99"/>
    <w:rsid w:val="00502906"/>
    <w:rsid w:val="00503458"/>
    <w:rsid w:val="005048EE"/>
    <w:rsid w:val="00504A03"/>
    <w:rsid w:val="00506316"/>
    <w:rsid w:val="0051251A"/>
    <w:rsid w:val="0051265C"/>
    <w:rsid w:val="00513E8D"/>
    <w:rsid w:val="00514582"/>
    <w:rsid w:val="00515A47"/>
    <w:rsid w:val="00515E04"/>
    <w:rsid w:val="005163C3"/>
    <w:rsid w:val="00521A09"/>
    <w:rsid w:val="005237D8"/>
    <w:rsid w:val="0052502E"/>
    <w:rsid w:val="005251C3"/>
    <w:rsid w:val="00527994"/>
    <w:rsid w:val="005344DF"/>
    <w:rsid w:val="00535F5B"/>
    <w:rsid w:val="00536059"/>
    <w:rsid w:val="005378E4"/>
    <w:rsid w:val="00537FCD"/>
    <w:rsid w:val="00541818"/>
    <w:rsid w:val="005420F1"/>
    <w:rsid w:val="00543298"/>
    <w:rsid w:val="005435A9"/>
    <w:rsid w:val="005440B7"/>
    <w:rsid w:val="005453EE"/>
    <w:rsid w:val="00545977"/>
    <w:rsid w:val="00547043"/>
    <w:rsid w:val="005472D4"/>
    <w:rsid w:val="005504BA"/>
    <w:rsid w:val="005506C4"/>
    <w:rsid w:val="0055099E"/>
    <w:rsid w:val="0055251D"/>
    <w:rsid w:val="00553454"/>
    <w:rsid w:val="00557C15"/>
    <w:rsid w:val="005607E7"/>
    <w:rsid w:val="00565099"/>
    <w:rsid w:val="00567F9E"/>
    <w:rsid w:val="00570058"/>
    <w:rsid w:val="00570134"/>
    <w:rsid w:val="00570CF0"/>
    <w:rsid w:val="005719C6"/>
    <w:rsid w:val="00575605"/>
    <w:rsid w:val="00575C45"/>
    <w:rsid w:val="00575FF2"/>
    <w:rsid w:val="00575FF5"/>
    <w:rsid w:val="005760EB"/>
    <w:rsid w:val="0057691B"/>
    <w:rsid w:val="00584434"/>
    <w:rsid w:val="00585A52"/>
    <w:rsid w:val="00590287"/>
    <w:rsid w:val="005910C0"/>
    <w:rsid w:val="00592431"/>
    <w:rsid w:val="00592C52"/>
    <w:rsid w:val="00592CE4"/>
    <w:rsid w:val="00593010"/>
    <w:rsid w:val="00594EB5"/>
    <w:rsid w:val="00595B9F"/>
    <w:rsid w:val="00597A95"/>
    <w:rsid w:val="005A2589"/>
    <w:rsid w:val="005A3C5C"/>
    <w:rsid w:val="005A4257"/>
    <w:rsid w:val="005A462C"/>
    <w:rsid w:val="005A56B5"/>
    <w:rsid w:val="005A7F62"/>
    <w:rsid w:val="005B1E73"/>
    <w:rsid w:val="005B2770"/>
    <w:rsid w:val="005B4123"/>
    <w:rsid w:val="005B5290"/>
    <w:rsid w:val="005B5CF5"/>
    <w:rsid w:val="005B6230"/>
    <w:rsid w:val="005B787B"/>
    <w:rsid w:val="005C01A9"/>
    <w:rsid w:val="005C123A"/>
    <w:rsid w:val="005C12FA"/>
    <w:rsid w:val="005C21FB"/>
    <w:rsid w:val="005C3A9F"/>
    <w:rsid w:val="005C4FF3"/>
    <w:rsid w:val="005C7AFF"/>
    <w:rsid w:val="005C7C0E"/>
    <w:rsid w:val="005D2206"/>
    <w:rsid w:val="005D2D1E"/>
    <w:rsid w:val="005D2D3D"/>
    <w:rsid w:val="005D3F3E"/>
    <w:rsid w:val="005D60B5"/>
    <w:rsid w:val="005D698E"/>
    <w:rsid w:val="005E1777"/>
    <w:rsid w:val="005E1CFA"/>
    <w:rsid w:val="005E5CD1"/>
    <w:rsid w:val="005E6AFF"/>
    <w:rsid w:val="005F3010"/>
    <w:rsid w:val="005F4595"/>
    <w:rsid w:val="005F67E5"/>
    <w:rsid w:val="005F7187"/>
    <w:rsid w:val="005F734F"/>
    <w:rsid w:val="0060022E"/>
    <w:rsid w:val="00603D45"/>
    <w:rsid w:val="006047C0"/>
    <w:rsid w:val="00604ED6"/>
    <w:rsid w:val="00605F57"/>
    <w:rsid w:val="00611AD4"/>
    <w:rsid w:val="0061456F"/>
    <w:rsid w:val="006155F4"/>
    <w:rsid w:val="006159ED"/>
    <w:rsid w:val="006204BD"/>
    <w:rsid w:val="006225EA"/>
    <w:rsid w:val="0062386A"/>
    <w:rsid w:val="0062569B"/>
    <w:rsid w:val="00627A12"/>
    <w:rsid w:val="00627F2F"/>
    <w:rsid w:val="00630070"/>
    <w:rsid w:val="0063085E"/>
    <w:rsid w:val="006310A1"/>
    <w:rsid w:val="00631138"/>
    <w:rsid w:val="00631465"/>
    <w:rsid w:val="006351D9"/>
    <w:rsid w:val="00640BBC"/>
    <w:rsid w:val="006415F4"/>
    <w:rsid w:val="00642141"/>
    <w:rsid w:val="006432ED"/>
    <w:rsid w:val="006447C0"/>
    <w:rsid w:val="006458D9"/>
    <w:rsid w:val="00651119"/>
    <w:rsid w:val="006522EB"/>
    <w:rsid w:val="00655E8A"/>
    <w:rsid w:val="00662BE4"/>
    <w:rsid w:val="0066304B"/>
    <w:rsid w:val="00663644"/>
    <w:rsid w:val="00663959"/>
    <w:rsid w:val="00665B6B"/>
    <w:rsid w:val="006679A8"/>
    <w:rsid w:val="00667DD6"/>
    <w:rsid w:val="00670B10"/>
    <w:rsid w:val="00670C3B"/>
    <w:rsid w:val="00670CF7"/>
    <w:rsid w:val="00673362"/>
    <w:rsid w:val="006746B5"/>
    <w:rsid w:val="006758C9"/>
    <w:rsid w:val="006765F5"/>
    <w:rsid w:val="00677B92"/>
    <w:rsid w:val="00677BFB"/>
    <w:rsid w:val="00677FCC"/>
    <w:rsid w:val="006800B7"/>
    <w:rsid w:val="00680B86"/>
    <w:rsid w:val="006811B9"/>
    <w:rsid w:val="0068145A"/>
    <w:rsid w:val="00684CE4"/>
    <w:rsid w:val="006850E4"/>
    <w:rsid w:val="006855E0"/>
    <w:rsid w:val="00686BE5"/>
    <w:rsid w:val="00690189"/>
    <w:rsid w:val="00690E24"/>
    <w:rsid w:val="006943A8"/>
    <w:rsid w:val="00694EBF"/>
    <w:rsid w:val="00695460"/>
    <w:rsid w:val="00695DF4"/>
    <w:rsid w:val="00695FE6"/>
    <w:rsid w:val="0069623A"/>
    <w:rsid w:val="00696888"/>
    <w:rsid w:val="00696985"/>
    <w:rsid w:val="00697DB6"/>
    <w:rsid w:val="006A1441"/>
    <w:rsid w:val="006A367A"/>
    <w:rsid w:val="006A4372"/>
    <w:rsid w:val="006A5C25"/>
    <w:rsid w:val="006A6E83"/>
    <w:rsid w:val="006B0F09"/>
    <w:rsid w:val="006B2E71"/>
    <w:rsid w:val="006B33DF"/>
    <w:rsid w:val="006B567A"/>
    <w:rsid w:val="006C19B3"/>
    <w:rsid w:val="006C1FF1"/>
    <w:rsid w:val="006C3398"/>
    <w:rsid w:val="006C4A8B"/>
    <w:rsid w:val="006C4F49"/>
    <w:rsid w:val="006C5346"/>
    <w:rsid w:val="006C5405"/>
    <w:rsid w:val="006C6628"/>
    <w:rsid w:val="006C71D4"/>
    <w:rsid w:val="006C7E5A"/>
    <w:rsid w:val="006D0A42"/>
    <w:rsid w:val="006D2632"/>
    <w:rsid w:val="006D2C96"/>
    <w:rsid w:val="006D2F6B"/>
    <w:rsid w:val="006D5958"/>
    <w:rsid w:val="006D688C"/>
    <w:rsid w:val="006E0B46"/>
    <w:rsid w:val="006E36EA"/>
    <w:rsid w:val="006F01A8"/>
    <w:rsid w:val="006F0FC0"/>
    <w:rsid w:val="006F1FC4"/>
    <w:rsid w:val="006F24E1"/>
    <w:rsid w:val="006F5AEE"/>
    <w:rsid w:val="006F7A82"/>
    <w:rsid w:val="006F7A8F"/>
    <w:rsid w:val="00702B97"/>
    <w:rsid w:val="0070313B"/>
    <w:rsid w:val="007037BE"/>
    <w:rsid w:val="00710E0E"/>
    <w:rsid w:val="00714190"/>
    <w:rsid w:val="00715363"/>
    <w:rsid w:val="00715385"/>
    <w:rsid w:val="007155BE"/>
    <w:rsid w:val="00716F41"/>
    <w:rsid w:val="00717576"/>
    <w:rsid w:val="00717CB9"/>
    <w:rsid w:val="00721A17"/>
    <w:rsid w:val="00722453"/>
    <w:rsid w:val="007227EA"/>
    <w:rsid w:val="007229CF"/>
    <w:rsid w:val="007259D5"/>
    <w:rsid w:val="00726C82"/>
    <w:rsid w:val="00727C2C"/>
    <w:rsid w:val="00730297"/>
    <w:rsid w:val="00730DBA"/>
    <w:rsid w:val="00733DC7"/>
    <w:rsid w:val="007349A9"/>
    <w:rsid w:val="0073621B"/>
    <w:rsid w:val="0074478E"/>
    <w:rsid w:val="00744E85"/>
    <w:rsid w:val="00745C42"/>
    <w:rsid w:val="00747116"/>
    <w:rsid w:val="0074767A"/>
    <w:rsid w:val="00747E5E"/>
    <w:rsid w:val="00751DC4"/>
    <w:rsid w:val="00751F21"/>
    <w:rsid w:val="00754FDD"/>
    <w:rsid w:val="007565C6"/>
    <w:rsid w:val="007603AD"/>
    <w:rsid w:val="007608F1"/>
    <w:rsid w:val="007633F4"/>
    <w:rsid w:val="00765BAC"/>
    <w:rsid w:val="00765CBA"/>
    <w:rsid w:val="00766791"/>
    <w:rsid w:val="00767C92"/>
    <w:rsid w:val="00771959"/>
    <w:rsid w:val="00775057"/>
    <w:rsid w:val="00775198"/>
    <w:rsid w:val="0078099B"/>
    <w:rsid w:val="0078337C"/>
    <w:rsid w:val="0078347D"/>
    <w:rsid w:val="00783701"/>
    <w:rsid w:val="00783CD9"/>
    <w:rsid w:val="007864CD"/>
    <w:rsid w:val="0078735D"/>
    <w:rsid w:val="00787E68"/>
    <w:rsid w:val="007917E8"/>
    <w:rsid w:val="007920BC"/>
    <w:rsid w:val="00795677"/>
    <w:rsid w:val="007A0F77"/>
    <w:rsid w:val="007A1DF1"/>
    <w:rsid w:val="007A2BDE"/>
    <w:rsid w:val="007A3285"/>
    <w:rsid w:val="007A52DC"/>
    <w:rsid w:val="007A5798"/>
    <w:rsid w:val="007A5B48"/>
    <w:rsid w:val="007A662C"/>
    <w:rsid w:val="007A69C9"/>
    <w:rsid w:val="007A7D1B"/>
    <w:rsid w:val="007B024F"/>
    <w:rsid w:val="007B133F"/>
    <w:rsid w:val="007B3DA1"/>
    <w:rsid w:val="007B4265"/>
    <w:rsid w:val="007C04DD"/>
    <w:rsid w:val="007C0766"/>
    <w:rsid w:val="007C22D2"/>
    <w:rsid w:val="007C5FA0"/>
    <w:rsid w:val="007C6108"/>
    <w:rsid w:val="007C6694"/>
    <w:rsid w:val="007C749A"/>
    <w:rsid w:val="007C7529"/>
    <w:rsid w:val="007D0EC7"/>
    <w:rsid w:val="007D1CEB"/>
    <w:rsid w:val="007D350C"/>
    <w:rsid w:val="007D39CF"/>
    <w:rsid w:val="007D3B2F"/>
    <w:rsid w:val="007D6DA8"/>
    <w:rsid w:val="007D7364"/>
    <w:rsid w:val="007D7C3E"/>
    <w:rsid w:val="007D7D50"/>
    <w:rsid w:val="007E0DF9"/>
    <w:rsid w:val="007E35D0"/>
    <w:rsid w:val="007E5D0F"/>
    <w:rsid w:val="007E5F07"/>
    <w:rsid w:val="007F07BC"/>
    <w:rsid w:val="007F1F73"/>
    <w:rsid w:val="007F22B0"/>
    <w:rsid w:val="007F3C3D"/>
    <w:rsid w:val="007F4703"/>
    <w:rsid w:val="007F604C"/>
    <w:rsid w:val="007F67B1"/>
    <w:rsid w:val="007F6CB5"/>
    <w:rsid w:val="007F6CCB"/>
    <w:rsid w:val="0080152A"/>
    <w:rsid w:val="00802479"/>
    <w:rsid w:val="00806587"/>
    <w:rsid w:val="008101CF"/>
    <w:rsid w:val="00811EB5"/>
    <w:rsid w:val="00814867"/>
    <w:rsid w:val="0081574C"/>
    <w:rsid w:val="008158BC"/>
    <w:rsid w:val="00816BE3"/>
    <w:rsid w:val="00817367"/>
    <w:rsid w:val="00817CAA"/>
    <w:rsid w:val="00822D74"/>
    <w:rsid w:val="0083161F"/>
    <w:rsid w:val="00831921"/>
    <w:rsid w:val="00831F86"/>
    <w:rsid w:val="00833CBB"/>
    <w:rsid w:val="00833FC5"/>
    <w:rsid w:val="00835A1C"/>
    <w:rsid w:val="008365E3"/>
    <w:rsid w:val="00836DF6"/>
    <w:rsid w:val="0084115C"/>
    <w:rsid w:val="00842FBE"/>
    <w:rsid w:val="00843066"/>
    <w:rsid w:val="00843B04"/>
    <w:rsid w:val="00843DE3"/>
    <w:rsid w:val="008451B6"/>
    <w:rsid w:val="008459C0"/>
    <w:rsid w:val="00846E9F"/>
    <w:rsid w:val="008506E6"/>
    <w:rsid w:val="008509D7"/>
    <w:rsid w:val="00850A31"/>
    <w:rsid w:val="00853D33"/>
    <w:rsid w:val="008544DC"/>
    <w:rsid w:val="00855317"/>
    <w:rsid w:val="008576B9"/>
    <w:rsid w:val="00862A04"/>
    <w:rsid w:val="00862DFB"/>
    <w:rsid w:val="008630ED"/>
    <w:rsid w:val="00864864"/>
    <w:rsid w:val="00865FEA"/>
    <w:rsid w:val="0086729E"/>
    <w:rsid w:val="00870650"/>
    <w:rsid w:val="00870C8D"/>
    <w:rsid w:val="00871707"/>
    <w:rsid w:val="00871C60"/>
    <w:rsid w:val="00871E3C"/>
    <w:rsid w:val="008724ED"/>
    <w:rsid w:val="00873F5A"/>
    <w:rsid w:val="0087487F"/>
    <w:rsid w:val="00875E2C"/>
    <w:rsid w:val="00877619"/>
    <w:rsid w:val="00880618"/>
    <w:rsid w:val="00883121"/>
    <w:rsid w:val="0088379C"/>
    <w:rsid w:val="008856C8"/>
    <w:rsid w:val="0088647F"/>
    <w:rsid w:val="00886EDF"/>
    <w:rsid w:val="00890FCC"/>
    <w:rsid w:val="00891652"/>
    <w:rsid w:val="00892FD6"/>
    <w:rsid w:val="00895AE3"/>
    <w:rsid w:val="008A0942"/>
    <w:rsid w:val="008A3CD3"/>
    <w:rsid w:val="008A5A68"/>
    <w:rsid w:val="008A5C0E"/>
    <w:rsid w:val="008A6D37"/>
    <w:rsid w:val="008A7574"/>
    <w:rsid w:val="008B0B39"/>
    <w:rsid w:val="008B0D96"/>
    <w:rsid w:val="008B1089"/>
    <w:rsid w:val="008B2229"/>
    <w:rsid w:val="008B2518"/>
    <w:rsid w:val="008B2B00"/>
    <w:rsid w:val="008B2DF3"/>
    <w:rsid w:val="008B364A"/>
    <w:rsid w:val="008B39CC"/>
    <w:rsid w:val="008B4996"/>
    <w:rsid w:val="008B4E1B"/>
    <w:rsid w:val="008B54FA"/>
    <w:rsid w:val="008B6AFE"/>
    <w:rsid w:val="008B6C11"/>
    <w:rsid w:val="008B7B2A"/>
    <w:rsid w:val="008C1536"/>
    <w:rsid w:val="008C25EE"/>
    <w:rsid w:val="008C28BC"/>
    <w:rsid w:val="008C3855"/>
    <w:rsid w:val="008C3E21"/>
    <w:rsid w:val="008C499A"/>
    <w:rsid w:val="008C49EF"/>
    <w:rsid w:val="008D1B0A"/>
    <w:rsid w:val="008D5EF6"/>
    <w:rsid w:val="008D7BE5"/>
    <w:rsid w:val="008E3272"/>
    <w:rsid w:val="008E4D04"/>
    <w:rsid w:val="008E4D42"/>
    <w:rsid w:val="008E59F6"/>
    <w:rsid w:val="008E5CCE"/>
    <w:rsid w:val="008E77A3"/>
    <w:rsid w:val="008F08A1"/>
    <w:rsid w:val="008F12F7"/>
    <w:rsid w:val="008F1C07"/>
    <w:rsid w:val="008F263F"/>
    <w:rsid w:val="008F46C9"/>
    <w:rsid w:val="009015C7"/>
    <w:rsid w:val="009025C0"/>
    <w:rsid w:val="00903B8B"/>
    <w:rsid w:val="00904C8D"/>
    <w:rsid w:val="00905208"/>
    <w:rsid w:val="009062B5"/>
    <w:rsid w:val="00912AE9"/>
    <w:rsid w:val="009146D8"/>
    <w:rsid w:val="0091567B"/>
    <w:rsid w:val="00924DB5"/>
    <w:rsid w:val="00925A8E"/>
    <w:rsid w:val="00932F19"/>
    <w:rsid w:val="009335F5"/>
    <w:rsid w:val="00933EDF"/>
    <w:rsid w:val="00934D84"/>
    <w:rsid w:val="009359CF"/>
    <w:rsid w:val="00936059"/>
    <w:rsid w:val="00937A21"/>
    <w:rsid w:val="00940178"/>
    <w:rsid w:val="00940955"/>
    <w:rsid w:val="0094166C"/>
    <w:rsid w:val="00942903"/>
    <w:rsid w:val="00943E66"/>
    <w:rsid w:val="0094480C"/>
    <w:rsid w:val="0094642E"/>
    <w:rsid w:val="00947965"/>
    <w:rsid w:val="009537C8"/>
    <w:rsid w:val="009545D9"/>
    <w:rsid w:val="00954A4A"/>
    <w:rsid w:val="00954F6A"/>
    <w:rsid w:val="009550AD"/>
    <w:rsid w:val="00956081"/>
    <w:rsid w:val="00960589"/>
    <w:rsid w:val="00961FBA"/>
    <w:rsid w:val="00967B7D"/>
    <w:rsid w:val="00967F3A"/>
    <w:rsid w:val="0097035A"/>
    <w:rsid w:val="00974FE2"/>
    <w:rsid w:val="0098239D"/>
    <w:rsid w:val="00983CD0"/>
    <w:rsid w:val="0098427B"/>
    <w:rsid w:val="00987648"/>
    <w:rsid w:val="009925D9"/>
    <w:rsid w:val="009933A6"/>
    <w:rsid w:val="009945BD"/>
    <w:rsid w:val="00994AD1"/>
    <w:rsid w:val="00994CE9"/>
    <w:rsid w:val="009962DB"/>
    <w:rsid w:val="00997FBE"/>
    <w:rsid w:val="009A0729"/>
    <w:rsid w:val="009A5A7A"/>
    <w:rsid w:val="009A673C"/>
    <w:rsid w:val="009A6F9B"/>
    <w:rsid w:val="009B5075"/>
    <w:rsid w:val="009C001B"/>
    <w:rsid w:val="009C01C4"/>
    <w:rsid w:val="009C1B4A"/>
    <w:rsid w:val="009C2B33"/>
    <w:rsid w:val="009C3B2F"/>
    <w:rsid w:val="009C5FE2"/>
    <w:rsid w:val="009C7EF9"/>
    <w:rsid w:val="009D075E"/>
    <w:rsid w:val="009D4C20"/>
    <w:rsid w:val="009D563E"/>
    <w:rsid w:val="009D6CBF"/>
    <w:rsid w:val="009E2CB5"/>
    <w:rsid w:val="009E2D22"/>
    <w:rsid w:val="009E3952"/>
    <w:rsid w:val="009E42D8"/>
    <w:rsid w:val="009E4F6D"/>
    <w:rsid w:val="009F137C"/>
    <w:rsid w:val="009F18BB"/>
    <w:rsid w:val="009F366C"/>
    <w:rsid w:val="009F57BB"/>
    <w:rsid w:val="009F5F08"/>
    <w:rsid w:val="009F66BD"/>
    <w:rsid w:val="00A02509"/>
    <w:rsid w:val="00A0651C"/>
    <w:rsid w:val="00A068C4"/>
    <w:rsid w:val="00A1086D"/>
    <w:rsid w:val="00A12405"/>
    <w:rsid w:val="00A14E7E"/>
    <w:rsid w:val="00A1712D"/>
    <w:rsid w:val="00A20BD0"/>
    <w:rsid w:val="00A21651"/>
    <w:rsid w:val="00A219F5"/>
    <w:rsid w:val="00A226FC"/>
    <w:rsid w:val="00A22BA7"/>
    <w:rsid w:val="00A2344B"/>
    <w:rsid w:val="00A23800"/>
    <w:rsid w:val="00A2568F"/>
    <w:rsid w:val="00A26E0A"/>
    <w:rsid w:val="00A30BE7"/>
    <w:rsid w:val="00A322B0"/>
    <w:rsid w:val="00A34041"/>
    <w:rsid w:val="00A359BF"/>
    <w:rsid w:val="00A35A55"/>
    <w:rsid w:val="00A4122B"/>
    <w:rsid w:val="00A447A3"/>
    <w:rsid w:val="00A4508D"/>
    <w:rsid w:val="00A4516A"/>
    <w:rsid w:val="00A45F8F"/>
    <w:rsid w:val="00A463E5"/>
    <w:rsid w:val="00A47774"/>
    <w:rsid w:val="00A517A1"/>
    <w:rsid w:val="00A51A56"/>
    <w:rsid w:val="00A5228C"/>
    <w:rsid w:val="00A52556"/>
    <w:rsid w:val="00A528AF"/>
    <w:rsid w:val="00A52E86"/>
    <w:rsid w:val="00A540F3"/>
    <w:rsid w:val="00A614AC"/>
    <w:rsid w:val="00A66518"/>
    <w:rsid w:val="00A67F82"/>
    <w:rsid w:val="00A7034E"/>
    <w:rsid w:val="00A72122"/>
    <w:rsid w:val="00A72857"/>
    <w:rsid w:val="00A76507"/>
    <w:rsid w:val="00A77B83"/>
    <w:rsid w:val="00A816AA"/>
    <w:rsid w:val="00A83438"/>
    <w:rsid w:val="00A8386E"/>
    <w:rsid w:val="00A85022"/>
    <w:rsid w:val="00A85469"/>
    <w:rsid w:val="00A867F7"/>
    <w:rsid w:val="00A912BD"/>
    <w:rsid w:val="00A91F66"/>
    <w:rsid w:val="00A9333A"/>
    <w:rsid w:val="00A95361"/>
    <w:rsid w:val="00A96C03"/>
    <w:rsid w:val="00AA37ED"/>
    <w:rsid w:val="00AA3EEB"/>
    <w:rsid w:val="00AA41A9"/>
    <w:rsid w:val="00AA54B3"/>
    <w:rsid w:val="00AA7D09"/>
    <w:rsid w:val="00AB08AC"/>
    <w:rsid w:val="00AB161F"/>
    <w:rsid w:val="00AB1C1B"/>
    <w:rsid w:val="00AB2405"/>
    <w:rsid w:val="00AB24C1"/>
    <w:rsid w:val="00AB67F1"/>
    <w:rsid w:val="00AC6130"/>
    <w:rsid w:val="00AC6ADD"/>
    <w:rsid w:val="00AC7594"/>
    <w:rsid w:val="00AD00B1"/>
    <w:rsid w:val="00AD63AC"/>
    <w:rsid w:val="00AD74EA"/>
    <w:rsid w:val="00AD7BDA"/>
    <w:rsid w:val="00AE2084"/>
    <w:rsid w:val="00AE2DD8"/>
    <w:rsid w:val="00AE30CB"/>
    <w:rsid w:val="00AE58C0"/>
    <w:rsid w:val="00AE5F9A"/>
    <w:rsid w:val="00AE613F"/>
    <w:rsid w:val="00AE6C55"/>
    <w:rsid w:val="00AF0D5B"/>
    <w:rsid w:val="00AF2173"/>
    <w:rsid w:val="00AF38F0"/>
    <w:rsid w:val="00AF662B"/>
    <w:rsid w:val="00B00B91"/>
    <w:rsid w:val="00B00CD0"/>
    <w:rsid w:val="00B01158"/>
    <w:rsid w:val="00B014E8"/>
    <w:rsid w:val="00B020C7"/>
    <w:rsid w:val="00B05382"/>
    <w:rsid w:val="00B05EC8"/>
    <w:rsid w:val="00B101BD"/>
    <w:rsid w:val="00B10368"/>
    <w:rsid w:val="00B12B2A"/>
    <w:rsid w:val="00B135D9"/>
    <w:rsid w:val="00B1494A"/>
    <w:rsid w:val="00B159FE"/>
    <w:rsid w:val="00B15EEC"/>
    <w:rsid w:val="00B16AE7"/>
    <w:rsid w:val="00B21945"/>
    <w:rsid w:val="00B2254C"/>
    <w:rsid w:val="00B22F78"/>
    <w:rsid w:val="00B26DB3"/>
    <w:rsid w:val="00B27939"/>
    <w:rsid w:val="00B2795D"/>
    <w:rsid w:val="00B30282"/>
    <w:rsid w:val="00B33ECC"/>
    <w:rsid w:val="00B34A74"/>
    <w:rsid w:val="00B37601"/>
    <w:rsid w:val="00B412EA"/>
    <w:rsid w:val="00B4166F"/>
    <w:rsid w:val="00B41AB6"/>
    <w:rsid w:val="00B41CB0"/>
    <w:rsid w:val="00B41F17"/>
    <w:rsid w:val="00B42894"/>
    <w:rsid w:val="00B42CB5"/>
    <w:rsid w:val="00B43189"/>
    <w:rsid w:val="00B45C49"/>
    <w:rsid w:val="00B4716F"/>
    <w:rsid w:val="00B531B4"/>
    <w:rsid w:val="00B54624"/>
    <w:rsid w:val="00B553F1"/>
    <w:rsid w:val="00B6030F"/>
    <w:rsid w:val="00B60CA2"/>
    <w:rsid w:val="00B61572"/>
    <w:rsid w:val="00B616AE"/>
    <w:rsid w:val="00B622FA"/>
    <w:rsid w:val="00B626D7"/>
    <w:rsid w:val="00B642E0"/>
    <w:rsid w:val="00B6506B"/>
    <w:rsid w:val="00B6535A"/>
    <w:rsid w:val="00B67B11"/>
    <w:rsid w:val="00B70866"/>
    <w:rsid w:val="00B709D1"/>
    <w:rsid w:val="00B70E3E"/>
    <w:rsid w:val="00B715A9"/>
    <w:rsid w:val="00B72B7C"/>
    <w:rsid w:val="00B7656B"/>
    <w:rsid w:val="00B80425"/>
    <w:rsid w:val="00B80647"/>
    <w:rsid w:val="00B8270D"/>
    <w:rsid w:val="00B8523E"/>
    <w:rsid w:val="00B8556D"/>
    <w:rsid w:val="00B90CBC"/>
    <w:rsid w:val="00B90CE7"/>
    <w:rsid w:val="00B91E41"/>
    <w:rsid w:val="00B922DF"/>
    <w:rsid w:val="00B94062"/>
    <w:rsid w:val="00B947E7"/>
    <w:rsid w:val="00B96974"/>
    <w:rsid w:val="00B96F73"/>
    <w:rsid w:val="00BA0579"/>
    <w:rsid w:val="00BA244E"/>
    <w:rsid w:val="00BA3F80"/>
    <w:rsid w:val="00BA577C"/>
    <w:rsid w:val="00BA7875"/>
    <w:rsid w:val="00BA7C15"/>
    <w:rsid w:val="00BB2D65"/>
    <w:rsid w:val="00BB3CD3"/>
    <w:rsid w:val="00BB3E05"/>
    <w:rsid w:val="00BB495A"/>
    <w:rsid w:val="00BB531E"/>
    <w:rsid w:val="00BB5889"/>
    <w:rsid w:val="00BB6B79"/>
    <w:rsid w:val="00BC08DB"/>
    <w:rsid w:val="00BC26BE"/>
    <w:rsid w:val="00BC454C"/>
    <w:rsid w:val="00BC47A6"/>
    <w:rsid w:val="00BC5258"/>
    <w:rsid w:val="00BC56A5"/>
    <w:rsid w:val="00BC7F39"/>
    <w:rsid w:val="00BD0760"/>
    <w:rsid w:val="00BD2622"/>
    <w:rsid w:val="00BD6176"/>
    <w:rsid w:val="00BD720A"/>
    <w:rsid w:val="00BE00CC"/>
    <w:rsid w:val="00BE0FFC"/>
    <w:rsid w:val="00BE22AD"/>
    <w:rsid w:val="00BE4584"/>
    <w:rsid w:val="00BF092B"/>
    <w:rsid w:val="00BF0D7E"/>
    <w:rsid w:val="00BF1D61"/>
    <w:rsid w:val="00C004BB"/>
    <w:rsid w:val="00C00AFA"/>
    <w:rsid w:val="00C01284"/>
    <w:rsid w:val="00C01E4B"/>
    <w:rsid w:val="00C023A1"/>
    <w:rsid w:val="00C03DBD"/>
    <w:rsid w:val="00C06F79"/>
    <w:rsid w:val="00C10F0E"/>
    <w:rsid w:val="00C12A15"/>
    <w:rsid w:val="00C14233"/>
    <w:rsid w:val="00C1531D"/>
    <w:rsid w:val="00C1576F"/>
    <w:rsid w:val="00C16458"/>
    <w:rsid w:val="00C216B9"/>
    <w:rsid w:val="00C221E0"/>
    <w:rsid w:val="00C23965"/>
    <w:rsid w:val="00C24A04"/>
    <w:rsid w:val="00C27D23"/>
    <w:rsid w:val="00C300FA"/>
    <w:rsid w:val="00C30235"/>
    <w:rsid w:val="00C30D68"/>
    <w:rsid w:val="00C33145"/>
    <w:rsid w:val="00C33412"/>
    <w:rsid w:val="00C3342C"/>
    <w:rsid w:val="00C3423D"/>
    <w:rsid w:val="00C34C52"/>
    <w:rsid w:val="00C36E3E"/>
    <w:rsid w:val="00C37DE9"/>
    <w:rsid w:val="00C4041C"/>
    <w:rsid w:val="00C40696"/>
    <w:rsid w:val="00C41034"/>
    <w:rsid w:val="00C4128A"/>
    <w:rsid w:val="00C41D41"/>
    <w:rsid w:val="00C42B45"/>
    <w:rsid w:val="00C42BA7"/>
    <w:rsid w:val="00C4303C"/>
    <w:rsid w:val="00C4362D"/>
    <w:rsid w:val="00C43E1E"/>
    <w:rsid w:val="00C449E7"/>
    <w:rsid w:val="00C46F85"/>
    <w:rsid w:val="00C50D70"/>
    <w:rsid w:val="00C551C9"/>
    <w:rsid w:val="00C55288"/>
    <w:rsid w:val="00C57C22"/>
    <w:rsid w:val="00C6076B"/>
    <w:rsid w:val="00C61A58"/>
    <w:rsid w:val="00C62A43"/>
    <w:rsid w:val="00C62AB5"/>
    <w:rsid w:val="00C6599B"/>
    <w:rsid w:val="00C71C9C"/>
    <w:rsid w:val="00C72672"/>
    <w:rsid w:val="00C740CA"/>
    <w:rsid w:val="00C75ED2"/>
    <w:rsid w:val="00C76C1D"/>
    <w:rsid w:val="00C77515"/>
    <w:rsid w:val="00C847DC"/>
    <w:rsid w:val="00C849E6"/>
    <w:rsid w:val="00C8673C"/>
    <w:rsid w:val="00C87FBE"/>
    <w:rsid w:val="00C90C7A"/>
    <w:rsid w:val="00C92243"/>
    <w:rsid w:val="00C93778"/>
    <w:rsid w:val="00C9545D"/>
    <w:rsid w:val="00C960AD"/>
    <w:rsid w:val="00CA0818"/>
    <w:rsid w:val="00CA1BFC"/>
    <w:rsid w:val="00CA614C"/>
    <w:rsid w:val="00CA6DC4"/>
    <w:rsid w:val="00CA701D"/>
    <w:rsid w:val="00CA7AFE"/>
    <w:rsid w:val="00CB01E9"/>
    <w:rsid w:val="00CB17D3"/>
    <w:rsid w:val="00CB4C75"/>
    <w:rsid w:val="00CB50CB"/>
    <w:rsid w:val="00CB5299"/>
    <w:rsid w:val="00CB669C"/>
    <w:rsid w:val="00CB6E01"/>
    <w:rsid w:val="00CC1EF3"/>
    <w:rsid w:val="00CC2A3A"/>
    <w:rsid w:val="00CC5B33"/>
    <w:rsid w:val="00CC5E59"/>
    <w:rsid w:val="00CD1CB0"/>
    <w:rsid w:val="00CD1E59"/>
    <w:rsid w:val="00CD3D7A"/>
    <w:rsid w:val="00CD45DE"/>
    <w:rsid w:val="00CD66A3"/>
    <w:rsid w:val="00CE1408"/>
    <w:rsid w:val="00CE43A8"/>
    <w:rsid w:val="00CE498B"/>
    <w:rsid w:val="00CE6BF2"/>
    <w:rsid w:val="00CF3543"/>
    <w:rsid w:val="00CF51BD"/>
    <w:rsid w:val="00CF5F06"/>
    <w:rsid w:val="00CF6B18"/>
    <w:rsid w:val="00D020E6"/>
    <w:rsid w:val="00D0265A"/>
    <w:rsid w:val="00D04BC1"/>
    <w:rsid w:val="00D05045"/>
    <w:rsid w:val="00D05D44"/>
    <w:rsid w:val="00D079E8"/>
    <w:rsid w:val="00D14185"/>
    <w:rsid w:val="00D1652E"/>
    <w:rsid w:val="00D17247"/>
    <w:rsid w:val="00D173B5"/>
    <w:rsid w:val="00D20DF7"/>
    <w:rsid w:val="00D2146F"/>
    <w:rsid w:val="00D21BEA"/>
    <w:rsid w:val="00D232A5"/>
    <w:rsid w:val="00D30072"/>
    <w:rsid w:val="00D35D92"/>
    <w:rsid w:val="00D35FFF"/>
    <w:rsid w:val="00D367DC"/>
    <w:rsid w:val="00D37159"/>
    <w:rsid w:val="00D41B16"/>
    <w:rsid w:val="00D43103"/>
    <w:rsid w:val="00D43ED5"/>
    <w:rsid w:val="00D442FD"/>
    <w:rsid w:val="00D44EC1"/>
    <w:rsid w:val="00D45D3A"/>
    <w:rsid w:val="00D4697C"/>
    <w:rsid w:val="00D46E87"/>
    <w:rsid w:val="00D47B12"/>
    <w:rsid w:val="00D47D97"/>
    <w:rsid w:val="00D5084D"/>
    <w:rsid w:val="00D50D07"/>
    <w:rsid w:val="00D52827"/>
    <w:rsid w:val="00D532DC"/>
    <w:rsid w:val="00D55132"/>
    <w:rsid w:val="00D5522B"/>
    <w:rsid w:val="00D56C93"/>
    <w:rsid w:val="00D60F8C"/>
    <w:rsid w:val="00D611DF"/>
    <w:rsid w:val="00D61861"/>
    <w:rsid w:val="00D636EF"/>
    <w:rsid w:val="00D63F0F"/>
    <w:rsid w:val="00D6797B"/>
    <w:rsid w:val="00D70CF8"/>
    <w:rsid w:val="00D763D4"/>
    <w:rsid w:val="00D7776D"/>
    <w:rsid w:val="00D8088E"/>
    <w:rsid w:val="00D82687"/>
    <w:rsid w:val="00D82CDB"/>
    <w:rsid w:val="00D833CE"/>
    <w:rsid w:val="00D841BA"/>
    <w:rsid w:val="00D84F11"/>
    <w:rsid w:val="00D85A08"/>
    <w:rsid w:val="00D85D04"/>
    <w:rsid w:val="00D861F0"/>
    <w:rsid w:val="00D91568"/>
    <w:rsid w:val="00D94661"/>
    <w:rsid w:val="00D95308"/>
    <w:rsid w:val="00DA1713"/>
    <w:rsid w:val="00DA2B26"/>
    <w:rsid w:val="00DA31C7"/>
    <w:rsid w:val="00DA5C99"/>
    <w:rsid w:val="00DA6C84"/>
    <w:rsid w:val="00DA70A8"/>
    <w:rsid w:val="00DA72FD"/>
    <w:rsid w:val="00DB0104"/>
    <w:rsid w:val="00DC0563"/>
    <w:rsid w:val="00DC34C4"/>
    <w:rsid w:val="00DC7A0F"/>
    <w:rsid w:val="00DD08E5"/>
    <w:rsid w:val="00DD0BE7"/>
    <w:rsid w:val="00DD1623"/>
    <w:rsid w:val="00DD3219"/>
    <w:rsid w:val="00DD4956"/>
    <w:rsid w:val="00DD7810"/>
    <w:rsid w:val="00DD7F45"/>
    <w:rsid w:val="00DE0E0F"/>
    <w:rsid w:val="00DE2C30"/>
    <w:rsid w:val="00DE38AA"/>
    <w:rsid w:val="00DE416F"/>
    <w:rsid w:val="00DE6D40"/>
    <w:rsid w:val="00DF0D9B"/>
    <w:rsid w:val="00DF265A"/>
    <w:rsid w:val="00DF32C3"/>
    <w:rsid w:val="00DF6610"/>
    <w:rsid w:val="00DF7454"/>
    <w:rsid w:val="00E00039"/>
    <w:rsid w:val="00E002DB"/>
    <w:rsid w:val="00E003E4"/>
    <w:rsid w:val="00E0086B"/>
    <w:rsid w:val="00E0557F"/>
    <w:rsid w:val="00E11C8D"/>
    <w:rsid w:val="00E12D0F"/>
    <w:rsid w:val="00E16AC0"/>
    <w:rsid w:val="00E16E13"/>
    <w:rsid w:val="00E1715C"/>
    <w:rsid w:val="00E20AB9"/>
    <w:rsid w:val="00E21525"/>
    <w:rsid w:val="00E22FAF"/>
    <w:rsid w:val="00E234BE"/>
    <w:rsid w:val="00E25C5E"/>
    <w:rsid w:val="00E26C2D"/>
    <w:rsid w:val="00E27A73"/>
    <w:rsid w:val="00E340EA"/>
    <w:rsid w:val="00E3582A"/>
    <w:rsid w:val="00E35F48"/>
    <w:rsid w:val="00E36226"/>
    <w:rsid w:val="00E36865"/>
    <w:rsid w:val="00E37753"/>
    <w:rsid w:val="00E37DF8"/>
    <w:rsid w:val="00E40184"/>
    <w:rsid w:val="00E420D8"/>
    <w:rsid w:val="00E42352"/>
    <w:rsid w:val="00E46E23"/>
    <w:rsid w:val="00E525E5"/>
    <w:rsid w:val="00E543FE"/>
    <w:rsid w:val="00E54DF7"/>
    <w:rsid w:val="00E553A7"/>
    <w:rsid w:val="00E606DA"/>
    <w:rsid w:val="00E60F15"/>
    <w:rsid w:val="00E62A80"/>
    <w:rsid w:val="00E630BF"/>
    <w:rsid w:val="00E63E82"/>
    <w:rsid w:val="00E65A24"/>
    <w:rsid w:val="00E7137B"/>
    <w:rsid w:val="00E73CBA"/>
    <w:rsid w:val="00E750E8"/>
    <w:rsid w:val="00E75936"/>
    <w:rsid w:val="00E8006B"/>
    <w:rsid w:val="00E80425"/>
    <w:rsid w:val="00E8312D"/>
    <w:rsid w:val="00E85E80"/>
    <w:rsid w:val="00E87B11"/>
    <w:rsid w:val="00E9299D"/>
    <w:rsid w:val="00E93A90"/>
    <w:rsid w:val="00E95B3B"/>
    <w:rsid w:val="00E97A79"/>
    <w:rsid w:val="00EA0AAB"/>
    <w:rsid w:val="00EA200B"/>
    <w:rsid w:val="00EA476F"/>
    <w:rsid w:val="00EB321A"/>
    <w:rsid w:val="00EB36C6"/>
    <w:rsid w:val="00EB531C"/>
    <w:rsid w:val="00EC15C0"/>
    <w:rsid w:val="00EC3260"/>
    <w:rsid w:val="00EC5AC8"/>
    <w:rsid w:val="00EC654E"/>
    <w:rsid w:val="00EC683D"/>
    <w:rsid w:val="00ED286E"/>
    <w:rsid w:val="00ED4AA0"/>
    <w:rsid w:val="00ED5FAF"/>
    <w:rsid w:val="00ED7932"/>
    <w:rsid w:val="00EE3ADB"/>
    <w:rsid w:val="00EE4D11"/>
    <w:rsid w:val="00EE687A"/>
    <w:rsid w:val="00EE7D1B"/>
    <w:rsid w:val="00EF4E3A"/>
    <w:rsid w:val="00EF5B74"/>
    <w:rsid w:val="00EF6BAF"/>
    <w:rsid w:val="00F002CD"/>
    <w:rsid w:val="00F00A00"/>
    <w:rsid w:val="00F01F0F"/>
    <w:rsid w:val="00F02701"/>
    <w:rsid w:val="00F02F1F"/>
    <w:rsid w:val="00F06C36"/>
    <w:rsid w:val="00F1173C"/>
    <w:rsid w:val="00F13B66"/>
    <w:rsid w:val="00F16129"/>
    <w:rsid w:val="00F17FC2"/>
    <w:rsid w:val="00F209CD"/>
    <w:rsid w:val="00F21F1A"/>
    <w:rsid w:val="00F2423A"/>
    <w:rsid w:val="00F27DEF"/>
    <w:rsid w:val="00F30C7B"/>
    <w:rsid w:val="00F325AA"/>
    <w:rsid w:val="00F3329F"/>
    <w:rsid w:val="00F33359"/>
    <w:rsid w:val="00F35A95"/>
    <w:rsid w:val="00F36F5E"/>
    <w:rsid w:val="00F378C3"/>
    <w:rsid w:val="00F37A51"/>
    <w:rsid w:val="00F40149"/>
    <w:rsid w:val="00F404B8"/>
    <w:rsid w:val="00F42F52"/>
    <w:rsid w:val="00F45AC7"/>
    <w:rsid w:val="00F464AC"/>
    <w:rsid w:val="00F50217"/>
    <w:rsid w:val="00F54453"/>
    <w:rsid w:val="00F5542C"/>
    <w:rsid w:val="00F60721"/>
    <w:rsid w:val="00F60E26"/>
    <w:rsid w:val="00F617C8"/>
    <w:rsid w:val="00F6314D"/>
    <w:rsid w:val="00F632D7"/>
    <w:rsid w:val="00F640D7"/>
    <w:rsid w:val="00F64D94"/>
    <w:rsid w:val="00F67CD1"/>
    <w:rsid w:val="00F67FFD"/>
    <w:rsid w:val="00F7012F"/>
    <w:rsid w:val="00F723CE"/>
    <w:rsid w:val="00F728F3"/>
    <w:rsid w:val="00F7301E"/>
    <w:rsid w:val="00F73C22"/>
    <w:rsid w:val="00F73F9E"/>
    <w:rsid w:val="00F76AB7"/>
    <w:rsid w:val="00F76DFA"/>
    <w:rsid w:val="00F8040A"/>
    <w:rsid w:val="00F82714"/>
    <w:rsid w:val="00F8362E"/>
    <w:rsid w:val="00F8387F"/>
    <w:rsid w:val="00F84B58"/>
    <w:rsid w:val="00F87299"/>
    <w:rsid w:val="00F93285"/>
    <w:rsid w:val="00F94B25"/>
    <w:rsid w:val="00F96307"/>
    <w:rsid w:val="00F97875"/>
    <w:rsid w:val="00FA047A"/>
    <w:rsid w:val="00FA1181"/>
    <w:rsid w:val="00FA143B"/>
    <w:rsid w:val="00FA3FD1"/>
    <w:rsid w:val="00FA6390"/>
    <w:rsid w:val="00FA6AC4"/>
    <w:rsid w:val="00FB03C6"/>
    <w:rsid w:val="00FB14AB"/>
    <w:rsid w:val="00FB15F6"/>
    <w:rsid w:val="00FB1B00"/>
    <w:rsid w:val="00FB2359"/>
    <w:rsid w:val="00FB78D9"/>
    <w:rsid w:val="00FC044B"/>
    <w:rsid w:val="00FC06B1"/>
    <w:rsid w:val="00FC1715"/>
    <w:rsid w:val="00FC1A10"/>
    <w:rsid w:val="00FC31DC"/>
    <w:rsid w:val="00FC3F88"/>
    <w:rsid w:val="00FC7D35"/>
    <w:rsid w:val="00FD03B0"/>
    <w:rsid w:val="00FD1713"/>
    <w:rsid w:val="00FD1753"/>
    <w:rsid w:val="00FD2425"/>
    <w:rsid w:val="00FD2F28"/>
    <w:rsid w:val="00FD3745"/>
    <w:rsid w:val="00FD3FF8"/>
    <w:rsid w:val="00FD4561"/>
    <w:rsid w:val="00FD46B8"/>
    <w:rsid w:val="00FD6D79"/>
    <w:rsid w:val="00FE1FA5"/>
    <w:rsid w:val="00FE3AA8"/>
    <w:rsid w:val="00FE3FE6"/>
    <w:rsid w:val="00FE40D9"/>
    <w:rsid w:val="00FE553A"/>
    <w:rsid w:val="00FE698B"/>
    <w:rsid w:val="00FF28DD"/>
    <w:rsid w:val="00FF2D6E"/>
    <w:rsid w:val="00FF3D47"/>
    <w:rsid w:val="00FF5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F21BEE6-7536-4AA9-BF95-F52C5BB36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99D"/>
    <w:pPr>
      <w:tabs>
        <w:tab w:val="left" w:pos="1440"/>
        <w:tab w:val="center" w:pos="4234"/>
        <w:tab w:val="right" w:pos="8453"/>
      </w:tabs>
      <w:snapToGrid w:val="0"/>
    </w:pPr>
    <w:rPr>
      <w:sz w:val="28"/>
      <w:lang w:val="en-GB"/>
    </w:rPr>
  </w:style>
  <w:style w:type="paragraph" w:styleId="Heading2">
    <w:name w:val="heading 2"/>
    <w:basedOn w:val="Normal"/>
    <w:next w:val="Normal"/>
    <w:qFormat/>
    <w:rsid w:val="007917E8"/>
    <w:pPr>
      <w:keepNext/>
      <w:outlineLvl w:val="1"/>
    </w:pPr>
    <w:rPr>
      <w:b/>
      <w:sz w:val="20"/>
      <w:lang w:val="en-US"/>
    </w:rPr>
  </w:style>
  <w:style w:type="paragraph" w:styleId="Heading3">
    <w:name w:val="heading 3"/>
    <w:basedOn w:val="Normal"/>
    <w:next w:val="Normal"/>
    <w:qFormat/>
    <w:rsid w:val="007917E8"/>
    <w:pPr>
      <w:keepNext/>
      <w:jc w:val="center"/>
      <w:outlineLvl w:val="2"/>
    </w:pPr>
    <w:rPr>
      <w:b/>
      <w:sz w:val="20"/>
      <w:lang w:val="en-US"/>
    </w:rPr>
  </w:style>
  <w:style w:type="paragraph" w:styleId="Heading4">
    <w:name w:val="heading 4"/>
    <w:basedOn w:val="Normal"/>
    <w:next w:val="Normal"/>
    <w:link w:val="Heading4Char"/>
    <w:semiHidden/>
    <w:unhideWhenUsed/>
    <w:qFormat/>
    <w:rsid w:val="005A56B5"/>
    <w:pPr>
      <w:keepNext/>
      <w:tabs>
        <w:tab w:val="clear" w:pos="1440"/>
        <w:tab w:val="clear" w:pos="4234"/>
        <w:tab w:val="clear" w:pos="8453"/>
      </w:tabs>
      <w:overflowPunct w:val="0"/>
      <w:autoSpaceDE w:val="0"/>
      <w:autoSpaceDN w:val="0"/>
      <w:adjustRightInd w:val="0"/>
      <w:snapToGrid/>
      <w:spacing w:before="240" w:after="60"/>
      <w:outlineLvl w:val="3"/>
    </w:pPr>
    <w:rPr>
      <w:rFonts w:ascii="Calibri" w:eastAsia="Times New Roman" w:hAnsi="Calibri"/>
      <w:b/>
      <w:bCs/>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17E8"/>
    <w:pPr>
      <w:tabs>
        <w:tab w:val="center" w:pos="4153"/>
        <w:tab w:val="right" w:pos="8306"/>
      </w:tabs>
    </w:pPr>
  </w:style>
  <w:style w:type="paragraph" w:styleId="Footer">
    <w:name w:val="footer"/>
    <w:basedOn w:val="Normal"/>
    <w:rsid w:val="00A34041"/>
    <w:pPr>
      <w:tabs>
        <w:tab w:val="center" w:pos="4153"/>
        <w:tab w:val="right" w:pos="8306"/>
      </w:tabs>
      <w:jc w:val="both"/>
    </w:pPr>
    <w:rPr>
      <w:sz w:val="20"/>
    </w:rPr>
  </w:style>
  <w:style w:type="character" w:styleId="PageNumber">
    <w:name w:val="page number"/>
    <w:basedOn w:val="DefaultParagraphFont"/>
    <w:rsid w:val="007917E8"/>
  </w:style>
  <w:style w:type="paragraph" w:customStyle="1" w:styleId="Final">
    <w:name w:val="Final"/>
    <w:basedOn w:val="Normal"/>
    <w:qFormat/>
    <w:rsid w:val="00F325AA"/>
    <w:pPr>
      <w:numPr>
        <w:numId w:val="4"/>
      </w:numPr>
      <w:spacing w:before="360" w:after="80" w:line="360" w:lineRule="auto"/>
      <w:jc w:val="both"/>
    </w:pPr>
  </w:style>
  <w:style w:type="character" w:styleId="FootnoteReference">
    <w:name w:val="footnote reference"/>
    <w:basedOn w:val="DefaultParagraphFont"/>
    <w:rsid w:val="00A34041"/>
    <w:rPr>
      <w:sz w:val="28"/>
      <w:vertAlign w:val="superscript"/>
    </w:rPr>
  </w:style>
  <w:style w:type="paragraph" w:styleId="FootnoteText">
    <w:name w:val="footnote text"/>
    <w:basedOn w:val="Normal"/>
    <w:link w:val="FootnoteTextChar"/>
    <w:rsid w:val="00A34041"/>
    <w:pPr>
      <w:tabs>
        <w:tab w:val="center" w:pos="3946"/>
      </w:tabs>
      <w:spacing w:after="60"/>
      <w:ind w:left="360" w:hanging="360"/>
      <w:jc w:val="both"/>
    </w:pPr>
  </w:style>
  <w:style w:type="character" w:customStyle="1" w:styleId="FootnoteTextChar">
    <w:name w:val="Footnote Text Char"/>
    <w:basedOn w:val="DefaultParagraphFont"/>
    <w:link w:val="FootnoteText"/>
    <w:rsid w:val="00A34041"/>
    <w:rPr>
      <w:rFonts w:eastAsia="宋体"/>
      <w:sz w:val="24"/>
    </w:rPr>
  </w:style>
  <w:style w:type="paragraph" w:customStyle="1" w:styleId="H-1">
    <w:name w:val="H-1"/>
    <w:basedOn w:val="Normal"/>
    <w:rsid w:val="00A34041"/>
    <w:pPr>
      <w:keepNext/>
      <w:tabs>
        <w:tab w:val="center" w:pos="3946"/>
      </w:tabs>
      <w:spacing w:before="360"/>
      <w:jc w:val="both"/>
    </w:pPr>
    <w:rPr>
      <w:i/>
      <w:kern w:val="2"/>
    </w:rPr>
  </w:style>
  <w:style w:type="paragraph" w:customStyle="1" w:styleId="H1-CAP">
    <w:name w:val="H1-CAP"/>
    <w:basedOn w:val="H-1"/>
    <w:rsid w:val="00A34041"/>
    <w:pPr>
      <w:spacing w:before="440"/>
    </w:pPr>
    <w:rPr>
      <w:caps/>
    </w:rPr>
  </w:style>
  <w:style w:type="paragraph" w:customStyle="1" w:styleId="H-2">
    <w:name w:val="H-2"/>
    <w:basedOn w:val="H-1"/>
    <w:rsid w:val="00A34041"/>
    <w:pPr>
      <w:spacing w:before="440"/>
      <w:ind w:left="720" w:hanging="720"/>
    </w:pPr>
  </w:style>
  <w:style w:type="paragraph" w:customStyle="1" w:styleId="Hanging">
    <w:name w:val="Hanging"/>
    <w:basedOn w:val="Normal"/>
    <w:rsid w:val="00A34041"/>
    <w:pPr>
      <w:tabs>
        <w:tab w:val="center" w:pos="3946"/>
      </w:tabs>
      <w:spacing w:before="40" w:after="80" w:line="360" w:lineRule="auto"/>
      <w:ind w:left="1440" w:hanging="720"/>
      <w:jc w:val="both"/>
    </w:pPr>
    <w:rPr>
      <w:kern w:val="2"/>
    </w:rPr>
  </w:style>
  <w:style w:type="paragraph" w:customStyle="1" w:styleId="hspace">
    <w:name w:val="hspace"/>
    <w:basedOn w:val="Normal"/>
    <w:rsid w:val="00A34041"/>
    <w:pPr>
      <w:spacing w:line="200" w:lineRule="exact"/>
      <w:jc w:val="both"/>
    </w:pPr>
  </w:style>
  <w:style w:type="paragraph" w:customStyle="1" w:styleId="Quotation">
    <w:name w:val="Quotation"/>
    <w:basedOn w:val="Normal"/>
    <w:rsid w:val="003B1254"/>
    <w:pPr>
      <w:tabs>
        <w:tab w:val="clear" w:pos="4234"/>
        <w:tab w:val="left" w:pos="2016"/>
        <w:tab w:val="left" w:pos="2448"/>
        <w:tab w:val="center" w:pos="3946"/>
      </w:tabs>
      <w:spacing w:before="160" w:after="80"/>
      <w:ind w:left="1440" w:right="720"/>
      <w:jc w:val="both"/>
    </w:pPr>
    <w:rPr>
      <w:kern w:val="2"/>
      <w:sz w:val="24"/>
    </w:rPr>
  </w:style>
  <w:style w:type="paragraph" w:customStyle="1" w:styleId="para">
    <w:name w:val="para"/>
    <w:rsid w:val="00B01158"/>
    <w:pPr>
      <w:numPr>
        <w:numId w:val="10"/>
      </w:numPr>
      <w:tabs>
        <w:tab w:val="clear" w:pos="360"/>
        <w:tab w:val="num" w:pos="1397"/>
      </w:tabs>
      <w:snapToGrid w:val="0"/>
      <w:spacing w:before="480" w:line="360" w:lineRule="auto"/>
      <w:jc w:val="both"/>
    </w:pPr>
    <w:rPr>
      <w:sz w:val="28"/>
    </w:rPr>
  </w:style>
  <w:style w:type="paragraph" w:customStyle="1" w:styleId="normal2">
    <w:name w:val="normal2"/>
    <w:basedOn w:val="Normal"/>
    <w:rsid w:val="00B01158"/>
    <w:pPr>
      <w:tabs>
        <w:tab w:val="clear" w:pos="4234"/>
        <w:tab w:val="clear" w:pos="8453"/>
        <w:tab w:val="left" w:pos="1411"/>
        <w:tab w:val="center" w:pos="4320"/>
        <w:tab w:val="right" w:pos="9072"/>
      </w:tabs>
      <w:overflowPunct w:val="0"/>
      <w:autoSpaceDE w:val="0"/>
      <w:autoSpaceDN w:val="0"/>
      <w:spacing w:line="360" w:lineRule="auto"/>
      <w:jc w:val="center"/>
    </w:pPr>
    <w:rPr>
      <w:rFonts w:eastAsia="MingLiU"/>
      <w:caps/>
    </w:rPr>
  </w:style>
  <w:style w:type="paragraph" w:styleId="NormalWeb">
    <w:name w:val="Normal (Web)"/>
    <w:basedOn w:val="Normal"/>
    <w:uiPriority w:val="99"/>
    <w:semiHidden/>
    <w:unhideWhenUsed/>
    <w:rsid w:val="00727C2C"/>
    <w:pPr>
      <w:tabs>
        <w:tab w:val="clear" w:pos="1440"/>
        <w:tab w:val="clear" w:pos="4234"/>
        <w:tab w:val="clear" w:pos="8453"/>
      </w:tabs>
      <w:snapToGrid/>
      <w:spacing w:before="100" w:beforeAutospacing="1" w:after="100" w:afterAutospacing="1"/>
    </w:pPr>
    <w:rPr>
      <w:rFonts w:eastAsia="Times New Roman"/>
      <w:sz w:val="24"/>
      <w:szCs w:val="24"/>
      <w:lang w:val="en-US"/>
    </w:rPr>
  </w:style>
  <w:style w:type="character" w:styleId="Hyperlink">
    <w:name w:val="Hyperlink"/>
    <w:basedOn w:val="DefaultParagraphFont"/>
    <w:uiPriority w:val="99"/>
    <w:semiHidden/>
    <w:unhideWhenUsed/>
    <w:rsid w:val="0002703D"/>
    <w:rPr>
      <w:b w:val="0"/>
      <w:bCs w:val="0"/>
      <w:strike w:val="0"/>
      <w:dstrike w:val="0"/>
      <w:color w:val="3290BC"/>
      <w:u w:val="none"/>
      <w:effect w:val="none"/>
    </w:rPr>
  </w:style>
  <w:style w:type="character" w:customStyle="1" w:styleId="Heading4Char">
    <w:name w:val="Heading 4 Char"/>
    <w:basedOn w:val="DefaultParagraphFont"/>
    <w:link w:val="Heading4"/>
    <w:semiHidden/>
    <w:rsid w:val="005A56B5"/>
    <w:rPr>
      <w:rFonts w:ascii="Calibri" w:eastAsia="Times New Roman" w:hAnsi="Calibri"/>
      <w:b/>
      <w:bCs/>
      <w:sz w:val="28"/>
      <w:szCs w:val="28"/>
      <w:lang w:val="en-GB" w:eastAsia="en-US"/>
    </w:rPr>
  </w:style>
  <w:style w:type="paragraph" w:customStyle="1" w:styleId="Default">
    <w:name w:val="Default"/>
    <w:rsid w:val="0041216E"/>
    <w:pPr>
      <w:autoSpaceDE w:val="0"/>
      <w:autoSpaceDN w:val="0"/>
      <w:adjustRightInd w:val="0"/>
    </w:pPr>
    <w:rPr>
      <w:color w:val="000000"/>
      <w:sz w:val="24"/>
      <w:szCs w:val="24"/>
    </w:rPr>
  </w:style>
  <w:style w:type="paragraph" w:styleId="BalloonText">
    <w:name w:val="Balloon Text"/>
    <w:basedOn w:val="Normal"/>
    <w:link w:val="BalloonTextChar"/>
    <w:semiHidden/>
    <w:unhideWhenUsed/>
    <w:rsid w:val="005D3F3E"/>
    <w:rPr>
      <w:rFonts w:ascii="Segoe UI" w:hAnsi="Segoe UI" w:cs="Segoe UI"/>
      <w:sz w:val="18"/>
      <w:szCs w:val="18"/>
    </w:rPr>
  </w:style>
  <w:style w:type="character" w:customStyle="1" w:styleId="BalloonTextChar">
    <w:name w:val="Balloon Text Char"/>
    <w:basedOn w:val="DefaultParagraphFont"/>
    <w:link w:val="BalloonText"/>
    <w:semiHidden/>
    <w:rsid w:val="005D3F3E"/>
    <w:rPr>
      <w:rFonts w:ascii="Segoe UI" w:hAnsi="Segoe UI" w:cs="Segoe UI"/>
      <w:sz w:val="18"/>
      <w:szCs w:val="18"/>
      <w:lang w:val="en-GB"/>
    </w:rPr>
  </w:style>
  <w:style w:type="paragraph" w:customStyle="1" w:styleId="bw">
    <w:name w:val="bw"/>
    <w:rsid w:val="00463D46"/>
    <w:pPr>
      <w:numPr>
        <w:numId w:val="42"/>
      </w:numPr>
      <w:tabs>
        <w:tab w:val="left" w:pos="1440"/>
        <w:tab w:val="center" w:pos="4234"/>
        <w:tab w:val="right" w:pos="8453"/>
      </w:tabs>
      <w:snapToGrid w:val="0"/>
      <w:spacing w:before="360" w:after="80" w:line="360" w:lineRule="auto"/>
      <w:jc w:val="both"/>
    </w:pPr>
    <w:rPr>
      <w:sz w:val="28"/>
      <w:lang w:val="en-GB"/>
    </w:rPr>
  </w:style>
  <w:style w:type="character" w:styleId="Emphasis">
    <w:name w:val="Emphasis"/>
    <w:basedOn w:val="DefaultParagraphFont"/>
    <w:uiPriority w:val="20"/>
    <w:qFormat/>
    <w:rsid w:val="002A2616"/>
    <w:rPr>
      <w:i/>
      <w:iCs/>
    </w:rPr>
  </w:style>
  <w:style w:type="character" w:styleId="Strong">
    <w:name w:val="Strong"/>
    <w:basedOn w:val="DefaultParagraphFont"/>
    <w:uiPriority w:val="22"/>
    <w:qFormat/>
    <w:rsid w:val="002A2616"/>
    <w:rPr>
      <w:b/>
      <w:bCs/>
    </w:rPr>
  </w:style>
  <w:style w:type="character" w:customStyle="1" w:styleId="starpage1">
    <w:name w:val="starpage1"/>
    <w:basedOn w:val="DefaultParagraphFont"/>
    <w:rsid w:val="002A2616"/>
    <w:rPr>
      <w:b/>
      <w:bCs/>
      <w:i/>
      <w:iCs/>
      <w:color w:val="663366"/>
    </w:rPr>
  </w:style>
  <w:style w:type="character" w:customStyle="1" w:styleId="case-para-label">
    <w:name w:val="case-para-label"/>
    <w:basedOn w:val="DefaultParagraphFont"/>
    <w:rsid w:val="00B34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64561">
      <w:bodyDiv w:val="1"/>
      <w:marLeft w:val="0"/>
      <w:marRight w:val="0"/>
      <w:marTop w:val="0"/>
      <w:marBottom w:val="0"/>
      <w:divBdr>
        <w:top w:val="none" w:sz="0" w:space="0" w:color="auto"/>
        <w:left w:val="none" w:sz="0" w:space="0" w:color="auto"/>
        <w:bottom w:val="none" w:sz="0" w:space="0" w:color="auto"/>
        <w:right w:val="none" w:sz="0" w:space="0" w:color="auto"/>
      </w:divBdr>
    </w:div>
    <w:div w:id="662465865">
      <w:bodyDiv w:val="1"/>
      <w:marLeft w:val="0"/>
      <w:marRight w:val="0"/>
      <w:marTop w:val="0"/>
      <w:marBottom w:val="0"/>
      <w:divBdr>
        <w:top w:val="none" w:sz="0" w:space="0" w:color="auto"/>
        <w:left w:val="none" w:sz="0" w:space="0" w:color="auto"/>
        <w:bottom w:val="none" w:sz="0" w:space="0" w:color="auto"/>
        <w:right w:val="none" w:sz="0" w:space="0" w:color="auto"/>
      </w:divBdr>
      <w:divsChild>
        <w:div w:id="1707438909">
          <w:marLeft w:val="225"/>
          <w:marRight w:val="225"/>
          <w:marTop w:val="150"/>
          <w:marBottom w:val="450"/>
          <w:divBdr>
            <w:top w:val="none" w:sz="0" w:space="0" w:color="auto"/>
            <w:left w:val="none" w:sz="0" w:space="0" w:color="auto"/>
            <w:bottom w:val="none" w:sz="0" w:space="0" w:color="auto"/>
            <w:right w:val="none" w:sz="0" w:space="0" w:color="auto"/>
          </w:divBdr>
          <w:divsChild>
            <w:div w:id="1711220441">
              <w:marLeft w:val="30"/>
              <w:marRight w:val="0"/>
              <w:marTop w:val="0"/>
              <w:marBottom w:val="0"/>
              <w:divBdr>
                <w:top w:val="none" w:sz="0" w:space="0" w:color="auto"/>
                <w:left w:val="single" w:sz="6" w:space="0" w:color="CCCCCC"/>
                <w:bottom w:val="single" w:sz="6" w:space="0" w:color="CCCCCC"/>
                <w:right w:val="single" w:sz="6" w:space="0" w:color="CCCCCC"/>
              </w:divBdr>
              <w:divsChild>
                <w:div w:id="426316764">
                  <w:marLeft w:val="0"/>
                  <w:marRight w:val="0"/>
                  <w:marTop w:val="0"/>
                  <w:marBottom w:val="0"/>
                  <w:divBdr>
                    <w:top w:val="none" w:sz="0" w:space="0" w:color="auto"/>
                    <w:left w:val="none" w:sz="0" w:space="0" w:color="auto"/>
                    <w:bottom w:val="none" w:sz="0" w:space="0" w:color="auto"/>
                    <w:right w:val="none" w:sz="0" w:space="0" w:color="auto"/>
                  </w:divBdr>
                  <w:divsChild>
                    <w:div w:id="176890736">
                      <w:marLeft w:val="0"/>
                      <w:marRight w:val="0"/>
                      <w:marTop w:val="150"/>
                      <w:marBottom w:val="0"/>
                      <w:divBdr>
                        <w:top w:val="none" w:sz="0" w:space="0" w:color="auto"/>
                        <w:left w:val="none" w:sz="0" w:space="0" w:color="auto"/>
                        <w:bottom w:val="none" w:sz="0" w:space="0" w:color="auto"/>
                        <w:right w:val="none" w:sz="0" w:space="0" w:color="auto"/>
                      </w:divBdr>
                      <w:divsChild>
                        <w:div w:id="761528607">
                          <w:marLeft w:val="0"/>
                          <w:marRight w:val="0"/>
                          <w:marTop w:val="0"/>
                          <w:marBottom w:val="0"/>
                          <w:divBdr>
                            <w:top w:val="none" w:sz="0" w:space="0" w:color="auto"/>
                            <w:left w:val="none" w:sz="0" w:space="0" w:color="auto"/>
                            <w:bottom w:val="none" w:sz="0" w:space="0" w:color="auto"/>
                            <w:right w:val="none" w:sz="0" w:space="0" w:color="auto"/>
                          </w:divBdr>
                          <w:divsChild>
                            <w:div w:id="1244603552">
                              <w:marLeft w:val="0"/>
                              <w:marRight w:val="0"/>
                              <w:marTop w:val="0"/>
                              <w:marBottom w:val="0"/>
                              <w:divBdr>
                                <w:top w:val="single" w:sz="6" w:space="0" w:color="F0F0F0"/>
                                <w:left w:val="single" w:sz="6" w:space="15" w:color="F0F0F0"/>
                                <w:bottom w:val="single" w:sz="6" w:space="15" w:color="F0F0F0"/>
                                <w:right w:val="single" w:sz="6" w:space="15" w:color="F0F0F0"/>
                              </w:divBdr>
                              <w:divsChild>
                                <w:div w:id="1465461852">
                                  <w:marLeft w:val="0"/>
                                  <w:marRight w:val="0"/>
                                  <w:marTop w:val="0"/>
                                  <w:marBottom w:val="0"/>
                                  <w:divBdr>
                                    <w:top w:val="none" w:sz="0" w:space="0" w:color="auto"/>
                                    <w:left w:val="none" w:sz="0" w:space="0" w:color="auto"/>
                                    <w:bottom w:val="none" w:sz="0" w:space="0" w:color="auto"/>
                                    <w:right w:val="none" w:sz="0" w:space="0" w:color="auto"/>
                                  </w:divBdr>
                                  <w:divsChild>
                                    <w:div w:id="200030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8178419">
      <w:bodyDiv w:val="1"/>
      <w:marLeft w:val="0"/>
      <w:marRight w:val="0"/>
      <w:marTop w:val="0"/>
      <w:marBottom w:val="0"/>
      <w:divBdr>
        <w:top w:val="none" w:sz="0" w:space="0" w:color="auto"/>
        <w:left w:val="none" w:sz="0" w:space="0" w:color="auto"/>
        <w:bottom w:val="none" w:sz="0" w:space="0" w:color="auto"/>
        <w:right w:val="none" w:sz="0" w:space="0" w:color="auto"/>
      </w:divBdr>
    </w:div>
    <w:div w:id="1022433689">
      <w:bodyDiv w:val="1"/>
      <w:marLeft w:val="0"/>
      <w:marRight w:val="0"/>
      <w:marTop w:val="0"/>
      <w:marBottom w:val="0"/>
      <w:divBdr>
        <w:top w:val="none" w:sz="0" w:space="0" w:color="auto"/>
        <w:left w:val="none" w:sz="0" w:space="0" w:color="auto"/>
        <w:bottom w:val="none" w:sz="0" w:space="0" w:color="auto"/>
        <w:right w:val="none" w:sz="0" w:space="0" w:color="auto"/>
      </w:divBdr>
    </w:div>
    <w:div w:id="159220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westlawasia.com/maf/app/document?src=doc&amp;maintain-toc-node=true&amp;linktype=ref&amp;&amp;context=&amp;crumb-action=replace&amp;docguid=I752235A1E44A11DA8D70A0E70A78ED65"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ogin.westlawasia.com/maf/app/document?&amp;src=search&amp;docguid=IF8E01A56827442BF899092E0F337EA27&amp;hitguid=I09941DDABA744279916704EB4D2D160D&amp;rank=1&amp;spos=1&amp;epos=1&amp;snippets=true&amp;keep-search-state-crumb=true&amp;maintain-toc-node=true"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c_trans_05.DARTS-A.000\Application%20Data\Microsoft\Templates\JUDG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514EB-A3E4-4506-AC57-7894D9216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JUDGE.DOT</Template>
  <TotalTime>1</TotalTime>
  <Pages>30</Pages>
  <Words>7579</Words>
  <Characters>43206</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judiciary</Company>
  <LinksUpToDate>false</LinksUpToDate>
  <CharactersWithSpaces>50684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Chan Crystal</dc:creator>
  <cp:lastModifiedBy>Windows User</cp:lastModifiedBy>
  <cp:revision>2</cp:revision>
  <cp:lastPrinted>2021-01-21T01:51:00Z</cp:lastPrinted>
  <dcterms:created xsi:type="dcterms:W3CDTF">2021-01-26T02:24:00Z</dcterms:created>
  <dcterms:modified xsi:type="dcterms:W3CDTF">2021-01-26T02:24:00Z</dcterms:modified>
</cp:coreProperties>
</file>