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041" w:rsidRPr="00B23678" w:rsidRDefault="00A34041" w:rsidP="00A34041">
      <w:pPr>
        <w:tabs>
          <w:tab w:val="clear" w:pos="1440"/>
          <w:tab w:val="clear" w:pos="4234"/>
        </w:tabs>
        <w:jc w:val="right"/>
        <w:rPr>
          <w:szCs w:val="28"/>
          <w:lang w:val="en-US"/>
        </w:rPr>
      </w:pPr>
      <w:r w:rsidRPr="00B23678">
        <w:rPr>
          <w:szCs w:val="28"/>
          <w:lang w:val="en-US"/>
        </w:rPr>
        <w:t>CAC</w:t>
      </w:r>
      <w:r w:rsidR="007349A9" w:rsidRPr="00B23678">
        <w:rPr>
          <w:szCs w:val="28"/>
          <w:lang w:val="en-US"/>
        </w:rPr>
        <w:t>C</w:t>
      </w:r>
      <w:r w:rsidRPr="00B23678">
        <w:rPr>
          <w:szCs w:val="28"/>
          <w:lang w:val="en-US"/>
        </w:rPr>
        <w:t> </w:t>
      </w:r>
      <w:r w:rsidR="003E4F1F" w:rsidRPr="00B23678">
        <w:rPr>
          <w:szCs w:val="28"/>
          <w:lang w:val="en-US"/>
        </w:rPr>
        <w:t>177</w:t>
      </w:r>
      <w:r w:rsidRPr="00B23678">
        <w:rPr>
          <w:szCs w:val="28"/>
          <w:lang w:val="en-US"/>
        </w:rPr>
        <w:t>/</w:t>
      </w:r>
      <w:r w:rsidR="00EB0923" w:rsidRPr="00B23678">
        <w:rPr>
          <w:szCs w:val="28"/>
          <w:lang w:val="en-US"/>
        </w:rPr>
        <w:t>201</w:t>
      </w:r>
      <w:r w:rsidR="003E4F1F" w:rsidRPr="00B23678">
        <w:rPr>
          <w:szCs w:val="28"/>
          <w:lang w:val="en-US"/>
        </w:rPr>
        <w:t>5</w:t>
      </w:r>
    </w:p>
    <w:p w:rsidR="00A34041" w:rsidRPr="00B23678" w:rsidRDefault="00A34041" w:rsidP="00A34041">
      <w:pPr>
        <w:pStyle w:val="hspace"/>
        <w:rPr>
          <w:szCs w:val="28"/>
        </w:rPr>
      </w:pPr>
    </w:p>
    <w:p w:rsidR="00A34041" w:rsidRPr="00B23678" w:rsidRDefault="00A34041" w:rsidP="00A34041">
      <w:pPr>
        <w:spacing w:after="80"/>
        <w:jc w:val="center"/>
        <w:rPr>
          <w:b/>
          <w:szCs w:val="28"/>
        </w:rPr>
      </w:pPr>
      <w:r w:rsidRPr="00B23678">
        <w:rPr>
          <w:b/>
          <w:szCs w:val="28"/>
        </w:rPr>
        <w:t>IN THE HIGH COURT OF THE</w:t>
      </w:r>
    </w:p>
    <w:p w:rsidR="00A34041" w:rsidRPr="00B23678" w:rsidRDefault="00A34041" w:rsidP="00A34041">
      <w:pPr>
        <w:spacing w:after="80"/>
        <w:jc w:val="center"/>
        <w:rPr>
          <w:b/>
          <w:szCs w:val="28"/>
        </w:rPr>
      </w:pPr>
      <w:r w:rsidRPr="00B23678">
        <w:rPr>
          <w:b/>
          <w:szCs w:val="28"/>
        </w:rPr>
        <w:t>HONG KONG SPECIAL ADMINISTRATIVE REGION</w:t>
      </w:r>
    </w:p>
    <w:p w:rsidR="00A34041" w:rsidRPr="00B23678" w:rsidRDefault="00A34041" w:rsidP="00A34041">
      <w:pPr>
        <w:spacing w:after="80"/>
        <w:jc w:val="center"/>
        <w:rPr>
          <w:b/>
          <w:szCs w:val="28"/>
        </w:rPr>
      </w:pPr>
      <w:r w:rsidRPr="00B23678">
        <w:rPr>
          <w:b/>
          <w:szCs w:val="28"/>
        </w:rPr>
        <w:t>COURT OF APPEAL</w:t>
      </w:r>
    </w:p>
    <w:p w:rsidR="00A34041" w:rsidRPr="00B23678" w:rsidRDefault="007349A9" w:rsidP="00A34041">
      <w:pPr>
        <w:spacing w:after="80"/>
        <w:jc w:val="center"/>
        <w:rPr>
          <w:szCs w:val="28"/>
        </w:rPr>
      </w:pPr>
      <w:r w:rsidRPr="00B23678">
        <w:rPr>
          <w:szCs w:val="28"/>
        </w:rPr>
        <w:t>CRIMINAL</w:t>
      </w:r>
      <w:r w:rsidR="00A34041" w:rsidRPr="00B23678">
        <w:rPr>
          <w:szCs w:val="28"/>
        </w:rPr>
        <w:t xml:space="preserve"> APPEAL NO </w:t>
      </w:r>
      <w:r w:rsidR="003E4F1F" w:rsidRPr="00B23678">
        <w:rPr>
          <w:szCs w:val="28"/>
        </w:rPr>
        <w:t>177</w:t>
      </w:r>
      <w:r w:rsidR="00422E86" w:rsidRPr="00B23678">
        <w:rPr>
          <w:szCs w:val="28"/>
          <w:lang w:val="en-US"/>
        </w:rPr>
        <w:t xml:space="preserve"> </w:t>
      </w:r>
      <w:r w:rsidR="00A34041" w:rsidRPr="00B23678">
        <w:rPr>
          <w:szCs w:val="28"/>
        </w:rPr>
        <w:t xml:space="preserve">OF </w:t>
      </w:r>
      <w:r w:rsidR="00EB0923" w:rsidRPr="00B23678">
        <w:rPr>
          <w:szCs w:val="28"/>
        </w:rPr>
        <w:t>201</w:t>
      </w:r>
      <w:r w:rsidR="003E4F1F" w:rsidRPr="00B23678">
        <w:rPr>
          <w:szCs w:val="28"/>
        </w:rPr>
        <w:t>5</w:t>
      </w:r>
    </w:p>
    <w:p w:rsidR="00A34041" w:rsidRPr="00B23678" w:rsidRDefault="00A34041" w:rsidP="00A34041">
      <w:pPr>
        <w:jc w:val="center"/>
        <w:rPr>
          <w:szCs w:val="28"/>
        </w:rPr>
      </w:pPr>
      <w:r w:rsidRPr="00B23678">
        <w:rPr>
          <w:szCs w:val="28"/>
        </w:rPr>
        <w:t xml:space="preserve">(ON APPEAL FROM </w:t>
      </w:r>
      <w:r w:rsidR="00F16BB0">
        <w:rPr>
          <w:szCs w:val="28"/>
        </w:rPr>
        <w:t>D</w:t>
      </w:r>
      <w:r w:rsidR="00EB0923" w:rsidRPr="00B23678">
        <w:rPr>
          <w:szCs w:val="28"/>
        </w:rPr>
        <w:t>CCC</w:t>
      </w:r>
      <w:r w:rsidRPr="00B23678">
        <w:rPr>
          <w:szCs w:val="28"/>
        </w:rPr>
        <w:t xml:space="preserve"> </w:t>
      </w:r>
      <w:r w:rsidR="00F16BB0">
        <w:rPr>
          <w:szCs w:val="28"/>
        </w:rPr>
        <w:t>1015</w:t>
      </w:r>
      <w:r w:rsidRPr="00B23678">
        <w:rPr>
          <w:szCs w:val="28"/>
        </w:rPr>
        <w:t>/</w:t>
      </w:r>
      <w:r w:rsidR="00F16BB0">
        <w:rPr>
          <w:szCs w:val="28"/>
        </w:rPr>
        <w:t>2014</w:t>
      </w:r>
      <w:r w:rsidR="00EB0923" w:rsidRPr="00B23678">
        <w:rPr>
          <w:szCs w:val="28"/>
        </w:rPr>
        <w:t>)</w:t>
      </w:r>
    </w:p>
    <w:p w:rsidR="00A34041" w:rsidRPr="00B23678" w:rsidRDefault="00A34041" w:rsidP="007349A9">
      <w:pPr>
        <w:rPr>
          <w:szCs w:val="28"/>
        </w:rPr>
      </w:pPr>
    </w:p>
    <w:p w:rsidR="0008755D" w:rsidRPr="00B23678" w:rsidRDefault="0008755D" w:rsidP="0008755D">
      <w:pPr>
        <w:jc w:val="center"/>
      </w:pPr>
      <w:r w:rsidRPr="00B23678">
        <w:t>____________</w:t>
      </w:r>
    </w:p>
    <w:p w:rsidR="00A34041" w:rsidRPr="00B23678" w:rsidRDefault="00A34041" w:rsidP="00A34041">
      <w:pPr>
        <w:rPr>
          <w:szCs w:val="28"/>
        </w:rPr>
      </w:pPr>
    </w:p>
    <w:p w:rsidR="00A34041" w:rsidRPr="00B23678" w:rsidRDefault="00A34041" w:rsidP="00A34041">
      <w:pPr>
        <w:rPr>
          <w:szCs w:val="28"/>
          <w:lang w:val="en-US"/>
        </w:rPr>
      </w:pPr>
      <w:r w:rsidRPr="00B23678">
        <w:rPr>
          <w:szCs w:val="28"/>
          <w:lang w:val="en-US"/>
        </w:rPr>
        <w:t>BETWEEN</w:t>
      </w:r>
    </w:p>
    <w:p w:rsidR="002125DC" w:rsidRPr="00B23678" w:rsidRDefault="002125DC" w:rsidP="00A34041">
      <w:pPr>
        <w:rPr>
          <w:szCs w:val="28"/>
          <w:lang w:val="en-US"/>
        </w:rPr>
      </w:pPr>
    </w:p>
    <w:p w:rsidR="00A34041" w:rsidRPr="00B23678" w:rsidRDefault="00A34041" w:rsidP="00C312D1">
      <w:pPr>
        <w:tabs>
          <w:tab w:val="clear" w:pos="1440"/>
          <w:tab w:val="clear" w:pos="8453"/>
          <w:tab w:val="right" w:pos="8640"/>
        </w:tabs>
        <w:spacing w:line="360" w:lineRule="auto"/>
        <w:rPr>
          <w:szCs w:val="28"/>
        </w:rPr>
      </w:pPr>
      <w:r w:rsidRPr="00B23678">
        <w:rPr>
          <w:szCs w:val="28"/>
        </w:rPr>
        <w:tab/>
      </w:r>
      <w:r w:rsidR="007349A9" w:rsidRPr="00B23678">
        <w:rPr>
          <w:szCs w:val="28"/>
        </w:rPr>
        <w:t>HKSAR</w:t>
      </w:r>
      <w:r w:rsidRPr="00B23678">
        <w:rPr>
          <w:szCs w:val="28"/>
        </w:rPr>
        <w:tab/>
      </w:r>
      <w:r w:rsidR="007349A9" w:rsidRPr="00B23678">
        <w:rPr>
          <w:szCs w:val="28"/>
        </w:rPr>
        <w:t>Respondent</w:t>
      </w:r>
    </w:p>
    <w:p w:rsidR="00A34041" w:rsidRPr="00B23678" w:rsidRDefault="00A34041" w:rsidP="00C312D1">
      <w:pPr>
        <w:tabs>
          <w:tab w:val="clear" w:pos="8453"/>
          <w:tab w:val="right" w:pos="8640"/>
        </w:tabs>
        <w:rPr>
          <w:szCs w:val="28"/>
        </w:rPr>
      </w:pPr>
    </w:p>
    <w:p w:rsidR="00A34041" w:rsidRPr="00B23678" w:rsidRDefault="00A34041" w:rsidP="00C312D1">
      <w:pPr>
        <w:tabs>
          <w:tab w:val="clear" w:pos="1440"/>
          <w:tab w:val="clear" w:pos="8453"/>
          <w:tab w:val="right" w:pos="8640"/>
        </w:tabs>
        <w:spacing w:after="120"/>
        <w:jc w:val="center"/>
        <w:rPr>
          <w:szCs w:val="28"/>
        </w:rPr>
      </w:pPr>
      <w:proofErr w:type="gramStart"/>
      <w:r w:rsidRPr="00B23678">
        <w:rPr>
          <w:szCs w:val="28"/>
        </w:rPr>
        <w:t>and</w:t>
      </w:r>
      <w:proofErr w:type="gramEnd"/>
    </w:p>
    <w:p w:rsidR="00A34041" w:rsidRPr="00B23678" w:rsidRDefault="00A34041" w:rsidP="00C312D1">
      <w:pPr>
        <w:tabs>
          <w:tab w:val="clear" w:pos="8453"/>
          <w:tab w:val="right" w:pos="8640"/>
        </w:tabs>
        <w:rPr>
          <w:szCs w:val="28"/>
        </w:rPr>
      </w:pPr>
    </w:p>
    <w:p w:rsidR="00091093" w:rsidRPr="00B23678" w:rsidRDefault="00A34041" w:rsidP="00C312D1">
      <w:pPr>
        <w:tabs>
          <w:tab w:val="clear" w:pos="1440"/>
          <w:tab w:val="clear" w:pos="8453"/>
          <w:tab w:val="left" w:pos="5580"/>
          <w:tab w:val="right" w:pos="8640"/>
        </w:tabs>
        <w:rPr>
          <w:szCs w:val="28"/>
        </w:rPr>
      </w:pPr>
      <w:r w:rsidRPr="00B23678">
        <w:rPr>
          <w:szCs w:val="28"/>
        </w:rPr>
        <w:tab/>
      </w:r>
      <w:r w:rsidR="00F16BB0">
        <w:rPr>
          <w:bCs/>
        </w:rPr>
        <w:t>TSANG KAI ON</w:t>
      </w:r>
      <w:r w:rsidR="00F16BB0">
        <w:rPr>
          <w:bCs/>
        </w:rPr>
        <w:tab/>
      </w:r>
      <w:r w:rsidR="00091093" w:rsidRPr="00B23678">
        <w:rPr>
          <w:b/>
          <w:bCs/>
        </w:rPr>
        <w:tab/>
      </w:r>
      <w:r w:rsidR="00F16BB0">
        <w:rPr>
          <w:szCs w:val="28"/>
        </w:rPr>
        <w:t>Appellant</w:t>
      </w:r>
    </w:p>
    <w:p w:rsidR="007349A9" w:rsidRPr="00B23678" w:rsidRDefault="00091093" w:rsidP="002125DC">
      <w:pPr>
        <w:tabs>
          <w:tab w:val="clear" w:pos="1440"/>
          <w:tab w:val="left" w:pos="6120"/>
        </w:tabs>
        <w:rPr>
          <w:szCs w:val="28"/>
        </w:rPr>
      </w:pPr>
      <w:r w:rsidRPr="00B23678">
        <w:rPr>
          <w:szCs w:val="28"/>
        </w:rPr>
        <w:tab/>
      </w:r>
    </w:p>
    <w:p w:rsidR="0008755D" w:rsidRPr="00B23678" w:rsidRDefault="0008755D" w:rsidP="0008755D">
      <w:pPr>
        <w:jc w:val="center"/>
      </w:pPr>
      <w:r w:rsidRPr="00B23678">
        <w:t>____________</w:t>
      </w:r>
    </w:p>
    <w:p w:rsidR="00A34041" w:rsidRPr="00B23678" w:rsidRDefault="00A34041" w:rsidP="00A34041">
      <w:pPr>
        <w:rPr>
          <w:szCs w:val="28"/>
          <w:lang w:val="en-US"/>
        </w:rPr>
      </w:pPr>
    </w:p>
    <w:p w:rsidR="007349A9" w:rsidRPr="00B23678" w:rsidRDefault="007349A9" w:rsidP="00A34041">
      <w:pPr>
        <w:rPr>
          <w:szCs w:val="28"/>
          <w:lang w:val="en-US"/>
        </w:rPr>
      </w:pPr>
    </w:p>
    <w:p w:rsidR="00B3536F" w:rsidRPr="00B23678" w:rsidRDefault="00B3536F" w:rsidP="00B3536F">
      <w:pPr>
        <w:tabs>
          <w:tab w:val="clear" w:pos="1440"/>
        </w:tabs>
        <w:spacing w:after="120"/>
        <w:rPr>
          <w:szCs w:val="28"/>
          <w:lang w:val="en-US"/>
        </w:rPr>
      </w:pPr>
      <w:r w:rsidRPr="00B23678">
        <w:rPr>
          <w:szCs w:val="28"/>
          <w:lang w:val="en-US"/>
        </w:rPr>
        <w:t xml:space="preserve">Before: </w:t>
      </w:r>
      <w:r w:rsidR="00463B33" w:rsidRPr="00B23678">
        <w:rPr>
          <w:szCs w:val="28"/>
        </w:rPr>
        <w:t xml:space="preserve">Hon </w:t>
      </w:r>
      <w:proofErr w:type="spellStart"/>
      <w:r w:rsidR="00DF1437" w:rsidRPr="00B23678">
        <w:rPr>
          <w:szCs w:val="28"/>
        </w:rPr>
        <w:t>Lunn</w:t>
      </w:r>
      <w:proofErr w:type="spellEnd"/>
      <w:r w:rsidR="00DF1437" w:rsidRPr="00B23678">
        <w:rPr>
          <w:szCs w:val="28"/>
        </w:rPr>
        <w:t xml:space="preserve"> VP</w:t>
      </w:r>
      <w:r w:rsidR="00F16BB0">
        <w:rPr>
          <w:szCs w:val="28"/>
        </w:rPr>
        <w:t>, Hon</w:t>
      </w:r>
      <w:r w:rsidRPr="00B23678">
        <w:rPr>
          <w:szCs w:val="28"/>
        </w:rPr>
        <w:t xml:space="preserve"> Pang J</w:t>
      </w:r>
      <w:r w:rsidR="00DF1437" w:rsidRPr="00B23678">
        <w:rPr>
          <w:szCs w:val="28"/>
        </w:rPr>
        <w:t>A</w:t>
      </w:r>
      <w:r w:rsidR="00F16BB0">
        <w:rPr>
          <w:szCs w:val="28"/>
        </w:rPr>
        <w:t xml:space="preserve"> and Hon </w:t>
      </w:r>
      <w:proofErr w:type="spellStart"/>
      <w:r w:rsidR="00F16BB0">
        <w:rPr>
          <w:szCs w:val="28"/>
        </w:rPr>
        <w:t>Toh</w:t>
      </w:r>
      <w:proofErr w:type="spellEnd"/>
      <w:r w:rsidR="00F16BB0">
        <w:rPr>
          <w:szCs w:val="28"/>
        </w:rPr>
        <w:t xml:space="preserve"> J</w:t>
      </w:r>
      <w:r w:rsidR="00DF1437" w:rsidRPr="00B23678">
        <w:rPr>
          <w:szCs w:val="28"/>
        </w:rPr>
        <w:t xml:space="preserve"> in Court</w:t>
      </w:r>
    </w:p>
    <w:p w:rsidR="00B3536F" w:rsidRPr="00B23678" w:rsidRDefault="00B3536F" w:rsidP="00B3536F">
      <w:pPr>
        <w:tabs>
          <w:tab w:val="clear" w:pos="1440"/>
        </w:tabs>
        <w:spacing w:after="120"/>
        <w:rPr>
          <w:szCs w:val="28"/>
          <w:lang w:val="en-US"/>
        </w:rPr>
      </w:pPr>
      <w:r w:rsidRPr="00B23678">
        <w:rPr>
          <w:szCs w:val="28"/>
          <w:lang w:val="en-US"/>
        </w:rPr>
        <w:t xml:space="preserve">Date of Hearing: </w:t>
      </w:r>
      <w:r w:rsidR="00F16BB0">
        <w:rPr>
          <w:szCs w:val="28"/>
          <w:lang w:val="en-US"/>
        </w:rPr>
        <w:t>9</w:t>
      </w:r>
      <w:r w:rsidR="00F837D2" w:rsidRPr="00B23678">
        <w:rPr>
          <w:szCs w:val="28"/>
        </w:rPr>
        <w:t xml:space="preserve"> March 2016</w:t>
      </w:r>
    </w:p>
    <w:p w:rsidR="00721F59" w:rsidRPr="00B23678" w:rsidRDefault="00721F59" w:rsidP="00721F59">
      <w:pPr>
        <w:tabs>
          <w:tab w:val="clear" w:pos="1440"/>
        </w:tabs>
        <w:spacing w:after="120"/>
        <w:rPr>
          <w:szCs w:val="28"/>
        </w:rPr>
      </w:pPr>
      <w:r w:rsidRPr="00B23678">
        <w:rPr>
          <w:szCs w:val="28"/>
          <w:lang w:val="en-US"/>
        </w:rPr>
        <w:t xml:space="preserve">Date of Judgment: </w:t>
      </w:r>
      <w:r w:rsidR="000F4AFA">
        <w:rPr>
          <w:rFonts w:hint="eastAsia"/>
          <w:szCs w:val="28"/>
          <w:lang w:val="en-US"/>
        </w:rPr>
        <w:t>21</w:t>
      </w:r>
      <w:r w:rsidR="00417774" w:rsidRPr="00B23678">
        <w:rPr>
          <w:szCs w:val="28"/>
        </w:rPr>
        <w:t xml:space="preserve"> </w:t>
      </w:r>
      <w:r w:rsidR="00F16BB0">
        <w:rPr>
          <w:szCs w:val="28"/>
        </w:rPr>
        <w:t>April</w:t>
      </w:r>
      <w:r w:rsidR="00F837D2" w:rsidRPr="00B23678">
        <w:rPr>
          <w:szCs w:val="28"/>
        </w:rPr>
        <w:t xml:space="preserve"> 2016</w:t>
      </w:r>
    </w:p>
    <w:p w:rsidR="009413D6" w:rsidRPr="00B23678" w:rsidRDefault="009413D6" w:rsidP="009413D6">
      <w:pPr>
        <w:tabs>
          <w:tab w:val="clear" w:pos="1440"/>
        </w:tabs>
        <w:spacing w:after="120"/>
        <w:rPr>
          <w:szCs w:val="28"/>
          <w:lang w:val="en-US"/>
        </w:rPr>
      </w:pPr>
    </w:p>
    <w:p w:rsidR="009413D6" w:rsidRPr="00B23678" w:rsidRDefault="009413D6" w:rsidP="009413D6">
      <w:pPr>
        <w:keepNext/>
        <w:spacing w:line="360" w:lineRule="auto"/>
        <w:jc w:val="center"/>
        <w:rPr>
          <w:strike/>
          <w:szCs w:val="28"/>
        </w:rPr>
      </w:pPr>
    </w:p>
    <w:tbl>
      <w:tblPr>
        <w:tblW w:w="0" w:type="auto"/>
        <w:tblInd w:w="2898" w:type="dxa"/>
        <w:tblBorders>
          <w:top w:val="single" w:sz="4" w:space="0" w:color="auto"/>
          <w:bottom w:val="single" w:sz="4" w:space="0" w:color="auto"/>
          <w:insideH w:val="single" w:sz="4" w:space="0" w:color="auto"/>
          <w:insideV w:val="single" w:sz="4" w:space="0" w:color="auto"/>
        </w:tblBorders>
        <w:tblLook w:val="04A0"/>
      </w:tblPr>
      <w:tblGrid>
        <w:gridCol w:w="2790"/>
      </w:tblGrid>
      <w:tr w:rsidR="00F837D2" w:rsidRPr="00B23678" w:rsidTr="000F4AFA">
        <w:trPr>
          <w:trHeight w:val="593"/>
        </w:trPr>
        <w:tc>
          <w:tcPr>
            <w:tcW w:w="2790" w:type="dxa"/>
            <w:vAlign w:val="center"/>
          </w:tcPr>
          <w:p w:rsidR="00F837D2" w:rsidRPr="00B23678" w:rsidRDefault="00F837D2" w:rsidP="001153BA">
            <w:pPr>
              <w:tabs>
                <w:tab w:val="clear" w:pos="1440"/>
              </w:tabs>
              <w:overflowPunct w:val="0"/>
              <w:ind w:left="-533" w:right="-558"/>
              <w:jc w:val="center"/>
              <w:rPr>
                <w:szCs w:val="28"/>
              </w:rPr>
            </w:pPr>
            <w:r w:rsidRPr="00B23678">
              <w:rPr>
                <w:szCs w:val="28"/>
              </w:rPr>
              <w:t>J U D G M E N T</w:t>
            </w:r>
          </w:p>
        </w:tc>
      </w:tr>
    </w:tbl>
    <w:p w:rsidR="009413D6" w:rsidRPr="00B23678" w:rsidRDefault="009413D6" w:rsidP="009413D6">
      <w:pPr>
        <w:keepNext/>
        <w:spacing w:line="360" w:lineRule="auto"/>
        <w:jc w:val="center"/>
        <w:rPr>
          <w:szCs w:val="28"/>
        </w:rPr>
      </w:pPr>
    </w:p>
    <w:p w:rsidR="002C4B3B" w:rsidRPr="00B23678" w:rsidRDefault="009413D6" w:rsidP="00F55AD4">
      <w:pPr>
        <w:pStyle w:val="Final"/>
        <w:numPr>
          <w:ilvl w:val="0"/>
          <w:numId w:val="0"/>
        </w:numPr>
      </w:pPr>
      <w:r w:rsidRPr="00B23678">
        <w:t>Hon Pang J</w:t>
      </w:r>
      <w:r w:rsidR="00DF1437" w:rsidRPr="00B23678">
        <w:t>A</w:t>
      </w:r>
      <w:r w:rsidRPr="00B23678">
        <w:t xml:space="preserve"> (giving the</w:t>
      </w:r>
      <w:r w:rsidR="00BC10B0" w:rsidRPr="00B23678">
        <w:t xml:space="preserve"> </w:t>
      </w:r>
      <w:r w:rsidRPr="00B23678">
        <w:t>judgment of the court):</w:t>
      </w:r>
    </w:p>
    <w:p w:rsidR="00CC49B8" w:rsidRPr="00B23678" w:rsidRDefault="003E4F1F" w:rsidP="00756BEE">
      <w:pPr>
        <w:pStyle w:val="Final"/>
        <w:numPr>
          <w:ilvl w:val="0"/>
          <w:numId w:val="28"/>
        </w:numPr>
        <w:spacing w:after="480"/>
        <w:ind w:left="0" w:firstLine="0"/>
      </w:pPr>
      <w:r w:rsidRPr="00B23678">
        <w:rPr>
          <w:rFonts w:eastAsia="SimSun"/>
          <w:szCs w:val="28"/>
        </w:rPr>
        <w:t xml:space="preserve">On 20 May 2015, in the District Court, the appellant was convicted after trial of one charge of burglary, contrary to section 11(1)(b) and (4) of the Theft Ordinance, and was sentenced by Judge Douglas </w:t>
      </w:r>
      <w:proofErr w:type="spellStart"/>
      <w:r w:rsidRPr="00B23678">
        <w:rPr>
          <w:rFonts w:eastAsia="SimSun"/>
          <w:szCs w:val="28"/>
        </w:rPr>
        <w:t>Yau</w:t>
      </w:r>
      <w:proofErr w:type="spellEnd"/>
      <w:r w:rsidRPr="00B23678">
        <w:rPr>
          <w:rFonts w:eastAsia="SimSun"/>
          <w:szCs w:val="28"/>
        </w:rPr>
        <w:t xml:space="preserve">, the trial judge, to 3 years and 3 months’ imprisonment.  On 29 May 2015, </w:t>
      </w:r>
      <w:r w:rsidRPr="00B23678">
        <w:rPr>
          <w:rFonts w:eastAsia="SimSun"/>
          <w:szCs w:val="28"/>
        </w:rPr>
        <w:lastRenderedPageBreak/>
        <w:t>the appellant filed his Notice to apply</w:t>
      </w:r>
      <w:r w:rsidRPr="00B23678">
        <w:rPr>
          <w:szCs w:val="28"/>
          <w:lang w:eastAsia="zh-HK"/>
        </w:rPr>
        <w:t xml:space="preserve"> for </w:t>
      </w:r>
      <w:r w:rsidRPr="00B23678">
        <w:rPr>
          <w:rFonts w:eastAsia="SimSun"/>
          <w:szCs w:val="28"/>
        </w:rPr>
        <w:t>L</w:t>
      </w:r>
      <w:r w:rsidRPr="00B23678">
        <w:rPr>
          <w:szCs w:val="28"/>
          <w:lang w:eastAsia="zh-HK"/>
        </w:rPr>
        <w:t xml:space="preserve">eave to </w:t>
      </w:r>
      <w:r w:rsidRPr="00B23678">
        <w:rPr>
          <w:rFonts w:eastAsia="SimSun"/>
          <w:szCs w:val="28"/>
        </w:rPr>
        <w:t>a</w:t>
      </w:r>
      <w:r w:rsidRPr="00B23678">
        <w:rPr>
          <w:szCs w:val="28"/>
          <w:lang w:eastAsia="zh-HK"/>
        </w:rPr>
        <w:t xml:space="preserve">ppeal against </w:t>
      </w:r>
      <w:r w:rsidRPr="00B23678">
        <w:rPr>
          <w:rFonts w:eastAsia="SimSun"/>
          <w:szCs w:val="28"/>
        </w:rPr>
        <w:t>Conviction and, such partial leave having been granted by the Single Judge (</w:t>
      </w:r>
      <w:proofErr w:type="spellStart"/>
      <w:r w:rsidRPr="00B23678">
        <w:rPr>
          <w:rFonts w:eastAsia="SimSun"/>
          <w:szCs w:val="28"/>
        </w:rPr>
        <w:t>McWalters</w:t>
      </w:r>
      <w:proofErr w:type="spellEnd"/>
      <w:r w:rsidRPr="00B23678">
        <w:rPr>
          <w:rFonts w:eastAsia="SimSun"/>
          <w:szCs w:val="28"/>
        </w:rPr>
        <w:t xml:space="preserve"> JA)</w:t>
      </w:r>
      <w:r w:rsidRPr="00B23678">
        <w:rPr>
          <w:rStyle w:val="FootnoteReference"/>
          <w:rFonts w:eastAsia="SimSun"/>
          <w:szCs w:val="28"/>
        </w:rPr>
        <w:footnoteReference w:id="1"/>
      </w:r>
      <w:r w:rsidRPr="00B23678">
        <w:rPr>
          <w:rFonts w:eastAsia="SimSun"/>
          <w:szCs w:val="28"/>
        </w:rPr>
        <w:t xml:space="preserve">, the appeal </w:t>
      </w:r>
      <w:r w:rsidRPr="00B23678">
        <w:rPr>
          <w:szCs w:val="28"/>
          <w:lang w:eastAsia="zh-HK"/>
        </w:rPr>
        <w:t xml:space="preserve">was brought </w:t>
      </w:r>
      <w:r w:rsidRPr="00B23678">
        <w:rPr>
          <w:rFonts w:eastAsia="SimSun"/>
          <w:szCs w:val="28"/>
        </w:rPr>
        <w:t>before us for determination.</w:t>
      </w:r>
    </w:p>
    <w:p w:rsidR="00CC49B8" w:rsidRPr="00B23678" w:rsidRDefault="003E4F1F" w:rsidP="00207EEC">
      <w:pPr>
        <w:pStyle w:val="H-1"/>
        <w:rPr>
          <w:lang w:eastAsia="zh-HK"/>
        </w:rPr>
      </w:pPr>
      <w:r w:rsidRPr="00B23678">
        <w:rPr>
          <w:szCs w:val="28"/>
          <w:lang w:eastAsia="zh-HK"/>
        </w:rPr>
        <w:t xml:space="preserve">THE </w:t>
      </w:r>
      <w:r w:rsidRPr="00B23678">
        <w:rPr>
          <w:rFonts w:eastAsia="SimSun"/>
          <w:szCs w:val="28"/>
        </w:rPr>
        <w:t>PROSECUTION CASE</w:t>
      </w:r>
    </w:p>
    <w:p w:rsidR="00CC49B8" w:rsidRPr="00B23678" w:rsidRDefault="003E4F1F" w:rsidP="00756BEE">
      <w:pPr>
        <w:pStyle w:val="Final"/>
        <w:numPr>
          <w:ilvl w:val="0"/>
          <w:numId w:val="28"/>
        </w:numPr>
        <w:spacing w:after="480"/>
        <w:ind w:left="0" w:firstLine="0"/>
      </w:pPr>
      <w:r w:rsidRPr="00B23678">
        <w:rPr>
          <w:rFonts w:eastAsia="SimSun"/>
          <w:szCs w:val="28"/>
        </w:rPr>
        <w:t>The matter arose from what is commonly called a domestic burglary.  The prosecution case was one that relied solely on DNA evidence</w:t>
      </w:r>
      <w:r w:rsidRPr="00B23678">
        <w:rPr>
          <w:szCs w:val="28"/>
          <w:lang w:eastAsia="zh-HK"/>
        </w:rPr>
        <w:t xml:space="preserve">.  </w:t>
      </w:r>
      <w:r w:rsidR="00883F8F">
        <w:rPr>
          <w:rFonts w:hint="eastAsia"/>
          <w:szCs w:val="28"/>
        </w:rPr>
        <w:t>It</w:t>
      </w:r>
      <w:r w:rsidRPr="00B23678">
        <w:rPr>
          <w:rFonts w:eastAsia="SimSun"/>
          <w:szCs w:val="28"/>
        </w:rPr>
        <w:t xml:space="preserve"> alleged</w:t>
      </w:r>
      <w:r w:rsidRPr="00B23678">
        <w:rPr>
          <w:szCs w:val="28"/>
          <w:lang w:eastAsia="zh-HK"/>
        </w:rPr>
        <w:t xml:space="preserve"> that</w:t>
      </w:r>
      <w:r w:rsidRPr="00B23678">
        <w:rPr>
          <w:rFonts w:eastAsia="SimSun"/>
          <w:szCs w:val="28"/>
        </w:rPr>
        <w:t>,</w:t>
      </w:r>
      <w:r w:rsidRPr="00B23678">
        <w:rPr>
          <w:szCs w:val="28"/>
          <w:lang w:eastAsia="zh-HK"/>
        </w:rPr>
        <w:t xml:space="preserve"> in the course of ransacking the burgled premises, the </w:t>
      </w:r>
      <w:r w:rsidRPr="00B23678">
        <w:rPr>
          <w:rFonts w:eastAsia="SimSun"/>
          <w:szCs w:val="28"/>
        </w:rPr>
        <w:t>appellant</w:t>
      </w:r>
      <w:r w:rsidRPr="00B23678">
        <w:rPr>
          <w:szCs w:val="28"/>
          <w:lang w:eastAsia="zh-HK"/>
        </w:rPr>
        <w:t xml:space="preserve"> had left his DNA on Exhibit P1, a wooden box.  Significantly, this box was found lying on a bed on its own, whereas the </w:t>
      </w:r>
      <w:r w:rsidRPr="00B23678">
        <w:rPr>
          <w:rFonts w:eastAsia="SimSun"/>
          <w:szCs w:val="28"/>
        </w:rPr>
        <w:t>plastic box</w:t>
      </w:r>
      <w:r w:rsidRPr="00B23678">
        <w:rPr>
          <w:szCs w:val="28"/>
          <w:lang w:eastAsia="zh-HK"/>
        </w:rPr>
        <w:t xml:space="preserve"> </w:t>
      </w:r>
      <w:r w:rsidRPr="00B23678">
        <w:rPr>
          <w:rFonts w:eastAsia="SimSun"/>
          <w:szCs w:val="28"/>
        </w:rPr>
        <w:t xml:space="preserve">in </w:t>
      </w:r>
      <w:r w:rsidRPr="00B23678">
        <w:rPr>
          <w:szCs w:val="28"/>
          <w:lang w:eastAsia="zh-HK"/>
        </w:rPr>
        <w:t xml:space="preserve">which </w:t>
      </w:r>
      <w:r w:rsidRPr="00B23678">
        <w:rPr>
          <w:rFonts w:eastAsia="SimSun"/>
          <w:szCs w:val="28"/>
        </w:rPr>
        <w:t xml:space="preserve">it was usually kept </w:t>
      </w:r>
      <w:r w:rsidRPr="00B23678">
        <w:rPr>
          <w:szCs w:val="28"/>
          <w:lang w:eastAsia="zh-HK"/>
        </w:rPr>
        <w:t xml:space="preserve">had been </w:t>
      </w:r>
      <w:r w:rsidRPr="00B23678">
        <w:rPr>
          <w:rFonts w:eastAsia="SimSun"/>
          <w:szCs w:val="28"/>
        </w:rPr>
        <w:t>moved from its original</w:t>
      </w:r>
      <w:r w:rsidRPr="00B23678">
        <w:rPr>
          <w:szCs w:val="28"/>
          <w:lang w:eastAsia="zh-HK"/>
        </w:rPr>
        <w:t xml:space="preserve"> position.</w:t>
      </w:r>
    </w:p>
    <w:p w:rsidR="00CC49B8" w:rsidRPr="00B23678" w:rsidRDefault="003E4F1F" w:rsidP="007256F3">
      <w:pPr>
        <w:pStyle w:val="Final"/>
        <w:numPr>
          <w:ilvl w:val="0"/>
          <w:numId w:val="28"/>
        </w:numPr>
        <w:ind w:left="0" w:firstLine="0"/>
        <w:rPr>
          <w:lang w:eastAsia="zh-HK"/>
        </w:rPr>
      </w:pPr>
      <w:r w:rsidRPr="00B23678">
        <w:rPr>
          <w:rFonts w:eastAsia="SimSun"/>
          <w:szCs w:val="28"/>
        </w:rPr>
        <w:t>To place the above evidence in its full factual context, we refer to the Reasons for Verdict.  Beginning with Ms Wong Kei Wang, the occupant of the burgled premises, the judge recounted:</w:t>
      </w:r>
    </w:p>
    <w:p w:rsidR="003E4F1F" w:rsidRPr="00B23678" w:rsidRDefault="003E4F1F" w:rsidP="00DF577E">
      <w:pPr>
        <w:pStyle w:val="ListParagraph"/>
        <w:widowControl/>
        <w:tabs>
          <w:tab w:val="left" w:pos="2552"/>
        </w:tabs>
        <w:snapToGrid w:val="0"/>
        <w:spacing w:before="240" w:after="400"/>
        <w:ind w:leftChars="0" w:left="1411" w:right="893"/>
        <w:jc w:val="both"/>
        <w:rPr>
          <w:rFonts w:ascii="Times New Roman" w:eastAsia="SimSun" w:hAnsi="Times New Roman"/>
          <w:szCs w:val="24"/>
          <w:lang w:eastAsia="zh-CN"/>
        </w:rPr>
      </w:pPr>
      <w:r w:rsidRPr="00B23678">
        <w:rPr>
          <w:rFonts w:ascii="Times New Roman" w:eastAsia="SimSun" w:hAnsi="Times New Roman"/>
          <w:szCs w:val="24"/>
          <w:lang w:eastAsia="zh-CN"/>
        </w:rPr>
        <w:t>“10.</w:t>
      </w:r>
      <w:r w:rsidRPr="00B23678">
        <w:rPr>
          <w:rFonts w:ascii="Times New Roman" w:eastAsia="SimSun" w:hAnsi="Times New Roman"/>
          <w:szCs w:val="24"/>
          <w:lang w:eastAsia="zh-CN"/>
        </w:rPr>
        <w:tab/>
        <w:t xml:space="preserve">Ms Wong …. </w:t>
      </w:r>
      <w:proofErr w:type="gramStart"/>
      <w:r w:rsidRPr="00B23678">
        <w:rPr>
          <w:rFonts w:ascii="Times New Roman" w:eastAsia="SimSun" w:hAnsi="Times New Roman"/>
          <w:szCs w:val="24"/>
          <w:lang w:eastAsia="zh-CN"/>
        </w:rPr>
        <w:t>left</w:t>
      </w:r>
      <w:proofErr w:type="gramEnd"/>
      <w:r w:rsidRPr="00B23678">
        <w:rPr>
          <w:rFonts w:ascii="Times New Roman" w:eastAsia="SimSun" w:hAnsi="Times New Roman"/>
          <w:szCs w:val="24"/>
          <w:lang w:eastAsia="zh-CN"/>
        </w:rPr>
        <w:t xml:space="preserve"> the flat on the morning of 10 January.  At around 7:20 pm, she received a phone call from her elder sister who was staying with her</w:t>
      </w:r>
      <w:r w:rsidRPr="00B23678">
        <w:rPr>
          <w:rFonts w:ascii="Times New Roman" w:eastAsia="SimSun" w:hAnsi="Times New Roman"/>
          <w:lang w:eastAsia="zh-CN"/>
        </w:rPr>
        <w:footnoteReference w:id="2"/>
      </w:r>
      <w:r w:rsidRPr="00B23678">
        <w:rPr>
          <w:rFonts w:ascii="Times New Roman" w:eastAsia="SimSun" w:hAnsi="Times New Roman"/>
          <w:szCs w:val="24"/>
          <w:lang w:eastAsia="zh-CN"/>
        </w:rPr>
        <w:t>, telling her that they had been burgled.  Ms Wong arrived home at around 8 pm to find her place ransacked, as depicted in the photos of Exhibit P2, photos 1 to 18.  The wooden door that can be seen to have been damaged in photos 3, 4 and 5 was intact when she left home.</w:t>
      </w:r>
    </w:p>
    <w:p w:rsidR="003E4F1F" w:rsidRPr="00B23678" w:rsidRDefault="003E4F1F" w:rsidP="00DF577E">
      <w:pPr>
        <w:pStyle w:val="ListParagraph"/>
        <w:widowControl/>
        <w:tabs>
          <w:tab w:val="left" w:pos="2552"/>
        </w:tabs>
        <w:snapToGrid w:val="0"/>
        <w:spacing w:before="240" w:after="400"/>
        <w:ind w:leftChars="0" w:left="1411" w:right="893"/>
        <w:jc w:val="both"/>
        <w:rPr>
          <w:rFonts w:ascii="Times New Roman" w:eastAsia="SimSun" w:hAnsi="Times New Roman"/>
          <w:szCs w:val="24"/>
          <w:lang w:eastAsia="zh-CN"/>
        </w:rPr>
      </w:pPr>
      <w:r w:rsidRPr="00B23678">
        <w:rPr>
          <w:rFonts w:ascii="Times New Roman" w:eastAsia="SimSun" w:hAnsi="Times New Roman"/>
          <w:szCs w:val="24"/>
          <w:lang w:eastAsia="zh-CN"/>
        </w:rPr>
        <w:t>11.</w:t>
      </w:r>
      <w:r w:rsidRPr="00B23678">
        <w:rPr>
          <w:rFonts w:ascii="Times New Roman" w:eastAsia="SimSun" w:hAnsi="Times New Roman"/>
          <w:szCs w:val="24"/>
          <w:lang w:eastAsia="zh-CN"/>
        </w:rPr>
        <w:tab/>
        <w:t>Ms Wong was specifically asked about a wooden box (Exhibit P1).  It is her evidence that the box belongs to her mother who has had it for over 20 years and had always been kept in her mother’s room</w:t>
      </w:r>
      <w:r w:rsidRPr="00B23678">
        <w:rPr>
          <w:rFonts w:ascii="Times New Roman" w:eastAsia="SimSun" w:hAnsi="Times New Roman"/>
          <w:lang w:eastAsia="zh-CN"/>
        </w:rPr>
        <w:footnoteReference w:id="3"/>
      </w:r>
      <w:r w:rsidRPr="00B23678">
        <w:rPr>
          <w:rFonts w:ascii="Times New Roman" w:eastAsia="SimSun" w:hAnsi="Times New Roman"/>
          <w:szCs w:val="24"/>
          <w:lang w:eastAsia="zh-CN"/>
        </w:rPr>
        <w:t xml:space="preserve">, inside the plastic box which can be seen opened on the bed in photo 13, together with other boxes.  </w:t>
      </w:r>
      <w:r w:rsidRPr="00B23678">
        <w:rPr>
          <w:rFonts w:ascii="Times New Roman" w:eastAsia="SimSun" w:hAnsi="Times New Roman"/>
          <w:szCs w:val="24"/>
          <w:lang w:eastAsia="zh-CN"/>
        </w:rPr>
        <w:lastRenderedPageBreak/>
        <w:t>The big plastic box was not on the bed when Ms Wong left the flat in the morning.</w:t>
      </w:r>
    </w:p>
    <w:p w:rsidR="003E4F1F" w:rsidRPr="00B23678" w:rsidRDefault="003E4F1F" w:rsidP="00DF577E">
      <w:pPr>
        <w:pStyle w:val="ListParagraph"/>
        <w:widowControl/>
        <w:tabs>
          <w:tab w:val="left" w:pos="2552"/>
        </w:tabs>
        <w:snapToGrid w:val="0"/>
        <w:spacing w:before="240" w:after="400"/>
        <w:ind w:leftChars="0" w:left="1411" w:right="893"/>
        <w:jc w:val="both"/>
        <w:rPr>
          <w:rFonts w:ascii="Times New Roman" w:eastAsia="SimSun" w:hAnsi="Times New Roman"/>
          <w:szCs w:val="24"/>
          <w:lang w:eastAsia="zh-CN"/>
        </w:rPr>
      </w:pPr>
      <w:r w:rsidRPr="00B23678">
        <w:rPr>
          <w:rFonts w:ascii="Times New Roman" w:eastAsia="SimSun" w:hAnsi="Times New Roman"/>
          <w:szCs w:val="24"/>
          <w:lang w:eastAsia="zh-CN"/>
        </w:rPr>
        <w:t>12.</w:t>
      </w:r>
      <w:r w:rsidRPr="00B23678">
        <w:rPr>
          <w:rFonts w:ascii="Times New Roman" w:eastAsia="SimSun" w:hAnsi="Times New Roman"/>
          <w:szCs w:val="24"/>
          <w:lang w:eastAsia="zh-CN"/>
        </w:rPr>
        <w:tab/>
        <w:t>Ms Wong did not touch anything while waiting for the police to arrive.  She did not touch her mother’s box before the police picked it up.</w:t>
      </w:r>
    </w:p>
    <w:p w:rsidR="003E4F1F" w:rsidRPr="00B23678" w:rsidRDefault="003E4F1F" w:rsidP="00DF577E">
      <w:pPr>
        <w:pStyle w:val="ListParagraph"/>
        <w:widowControl/>
        <w:tabs>
          <w:tab w:val="left" w:pos="2552"/>
        </w:tabs>
        <w:snapToGrid w:val="0"/>
        <w:spacing w:before="240" w:after="560"/>
        <w:ind w:leftChars="0" w:left="1411" w:right="893"/>
        <w:jc w:val="both"/>
        <w:rPr>
          <w:rFonts w:ascii="Times New Roman" w:eastAsia="SimSun" w:hAnsi="Times New Roman"/>
          <w:szCs w:val="24"/>
          <w:lang w:eastAsia="zh-CN"/>
        </w:rPr>
      </w:pPr>
      <w:r w:rsidRPr="00B23678">
        <w:rPr>
          <w:rFonts w:ascii="Times New Roman" w:eastAsia="SimSun" w:hAnsi="Times New Roman"/>
          <w:szCs w:val="24"/>
          <w:lang w:eastAsia="zh-CN"/>
        </w:rPr>
        <w:t>13.</w:t>
      </w:r>
      <w:r w:rsidRPr="00B23678">
        <w:rPr>
          <w:rFonts w:ascii="Times New Roman" w:eastAsia="SimSun" w:hAnsi="Times New Roman"/>
          <w:szCs w:val="24"/>
          <w:lang w:eastAsia="zh-CN"/>
        </w:rPr>
        <w:tab/>
        <w:t xml:space="preserve">Ms Wong did not employ any part or full-time domestic helper.  She had never invited the defendant into her flat, nor was any renovation work being done in the flat.  She never gave consent to anybody to enter the flat to take anything on 10 January 2014.” </w:t>
      </w:r>
    </w:p>
    <w:p w:rsidR="00CC49B8" w:rsidRPr="00B23678" w:rsidRDefault="003E4F1F" w:rsidP="00756BEE">
      <w:pPr>
        <w:pStyle w:val="Final"/>
        <w:numPr>
          <w:ilvl w:val="0"/>
          <w:numId w:val="28"/>
        </w:numPr>
        <w:spacing w:after="480"/>
        <w:ind w:left="0" w:firstLine="0"/>
        <w:rPr>
          <w:lang w:eastAsia="zh-HK"/>
        </w:rPr>
      </w:pPr>
      <w:r w:rsidRPr="00B23678">
        <w:rPr>
          <w:rFonts w:eastAsia="SimSun"/>
          <w:szCs w:val="28"/>
        </w:rPr>
        <w:t xml:space="preserve">PC 9682, Ng Tai </w:t>
      </w:r>
      <w:proofErr w:type="spellStart"/>
      <w:r w:rsidRPr="00B23678">
        <w:rPr>
          <w:rFonts w:eastAsia="SimSun"/>
          <w:szCs w:val="28"/>
        </w:rPr>
        <w:t>Shing</w:t>
      </w:r>
      <w:proofErr w:type="spellEnd"/>
      <w:r w:rsidRPr="00B23678">
        <w:rPr>
          <w:rFonts w:eastAsia="SimSun"/>
          <w:szCs w:val="28"/>
        </w:rPr>
        <w:t xml:space="preserve">, was one of the officers attending scene.  Insofar as it is relevant to the present appeal, </w:t>
      </w:r>
      <w:r w:rsidRPr="00B23678">
        <w:rPr>
          <w:szCs w:val="28"/>
          <w:lang w:eastAsia="zh-HK"/>
        </w:rPr>
        <w:t xml:space="preserve">Constable Ng’s </w:t>
      </w:r>
      <w:r w:rsidRPr="00B23678">
        <w:rPr>
          <w:rFonts w:eastAsia="SimSun"/>
          <w:szCs w:val="28"/>
        </w:rPr>
        <w:t xml:space="preserve">evidence was that he seized </w:t>
      </w:r>
      <w:r w:rsidRPr="00B23678">
        <w:rPr>
          <w:szCs w:val="28"/>
          <w:lang w:eastAsia="zh-HK"/>
        </w:rPr>
        <w:t>Exhibit P1</w:t>
      </w:r>
      <w:r w:rsidRPr="00B23678">
        <w:rPr>
          <w:rFonts w:eastAsia="SimSun"/>
          <w:szCs w:val="28"/>
        </w:rPr>
        <w:t xml:space="preserve">; he had it in safekeeping until the same was </w:t>
      </w:r>
      <w:r w:rsidRPr="00B23678">
        <w:rPr>
          <w:szCs w:val="28"/>
          <w:lang w:eastAsia="zh-HK"/>
        </w:rPr>
        <w:t>sen</w:t>
      </w:r>
      <w:r w:rsidRPr="00B23678">
        <w:rPr>
          <w:rFonts w:eastAsia="SimSun"/>
          <w:szCs w:val="28"/>
        </w:rPr>
        <w:t>t to the Government Laboratory for examination</w:t>
      </w:r>
      <w:r w:rsidRPr="00B23678">
        <w:rPr>
          <w:rStyle w:val="FootnoteReference"/>
          <w:rFonts w:eastAsia="SimSun"/>
          <w:szCs w:val="28"/>
        </w:rPr>
        <w:footnoteReference w:id="4"/>
      </w:r>
      <w:r w:rsidRPr="00B23678">
        <w:rPr>
          <w:rFonts w:eastAsia="SimSun"/>
          <w:szCs w:val="28"/>
        </w:rPr>
        <w:t>.</w:t>
      </w:r>
    </w:p>
    <w:p w:rsidR="00CC49B8" w:rsidRPr="00B23678" w:rsidRDefault="003E4F1F" w:rsidP="007256F3">
      <w:pPr>
        <w:pStyle w:val="Final"/>
        <w:numPr>
          <w:ilvl w:val="0"/>
          <w:numId w:val="28"/>
        </w:numPr>
        <w:ind w:left="0" w:firstLine="0"/>
        <w:rPr>
          <w:lang w:eastAsia="zh-HK"/>
        </w:rPr>
      </w:pPr>
      <w:r w:rsidRPr="00B23678">
        <w:rPr>
          <w:rFonts w:eastAsia="SimSun"/>
          <w:szCs w:val="28"/>
        </w:rPr>
        <w:t xml:space="preserve">Ms Wong </w:t>
      </w:r>
      <w:r w:rsidRPr="00B23678">
        <w:rPr>
          <w:szCs w:val="28"/>
          <w:lang w:eastAsia="zh-HK"/>
        </w:rPr>
        <w:t xml:space="preserve">Lai </w:t>
      </w:r>
      <w:r w:rsidRPr="00B23678">
        <w:rPr>
          <w:rFonts w:eastAsia="SimSun"/>
          <w:szCs w:val="28"/>
        </w:rPr>
        <w:t>Man</w:t>
      </w:r>
      <w:r w:rsidRPr="00B23678">
        <w:rPr>
          <w:szCs w:val="28"/>
          <w:lang w:eastAsia="zh-HK"/>
        </w:rPr>
        <w:t xml:space="preserve"> was the </w:t>
      </w:r>
      <w:r w:rsidRPr="00B23678">
        <w:rPr>
          <w:rFonts w:eastAsia="SimSun"/>
          <w:szCs w:val="28"/>
        </w:rPr>
        <w:t xml:space="preserve">third and final prosecution witness.  A forensic analyst, it was </w:t>
      </w:r>
      <w:r w:rsidRPr="00B23678">
        <w:rPr>
          <w:szCs w:val="28"/>
          <w:lang w:eastAsia="zh-HK"/>
        </w:rPr>
        <w:t>Ms Wong</w:t>
      </w:r>
      <w:r w:rsidRPr="00B23678">
        <w:rPr>
          <w:rFonts w:eastAsia="SimSun"/>
          <w:szCs w:val="28"/>
        </w:rPr>
        <w:t xml:space="preserve"> who provided the crucial DNA evidence.  Her conclusions were (a) the appellant’s DNA and the DNA lifted from Exhibit P1 </w:t>
      </w:r>
      <w:r w:rsidRPr="00B23678">
        <w:rPr>
          <w:szCs w:val="28"/>
          <w:lang w:eastAsia="zh-HK"/>
        </w:rPr>
        <w:t xml:space="preserve">actually </w:t>
      </w:r>
      <w:r w:rsidRPr="00B23678">
        <w:rPr>
          <w:rFonts w:eastAsia="SimSun"/>
          <w:szCs w:val="28"/>
        </w:rPr>
        <w:t>match</w:t>
      </w:r>
      <w:r w:rsidRPr="00B23678">
        <w:rPr>
          <w:szCs w:val="28"/>
          <w:lang w:eastAsia="zh-HK"/>
        </w:rPr>
        <w:t>ed</w:t>
      </w:r>
      <w:r w:rsidRPr="00B23678">
        <w:rPr>
          <w:rFonts w:eastAsia="SimSun"/>
          <w:szCs w:val="28"/>
        </w:rPr>
        <w:t>, and (b) the probability of that DNA originating from a donor who was not</w:t>
      </w:r>
      <w:r w:rsidRPr="00B23678">
        <w:rPr>
          <w:szCs w:val="28"/>
          <w:lang w:eastAsia="zh-HK"/>
        </w:rPr>
        <w:t xml:space="preserve"> the appellant </w:t>
      </w:r>
      <w:r w:rsidRPr="00B23678">
        <w:rPr>
          <w:rFonts w:eastAsia="SimSun"/>
          <w:szCs w:val="28"/>
        </w:rPr>
        <w:t xml:space="preserve">was but </w:t>
      </w:r>
      <w:r w:rsidRPr="00B23678">
        <w:rPr>
          <w:szCs w:val="28"/>
          <w:lang w:eastAsia="zh-HK"/>
        </w:rPr>
        <w:t>1</w:t>
      </w:r>
      <w:r w:rsidRPr="00B23678">
        <w:rPr>
          <w:rFonts w:eastAsia="Malgun Gothic"/>
          <w:szCs w:val="28"/>
        </w:rPr>
        <w:t xml:space="preserve"> in 11.7 quadrillion</w:t>
      </w:r>
      <w:r w:rsidRPr="00B23678">
        <w:rPr>
          <w:szCs w:val="28"/>
          <w:lang w:eastAsia="zh-HK"/>
        </w:rPr>
        <w:t xml:space="preserve">.  The details </w:t>
      </w:r>
      <w:r w:rsidRPr="00B23678">
        <w:rPr>
          <w:rFonts w:eastAsia="SimSun"/>
          <w:szCs w:val="28"/>
        </w:rPr>
        <w:t xml:space="preserve">of her evidence </w:t>
      </w:r>
      <w:r w:rsidRPr="00B23678">
        <w:rPr>
          <w:szCs w:val="28"/>
          <w:lang w:eastAsia="zh-HK"/>
        </w:rPr>
        <w:t>are as summarized by the judge below</w:t>
      </w:r>
      <w:r w:rsidRPr="00B23678">
        <w:rPr>
          <w:rFonts w:eastAsia="SimSun"/>
          <w:szCs w:val="28"/>
        </w:rPr>
        <w:t>:</w:t>
      </w:r>
    </w:p>
    <w:p w:rsidR="00B0622D" w:rsidRPr="00B23678" w:rsidRDefault="00B0622D" w:rsidP="00DF577E">
      <w:pPr>
        <w:pStyle w:val="ListParagraph"/>
        <w:widowControl/>
        <w:tabs>
          <w:tab w:val="left" w:pos="2552"/>
        </w:tabs>
        <w:snapToGrid w:val="0"/>
        <w:spacing w:before="240" w:after="400"/>
        <w:ind w:leftChars="0" w:left="1411" w:right="893"/>
        <w:jc w:val="both"/>
        <w:rPr>
          <w:rFonts w:ascii="Times New Roman" w:eastAsia="SimSun" w:hAnsi="Times New Roman"/>
          <w:szCs w:val="24"/>
          <w:lang w:eastAsia="zh-CN"/>
        </w:rPr>
      </w:pPr>
      <w:r w:rsidRPr="00B23678">
        <w:rPr>
          <w:rFonts w:ascii="Times New Roman" w:eastAsia="SimSun" w:hAnsi="Times New Roman"/>
          <w:szCs w:val="24"/>
          <w:lang w:eastAsia="zh-CN"/>
        </w:rPr>
        <w:t>“</w:t>
      </w:r>
      <w:r w:rsidRPr="00DF577E">
        <w:rPr>
          <w:rFonts w:ascii="Times New Roman" w:eastAsia="SimSun" w:hAnsi="Times New Roman"/>
          <w:szCs w:val="24"/>
          <w:lang w:eastAsia="zh-CN"/>
        </w:rPr>
        <w:t>22.</w:t>
      </w:r>
      <w:r w:rsidRPr="00B23678">
        <w:rPr>
          <w:rFonts w:ascii="Times New Roman" w:eastAsia="SimSun" w:hAnsi="Times New Roman"/>
          <w:szCs w:val="24"/>
          <w:lang w:eastAsia="zh-CN"/>
        </w:rPr>
        <w:tab/>
      </w:r>
      <w:r w:rsidRPr="00DF577E">
        <w:rPr>
          <w:rFonts w:ascii="Times New Roman" w:eastAsia="SimSun" w:hAnsi="Times New Roman"/>
          <w:szCs w:val="24"/>
          <w:lang w:eastAsia="zh-CN"/>
        </w:rPr>
        <w:t>Ms Wong gave evidence as an expert ….  She was the person who conducted DNA tests on the three items that PW2 officer Ng had delivered to her laboratory.</w:t>
      </w:r>
    </w:p>
    <w:p w:rsidR="00B0622D" w:rsidRPr="00B23678" w:rsidRDefault="00B0622D" w:rsidP="00DF577E">
      <w:pPr>
        <w:pStyle w:val="ListParagraph"/>
        <w:widowControl/>
        <w:tabs>
          <w:tab w:val="left" w:pos="2552"/>
        </w:tabs>
        <w:snapToGrid w:val="0"/>
        <w:spacing w:before="240" w:after="400"/>
        <w:ind w:leftChars="0" w:left="1411" w:right="893"/>
        <w:jc w:val="both"/>
        <w:rPr>
          <w:rFonts w:ascii="Times New Roman" w:eastAsia="SimSun" w:hAnsi="Times New Roman"/>
          <w:szCs w:val="24"/>
          <w:lang w:eastAsia="zh-CN"/>
        </w:rPr>
      </w:pPr>
    </w:p>
    <w:p w:rsidR="00B0622D" w:rsidRPr="00B23678" w:rsidRDefault="00DF577E" w:rsidP="00DF577E">
      <w:pPr>
        <w:pStyle w:val="ListParagraph"/>
        <w:widowControl/>
        <w:tabs>
          <w:tab w:val="left" w:pos="2552"/>
        </w:tabs>
        <w:snapToGrid w:val="0"/>
        <w:spacing w:before="240" w:after="400"/>
        <w:ind w:leftChars="0" w:left="1411" w:right="893"/>
        <w:jc w:val="both"/>
        <w:rPr>
          <w:rFonts w:ascii="Times New Roman" w:eastAsia="SimSun" w:hAnsi="Times New Roman"/>
          <w:szCs w:val="24"/>
          <w:lang w:eastAsia="zh-CN"/>
        </w:rPr>
      </w:pPr>
      <w:r>
        <w:rPr>
          <w:rFonts w:ascii="Times New Roman" w:eastAsia="SimSun" w:hAnsi="Times New Roman"/>
          <w:szCs w:val="24"/>
          <w:lang w:eastAsia="zh-CN"/>
        </w:rPr>
        <w:lastRenderedPageBreak/>
        <w:t>23</w:t>
      </w:r>
      <w:r w:rsidR="00B0622D" w:rsidRPr="00B23678">
        <w:rPr>
          <w:rFonts w:ascii="Times New Roman" w:eastAsia="SimSun" w:hAnsi="Times New Roman"/>
          <w:szCs w:val="24"/>
          <w:lang w:eastAsia="zh-CN"/>
        </w:rPr>
        <w:t>.</w:t>
      </w:r>
      <w:r w:rsidR="00B0622D" w:rsidRPr="00B23678">
        <w:rPr>
          <w:rFonts w:ascii="Times New Roman" w:eastAsia="SimSun" w:hAnsi="Times New Roman"/>
          <w:szCs w:val="24"/>
          <w:lang w:eastAsia="zh-CN"/>
        </w:rPr>
        <w:tab/>
      </w:r>
      <w:r w:rsidR="00B0622D" w:rsidRPr="00DF577E">
        <w:rPr>
          <w:rFonts w:ascii="Times New Roman" w:eastAsia="SimSun" w:hAnsi="Times New Roman"/>
          <w:szCs w:val="24"/>
          <w:lang w:eastAsia="zh-CN"/>
        </w:rPr>
        <w:t xml:space="preserve">The 2 reports prepared by Ms Wong together with a report prepared by a Dr </w:t>
      </w:r>
      <w:proofErr w:type="spellStart"/>
      <w:r w:rsidR="00B0622D" w:rsidRPr="00DF577E">
        <w:rPr>
          <w:rFonts w:ascii="Times New Roman" w:eastAsia="SimSun" w:hAnsi="Times New Roman"/>
          <w:szCs w:val="24"/>
          <w:lang w:eastAsia="zh-CN"/>
        </w:rPr>
        <w:t>Wun</w:t>
      </w:r>
      <w:proofErr w:type="spellEnd"/>
      <w:r w:rsidR="00B0622D" w:rsidRPr="00DF577E">
        <w:rPr>
          <w:rFonts w:ascii="Times New Roman" w:eastAsia="SimSun" w:hAnsi="Times New Roman"/>
          <w:szCs w:val="24"/>
          <w:lang w:eastAsia="zh-CN"/>
        </w:rPr>
        <w:t xml:space="preserve"> (Exhibit P12) were read into evidence pursuant to section 65B of the Criminal Procedure Ordinance, Cap221.  Dr </w:t>
      </w:r>
      <w:proofErr w:type="spellStart"/>
      <w:r w:rsidR="00B0622D" w:rsidRPr="00DF577E">
        <w:rPr>
          <w:rFonts w:ascii="Times New Roman" w:eastAsia="SimSun" w:hAnsi="Times New Roman"/>
          <w:szCs w:val="24"/>
          <w:lang w:eastAsia="zh-CN"/>
        </w:rPr>
        <w:t>Wun</w:t>
      </w:r>
      <w:proofErr w:type="spellEnd"/>
      <w:r w:rsidR="00B0622D" w:rsidRPr="00DF577E">
        <w:rPr>
          <w:rFonts w:ascii="Times New Roman" w:eastAsia="SimSun" w:hAnsi="Times New Roman"/>
          <w:szCs w:val="24"/>
          <w:lang w:eastAsia="zh-CN"/>
        </w:rPr>
        <w:t xml:space="preserve"> did not give evidence in court but her expertise was not challenged and her statement is taken to be the opinion of an expert.</w:t>
      </w:r>
    </w:p>
    <w:p w:rsidR="00B0622D" w:rsidRPr="00B23678" w:rsidRDefault="00B0622D" w:rsidP="00DF577E">
      <w:pPr>
        <w:pStyle w:val="ListParagraph"/>
        <w:widowControl/>
        <w:tabs>
          <w:tab w:val="left" w:pos="2552"/>
        </w:tabs>
        <w:snapToGrid w:val="0"/>
        <w:spacing w:before="240" w:after="400"/>
        <w:ind w:leftChars="0" w:left="1411" w:right="893"/>
        <w:jc w:val="both"/>
        <w:rPr>
          <w:rFonts w:ascii="Times New Roman" w:eastAsia="SimSun" w:hAnsi="Times New Roman"/>
          <w:szCs w:val="24"/>
          <w:lang w:eastAsia="zh-CN"/>
        </w:rPr>
      </w:pPr>
      <w:r w:rsidRPr="00DF577E">
        <w:rPr>
          <w:rFonts w:ascii="Times New Roman" w:eastAsia="SimSun" w:hAnsi="Times New Roman"/>
          <w:szCs w:val="24"/>
          <w:lang w:eastAsia="zh-CN"/>
        </w:rPr>
        <w:t>….</w:t>
      </w:r>
    </w:p>
    <w:p w:rsidR="00B0622D" w:rsidRPr="00B23678" w:rsidRDefault="00B0622D" w:rsidP="00DF577E">
      <w:pPr>
        <w:pStyle w:val="ListParagraph"/>
        <w:widowControl/>
        <w:tabs>
          <w:tab w:val="left" w:pos="2552"/>
        </w:tabs>
        <w:snapToGrid w:val="0"/>
        <w:spacing w:before="240" w:after="400"/>
        <w:ind w:leftChars="0" w:left="1411" w:right="893"/>
        <w:jc w:val="both"/>
        <w:rPr>
          <w:rFonts w:ascii="Times New Roman" w:eastAsia="SimSun" w:hAnsi="Times New Roman"/>
          <w:szCs w:val="24"/>
          <w:lang w:eastAsia="zh-CN"/>
        </w:rPr>
      </w:pPr>
      <w:r w:rsidRPr="00B23678">
        <w:rPr>
          <w:rFonts w:ascii="Times New Roman" w:eastAsia="SimSun" w:hAnsi="Times New Roman"/>
          <w:szCs w:val="24"/>
          <w:lang w:eastAsia="zh-CN"/>
        </w:rPr>
        <w:t>25.</w:t>
      </w:r>
      <w:r w:rsidRPr="00B23678">
        <w:rPr>
          <w:rFonts w:ascii="Times New Roman" w:eastAsia="SimSun" w:hAnsi="Times New Roman"/>
          <w:szCs w:val="24"/>
          <w:lang w:eastAsia="zh-CN"/>
        </w:rPr>
        <w:tab/>
      </w:r>
      <w:r w:rsidRPr="00DF577E">
        <w:rPr>
          <w:rFonts w:ascii="Times New Roman" w:eastAsia="SimSun" w:hAnsi="Times New Roman"/>
          <w:szCs w:val="24"/>
          <w:lang w:eastAsia="zh-CN"/>
        </w:rPr>
        <w:t xml:space="preserve">Ms Wong was …. </w:t>
      </w:r>
      <w:proofErr w:type="gramStart"/>
      <w:r w:rsidRPr="00DF577E">
        <w:rPr>
          <w:rFonts w:ascii="Times New Roman" w:eastAsia="SimSun" w:hAnsi="Times New Roman"/>
          <w:szCs w:val="24"/>
          <w:lang w:eastAsia="zh-CN"/>
        </w:rPr>
        <w:t>able</w:t>
      </w:r>
      <w:proofErr w:type="gramEnd"/>
      <w:r w:rsidRPr="00DF577E">
        <w:rPr>
          <w:rFonts w:ascii="Times New Roman" w:eastAsia="SimSun" w:hAnsi="Times New Roman"/>
          <w:szCs w:val="24"/>
          <w:lang w:eastAsia="zh-CN"/>
        </w:rPr>
        <w:t xml:space="preserve"> to obtain DNA material from the Exhibit P1 wooden box (itemized as ‘GPY713’ in her reports).  She cannot say where exactly the sample came from, that is to say, whether it was from the outside or inside of the box, except that the sample did come from the wooden box ….</w:t>
      </w:r>
    </w:p>
    <w:p w:rsidR="00B0622D" w:rsidRPr="00B23678" w:rsidRDefault="00B0622D" w:rsidP="00DF577E">
      <w:pPr>
        <w:pStyle w:val="ListParagraph"/>
        <w:widowControl/>
        <w:tabs>
          <w:tab w:val="left" w:pos="2552"/>
        </w:tabs>
        <w:snapToGrid w:val="0"/>
        <w:spacing w:before="240" w:after="400"/>
        <w:ind w:leftChars="0" w:left="1411" w:right="893"/>
        <w:jc w:val="both"/>
        <w:rPr>
          <w:rFonts w:ascii="Times New Roman" w:eastAsia="SimSun" w:hAnsi="Times New Roman"/>
          <w:szCs w:val="24"/>
          <w:lang w:eastAsia="zh-CN"/>
        </w:rPr>
      </w:pPr>
      <w:r w:rsidRPr="00DF577E">
        <w:rPr>
          <w:rFonts w:ascii="Times New Roman" w:eastAsia="SimSun" w:hAnsi="Times New Roman"/>
          <w:szCs w:val="24"/>
          <w:lang w:eastAsia="zh-CN"/>
        </w:rPr>
        <w:t>….</w:t>
      </w:r>
    </w:p>
    <w:p w:rsidR="00B0622D" w:rsidRPr="00B23678" w:rsidRDefault="00B0622D" w:rsidP="00DF577E">
      <w:pPr>
        <w:pStyle w:val="ListParagraph"/>
        <w:widowControl/>
        <w:tabs>
          <w:tab w:val="left" w:pos="2552"/>
        </w:tabs>
        <w:snapToGrid w:val="0"/>
        <w:spacing w:before="240" w:after="400"/>
        <w:ind w:leftChars="0" w:left="1411" w:right="893"/>
        <w:jc w:val="both"/>
        <w:rPr>
          <w:rFonts w:ascii="Times New Roman" w:eastAsia="SimSun" w:hAnsi="Times New Roman"/>
          <w:szCs w:val="24"/>
          <w:lang w:eastAsia="zh-CN"/>
        </w:rPr>
      </w:pPr>
      <w:r w:rsidRPr="00DF577E">
        <w:rPr>
          <w:rFonts w:ascii="Times New Roman" w:eastAsia="SimSun" w:hAnsi="Times New Roman"/>
          <w:szCs w:val="24"/>
          <w:lang w:eastAsia="zh-CN"/>
        </w:rPr>
        <w:t>27.</w:t>
      </w:r>
      <w:r w:rsidRPr="00B23678">
        <w:rPr>
          <w:rFonts w:ascii="Times New Roman" w:eastAsia="SimSun" w:hAnsi="Times New Roman"/>
          <w:szCs w:val="24"/>
          <w:lang w:eastAsia="zh-CN"/>
        </w:rPr>
        <w:tab/>
      </w:r>
      <w:r w:rsidRPr="00DF577E">
        <w:rPr>
          <w:rFonts w:ascii="Times New Roman" w:eastAsia="SimSun" w:hAnsi="Times New Roman"/>
          <w:szCs w:val="24"/>
          <w:lang w:eastAsia="zh-CN"/>
        </w:rPr>
        <w:t xml:space="preserve">Meanwhile, </w:t>
      </w:r>
      <w:proofErr w:type="spellStart"/>
      <w:r w:rsidRPr="00DF577E">
        <w:rPr>
          <w:rFonts w:ascii="Times New Roman" w:eastAsia="SimSun" w:hAnsi="Times New Roman"/>
          <w:szCs w:val="24"/>
          <w:lang w:eastAsia="zh-CN"/>
        </w:rPr>
        <w:t>buccal</w:t>
      </w:r>
      <w:proofErr w:type="spellEnd"/>
      <w:r w:rsidRPr="00DF577E">
        <w:rPr>
          <w:rFonts w:ascii="Times New Roman" w:eastAsia="SimSun" w:hAnsi="Times New Roman"/>
          <w:szCs w:val="24"/>
          <w:lang w:eastAsia="zh-CN"/>
        </w:rPr>
        <w:t xml:space="preserve"> swaps were obtained from the defendant and </w:t>
      </w:r>
      <w:proofErr w:type="spellStart"/>
      <w:r w:rsidRPr="00DF577E">
        <w:rPr>
          <w:rFonts w:ascii="Times New Roman" w:eastAsia="SimSun" w:hAnsi="Times New Roman"/>
          <w:szCs w:val="24"/>
          <w:lang w:eastAsia="zh-CN"/>
        </w:rPr>
        <w:t>analysed</w:t>
      </w:r>
      <w:proofErr w:type="spellEnd"/>
      <w:r w:rsidRPr="00DF577E">
        <w:rPr>
          <w:rFonts w:ascii="Times New Roman" w:eastAsia="SimSun" w:hAnsi="Times New Roman"/>
          <w:szCs w:val="24"/>
          <w:lang w:eastAsia="zh-CN"/>
        </w:rPr>
        <w:t xml:space="preserve"> by Dr </w:t>
      </w:r>
      <w:proofErr w:type="spellStart"/>
      <w:r w:rsidRPr="00DF577E">
        <w:rPr>
          <w:rFonts w:ascii="Times New Roman" w:eastAsia="SimSun" w:hAnsi="Times New Roman"/>
          <w:szCs w:val="24"/>
          <w:lang w:eastAsia="zh-CN"/>
        </w:rPr>
        <w:t>Wun</w:t>
      </w:r>
      <w:proofErr w:type="spellEnd"/>
      <w:r w:rsidRPr="00DF577E">
        <w:rPr>
          <w:rFonts w:eastAsia="SimSun"/>
          <w:lang w:eastAsia="zh-CN"/>
        </w:rPr>
        <w:footnoteReference w:id="5"/>
      </w:r>
      <w:r w:rsidRPr="00DF577E">
        <w:rPr>
          <w:rFonts w:ascii="Times New Roman" w:eastAsia="SimSun" w:hAnsi="Times New Roman"/>
          <w:szCs w:val="24"/>
          <w:lang w:eastAsia="zh-CN"/>
        </w:rPr>
        <w:t>.  The results [vide Exhibit P12]</w:t>
      </w:r>
      <w:r w:rsidRPr="00B23678">
        <w:rPr>
          <w:rFonts w:ascii="Times New Roman" w:eastAsia="SimSun" w:hAnsi="Times New Roman"/>
          <w:szCs w:val="24"/>
          <w:lang w:eastAsia="zh-CN"/>
        </w:rPr>
        <w:t xml:space="preserve"> </w:t>
      </w:r>
      <w:r w:rsidRPr="00DF577E">
        <w:rPr>
          <w:rFonts w:ascii="Times New Roman" w:eastAsia="SimSun" w:hAnsi="Times New Roman"/>
          <w:szCs w:val="24"/>
          <w:lang w:eastAsia="zh-CN"/>
        </w:rPr>
        <w:t>were referred to Ms Wong for comparison with DNA typing results obtained from the crime scene exhibits.</w:t>
      </w:r>
    </w:p>
    <w:p w:rsidR="00B0622D" w:rsidRPr="00B23678" w:rsidRDefault="00B0622D" w:rsidP="00DF577E">
      <w:pPr>
        <w:pStyle w:val="ListParagraph"/>
        <w:widowControl/>
        <w:tabs>
          <w:tab w:val="left" w:pos="2552"/>
        </w:tabs>
        <w:snapToGrid w:val="0"/>
        <w:spacing w:before="240" w:after="400"/>
        <w:ind w:leftChars="0" w:left="1411" w:right="893"/>
        <w:jc w:val="both"/>
        <w:rPr>
          <w:rFonts w:ascii="Times New Roman" w:eastAsia="SimSun" w:hAnsi="Times New Roman"/>
          <w:szCs w:val="24"/>
          <w:lang w:eastAsia="zh-CN"/>
        </w:rPr>
      </w:pPr>
      <w:r w:rsidRPr="00DF577E">
        <w:rPr>
          <w:rFonts w:ascii="Times New Roman" w:eastAsia="SimSun" w:hAnsi="Times New Roman"/>
          <w:szCs w:val="24"/>
          <w:lang w:eastAsia="zh-CN"/>
        </w:rPr>
        <w:t>28.</w:t>
      </w:r>
      <w:r w:rsidRPr="00B23678">
        <w:rPr>
          <w:rFonts w:ascii="Times New Roman" w:eastAsia="SimSun" w:hAnsi="Times New Roman"/>
          <w:szCs w:val="24"/>
          <w:lang w:eastAsia="zh-CN"/>
        </w:rPr>
        <w:tab/>
      </w:r>
      <w:r w:rsidRPr="00DF577E">
        <w:rPr>
          <w:rFonts w:ascii="Times New Roman" w:eastAsia="SimSun" w:hAnsi="Times New Roman"/>
          <w:szCs w:val="24"/>
          <w:lang w:eastAsia="zh-CN"/>
        </w:rPr>
        <w:t>Ms Wong sets out the findings of her comparison of the DNA sample taken from the wooden box and those from the defendant in her report in Exhibit P10.  It is her expert opinion that the DNA found on the wooden jewel box (‘GPY713’) could have originated from the defendant.</w:t>
      </w:r>
    </w:p>
    <w:p w:rsidR="00B0622D" w:rsidRPr="00B23678" w:rsidRDefault="00B0622D" w:rsidP="00DF577E">
      <w:pPr>
        <w:pStyle w:val="ListParagraph"/>
        <w:widowControl/>
        <w:tabs>
          <w:tab w:val="left" w:pos="2552"/>
        </w:tabs>
        <w:snapToGrid w:val="0"/>
        <w:spacing w:before="240" w:after="560"/>
        <w:ind w:leftChars="0" w:left="1411" w:right="893"/>
        <w:jc w:val="both"/>
        <w:rPr>
          <w:rFonts w:ascii="Times New Roman" w:eastAsia="SimSun" w:hAnsi="Times New Roman"/>
          <w:szCs w:val="24"/>
          <w:lang w:eastAsia="zh-CN"/>
        </w:rPr>
      </w:pPr>
      <w:r w:rsidRPr="00DF577E">
        <w:rPr>
          <w:rFonts w:ascii="Times New Roman" w:eastAsia="SimSun" w:hAnsi="Times New Roman"/>
          <w:szCs w:val="24"/>
          <w:lang w:eastAsia="zh-CN"/>
        </w:rPr>
        <w:t>29.</w:t>
      </w:r>
      <w:r w:rsidRPr="00B23678">
        <w:rPr>
          <w:rFonts w:ascii="Times New Roman" w:eastAsia="SimSun" w:hAnsi="Times New Roman"/>
          <w:szCs w:val="24"/>
          <w:lang w:eastAsia="zh-CN"/>
        </w:rPr>
        <w:tab/>
      </w:r>
      <w:r w:rsidRPr="00DF577E">
        <w:rPr>
          <w:rFonts w:ascii="Times New Roman" w:eastAsia="SimSun" w:hAnsi="Times New Roman"/>
          <w:szCs w:val="24"/>
          <w:lang w:eastAsia="zh-CN"/>
        </w:rPr>
        <w:t>At the Appendix of her report, Ms Wong sets out the DNA systems she used to conduct the DNA matching exercise.  She explained that RMP stands for Random Match Probability.  In the defendant’s case, the probability of a random person having a similar DNA systems match is one in 11.7 quadrillion (1 followed by 15 zeroes).”</w:t>
      </w:r>
    </w:p>
    <w:p w:rsidR="00CC0D43" w:rsidRPr="007256F3" w:rsidRDefault="00B0622D" w:rsidP="007256F3">
      <w:pPr>
        <w:pStyle w:val="Final"/>
        <w:numPr>
          <w:ilvl w:val="0"/>
          <w:numId w:val="28"/>
        </w:numPr>
        <w:ind w:left="0" w:firstLine="0"/>
        <w:rPr>
          <w:rFonts w:eastAsia="SimSun"/>
          <w:szCs w:val="28"/>
        </w:rPr>
      </w:pPr>
      <w:r w:rsidRPr="007256F3">
        <w:rPr>
          <w:rFonts w:eastAsia="SimSun"/>
          <w:szCs w:val="28"/>
        </w:rPr>
        <w:t>Note, however, Ms Wong’s concession regarding match probabilities – had it been taken into account that a</w:t>
      </w:r>
      <w:r w:rsidR="000F4AFA">
        <w:rPr>
          <w:rFonts w:eastAsiaTheme="minorEastAsia" w:hint="eastAsia"/>
          <w:szCs w:val="28"/>
        </w:rPr>
        <w:t xml:space="preserve"> </w:t>
      </w:r>
      <w:r w:rsidR="00045E7B">
        <w:rPr>
          <w:rFonts w:eastAsiaTheme="minorEastAsia" w:hint="eastAsia"/>
          <w:szCs w:val="28"/>
        </w:rPr>
        <w:t>likely</w:t>
      </w:r>
      <w:r w:rsidRPr="007256F3">
        <w:rPr>
          <w:rFonts w:eastAsia="SimSun"/>
          <w:szCs w:val="28"/>
        </w:rPr>
        <w:t xml:space="preserve"> donor might have blood relative</w:t>
      </w:r>
      <w:r w:rsidR="000F4AFA">
        <w:rPr>
          <w:rFonts w:eastAsiaTheme="minorEastAsia" w:hint="eastAsia"/>
          <w:szCs w:val="28"/>
        </w:rPr>
        <w:t>s</w:t>
      </w:r>
      <w:r w:rsidRPr="007256F3">
        <w:rPr>
          <w:rFonts w:eastAsia="SimSun"/>
          <w:szCs w:val="28"/>
        </w:rPr>
        <w:t>.  This took place during her cross-examination:</w:t>
      </w:r>
    </w:p>
    <w:p w:rsidR="00F837D2" w:rsidRPr="00DF577E" w:rsidRDefault="00F837D2" w:rsidP="00DF577E">
      <w:pPr>
        <w:pStyle w:val="ListParagraph"/>
        <w:widowControl/>
        <w:tabs>
          <w:tab w:val="left" w:pos="2552"/>
        </w:tabs>
        <w:snapToGrid w:val="0"/>
        <w:spacing w:before="240" w:after="400"/>
        <w:ind w:leftChars="0" w:left="1411" w:right="893"/>
        <w:jc w:val="both"/>
        <w:rPr>
          <w:rFonts w:ascii="Times New Roman" w:eastAsia="SimSun" w:hAnsi="Times New Roman"/>
          <w:szCs w:val="24"/>
          <w:lang w:eastAsia="zh-CN"/>
        </w:rPr>
      </w:pPr>
      <w:r w:rsidRPr="00DF577E">
        <w:rPr>
          <w:rFonts w:ascii="Times New Roman" w:eastAsia="SimSun" w:hAnsi="Times New Roman"/>
          <w:szCs w:val="24"/>
          <w:lang w:eastAsia="zh-CN"/>
        </w:rPr>
        <w:lastRenderedPageBreak/>
        <w:t>“</w:t>
      </w:r>
      <w:r w:rsidR="00B0622D" w:rsidRPr="00DF577E">
        <w:rPr>
          <w:rFonts w:ascii="Times New Roman" w:eastAsia="SimSun" w:hAnsi="Times New Roman"/>
          <w:szCs w:val="24"/>
          <w:lang w:eastAsia="zh-CN"/>
        </w:rPr>
        <w:t>31.</w:t>
      </w:r>
      <w:r w:rsidR="00B0622D" w:rsidRPr="00DF577E">
        <w:rPr>
          <w:rFonts w:ascii="Times New Roman" w:eastAsia="SimSun" w:hAnsi="Times New Roman"/>
          <w:szCs w:val="24"/>
          <w:lang w:eastAsia="zh-CN"/>
        </w:rPr>
        <w:tab/>
        <w:t>In cross-examination, Ms Cheung for the defendant asked questions about calculation of the RMP after taking into consideration the possibility of siblings and relatives.  Ms Wong agrees that to do so would yield a different and likely higher probability of matches.  Articles were cited to Ms Wong and she was asked for an opinion on the RMP figures of 1 out of 12,379 and 1 out of 10,000 when siblings are factored in.  Ms Wong refuses to agree or disagree with the figures, stating that their calculations employed different methods and profiles.</w:t>
      </w:r>
    </w:p>
    <w:p w:rsidR="00B0622D" w:rsidRPr="00B23678" w:rsidRDefault="00B0622D" w:rsidP="00DF577E">
      <w:pPr>
        <w:pStyle w:val="ListParagraph"/>
        <w:widowControl/>
        <w:tabs>
          <w:tab w:val="left" w:pos="2552"/>
        </w:tabs>
        <w:snapToGrid w:val="0"/>
        <w:spacing w:before="240" w:after="560"/>
        <w:ind w:leftChars="0" w:left="1411" w:right="893"/>
        <w:jc w:val="both"/>
        <w:rPr>
          <w:rFonts w:ascii="Times New Roman" w:eastAsia="SimSun" w:hAnsi="Times New Roman"/>
          <w:szCs w:val="24"/>
          <w:lang w:eastAsia="zh-CN"/>
        </w:rPr>
      </w:pPr>
      <w:r w:rsidRPr="00DF577E">
        <w:rPr>
          <w:rFonts w:ascii="Times New Roman" w:eastAsia="SimSun" w:hAnsi="Times New Roman"/>
          <w:szCs w:val="24"/>
          <w:lang w:eastAsia="zh-CN"/>
        </w:rPr>
        <w:t xml:space="preserve">32. </w:t>
      </w:r>
      <w:r w:rsidRPr="00B23678">
        <w:rPr>
          <w:rFonts w:ascii="Times New Roman" w:eastAsia="SimSun" w:hAnsi="Times New Roman"/>
          <w:szCs w:val="24"/>
          <w:lang w:eastAsia="zh-CN"/>
        </w:rPr>
        <w:tab/>
      </w:r>
      <w:r w:rsidRPr="00DF577E">
        <w:rPr>
          <w:rFonts w:ascii="Times New Roman" w:eastAsia="SimSun" w:hAnsi="Times New Roman"/>
          <w:szCs w:val="24"/>
          <w:lang w:eastAsia="zh-CN"/>
        </w:rPr>
        <w:t>Ms Wong was also asked questions about the source of the DNA sample she was able to lift from the wooden box.  Ms Wong’s evidence is that she had used cotton buds to swap both the inside and outside of the box and was able to obtain DNA material from that process. She was however unable to say whether the DNA material was on the outside or inside of the box, or what the nature of the material was.  Ms Wong however agreed with counsel that a possible source would be dandruff.</w:t>
      </w:r>
    </w:p>
    <w:p w:rsidR="00B0622D" w:rsidRPr="00B23678" w:rsidRDefault="00B0622D" w:rsidP="00B0622D">
      <w:pPr>
        <w:pStyle w:val="H-1"/>
        <w:rPr>
          <w:lang w:eastAsia="zh-HK"/>
        </w:rPr>
      </w:pPr>
      <w:r w:rsidRPr="00B23678">
        <w:rPr>
          <w:rFonts w:eastAsia="SimSun"/>
          <w:szCs w:val="24"/>
        </w:rPr>
        <w:t>THE DEFENCE CASE</w:t>
      </w:r>
    </w:p>
    <w:p w:rsidR="00CC49B8" w:rsidRPr="00756BEE" w:rsidRDefault="00B0622D" w:rsidP="00756BEE">
      <w:pPr>
        <w:pStyle w:val="Final"/>
        <w:numPr>
          <w:ilvl w:val="0"/>
          <w:numId w:val="28"/>
        </w:numPr>
        <w:ind w:left="0" w:firstLine="0"/>
        <w:rPr>
          <w:rFonts w:eastAsia="SimSun"/>
          <w:szCs w:val="28"/>
        </w:rPr>
      </w:pPr>
      <w:r w:rsidRPr="00756BEE">
        <w:rPr>
          <w:rFonts w:eastAsia="SimSun"/>
          <w:szCs w:val="28"/>
        </w:rPr>
        <w:t>The appellant did not avail himself of his right to give evidence.  Instead, he called Ms Tsang, his sister, as a witness.  Again quoting from the Reasons for Verdict, this is what Ms Tsang said:</w:t>
      </w:r>
    </w:p>
    <w:p w:rsidR="00C15C69" w:rsidRPr="00DF577E" w:rsidRDefault="00C15C69" w:rsidP="00DF577E">
      <w:pPr>
        <w:pStyle w:val="ListParagraph"/>
        <w:widowControl/>
        <w:tabs>
          <w:tab w:val="left" w:pos="2552"/>
        </w:tabs>
        <w:snapToGrid w:val="0"/>
        <w:spacing w:before="240" w:after="560"/>
        <w:ind w:leftChars="0" w:left="1411" w:right="893"/>
        <w:jc w:val="both"/>
        <w:rPr>
          <w:rFonts w:ascii="Times New Roman" w:eastAsia="SimSun" w:hAnsi="Times New Roman"/>
          <w:szCs w:val="24"/>
          <w:lang w:eastAsia="zh-CN"/>
        </w:rPr>
      </w:pPr>
      <w:r w:rsidRPr="00DF577E">
        <w:rPr>
          <w:rFonts w:ascii="Times New Roman" w:eastAsia="SimSun" w:hAnsi="Times New Roman"/>
          <w:szCs w:val="24"/>
          <w:lang w:eastAsia="zh-CN"/>
        </w:rPr>
        <w:t>“</w:t>
      </w:r>
      <w:r w:rsidR="00B0622D" w:rsidRPr="00DF577E">
        <w:rPr>
          <w:rFonts w:ascii="Times New Roman" w:eastAsia="SimSun" w:hAnsi="Times New Roman"/>
          <w:szCs w:val="24"/>
          <w:lang w:eastAsia="zh-CN"/>
        </w:rPr>
        <w:t xml:space="preserve">35. </w:t>
      </w:r>
      <w:r w:rsidR="00B0622D" w:rsidRPr="00B23678">
        <w:rPr>
          <w:rFonts w:ascii="Times New Roman" w:eastAsia="SimSun" w:hAnsi="Times New Roman"/>
          <w:szCs w:val="24"/>
          <w:lang w:eastAsia="zh-CN"/>
        </w:rPr>
        <w:tab/>
      </w:r>
      <w:r w:rsidR="00B0622D" w:rsidRPr="00DF577E">
        <w:rPr>
          <w:rFonts w:ascii="Times New Roman" w:eastAsia="SimSun" w:hAnsi="Times New Roman"/>
          <w:szCs w:val="24"/>
          <w:lang w:eastAsia="zh-CN"/>
        </w:rPr>
        <w:t>Ms Tsang says she is the elder sister of the defendant and gave evidence that the defendant is the youngest of 7 siblings of 3 male and 4 females.  Including the defendant, his brothers and the defendant’s uncles and their offspring, there are 15 males in their family tree.  Ms Tsang was not cross-examined by the prosecution.</w:t>
      </w:r>
      <w:r w:rsidR="00B0622D" w:rsidRPr="00B23678">
        <w:rPr>
          <w:rFonts w:ascii="Times New Roman" w:eastAsia="SimSun" w:hAnsi="Times New Roman"/>
          <w:szCs w:val="24"/>
          <w:lang w:eastAsia="zh-CN"/>
        </w:rPr>
        <w:t>”</w:t>
      </w:r>
    </w:p>
    <w:p w:rsidR="00F837D2" w:rsidRPr="00B23678" w:rsidRDefault="00B0622D" w:rsidP="00756BEE">
      <w:pPr>
        <w:pStyle w:val="Final"/>
        <w:numPr>
          <w:ilvl w:val="0"/>
          <w:numId w:val="28"/>
        </w:numPr>
        <w:spacing w:after="480"/>
        <w:ind w:left="0" w:firstLine="0"/>
        <w:rPr>
          <w:color w:val="FF0000"/>
          <w:lang w:eastAsia="zh-HK"/>
        </w:rPr>
      </w:pPr>
      <w:r w:rsidRPr="00B23678">
        <w:rPr>
          <w:rFonts w:eastAsia="SimSun"/>
          <w:szCs w:val="24"/>
        </w:rPr>
        <w:t xml:space="preserve">To supplement, we should add that </w:t>
      </w:r>
      <w:r w:rsidRPr="00B23678">
        <w:rPr>
          <w:rFonts w:eastAsia="Malgun Gothic"/>
        </w:rPr>
        <w:t xml:space="preserve">Ms Tsang </w:t>
      </w:r>
      <w:r w:rsidRPr="00B23678">
        <w:rPr>
          <w:rFonts w:eastAsia="SimSun"/>
        </w:rPr>
        <w:t xml:space="preserve">had given </w:t>
      </w:r>
      <w:r w:rsidRPr="00B23678">
        <w:rPr>
          <w:rFonts w:eastAsia="Malgun Gothic"/>
        </w:rPr>
        <w:t>details o</w:t>
      </w:r>
      <w:r w:rsidRPr="00B23678">
        <w:rPr>
          <w:rFonts w:eastAsia="SimSun"/>
        </w:rPr>
        <w:t>f</w:t>
      </w:r>
      <w:r w:rsidRPr="00B23678">
        <w:rPr>
          <w:rFonts w:eastAsia="Malgun Gothic"/>
        </w:rPr>
        <w:t xml:space="preserve"> the age and whereabouts of her male relatives, some of whom at least w</w:t>
      </w:r>
      <w:r w:rsidRPr="00B23678">
        <w:rPr>
          <w:rFonts w:eastAsia="SimSun"/>
        </w:rPr>
        <w:t>ere</w:t>
      </w:r>
      <w:r w:rsidRPr="00B23678">
        <w:rPr>
          <w:rFonts w:eastAsia="Malgun Gothic"/>
        </w:rPr>
        <w:t xml:space="preserve"> </w:t>
      </w:r>
      <w:r w:rsidRPr="00B23678">
        <w:rPr>
          <w:rFonts w:eastAsia="SimSun"/>
          <w:i/>
        </w:rPr>
        <w:t>prima facie</w:t>
      </w:r>
      <w:r w:rsidRPr="00B23678">
        <w:rPr>
          <w:rFonts w:eastAsia="SimSun"/>
        </w:rPr>
        <w:t xml:space="preserve"> capable </w:t>
      </w:r>
      <w:r w:rsidRPr="00B23678">
        <w:rPr>
          <w:rFonts w:eastAsia="Malgun Gothic"/>
        </w:rPr>
        <w:t>of committ</w:t>
      </w:r>
      <w:r w:rsidRPr="00B23678">
        <w:rPr>
          <w:rFonts w:eastAsia="SimSun"/>
        </w:rPr>
        <w:t>ing</w:t>
      </w:r>
      <w:r w:rsidRPr="00B23678">
        <w:rPr>
          <w:rFonts w:eastAsia="Malgun Gothic"/>
        </w:rPr>
        <w:t xml:space="preserve"> the </w:t>
      </w:r>
      <w:r w:rsidRPr="00B23678">
        <w:rPr>
          <w:rFonts w:eastAsia="SimSun"/>
        </w:rPr>
        <w:t>burglary,</w:t>
      </w:r>
      <w:r w:rsidRPr="00B23678">
        <w:rPr>
          <w:rFonts w:eastAsia="Malgun Gothic"/>
        </w:rPr>
        <w:t xml:space="preserve"> and were within the jurisdiction at the time </w:t>
      </w:r>
      <w:r w:rsidRPr="00B23678">
        <w:rPr>
          <w:rFonts w:eastAsia="SimSun"/>
        </w:rPr>
        <w:t>of the offence.</w:t>
      </w:r>
    </w:p>
    <w:p w:rsidR="00C15C69" w:rsidRPr="00B23678" w:rsidRDefault="00B0622D" w:rsidP="00756BEE">
      <w:pPr>
        <w:pStyle w:val="Final"/>
        <w:numPr>
          <w:ilvl w:val="0"/>
          <w:numId w:val="28"/>
        </w:numPr>
        <w:spacing w:after="480"/>
        <w:ind w:left="0" w:firstLine="0"/>
        <w:rPr>
          <w:color w:val="FF0000"/>
          <w:lang w:eastAsia="zh-HK"/>
        </w:rPr>
      </w:pPr>
      <w:r w:rsidRPr="00B23678">
        <w:rPr>
          <w:szCs w:val="24"/>
          <w:lang w:eastAsia="zh-HK"/>
        </w:rPr>
        <w:lastRenderedPageBreak/>
        <w:t>T</w:t>
      </w:r>
      <w:r w:rsidRPr="00B23678">
        <w:rPr>
          <w:rFonts w:eastAsia="SimSun"/>
          <w:szCs w:val="24"/>
        </w:rPr>
        <w:t xml:space="preserve">his revelation, in conjunction with Ms Wong’s earlier concession (see paragraph 6 above), constituted one of two of the lines of defence that the appellant had adopted at trial (see footnote 4).  How could the judge be sure that it was not one of the appellant’s male relatives who committed </w:t>
      </w:r>
      <w:r w:rsidRPr="00B23678">
        <w:rPr>
          <w:szCs w:val="24"/>
          <w:lang w:eastAsia="zh-HK"/>
        </w:rPr>
        <w:t>the burglar</w:t>
      </w:r>
      <w:r w:rsidRPr="00B23678">
        <w:rPr>
          <w:rFonts w:eastAsia="SimSun"/>
          <w:szCs w:val="24"/>
        </w:rPr>
        <w:t>y?  That was the question.</w:t>
      </w:r>
    </w:p>
    <w:p w:rsidR="00B0622D" w:rsidRPr="00B23678" w:rsidRDefault="00B0622D" w:rsidP="00B0622D">
      <w:pPr>
        <w:pStyle w:val="Final"/>
        <w:numPr>
          <w:ilvl w:val="0"/>
          <w:numId w:val="0"/>
        </w:numPr>
        <w:rPr>
          <w:i/>
          <w:lang w:eastAsia="zh-HK"/>
        </w:rPr>
      </w:pPr>
      <w:r w:rsidRPr="00B23678">
        <w:rPr>
          <w:rFonts w:eastAsia="SimSun"/>
          <w:i/>
          <w:szCs w:val="24"/>
        </w:rPr>
        <w:t>RECALLING THE PROSECUTION EXPERT</w:t>
      </w:r>
    </w:p>
    <w:p w:rsidR="00C15C69" w:rsidRPr="00B23678" w:rsidRDefault="00B0622D" w:rsidP="00756BEE">
      <w:pPr>
        <w:pStyle w:val="Final"/>
        <w:numPr>
          <w:ilvl w:val="0"/>
          <w:numId w:val="28"/>
        </w:numPr>
        <w:spacing w:after="480"/>
        <w:ind w:left="0" w:firstLine="0"/>
        <w:rPr>
          <w:color w:val="FF0000"/>
          <w:lang w:eastAsia="zh-HK"/>
        </w:rPr>
      </w:pPr>
      <w:r w:rsidRPr="00B23678">
        <w:rPr>
          <w:rFonts w:eastAsia="SimSun"/>
          <w:szCs w:val="24"/>
        </w:rPr>
        <w:t>As the record shows, Ms Tsang finished giving her evidence at 3.07 pm on the first day of trial</w:t>
      </w:r>
      <w:r w:rsidRPr="00B23678">
        <w:rPr>
          <w:szCs w:val="24"/>
          <w:lang w:eastAsia="zh-HK"/>
        </w:rPr>
        <w:t>.  O</w:t>
      </w:r>
      <w:r w:rsidRPr="00B23678">
        <w:rPr>
          <w:rFonts w:eastAsia="SimSun"/>
          <w:szCs w:val="24"/>
        </w:rPr>
        <w:t xml:space="preserve">n the </w:t>
      </w:r>
      <w:r w:rsidRPr="00B23678">
        <w:rPr>
          <w:szCs w:val="24"/>
          <w:lang w:eastAsia="zh-HK"/>
        </w:rPr>
        <w:t>following</w:t>
      </w:r>
      <w:r w:rsidRPr="00B23678">
        <w:rPr>
          <w:rFonts w:eastAsia="SimSun"/>
          <w:szCs w:val="24"/>
        </w:rPr>
        <w:t xml:space="preserve"> </w:t>
      </w:r>
      <w:r w:rsidRPr="00B23678">
        <w:rPr>
          <w:szCs w:val="24"/>
          <w:lang w:eastAsia="zh-HK"/>
        </w:rPr>
        <w:t>day</w:t>
      </w:r>
      <w:r w:rsidRPr="00B23678">
        <w:rPr>
          <w:rFonts w:eastAsia="SimSun"/>
          <w:szCs w:val="24"/>
        </w:rPr>
        <w:t xml:space="preserve">, after an early adjournment from the previous afternoon, the prosecution applied to recall Ms Wong, their </w:t>
      </w:r>
      <w:r w:rsidRPr="00B23678">
        <w:rPr>
          <w:szCs w:val="24"/>
          <w:lang w:eastAsia="zh-HK"/>
        </w:rPr>
        <w:t>forensic analyst</w:t>
      </w:r>
      <w:r w:rsidRPr="00B23678">
        <w:rPr>
          <w:rFonts w:eastAsia="SimSun"/>
          <w:szCs w:val="24"/>
        </w:rPr>
        <w:t>, in order to assist the court with “another calculation to factor in the random match probability taking into account brothers, uncles and cousins”.</w:t>
      </w:r>
    </w:p>
    <w:p w:rsidR="00CC49B8" w:rsidRPr="00B23678" w:rsidRDefault="00B23678" w:rsidP="00756BEE">
      <w:pPr>
        <w:pStyle w:val="Final"/>
        <w:numPr>
          <w:ilvl w:val="0"/>
          <w:numId w:val="28"/>
        </w:numPr>
        <w:ind w:left="0" w:firstLine="0"/>
      </w:pPr>
      <w:r w:rsidRPr="00B23678">
        <w:rPr>
          <w:rFonts w:eastAsia="SimSun"/>
          <w:szCs w:val="24"/>
        </w:rPr>
        <w:t>Although judge and counsel went to some length in their ensuing exchange, we are satisfied that the opening submissions of the prosecution do adequately sum up their position.  They go as follows:</w:t>
      </w:r>
    </w:p>
    <w:p w:rsidR="00C15C69" w:rsidRPr="00E067F0" w:rsidRDefault="00C15C69" w:rsidP="00DF577E">
      <w:pPr>
        <w:pStyle w:val="ListParagraph"/>
        <w:widowControl/>
        <w:tabs>
          <w:tab w:val="left" w:pos="2552"/>
        </w:tabs>
        <w:snapToGrid w:val="0"/>
        <w:spacing w:before="240" w:after="400"/>
        <w:ind w:leftChars="0" w:left="1411" w:right="891"/>
        <w:jc w:val="both"/>
        <w:rPr>
          <w:rFonts w:ascii="Times New Roman" w:eastAsia="Malgun Gothic" w:hAnsi="Times New Roman"/>
          <w:szCs w:val="24"/>
          <w:lang w:eastAsia="zh-CN"/>
        </w:rPr>
      </w:pPr>
      <w:r w:rsidRPr="00E067F0">
        <w:rPr>
          <w:rFonts w:ascii="Times New Roman" w:eastAsia="Malgun Gothic" w:hAnsi="Times New Roman"/>
          <w:szCs w:val="24"/>
          <w:lang w:eastAsia="zh-CN"/>
        </w:rPr>
        <w:t>“</w:t>
      </w:r>
      <w:r w:rsidR="00B23678" w:rsidRPr="00B23678">
        <w:rPr>
          <w:rFonts w:ascii="Times New Roman" w:eastAsia="Malgun Gothic" w:hAnsi="Times New Roman"/>
          <w:szCs w:val="24"/>
          <w:lang w:eastAsia="zh-CN"/>
        </w:rPr>
        <w:t xml:space="preserve">MR MARRAY:  Your </w:t>
      </w:r>
      <w:proofErr w:type="spellStart"/>
      <w:r w:rsidR="00B23678" w:rsidRPr="00B23678">
        <w:rPr>
          <w:rFonts w:ascii="Times New Roman" w:eastAsia="Malgun Gothic" w:hAnsi="Times New Roman"/>
          <w:szCs w:val="24"/>
          <w:lang w:eastAsia="zh-CN"/>
        </w:rPr>
        <w:t>Honour</w:t>
      </w:r>
      <w:proofErr w:type="spellEnd"/>
      <w:r w:rsidR="00B23678" w:rsidRPr="00B23678">
        <w:rPr>
          <w:rFonts w:ascii="Times New Roman" w:eastAsia="Malgun Gothic" w:hAnsi="Times New Roman"/>
          <w:szCs w:val="24"/>
          <w:lang w:eastAsia="zh-CN"/>
        </w:rPr>
        <w:t xml:space="preserve">, in this case the defendant has </w:t>
      </w:r>
      <w:r w:rsidR="00B23678" w:rsidRPr="00E067F0">
        <w:rPr>
          <w:rFonts w:ascii="Times New Roman" w:eastAsia="Malgun Gothic" w:hAnsi="Times New Roman"/>
          <w:szCs w:val="24"/>
          <w:lang w:eastAsia="zh-CN"/>
        </w:rPr>
        <w:t>called one witness, who is the sister of the defendant.  The sister</w:t>
      </w:r>
      <w:r w:rsidR="00B23678" w:rsidRPr="00B23678">
        <w:rPr>
          <w:rFonts w:ascii="Times New Roman" w:eastAsia="Malgun Gothic" w:hAnsi="Times New Roman"/>
          <w:szCs w:val="24"/>
          <w:lang w:eastAsia="zh-CN"/>
        </w:rPr>
        <w:t xml:space="preserve"> of the defendant has gone through a list of male relatives of the defendant, brothers, maternal uncles, paternal uncles and male cousins.  Presumably, that evidence has been called because the </w:t>
      </w:r>
      <w:proofErr w:type="spellStart"/>
      <w:proofErr w:type="gramStart"/>
      <w:r w:rsidR="00B23678" w:rsidRPr="00B23678">
        <w:rPr>
          <w:rFonts w:ascii="Times New Roman" w:eastAsia="Malgun Gothic" w:hAnsi="Times New Roman"/>
          <w:szCs w:val="24"/>
          <w:lang w:eastAsia="zh-CN"/>
        </w:rPr>
        <w:t>defence</w:t>
      </w:r>
      <w:proofErr w:type="spellEnd"/>
      <w:r w:rsidR="00B23678" w:rsidRPr="00B23678">
        <w:rPr>
          <w:rFonts w:ascii="Times New Roman" w:eastAsia="Malgun Gothic" w:hAnsi="Times New Roman"/>
          <w:szCs w:val="24"/>
          <w:lang w:eastAsia="zh-CN"/>
        </w:rPr>
        <w:t xml:space="preserve"> say</w:t>
      </w:r>
      <w:proofErr w:type="gramEnd"/>
      <w:r w:rsidR="00B23678" w:rsidRPr="00B23678">
        <w:rPr>
          <w:rFonts w:ascii="Times New Roman" w:eastAsia="Malgun Gothic" w:hAnsi="Times New Roman"/>
          <w:szCs w:val="24"/>
          <w:lang w:eastAsia="zh-CN"/>
        </w:rPr>
        <w:t xml:space="preserve"> they could also -- they could have been -- they could have committed this offence as well.  So the DNA could have been their DNA.</w:t>
      </w:r>
    </w:p>
    <w:p w:rsidR="00C15C69" w:rsidRPr="00E067F0" w:rsidRDefault="00B23678" w:rsidP="00DF577E">
      <w:pPr>
        <w:pStyle w:val="ListParagraph"/>
        <w:widowControl/>
        <w:tabs>
          <w:tab w:val="left" w:pos="2552"/>
        </w:tabs>
        <w:snapToGrid w:val="0"/>
        <w:spacing w:before="240" w:after="400"/>
        <w:ind w:leftChars="0" w:left="1411" w:right="891"/>
        <w:jc w:val="both"/>
        <w:rPr>
          <w:rFonts w:ascii="Times New Roman" w:eastAsia="Malgun Gothic" w:hAnsi="Times New Roman"/>
          <w:szCs w:val="24"/>
          <w:lang w:eastAsia="zh-CN"/>
        </w:rPr>
      </w:pPr>
      <w:r w:rsidRPr="00B23678">
        <w:rPr>
          <w:rFonts w:ascii="Times New Roman" w:eastAsia="Malgun Gothic" w:hAnsi="Times New Roman"/>
          <w:szCs w:val="24"/>
          <w:lang w:eastAsia="zh-CN"/>
        </w:rPr>
        <w:t xml:space="preserve">Now, the first mention in this trial of the defendant having any brothers, uncles or cousins was made when the </w:t>
      </w:r>
      <w:proofErr w:type="spellStart"/>
      <w:r w:rsidRPr="00B23678">
        <w:rPr>
          <w:rFonts w:ascii="Times New Roman" w:eastAsia="Malgun Gothic" w:hAnsi="Times New Roman"/>
          <w:szCs w:val="24"/>
          <w:lang w:eastAsia="zh-CN"/>
        </w:rPr>
        <w:t>defence</w:t>
      </w:r>
      <w:proofErr w:type="spellEnd"/>
      <w:r w:rsidRPr="00B23678">
        <w:rPr>
          <w:rFonts w:ascii="Times New Roman" w:eastAsia="Malgun Gothic" w:hAnsi="Times New Roman"/>
          <w:szCs w:val="24"/>
          <w:lang w:eastAsia="zh-CN"/>
        </w:rPr>
        <w:t xml:space="preserve"> witness gave evidence.  And in those circumstances, the </w:t>
      </w:r>
      <w:proofErr w:type="gramStart"/>
      <w:r w:rsidRPr="00B23678">
        <w:rPr>
          <w:rFonts w:ascii="Times New Roman" w:eastAsia="Malgun Gothic" w:hAnsi="Times New Roman"/>
          <w:szCs w:val="24"/>
          <w:lang w:eastAsia="zh-CN"/>
        </w:rPr>
        <w:t>prosecution say</w:t>
      </w:r>
      <w:proofErr w:type="gramEnd"/>
      <w:r w:rsidRPr="00B23678">
        <w:rPr>
          <w:rFonts w:ascii="Times New Roman" w:eastAsia="Malgun Gothic" w:hAnsi="Times New Roman"/>
          <w:szCs w:val="24"/>
          <w:lang w:eastAsia="zh-CN"/>
        </w:rPr>
        <w:t xml:space="preserve"> that the witness should -- the prosecution should ask for the DNA expert to prepare another calculation to factor in the random match probability taking into account brothers, uncles and cousins.  That is what the prosecution seeks to do.  It is something that only arose for the first time in the </w:t>
      </w:r>
      <w:proofErr w:type="spellStart"/>
      <w:r w:rsidRPr="00B23678">
        <w:rPr>
          <w:rFonts w:ascii="Times New Roman" w:eastAsia="Malgun Gothic" w:hAnsi="Times New Roman"/>
          <w:szCs w:val="24"/>
          <w:lang w:eastAsia="zh-CN"/>
        </w:rPr>
        <w:t>defence</w:t>
      </w:r>
      <w:proofErr w:type="spellEnd"/>
      <w:r w:rsidRPr="00B23678">
        <w:rPr>
          <w:rFonts w:ascii="Times New Roman" w:eastAsia="Malgun Gothic" w:hAnsi="Times New Roman"/>
          <w:szCs w:val="24"/>
          <w:lang w:eastAsia="zh-CN"/>
        </w:rPr>
        <w:t xml:space="preserve"> case.</w:t>
      </w:r>
    </w:p>
    <w:p w:rsidR="00566170" w:rsidRPr="00E067F0" w:rsidRDefault="00B23678" w:rsidP="00DF577E">
      <w:pPr>
        <w:pStyle w:val="ListParagraph"/>
        <w:widowControl/>
        <w:tabs>
          <w:tab w:val="left" w:pos="2552"/>
        </w:tabs>
        <w:snapToGrid w:val="0"/>
        <w:spacing w:before="240" w:after="400"/>
        <w:ind w:leftChars="0" w:left="1411" w:right="891"/>
        <w:jc w:val="both"/>
        <w:rPr>
          <w:rFonts w:ascii="Times New Roman" w:eastAsia="Malgun Gothic" w:hAnsi="Times New Roman"/>
          <w:szCs w:val="24"/>
          <w:lang w:eastAsia="zh-CN"/>
        </w:rPr>
      </w:pPr>
      <w:r w:rsidRPr="00B23678">
        <w:rPr>
          <w:rFonts w:ascii="Times New Roman" w:eastAsia="Malgun Gothic" w:hAnsi="Times New Roman"/>
          <w:szCs w:val="24"/>
          <w:lang w:eastAsia="zh-CN"/>
        </w:rPr>
        <w:lastRenderedPageBreak/>
        <w:t xml:space="preserve">The </w:t>
      </w:r>
      <w:proofErr w:type="spellStart"/>
      <w:proofErr w:type="gramStart"/>
      <w:r w:rsidRPr="00B23678">
        <w:rPr>
          <w:rFonts w:ascii="Times New Roman" w:eastAsia="Malgun Gothic" w:hAnsi="Times New Roman"/>
          <w:szCs w:val="24"/>
          <w:lang w:eastAsia="zh-CN"/>
        </w:rPr>
        <w:t>defence</w:t>
      </w:r>
      <w:proofErr w:type="spellEnd"/>
      <w:r w:rsidRPr="00B23678">
        <w:rPr>
          <w:rFonts w:ascii="Times New Roman" w:eastAsia="Malgun Gothic" w:hAnsi="Times New Roman"/>
          <w:szCs w:val="24"/>
          <w:lang w:eastAsia="zh-CN"/>
        </w:rPr>
        <w:t xml:space="preserve"> seem</w:t>
      </w:r>
      <w:proofErr w:type="gramEnd"/>
      <w:r w:rsidRPr="00B23678">
        <w:rPr>
          <w:rFonts w:ascii="Times New Roman" w:eastAsia="Malgun Gothic" w:hAnsi="Times New Roman"/>
          <w:szCs w:val="24"/>
          <w:lang w:eastAsia="zh-CN"/>
        </w:rPr>
        <w:t xml:space="preserve"> to be running some sort of scientific </w:t>
      </w:r>
      <w:proofErr w:type="spellStart"/>
      <w:r w:rsidRPr="00B23678">
        <w:rPr>
          <w:rFonts w:ascii="Times New Roman" w:eastAsia="Malgun Gothic" w:hAnsi="Times New Roman"/>
          <w:szCs w:val="24"/>
          <w:lang w:eastAsia="zh-CN"/>
        </w:rPr>
        <w:t>defence</w:t>
      </w:r>
      <w:proofErr w:type="spellEnd"/>
      <w:r w:rsidRPr="00B23678">
        <w:rPr>
          <w:rFonts w:ascii="Times New Roman" w:eastAsia="Malgun Gothic" w:hAnsi="Times New Roman"/>
          <w:szCs w:val="24"/>
          <w:lang w:eastAsia="zh-CN"/>
        </w:rPr>
        <w:t xml:space="preserve">, it seems to me, and without any expert at all.  When the witness was cross-examined she was cross-examined loosely about, you know, it could be a different calculation for brothers, uncles, or brothers or other relatives.  But the calculation which the </w:t>
      </w:r>
      <w:proofErr w:type="spellStart"/>
      <w:r w:rsidRPr="00B23678">
        <w:rPr>
          <w:rFonts w:ascii="Times New Roman" w:eastAsia="Malgun Gothic" w:hAnsi="Times New Roman"/>
          <w:szCs w:val="24"/>
          <w:lang w:eastAsia="zh-CN"/>
        </w:rPr>
        <w:t>defence</w:t>
      </w:r>
      <w:proofErr w:type="spellEnd"/>
      <w:r w:rsidRPr="00B23678">
        <w:rPr>
          <w:rFonts w:ascii="Times New Roman" w:eastAsia="Malgun Gothic" w:hAnsi="Times New Roman"/>
          <w:szCs w:val="24"/>
          <w:lang w:eastAsia="zh-CN"/>
        </w:rPr>
        <w:t xml:space="preserve"> showed the witness was calculated to a different test, so it’s not particularly helpful.</w:t>
      </w:r>
    </w:p>
    <w:p w:rsidR="00566170" w:rsidRPr="00E067F0" w:rsidRDefault="00B23678" w:rsidP="00DF577E">
      <w:pPr>
        <w:pStyle w:val="ListParagraph"/>
        <w:widowControl/>
        <w:tabs>
          <w:tab w:val="left" w:pos="2552"/>
        </w:tabs>
        <w:snapToGrid w:val="0"/>
        <w:spacing w:before="240" w:after="560"/>
        <w:ind w:leftChars="0" w:left="1411" w:right="893"/>
        <w:jc w:val="both"/>
        <w:rPr>
          <w:rFonts w:ascii="Times New Roman" w:eastAsia="Malgun Gothic" w:hAnsi="Times New Roman"/>
          <w:szCs w:val="24"/>
          <w:lang w:eastAsia="zh-CN"/>
        </w:rPr>
      </w:pPr>
      <w:r w:rsidRPr="00B23678">
        <w:rPr>
          <w:rFonts w:ascii="Times New Roman" w:eastAsia="Malgun Gothic" w:hAnsi="Times New Roman"/>
          <w:szCs w:val="24"/>
          <w:lang w:eastAsia="zh-CN"/>
        </w:rPr>
        <w:t xml:space="preserve">So your </w:t>
      </w:r>
      <w:proofErr w:type="spellStart"/>
      <w:r w:rsidRPr="00B23678">
        <w:rPr>
          <w:rFonts w:ascii="Times New Roman" w:eastAsia="Malgun Gothic" w:hAnsi="Times New Roman"/>
          <w:szCs w:val="24"/>
          <w:lang w:eastAsia="zh-CN"/>
        </w:rPr>
        <w:t>Honour</w:t>
      </w:r>
      <w:proofErr w:type="spellEnd"/>
      <w:r w:rsidRPr="00B23678">
        <w:rPr>
          <w:rFonts w:ascii="Times New Roman" w:eastAsia="Malgun Gothic" w:hAnsi="Times New Roman"/>
          <w:szCs w:val="24"/>
          <w:lang w:eastAsia="zh-CN"/>
        </w:rPr>
        <w:t xml:space="preserve">, the prosecution submits it’s in the interests of justice for this witness to make another calculate.  Of course, I don't know the calculation -- well, I don't know what the calculation will be </w:t>
      </w:r>
      <w:proofErr w:type="gramStart"/>
      <w:r w:rsidRPr="00B23678">
        <w:rPr>
          <w:rFonts w:ascii="Times New Roman" w:eastAsia="Malgun Gothic" w:hAnsi="Times New Roman"/>
          <w:szCs w:val="24"/>
          <w:lang w:eastAsia="zh-CN"/>
        </w:rPr>
        <w:t>myself</w:t>
      </w:r>
      <w:proofErr w:type="gramEnd"/>
      <w:r w:rsidRPr="00B23678">
        <w:rPr>
          <w:rFonts w:ascii="Times New Roman" w:eastAsia="Malgun Gothic" w:hAnsi="Times New Roman"/>
          <w:szCs w:val="24"/>
          <w:lang w:eastAsia="zh-CN"/>
        </w:rPr>
        <w:t xml:space="preserve">.  It seems to be that the interests of this trial it’s very much in the interests of -- to reach a fair decision and the right </w:t>
      </w:r>
      <w:proofErr w:type="gramStart"/>
      <w:r w:rsidRPr="00B23678">
        <w:rPr>
          <w:rFonts w:ascii="Times New Roman" w:eastAsia="Malgun Gothic" w:hAnsi="Times New Roman"/>
          <w:szCs w:val="24"/>
          <w:lang w:eastAsia="zh-CN"/>
        </w:rPr>
        <w:t>decision, that</w:t>
      </w:r>
      <w:proofErr w:type="gramEnd"/>
      <w:r w:rsidRPr="00B23678">
        <w:rPr>
          <w:rFonts w:ascii="Times New Roman" w:eastAsia="Malgun Gothic" w:hAnsi="Times New Roman"/>
          <w:szCs w:val="24"/>
          <w:lang w:eastAsia="zh-CN"/>
        </w:rPr>
        <w:t xml:space="preserve"> this evidence is being asked to be called.</w:t>
      </w:r>
      <w:r w:rsidR="0044123A" w:rsidRPr="00E067F0">
        <w:rPr>
          <w:rFonts w:ascii="Times New Roman" w:eastAsia="Malgun Gothic" w:hAnsi="Times New Roman"/>
          <w:szCs w:val="24"/>
          <w:lang w:eastAsia="zh-CN"/>
        </w:rPr>
        <w:t> ”</w:t>
      </w:r>
    </w:p>
    <w:p w:rsidR="00CC49B8" w:rsidRPr="00B23678" w:rsidRDefault="00B23678" w:rsidP="00756BEE">
      <w:pPr>
        <w:pStyle w:val="Final"/>
        <w:numPr>
          <w:ilvl w:val="0"/>
          <w:numId w:val="28"/>
        </w:numPr>
        <w:ind w:left="0" w:firstLine="0"/>
      </w:pPr>
      <w:r w:rsidRPr="00B23678">
        <w:rPr>
          <w:rFonts w:eastAsia="SimSun"/>
          <w:szCs w:val="24"/>
        </w:rPr>
        <w:t>Defence counsel resisted the application.  She submitted:</w:t>
      </w:r>
    </w:p>
    <w:p w:rsidR="00B23678" w:rsidRPr="00DF577E" w:rsidRDefault="00B23678" w:rsidP="00DF577E">
      <w:pPr>
        <w:pStyle w:val="ListParagraph"/>
        <w:widowControl/>
        <w:tabs>
          <w:tab w:val="left" w:pos="2552"/>
        </w:tabs>
        <w:snapToGrid w:val="0"/>
        <w:spacing w:before="240" w:after="560"/>
        <w:ind w:leftChars="0" w:left="1411" w:right="893"/>
        <w:jc w:val="both"/>
        <w:rPr>
          <w:rFonts w:ascii="Times New Roman" w:eastAsia="Malgun Gothic" w:hAnsi="Times New Roman"/>
          <w:szCs w:val="24"/>
          <w:lang w:eastAsia="zh-CN"/>
        </w:rPr>
      </w:pPr>
      <w:r w:rsidRPr="00DF577E">
        <w:rPr>
          <w:rFonts w:ascii="Times New Roman" w:eastAsia="Malgun Gothic" w:hAnsi="Times New Roman"/>
          <w:szCs w:val="24"/>
          <w:lang w:eastAsia="zh-CN"/>
        </w:rPr>
        <w:t>“</w:t>
      </w:r>
      <w:r w:rsidRPr="00B23678">
        <w:rPr>
          <w:rFonts w:ascii="Times New Roman" w:eastAsia="Malgun Gothic" w:hAnsi="Times New Roman"/>
          <w:szCs w:val="24"/>
          <w:lang w:eastAsia="zh-CN"/>
        </w:rPr>
        <w:t xml:space="preserve">MISS CHEUNG:  Yes.  Your </w:t>
      </w:r>
      <w:proofErr w:type="spellStart"/>
      <w:r w:rsidRPr="00B23678">
        <w:rPr>
          <w:rFonts w:ascii="Times New Roman" w:eastAsia="Malgun Gothic" w:hAnsi="Times New Roman"/>
          <w:szCs w:val="24"/>
          <w:lang w:eastAsia="zh-CN"/>
        </w:rPr>
        <w:t>Honour</w:t>
      </w:r>
      <w:proofErr w:type="spellEnd"/>
      <w:r w:rsidRPr="00B23678">
        <w:rPr>
          <w:rFonts w:ascii="Times New Roman" w:eastAsia="Malgun Gothic" w:hAnsi="Times New Roman"/>
          <w:szCs w:val="24"/>
          <w:lang w:eastAsia="zh-CN"/>
        </w:rPr>
        <w:t xml:space="preserve">, the </w:t>
      </w:r>
      <w:proofErr w:type="spellStart"/>
      <w:r w:rsidRPr="00B23678">
        <w:rPr>
          <w:rFonts w:ascii="Times New Roman" w:eastAsia="Malgun Gothic" w:hAnsi="Times New Roman"/>
          <w:szCs w:val="24"/>
          <w:lang w:eastAsia="zh-CN"/>
        </w:rPr>
        <w:t>defence</w:t>
      </w:r>
      <w:proofErr w:type="spellEnd"/>
      <w:r w:rsidRPr="00B23678">
        <w:rPr>
          <w:rFonts w:ascii="Times New Roman" w:eastAsia="Malgun Gothic" w:hAnsi="Times New Roman"/>
          <w:szCs w:val="24"/>
          <w:lang w:eastAsia="zh-CN"/>
        </w:rPr>
        <w:t xml:space="preserve"> submission is that the test of whether the court should allow the prosecution to adduce additional evidence is that whether the </w:t>
      </w:r>
      <w:r w:rsidRPr="00DF577E">
        <w:rPr>
          <w:rFonts w:ascii="Times New Roman" w:eastAsia="Malgun Gothic" w:hAnsi="Times New Roman"/>
          <w:szCs w:val="24"/>
          <w:lang w:eastAsia="zh-CN"/>
        </w:rPr>
        <w:t xml:space="preserve">matter was arising ex </w:t>
      </w:r>
      <w:proofErr w:type="spellStart"/>
      <w:r w:rsidRPr="00DF577E">
        <w:rPr>
          <w:rFonts w:ascii="Times New Roman" w:eastAsia="Malgun Gothic" w:hAnsi="Times New Roman"/>
          <w:szCs w:val="24"/>
          <w:lang w:eastAsia="zh-CN"/>
        </w:rPr>
        <w:t>improviso</w:t>
      </w:r>
      <w:proofErr w:type="spellEnd"/>
      <w:r w:rsidRPr="00DF577E">
        <w:rPr>
          <w:rFonts w:ascii="Times New Roman" w:eastAsia="Malgun Gothic" w:hAnsi="Times New Roman"/>
          <w:szCs w:val="24"/>
          <w:lang w:eastAsia="zh-CN"/>
        </w:rPr>
        <w:t xml:space="preserve"> or the necessity for such</w:t>
      </w:r>
      <w:r w:rsidRPr="00B23678">
        <w:rPr>
          <w:rFonts w:ascii="Times New Roman" w:eastAsia="Malgun Gothic" w:hAnsi="Times New Roman"/>
          <w:szCs w:val="24"/>
          <w:lang w:eastAsia="zh-CN"/>
        </w:rPr>
        <w:t xml:space="preserve"> evidence was obvious to the prosecution.  It is the issue that should have been foreseen, whether the issue raised by the </w:t>
      </w:r>
      <w:proofErr w:type="spellStart"/>
      <w:r w:rsidRPr="00B23678">
        <w:rPr>
          <w:rFonts w:ascii="Times New Roman" w:eastAsia="Malgun Gothic" w:hAnsi="Times New Roman"/>
          <w:szCs w:val="24"/>
          <w:lang w:eastAsia="zh-CN"/>
        </w:rPr>
        <w:t>defence</w:t>
      </w:r>
      <w:proofErr w:type="spellEnd"/>
      <w:r w:rsidRPr="00B23678">
        <w:rPr>
          <w:rFonts w:ascii="Times New Roman" w:eastAsia="Malgun Gothic" w:hAnsi="Times New Roman"/>
          <w:szCs w:val="24"/>
          <w:lang w:eastAsia="zh-CN"/>
        </w:rPr>
        <w:t xml:space="preserve"> should have been foreseen, reasonably foreseen by the prosecution.</w:t>
      </w:r>
      <w:r w:rsidRPr="00DF577E">
        <w:rPr>
          <w:rFonts w:ascii="Times New Roman" w:eastAsia="Malgun Gothic" w:hAnsi="Times New Roman"/>
          <w:szCs w:val="24"/>
          <w:lang w:eastAsia="zh-CN"/>
        </w:rPr>
        <w:t>”</w:t>
      </w:r>
    </w:p>
    <w:p w:rsidR="00B23678" w:rsidRPr="00B23678" w:rsidRDefault="00B23678" w:rsidP="00756BEE">
      <w:pPr>
        <w:pStyle w:val="Final"/>
        <w:numPr>
          <w:ilvl w:val="0"/>
          <w:numId w:val="28"/>
        </w:numPr>
        <w:ind w:left="0" w:firstLine="0"/>
      </w:pPr>
      <w:r w:rsidRPr="00B23678">
        <w:rPr>
          <w:rFonts w:eastAsia="SimSun"/>
          <w:szCs w:val="24"/>
        </w:rPr>
        <w:t>Having then gone through a number of authorities in detail, counsel returned to the facts of th</w:t>
      </w:r>
      <w:r w:rsidRPr="00B23678">
        <w:rPr>
          <w:szCs w:val="24"/>
          <w:lang w:eastAsia="zh-HK"/>
        </w:rPr>
        <w:t>is</w:t>
      </w:r>
      <w:r w:rsidRPr="00B23678">
        <w:rPr>
          <w:rFonts w:eastAsia="SimSun"/>
          <w:szCs w:val="24"/>
        </w:rPr>
        <w:t xml:space="preserve"> case:</w:t>
      </w:r>
    </w:p>
    <w:p w:rsidR="00E067F0" w:rsidRPr="00DF577E" w:rsidRDefault="00E067F0" w:rsidP="00DF577E">
      <w:pPr>
        <w:pStyle w:val="ListParagraph"/>
        <w:widowControl/>
        <w:tabs>
          <w:tab w:val="left" w:pos="2552"/>
        </w:tabs>
        <w:snapToGrid w:val="0"/>
        <w:spacing w:before="240" w:after="400"/>
        <w:ind w:leftChars="0" w:left="1411" w:right="891"/>
        <w:jc w:val="both"/>
        <w:rPr>
          <w:rFonts w:ascii="Times New Roman" w:eastAsia="Malgun Gothic" w:hAnsi="Times New Roman"/>
          <w:szCs w:val="24"/>
          <w:lang w:eastAsia="zh-CN"/>
        </w:rPr>
      </w:pPr>
      <w:r w:rsidRPr="00DF577E">
        <w:rPr>
          <w:rFonts w:ascii="Times New Roman" w:eastAsia="Malgun Gothic" w:hAnsi="Times New Roman"/>
          <w:szCs w:val="24"/>
          <w:lang w:eastAsia="zh-CN"/>
        </w:rPr>
        <w:t>“</w:t>
      </w:r>
      <w:r w:rsidRPr="00E067F0">
        <w:rPr>
          <w:rFonts w:ascii="Times New Roman" w:eastAsia="Malgun Gothic" w:hAnsi="Times New Roman"/>
          <w:szCs w:val="24"/>
          <w:lang w:eastAsia="zh-CN"/>
        </w:rPr>
        <w:t>The reason I say that is that the prosecution has the burden of proof throughout.  The prosecution relies on the DNA sample to prove -- to link the defendant to the case.  DNA sample was found on the scene and that sample was matched with the defendant, but that does not -- the process does not stop there.</w:t>
      </w:r>
    </w:p>
    <w:p w:rsidR="00E067F0" w:rsidRPr="00DF577E" w:rsidRDefault="00E067F0" w:rsidP="00DF577E">
      <w:pPr>
        <w:pStyle w:val="ListParagraph"/>
        <w:widowControl/>
        <w:tabs>
          <w:tab w:val="left" w:pos="2552"/>
        </w:tabs>
        <w:snapToGrid w:val="0"/>
        <w:spacing w:before="240" w:after="400"/>
        <w:ind w:leftChars="0" w:left="1411" w:right="891"/>
        <w:jc w:val="both"/>
        <w:rPr>
          <w:rFonts w:ascii="Times New Roman" w:eastAsia="Malgun Gothic" w:hAnsi="Times New Roman"/>
          <w:szCs w:val="24"/>
          <w:lang w:eastAsia="zh-CN"/>
        </w:rPr>
      </w:pPr>
      <w:r w:rsidRPr="00E067F0">
        <w:rPr>
          <w:rFonts w:ascii="Times New Roman" w:eastAsia="Malgun Gothic" w:hAnsi="Times New Roman"/>
          <w:szCs w:val="24"/>
          <w:lang w:eastAsia="zh-CN"/>
        </w:rPr>
        <w:t xml:space="preserve">According to Miss Wong, her evidence, her DNA evidence is that she has to go one further step, namely, by calculating the possibility of other person share the same DNA profile.  She did that by way of, if I may say, elimination.  What she has done in the report is that she </w:t>
      </w:r>
      <w:proofErr w:type="gramStart"/>
      <w:r w:rsidRPr="00E067F0">
        <w:rPr>
          <w:rFonts w:ascii="Times New Roman" w:eastAsia="Malgun Gothic" w:hAnsi="Times New Roman"/>
          <w:szCs w:val="24"/>
          <w:lang w:eastAsia="zh-CN"/>
        </w:rPr>
        <w:t>eliminate</w:t>
      </w:r>
      <w:proofErr w:type="gramEnd"/>
      <w:r w:rsidRPr="00E067F0">
        <w:rPr>
          <w:rFonts w:ascii="Times New Roman" w:eastAsia="Malgun Gothic" w:hAnsi="Times New Roman"/>
          <w:szCs w:val="24"/>
          <w:lang w:eastAsia="zh-CN"/>
        </w:rPr>
        <w:t xml:space="preserve"> the possibility of an individual unrelated to the defendant that would share that DNA sample.  That’s what she has done.  </w:t>
      </w:r>
      <w:proofErr w:type="gramStart"/>
      <w:r w:rsidRPr="00E067F0">
        <w:rPr>
          <w:rFonts w:ascii="Times New Roman" w:eastAsia="Malgun Gothic" w:hAnsi="Times New Roman"/>
          <w:szCs w:val="24"/>
          <w:lang w:eastAsia="zh-CN"/>
        </w:rPr>
        <w:t>She done</w:t>
      </w:r>
      <w:proofErr w:type="gramEnd"/>
      <w:r w:rsidRPr="00E067F0">
        <w:rPr>
          <w:rFonts w:ascii="Times New Roman" w:eastAsia="Malgun Gothic" w:hAnsi="Times New Roman"/>
          <w:szCs w:val="24"/>
          <w:lang w:eastAsia="zh-CN"/>
        </w:rPr>
        <w:t xml:space="preserve"> that by </w:t>
      </w:r>
      <w:r w:rsidRPr="00E067F0">
        <w:rPr>
          <w:rFonts w:ascii="Times New Roman" w:eastAsia="Malgun Gothic" w:hAnsi="Times New Roman"/>
          <w:szCs w:val="24"/>
          <w:lang w:eastAsia="zh-CN"/>
        </w:rPr>
        <w:lastRenderedPageBreak/>
        <w:t>elimination.  She only eliminate Chinese male unrelated to the defendant.</w:t>
      </w:r>
    </w:p>
    <w:p w:rsidR="00E067F0" w:rsidRPr="00DF577E" w:rsidRDefault="00E067F0" w:rsidP="00DF577E">
      <w:pPr>
        <w:pStyle w:val="ListParagraph"/>
        <w:widowControl/>
        <w:tabs>
          <w:tab w:val="left" w:pos="2552"/>
        </w:tabs>
        <w:snapToGrid w:val="0"/>
        <w:spacing w:before="240" w:after="400"/>
        <w:ind w:leftChars="0" w:left="1411" w:right="891"/>
        <w:jc w:val="both"/>
        <w:rPr>
          <w:rFonts w:ascii="Times New Roman" w:eastAsia="Malgun Gothic" w:hAnsi="Times New Roman"/>
          <w:szCs w:val="24"/>
          <w:lang w:eastAsia="zh-CN"/>
        </w:rPr>
      </w:pPr>
      <w:r w:rsidRPr="00E067F0">
        <w:rPr>
          <w:rFonts w:ascii="Times New Roman" w:eastAsia="Malgun Gothic" w:hAnsi="Times New Roman"/>
          <w:szCs w:val="24"/>
          <w:lang w:eastAsia="zh-CN"/>
        </w:rPr>
        <w:t>I don't know why it did not occur to her if, by way of elimination, the possibility of a relative of the defendant, sharing the same DNA profile, would be much higher.  That possibility, that calculation is essential to the conclusion she reached.  She cannot simply eliminate those unrelated Chinese males could not have shared the sample.  She should also have eliminated the group that is relevant, namely, the relative of the defendant.  She has not done that and she gave no explanation why it was not in her report.  If there is anyone should take notice of that, if I may say, flaw, Miss Wong should be the one better than everyone in this court to know the importance of such calculation.</w:t>
      </w:r>
    </w:p>
    <w:p w:rsidR="00E067F0" w:rsidRPr="00DF577E" w:rsidRDefault="00E067F0" w:rsidP="00DF577E">
      <w:pPr>
        <w:pStyle w:val="ListParagraph"/>
        <w:widowControl/>
        <w:tabs>
          <w:tab w:val="left" w:pos="2552"/>
        </w:tabs>
        <w:snapToGrid w:val="0"/>
        <w:spacing w:before="240" w:after="400"/>
        <w:ind w:leftChars="0" w:left="1411" w:right="891"/>
        <w:jc w:val="both"/>
        <w:rPr>
          <w:rFonts w:ascii="Times New Roman" w:eastAsia="Malgun Gothic" w:hAnsi="Times New Roman"/>
          <w:szCs w:val="24"/>
          <w:lang w:eastAsia="zh-CN"/>
        </w:rPr>
      </w:pPr>
      <w:r w:rsidRPr="00E067F0">
        <w:rPr>
          <w:rFonts w:ascii="Times New Roman" w:eastAsia="Malgun Gothic" w:hAnsi="Times New Roman"/>
          <w:szCs w:val="24"/>
          <w:lang w:eastAsia="zh-CN"/>
        </w:rPr>
        <w:t xml:space="preserve">What the prosecution is trying to do is to salvage that mistake, if I may </w:t>
      </w:r>
      <w:proofErr w:type="gramStart"/>
      <w:r w:rsidRPr="00E067F0">
        <w:rPr>
          <w:rFonts w:ascii="Times New Roman" w:eastAsia="Malgun Gothic" w:hAnsi="Times New Roman"/>
          <w:szCs w:val="24"/>
          <w:lang w:eastAsia="zh-CN"/>
        </w:rPr>
        <w:t>say,</w:t>
      </w:r>
      <w:proofErr w:type="gramEnd"/>
      <w:r w:rsidRPr="00E067F0">
        <w:rPr>
          <w:rFonts w:ascii="Times New Roman" w:eastAsia="Malgun Gothic" w:hAnsi="Times New Roman"/>
          <w:szCs w:val="24"/>
          <w:lang w:eastAsia="zh-CN"/>
        </w:rPr>
        <w:t xml:space="preserve"> the flaw.  The evidence given by the defendant’s sister is simply to address the flaw of her in Miss Wong’s report.  We simply highlight, look, you should eliminate.  You also in your report eliminate the matching probability of the relatives of the defendant in order to make a sensible conclusion that the defendant could have committed it.  Your report is not good enough.  That’s what the defendant is saying -- what the </w:t>
      </w:r>
      <w:proofErr w:type="spellStart"/>
      <w:r w:rsidRPr="00E067F0">
        <w:rPr>
          <w:rFonts w:ascii="Times New Roman" w:eastAsia="Malgun Gothic" w:hAnsi="Times New Roman"/>
          <w:szCs w:val="24"/>
          <w:lang w:eastAsia="zh-CN"/>
        </w:rPr>
        <w:t>defence</w:t>
      </w:r>
      <w:proofErr w:type="spellEnd"/>
      <w:r w:rsidRPr="00E067F0">
        <w:rPr>
          <w:rFonts w:ascii="Times New Roman" w:eastAsia="Malgun Gothic" w:hAnsi="Times New Roman"/>
          <w:szCs w:val="24"/>
          <w:lang w:eastAsia="zh-CN"/>
        </w:rPr>
        <w:t xml:space="preserve"> is saying.</w:t>
      </w:r>
    </w:p>
    <w:p w:rsidR="00E067F0" w:rsidRPr="00DF577E" w:rsidRDefault="00E067F0" w:rsidP="00DF577E">
      <w:pPr>
        <w:pStyle w:val="ListParagraph"/>
        <w:widowControl/>
        <w:tabs>
          <w:tab w:val="left" w:pos="2552"/>
        </w:tabs>
        <w:snapToGrid w:val="0"/>
        <w:spacing w:before="240" w:after="400"/>
        <w:ind w:leftChars="0" w:left="1411" w:right="891"/>
        <w:jc w:val="both"/>
        <w:rPr>
          <w:rFonts w:ascii="Times New Roman" w:eastAsia="Malgun Gothic" w:hAnsi="Times New Roman"/>
          <w:szCs w:val="24"/>
          <w:lang w:eastAsia="zh-CN"/>
        </w:rPr>
      </w:pPr>
      <w:r w:rsidRPr="00E067F0">
        <w:rPr>
          <w:rFonts w:ascii="Times New Roman" w:eastAsia="Malgun Gothic" w:hAnsi="Times New Roman"/>
          <w:szCs w:val="24"/>
          <w:lang w:eastAsia="zh-CN"/>
        </w:rPr>
        <w:t xml:space="preserve">On the issue of whether the prosecution should have foreseen such an issue, if I may refer to you another case for reference </w:t>
      </w:r>
      <w:r w:rsidRPr="00DF577E">
        <w:rPr>
          <w:rFonts w:ascii="Times New Roman" w:eastAsia="Malgun Gothic" w:hAnsi="Times New Roman"/>
          <w:szCs w:val="24"/>
          <w:lang w:eastAsia="zh-CN"/>
        </w:rPr>
        <w:t xml:space="preserve">Ng Chung </w:t>
      </w:r>
      <w:proofErr w:type="gramStart"/>
      <w:r w:rsidRPr="00DF577E">
        <w:rPr>
          <w:rFonts w:ascii="Times New Roman" w:eastAsia="Malgun Gothic" w:hAnsi="Times New Roman"/>
          <w:szCs w:val="24"/>
          <w:lang w:eastAsia="zh-CN"/>
        </w:rPr>
        <w:t>Fai</w:t>
      </w:r>
      <w:r w:rsidRPr="00E067F0">
        <w:rPr>
          <w:rFonts w:ascii="Times New Roman" w:eastAsia="Malgun Gothic" w:hAnsi="Times New Roman"/>
          <w:szCs w:val="24"/>
          <w:lang w:eastAsia="zh-CN"/>
        </w:rPr>
        <w:t>(</w:t>
      </w:r>
      <w:proofErr w:type="gramEnd"/>
      <w:r w:rsidRPr="00E067F0">
        <w:rPr>
          <w:rFonts w:ascii="Times New Roman" w:eastAsia="Malgun Gothic" w:hAnsi="Times New Roman"/>
          <w:szCs w:val="24"/>
          <w:lang w:eastAsia="zh-CN"/>
        </w:rPr>
        <w:t xml:space="preserve">?).  In fact, the tactic that I employ in challenging the report in such a manner, in challenging the report not containing a matching probability calculation or in the relative was not taken the first time by counsel.  In this case, 2012, the same tactic was employed by </w:t>
      </w:r>
      <w:proofErr w:type="spellStart"/>
      <w:r w:rsidRPr="00E067F0">
        <w:rPr>
          <w:rFonts w:ascii="Times New Roman" w:eastAsia="Malgun Gothic" w:hAnsi="Times New Roman"/>
          <w:szCs w:val="24"/>
          <w:lang w:eastAsia="zh-CN"/>
        </w:rPr>
        <w:t>Mr</w:t>
      </w:r>
      <w:proofErr w:type="spellEnd"/>
      <w:r w:rsidRPr="00E067F0">
        <w:rPr>
          <w:rFonts w:ascii="Times New Roman" w:eastAsia="Malgun Gothic" w:hAnsi="Times New Roman"/>
          <w:szCs w:val="24"/>
          <w:lang w:eastAsia="zh-CN"/>
        </w:rPr>
        <w:t xml:space="preserve"> Duncan Percy, the learned counsel.  He adopted the same approach.  Now, page 14, now, this is a case of robbery</w:t>
      </w:r>
      <w:r w:rsidRPr="00DF577E">
        <w:rPr>
          <w:rFonts w:ascii="Times New Roman" w:eastAsia="Malgun Gothic" w:hAnsi="Times New Roman"/>
          <w:szCs w:val="24"/>
          <w:lang w:eastAsia="zh-CN"/>
        </w:rPr>
        <w:t xml:space="preserve"> …</w:t>
      </w:r>
      <w:r w:rsidRPr="00E067F0">
        <w:rPr>
          <w:rFonts w:ascii="Times New Roman" w:eastAsia="Malgun Gothic" w:hAnsi="Times New Roman"/>
          <w:szCs w:val="24"/>
          <w:lang w:eastAsia="zh-CN"/>
        </w:rPr>
        <w:t>.</w:t>
      </w:r>
    </w:p>
    <w:p w:rsidR="00E067F0" w:rsidRPr="00DF577E" w:rsidRDefault="00E067F0" w:rsidP="00DF577E">
      <w:pPr>
        <w:pStyle w:val="ListParagraph"/>
        <w:widowControl/>
        <w:tabs>
          <w:tab w:val="left" w:pos="2552"/>
        </w:tabs>
        <w:snapToGrid w:val="0"/>
        <w:spacing w:before="240" w:after="400"/>
        <w:ind w:leftChars="0" w:left="1411" w:right="891"/>
        <w:jc w:val="both"/>
        <w:rPr>
          <w:rFonts w:ascii="Times New Roman" w:eastAsia="Malgun Gothic" w:hAnsi="Times New Roman"/>
          <w:szCs w:val="24"/>
          <w:lang w:eastAsia="zh-CN"/>
        </w:rPr>
      </w:pPr>
      <w:r w:rsidRPr="00DF577E">
        <w:rPr>
          <w:rFonts w:ascii="Times New Roman" w:eastAsia="Malgun Gothic" w:hAnsi="Times New Roman"/>
          <w:szCs w:val="24"/>
          <w:lang w:eastAsia="zh-CN"/>
        </w:rPr>
        <w:t>…..</w:t>
      </w:r>
    </w:p>
    <w:p w:rsidR="00E067F0" w:rsidRPr="00DF577E" w:rsidRDefault="00E067F0" w:rsidP="00DF577E">
      <w:pPr>
        <w:pStyle w:val="ListParagraph"/>
        <w:widowControl/>
        <w:tabs>
          <w:tab w:val="left" w:pos="2552"/>
        </w:tabs>
        <w:snapToGrid w:val="0"/>
        <w:spacing w:before="240" w:after="560"/>
        <w:ind w:leftChars="0" w:left="1411" w:right="893"/>
        <w:jc w:val="both"/>
        <w:rPr>
          <w:rFonts w:ascii="Times New Roman" w:eastAsia="Malgun Gothic" w:hAnsi="Times New Roman"/>
          <w:szCs w:val="24"/>
          <w:lang w:eastAsia="zh-CN"/>
        </w:rPr>
      </w:pPr>
      <w:r w:rsidRPr="00E067F0">
        <w:rPr>
          <w:rFonts w:ascii="Times New Roman" w:eastAsia="Malgun Gothic" w:hAnsi="Times New Roman"/>
          <w:szCs w:val="24"/>
          <w:lang w:eastAsia="zh-CN"/>
        </w:rPr>
        <w:t xml:space="preserve">They should learn their lesson after that case, but it seems that in this prosecution their report remains the same, similar to those used in </w:t>
      </w:r>
      <w:r w:rsidRPr="00DF577E">
        <w:rPr>
          <w:rFonts w:ascii="Times New Roman" w:eastAsia="Malgun Gothic" w:hAnsi="Times New Roman"/>
          <w:szCs w:val="24"/>
          <w:lang w:eastAsia="zh-CN"/>
        </w:rPr>
        <w:t>Ng Chun Fai</w:t>
      </w:r>
      <w:r w:rsidRPr="00E067F0">
        <w:rPr>
          <w:rFonts w:ascii="Times New Roman" w:eastAsia="Malgun Gothic" w:hAnsi="Times New Roman"/>
          <w:szCs w:val="24"/>
          <w:lang w:eastAsia="zh-CN"/>
        </w:rPr>
        <w:t xml:space="preserve">.  So the fact that </w:t>
      </w:r>
      <w:proofErr w:type="gramStart"/>
      <w:r w:rsidRPr="00E067F0">
        <w:rPr>
          <w:rFonts w:ascii="Times New Roman" w:eastAsia="Malgun Gothic" w:hAnsi="Times New Roman"/>
          <w:szCs w:val="24"/>
          <w:lang w:eastAsia="zh-CN"/>
        </w:rPr>
        <w:t>those</w:t>
      </w:r>
      <w:proofErr w:type="gramEnd"/>
      <w:r w:rsidRPr="00E067F0">
        <w:rPr>
          <w:rFonts w:ascii="Times New Roman" w:eastAsia="Malgun Gothic" w:hAnsi="Times New Roman"/>
          <w:szCs w:val="24"/>
          <w:lang w:eastAsia="zh-CN"/>
        </w:rPr>
        <w:t xml:space="preserve"> additional evidence should be adduced is a matter of foresight, not hindsight.  You must remember the court system is one of adversarial not inquisitorial.  In my submission, the application should not be granted.  Your </w:t>
      </w:r>
      <w:proofErr w:type="spellStart"/>
      <w:r w:rsidRPr="00E067F0">
        <w:rPr>
          <w:rFonts w:ascii="Times New Roman" w:eastAsia="Malgun Gothic" w:hAnsi="Times New Roman"/>
          <w:szCs w:val="24"/>
          <w:lang w:eastAsia="zh-CN"/>
        </w:rPr>
        <w:t>Honour</w:t>
      </w:r>
      <w:proofErr w:type="spellEnd"/>
      <w:r w:rsidRPr="00E067F0">
        <w:rPr>
          <w:rFonts w:ascii="Times New Roman" w:eastAsia="Malgun Gothic" w:hAnsi="Times New Roman"/>
          <w:szCs w:val="24"/>
          <w:lang w:eastAsia="zh-CN"/>
        </w:rPr>
        <w:t>, this is my submission.</w:t>
      </w:r>
      <w:r w:rsidRPr="00DF577E">
        <w:rPr>
          <w:rFonts w:ascii="Times New Roman" w:eastAsia="Malgun Gothic" w:hAnsi="Times New Roman"/>
          <w:szCs w:val="24"/>
          <w:lang w:eastAsia="zh-CN"/>
        </w:rPr>
        <w:t>”</w:t>
      </w:r>
    </w:p>
    <w:p w:rsidR="00B23678" w:rsidRPr="00B23678" w:rsidRDefault="00DF577E" w:rsidP="00756BEE">
      <w:pPr>
        <w:pStyle w:val="Final"/>
        <w:numPr>
          <w:ilvl w:val="0"/>
          <w:numId w:val="28"/>
        </w:numPr>
        <w:ind w:left="0" w:firstLine="0"/>
      </w:pPr>
      <w:r w:rsidRPr="003328A8">
        <w:rPr>
          <w:szCs w:val="24"/>
          <w:lang w:eastAsia="zh-HK"/>
        </w:rPr>
        <w:lastRenderedPageBreak/>
        <w:t>In the e</w:t>
      </w:r>
      <w:r w:rsidRPr="003328A8">
        <w:rPr>
          <w:rFonts w:eastAsia="SimSun"/>
          <w:szCs w:val="24"/>
        </w:rPr>
        <w:t>nd</w:t>
      </w:r>
      <w:r w:rsidRPr="003328A8">
        <w:rPr>
          <w:szCs w:val="24"/>
          <w:lang w:eastAsia="zh-HK"/>
        </w:rPr>
        <w:t xml:space="preserve">, holding </w:t>
      </w:r>
      <w:r w:rsidRPr="003328A8">
        <w:rPr>
          <w:rFonts w:eastAsia="SimSun"/>
          <w:szCs w:val="24"/>
        </w:rPr>
        <w:t>that “the prosecution could not have foreseen this line of defence”</w:t>
      </w:r>
      <w:r w:rsidRPr="003328A8">
        <w:rPr>
          <w:rStyle w:val="FootnoteReference"/>
          <w:rFonts w:eastAsia="SimSun"/>
          <w:szCs w:val="24"/>
        </w:rPr>
        <w:footnoteReference w:id="6"/>
      </w:r>
      <w:r w:rsidRPr="003328A8">
        <w:rPr>
          <w:rFonts w:eastAsia="SimSun"/>
          <w:szCs w:val="24"/>
        </w:rPr>
        <w:t>, the judge ruled in favour of recalling Ms Wong, whose further evidence</w:t>
      </w:r>
      <w:r w:rsidRPr="003328A8">
        <w:rPr>
          <w:rStyle w:val="FootnoteReference"/>
          <w:rFonts w:eastAsia="SimSun"/>
          <w:szCs w:val="24"/>
        </w:rPr>
        <w:footnoteReference w:id="7"/>
      </w:r>
      <w:r w:rsidRPr="003328A8">
        <w:rPr>
          <w:rFonts w:eastAsia="SimSun"/>
          <w:szCs w:val="24"/>
        </w:rPr>
        <w:t xml:space="preserve"> was summarized in the Reasons for Verdict:</w:t>
      </w:r>
    </w:p>
    <w:p w:rsidR="00E067F0" w:rsidRPr="00DF577E" w:rsidRDefault="00DF577E" w:rsidP="00063B67">
      <w:pPr>
        <w:pStyle w:val="ListParagraph"/>
        <w:widowControl/>
        <w:tabs>
          <w:tab w:val="left" w:pos="2552"/>
        </w:tabs>
        <w:snapToGrid w:val="0"/>
        <w:spacing w:before="240" w:after="400"/>
        <w:ind w:leftChars="0" w:left="1411" w:right="893"/>
        <w:jc w:val="both"/>
        <w:rPr>
          <w:rFonts w:ascii="Times New Roman" w:eastAsia="SimSun" w:hAnsi="Times New Roman"/>
          <w:szCs w:val="24"/>
          <w:lang w:eastAsia="zh-CN"/>
        </w:rPr>
      </w:pPr>
      <w:r w:rsidRPr="00DF577E">
        <w:rPr>
          <w:rFonts w:ascii="Times New Roman" w:eastAsia="SimSun" w:hAnsi="Times New Roman"/>
          <w:szCs w:val="24"/>
          <w:lang w:eastAsia="zh-CN"/>
        </w:rPr>
        <w:t>“46.</w:t>
      </w:r>
      <w:r w:rsidRPr="00DF577E">
        <w:rPr>
          <w:rFonts w:ascii="Times New Roman" w:eastAsia="SimSun" w:hAnsi="Times New Roman"/>
          <w:szCs w:val="24"/>
          <w:lang w:eastAsia="zh-CN"/>
        </w:rPr>
        <w:tab/>
        <w:t>Ms Wong was then recalled and her 3rd report [marked Exhibit P13] was read into evidence pursuant to section 65B of the Criminal Procedure Ordinance.  It is her evidence that the match probabilities that a relative of the defendant would have the particular combination of DNA types as obtained from the wooden jewel box (Exhibit P1), given the defendant having the matching DNA types, that is to say, the probability that the wooden box sample was from the relatives instead of the defendant, are as follows.</w:t>
      </w:r>
    </w:p>
    <w:p w:rsidR="00E067F0" w:rsidRPr="00DF577E" w:rsidRDefault="00DF577E" w:rsidP="00DF577E">
      <w:pPr>
        <w:pStyle w:val="ListParagraph"/>
        <w:widowControl/>
        <w:tabs>
          <w:tab w:val="left" w:pos="2552"/>
        </w:tabs>
        <w:snapToGrid w:val="0"/>
        <w:spacing w:before="240" w:after="560"/>
        <w:ind w:leftChars="0" w:left="1411" w:right="893"/>
        <w:jc w:val="both"/>
        <w:rPr>
          <w:rFonts w:ascii="Times New Roman" w:eastAsia="SimSun" w:hAnsi="Times New Roman"/>
          <w:szCs w:val="24"/>
          <w:lang w:eastAsia="zh-CN"/>
        </w:rPr>
      </w:pPr>
      <w:r w:rsidRPr="00DF577E">
        <w:rPr>
          <w:rFonts w:ascii="Times New Roman" w:eastAsia="SimSun" w:hAnsi="Times New Roman"/>
          <w:szCs w:val="24"/>
          <w:lang w:eastAsia="zh-CN"/>
        </w:rPr>
        <w:t>47.</w:t>
      </w:r>
      <w:r w:rsidRPr="00DF577E">
        <w:rPr>
          <w:rFonts w:ascii="Times New Roman" w:eastAsia="SimSun" w:hAnsi="Times New Roman"/>
          <w:szCs w:val="24"/>
          <w:lang w:eastAsia="zh-CN"/>
        </w:rPr>
        <w:tab/>
        <w:t>From siblings, 1 in 1.81 million; from an uncle or nephew is 1 in 11.0 trillion; and from a first cousin is 1 in 811 trillion.</w:t>
      </w:r>
      <w:r w:rsidR="00E067F0" w:rsidRPr="00DF577E">
        <w:rPr>
          <w:rFonts w:ascii="Times New Roman" w:eastAsia="SimSun" w:hAnsi="Times New Roman"/>
          <w:szCs w:val="24"/>
          <w:lang w:eastAsia="zh-CN"/>
        </w:rPr>
        <w:t>”</w:t>
      </w:r>
    </w:p>
    <w:p w:rsidR="00063B67" w:rsidRPr="007256F3" w:rsidRDefault="00063B67" w:rsidP="00063B67">
      <w:pPr>
        <w:pStyle w:val="Final"/>
        <w:numPr>
          <w:ilvl w:val="0"/>
          <w:numId w:val="0"/>
        </w:numPr>
        <w:rPr>
          <w:rFonts w:eastAsia="SimSun"/>
          <w:i/>
          <w:szCs w:val="24"/>
        </w:rPr>
      </w:pPr>
      <w:r w:rsidRPr="003328A8">
        <w:rPr>
          <w:rFonts w:eastAsia="SimSun"/>
          <w:i/>
          <w:szCs w:val="24"/>
        </w:rPr>
        <w:t>VERDICT</w:t>
      </w:r>
    </w:p>
    <w:p w:rsidR="00B23678" w:rsidRPr="00063B67" w:rsidRDefault="00063B67" w:rsidP="00756BEE">
      <w:pPr>
        <w:pStyle w:val="Final"/>
        <w:numPr>
          <w:ilvl w:val="0"/>
          <w:numId w:val="28"/>
        </w:numPr>
        <w:ind w:left="0" w:firstLine="0"/>
      </w:pPr>
      <w:r w:rsidRPr="003328A8">
        <w:rPr>
          <w:rFonts w:eastAsia="SimSun"/>
          <w:szCs w:val="24"/>
        </w:rPr>
        <w:t>Apropos what is relevant to the present appeal</w:t>
      </w:r>
      <w:r w:rsidRPr="003328A8">
        <w:rPr>
          <w:szCs w:val="24"/>
          <w:lang w:eastAsia="zh-HK"/>
        </w:rPr>
        <w:t xml:space="preserve">, </w:t>
      </w:r>
      <w:r w:rsidRPr="003328A8">
        <w:rPr>
          <w:rFonts w:eastAsia="SimSun"/>
          <w:szCs w:val="24"/>
        </w:rPr>
        <w:t>the following portions of the Reasons for Verdict are instructive.  They show the judge’s reasoning in</w:t>
      </w:r>
      <w:r w:rsidRPr="003328A8">
        <w:rPr>
          <w:szCs w:val="24"/>
          <w:lang w:eastAsia="zh-HK"/>
        </w:rPr>
        <w:t xml:space="preserve"> </w:t>
      </w:r>
      <w:r w:rsidRPr="003328A8">
        <w:rPr>
          <w:rFonts w:eastAsia="SimSun"/>
          <w:szCs w:val="24"/>
        </w:rPr>
        <w:t>convicting the appellant on the DNA evidence:</w:t>
      </w:r>
    </w:p>
    <w:p w:rsidR="00063B67" w:rsidRDefault="00063B67" w:rsidP="00063B67">
      <w:pPr>
        <w:pStyle w:val="ListParagraph"/>
        <w:widowControl/>
        <w:tabs>
          <w:tab w:val="left" w:pos="2552"/>
        </w:tabs>
        <w:snapToGrid w:val="0"/>
        <w:spacing w:before="240" w:after="400"/>
        <w:ind w:leftChars="0" w:left="1411" w:right="893"/>
        <w:jc w:val="both"/>
        <w:rPr>
          <w:rFonts w:ascii="Times New Roman" w:eastAsia="Malgun Gothic" w:hAnsi="Times New Roman"/>
          <w:szCs w:val="24"/>
        </w:rPr>
      </w:pPr>
      <w:r w:rsidRPr="00063B67">
        <w:rPr>
          <w:rFonts w:ascii="Times New Roman" w:eastAsia="SimSun" w:hAnsi="Times New Roman"/>
          <w:szCs w:val="24"/>
          <w:lang w:eastAsia="zh-CN"/>
        </w:rPr>
        <w:t>“</w:t>
      </w:r>
      <w:r w:rsidRPr="00063B67">
        <w:rPr>
          <w:rFonts w:ascii="Times New Roman" w:eastAsia="Malgun Gothic" w:hAnsi="Times New Roman"/>
          <w:szCs w:val="24"/>
          <w:lang w:eastAsia="zh-CN"/>
        </w:rPr>
        <w:t xml:space="preserve">51. </w:t>
      </w:r>
      <w:r w:rsidRPr="00063B67">
        <w:rPr>
          <w:rFonts w:ascii="Times New Roman" w:eastAsia="SimSun" w:hAnsi="Times New Roman"/>
          <w:szCs w:val="24"/>
          <w:lang w:eastAsia="zh-CN"/>
        </w:rPr>
        <w:tab/>
      </w:r>
      <w:r w:rsidRPr="00063B67">
        <w:rPr>
          <w:rFonts w:ascii="Times New Roman" w:eastAsia="Malgun Gothic" w:hAnsi="Times New Roman"/>
          <w:szCs w:val="24"/>
        </w:rPr>
        <w:t xml:space="preserve">According to the learned editors of </w:t>
      </w:r>
      <w:proofErr w:type="spellStart"/>
      <w:r w:rsidRPr="00063B67">
        <w:rPr>
          <w:rFonts w:ascii="Times New Roman" w:eastAsia="Malgun Gothic" w:hAnsi="Times New Roman"/>
          <w:i/>
          <w:szCs w:val="24"/>
        </w:rPr>
        <w:t>Archbold</w:t>
      </w:r>
      <w:proofErr w:type="spellEnd"/>
      <w:r w:rsidRPr="00063B67">
        <w:rPr>
          <w:rFonts w:ascii="Times New Roman" w:eastAsia="Malgun Gothic" w:hAnsi="Times New Roman"/>
          <w:i/>
          <w:szCs w:val="24"/>
        </w:rPr>
        <w:t xml:space="preserve"> Hong Kong</w:t>
      </w:r>
      <w:r w:rsidRPr="00063B67">
        <w:rPr>
          <w:rFonts w:ascii="Times New Roman" w:eastAsia="Malgun Gothic" w:hAnsi="Times New Roman"/>
          <w:szCs w:val="24"/>
        </w:rPr>
        <w:t xml:space="preserve"> </w:t>
      </w:r>
      <w:r w:rsidRPr="00063B67">
        <w:rPr>
          <w:rFonts w:ascii="Times New Roman" w:eastAsia="Malgun Gothic" w:hAnsi="Times New Roman"/>
          <w:i/>
          <w:szCs w:val="24"/>
        </w:rPr>
        <w:t>2015</w:t>
      </w:r>
      <w:r w:rsidRPr="00063B67">
        <w:rPr>
          <w:rFonts w:ascii="Times New Roman" w:eastAsia="Malgun Gothic" w:hAnsi="Times New Roman"/>
          <w:szCs w:val="24"/>
        </w:rPr>
        <w:t>, at paragraph 14-11, there are two distinct questions to be asked when dealing with DNA profiling evidence.</w:t>
      </w:r>
      <w:r w:rsidRPr="00063B67">
        <w:rPr>
          <w:rFonts w:ascii="Times New Roman" w:eastAsia="Malgun Gothic" w:hAnsi="Times New Roman"/>
          <w:szCs w:val="24"/>
          <w:lang w:eastAsia="zh-CN"/>
        </w:rPr>
        <w:t xml:space="preserve"> </w:t>
      </w:r>
      <w:r w:rsidRPr="00063B67">
        <w:rPr>
          <w:rFonts w:ascii="Times New Roman" w:eastAsia="Malgun Gothic" w:hAnsi="Times New Roman"/>
          <w:szCs w:val="24"/>
        </w:rPr>
        <w:t xml:space="preserve"> They are:</w:t>
      </w:r>
    </w:p>
    <w:p w:rsidR="00063B67" w:rsidRPr="00883F8F" w:rsidRDefault="00063B67" w:rsidP="00063B67">
      <w:pPr>
        <w:pStyle w:val="Quotation"/>
        <w:tabs>
          <w:tab w:val="clear" w:pos="2016"/>
          <w:tab w:val="clear" w:pos="2448"/>
          <w:tab w:val="clear" w:pos="3946"/>
          <w:tab w:val="center" w:pos="4320"/>
        </w:tabs>
        <w:spacing w:before="240" w:after="0"/>
        <w:ind w:left="2520" w:hanging="720"/>
        <w:rPr>
          <w:rFonts w:eastAsia="Malgun Gothic"/>
          <w:i/>
          <w:szCs w:val="24"/>
        </w:rPr>
      </w:pPr>
      <w:r w:rsidRPr="00883F8F">
        <w:rPr>
          <w:szCs w:val="24"/>
        </w:rPr>
        <w:t>(a)</w:t>
      </w:r>
      <w:r w:rsidRPr="00883F8F">
        <w:rPr>
          <w:rFonts w:hint="eastAsia"/>
          <w:szCs w:val="24"/>
        </w:rPr>
        <w:tab/>
      </w:r>
      <w:r w:rsidRPr="00883F8F">
        <w:rPr>
          <w:rFonts w:eastAsia="Malgun Gothic"/>
          <w:i/>
          <w:szCs w:val="24"/>
        </w:rPr>
        <w:t>What is the probability that a particular individual would match the DNA profile from the crime sample, given that he is innocent? And</w:t>
      </w:r>
    </w:p>
    <w:p w:rsidR="00063B67" w:rsidRPr="00883F8F" w:rsidRDefault="00063B67" w:rsidP="00063B67">
      <w:pPr>
        <w:pStyle w:val="Quotation"/>
        <w:tabs>
          <w:tab w:val="clear" w:pos="2016"/>
          <w:tab w:val="clear" w:pos="2448"/>
          <w:tab w:val="clear" w:pos="3946"/>
          <w:tab w:val="center" w:pos="4320"/>
        </w:tabs>
        <w:spacing w:before="240" w:after="0"/>
        <w:ind w:left="2520" w:hanging="720"/>
        <w:rPr>
          <w:szCs w:val="24"/>
        </w:rPr>
      </w:pPr>
      <w:r w:rsidRPr="00883F8F">
        <w:rPr>
          <w:szCs w:val="24"/>
        </w:rPr>
        <w:t>(b)</w:t>
      </w:r>
      <w:r w:rsidRPr="00883F8F">
        <w:rPr>
          <w:szCs w:val="24"/>
        </w:rPr>
        <w:tab/>
      </w:r>
      <w:r w:rsidRPr="00883F8F">
        <w:rPr>
          <w:rFonts w:eastAsia="Malgun Gothic"/>
          <w:i/>
          <w:szCs w:val="24"/>
        </w:rPr>
        <w:t>What is the probability that an individual is innocent, if he matches the DNA profile from the crime sample?</w:t>
      </w:r>
    </w:p>
    <w:p w:rsidR="00063B67" w:rsidRPr="00063B67" w:rsidRDefault="00063B67" w:rsidP="00063B67">
      <w:pPr>
        <w:pStyle w:val="ListParagraph"/>
        <w:widowControl/>
        <w:tabs>
          <w:tab w:val="left" w:pos="2552"/>
        </w:tabs>
        <w:snapToGrid w:val="0"/>
        <w:spacing w:before="240" w:after="400"/>
        <w:ind w:leftChars="0" w:left="1411" w:right="893"/>
        <w:jc w:val="both"/>
        <w:rPr>
          <w:rFonts w:ascii="Times New Roman" w:eastAsia="Malgun Gothic" w:hAnsi="Times New Roman"/>
          <w:szCs w:val="24"/>
        </w:rPr>
      </w:pPr>
      <w:r w:rsidRPr="00063B67">
        <w:rPr>
          <w:rFonts w:ascii="Times New Roman" w:eastAsia="Malgun Gothic" w:hAnsi="Times New Roman"/>
          <w:szCs w:val="24"/>
          <w:lang w:eastAsia="zh-CN"/>
        </w:rPr>
        <w:lastRenderedPageBreak/>
        <w:t xml:space="preserve">52. </w:t>
      </w:r>
      <w:r w:rsidRPr="00063B67">
        <w:rPr>
          <w:rFonts w:ascii="Times New Roman" w:eastAsia="SimSun" w:hAnsi="Times New Roman"/>
          <w:szCs w:val="24"/>
          <w:lang w:eastAsia="zh-CN"/>
        </w:rPr>
        <w:tab/>
      </w:r>
      <w:r w:rsidRPr="00063B67">
        <w:rPr>
          <w:rFonts w:ascii="Times New Roman" w:eastAsia="Malgun Gothic" w:hAnsi="Times New Roman"/>
          <w:szCs w:val="24"/>
        </w:rPr>
        <w:t xml:space="preserve">The learned editors also referred to </w:t>
      </w:r>
      <w:r w:rsidRPr="00063B67">
        <w:rPr>
          <w:rFonts w:ascii="Times New Roman" w:eastAsia="Malgun Gothic" w:hAnsi="Times New Roman"/>
          <w:i/>
          <w:szCs w:val="24"/>
        </w:rPr>
        <w:t xml:space="preserve">R </w:t>
      </w:r>
      <w:r w:rsidRPr="00063B67">
        <w:rPr>
          <w:rFonts w:ascii="Times New Roman" w:eastAsia="Malgun Gothic" w:hAnsi="Times New Roman"/>
          <w:szCs w:val="24"/>
        </w:rPr>
        <w:t>v</w:t>
      </w:r>
      <w:r w:rsidRPr="00063B67">
        <w:rPr>
          <w:rFonts w:ascii="Times New Roman" w:eastAsia="Malgun Gothic" w:hAnsi="Times New Roman"/>
          <w:i/>
          <w:szCs w:val="24"/>
        </w:rPr>
        <w:t xml:space="preserve"> </w:t>
      </w:r>
      <w:proofErr w:type="spellStart"/>
      <w:r w:rsidRPr="00063B67">
        <w:rPr>
          <w:rFonts w:ascii="Times New Roman" w:eastAsia="Malgun Gothic" w:hAnsi="Times New Roman"/>
          <w:i/>
          <w:szCs w:val="24"/>
        </w:rPr>
        <w:t>Doheny</w:t>
      </w:r>
      <w:proofErr w:type="spellEnd"/>
      <w:r w:rsidRPr="00063B67">
        <w:rPr>
          <w:rFonts w:ascii="Times New Roman" w:eastAsia="Malgun Gothic" w:hAnsi="Times New Roman"/>
          <w:i/>
          <w:szCs w:val="24"/>
        </w:rPr>
        <w:t xml:space="preserve"> and Adams</w:t>
      </w:r>
      <w:r w:rsidRPr="00063B67">
        <w:rPr>
          <w:rFonts w:ascii="Times New Roman" w:eastAsia="Malgun Gothic" w:hAnsi="Times New Roman"/>
          <w:szCs w:val="24"/>
        </w:rPr>
        <w:t xml:space="preserve"> [1997] 1 Cr App R 369, CA, where guidelines were laid down to ensure the proper use of DNA profiling evidence.</w:t>
      </w:r>
      <w:r w:rsidRPr="00063B67">
        <w:rPr>
          <w:rFonts w:ascii="Times New Roman" w:eastAsia="Malgun Gothic" w:hAnsi="Times New Roman"/>
          <w:szCs w:val="24"/>
          <w:lang w:eastAsia="zh-CN"/>
        </w:rPr>
        <w:t xml:space="preserve"> </w:t>
      </w:r>
      <w:r w:rsidRPr="00063B67">
        <w:rPr>
          <w:rFonts w:ascii="Times New Roman" w:eastAsia="Malgun Gothic" w:hAnsi="Times New Roman"/>
          <w:szCs w:val="24"/>
        </w:rPr>
        <w:t xml:space="preserve"> For our present purpose, I refer to the suggested direction to the jury:</w:t>
      </w:r>
    </w:p>
    <w:p w:rsidR="00063B67" w:rsidRPr="00063B67" w:rsidRDefault="00063B67" w:rsidP="00063B67">
      <w:pPr>
        <w:pStyle w:val="Quotation"/>
        <w:tabs>
          <w:tab w:val="clear" w:pos="2016"/>
          <w:tab w:val="clear" w:pos="2448"/>
          <w:tab w:val="clear" w:pos="3946"/>
          <w:tab w:val="center" w:pos="4320"/>
        </w:tabs>
        <w:spacing w:before="240" w:after="0"/>
        <w:ind w:left="2563" w:hanging="144"/>
        <w:rPr>
          <w:szCs w:val="24"/>
        </w:rPr>
      </w:pPr>
      <w:r w:rsidRPr="00063B67">
        <w:rPr>
          <w:szCs w:val="24"/>
        </w:rPr>
        <w:t>‘</w:t>
      </w:r>
      <w:r w:rsidRPr="00063B67">
        <w:rPr>
          <w:rFonts w:hint="eastAsia"/>
          <w:szCs w:val="24"/>
        </w:rPr>
        <w:tab/>
      </w:r>
      <w:r w:rsidRPr="00063B67">
        <w:rPr>
          <w:rFonts w:eastAsia="Malgun Gothic"/>
          <w:i/>
          <w:szCs w:val="24"/>
        </w:rPr>
        <w:t>Members of the jury, if you accept the scientific evidence called by the prosecution this indicates that there are probably only four or five white males in the United Kingdom from whom that semen stain could have come. The defendant is one of them. If that is the position, the decision you have to reach, on all the evidence, is whether you are sure that it was the defendant who left that stain or whether it is possible that it was one of that other small group of men who share the same DNA characteristics</w:t>
      </w:r>
      <w:r w:rsidRPr="00063B67">
        <w:rPr>
          <w:rFonts w:eastAsia="Malgun Gothic"/>
          <w:szCs w:val="24"/>
        </w:rPr>
        <w:t>.</w:t>
      </w:r>
      <w:r w:rsidRPr="00063B67">
        <w:rPr>
          <w:szCs w:val="24"/>
        </w:rPr>
        <w:t>’</w:t>
      </w:r>
    </w:p>
    <w:p w:rsidR="00063B67" w:rsidRPr="00063B67" w:rsidRDefault="00063B67" w:rsidP="00063B67">
      <w:pPr>
        <w:pStyle w:val="ListParagraph"/>
        <w:widowControl/>
        <w:tabs>
          <w:tab w:val="left" w:pos="2552"/>
        </w:tabs>
        <w:snapToGrid w:val="0"/>
        <w:spacing w:before="240" w:after="400"/>
        <w:ind w:leftChars="0" w:left="1411" w:right="893"/>
        <w:jc w:val="both"/>
        <w:rPr>
          <w:rFonts w:ascii="Times New Roman" w:eastAsia="Malgun Gothic" w:hAnsi="Times New Roman"/>
          <w:szCs w:val="24"/>
        </w:rPr>
      </w:pPr>
      <w:r w:rsidRPr="00063B67">
        <w:rPr>
          <w:rFonts w:ascii="Times New Roman" w:eastAsia="Malgun Gothic" w:hAnsi="Times New Roman"/>
          <w:szCs w:val="24"/>
          <w:lang w:eastAsia="zh-CN"/>
        </w:rPr>
        <w:t>53.</w:t>
      </w:r>
      <w:r w:rsidRPr="00063B67">
        <w:rPr>
          <w:rFonts w:ascii="Times New Roman" w:eastAsia="SimSun" w:hAnsi="Times New Roman"/>
          <w:szCs w:val="24"/>
          <w:lang w:eastAsia="zh-CN"/>
        </w:rPr>
        <w:tab/>
      </w:r>
      <w:r w:rsidRPr="00063B67">
        <w:rPr>
          <w:rFonts w:ascii="Times New Roman" w:eastAsia="Malgun Gothic" w:hAnsi="Times New Roman"/>
          <w:szCs w:val="24"/>
        </w:rPr>
        <w:t>I find first of all that I can place full weight on the evidence of Ms Wong the forensic analyst.</w:t>
      </w:r>
      <w:r w:rsidRPr="00063B67">
        <w:rPr>
          <w:rFonts w:ascii="Times New Roman" w:eastAsia="Malgun Gothic" w:hAnsi="Times New Roman"/>
          <w:szCs w:val="24"/>
          <w:lang w:eastAsia="zh-CN"/>
        </w:rPr>
        <w:t xml:space="preserve"> </w:t>
      </w:r>
      <w:r w:rsidRPr="00063B67">
        <w:rPr>
          <w:rFonts w:ascii="Times New Roman" w:eastAsia="Malgun Gothic" w:hAnsi="Times New Roman"/>
          <w:szCs w:val="24"/>
        </w:rPr>
        <w:t xml:space="preserve"> I find that the defendant’s DNA sample do match that of the DNA sample found on the wooden box, in the manner as expressed in the table at the Appendix of her report (</w:t>
      </w:r>
      <w:r w:rsidRPr="00063B67">
        <w:rPr>
          <w:rFonts w:ascii="Times New Roman" w:eastAsia="Malgun Gothic" w:hAnsi="Times New Roman"/>
          <w:szCs w:val="24"/>
          <w:lang w:eastAsia="zh-CN"/>
        </w:rPr>
        <w:t xml:space="preserve">Exhibit </w:t>
      </w:r>
      <w:r w:rsidRPr="00063B67">
        <w:rPr>
          <w:rFonts w:ascii="Times New Roman" w:eastAsia="Malgun Gothic" w:hAnsi="Times New Roman"/>
          <w:szCs w:val="24"/>
        </w:rPr>
        <w:t>P10).</w:t>
      </w:r>
    </w:p>
    <w:p w:rsidR="00063B67" w:rsidRPr="00063B67" w:rsidRDefault="00063B67" w:rsidP="00063B67">
      <w:pPr>
        <w:pStyle w:val="ListParagraph"/>
        <w:widowControl/>
        <w:tabs>
          <w:tab w:val="left" w:pos="2552"/>
        </w:tabs>
        <w:snapToGrid w:val="0"/>
        <w:spacing w:before="240" w:after="400"/>
        <w:ind w:leftChars="0" w:left="1411" w:right="893"/>
        <w:jc w:val="both"/>
        <w:rPr>
          <w:rFonts w:ascii="Times New Roman" w:eastAsia="Malgun Gothic" w:hAnsi="Times New Roman"/>
          <w:szCs w:val="24"/>
        </w:rPr>
      </w:pPr>
      <w:r w:rsidRPr="00063B67">
        <w:rPr>
          <w:rFonts w:ascii="Times New Roman" w:eastAsia="Malgun Gothic" w:hAnsi="Times New Roman"/>
          <w:szCs w:val="24"/>
          <w:lang w:eastAsia="zh-CN"/>
        </w:rPr>
        <w:t>54.</w:t>
      </w:r>
      <w:r w:rsidRPr="00063B67">
        <w:rPr>
          <w:rFonts w:ascii="Times New Roman" w:eastAsia="SimSun" w:hAnsi="Times New Roman"/>
          <w:szCs w:val="24"/>
          <w:lang w:eastAsia="zh-CN"/>
        </w:rPr>
        <w:tab/>
      </w:r>
      <w:r w:rsidRPr="00063B67">
        <w:rPr>
          <w:rFonts w:ascii="Times New Roman" w:eastAsia="Malgun Gothic" w:hAnsi="Times New Roman"/>
          <w:szCs w:val="24"/>
        </w:rPr>
        <w:t>In relation to the first question mentioned above, I find that, even after taken into consideration the presence of siblings, the probability that a particular individual would match the DNA profile from the wooden box DNA sample, given that he is innocent, is that of one in 1.81 million.</w:t>
      </w:r>
      <w:r w:rsidRPr="00063B67">
        <w:rPr>
          <w:rFonts w:ascii="Times New Roman" w:eastAsia="Malgun Gothic" w:hAnsi="Times New Roman"/>
          <w:szCs w:val="24"/>
          <w:lang w:eastAsia="zh-CN"/>
        </w:rPr>
        <w:t xml:space="preserve"> </w:t>
      </w:r>
      <w:r w:rsidRPr="00063B67">
        <w:rPr>
          <w:rFonts w:ascii="Times New Roman" w:eastAsia="Malgun Gothic" w:hAnsi="Times New Roman"/>
          <w:szCs w:val="24"/>
        </w:rPr>
        <w:t xml:space="preserve"> This is a much bigger number then 1 in 11.7 quadrillion, but still represents a very low possibility of the sample being from someone other than the defendant.</w:t>
      </w:r>
    </w:p>
    <w:p w:rsidR="00063B67" w:rsidRPr="00063B67" w:rsidRDefault="00063B67" w:rsidP="00063B67">
      <w:pPr>
        <w:pStyle w:val="ListParagraph"/>
        <w:widowControl/>
        <w:tabs>
          <w:tab w:val="left" w:pos="2552"/>
        </w:tabs>
        <w:snapToGrid w:val="0"/>
        <w:spacing w:before="240" w:after="400"/>
        <w:ind w:leftChars="0" w:left="1411" w:right="893"/>
        <w:jc w:val="both"/>
        <w:rPr>
          <w:rFonts w:ascii="Times New Roman" w:eastAsia="Malgun Gothic" w:hAnsi="Times New Roman"/>
          <w:szCs w:val="24"/>
        </w:rPr>
      </w:pPr>
      <w:r w:rsidRPr="00063B67">
        <w:rPr>
          <w:rFonts w:ascii="Times New Roman" w:eastAsia="Malgun Gothic" w:hAnsi="Times New Roman"/>
          <w:szCs w:val="24"/>
          <w:lang w:eastAsia="zh-CN"/>
        </w:rPr>
        <w:t>55.</w:t>
      </w:r>
      <w:r w:rsidRPr="00063B67">
        <w:rPr>
          <w:rFonts w:ascii="Times New Roman" w:eastAsia="SimSun" w:hAnsi="Times New Roman"/>
          <w:szCs w:val="24"/>
          <w:lang w:eastAsia="zh-CN"/>
        </w:rPr>
        <w:tab/>
      </w:r>
      <w:r w:rsidRPr="00063B67">
        <w:rPr>
          <w:rFonts w:ascii="Times New Roman" w:eastAsia="Malgun Gothic" w:hAnsi="Times New Roman"/>
          <w:szCs w:val="24"/>
        </w:rPr>
        <w:t xml:space="preserve">In relation to the second question, I find first of all that there is no evidence that any of the defendant’s siblings or relatives had the opportunity to come into contact with the wooden box. </w:t>
      </w:r>
      <w:r w:rsidRPr="00063B67">
        <w:rPr>
          <w:rFonts w:ascii="Times New Roman" w:eastAsia="Malgun Gothic" w:hAnsi="Times New Roman"/>
          <w:szCs w:val="24"/>
          <w:lang w:eastAsia="zh-CN"/>
        </w:rPr>
        <w:t xml:space="preserve"> </w:t>
      </w:r>
      <w:r w:rsidRPr="00063B67">
        <w:rPr>
          <w:rFonts w:ascii="Times New Roman" w:eastAsia="Malgun Gothic" w:hAnsi="Times New Roman"/>
          <w:szCs w:val="24"/>
        </w:rPr>
        <w:t>I find that the wooden box had been in the possession of PW1’s mother for over 20 years and was put inside another box for safe keeping.</w:t>
      </w:r>
      <w:r w:rsidRPr="00063B67">
        <w:rPr>
          <w:rFonts w:ascii="Times New Roman" w:eastAsia="Malgun Gothic" w:hAnsi="Times New Roman"/>
          <w:szCs w:val="24"/>
          <w:lang w:eastAsia="zh-CN"/>
        </w:rPr>
        <w:t xml:space="preserve"> </w:t>
      </w:r>
      <w:r w:rsidRPr="00063B67">
        <w:rPr>
          <w:rFonts w:ascii="Times New Roman" w:eastAsia="Malgun Gothic" w:hAnsi="Times New Roman"/>
          <w:szCs w:val="24"/>
        </w:rPr>
        <w:t xml:space="preserve"> I find it inherently improbable that the defendant’s DNA might somehow be indirectly left on the wooden box given the circumstances.</w:t>
      </w:r>
    </w:p>
    <w:p w:rsidR="00063B67" w:rsidRPr="00063B67" w:rsidRDefault="00063B67" w:rsidP="00063B67">
      <w:pPr>
        <w:pStyle w:val="ListParagraph"/>
        <w:widowControl/>
        <w:tabs>
          <w:tab w:val="left" w:pos="2552"/>
        </w:tabs>
        <w:snapToGrid w:val="0"/>
        <w:spacing w:before="240" w:after="400"/>
        <w:ind w:leftChars="0" w:left="1411" w:right="893"/>
        <w:jc w:val="both"/>
        <w:rPr>
          <w:rFonts w:ascii="Times New Roman" w:eastAsia="Malgun Gothic" w:hAnsi="Times New Roman"/>
          <w:szCs w:val="24"/>
        </w:rPr>
      </w:pPr>
      <w:r w:rsidRPr="00063B67">
        <w:rPr>
          <w:rFonts w:ascii="Times New Roman" w:eastAsia="SimSun" w:hAnsi="Times New Roman"/>
          <w:szCs w:val="24"/>
          <w:lang w:eastAsia="zh-CN"/>
        </w:rPr>
        <w:t>……</w:t>
      </w:r>
    </w:p>
    <w:p w:rsidR="00063B67" w:rsidRPr="00063B67" w:rsidRDefault="00063B67" w:rsidP="00063B67">
      <w:pPr>
        <w:pStyle w:val="ListParagraph"/>
        <w:widowControl/>
        <w:tabs>
          <w:tab w:val="left" w:pos="2552"/>
        </w:tabs>
        <w:snapToGrid w:val="0"/>
        <w:spacing w:before="240" w:after="400"/>
        <w:ind w:leftChars="0" w:left="1411" w:right="893"/>
        <w:jc w:val="both"/>
        <w:rPr>
          <w:rFonts w:ascii="Times New Roman" w:eastAsia="Malgun Gothic" w:hAnsi="Times New Roman"/>
          <w:szCs w:val="24"/>
        </w:rPr>
      </w:pPr>
      <w:r w:rsidRPr="00063B67">
        <w:rPr>
          <w:rFonts w:ascii="Times New Roman" w:eastAsia="Malgun Gothic" w:hAnsi="Times New Roman"/>
          <w:szCs w:val="24"/>
          <w:lang w:eastAsia="zh-CN"/>
        </w:rPr>
        <w:t>62.</w:t>
      </w:r>
      <w:r w:rsidRPr="00063B67">
        <w:rPr>
          <w:rFonts w:ascii="Times New Roman" w:eastAsia="SimSun" w:hAnsi="Times New Roman"/>
          <w:szCs w:val="24"/>
          <w:lang w:eastAsia="zh-CN"/>
        </w:rPr>
        <w:tab/>
      </w:r>
      <w:r w:rsidRPr="00063B67">
        <w:rPr>
          <w:rFonts w:ascii="Times New Roman" w:eastAsia="Malgun Gothic" w:hAnsi="Times New Roman"/>
          <w:szCs w:val="24"/>
        </w:rPr>
        <w:t>Having directed myself along the line of the suggested direction mentioned above</w:t>
      </w:r>
      <w:r w:rsidRPr="00063B67">
        <w:rPr>
          <w:rFonts w:ascii="Times New Roman" w:eastAsia="SimSun" w:hAnsi="Times New Roman"/>
          <w:szCs w:val="24"/>
          <w:lang w:eastAsia="zh-CN"/>
        </w:rPr>
        <w:t xml:space="preserve"> </w:t>
      </w:r>
      <w:r w:rsidRPr="00063B67">
        <w:rPr>
          <w:rFonts w:ascii="Times New Roman" w:eastAsia="SimSun" w:hAnsi="Times New Roman"/>
          <w:i/>
          <w:szCs w:val="24"/>
          <w:lang w:eastAsia="zh-CN"/>
        </w:rPr>
        <w:t>[namely, the one set out under paragraph 52]</w:t>
      </w:r>
      <w:r w:rsidRPr="00063B67">
        <w:rPr>
          <w:rFonts w:ascii="Times New Roman" w:eastAsia="Malgun Gothic" w:hAnsi="Times New Roman"/>
          <w:szCs w:val="24"/>
        </w:rPr>
        <w:t xml:space="preserve">, I find that the answer to the second question is that, given the scientific evidence and circumstances </w:t>
      </w:r>
      <w:r w:rsidRPr="00063B67">
        <w:rPr>
          <w:rFonts w:ascii="Times New Roman" w:eastAsia="Malgun Gothic" w:hAnsi="Times New Roman"/>
          <w:szCs w:val="24"/>
        </w:rPr>
        <w:lastRenderedPageBreak/>
        <w:t>surrounding the case, the defendant is the person who had left the DNA sample on the wooden box and, for the following inferences, he is not innocent.</w:t>
      </w:r>
    </w:p>
    <w:p w:rsidR="00063B67" w:rsidRPr="007256F3" w:rsidRDefault="007256F3" w:rsidP="007256F3">
      <w:pPr>
        <w:pStyle w:val="ListParagraph"/>
        <w:widowControl/>
        <w:tabs>
          <w:tab w:val="left" w:pos="2552"/>
        </w:tabs>
        <w:snapToGrid w:val="0"/>
        <w:spacing w:before="240" w:after="560"/>
        <w:ind w:leftChars="0" w:left="1411" w:right="893"/>
        <w:jc w:val="both"/>
        <w:rPr>
          <w:rFonts w:ascii="Times New Roman" w:eastAsia="Malgun Gothic" w:hAnsi="Times New Roman"/>
          <w:szCs w:val="24"/>
        </w:rPr>
      </w:pPr>
      <w:r w:rsidRPr="007256F3">
        <w:rPr>
          <w:rFonts w:ascii="Times New Roman" w:eastAsia="Malgun Gothic" w:hAnsi="Times New Roman"/>
          <w:szCs w:val="24"/>
          <w:lang w:eastAsia="zh-CN"/>
        </w:rPr>
        <w:t>63.</w:t>
      </w:r>
      <w:r w:rsidRPr="007256F3">
        <w:rPr>
          <w:rFonts w:ascii="Times New Roman" w:eastAsia="SimSun" w:hAnsi="Times New Roman"/>
          <w:szCs w:val="24"/>
          <w:lang w:eastAsia="zh-CN"/>
        </w:rPr>
        <w:tab/>
      </w:r>
      <w:r w:rsidRPr="007256F3">
        <w:rPr>
          <w:rFonts w:ascii="Times New Roman" w:eastAsia="Malgun Gothic" w:hAnsi="Times New Roman"/>
          <w:szCs w:val="24"/>
        </w:rPr>
        <w:t>I find that it is an irresistible inference that the defendant was inside the flat when he had direct contact with the wooden box.</w:t>
      </w:r>
      <w:r w:rsidRPr="007256F3">
        <w:rPr>
          <w:rFonts w:ascii="Times New Roman" w:eastAsia="SimSun" w:hAnsi="Times New Roman"/>
          <w:szCs w:val="24"/>
          <w:lang w:eastAsia="zh-CN"/>
        </w:rPr>
        <w:t xml:space="preserve"> </w:t>
      </w:r>
      <w:r w:rsidRPr="007256F3">
        <w:rPr>
          <w:rFonts w:ascii="Times New Roman" w:eastAsia="Malgun Gothic" w:hAnsi="Times New Roman"/>
          <w:szCs w:val="24"/>
        </w:rPr>
        <w:t xml:space="preserve"> I find that he was inside the flat as a trespasser. </w:t>
      </w:r>
      <w:r w:rsidRPr="007256F3">
        <w:rPr>
          <w:rFonts w:ascii="Times New Roman" w:eastAsia="Malgun Gothic" w:hAnsi="Times New Roman"/>
          <w:szCs w:val="24"/>
          <w:lang w:eastAsia="zh-CN"/>
        </w:rPr>
        <w:t xml:space="preserve"> </w:t>
      </w:r>
      <w:r w:rsidRPr="007256F3">
        <w:rPr>
          <w:rFonts w:ascii="Times New Roman" w:eastAsia="Malgun Gothic" w:hAnsi="Times New Roman"/>
          <w:szCs w:val="24"/>
        </w:rPr>
        <w:t>I find it is an irresistible inference that having entered as a trespasser, he intended to steal, and did steal from the flat.</w:t>
      </w:r>
      <w:r w:rsidRPr="007256F3">
        <w:rPr>
          <w:rFonts w:ascii="Times New Roman" w:eastAsia="Malgun Gothic" w:hAnsi="Times New Roman"/>
          <w:szCs w:val="24"/>
          <w:lang w:eastAsia="zh-CN"/>
        </w:rPr>
        <w:t xml:space="preserve"> </w:t>
      </w:r>
      <w:r w:rsidRPr="007256F3">
        <w:rPr>
          <w:rFonts w:ascii="Times New Roman" w:eastAsia="Malgun Gothic" w:hAnsi="Times New Roman"/>
          <w:szCs w:val="24"/>
        </w:rPr>
        <w:t xml:space="preserve"> I find that it is an irresistible inference that he had stolen the items particularized in the charge.</w:t>
      </w:r>
      <w:r w:rsidRPr="007256F3">
        <w:rPr>
          <w:rFonts w:ascii="Times New Roman" w:eastAsia="Malgun Gothic" w:hAnsi="Times New Roman"/>
          <w:szCs w:val="24"/>
          <w:lang w:eastAsia="zh-CN"/>
        </w:rPr>
        <w:t>”</w:t>
      </w:r>
    </w:p>
    <w:p w:rsidR="00756BEE" w:rsidRPr="007256F3" w:rsidRDefault="00756BEE" w:rsidP="00756BEE">
      <w:pPr>
        <w:pStyle w:val="Final"/>
        <w:numPr>
          <w:ilvl w:val="0"/>
          <w:numId w:val="0"/>
        </w:numPr>
        <w:rPr>
          <w:rFonts w:eastAsia="SimSun"/>
          <w:i/>
          <w:szCs w:val="24"/>
        </w:rPr>
      </w:pPr>
      <w:r w:rsidRPr="003328A8">
        <w:rPr>
          <w:rFonts w:eastAsia="SimSun"/>
          <w:i/>
          <w:szCs w:val="28"/>
        </w:rPr>
        <w:t>GROUNDS OF APPEAL</w:t>
      </w:r>
    </w:p>
    <w:p w:rsidR="00756BEE" w:rsidRPr="00063B67" w:rsidRDefault="00883F8F" w:rsidP="00756BEE">
      <w:pPr>
        <w:pStyle w:val="Final"/>
        <w:numPr>
          <w:ilvl w:val="0"/>
          <w:numId w:val="28"/>
        </w:numPr>
        <w:ind w:left="0" w:firstLine="0"/>
      </w:pPr>
      <w:r w:rsidRPr="003328A8">
        <w:rPr>
          <w:rFonts w:eastAsia="SimSun"/>
          <w:szCs w:val="24"/>
        </w:rPr>
        <w:t>The grounds for which leave has been granted for the appellant to argue before the Court are his Ground 1 and Ground 3 (the others, as said, have not been renewed)</w:t>
      </w:r>
      <w:r w:rsidR="00756BEE" w:rsidRPr="003328A8">
        <w:rPr>
          <w:rFonts w:eastAsia="SimSun"/>
          <w:szCs w:val="24"/>
        </w:rPr>
        <w:t>:</w:t>
      </w:r>
    </w:p>
    <w:p w:rsidR="00756BEE" w:rsidRPr="00756BEE" w:rsidRDefault="00756BEE" w:rsidP="00756BEE">
      <w:pPr>
        <w:pStyle w:val="ListParagraph"/>
        <w:widowControl/>
        <w:tabs>
          <w:tab w:val="left" w:pos="2552"/>
        </w:tabs>
        <w:snapToGrid w:val="0"/>
        <w:spacing w:before="240" w:after="400"/>
        <w:ind w:leftChars="0" w:left="1411" w:right="893"/>
        <w:jc w:val="both"/>
        <w:rPr>
          <w:rFonts w:ascii="Times New Roman" w:eastAsia="SimSun" w:hAnsi="Times New Roman"/>
          <w:szCs w:val="24"/>
          <w:lang w:eastAsia="zh-CN"/>
        </w:rPr>
      </w:pPr>
      <w:r w:rsidRPr="003328A8">
        <w:rPr>
          <w:rFonts w:ascii="Times New Roman" w:eastAsia="SimSun" w:hAnsi="Times New Roman"/>
          <w:i/>
          <w:szCs w:val="24"/>
          <w:lang w:eastAsia="zh-CN"/>
        </w:rPr>
        <w:t xml:space="preserve">Ground 1 </w:t>
      </w:r>
      <w:r w:rsidRPr="003328A8">
        <w:rPr>
          <w:rStyle w:val="FootnoteReference"/>
          <w:rFonts w:ascii="Times New Roman" w:eastAsia="SimSun" w:hAnsi="Times New Roman"/>
          <w:szCs w:val="24"/>
          <w:lang w:eastAsia="zh-CN"/>
        </w:rPr>
        <w:footnoteReference w:id="8"/>
      </w:r>
    </w:p>
    <w:p w:rsidR="00756BEE" w:rsidRPr="00756BEE" w:rsidRDefault="00756BEE" w:rsidP="00C60AF7">
      <w:pPr>
        <w:pStyle w:val="ListParagraph"/>
        <w:widowControl/>
        <w:tabs>
          <w:tab w:val="left" w:pos="2552"/>
        </w:tabs>
        <w:snapToGrid w:val="0"/>
        <w:spacing w:before="240" w:after="400"/>
        <w:ind w:leftChars="0" w:left="1411" w:right="893" w:hanging="151"/>
        <w:jc w:val="both"/>
        <w:rPr>
          <w:rFonts w:ascii="Times New Roman" w:eastAsia="SimSun" w:hAnsi="Times New Roman"/>
          <w:szCs w:val="24"/>
          <w:lang w:eastAsia="zh-CN"/>
        </w:rPr>
      </w:pPr>
      <w:r w:rsidRPr="00756BEE">
        <w:rPr>
          <w:rFonts w:ascii="Times New Roman" w:eastAsia="SimSun" w:hAnsi="Times New Roman"/>
          <w:szCs w:val="24"/>
          <w:lang w:eastAsia="zh-CN"/>
        </w:rPr>
        <w:t>“</w:t>
      </w:r>
      <w:r w:rsidR="00C60AF7">
        <w:rPr>
          <w:rFonts w:ascii="Times New Roman" w:eastAsia="SimSun" w:hAnsi="Times New Roman"/>
          <w:szCs w:val="24"/>
          <w:lang w:eastAsia="zh-CN"/>
        </w:rPr>
        <w:tab/>
      </w:r>
      <w:r w:rsidRPr="00756BEE">
        <w:rPr>
          <w:rFonts w:ascii="Times New Roman" w:eastAsia="SimSun" w:hAnsi="Times New Roman"/>
          <w:szCs w:val="24"/>
          <w:lang w:eastAsia="zh-CN"/>
        </w:rPr>
        <w:t xml:space="preserve">There was a material irregularity at the trial in that the learned judge erred in allowing the prosecution to call rebuttal evidence (namely to recall PW3 to give evidence and to produce further expert report, Exhibit P13, to supplement her earlier expert reports, Exhibits P10 and P11) after the close of case for the </w:t>
      </w:r>
      <w:proofErr w:type="spellStart"/>
      <w:r w:rsidRPr="00756BEE">
        <w:rPr>
          <w:rFonts w:ascii="Times New Roman" w:eastAsia="SimSun" w:hAnsi="Times New Roman"/>
          <w:szCs w:val="24"/>
          <w:lang w:eastAsia="zh-CN"/>
        </w:rPr>
        <w:t>defence</w:t>
      </w:r>
      <w:proofErr w:type="spellEnd"/>
      <w:r w:rsidRPr="00756BEE">
        <w:rPr>
          <w:rFonts w:ascii="Times New Roman" w:eastAsia="SimSun" w:hAnsi="Times New Roman"/>
          <w:szCs w:val="24"/>
          <w:lang w:eastAsia="zh-CN"/>
        </w:rPr>
        <w:t xml:space="preserve">, whilst the issue upon which the prosecution sought to call rebuttal evidence did not arise </w:t>
      </w:r>
      <w:r w:rsidRPr="00756BEE">
        <w:rPr>
          <w:rFonts w:ascii="Times New Roman" w:eastAsia="SimSun" w:hAnsi="Times New Roman"/>
          <w:i/>
          <w:szCs w:val="24"/>
          <w:lang w:eastAsia="zh-CN"/>
        </w:rPr>
        <w:t>ex improvise</w:t>
      </w:r>
      <w:r w:rsidRPr="00756BEE">
        <w:rPr>
          <w:rFonts w:ascii="Times New Roman" w:eastAsia="SimSun" w:hAnsi="Times New Roman"/>
          <w:szCs w:val="24"/>
          <w:lang w:eastAsia="zh-CN"/>
        </w:rPr>
        <w:t>.”</w:t>
      </w:r>
    </w:p>
    <w:p w:rsidR="00756BEE" w:rsidRPr="00756BEE" w:rsidRDefault="00C60AF7" w:rsidP="00756BEE">
      <w:pPr>
        <w:pStyle w:val="ListParagraph"/>
        <w:widowControl/>
        <w:tabs>
          <w:tab w:val="left" w:pos="2552"/>
        </w:tabs>
        <w:snapToGrid w:val="0"/>
        <w:spacing w:before="240" w:after="400"/>
        <w:ind w:leftChars="0" w:left="1411" w:right="893"/>
        <w:jc w:val="both"/>
        <w:rPr>
          <w:rFonts w:ascii="Times New Roman" w:eastAsia="SimSun" w:hAnsi="Times New Roman"/>
          <w:szCs w:val="24"/>
          <w:lang w:eastAsia="zh-CN"/>
        </w:rPr>
      </w:pPr>
      <w:r w:rsidRPr="003328A8">
        <w:rPr>
          <w:rFonts w:ascii="Times New Roman" w:eastAsia="SimSun" w:hAnsi="Times New Roman"/>
          <w:i/>
          <w:szCs w:val="24"/>
          <w:lang w:eastAsia="zh-CN"/>
        </w:rPr>
        <w:t>Ground 3</w:t>
      </w:r>
    </w:p>
    <w:p w:rsidR="00756BEE" w:rsidRPr="00C60AF7" w:rsidRDefault="00C60AF7" w:rsidP="00C60AF7">
      <w:pPr>
        <w:pStyle w:val="ListParagraph"/>
        <w:widowControl/>
        <w:tabs>
          <w:tab w:val="left" w:pos="2552"/>
        </w:tabs>
        <w:snapToGrid w:val="0"/>
        <w:spacing w:before="240" w:after="560"/>
        <w:ind w:leftChars="0" w:left="1411" w:right="893" w:hanging="144"/>
        <w:jc w:val="both"/>
        <w:rPr>
          <w:rFonts w:ascii="Times New Roman" w:eastAsia="SimSun" w:hAnsi="Times New Roman"/>
          <w:szCs w:val="24"/>
          <w:lang w:eastAsia="zh-CN"/>
        </w:rPr>
      </w:pPr>
      <w:r w:rsidRPr="00C60AF7">
        <w:rPr>
          <w:rFonts w:ascii="Times New Roman" w:eastAsia="SimSun" w:hAnsi="Times New Roman"/>
          <w:szCs w:val="24"/>
          <w:lang w:eastAsia="zh-CN"/>
        </w:rPr>
        <w:t>“</w:t>
      </w:r>
      <w:r>
        <w:rPr>
          <w:rFonts w:ascii="Times New Roman" w:eastAsia="SimSun" w:hAnsi="Times New Roman"/>
          <w:szCs w:val="24"/>
          <w:lang w:eastAsia="zh-CN"/>
        </w:rPr>
        <w:tab/>
      </w:r>
      <w:r w:rsidRPr="00C60AF7">
        <w:rPr>
          <w:rFonts w:ascii="Times New Roman" w:eastAsia="SimSun" w:hAnsi="Times New Roman"/>
          <w:szCs w:val="24"/>
          <w:lang w:eastAsia="zh-CN"/>
        </w:rPr>
        <w:t>The learned judge erred in excluding the possibility that the biological substance from which DNA sample extracted that was deposited on Exhibit P1 (which was said by PW3 that it could be dandruff), even if it came from the appellant, could be deposited on Exhibit P1 through an intermediary without the appellant actually came into contact with Exhibit P1 or being at the crime scene, such that the DNA evidence was insufficient to link the appellant to the burglary alleged.”</w:t>
      </w:r>
    </w:p>
    <w:p w:rsidR="00756BEE" w:rsidRPr="00063B67" w:rsidRDefault="00C60AF7" w:rsidP="00756BEE">
      <w:pPr>
        <w:pStyle w:val="Final"/>
        <w:numPr>
          <w:ilvl w:val="0"/>
          <w:numId w:val="28"/>
        </w:numPr>
        <w:spacing w:after="480"/>
        <w:ind w:left="0" w:firstLine="0"/>
      </w:pPr>
      <w:r w:rsidRPr="003328A8">
        <w:rPr>
          <w:rFonts w:eastAsia="SimSun"/>
          <w:szCs w:val="24"/>
        </w:rPr>
        <w:lastRenderedPageBreak/>
        <w:t xml:space="preserve">So far as arguments go, the appellant’s submissions on Ground 1 are </w:t>
      </w:r>
      <w:r w:rsidRPr="003328A8">
        <w:rPr>
          <w:szCs w:val="24"/>
          <w:lang w:eastAsia="zh-HK"/>
        </w:rPr>
        <w:t xml:space="preserve">essentially just </w:t>
      </w:r>
      <w:r w:rsidRPr="003328A8">
        <w:rPr>
          <w:rFonts w:eastAsia="SimSun"/>
          <w:szCs w:val="24"/>
        </w:rPr>
        <w:t>a re</w:t>
      </w:r>
      <w:r w:rsidRPr="003328A8">
        <w:rPr>
          <w:szCs w:val="24"/>
          <w:lang w:eastAsia="zh-HK"/>
        </w:rPr>
        <w:t>p</w:t>
      </w:r>
      <w:r w:rsidRPr="003328A8">
        <w:rPr>
          <w:rFonts w:eastAsia="SimSun"/>
          <w:szCs w:val="24"/>
        </w:rPr>
        <w:t xml:space="preserve">etition of the points made at first instance.  For Ground 3, various scenarios </w:t>
      </w:r>
      <w:r w:rsidRPr="003328A8">
        <w:rPr>
          <w:szCs w:val="24"/>
          <w:lang w:eastAsia="zh-HK"/>
        </w:rPr>
        <w:t>falling</w:t>
      </w:r>
      <w:r w:rsidRPr="003328A8">
        <w:rPr>
          <w:rFonts w:eastAsia="SimSun"/>
          <w:szCs w:val="24"/>
        </w:rPr>
        <w:t xml:space="preserve"> short of contamination by procedural breaches are postulated</w:t>
      </w:r>
      <w:r w:rsidRPr="003328A8">
        <w:rPr>
          <w:rStyle w:val="FootnoteReference"/>
          <w:rFonts w:eastAsia="SimSun"/>
          <w:szCs w:val="24"/>
        </w:rPr>
        <w:footnoteReference w:id="9"/>
      </w:r>
      <w:r w:rsidRPr="003328A8">
        <w:rPr>
          <w:rFonts w:eastAsia="SimSun"/>
          <w:szCs w:val="24"/>
        </w:rPr>
        <w:t xml:space="preserve">.  </w:t>
      </w:r>
      <w:r w:rsidRPr="003328A8">
        <w:rPr>
          <w:szCs w:val="24"/>
          <w:lang w:eastAsia="zh-HK"/>
        </w:rPr>
        <w:t>I</w:t>
      </w:r>
      <w:r w:rsidRPr="003328A8">
        <w:rPr>
          <w:rFonts w:eastAsia="SimSun"/>
          <w:szCs w:val="24"/>
        </w:rPr>
        <w:t>nvariably</w:t>
      </w:r>
      <w:r w:rsidRPr="003328A8">
        <w:rPr>
          <w:szCs w:val="24"/>
          <w:lang w:eastAsia="zh-HK"/>
        </w:rPr>
        <w:t>, they</w:t>
      </w:r>
      <w:r w:rsidRPr="003328A8">
        <w:rPr>
          <w:rFonts w:eastAsia="SimSun"/>
          <w:szCs w:val="24"/>
        </w:rPr>
        <w:t xml:space="preserve"> involve the appellant’s </w:t>
      </w:r>
      <w:r w:rsidRPr="003328A8">
        <w:rPr>
          <w:szCs w:val="24"/>
          <w:lang w:eastAsia="zh-HK"/>
        </w:rPr>
        <w:t>skin cells</w:t>
      </w:r>
      <w:r w:rsidRPr="003328A8">
        <w:rPr>
          <w:rStyle w:val="FootnoteReference"/>
          <w:szCs w:val="24"/>
          <w:lang w:eastAsia="zh-HK"/>
        </w:rPr>
        <w:footnoteReference w:id="10"/>
      </w:r>
      <w:r w:rsidRPr="003328A8">
        <w:rPr>
          <w:szCs w:val="24"/>
          <w:lang w:eastAsia="zh-HK"/>
        </w:rPr>
        <w:t xml:space="preserve"> travelling</w:t>
      </w:r>
      <w:r w:rsidRPr="003328A8">
        <w:rPr>
          <w:rFonts w:eastAsia="SimSun"/>
          <w:szCs w:val="24"/>
        </w:rPr>
        <w:t xml:space="preserve"> fortuitous</w:t>
      </w:r>
      <w:r w:rsidRPr="003328A8">
        <w:rPr>
          <w:szCs w:val="24"/>
          <w:lang w:eastAsia="zh-HK"/>
        </w:rPr>
        <w:t>ly</w:t>
      </w:r>
      <w:r w:rsidRPr="003328A8">
        <w:rPr>
          <w:rFonts w:eastAsia="SimSun"/>
          <w:szCs w:val="24"/>
        </w:rPr>
        <w:t xml:space="preserve"> </w:t>
      </w:r>
      <w:r w:rsidRPr="003328A8">
        <w:rPr>
          <w:szCs w:val="24"/>
          <w:lang w:eastAsia="zh-HK"/>
        </w:rPr>
        <w:t>on</w:t>
      </w:r>
      <w:r w:rsidRPr="003328A8">
        <w:rPr>
          <w:rFonts w:eastAsia="SimSun"/>
          <w:szCs w:val="24"/>
        </w:rPr>
        <w:t xml:space="preserve">to </w:t>
      </w:r>
      <w:r w:rsidRPr="003328A8">
        <w:rPr>
          <w:szCs w:val="24"/>
          <w:lang w:eastAsia="zh-HK"/>
        </w:rPr>
        <w:t>the burglar, or anyone turning up in the flat after him</w:t>
      </w:r>
      <w:r w:rsidRPr="003328A8">
        <w:rPr>
          <w:rFonts w:eastAsia="SimSun"/>
          <w:szCs w:val="24"/>
        </w:rPr>
        <w:t xml:space="preserve">, and then through </w:t>
      </w:r>
      <w:r w:rsidRPr="003328A8">
        <w:rPr>
          <w:szCs w:val="24"/>
          <w:lang w:eastAsia="zh-HK"/>
        </w:rPr>
        <w:t>such an</w:t>
      </w:r>
      <w:r w:rsidRPr="003328A8">
        <w:rPr>
          <w:rFonts w:eastAsia="SimSun"/>
          <w:szCs w:val="24"/>
        </w:rPr>
        <w:t xml:space="preserve"> </w:t>
      </w:r>
      <w:r w:rsidRPr="003328A8">
        <w:rPr>
          <w:szCs w:val="24"/>
          <w:lang w:eastAsia="zh-HK"/>
        </w:rPr>
        <w:t>intermediar</w:t>
      </w:r>
      <w:r w:rsidRPr="003328A8">
        <w:rPr>
          <w:rFonts w:eastAsia="SimSun"/>
          <w:szCs w:val="24"/>
        </w:rPr>
        <w:t>y</w:t>
      </w:r>
      <w:r w:rsidRPr="003328A8">
        <w:rPr>
          <w:szCs w:val="24"/>
          <w:lang w:eastAsia="zh-HK"/>
        </w:rPr>
        <w:t>,</w:t>
      </w:r>
      <w:r w:rsidRPr="003328A8">
        <w:rPr>
          <w:rFonts w:eastAsia="SimSun"/>
          <w:szCs w:val="24"/>
        </w:rPr>
        <w:t xml:space="preserve"> </w:t>
      </w:r>
      <w:r w:rsidRPr="003328A8">
        <w:rPr>
          <w:szCs w:val="24"/>
          <w:lang w:eastAsia="zh-HK"/>
        </w:rPr>
        <w:t xml:space="preserve">onto </w:t>
      </w:r>
      <w:r w:rsidRPr="003328A8">
        <w:rPr>
          <w:rFonts w:eastAsia="SimSun"/>
          <w:szCs w:val="24"/>
        </w:rPr>
        <w:t xml:space="preserve">Exhibit P1 </w:t>
      </w:r>
      <w:r w:rsidRPr="003328A8">
        <w:rPr>
          <w:i/>
          <w:szCs w:val="24"/>
          <w:lang w:eastAsia="zh-HK"/>
        </w:rPr>
        <w:t>via</w:t>
      </w:r>
      <w:r w:rsidRPr="003328A8">
        <w:rPr>
          <w:rFonts w:eastAsia="SimSun"/>
          <w:szCs w:val="24"/>
        </w:rPr>
        <w:t xml:space="preserve"> direct contact or airborne </w:t>
      </w:r>
      <w:r w:rsidRPr="003328A8">
        <w:rPr>
          <w:szCs w:val="24"/>
          <w:lang w:eastAsia="zh-HK"/>
        </w:rPr>
        <w:t>landing</w:t>
      </w:r>
      <w:r w:rsidRPr="003328A8">
        <w:rPr>
          <w:rFonts w:eastAsia="SimSun"/>
          <w:szCs w:val="24"/>
        </w:rPr>
        <w:t>.  Such scenarios being impossible to rule out, it is equally impossible to convict the appellant on the DNA evidence – or so the appellant would argue.</w:t>
      </w:r>
    </w:p>
    <w:p w:rsidR="00C60AF7" w:rsidRDefault="00C60AF7" w:rsidP="00C60AF7">
      <w:pPr>
        <w:pStyle w:val="Final"/>
        <w:numPr>
          <w:ilvl w:val="0"/>
          <w:numId w:val="0"/>
        </w:numPr>
        <w:rPr>
          <w:rFonts w:eastAsia="SimSun"/>
          <w:i/>
          <w:szCs w:val="24"/>
        </w:rPr>
      </w:pPr>
      <w:r w:rsidRPr="003328A8">
        <w:rPr>
          <w:rFonts w:eastAsia="SimSun"/>
          <w:i/>
          <w:szCs w:val="24"/>
        </w:rPr>
        <w:t>DISCUSSION</w:t>
      </w:r>
    </w:p>
    <w:p w:rsidR="00C60AF7" w:rsidRPr="007256F3" w:rsidRDefault="00C60AF7" w:rsidP="00C60AF7">
      <w:pPr>
        <w:pStyle w:val="Final"/>
        <w:numPr>
          <w:ilvl w:val="0"/>
          <w:numId w:val="0"/>
        </w:numPr>
        <w:rPr>
          <w:rFonts w:eastAsia="SimSun"/>
          <w:i/>
          <w:szCs w:val="24"/>
        </w:rPr>
      </w:pPr>
      <w:r w:rsidRPr="003328A8">
        <w:rPr>
          <w:rFonts w:eastAsia="SimSun"/>
          <w:i/>
          <w:szCs w:val="24"/>
        </w:rPr>
        <w:t>The question of rebuttal</w:t>
      </w:r>
    </w:p>
    <w:p w:rsidR="00C60AF7" w:rsidRPr="00063B67" w:rsidRDefault="00C60AF7" w:rsidP="00C60AF7">
      <w:pPr>
        <w:pStyle w:val="Final"/>
        <w:numPr>
          <w:ilvl w:val="0"/>
          <w:numId w:val="28"/>
        </w:numPr>
        <w:ind w:left="0" w:firstLine="0"/>
      </w:pPr>
      <w:r w:rsidRPr="003328A8">
        <w:rPr>
          <w:szCs w:val="24"/>
          <w:lang w:eastAsia="zh-HK"/>
        </w:rPr>
        <w:t xml:space="preserve">The law on this question is well settled.  As stated by the Court of Appeal </w:t>
      </w:r>
      <w:r w:rsidRPr="003328A8">
        <w:rPr>
          <w:rFonts w:eastAsia="SimSun"/>
          <w:szCs w:val="24"/>
        </w:rPr>
        <w:t xml:space="preserve">of England and Wales </w:t>
      </w:r>
      <w:r w:rsidRPr="003328A8">
        <w:rPr>
          <w:szCs w:val="24"/>
          <w:lang w:eastAsia="zh-HK"/>
        </w:rPr>
        <w:t xml:space="preserve">in </w:t>
      </w:r>
      <w:r w:rsidRPr="003328A8">
        <w:rPr>
          <w:i/>
          <w:szCs w:val="24"/>
          <w:lang w:eastAsia="zh-HK"/>
        </w:rPr>
        <w:t>R v Francis</w:t>
      </w:r>
      <w:r w:rsidRPr="003328A8">
        <w:rPr>
          <w:szCs w:val="24"/>
          <w:lang w:eastAsia="zh-HK"/>
        </w:rPr>
        <w:t xml:space="preserve"> 91 Cr App R 271, at 274:</w:t>
      </w:r>
    </w:p>
    <w:p w:rsidR="00C60AF7" w:rsidRPr="00C60AF7" w:rsidRDefault="00C60AF7" w:rsidP="00C60AF7">
      <w:pPr>
        <w:pStyle w:val="ListParagraph"/>
        <w:widowControl/>
        <w:tabs>
          <w:tab w:val="left" w:pos="2552"/>
        </w:tabs>
        <w:snapToGrid w:val="0"/>
        <w:spacing w:before="240" w:after="400"/>
        <w:ind w:leftChars="0" w:left="1411" w:right="893"/>
        <w:jc w:val="both"/>
        <w:rPr>
          <w:rFonts w:ascii="Times New Roman" w:eastAsia="SimSun" w:hAnsi="Times New Roman"/>
          <w:szCs w:val="24"/>
          <w:lang w:eastAsia="zh-CN"/>
        </w:rPr>
      </w:pPr>
      <w:r w:rsidRPr="00C60AF7">
        <w:rPr>
          <w:rFonts w:ascii="Times New Roman" w:eastAsia="SimSun" w:hAnsi="Times New Roman"/>
          <w:szCs w:val="24"/>
          <w:lang w:eastAsia="zh-CN"/>
        </w:rPr>
        <w:t>“</w:t>
      </w:r>
      <w:r w:rsidRPr="00C60AF7">
        <w:rPr>
          <w:rFonts w:ascii="Times New Roman" w:hAnsi="Times New Roman"/>
          <w:szCs w:val="24"/>
          <w:lang w:eastAsia="zh-HK"/>
        </w:rPr>
        <w:t>The propositions which can be deduced from those authorities are as follows:</w:t>
      </w:r>
    </w:p>
    <w:p w:rsidR="00C60AF7" w:rsidRDefault="00C60AF7" w:rsidP="00C60AF7">
      <w:pPr>
        <w:pStyle w:val="Quotation"/>
        <w:tabs>
          <w:tab w:val="clear" w:pos="2016"/>
          <w:tab w:val="clear" w:pos="2448"/>
          <w:tab w:val="clear" w:pos="3946"/>
          <w:tab w:val="center" w:pos="4320"/>
        </w:tabs>
        <w:spacing w:before="240" w:after="0"/>
        <w:ind w:left="2160" w:hanging="720"/>
        <w:rPr>
          <w:szCs w:val="24"/>
          <w:lang w:eastAsia="zh-HK"/>
        </w:rPr>
      </w:pPr>
      <w:r w:rsidRPr="00C60AF7">
        <w:rPr>
          <w:szCs w:val="24"/>
        </w:rPr>
        <w:t>(1)</w:t>
      </w:r>
      <w:r w:rsidRPr="00C60AF7">
        <w:rPr>
          <w:rFonts w:hint="eastAsia"/>
          <w:szCs w:val="24"/>
        </w:rPr>
        <w:tab/>
      </w:r>
      <w:r w:rsidRPr="00C60AF7">
        <w:rPr>
          <w:szCs w:val="24"/>
          <w:lang w:eastAsia="zh-HK"/>
        </w:rPr>
        <w:t>The general rule is that the prosecution must call the whole of their evidence before closing their case.  The rule has been described as being most salutary.</w:t>
      </w:r>
    </w:p>
    <w:p w:rsidR="00C60AF7" w:rsidRPr="00C60AF7" w:rsidRDefault="00C60AF7" w:rsidP="00C60AF7">
      <w:pPr>
        <w:pStyle w:val="Quotation"/>
        <w:tabs>
          <w:tab w:val="clear" w:pos="2016"/>
          <w:tab w:val="clear" w:pos="2448"/>
          <w:tab w:val="clear" w:pos="3946"/>
          <w:tab w:val="center" w:pos="4320"/>
        </w:tabs>
        <w:spacing w:before="240" w:after="0"/>
        <w:ind w:left="2160" w:hanging="720"/>
        <w:rPr>
          <w:szCs w:val="24"/>
          <w:lang w:eastAsia="zh-HK"/>
        </w:rPr>
      </w:pPr>
      <w:r w:rsidRPr="00C60AF7">
        <w:rPr>
          <w:szCs w:val="24"/>
        </w:rPr>
        <w:t>(2)</w:t>
      </w:r>
      <w:r w:rsidRPr="00C60AF7">
        <w:rPr>
          <w:rFonts w:hint="eastAsia"/>
          <w:szCs w:val="24"/>
        </w:rPr>
        <w:tab/>
      </w:r>
      <w:r w:rsidRPr="00C60AF7">
        <w:rPr>
          <w:szCs w:val="24"/>
          <w:lang w:eastAsia="zh-HK"/>
        </w:rPr>
        <w:t xml:space="preserve">There are, however, exceptions.  The best known exception is that the prosecution may call evidence in rebuttal to deal with matters which have arisen </w:t>
      </w:r>
      <w:r w:rsidRPr="00C60AF7">
        <w:rPr>
          <w:i/>
          <w:szCs w:val="24"/>
          <w:lang w:eastAsia="zh-HK"/>
        </w:rPr>
        <w:t>ex improvise</w:t>
      </w:r>
      <w:r w:rsidRPr="00C60AF7">
        <w:rPr>
          <w:szCs w:val="24"/>
          <w:lang w:eastAsia="zh-HK"/>
        </w:rPr>
        <w:t xml:space="preserve">; see </w:t>
      </w:r>
      <w:proofErr w:type="spellStart"/>
      <w:r w:rsidRPr="00C60AF7">
        <w:rPr>
          <w:i/>
          <w:szCs w:val="24"/>
          <w:lang w:eastAsia="zh-HK"/>
        </w:rPr>
        <w:t>Pilcher</w:t>
      </w:r>
      <w:proofErr w:type="spellEnd"/>
      <w:r w:rsidRPr="00C60AF7">
        <w:rPr>
          <w:szCs w:val="24"/>
          <w:lang w:eastAsia="zh-HK"/>
        </w:rPr>
        <w:t xml:space="preserve"> (1974) 60 Cr App R 1.</w:t>
      </w:r>
    </w:p>
    <w:p w:rsidR="00C60AF7" w:rsidRPr="00C60AF7" w:rsidRDefault="00C60AF7" w:rsidP="00C60AF7">
      <w:pPr>
        <w:pStyle w:val="Quotation"/>
        <w:tabs>
          <w:tab w:val="clear" w:pos="2016"/>
          <w:tab w:val="clear" w:pos="2448"/>
          <w:tab w:val="clear" w:pos="3946"/>
          <w:tab w:val="center" w:pos="4320"/>
        </w:tabs>
        <w:spacing w:before="240" w:after="0"/>
        <w:ind w:left="2160" w:hanging="720"/>
        <w:rPr>
          <w:szCs w:val="24"/>
          <w:lang w:eastAsia="zh-HK"/>
        </w:rPr>
      </w:pPr>
      <w:r w:rsidRPr="00C60AF7">
        <w:rPr>
          <w:szCs w:val="24"/>
        </w:rPr>
        <w:t>(3)</w:t>
      </w:r>
      <w:r w:rsidRPr="00C60AF7">
        <w:rPr>
          <w:rFonts w:hint="eastAsia"/>
          <w:szCs w:val="24"/>
        </w:rPr>
        <w:tab/>
      </w:r>
      <w:r w:rsidRPr="00C60AF7">
        <w:rPr>
          <w:szCs w:val="24"/>
          <w:lang w:eastAsia="zh-HK"/>
        </w:rPr>
        <w:t>The prosecution do not have to foresee every eventuality.  They are entitled to make reasonable assumptions; see</w:t>
      </w:r>
      <w:r w:rsidRPr="00C60AF7">
        <w:rPr>
          <w:i/>
          <w:szCs w:val="24"/>
          <w:lang w:eastAsia="zh-HK"/>
        </w:rPr>
        <w:t xml:space="preserve"> Scott</w:t>
      </w:r>
      <w:r w:rsidRPr="00C60AF7">
        <w:rPr>
          <w:szCs w:val="24"/>
          <w:lang w:eastAsia="zh-HK"/>
        </w:rPr>
        <w:t xml:space="preserve"> (1984) 79 Cr App R 49.</w:t>
      </w:r>
    </w:p>
    <w:p w:rsidR="00C60AF7" w:rsidRDefault="00C60AF7" w:rsidP="00C60AF7">
      <w:pPr>
        <w:pStyle w:val="Quotation"/>
        <w:tabs>
          <w:tab w:val="clear" w:pos="2016"/>
          <w:tab w:val="clear" w:pos="2448"/>
          <w:tab w:val="clear" w:pos="3946"/>
          <w:tab w:val="center" w:pos="4320"/>
        </w:tabs>
        <w:spacing w:before="240" w:after="0"/>
        <w:ind w:left="2160" w:hanging="720"/>
        <w:rPr>
          <w:szCs w:val="24"/>
          <w:lang w:eastAsia="zh-HK"/>
        </w:rPr>
      </w:pPr>
      <w:r w:rsidRPr="00C60AF7">
        <w:rPr>
          <w:szCs w:val="24"/>
        </w:rPr>
        <w:lastRenderedPageBreak/>
        <w:t>(4)</w:t>
      </w:r>
      <w:r w:rsidRPr="00C60AF7">
        <w:rPr>
          <w:szCs w:val="24"/>
        </w:rPr>
        <w:tab/>
      </w:r>
      <w:r w:rsidRPr="00C60AF7">
        <w:rPr>
          <w:szCs w:val="24"/>
          <w:lang w:eastAsia="zh-HK"/>
        </w:rPr>
        <w:t xml:space="preserve">Another exception to the general rule is where what has been omitted is a mere formality as distinct from a central issue in the case – contrast </w:t>
      </w:r>
      <w:r w:rsidRPr="00C60AF7">
        <w:rPr>
          <w:i/>
          <w:szCs w:val="24"/>
          <w:lang w:eastAsia="zh-HK"/>
        </w:rPr>
        <w:t xml:space="preserve">Royal v Prescott-Clarke </w:t>
      </w:r>
      <w:r w:rsidRPr="00C60AF7">
        <w:rPr>
          <w:szCs w:val="24"/>
          <w:lang w:eastAsia="zh-HK"/>
        </w:rPr>
        <w:t xml:space="preserve">[1966] 2 All ER 366 with </w:t>
      </w:r>
      <w:r w:rsidRPr="00C60AF7">
        <w:rPr>
          <w:i/>
          <w:szCs w:val="24"/>
          <w:lang w:eastAsia="zh-HK"/>
        </w:rPr>
        <w:t xml:space="preserve">ex parte </w:t>
      </w:r>
      <w:proofErr w:type="spellStart"/>
      <w:r w:rsidRPr="00C60AF7">
        <w:rPr>
          <w:i/>
          <w:szCs w:val="24"/>
          <w:lang w:eastAsia="zh-HK"/>
        </w:rPr>
        <w:t>Garnier</w:t>
      </w:r>
      <w:proofErr w:type="spellEnd"/>
      <w:r w:rsidRPr="00C60AF7">
        <w:rPr>
          <w:szCs w:val="24"/>
          <w:lang w:eastAsia="zh-HK"/>
        </w:rPr>
        <w:t>.</w:t>
      </w:r>
    </w:p>
    <w:p w:rsidR="00C60AF7" w:rsidRPr="008730E7" w:rsidRDefault="008730E7" w:rsidP="00C60AF7">
      <w:pPr>
        <w:pStyle w:val="Quotation"/>
        <w:tabs>
          <w:tab w:val="clear" w:pos="2016"/>
          <w:tab w:val="clear" w:pos="2448"/>
          <w:tab w:val="clear" w:pos="3946"/>
          <w:tab w:val="center" w:pos="4320"/>
        </w:tabs>
        <w:spacing w:before="240" w:after="0"/>
        <w:ind w:left="2160" w:hanging="720"/>
        <w:rPr>
          <w:szCs w:val="24"/>
          <w:lang w:val="en-US" w:eastAsia="zh-HK"/>
        </w:rPr>
      </w:pPr>
      <w:r w:rsidRPr="008730E7">
        <w:rPr>
          <w:szCs w:val="24"/>
          <w:lang w:eastAsia="zh-HK"/>
        </w:rPr>
        <w:t>…….</w:t>
      </w:r>
    </w:p>
    <w:p w:rsidR="00C60AF7" w:rsidRPr="008730E7" w:rsidRDefault="008730E7" w:rsidP="008730E7">
      <w:pPr>
        <w:pStyle w:val="Quotation"/>
        <w:tabs>
          <w:tab w:val="clear" w:pos="2016"/>
          <w:tab w:val="clear" w:pos="2448"/>
          <w:tab w:val="clear" w:pos="3946"/>
          <w:tab w:val="center" w:pos="4320"/>
        </w:tabs>
        <w:spacing w:before="240" w:after="0"/>
        <w:rPr>
          <w:szCs w:val="24"/>
          <w:lang w:eastAsia="zh-HK"/>
        </w:rPr>
      </w:pPr>
      <w:r w:rsidRPr="008730E7">
        <w:rPr>
          <w:szCs w:val="24"/>
          <w:lang w:eastAsia="zh-HK"/>
        </w:rPr>
        <w:t>In the light of those and other authorities we would venture to add a seventh proposition to those which we have already listed as follows:</w:t>
      </w:r>
    </w:p>
    <w:p w:rsidR="008730E7" w:rsidRPr="008730E7" w:rsidRDefault="008730E7" w:rsidP="008730E7">
      <w:pPr>
        <w:pStyle w:val="Quotation"/>
        <w:tabs>
          <w:tab w:val="clear" w:pos="2016"/>
          <w:tab w:val="clear" w:pos="2448"/>
          <w:tab w:val="clear" w:pos="3946"/>
          <w:tab w:val="center" w:pos="4320"/>
        </w:tabs>
        <w:spacing w:before="240" w:after="560"/>
        <w:ind w:left="2160" w:hanging="720"/>
        <w:rPr>
          <w:szCs w:val="24"/>
          <w:lang w:eastAsia="zh-HK"/>
        </w:rPr>
      </w:pPr>
      <w:r w:rsidRPr="008730E7">
        <w:rPr>
          <w:szCs w:val="24"/>
        </w:rPr>
        <w:t>(7)</w:t>
      </w:r>
      <w:r w:rsidRPr="008730E7">
        <w:rPr>
          <w:szCs w:val="24"/>
        </w:rPr>
        <w:tab/>
      </w:r>
      <w:r w:rsidRPr="008730E7">
        <w:rPr>
          <w:szCs w:val="24"/>
          <w:lang w:eastAsia="zh-HK"/>
        </w:rPr>
        <w:t xml:space="preserve">The discretion of the judge to admit evidence after the close of the prosecution case is not confined to the two well established exceptions.  There is a wider discretion.  We refrain from defining precisely the limit of that discretion since we cannot foresee all the circumstances in which it might fall to be exercised.  It is of the essence of any discretion that it should be kept flexible.  But lest there be any misunderstanding and lest it be thought we are opening the door too wide, we would echo what was said by Edmund-Davies LJ in the </w:t>
      </w:r>
      <w:r w:rsidRPr="008730E7">
        <w:rPr>
          <w:i/>
          <w:szCs w:val="24"/>
          <w:lang w:eastAsia="zh-HK"/>
        </w:rPr>
        <w:t xml:space="preserve">Doran </w:t>
      </w:r>
      <w:r w:rsidRPr="008730E7">
        <w:rPr>
          <w:szCs w:val="24"/>
          <w:lang w:eastAsia="zh-HK"/>
        </w:rPr>
        <w:t>case at p 437 that the discretion is one which should only be exercised outside the two established exceptions on the rarest of occasions.”</w:t>
      </w:r>
    </w:p>
    <w:p w:rsidR="00756BEE" w:rsidRPr="00063B67" w:rsidRDefault="008730E7" w:rsidP="00756BEE">
      <w:pPr>
        <w:pStyle w:val="Final"/>
        <w:numPr>
          <w:ilvl w:val="0"/>
          <w:numId w:val="28"/>
        </w:numPr>
        <w:spacing w:after="480"/>
        <w:ind w:left="0" w:firstLine="0"/>
      </w:pPr>
      <w:r w:rsidRPr="003328A8">
        <w:rPr>
          <w:rFonts w:eastAsia="SimSun"/>
          <w:szCs w:val="24"/>
        </w:rPr>
        <w:t xml:space="preserve">Accepting that there was no technical omission, and that the present case is not one in which the wider discretion is applicable, we are nevertheless attracted to the submission that this is an instance where the prosecution was faced with a matter that had arisen </w:t>
      </w:r>
      <w:r w:rsidRPr="003328A8">
        <w:rPr>
          <w:rFonts w:eastAsia="SimSun"/>
          <w:i/>
          <w:szCs w:val="24"/>
        </w:rPr>
        <w:t xml:space="preserve">ex </w:t>
      </w:r>
      <w:proofErr w:type="spellStart"/>
      <w:r w:rsidRPr="003328A8">
        <w:rPr>
          <w:rFonts w:eastAsia="SimSun"/>
          <w:i/>
          <w:szCs w:val="24"/>
        </w:rPr>
        <w:t>improviso</w:t>
      </w:r>
      <w:proofErr w:type="spellEnd"/>
      <w:r w:rsidRPr="003328A8">
        <w:rPr>
          <w:rFonts w:eastAsia="SimSun"/>
          <w:szCs w:val="24"/>
        </w:rPr>
        <w:t>.</w:t>
      </w:r>
    </w:p>
    <w:p w:rsidR="00756BEE" w:rsidRPr="00063B67" w:rsidRDefault="00871A9E" w:rsidP="00756BEE">
      <w:pPr>
        <w:pStyle w:val="Final"/>
        <w:numPr>
          <w:ilvl w:val="0"/>
          <w:numId w:val="28"/>
        </w:numPr>
        <w:spacing w:after="480"/>
        <w:ind w:left="0" w:firstLine="0"/>
      </w:pPr>
      <w:r w:rsidRPr="003328A8">
        <w:rPr>
          <w:rFonts w:eastAsia="SimSun"/>
          <w:szCs w:val="24"/>
        </w:rPr>
        <w:t>Taking the cross-examination of Ms Wong, the forensic analyst, as a starting point</w:t>
      </w:r>
      <w:r w:rsidRPr="003328A8">
        <w:rPr>
          <w:rStyle w:val="FootnoteReference"/>
          <w:rFonts w:eastAsia="SimSun"/>
          <w:szCs w:val="24"/>
        </w:rPr>
        <w:footnoteReference w:id="11"/>
      </w:r>
      <w:r w:rsidRPr="003328A8">
        <w:rPr>
          <w:rFonts w:eastAsia="SimSun"/>
          <w:szCs w:val="24"/>
        </w:rPr>
        <w:t>, although she was questioned at length, and was confronted with assertions from presumably learned publications, the attack on her evidence had remained throughout at large.  Without more, the attack would be, and was quite rightly understood as</w:t>
      </w:r>
      <w:r w:rsidRPr="003328A8">
        <w:rPr>
          <w:szCs w:val="24"/>
          <w:lang w:eastAsia="zh-HK"/>
        </w:rPr>
        <w:t xml:space="preserve"> (a)</w:t>
      </w:r>
      <w:r w:rsidRPr="003328A8">
        <w:rPr>
          <w:rFonts w:eastAsia="SimSun"/>
          <w:szCs w:val="24"/>
        </w:rPr>
        <w:t xml:space="preserve"> a general challenge to the validity of Ms Wong’s methodology, and/or </w:t>
      </w:r>
      <w:r w:rsidRPr="003328A8">
        <w:rPr>
          <w:szCs w:val="24"/>
          <w:lang w:eastAsia="zh-HK"/>
        </w:rPr>
        <w:t xml:space="preserve">(b) a </w:t>
      </w:r>
      <w:r w:rsidRPr="003328A8">
        <w:rPr>
          <w:rFonts w:eastAsia="SimSun"/>
          <w:szCs w:val="24"/>
        </w:rPr>
        <w:t xml:space="preserve">general attempt to get Ms Wong to agree to some unexplained statistics that could </w:t>
      </w:r>
      <w:r w:rsidRPr="003328A8">
        <w:rPr>
          <w:rFonts w:eastAsia="SimSun"/>
          <w:szCs w:val="24"/>
        </w:rPr>
        <w:lastRenderedPageBreak/>
        <w:t>dramatically tip the scales in favour of the appellant (</w:t>
      </w:r>
      <w:r w:rsidRPr="003328A8">
        <w:rPr>
          <w:szCs w:val="24"/>
          <w:lang w:eastAsia="zh-HK"/>
        </w:rPr>
        <w:t>1</w:t>
      </w:r>
      <w:r w:rsidRPr="003328A8">
        <w:rPr>
          <w:rFonts w:eastAsia="SimSun"/>
          <w:szCs w:val="24"/>
        </w:rPr>
        <w:t xml:space="preserve"> in 12,379, or </w:t>
      </w:r>
      <w:r w:rsidRPr="003328A8">
        <w:rPr>
          <w:szCs w:val="24"/>
          <w:lang w:eastAsia="zh-HK"/>
        </w:rPr>
        <w:t>1</w:t>
      </w:r>
      <w:r w:rsidRPr="003328A8">
        <w:rPr>
          <w:rFonts w:eastAsia="SimSun"/>
          <w:szCs w:val="24"/>
        </w:rPr>
        <w:t xml:space="preserve"> in 10,000</w:t>
      </w:r>
      <w:r w:rsidRPr="003328A8">
        <w:rPr>
          <w:rStyle w:val="FootnoteReference"/>
          <w:rFonts w:eastAsia="SimSun"/>
          <w:szCs w:val="24"/>
        </w:rPr>
        <w:footnoteReference w:id="12"/>
      </w:r>
      <w:r w:rsidRPr="003328A8">
        <w:rPr>
          <w:rFonts w:eastAsia="SimSun"/>
          <w:szCs w:val="24"/>
        </w:rPr>
        <w:t xml:space="preserve">, as opposed to </w:t>
      </w:r>
      <w:r w:rsidRPr="003328A8">
        <w:rPr>
          <w:szCs w:val="24"/>
          <w:lang w:eastAsia="zh-HK"/>
        </w:rPr>
        <w:t>1</w:t>
      </w:r>
      <w:r w:rsidRPr="003328A8">
        <w:rPr>
          <w:rFonts w:eastAsia="SimSun"/>
          <w:szCs w:val="24"/>
        </w:rPr>
        <w:t xml:space="preserve"> in 11.7 quadrillion).</w:t>
      </w:r>
    </w:p>
    <w:p w:rsidR="00756BEE" w:rsidRPr="00063B67" w:rsidRDefault="00871A9E" w:rsidP="00756BEE">
      <w:pPr>
        <w:pStyle w:val="Final"/>
        <w:numPr>
          <w:ilvl w:val="0"/>
          <w:numId w:val="28"/>
        </w:numPr>
        <w:spacing w:after="480"/>
        <w:ind w:left="0" w:firstLine="0"/>
      </w:pPr>
      <w:r w:rsidRPr="003328A8">
        <w:rPr>
          <w:rFonts w:eastAsia="SimSun"/>
          <w:szCs w:val="24"/>
        </w:rPr>
        <w:t xml:space="preserve">Given the soon to be </w:t>
      </w:r>
      <w:r w:rsidRPr="003328A8">
        <w:rPr>
          <w:szCs w:val="24"/>
          <w:lang w:eastAsia="zh-HK"/>
        </w:rPr>
        <w:t>summoned</w:t>
      </w:r>
      <w:r w:rsidRPr="003328A8">
        <w:rPr>
          <w:rFonts w:eastAsia="SimSun"/>
          <w:szCs w:val="24"/>
        </w:rPr>
        <w:t xml:space="preserve"> evidence of Ms Tsang, the sister</w:t>
      </w:r>
      <w:r w:rsidRPr="003328A8">
        <w:rPr>
          <w:szCs w:val="24"/>
          <w:lang w:eastAsia="zh-HK"/>
        </w:rPr>
        <w:t xml:space="preserve"> – she testified after Ms Wong after just a short adjournment</w:t>
      </w:r>
      <w:r w:rsidRPr="003328A8">
        <w:rPr>
          <w:rStyle w:val="FootnoteReference"/>
          <w:rFonts w:eastAsia="SimSun"/>
          <w:szCs w:val="24"/>
        </w:rPr>
        <w:footnoteReference w:id="13"/>
      </w:r>
      <w:r w:rsidRPr="003328A8">
        <w:rPr>
          <w:szCs w:val="24"/>
          <w:lang w:eastAsia="zh-HK"/>
        </w:rPr>
        <w:t>,</w:t>
      </w:r>
      <w:r w:rsidRPr="003328A8">
        <w:rPr>
          <w:rFonts w:eastAsia="SimSun"/>
          <w:szCs w:val="24"/>
        </w:rPr>
        <w:t xml:space="preserve"> we are in fact inclined to question whether defence counsel was </w:t>
      </w:r>
      <w:r w:rsidRPr="003328A8">
        <w:rPr>
          <w:szCs w:val="24"/>
          <w:lang w:eastAsia="zh-HK"/>
        </w:rPr>
        <w:t xml:space="preserve">not </w:t>
      </w:r>
      <w:r w:rsidRPr="003328A8">
        <w:rPr>
          <w:rFonts w:eastAsia="SimSun"/>
          <w:szCs w:val="24"/>
        </w:rPr>
        <w:t xml:space="preserve">acting in breach of the </w:t>
      </w:r>
      <w:r w:rsidRPr="003328A8">
        <w:rPr>
          <w:szCs w:val="24"/>
          <w:lang w:eastAsia="zh-HK"/>
        </w:rPr>
        <w:t xml:space="preserve">rule in </w:t>
      </w:r>
      <w:r w:rsidRPr="003328A8">
        <w:rPr>
          <w:rFonts w:eastAsia="SimSun"/>
          <w:i/>
          <w:szCs w:val="24"/>
        </w:rPr>
        <w:t>Browne v Dunn</w:t>
      </w:r>
      <w:r w:rsidRPr="003328A8">
        <w:rPr>
          <w:rFonts w:eastAsia="SimSun"/>
          <w:szCs w:val="24"/>
        </w:rPr>
        <w:t xml:space="preserve">; a </w:t>
      </w:r>
      <w:r w:rsidRPr="003328A8">
        <w:rPr>
          <w:szCs w:val="24"/>
          <w:lang w:eastAsia="zh-HK"/>
        </w:rPr>
        <w:t>rule</w:t>
      </w:r>
      <w:r w:rsidRPr="003328A8">
        <w:rPr>
          <w:rFonts w:eastAsia="SimSun"/>
          <w:szCs w:val="24"/>
        </w:rPr>
        <w:t xml:space="preserve"> which has been helpfully explained by McMahon J in </w:t>
      </w:r>
      <w:r w:rsidRPr="003328A8">
        <w:rPr>
          <w:rFonts w:eastAsia="SimSun"/>
          <w:i/>
          <w:szCs w:val="24"/>
        </w:rPr>
        <w:t xml:space="preserve">HKSAR v </w:t>
      </w:r>
      <w:proofErr w:type="spellStart"/>
      <w:r w:rsidRPr="003328A8">
        <w:rPr>
          <w:rFonts w:eastAsia="SimSun"/>
          <w:i/>
          <w:szCs w:val="24"/>
        </w:rPr>
        <w:t>Tsui</w:t>
      </w:r>
      <w:proofErr w:type="spellEnd"/>
      <w:r w:rsidRPr="003328A8">
        <w:rPr>
          <w:rFonts w:eastAsia="SimSun"/>
          <w:i/>
          <w:szCs w:val="24"/>
        </w:rPr>
        <w:t xml:space="preserve"> Sin Yee</w:t>
      </w:r>
      <w:r w:rsidRPr="003328A8">
        <w:rPr>
          <w:rFonts w:eastAsia="SimSun"/>
          <w:szCs w:val="24"/>
        </w:rPr>
        <w:t xml:space="preserve"> [2010] 1 HKLRD 876 at 886:</w:t>
      </w:r>
    </w:p>
    <w:p w:rsidR="00871A9E" w:rsidRPr="00871A9E" w:rsidRDefault="00871A9E" w:rsidP="00871A9E">
      <w:pPr>
        <w:pStyle w:val="ListParagraph"/>
        <w:widowControl/>
        <w:tabs>
          <w:tab w:val="left" w:pos="2552"/>
        </w:tabs>
        <w:snapToGrid w:val="0"/>
        <w:spacing w:before="240" w:after="560"/>
        <w:ind w:leftChars="0" w:left="1411" w:right="893"/>
        <w:jc w:val="both"/>
        <w:rPr>
          <w:rFonts w:ascii="Times New Roman" w:eastAsia="SimSun" w:hAnsi="Times New Roman"/>
          <w:szCs w:val="24"/>
          <w:lang w:eastAsia="zh-CN"/>
        </w:rPr>
      </w:pPr>
      <w:r w:rsidRPr="00871A9E">
        <w:rPr>
          <w:rFonts w:ascii="Times New Roman" w:eastAsia="SimSun" w:hAnsi="Times New Roman"/>
          <w:szCs w:val="24"/>
          <w:lang w:eastAsia="zh-CN"/>
        </w:rPr>
        <w:t>“44.</w:t>
      </w:r>
      <w:r w:rsidRPr="00871A9E">
        <w:rPr>
          <w:rFonts w:ascii="Times New Roman" w:eastAsia="SimSun" w:hAnsi="Times New Roman"/>
          <w:szCs w:val="24"/>
          <w:lang w:eastAsia="zh-CN"/>
        </w:rPr>
        <w:tab/>
        <w:t xml:space="preserve">The purpose of the rule established by </w:t>
      </w:r>
      <w:r w:rsidRPr="00871A9E">
        <w:rPr>
          <w:rFonts w:ascii="Times New Roman" w:eastAsia="SimSun" w:hAnsi="Times New Roman"/>
          <w:i/>
          <w:szCs w:val="24"/>
          <w:lang w:eastAsia="zh-CN"/>
        </w:rPr>
        <w:t>Browne v Dunn</w:t>
      </w:r>
      <w:r w:rsidRPr="00871A9E">
        <w:rPr>
          <w:rFonts w:ascii="Times New Roman" w:eastAsia="SimSun" w:hAnsi="Times New Roman"/>
          <w:szCs w:val="24"/>
          <w:lang w:eastAsia="zh-CN"/>
        </w:rPr>
        <w:t xml:space="preserve"> is to prevent a party; and the rule as a matter of practicality is directed usually at the party whose evidence is given last, from embarking upon a presentation of their case in evidence which is novel and upon which, if it had been put to them, the other parties’ witnesses would have been able to provide relevant evidence ….”</w:t>
      </w:r>
    </w:p>
    <w:p w:rsidR="00756BEE" w:rsidRPr="00063B67" w:rsidRDefault="00871A9E" w:rsidP="00756BEE">
      <w:pPr>
        <w:pStyle w:val="Final"/>
        <w:numPr>
          <w:ilvl w:val="0"/>
          <w:numId w:val="28"/>
        </w:numPr>
        <w:spacing w:after="480"/>
        <w:ind w:left="0" w:firstLine="0"/>
      </w:pPr>
      <w:r w:rsidRPr="003328A8">
        <w:rPr>
          <w:rFonts w:eastAsia="SimSun"/>
          <w:szCs w:val="24"/>
        </w:rPr>
        <w:t xml:space="preserve">The point, we should add, was brought </w:t>
      </w:r>
      <w:r w:rsidRPr="003328A8">
        <w:rPr>
          <w:szCs w:val="24"/>
          <w:lang w:eastAsia="zh-HK"/>
        </w:rPr>
        <w:t>squarely</w:t>
      </w:r>
      <w:r w:rsidRPr="003328A8">
        <w:rPr>
          <w:rFonts w:eastAsia="SimSun"/>
          <w:szCs w:val="24"/>
        </w:rPr>
        <w:t xml:space="preserve"> into the frame </w:t>
      </w:r>
      <w:r w:rsidRPr="003328A8">
        <w:rPr>
          <w:szCs w:val="24"/>
          <w:lang w:eastAsia="zh-HK"/>
        </w:rPr>
        <w:t xml:space="preserve">when Ms Wong met counsel with </w:t>
      </w:r>
      <w:r w:rsidRPr="003328A8">
        <w:rPr>
          <w:rFonts w:eastAsia="SimSun"/>
          <w:szCs w:val="24"/>
        </w:rPr>
        <w:t xml:space="preserve">the following </w:t>
      </w:r>
      <w:r w:rsidRPr="003328A8">
        <w:rPr>
          <w:szCs w:val="24"/>
          <w:lang w:eastAsia="zh-HK"/>
        </w:rPr>
        <w:t>answers</w:t>
      </w:r>
      <w:r w:rsidRPr="003328A8">
        <w:rPr>
          <w:rStyle w:val="FootnoteReference"/>
          <w:rFonts w:eastAsia="SimSun"/>
          <w:szCs w:val="24"/>
        </w:rPr>
        <w:footnoteReference w:id="14"/>
      </w:r>
      <w:r w:rsidRPr="003328A8">
        <w:rPr>
          <w:rFonts w:eastAsia="SimSun"/>
          <w:szCs w:val="24"/>
        </w:rPr>
        <w:t xml:space="preserve">.  Nevertheless, as one </w:t>
      </w:r>
      <w:r w:rsidRPr="003328A8">
        <w:rPr>
          <w:szCs w:val="24"/>
          <w:lang w:eastAsia="zh-HK"/>
        </w:rPr>
        <w:t>will</w:t>
      </w:r>
      <w:r w:rsidRPr="003328A8">
        <w:rPr>
          <w:rFonts w:eastAsia="SimSun"/>
          <w:szCs w:val="24"/>
        </w:rPr>
        <w:t xml:space="preserve"> see, the latter had remained decidedly </w:t>
      </w:r>
      <w:r w:rsidRPr="003328A8">
        <w:rPr>
          <w:szCs w:val="24"/>
          <w:lang w:eastAsia="zh-HK"/>
        </w:rPr>
        <w:t xml:space="preserve">enigmatic as to </w:t>
      </w:r>
      <w:r w:rsidRPr="003328A8">
        <w:rPr>
          <w:rFonts w:eastAsia="SimSun"/>
          <w:szCs w:val="24"/>
        </w:rPr>
        <w:t>what w</w:t>
      </w:r>
      <w:r w:rsidRPr="003328A8">
        <w:rPr>
          <w:szCs w:val="24"/>
          <w:lang w:eastAsia="zh-HK"/>
        </w:rPr>
        <w:t>ould be</w:t>
      </w:r>
      <w:r w:rsidRPr="003328A8">
        <w:rPr>
          <w:rFonts w:eastAsia="SimSun"/>
          <w:szCs w:val="24"/>
        </w:rPr>
        <w:t xml:space="preserve"> the defence case:</w:t>
      </w:r>
    </w:p>
    <w:p w:rsidR="00871A9E" w:rsidRPr="00EC1C45" w:rsidRDefault="00EC1C45" w:rsidP="00EC1C45">
      <w:pPr>
        <w:pStyle w:val="ListParagraph"/>
        <w:widowControl/>
        <w:tabs>
          <w:tab w:val="left" w:pos="1440"/>
        </w:tabs>
        <w:snapToGrid w:val="0"/>
        <w:spacing w:before="240" w:after="400"/>
        <w:ind w:leftChars="0" w:left="2160" w:right="893" w:hanging="900"/>
        <w:jc w:val="both"/>
        <w:rPr>
          <w:rFonts w:ascii="Times New Roman" w:eastAsia="SimSun" w:hAnsi="Times New Roman"/>
          <w:szCs w:val="24"/>
          <w:lang w:eastAsia="zh-CN"/>
        </w:rPr>
      </w:pPr>
      <w:r w:rsidRPr="00EC1C45">
        <w:rPr>
          <w:rFonts w:ascii="Times New Roman" w:eastAsia="SimSun" w:hAnsi="Times New Roman"/>
          <w:szCs w:val="24"/>
          <w:lang w:eastAsia="zh-CN"/>
        </w:rPr>
        <w:t>“</w:t>
      </w:r>
      <w:r w:rsidRPr="00EC1C45">
        <w:rPr>
          <w:rFonts w:ascii="Times New Roman" w:eastAsia="SimSun" w:hAnsi="Times New Roman"/>
          <w:szCs w:val="24"/>
          <w:lang w:eastAsia="zh-CN"/>
        </w:rPr>
        <w:tab/>
        <w:t>Q</w:t>
      </w:r>
      <w:r w:rsidR="00871A9E" w:rsidRPr="00EC1C45">
        <w:rPr>
          <w:rFonts w:ascii="Times New Roman" w:eastAsia="SimSun" w:hAnsi="Times New Roman"/>
          <w:szCs w:val="24"/>
          <w:lang w:eastAsia="zh-CN"/>
        </w:rPr>
        <w:t>.</w:t>
      </w:r>
      <w:r w:rsidR="00871A9E" w:rsidRPr="00EC1C45">
        <w:rPr>
          <w:rFonts w:ascii="Times New Roman" w:eastAsia="SimSun" w:hAnsi="Times New Roman"/>
          <w:szCs w:val="24"/>
          <w:lang w:eastAsia="zh-CN"/>
        </w:rPr>
        <w:tab/>
      </w:r>
      <w:r w:rsidRPr="00EC1C45">
        <w:rPr>
          <w:rFonts w:ascii="Times New Roman" w:eastAsia="Malgun Gothic" w:hAnsi="Times New Roman"/>
          <w:szCs w:val="24"/>
        </w:rPr>
        <w:t>In any event, your report have no result -- have not taken into account if the crime was committed by a relative of the suspect, of the defendant, is that correct?</w:t>
      </w:r>
    </w:p>
    <w:p w:rsidR="00871A9E" w:rsidRPr="00EC1C45" w:rsidRDefault="00EC1C45" w:rsidP="00EC1C45">
      <w:pPr>
        <w:pStyle w:val="ListParagraph"/>
        <w:widowControl/>
        <w:tabs>
          <w:tab w:val="left" w:pos="1440"/>
        </w:tabs>
        <w:snapToGrid w:val="0"/>
        <w:spacing w:before="240" w:after="400"/>
        <w:ind w:leftChars="0" w:left="2160" w:right="893" w:hanging="749"/>
        <w:jc w:val="both"/>
        <w:rPr>
          <w:rFonts w:ascii="Times New Roman" w:eastAsia="SimSun" w:hAnsi="Times New Roman"/>
          <w:szCs w:val="24"/>
          <w:lang w:eastAsia="zh-CN"/>
        </w:rPr>
      </w:pPr>
      <w:r w:rsidRPr="00EC1C45">
        <w:rPr>
          <w:rFonts w:ascii="Times New Roman" w:eastAsia="SimSun" w:hAnsi="Times New Roman"/>
          <w:szCs w:val="24"/>
          <w:lang w:eastAsia="zh-CN"/>
        </w:rPr>
        <w:t>A</w:t>
      </w:r>
      <w:r w:rsidR="00871A9E" w:rsidRPr="00EC1C45">
        <w:rPr>
          <w:rFonts w:ascii="Times New Roman" w:eastAsia="SimSun" w:hAnsi="Times New Roman"/>
          <w:szCs w:val="24"/>
          <w:lang w:eastAsia="zh-CN"/>
        </w:rPr>
        <w:t>.</w:t>
      </w:r>
      <w:r w:rsidR="00871A9E" w:rsidRPr="00EC1C45">
        <w:rPr>
          <w:rFonts w:ascii="Times New Roman" w:eastAsia="SimSun" w:hAnsi="Times New Roman"/>
          <w:szCs w:val="24"/>
          <w:lang w:eastAsia="zh-CN"/>
        </w:rPr>
        <w:tab/>
      </w:r>
      <w:r w:rsidRPr="00EC1C45">
        <w:rPr>
          <w:rFonts w:ascii="Times New Roman" w:eastAsia="Malgun Gothic" w:hAnsi="Times New Roman"/>
          <w:szCs w:val="24"/>
        </w:rPr>
        <w:t>In normal case we will not calculate for the sibling, but if that is necessary, we will provide the value for you.</w:t>
      </w:r>
    </w:p>
    <w:p w:rsidR="00871A9E" w:rsidRPr="00EC1C45" w:rsidRDefault="00EC1C45" w:rsidP="00EC1C45">
      <w:pPr>
        <w:pStyle w:val="ListParagraph"/>
        <w:widowControl/>
        <w:tabs>
          <w:tab w:val="left" w:pos="1440"/>
        </w:tabs>
        <w:snapToGrid w:val="0"/>
        <w:spacing w:before="240" w:after="400"/>
        <w:ind w:leftChars="0" w:left="2160" w:right="893" w:hanging="749"/>
        <w:jc w:val="both"/>
        <w:rPr>
          <w:rFonts w:ascii="Times New Roman" w:eastAsia="SimSun" w:hAnsi="Times New Roman"/>
          <w:szCs w:val="24"/>
          <w:lang w:eastAsia="zh-CN"/>
        </w:rPr>
      </w:pPr>
      <w:r w:rsidRPr="00EC1C45">
        <w:rPr>
          <w:rFonts w:ascii="Times New Roman" w:eastAsia="SimSun" w:hAnsi="Times New Roman"/>
          <w:szCs w:val="24"/>
          <w:lang w:eastAsia="zh-CN"/>
        </w:rPr>
        <w:lastRenderedPageBreak/>
        <w:t>Q</w:t>
      </w:r>
      <w:r w:rsidR="00871A9E" w:rsidRPr="00EC1C45">
        <w:rPr>
          <w:rFonts w:ascii="Times New Roman" w:eastAsia="SimSun" w:hAnsi="Times New Roman"/>
          <w:szCs w:val="24"/>
          <w:lang w:eastAsia="zh-CN"/>
        </w:rPr>
        <w:t>.</w:t>
      </w:r>
      <w:r w:rsidR="00871A9E" w:rsidRPr="00EC1C45">
        <w:rPr>
          <w:rFonts w:ascii="Times New Roman" w:eastAsia="SimSun" w:hAnsi="Times New Roman"/>
          <w:szCs w:val="24"/>
          <w:lang w:eastAsia="zh-CN"/>
        </w:rPr>
        <w:tab/>
      </w:r>
      <w:r w:rsidRPr="00EC1C45">
        <w:rPr>
          <w:rFonts w:ascii="Times New Roman" w:eastAsia="Malgun Gothic" w:hAnsi="Times New Roman"/>
          <w:szCs w:val="24"/>
        </w:rPr>
        <w:t>But that’s not the case.  That’s not the case in your report.</w:t>
      </w:r>
    </w:p>
    <w:p w:rsidR="00871A9E" w:rsidRPr="00EC1C45" w:rsidRDefault="00EC1C45" w:rsidP="00EC1C45">
      <w:pPr>
        <w:pStyle w:val="ListParagraph"/>
        <w:widowControl/>
        <w:tabs>
          <w:tab w:val="left" w:pos="1440"/>
        </w:tabs>
        <w:snapToGrid w:val="0"/>
        <w:spacing w:before="240" w:after="400"/>
        <w:ind w:leftChars="0" w:left="2160" w:right="893" w:hanging="749"/>
        <w:jc w:val="both"/>
        <w:rPr>
          <w:rFonts w:ascii="Times New Roman" w:eastAsia="SimSun" w:hAnsi="Times New Roman"/>
          <w:szCs w:val="24"/>
          <w:lang w:eastAsia="zh-CN"/>
        </w:rPr>
      </w:pPr>
      <w:r w:rsidRPr="00EC1C45">
        <w:rPr>
          <w:rFonts w:ascii="Times New Roman" w:eastAsia="SimSun" w:hAnsi="Times New Roman"/>
          <w:szCs w:val="24"/>
          <w:lang w:eastAsia="zh-CN"/>
        </w:rPr>
        <w:t>A.</w:t>
      </w:r>
      <w:r w:rsidRPr="00EC1C45">
        <w:rPr>
          <w:rFonts w:ascii="Times New Roman" w:eastAsia="SimSun" w:hAnsi="Times New Roman"/>
          <w:szCs w:val="24"/>
          <w:lang w:eastAsia="zh-CN"/>
        </w:rPr>
        <w:tab/>
      </w:r>
      <w:r w:rsidRPr="00EC1C45">
        <w:rPr>
          <w:rFonts w:ascii="Times New Roman" w:eastAsia="Malgun Gothic" w:hAnsi="Times New Roman"/>
          <w:szCs w:val="24"/>
        </w:rPr>
        <w:t>But that is not the case because there is no any information to tell us it’s related, that is committed by the relative of the defendant.</w:t>
      </w:r>
    </w:p>
    <w:p w:rsidR="00871A9E" w:rsidRPr="00EC1C45" w:rsidRDefault="00EC1C45" w:rsidP="00EC1C45">
      <w:pPr>
        <w:pStyle w:val="ListParagraph"/>
        <w:widowControl/>
        <w:tabs>
          <w:tab w:val="left" w:pos="1440"/>
        </w:tabs>
        <w:snapToGrid w:val="0"/>
        <w:spacing w:before="240" w:after="400"/>
        <w:ind w:leftChars="0" w:left="2160" w:right="893" w:hanging="749"/>
        <w:jc w:val="both"/>
        <w:rPr>
          <w:rFonts w:ascii="Times New Roman" w:eastAsia="SimSun" w:hAnsi="Times New Roman"/>
          <w:szCs w:val="24"/>
          <w:lang w:eastAsia="zh-CN"/>
        </w:rPr>
      </w:pPr>
      <w:r w:rsidRPr="00EC1C45">
        <w:rPr>
          <w:rFonts w:ascii="Times New Roman" w:eastAsia="SimSun" w:hAnsi="Times New Roman"/>
          <w:szCs w:val="24"/>
          <w:lang w:eastAsia="zh-CN"/>
        </w:rPr>
        <w:t>Q</w:t>
      </w:r>
      <w:r w:rsidR="00871A9E" w:rsidRPr="00EC1C45">
        <w:rPr>
          <w:rFonts w:ascii="Times New Roman" w:eastAsia="SimSun" w:hAnsi="Times New Roman"/>
          <w:szCs w:val="24"/>
          <w:lang w:eastAsia="zh-CN"/>
        </w:rPr>
        <w:t>.</w:t>
      </w:r>
      <w:r w:rsidR="00871A9E" w:rsidRPr="00EC1C45">
        <w:rPr>
          <w:rFonts w:ascii="Times New Roman" w:eastAsia="SimSun" w:hAnsi="Times New Roman"/>
          <w:szCs w:val="24"/>
          <w:lang w:eastAsia="zh-CN"/>
        </w:rPr>
        <w:tab/>
      </w:r>
      <w:r w:rsidRPr="00EC1C45">
        <w:rPr>
          <w:rFonts w:ascii="Times New Roman" w:eastAsia="Malgun Gothic" w:hAnsi="Times New Roman"/>
          <w:szCs w:val="24"/>
        </w:rPr>
        <w:t xml:space="preserve">I have another journal, </w:t>
      </w:r>
      <w:r w:rsidRPr="00EC1C45">
        <w:rPr>
          <w:rFonts w:ascii="Times New Roman" w:eastAsia="SimSun" w:hAnsi="Times New Roman"/>
          <w:szCs w:val="24"/>
          <w:lang w:eastAsia="zh-CN"/>
        </w:rPr>
        <w:t>‘</w:t>
      </w:r>
      <w:r w:rsidRPr="00EC1C45">
        <w:rPr>
          <w:rFonts w:ascii="Times New Roman" w:eastAsia="Malgun Gothic" w:hAnsi="Times New Roman"/>
          <w:szCs w:val="24"/>
        </w:rPr>
        <w:t>Statistical analysis to support forensic interpretation for a new ten-locus STR profiling system.</w:t>
      </w:r>
      <w:r w:rsidRPr="00EC1C45">
        <w:rPr>
          <w:rFonts w:ascii="Times New Roman" w:eastAsia="SimSun" w:hAnsi="Times New Roman"/>
          <w:szCs w:val="24"/>
          <w:lang w:eastAsia="zh-CN"/>
        </w:rPr>
        <w:t>’</w:t>
      </w:r>
      <w:r w:rsidRPr="00EC1C45">
        <w:rPr>
          <w:rFonts w:ascii="Times New Roman" w:eastAsia="Malgun Gothic" w:hAnsi="Times New Roman"/>
          <w:szCs w:val="24"/>
        </w:rPr>
        <w:t xml:space="preserve">  It’s a legal medical journal.  Have you read this journal?</w:t>
      </w:r>
    </w:p>
    <w:p w:rsidR="00871A9E" w:rsidRPr="00EC1C45" w:rsidRDefault="00EC1C45" w:rsidP="00006BBC">
      <w:pPr>
        <w:pStyle w:val="ListParagraph"/>
        <w:widowControl/>
        <w:tabs>
          <w:tab w:val="left" w:pos="1440"/>
        </w:tabs>
        <w:snapToGrid w:val="0"/>
        <w:spacing w:before="240" w:after="560"/>
        <w:ind w:leftChars="0" w:left="2160" w:right="893" w:hanging="749"/>
        <w:jc w:val="both"/>
        <w:rPr>
          <w:rFonts w:ascii="Times New Roman" w:eastAsia="SimSun" w:hAnsi="Times New Roman"/>
          <w:szCs w:val="24"/>
          <w:lang w:eastAsia="zh-CN"/>
        </w:rPr>
      </w:pPr>
      <w:r w:rsidRPr="00EC1C45">
        <w:rPr>
          <w:rFonts w:ascii="Times New Roman" w:eastAsia="SimSun" w:hAnsi="Times New Roman"/>
          <w:szCs w:val="24"/>
          <w:lang w:eastAsia="zh-CN"/>
        </w:rPr>
        <w:t>……”</w:t>
      </w:r>
    </w:p>
    <w:p w:rsidR="00756BEE" w:rsidRPr="00063B67" w:rsidRDefault="00EC1C45" w:rsidP="00756BEE">
      <w:pPr>
        <w:pStyle w:val="Final"/>
        <w:numPr>
          <w:ilvl w:val="0"/>
          <w:numId w:val="28"/>
        </w:numPr>
        <w:spacing w:after="480"/>
        <w:ind w:left="0" w:firstLine="0"/>
      </w:pPr>
      <w:r w:rsidRPr="003328A8">
        <w:rPr>
          <w:rFonts w:eastAsia="SimSun"/>
          <w:szCs w:val="24"/>
        </w:rPr>
        <w:t>Another point</w:t>
      </w:r>
      <w:r w:rsidRPr="003328A8">
        <w:rPr>
          <w:szCs w:val="24"/>
          <w:lang w:eastAsia="zh-HK"/>
        </w:rPr>
        <w:t xml:space="preserve"> of</w:t>
      </w:r>
      <w:r w:rsidRPr="003328A8">
        <w:rPr>
          <w:rFonts w:eastAsia="SimSun"/>
          <w:szCs w:val="24"/>
        </w:rPr>
        <w:t xml:space="preserve"> admittedly less</w:t>
      </w:r>
      <w:r w:rsidRPr="003328A8">
        <w:rPr>
          <w:szCs w:val="24"/>
          <w:lang w:eastAsia="zh-HK"/>
        </w:rPr>
        <w:t xml:space="preserve"> imp</w:t>
      </w:r>
      <w:r w:rsidRPr="003328A8">
        <w:rPr>
          <w:rFonts w:eastAsia="SimSun"/>
          <w:szCs w:val="24"/>
        </w:rPr>
        <w:t>ortance is that there is no mention of any extended family in the appellant’s antecedent statement, which was available to the prosecution.  It was not even said that he had brothers.  But it does go to show the state of perhaps understandable lack of knowledge on the part of the prosecution.</w:t>
      </w:r>
    </w:p>
    <w:p w:rsidR="00756BEE" w:rsidRPr="00063B67" w:rsidRDefault="00EC1C45" w:rsidP="00756BEE">
      <w:pPr>
        <w:pStyle w:val="Final"/>
        <w:numPr>
          <w:ilvl w:val="0"/>
          <w:numId w:val="28"/>
        </w:numPr>
        <w:spacing w:after="480"/>
        <w:ind w:left="0" w:firstLine="0"/>
      </w:pPr>
      <w:r w:rsidRPr="003328A8">
        <w:rPr>
          <w:rFonts w:eastAsia="SimSun"/>
          <w:szCs w:val="24"/>
        </w:rPr>
        <w:t xml:space="preserve">It is </w:t>
      </w:r>
      <w:r w:rsidRPr="003328A8">
        <w:rPr>
          <w:szCs w:val="24"/>
          <w:lang w:eastAsia="zh-HK"/>
        </w:rPr>
        <w:t>unhelpful</w:t>
      </w:r>
      <w:r w:rsidRPr="003328A8">
        <w:rPr>
          <w:rFonts w:eastAsia="SimSun"/>
          <w:szCs w:val="24"/>
        </w:rPr>
        <w:t xml:space="preserve"> to say that common sense </w:t>
      </w:r>
      <w:r w:rsidRPr="003328A8">
        <w:rPr>
          <w:szCs w:val="24"/>
          <w:lang w:eastAsia="zh-HK"/>
        </w:rPr>
        <w:t xml:space="preserve">dictates </w:t>
      </w:r>
      <w:r w:rsidRPr="003328A8">
        <w:rPr>
          <w:rFonts w:eastAsia="SimSun"/>
          <w:szCs w:val="24"/>
        </w:rPr>
        <w:t>that everyone has relatives</w:t>
      </w:r>
      <w:r w:rsidRPr="003328A8">
        <w:rPr>
          <w:rStyle w:val="FootnoteReference"/>
          <w:rFonts w:eastAsia="SimSun"/>
          <w:szCs w:val="24"/>
        </w:rPr>
        <w:footnoteReference w:id="15"/>
      </w:r>
      <w:r w:rsidRPr="003328A8">
        <w:rPr>
          <w:rFonts w:eastAsia="SimSun"/>
          <w:szCs w:val="24"/>
        </w:rPr>
        <w:t xml:space="preserve">.  </w:t>
      </w:r>
      <w:r w:rsidRPr="003328A8">
        <w:rPr>
          <w:szCs w:val="24"/>
          <w:lang w:eastAsia="zh-HK"/>
        </w:rPr>
        <w:t xml:space="preserve">It only goes to underscore the lack of understanding of what is involved in the situation under consideration.  In determining the cogency of the defence in question, it is not enough </w:t>
      </w:r>
      <w:r w:rsidRPr="003328A8">
        <w:rPr>
          <w:rFonts w:eastAsia="SimSun"/>
          <w:szCs w:val="24"/>
        </w:rPr>
        <w:t xml:space="preserve">just </w:t>
      </w:r>
      <w:r w:rsidRPr="003328A8">
        <w:rPr>
          <w:szCs w:val="24"/>
          <w:lang w:eastAsia="zh-HK"/>
        </w:rPr>
        <w:t xml:space="preserve">to look at </w:t>
      </w:r>
      <w:r w:rsidRPr="003328A8">
        <w:rPr>
          <w:rFonts w:eastAsia="SimSun"/>
          <w:szCs w:val="24"/>
        </w:rPr>
        <w:t xml:space="preserve">how </w:t>
      </w:r>
      <w:r w:rsidRPr="003328A8">
        <w:rPr>
          <w:szCs w:val="24"/>
          <w:lang w:eastAsia="zh-HK"/>
        </w:rPr>
        <w:t xml:space="preserve">the match probabilities have shifted, but the number, </w:t>
      </w:r>
      <w:r w:rsidRPr="003328A8">
        <w:rPr>
          <w:rFonts w:eastAsia="SimSun"/>
          <w:szCs w:val="24"/>
        </w:rPr>
        <w:t xml:space="preserve">age, background and </w:t>
      </w:r>
      <w:r w:rsidRPr="003328A8">
        <w:rPr>
          <w:szCs w:val="24"/>
          <w:lang w:eastAsia="zh-HK"/>
        </w:rPr>
        <w:t xml:space="preserve">physical </w:t>
      </w:r>
      <w:r w:rsidRPr="003328A8">
        <w:rPr>
          <w:rFonts w:eastAsia="SimSun"/>
          <w:szCs w:val="24"/>
        </w:rPr>
        <w:t xml:space="preserve">state of all </w:t>
      </w:r>
      <w:r w:rsidRPr="003328A8">
        <w:rPr>
          <w:szCs w:val="24"/>
          <w:lang w:eastAsia="zh-HK"/>
        </w:rPr>
        <w:t xml:space="preserve">the defendant’s </w:t>
      </w:r>
      <w:r w:rsidRPr="003328A8">
        <w:rPr>
          <w:rFonts w:eastAsia="SimSun"/>
          <w:szCs w:val="24"/>
        </w:rPr>
        <w:t xml:space="preserve">relatives </w:t>
      </w:r>
      <w:r w:rsidRPr="003328A8">
        <w:rPr>
          <w:szCs w:val="24"/>
          <w:lang w:eastAsia="zh-HK"/>
        </w:rPr>
        <w:t xml:space="preserve">should be taken into account to see if some or all of them are at least </w:t>
      </w:r>
      <w:r w:rsidRPr="003328A8">
        <w:rPr>
          <w:i/>
          <w:szCs w:val="24"/>
          <w:lang w:eastAsia="zh-HK"/>
        </w:rPr>
        <w:t>prima facie</w:t>
      </w:r>
      <w:r w:rsidRPr="003328A8">
        <w:rPr>
          <w:szCs w:val="24"/>
          <w:lang w:eastAsia="zh-HK"/>
        </w:rPr>
        <w:t xml:space="preserve"> capable of being</w:t>
      </w:r>
      <w:r w:rsidRPr="003328A8">
        <w:rPr>
          <w:rFonts w:eastAsia="SimSun"/>
          <w:szCs w:val="24"/>
        </w:rPr>
        <w:t xml:space="preserve"> the real perpetrator.</w:t>
      </w:r>
      <w:r w:rsidRPr="003328A8">
        <w:rPr>
          <w:szCs w:val="24"/>
          <w:lang w:eastAsia="zh-HK"/>
        </w:rPr>
        <w:t xml:space="preserve">  It follows that, in the absence of any indication of the need to do so, it would neither be fair nor realistic to expect the prosecution to volunteer in advance the kind of statistical evidence </w:t>
      </w:r>
      <w:r w:rsidRPr="003328A8">
        <w:rPr>
          <w:rFonts w:eastAsia="SimSun"/>
          <w:szCs w:val="24"/>
        </w:rPr>
        <w:t>being discussed</w:t>
      </w:r>
      <w:r w:rsidRPr="003328A8">
        <w:rPr>
          <w:szCs w:val="24"/>
          <w:lang w:eastAsia="zh-HK"/>
        </w:rPr>
        <w:t xml:space="preserve">.  Without any evidence </w:t>
      </w:r>
      <w:r w:rsidRPr="003328A8">
        <w:rPr>
          <w:rFonts w:eastAsia="SimSun"/>
          <w:szCs w:val="24"/>
        </w:rPr>
        <w:t xml:space="preserve">in respect of </w:t>
      </w:r>
      <w:r w:rsidRPr="003328A8">
        <w:rPr>
          <w:szCs w:val="24"/>
          <w:lang w:eastAsia="zh-HK"/>
        </w:rPr>
        <w:t xml:space="preserve">the </w:t>
      </w:r>
      <w:r w:rsidRPr="003328A8">
        <w:rPr>
          <w:szCs w:val="24"/>
          <w:lang w:eastAsia="zh-HK"/>
        </w:rPr>
        <w:lastRenderedPageBreak/>
        <w:t>relatives, match probabilities that take into account the existence of relatives are of very limited value to the tribunal of fact.</w:t>
      </w:r>
    </w:p>
    <w:p w:rsidR="00756BEE" w:rsidRPr="00063B67" w:rsidRDefault="00EC1C45" w:rsidP="00756BEE">
      <w:pPr>
        <w:pStyle w:val="Final"/>
        <w:numPr>
          <w:ilvl w:val="0"/>
          <w:numId w:val="28"/>
        </w:numPr>
        <w:spacing w:after="480"/>
        <w:ind w:left="0" w:firstLine="0"/>
      </w:pPr>
      <w:r w:rsidRPr="003328A8">
        <w:rPr>
          <w:szCs w:val="24"/>
          <w:lang w:eastAsia="zh-HK"/>
        </w:rPr>
        <w:t>Likewise, it</w:t>
      </w:r>
      <w:r w:rsidRPr="003328A8">
        <w:rPr>
          <w:rFonts w:eastAsia="SimSun"/>
          <w:szCs w:val="24"/>
        </w:rPr>
        <w:t xml:space="preserve"> cannot be said that</w:t>
      </w:r>
      <w:r w:rsidRPr="003328A8">
        <w:rPr>
          <w:szCs w:val="24"/>
          <w:lang w:eastAsia="zh-HK"/>
        </w:rPr>
        <w:t xml:space="preserve"> because a certain point has succeeded in a certain court at</w:t>
      </w:r>
      <w:r w:rsidRPr="003328A8">
        <w:rPr>
          <w:rFonts w:eastAsia="SimSun"/>
          <w:szCs w:val="24"/>
        </w:rPr>
        <w:t xml:space="preserve"> first instance, the prosecuting authorities as a whole </w:t>
      </w:r>
      <w:r w:rsidRPr="003328A8">
        <w:rPr>
          <w:szCs w:val="24"/>
          <w:lang w:eastAsia="zh-HK"/>
        </w:rPr>
        <w:t>ha</w:t>
      </w:r>
      <w:r w:rsidRPr="003328A8">
        <w:rPr>
          <w:rFonts w:eastAsia="SimSun"/>
          <w:szCs w:val="24"/>
        </w:rPr>
        <w:t>ve</w:t>
      </w:r>
      <w:r w:rsidRPr="003328A8">
        <w:rPr>
          <w:szCs w:val="24"/>
          <w:lang w:eastAsia="zh-HK"/>
        </w:rPr>
        <w:t xml:space="preserve"> been</w:t>
      </w:r>
      <w:r w:rsidRPr="003328A8">
        <w:rPr>
          <w:rFonts w:eastAsia="SimSun"/>
          <w:szCs w:val="24"/>
        </w:rPr>
        <w:t xml:space="preserve"> put on notice to anticipate the same </w:t>
      </w:r>
      <w:r w:rsidRPr="003328A8">
        <w:rPr>
          <w:szCs w:val="24"/>
          <w:lang w:eastAsia="zh-HK"/>
        </w:rPr>
        <w:t xml:space="preserve">submission being made </w:t>
      </w:r>
      <w:r w:rsidRPr="003328A8">
        <w:rPr>
          <w:rFonts w:eastAsia="SimSun"/>
          <w:szCs w:val="24"/>
        </w:rPr>
        <w:t xml:space="preserve">in </w:t>
      </w:r>
      <w:r w:rsidRPr="003328A8">
        <w:rPr>
          <w:szCs w:val="24"/>
          <w:lang w:eastAsia="zh-HK"/>
        </w:rPr>
        <w:t xml:space="preserve">all </w:t>
      </w:r>
      <w:r w:rsidRPr="003328A8">
        <w:rPr>
          <w:rFonts w:eastAsia="SimSun"/>
          <w:szCs w:val="24"/>
        </w:rPr>
        <w:t>subsequent cases</w:t>
      </w:r>
      <w:r w:rsidRPr="003328A8">
        <w:rPr>
          <w:rStyle w:val="FootnoteReference"/>
          <w:rFonts w:eastAsia="SimSun"/>
          <w:szCs w:val="24"/>
        </w:rPr>
        <w:footnoteReference w:id="16"/>
      </w:r>
      <w:r w:rsidRPr="003328A8">
        <w:rPr>
          <w:rFonts w:eastAsia="SimSun"/>
          <w:szCs w:val="24"/>
        </w:rPr>
        <w:t xml:space="preserve">.  </w:t>
      </w:r>
      <w:r w:rsidRPr="003328A8">
        <w:rPr>
          <w:szCs w:val="24"/>
          <w:lang w:eastAsia="zh-HK"/>
        </w:rPr>
        <w:t>The correctness or otherwise of the first instance decision aside</w:t>
      </w:r>
      <w:r w:rsidRPr="003328A8">
        <w:rPr>
          <w:rFonts w:eastAsia="SimSun"/>
          <w:szCs w:val="24"/>
        </w:rPr>
        <w:t xml:space="preserve">, this </w:t>
      </w:r>
      <w:r w:rsidRPr="003328A8">
        <w:rPr>
          <w:szCs w:val="24"/>
          <w:lang w:eastAsia="zh-HK"/>
        </w:rPr>
        <w:t xml:space="preserve">area </w:t>
      </w:r>
      <w:r w:rsidRPr="003328A8">
        <w:rPr>
          <w:rFonts w:eastAsia="SimSun"/>
          <w:szCs w:val="24"/>
        </w:rPr>
        <w:t>is a fact sensitive area which does not lend itself to generalization.</w:t>
      </w:r>
    </w:p>
    <w:p w:rsidR="00756BEE" w:rsidRPr="00063B67" w:rsidRDefault="00EC1C45" w:rsidP="00756BEE">
      <w:pPr>
        <w:pStyle w:val="Final"/>
        <w:numPr>
          <w:ilvl w:val="0"/>
          <w:numId w:val="28"/>
        </w:numPr>
        <w:spacing w:after="480"/>
        <w:ind w:left="0" w:firstLine="0"/>
      </w:pPr>
      <w:r w:rsidRPr="003328A8">
        <w:rPr>
          <w:szCs w:val="24"/>
          <w:lang w:eastAsia="zh-HK"/>
        </w:rPr>
        <w:t xml:space="preserve">We are </w:t>
      </w:r>
      <w:proofErr w:type="spellStart"/>
      <w:r w:rsidRPr="003328A8">
        <w:rPr>
          <w:rFonts w:eastAsia="SimSun"/>
          <w:szCs w:val="24"/>
        </w:rPr>
        <w:t>satisified</w:t>
      </w:r>
      <w:proofErr w:type="spellEnd"/>
      <w:r w:rsidRPr="003328A8">
        <w:rPr>
          <w:szCs w:val="24"/>
          <w:lang w:eastAsia="zh-HK"/>
        </w:rPr>
        <w:t xml:space="preserve"> that Ground 1 must fail.</w:t>
      </w:r>
    </w:p>
    <w:p w:rsidR="00EC1C45" w:rsidRPr="007256F3" w:rsidRDefault="00EC1C45" w:rsidP="00EC1C45">
      <w:pPr>
        <w:pStyle w:val="Final"/>
        <w:numPr>
          <w:ilvl w:val="0"/>
          <w:numId w:val="0"/>
        </w:numPr>
        <w:rPr>
          <w:rFonts w:eastAsia="SimSun"/>
          <w:i/>
          <w:szCs w:val="24"/>
        </w:rPr>
      </w:pPr>
      <w:r w:rsidRPr="003328A8">
        <w:rPr>
          <w:i/>
          <w:szCs w:val="24"/>
          <w:lang w:eastAsia="zh-HK"/>
        </w:rPr>
        <w:t>The question of indirect transfer</w:t>
      </w:r>
    </w:p>
    <w:p w:rsidR="00756BEE" w:rsidRPr="00063B67" w:rsidRDefault="00EC1C45" w:rsidP="00756BEE">
      <w:pPr>
        <w:pStyle w:val="Final"/>
        <w:numPr>
          <w:ilvl w:val="0"/>
          <w:numId w:val="28"/>
        </w:numPr>
        <w:spacing w:after="480"/>
        <w:ind w:left="0" w:firstLine="0"/>
      </w:pPr>
      <w:r w:rsidRPr="003328A8">
        <w:rPr>
          <w:szCs w:val="24"/>
          <w:lang w:eastAsia="zh-HK"/>
        </w:rPr>
        <w:t xml:space="preserve">This question can be dealt with shortly.  The scenarios proffered by the appellant are self-evidently speculative.  They fly in the face of the fact that Exhibit P1 was the property of someone who did not reside ordinarily in Hong Kong, and was an item which had been put away for safekeeping in the protection of a container (the plastic box).  The suggestion that the appellant’s DNA may have landed on Exhibit P1 through two chance transfers, once from the appellant and the other time, the intermediary, and only because there </w:t>
      </w:r>
      <w:r w:rsidRPr="003328A8">
        <w:rPr>
          <w:rFonts w:eastAsia="SimSun"/>
          <w:szCs w:val="24"/>
        </w:rPr>
        <w:t>was</w:t>
      </w:r>
      <w:r w:rsidRPr="003328A8">
        <w:rPr>
          <w:szCs w:val="24"/>
          <w:lang w:eastAsia="zh-HK"/>
        </w:rPr>
        <w:t xml:space="preserve"> a small window of opportunity made available by the burglary, is </w:t>
      </w:r>
      <w:r w:rsidRPr="003328A8">
        <w:rPr>
          <w:rFonts w:eastAsia="SimSun"/>
          <w:szCs w:val="24"/>
        </w:rPr>
        <w:t>absurdly speculative</w:t>
      </w:r>
      <w:r w:rsidRPr="003328A8">
        <w:rPr>
          <w:szCs w:val="24"/>
          <w:lang w:eastAsia="zh-HK"/>
        </w:rPr>
        <w:t>.</w:t>
      </w:r>
    </w:p>
    <w:p w:rsidR="00756BEE" w:rsidRPr="00063B67" w:rsidRDefault="00EC1C45" w:rsidP="00756BEE">
      <w:pPr>
        <w:pStyle w:val="Final"/>
        <w:numPr>
          <w:ilvl w:val="0"/>
          <w:numId w:val="28"/>
        </w:numPr>
        <w:spacing w:after="480"/>
        <w:ind w:left="0" w:firstLine="0"/>
      </w:pPr>
      <w:r w:rsidRPr="003328A8">
        <w:rPr>
          <w:szCs w:val="24"/>
          <w:lang w:eastAsia="zh-HK"/>
        </w:rPr>
        <w:t xml:space="preserve">The </w:t>
      </w:r>
      <w:r w:rsidRPr="003328A8">
        <w:rPr>
          <w:rFonts w:eastAsia="SimSun"/>
          <w:szCs w:val="24"/>
        </w:rPr>
        <w:t xml:space="preserve">judgments of the Court of Appeal of </w:t>
      </w:r>
      <w:r w:rsidRPr="003328A8">
        <w:rPr>
          <w:szCs w:val="24"/>
          <w:lang w:eastAsia="zh-HK"/>
        </w:rPr>
        <w:t>Engl</w:t>
      </w:r>
      <w:r w:rsidRPr="003328A8">
        <w:rPr>
          <w:rFonts w:eastAsia="SimSun"/>
          <w:szCs w:val="24"/>
        </w:rPr>
        <w:t>and and Wales</w:t>
      </w:r>
      <w:r w:rsidRPr="003328A8">
        <w:rPr>
          <w:rStyle w:val="FootnoteReference"/>
          <w:szCs w:val="24"/>
          <w:lang w:eastAsia="zh-HK"/>
        </w:rPr>
        <w:footnoteReference w:id="17"/>
      </w:r>
      <w:r w:rsidRPr="003328A8">
        <w:rPr>
          <w:szCs w:val="24"/>
          <w:lang w:eastAsia="zh-HK"/>
        </w:rPr>
        <w:t xml:space="preserve"> relied on by the appellant are of no assistance because</w:t>
      </w:r>
      <w:r w:rsidRPr="003328A8">
        <w:rPr>
          <w:rFonts w:eastAsia="SimSun"/>
          <w:szCs w:val="24"/>
        </w:rPr>
        <w:t>,</w:t>
      </w:r>
      <w:r w:rsidRPr="003328A8">
        <w:rPr>
          <w:szCs w:val="24"/>
          <w:lang w:eastAsia="zh-HK"/>
        </w:rPr>
        <w:t xml:space="preserve"> unlike the present </w:t>
      </w:r>
      <w:r w:rsidRPr="003328A8">
        <w:rPr>
          <w:szCs w:val="24"/>
          <w:lang w:eastAsia="zh-HK"/>
        </w:rPr>
        <w:lastRenderedPageBreak/>
        <w:t>case, they pertain to situations where a moveable item containing the defendant’s DNA was left behind at the crime scene by the offender, but the prosecution was unable to disprove the defendant’s denial of owning and knowing why his DNA was on the item.  Since DNA samples cannot be dated (or it may otherwise be shown that the item was in fact stained by the defendant at the time of the offence), it was held in those cases that the defendant’s presence at the crime scene was not established.</w:t>
      </w:r>
    </w:p>
    <w:p w:rsidR="00756BEE" w:rsidRPr="00063B67" w:rsidRDefault="00EC1C45" w:rsidP="00756BEE">
      <w:pPr>
        <w:pStyle w:val="Final"/>
        <w:numPr>
          <w:ilvl w:val="0"/>
          <w:numId w:val="28"/>
        </w:numPr>
        <w:spacing w:after="480"/>
        <w:ind w:left="0" w:firstLine="0"/>
      </w:pPr>
      <w:r w:rsidRPr="003328A8">
        <w:rPr>
          <w:szCs w:val="24"/>
          <w:lang w:eastAsia="zh-HK"/>
        </w:rPr>
        <w:t xml:space="preserve">Interestingly, however, in </w:t>
      </w:r>
      <w:r w:rsidRPr="003328A8">
        <w:rPr>
          <w:i/>
          <w:szCs w:val="24"/>
          <w:lang w:eastAsia="zh-HK"/>
        </w:rPr>
        <w:t>R v Sampson and Kelly</w:t>
      </w:r>
      <w:r w:rsidRPr="003328A8">
        <w:rPr>
          <w:szCs w:val="24"/>
          <w:lang w:eastAsia="zh-HK"/>
        </w:rPr>
        <w:t xml:space="preserve"> [2014] EWCA </w:t>
      </w:r>
      <w:proofErr w:type="spellStart"/>
      <w:r w:rsidRPr="003328A8">
        <w:rPr>
          <w:szCs w:val="24"/>
          <w:lang w:eastAsia="zh-HK"/>
        </w:rPr>
        <w:t>Crim</w:t>
      </w:r>
      <w:proofErr w:type="spellEnd"/>
      <w:r w:rsidRPr="003328A8">
        <w:rPr>
          <w:szCs w:val="24"/>
          <w:lang w:eastAsia="zh-HK"/>
        </w:rPr>
        <w:t xml:space="preserve"> 1968, a case concerning the possession of firearms, in distinguishing the line of decisions just mentioned, the Court of Appeal </w:t>
      </w:r>
      <w:r w:rsidRPr="003328A8">
        <w:rPr>
          <w:rFonts w:eastAsia="SimSun"/>
          <w:szCs w:val="24"/>
        </w:rPr>
        <w:t xml:space="preserve">of England and Wales </w:t>
      </w:r>
      <w:r w:rsidRPr="003328A8">
        <w:rPr>
          <w:szCs w:val="24"/>
          <w:lang w:eastAsia="zh-HK"/>
        </w:rPr>
        <w:t>had this to say:</w:t>
      </w:r>
    </w:p>
    <w:p w:rsidR="00EC1C45" w:rsidRPr="00EC1C45" w:rsidRDefault="00EC1C45" w:rsidP="00EC1C45">
      <w:pPr>
        <w:pStyle w:val="ListParagraph"/>
        <w:widowControl/>
        <w:tabs>
          <w:tab w:val="left" w:pos="2552"/>
        </w:tabs>
        <w:snapToGrid w:val="0"/>
        <w:spacing w:before="240" w:after="560"/>
        <w:ind w:leftChars="0" w:left="1411" w:right="893"/>
        <w:jc w:val="both"/>
        <w:rPr>
          <w:rFonts w:ascii="Times New Roman" w:eastAsia="Malgun Gothic" w:hAnsi="Times New Roman"/>
          <w:szCs w:val="24"/>
          <w:lang w:eastAsia="zh-CN"/>
        </w:rPr>
      </w:pPr>
      <w:r w:rsidRPr="00EC1C45">
        <w:rPr>
          <w:rFonts w:ascii="Times New Roman" w:eastAsia="Malgun Gothic" w:hAnsi="Times New Roman"/>
          <w:szCs w:val="24"/>
          <w:lang w:eastAsia="zh-CN"/>
        </w:rPr>
        <w:t>“</w:t>
      </w:r>
      <w:r w:rsidRPr="00EC1C45">
        <w:rPr>
          <w:rFonts w:ascii="Times New Roman" w:hAnsi="Times New Roman"/>
          <w:szCs w:val="24"/>
          <w:lang w:eastAsia="zh-HK"/>
        </w:rPr>
        <w:t>40.</w:t>
      </w:r>
      <w:r w:rsidRPr="00EC1C45">
        <w:rPr>
          <w:rFonts w:ascii="Times New Roman" w:hAnsi="Times New Roman"/>
          <w:szCs w:val="24"/>
          <w:lang w:eastAsia="zh-HK"/>
        </w:rPr>
        <w:tab/>
        <w:t>…. we consider that these decisions are distinguishable.  The present case differs from all these cases in that the presence of DNA is not relied on as evidence of the presence of the defendant at a particular place at a particular time; rather the essence of the offence is possession of the article.  So there is a much closer connection between the DNA evidence and the commission of the offence.  The presence of DNA on the article, on the muzzle of a gun in this case, is capable of being evidence of possession of that article ….</w:t>
      </w:r>
      <w:r w:rsidRPr="00EC1C45">
        <w:rPr>
          <w:rFonts w:ascii="Times New Roman" w:eastAsia="Malgun Gothic" w:hAnsi="Times New Roman"/>
          <w:szCs w:val="24"/>
          <w:lang w:eastAsia="zh-CN"/>
        </w:rPr>
        <w:t>”</w:t>
      </w:r>
    </w:p>
    <w:p w:rsidR="00756BEE" w:rsidRDefault="00EC1C45" w:rsidP="00EC1C45">
      <w:pPr>
        <w:pStyle w:val="Final"/>
        <w:numPr>
          <w:ilvl w:val="0"/>
          <w:numId w:val="0"/>
        </w:numPr>
        <w:spacing w:after="480"/>
      </w:pPr>
      <w:r w:rsidRPr="003328A8">
        <w:rPr>
          <w:szCs w:val="24"/>
          <w:lang w:eastAsia="zh-HK"/>
        </w:rPr>
        <w:t xml:space="preserve">Considering that Exhibit P1 was not an item extraneous to the burgled premises, but was an item situated within them, we find the above remarks to be, </w:t>
      </w:r>
      <w:r w:rsidRPr="003328A8">
        <w:rPr>
          <w:i/>
          <w:szCs w:val="24"/>
          <w:lang w:eastAsia="zh-HK"/>
        </w:rPr>
        <w:t>mutatis mutandis</w:t>
      </w:r>
      <w:r w:rsidRPr="003328A8">
        <w:rPr>
          <w:szCs w:val="24"/>
          <w:lang w:eastAsia="zh-HK"/>
        </w:rPr>
        <w:t>, applicable to our situation.</w:t>
      </w:r>
    </w:p>
    <w:p w:rsidR="00756BEE" w:rsidRPr="00063B67" w:rsidRDefault="00EC1C45" w:rsidP="00756BEE">
      <w:pPr>
        <w:pStyle w:val="Final"/>
        <w:numPr>
          <w:ilvl w:val="0"/>
          <w:numId w:val="28"/>
        </w:numPr>
        <w:spacing w:after="480"/>
        <w:ind w:left="0" w:firstLine="0"/>
      </w:pPr>
      <w:r w:rsidRPr="003328A8">
        <w:rPr>
          <w:szCs w:val="24"/>
          <w:lang w:eastAsia="zh-HK"/>
        </w:rPr>
        <w:t>Ground 3 must also fail.</w:t>
      </w:r>
    </w:p>
    <w:p w:rsidR="00EC1C45" w:rsidRPr="007256F3" w:rsidRDefault="00EC1C45" w:rsidP="00F6741E">
      <w:pPr>
        <w:pStyle w:val="Final"/>
        <w:keepNext/>
        <w:numPr>
          <w:ilvl w:val="0"/>
          <w:numId w:val="0"/>
        </w:numPr>
        <w:rPr>
          <w:rFonts w:eastAsia="SimSun"/>
          <w:i/>
          <w:szCs w:val="24"/>
        </w:rPr>
      </w:pPr>
      <w:r w:rsidRPr="003328A8">
        <w:rPr>
          <w:i/>
          <w:szCs w:val="24"/>
          <w:lang w:eastAsia="zh-HK"/>
        </w:rPr>
        <w:lastRenderedPageBreak/>
        <w:t>The overall safety of the conviction</w:t>
      </w:r>
    </w:p>
    <w:p w:rsidR="00756BEE" w:rsidRPr="00063B67" w:rsidRDefault="00EC1C45" w:rsidP="00756BEE">
      <w:pPr>
        <w:pStyle w:val="Final"/>
        <w:numPr>
          <w:ilvl w:val="0"/>
          <w:numId w:val="28"/>
        </w:numPr>
        <w:spacing w:after="480"/>
        <w:ind w:left="0" w:firstLine="0"/>
      </w:pPr>
      <w:r w:rsidRPr="003328A8">
        <w:rPr>
          <w:szCs w:val="24"/>
          <w:lang w:eastAsia="zh-HK"/>
        </w:rPr>
        <w:t xml:space="preserve">In the course of oral argument, we have made several observations.   The first was that the Random Match Probability (“RMP”), represented in this case by the figure </w:t>
      </w:r>
      <w:r w:rsidRPr="003328A8">
        <w:rPr>
          <w:rFonts w:eastAsia="SimSun"/>
          <w:szCs w:val="24"/>
        </w:rPr>
        <w:t>“</w:t>
      </w:r>
      <w:r w:rsidRPr="003328A8">
        <w:rPr>
          <w:szCs w:val="24"/>
          <w:lang w:eastAsia="zh-HK"/>
        </w:rPr>
        <w:t>1 in 11.7 quadrillion</w:t>
      </w:r>
      <w:r w:rsidRPr="003328A8">
        <w:rPr>
          <w:rFonts w:eastAsia="SimSun"/>
          <w:szCs w:val="24"/>
        </w:rPr>
        <w:t>”</w:t>
      </w:r>
      <w:r w:rsidRPr="003328A8">
        <w:rPr>
          <w:szCs w:val="24"/>
          <w:lang w:eastAsia="zh-HK"/>
        </w:rPr>
        <w:t xml:space="preserve">, is an altogether different concept from that which gave rise to the probabilities </w:t>
      </w:r>
      <w:r w:rsidRPr="003328A8">
        <w:rPr>
          <w:rFonts w:eastAsia="SimSun"/>
          <w:szCs w:val="24"/>
        </w:rPr>
        <w:t>“</w:t>
      </w:r>
      <w:r w:rsidRPr="003328A8">
        <w:rPr>
          <w:szCs w:val="24"/>
          <w:lang w:eastAsia="zh-HK"/>
        </w:rPr>
        <w:t>1 in 1.81 million, 1 in 11 trillion and 1 in 811 trillion</w:t>
      </w:r>
      <w:r w:rsidRPr="003328A8">
        <w:rPr>
          <w:rFonts w:eastAsia="SimSun"/>
          <w:szCs w:val="24"/>
        </w:rPr>
        <w:t>”</w:t>
      </w:r>
      <w:r w:rsidRPr="003328A8">
        <w:rPr>
          <w:szCs w:val="24"/>
          <w:lang w:eastAsia="zh-HK"/>
        </w:rPr>
        <w:t>.</w:t>
      </w:r>
    </w:p>
    <w:p w:rsidR="00756BEE" w:rsidRPr="00063B67" w:rsidRDefault="00EC1C45" w:rsidP="00756BEE">
      <w:pPr>
        <w:pStyle w:val="Final"/>
        <w:numPr>
          <w:ilvl w:val="0"/>
          <w:numId w:val="28"/>
        </w:numPr>
        <w:spacing w:after="480"/>
        <w:ind w:left="0" w:firstLine="0"/>
      </w:pPr>
      <w:r w:rsidRPr="003328A8">
        <w:rPr>
          <w:szCs w:val="24"/>
          <w:lang w:eastAsia="zh-HK"/>
        </w:rPr>
        <w:t>That this is so is clear from Ms Wong’s reports for, at the bottom of the table annexed to Exhibit P10, it is stated:</w:t>
      </w:r>
    </w:p>
    <w:p w:rsidR="00EC1C45" w:rsidRPr="00EC1C45" w:rsidRDefault="00EC1C45" w:rsidP="00EC1C45">
      <w:pPr>
        <w:pStyle w:val="ListParagraph"/>
        <w:widowControl/>
        <w:tabs>
          <w:tab w:val="left" w:pos="2552"/>
        </w:tabs>
        <w:snapToGrid w:val="0"/>
        <w:spacing w:before="240" w:after="560"/>
        <w:ind w:leftChars="0" w:left="1411" w:right="893"/>
        <w:jc w:val="both"/>
        <w:rPr>
          <w:rFonts w:ascii="Times New Roman" w:eastAsia="Malgun Gothic" w:hAnsi="Times New Roman"/>
          <w:szCs w:val="24"/>
          <w:lang w:eastAsia="zh-CN"/>
        </w:rPr>
      </w:pPr>
      <w:r w:rsidRPr="00EC1C45">
        <w:rPr>
          <w:rFonts w:ascii="Times New Roman" w:eastAsia="Malgun Gothic" w:hAnsi="Times New Roman"/>
          <w:szCs w:val="24"/>
          <w:lang w:eastAsia="zh-CN"/>
        </w:rPr>
        <w:t>“</w:t>
      </w:r>
      <w:r w:rsidRPr="00EC1C45">
        <w:rPr>
          <w:rFonts w:ascii="Times New Roman" w:hAnsi="Times New Roman"/>
          <w:szCs w:val="24"/>
          <w:lang w:eastAsia="zh-HK"/>
        </w:rPr>
        <w:t xml:space="preserve">RMP refers to the approximate combined random match probability of the particular combination of DNA types that a randomly selected person in the local Chinese population unrelated to the possible donor as stated in the ‘possible source’ column above </w:t>
      </w:r>
      <w:r w:rsidRPr="00EC1C45">
        <w:rPr>
          <w:rFonts w:ascii="Times New Roman" w:hAnsi="Times New Roman"/>
          <w:i/>
          <w:szCs w:val="24"/>
          <w:lang w:eastAsia="zh-HK"/>
        </w:rPr>
        <w:t>[namely the appellant]</w:t>
      </w:r>
      <w:r w:rsidRPr="00EC1C45">
        <w:rPr>
          <w:rFonts w:ascii="Times New Roman" w:hAnsi="Times New Roman"/>
          <w:szCs w:val="24"/>
          <w:lang w:eastAsia="zh-HK"/>
        </w:rPr>
        <w:t xml:space="preserve"> would have the matching DNA types found.</w:t>
      </w:r>
      <w:r w:rsidRPr="00EC1C45">
        <w:rPr>
          <w:rFonts w:ascii="Times New Roman" w:eastAsia="Malgun Gothic" w:hAnsi="Times New Roman"/>
          <w:szCs w:val="24"/>
          <w:lang w:eastAsia="zh-CN"/>
        </w:rPr>
        <w:t>”</w:t>
      </w:r>
    </w:p>
    <w:p w:rsidR="00EC1C45" w:rsidRDefault="00EC1C45" w:rsidP="00EC1C45">
      <w:pPr>
        <w:pStyle w:val="Final"/>
        <w:numPr>
          <w:ilvl w:val="0"/>
          <w:numId w:val="0"/>
        </w:numPr>
        <w:spacing w:after="480"/>
      </w:pPr>
      <w:r w:rsidRPr="003328A8">
        <w:rPr>
          <w:szCs w:val="24"/>
          <w:lang w:eastAsia="zh-HK"/>
        </w:rPr>
        <w:t>The emphasis is on the words “randomly selected person unrelated to the possible donor”.</w:t>
      </w:r>
    </w:p>
    <w:p w:rsidR="00756BEE" w:rsidRPr="00063B67" w:rsidRDefault="00EC1C45" w:rsidP="00756BEE">
      <w:pPr>
        <w:pStyle w:val="Final"/>
        <w:numPr>
          <w:ilvl w:val="0"/>
          <w:numId w:val="28"/>
        </w:numPr>
        <w:spacing w:after="480"/>
        <w:ind w:left="0" w:firstLine="0"/>
      </w:pPr>
      <w:r w:rsidRPr="003328A8">
        <w:rPr>
          <w:szCs w:val="24"/>
          <w:lang w:eastAsia="zh-HK"/>
        </w:rPr>
        <w:t xml:space="preserve">As for the three numerically expressed probabilities, </w:t>
      </w:r>
      <w:r w:rsidRPr="003328A8">
        <w:rPr>
          <w:i/>
          <w:szCs w:val="24"/>
          <w:lang w:eastAsia="zh-HK"/>
        </w:rPr>
        <w:t>re</w:t>
      </w:r>
      <w:r w:rsidRPr="003328A8">
        <w:rPr>
          <w:szCs w:val="24"/>
          <w:lang w:eastAsia="zh-HK"/>
        </w:rPr>
        <w:t xml:space="preserve"> full sibling, uncle/nephew and first cousin, respectively, it is explained under the “introduction” section in Exhibit P13, that:</w:t>
      </w:r>
    </w:p>
    <w:p w:rsidR="00BB3A76" w:rsidRPr="00006BBC" w:rsidRDefault="00BB3A76" w:rsidP="00BB3A76">
      <w:pPr>
        <w:pStyle w:val="ListParagraph"/>
        <w:widowControl/>
        <w:tabs>
          <w:tab w:val="left" w:pos="2552"/>
        </w:tabs>
        <w:snapToGrid w:val="0"/>
        <w:spacing w:before="240" w:after="560"/>
        <w:ind w:leftChars="0" w:left="1411" w:right="893"/>
        <w:jc w:val="both"/>
        <w:rPr>
          <w:rFonts w:ascii="Times New Roman" w:eastAsia="Malgun Gothic" w:hAnsi="Times New Roman"/>
          <w:szCs w:val="24"/>
          <w:lang w:eastAsia="zh-CN"/>
        </w:rPr>
      </w:pPr>
      <w:r w:rsidRPr="00006BBC">
        <w:rPr>
          <w:rFonts w:ascii="Times New Roman" w:eastAsia="Malgun Gothic" w:hAnsi="Times New Roman"/>
          <w:szCs w:val="24"/>
          <w:lang w:eastAsia="zh-CN"/>
        </w:rPr>
        <w:t>“</w:t>
      </w:r>
      <w:r w:rsidR="00006BBC" w:rsidRPr="00006BBC">
        <w:rPr>
          <w:rFonts w:ascii="Times New Roman" w:hAnsi="Times New Roman"/>
          <w:szCs w:val="24"/>
          <w:lang w:eastAsia="zh-HK"/>
        </w:rPr>
        <w:t>The purpose of this statement is to evaluate the match probabilities that a particular relative of the possible donor as stated in the ‘possible source’ column in the Appendix of my previous statement</w:t>
      </w:r>
      <w:r w:rsidR="00006BBC" w:rsidRPr="00006BBC">
        <w:rPr>
          <w:rFonts w:ascii="Times New Roman" w:hAnsi="Times New Roman"/>
          <w:i/>
          <w:szCs w:val="24"/>
          <w:lang w:eastAsia="zh-HK"/>
        </w:rPr>
        <w:t xml:space="preserve"> [namely the appellant] </w:t>
      </w:r>
      <w:r w:rsidR="00006BBC" w:rsidRPr="00006BBC">
        <w:rPr>
          <w:rFonts w:ascii="Times New Roman" w:hAnsi="Times New Roman"/>
          <w:szCs w:val="24"/>
          <w:lang w:eastAsia="zh-HK"/>
        </w:rPr>
        <w:t xml:space="preserve">…. </w:t>
      </w:r>
      <w:proofErr w:type="gramStart"/>
      <w:r w:rsidR="00006BBC" w:rsidRPr="00006BBC">
        <w:rPr>
          <w:rFonts w:ascii="Times New Roman" w:hAnsi="Times New Roman"/>
          <w:szCs w:val="24"/>
          <w:lang w:eastAsia="zh-HK"/>
        </w:rPr>
        <w:t>would</w:t>
      </w:r>
      <w:proofErr w:type="gramEnd"/>
      <w:r w:rsidR="00006BBC" w:rsidRPr="00006BBC">
        <w:rPr>
          <w:rFonts w:ascii="Times New Roman" w:hAnsi="Times New Roman"/>
          <w:szCs w:val="24"/>
          <w:lang w:eastAsia="zh-HK"/>
        </w:rPr>
        <w:t xml:space="preserve"> possess the incriminating DNA profile.</w:t>
      </w:r>
      <w:r w:rsidRPr="00006BBC">
        <w:rPr>
          <w:rFonts w:ascii="Times New Roman" w:eastAsia="Malgun Gothic" w:hAnsi="Times New Roman"/>
          <w:szCs w:val="24"/>
          <w:lang w:eastAsia="zh-CN"/>
        </w:rPr>
        <w:t>”</w:t>
      </w:r>
    </w:p>
    <w:p w:rsidR="00BB3A76" w:rsidRPr="00BB3A76" w:rsidRDefault="00006BBC" w:rsidP="00BB3A76">
      <w:pPr>
        <w:pStyle w:val="Final"/>
        <w:numPr>
          <w:ilvl w:val="0"/>
          <w:numId w:val="0"/>
        </w:numPr>
        <w:spacing w:after="480"/>
        <w:rPr>
          <w:lang w:val="en-US"/>
        </w:rPr>
      </w:pPr>
      <w:r w:rsidRPr="003328A8">
        <w:rPr>
          <w:szCs w:val="24"/>
          <w:lang w:eastAsia="zh-HK"/>
        </w:rPr>
        <w:t>The emphasis is on the words “relative of the possible donor”.</w:t>
      </w:r>
    </w:p>
    <w:p w:rsidR="00756BEE" w:rsidRPr="00063B67" w:rsidRDefault="00006BBC" w:rsidP="00756BEE">
      <w:pPr>
        <w:pStyle w:val="Final"/>
        <w:numPr>
          <w:ilvl w:val="0"/>
          <w:numId w:val="28"/>
        </w:numPr>
        <w:spacing w:after="480"/>
        <w:ind w:left="0" w:firstLine="0"/>
      </w:pPr>
      <w:r w:rsidRPr="003328A8">
        <w:rPr>
          <w:szCs w:val="24"/>
          <w:lang w:eastAsia="zh-HK"/>
        </w:rPr>
        <w:lastRenderedPageBreak/>
        <w:t xml:space="preserve">Our second observation was that, whilst under cross- examination, and once when the judge was asking </w:t>
      </w:r>
      <w:r w:rsidRPr="003328A8">
        <w:rPr>
          <w:rFonts w:eastAsia="SimSun"/>
          <w:szCs w:val="24"/>
        </w:rPr>
        <w:t xml:space="preserve">her </w:t>
      </w:r>
      <w:r w:rsidRPr="003328A8">
        <w:rPr>
          <w:szCs w:val="24"/>
          <w:lang w:eastAsia="zh-HK"/>
        </w:rPr>
        <w:t>questions, Ms Wong had failed to make clear the distinction between the RMP and relative-based probabilities.  We shall, however, be slow to be too critical of the expert.  As the transcripts show, such instances of compromise of definition, three by our count</w:t>
      </w:r>
      <w:r w:rsidRPr="003328A8">
        <w:rPr>
          <w:rStyle w:val="FootnoteReference"/>
          <w:szCs w:val="24"/>
          <w:lang w:eastAsia="zh-HK"/>
        </w:rPr>
        <w:footnoteReference w:id="18"/>
      </w:r>
      <w:r w:rsidRPr="003328A8">
        <w:rPr>
          <w:szCs w:val="24"/>
          <w:lang w:eastAsia="zh-HK"/>
        </w:rPr>
        <w:t xml:space="preserve">, were </w:t>
      </w:r>
      <w:r w:rsidRPr="003328A8">
        <w:rPr>
          <w:rFonts w:eastAsia="SimSun"/>
          <w:szCs w:val="24"/>
        </w:rPr>
        <w:t>at least partly</w:t>
      </w:r>
      <w:r w:rsidRPr="003328A8">
        <w:rPr>
          <w:szCs w:val="24"/>
          <w:lang w:eastAsia="zh-HK"/>
        </w:rPr>
        <w:t xml:space="preserve"> committed in the course of answering leading questions.</w:t>
      </w:r>
    </w:p>
    <w:p w:rsidR="00756BEE" w:rsidRPr="00063B67" w:rsidRDefault="00006BBC" w:rsidP="00756BEE">
      <w:pPr>
        <w:pStyle w:val="Final"/>
        <w:numPr>
          <w:ilvl w:val="0"/>
          <w:numId w:val="28"/>
        </w:numPr>
        <w:spacing w:after="480"/>
        <w:ind w:left="0" w:firstLine="0"/>
      </w:pPr>
      <w:r w:rsidRPr="003328A8">
        <w:rPr>
          <w:rFonts w:eastAsia="SimSun"/>
          <w:szCs w:val="24"/>
        </w:rPr>
        <w:t>For an illustration of how it happened, the two instances that took place in cross-examination, one following the other in close sequence, are reproduced below</w:t>
      </w:r>
      <w:r w:rsidRPr="003328A8">
        <w:rPr>
          <w:rStyle w:val="FootnoteReference"/>
          <w:rFonts w:eastAsia="SimSun"/>
          <w:szCs w:val="24"/>
        </w:rPr>
        <w:footnoteReference w:id="19"/>
      </w:r>
      <w:r w:rsidRPr="003328A8">
        <w:rPr>
          <w:szCs w:val="24"/>
          <w:lang w:eastAsia="zh-HK"/>
        </w:rPr>
        <w:t>:</w:t>
      </w:r>
    </w:p>
    <w:p w:rsidR="00006BBC" w:rsidRPr="00006BBC" w:rsidRDefault="00006BBC" w:rsidP="00006BBC">
      <w:pPr>
        <w:pStyle w:val="ListParagraph"/>
        <w:widowControl/>
        <w:tabs>
          <w:tab w:val="left" w:pos="1440"/>
        </w:tabs>
        <w:snapToGrid w:val="0"/>
        <w:spacing w:before="240" w:after="400"/>
        <w:ind w:leftChars="0" w:left="2160" w:right="893" w:hanging="900"/>
        <w:jc w:val="both"/>
        <w:rPr>
          <w:rFonts w:ascii="Times New Roman" w:eastAsia="SimSun" w:hAnsi="Times New Roman"/>
          <w:szCs w:val="24"/>
          <w:lang w:eastAsia="zh-CN"/>
        </w:rPr>
      </w:pPr>
      <w:r w:rsidRPr="00006BBC">
        <w:rPr>
          <w:rFonts w:ascii="Times New Roman" w:eastAsia="SimSun" w:hAnsi="Times New Roman"/>
          <w:szCs w:val="24"/>
          <w:lang w:eastAsia="zh-CN"/>
        </w:rPr>
        <w:t>“</w:t>
      </w:r>
      <w:r w:rsidRPr="00006BBC">
        <w:rPr>
          <w:rFonts w:ascii="Times New Roman" w:eastAsia="SimSun" w:hAnsi="Times New Roman"/>
          <w:szCs w:val="24"/>
          <w:lang w:eastAsia="zh-CN"/>
        </w:rPr>
        <w:tab/>
        <w:t>Q.</w:t>
      </w:r>
      <w:r w:rsidRPr="00006BBC">
        <w:rPr>
          <w:rFonts w:ascii="Times New Roman" w:eastAsia="SimSun" w:hAnsi="Times New Roman"/>
          <w:szCs w:val="24"/>
          <w:lang w:eastAsia="zh-CN"/>
        </w:rPr>
        <w:tab/>
      </w:r>
      <w:r w:rsidRPr="00006BBC">
        <w:rPr>
          <w:rFonts w:ascii="Times New Roman" w:eastAsia="Malgun Gothic" w:hAnsi="Times New Roman"/>
          <w:szCs w:val="24"/>
        </w:rPr>
        <w:t>Would you agree with me that if the donor of the DNA sample found on the jewel box was committed -- the donor was a relative of the defendant then the random -- the RMP used, the match probability calculation used by you would be quite irrelevant?  It would be grossly overestimated probability, would you agree with me?</w:t>
      </w:r>
    </w:p>
    <w:p w:rsidR="00006BBC" w:rsidRPr="00006BBC" w:rsidRDefault="00006BBC" w:rsidP="00006BBC">
      <w:pPr>
        <w:pStyle w:val="ListParagraph"/>
        <w:widowControl/>
        <w:tabs>
          <w:tab w:val="left" w:pos="1440"/>
        </w:tabs>
        <w:snapToGrid w:val="0"/>
        <w:spacing w:before="240" w:after="400"/>
        <w:ind w:leftChars="0" w:left="2160" w:right="893" w:hanging="749"/>
        <w:jc w:val="both"/>
        <w:rPr>
          <w:rFonts w:ascii="Times New Roman" w:eastAsia="SimSun" w:hAnsi="Times New Roman"/>
          <w:szCs w:val="24"/>
          <w:lang w:eastAsia="zh-CN"/>
        </w:rPr>
      </w:pPr>
      <w:r w:rsidRPr="00006BBC">
        <w:rPr>
          <w:rFonts w:ascii="Times New Roman" w:eastAsia="SimSun" w:hAnsi="Times New Roman"/>
          <w:szCs w:val="24"/>
          <w:lang w:eastAsia="zh-CN"/>
        </w:rPr>
        <w:t>A.</w:t>
      </w:r>
      <w:r w:rsidRPr="00006BBC">
        <w:rPr>
          <w:rFonts w:ascii="Times New Roman" w:eastAsia="SimSun" w:hAnsi="Times New Roman"/>
          <w:szCs w:val="24"/>
          <w:lang w:eastAsia="zh-CN"/>
        </w:rPr>
        <w:tab/>
      </w:r>
      <w:r w:rsidRPr="00006BBC">
        <w:rPr>
          <w:rFonts w:ascii="Times New Roman" w:eastAsia="Malgun Gothic" w:hAnsi="Times New Roman"/>
          <w:szCs w:val="24"/>
        </w:rPr>
        <w:t xml:space="preserve">I can only say if the crime is committed by the relative of the donor then </w:t>
      </w:r>
      <w:r w:rsidRPr="00006BBC">
        <w:rPr>
          <w:rFonts w:ascii="Times New Roman" w:eastAsia="Malgun Gothic" w:hAnsi="Times New Roman"/>
          <w:i/>
          <w:szCs w:val="24"/>
        </w:rPr>
        <w:t>the RMP value will be different</w:t>
      </w:r>
      <w:r w:rsidRPr="00006BBC">
        <w:rPr>
          <w:rFonts w:ascii="Times New Roman" w:eastAsia="Malgun Gothic" w:hAnsi="Times New Roman"/>
          <w:szCs w:val="24"/>
        </w:rPr>
        <w:t>.  We have another calculation for that, for the sibling, for the cousin, for the nephew, for the father, mother, we have different calculation equation.</w:t>
      </w:r>
    </w:p>
    <w:p w:rsidR="00006BBC" w:rsidRPr="00006BBC" w:rsidRDefault="00006BBC" w:rsidP="00006BBC">
      <w:pPr>
        <w:pStyle w:val="ListParagraph"/>
        <w:widowControl/>
        <w:tabs>
          <w:tab w:val="left" w:pos="1440"/>
        </w:tabs>
        <w:snapToGrid w:val="0"/>
        <w:spacing w:before="240" w:after="400"/>
        <w:ind w:leftChars="0" w:left="2160" w:right="893" w:hanging="749"/>
        <w:jc w:val="both"/>
        <w:rPr>
          <w:rFonts w:ascii="Times New Roman" w:eastAsia="SimSun" w:hAnsi="Times New Roman"/>
          <w:szCs w:val="24"/>
          <w:lang w:eastAsia="zh-CN"/>
        </w:rPr>
      </w:pPr>
      <w:r w:rsidRPr="00006BBC">
        <w:rPr>
          <w:rFonts w:ascii="Times New Roman" w:eastAsia="SimSun" w:hAnsi="Times New Roman"/>
          <w:szCs w:val="24"/>
          <w:lang w:eastAsia="zh-CN"/>
        </w:rPr>
        <w:t>Q.</w:t>
      </w:r>
      <w:r w:rsidRPr="00006BBC">
        <w:rPr>
          <w:rFonts w:ascii="Times New Roman" w:eastAsia="SimSun" w:hAnsi="Times New Roman"/>
          <w:szCs w:val="24"/>
          <w:lang w:eastAsia="zh-CN"/>
        </w:rPr>
        <w:tab/>
      </w:r>
      <w:r w:rsidRPr="00006BBC">
        <w:rPr>
          <w:rFonts w:ascii="Times New Roman" w:eastAsia="Malgun Gothic" w:hAnsi="Times New Roman"/>
          <w:szCs w:val="24"/>
        </w:rPr>
        <w:t>But you have not done that calculation in your report.</w:t>
      </w:r>
    </w:p>
    <w:p w:rsidR="00006BBC" w:rsidRPr="00006BBC" w:rsidRDefault="00006BBC" w:rsidP="00006BBC">
      <w:pPr>
        <w:pStyle w:val="ListParagraph"/>
        <w:widowControl/>
        <w:tabs>
          <w:tab w:val="left" w:pos="1440"/>
        </w:tabs>
        <w:snapToGrid w:val="0"/>
        <w:spacing w:before="240" w:after="400"/>
        <w:ind w:leftChars="0" w:left="2160" w:right="893" w:hanging="749"/>
        <w:jc w:val="both"/>
        <w:rPr>
          <w:rFonts w:ascii="Times New Roman" w:eastAsia="SimSun" w:hAnsi="Times New Roman"/>
          <w:szCs w:val="24"/>
          <w:lang w:eastAsia="zh-CN"/>
        </w:rPr>
      </w:pPr>
      <w:r w:rsidRPr="00006BBC">
        <w:rPr>
          <w:rFonts w:ascii="Times New Roman" w:eastAsia="SimSun" w:hAnsi="Times New Roman"/>
          <w:szCs w:val="24"/>
          <w:lang w:eastAsia="zh-CN"/>
        </w:rPr>
        <w:t>A.</w:t>
      </w:r>
      <w:r w:rsidRPr="00006BBC">
        <w:rPr>
          <w:rFonts w:ascii="Times New Roman" w:eastAsia="SimSun" w:hAnsi="Times New Roman"/>
          <w:szCs w:val="24"/>
          <w:lang w:eastAsia="zh-CN"/>
        </w:rPr>
        <w:tab/>
      </w:r>
      <w:r w:rsidRPr="00006BBC">
        <w:rPr>
          <w:rFonts w:ascii="Times New Roman" w:eastAsia="Malgun Gothic" w:hAnsi="Times New Roman"/>
          <w:szCs w:val="24"/>
        </w:rPr>
        <w:t>No, because it’s too many.  We can't do all that</w:t>
      </w:r>
      <w:r w:rsidRPr="00006BBC">
        <w:rPr>
          <w:rStyle w:val="FootnoteReference"/>
          <w:rFonts w:ascii="Times New Roman" w:eastAsia="Malgun Gothic" w:hAnsi="Times New Roman"/>
          <w:sz w:val="24"/>
          <w:szCs w:val="24"/>
        </w:rPr>
        <w:footnoteReference w:id="20"/>
      </w:r>
      <w:r w:rsidRPr="00006BBC">
        <w:rPr>
          <w:rFonts w:ascii="Times New Roman" w:eastAsia="Malgun Gothic" w:hAnsi="Times New Roman"/>
          <w:szCs w:val="24"/>
        </w:rPr>
        <w:t>.</w:t>
      </w:r>
    </w:p>
    <w:p w:rsidR="00006BBC" w:rsidRPr="00006BBC" w:rsidRDefault="00006BBC" w:rsidP="00006BBC">
      <w:pPr>
        <w:pStyle w:val="ListParagraph"/>
        <w:widowControl/>
        <w:tabs>
          <w:tab w:val="left" w:pos="1440"/>
        </w:tabs>
        <w:snapToGrid w:val="0"/>
        <w:spacing w:before="240" w:after="400"/>
        <w:ind w:leftChars="0" w:left="2160" w:right="893" w:hanging="749"/>
        <w:jc w:val="both"/>
        <w:rPr>
          <w:rFonts w:ascii="Times New Roman" w:eastAsia="Malgun Gothic" w:hAnsi="Times New Roman"/>
          <w:szCs w:val="24"/>
        </w:rPr>
      </w:pPr>
      <w:r w:rsidRPr="00006BBC">
        <w:rPr>
          <w:rFonts w:ascii="Times New Roman" w:eastAsia="SimSun" w:hAnsi="Times New Roman"/>
          <w:szCs w:val="24"/>
          <w:lang w:eastAsia="zh-CN"/>
        </w:rPr>
        <w:t>Q.</w:t>
      </w:r>
      <w:r w:rsidRPr="00006BBC">
        <w:rPr>
          <w:rFonts w:ascii="Times New Roman" w:eastAsia="SimSun" w:hAnsi="Times New Roman"/>
          <w:szCs w:val="24"/>
          <w:lang w:eastAsia="zh-CN"/>
        </w:rPr>
        <w:tab/>
      </w:r>
      <w:r w:rsidRPr="00006BBC">
        <w:rPr>
          <w:rFonts w:ascii="Times New Roman" w:eastAsia="Malgun Gothic" w:hAnsi="Times New Roman"/>
          <w:szCs w:val="24"/>
        </w:rPr>
        <w:t xml:space="preserve">Okay, so if relative of the suspect, of the burglar, had committed the crime and if that factor -- if that feature was factored into your calculation, </w:t>
      </w:r>
      <w:r w:rsidRPr="00006BBC">
        <w:rPr>
          <w:rFonts w:ascii="Times New Roman" w:eastAsia="Malgun Gothic" w:hAnsi="Times New Roman"/>
          <w:i/>
          <w:szCs w:val="24"/>
        </w:rPr>
        <w:t xml:space="preserve">your RMP </w:t>
      </w:r>
      <w:r w:rsidRPr="00006BBC">
        <w:rPr>
          <w:rFonts w:ascii="Times New Roman" w:eastAsia="Malgun Gothic" w:hAnsi="Times New Roman"/>
          <w:i/>
          <w:szCs w:val="24"/>
        </w:rPr>
        <w:lastRenderedPageBreak/>
        <w:t>calculation, the calculation would be completely different</w:t>
      </w:r>
      <w:r w:rsidRPr="00006BBC">
        <w:rPr>
          <w:rFonts w:ascii="Times New Roman" w:eastAsia="Malgun Gothic" w:hAnsi="Times New Roman"/>
          <w:szCs w:val="24"/>
        </w:rPr>
        <w:t>.</w:t>
      </w:r>
    </w:p>
    <w:p w:rsidR="00006BBC" w:rsidRPr="00006BBC" w:rsidRDefault="00006BBC" w:rsidP="00006BBC">
      <w:pPr>
        <w:pStyle w:val="ListParagraph"/>
        <w:widowControl/>
        <w:tabs>
          <w:tab w:val="left" w:pos="1440"/>
        </w:tabs>
        <w:snapToGrid w:val="0"/>
        <w:spacing w:before="240" w:after="400"/>
        <w:ind w:leftChars="0" w:left="2160" w:right="893" w:hanging="749"/>
        <w:jc w:val="both"/>
        <w:rPr>
          <w:rFonts w:ascii="Times New Roman" w:eastAsia="SimSun" w:hAnsi="Times New Roman"/>
          <w:szCs w:val="24"/>
          <w:lang w:eastAsia="zh-CN"/>
        </w:rPr>
      </w:pPr>
      <w:r w:rsidRPr="00006BBC">
        <w:rPr>
          <w:rFonts w:ascii="Times New Roman" w:eastAsia="SimSun" w:hAnsi="Times New Roman"/>
          <w:szCs w:val="24"/>
          <w:lang w:eastAsia="zh-CN"/>
        </w:rPr>
        <w:t>A.</w:t>
      </w:r>
      <w:r w:rsidRPr="00006BBC">
        <w:rPr>
          <w:rFonts w:ascii="Times New Roman" w:eastAsia="SimSun" w:hAnsi="Times New Roman"/>
          <w:szCs w:val="24"/>
          <w:lang w:eastAsia="zh-CN"/>
        </w:rPr>
        <w:tab/>
      </w:r>
      <w:r w:rsidRPr="00006BBC">
        <w:rPr>
          <w:rFonts w:ascii="Times New Roman" w:eastAsia="Malgun Gothic" w:hAnsi="Times New Roman"/>
          <w:i/>
          <w:szCs w:val="24"/>
        </w:rPr>
        <w:t>Yes, the value should be different</w:t>
      </w:r>
      <w:r w:rsidRPr="00006BBC">
        <w:rPr>
          <w:rFonts w:ascii="Times New Roman" w:eastAsia="Malgun Gothic" w:hAnsi="Times New Roman"/>
          <w:szCs w:val="24"/>
        </w:rPr>
        <w:t>.</w:t>
      </w:r>
      <w:r w:rsidRPr="00006BBC">
        <w:rPr>
          <w:rFonts w:ascii="Times New Roman" w:eastAsia="SimSun" w:hAnsi="Times New Roman"/>
          <w:szCs w:val="24"/>
          <w:lang w:eastAsia="zh-CN"/>
        </w:rPr>
        <w:t>”</w:t>
      </w:r>
    </w:p>
    <w:p w:rsidR="00006BBC" w:rsidRPr="00006BBC" w:rsidRDefault="00006BBC" w:rsidP="00006BBC">
      <w:pPr>
        <w:pStyle w:val="ListParagraph"/>
        <w:widowControl/>
        <w:tabs>
          <w:tab w:val="left" w:pos="1440"/>
        </w:tabs>
        <w:snapToGrid w:val="0"/>
        <w:spacing w:before="240" w:after="560"/>
        <w:ind w:leftChars="0" w:left="2160" w:right="893" w:hanging="749"/>
        <w:jc w:val="both"/>
        <w:rPr>
          <w:rFonts w:ascii="Times New Roman" w:eastAsia="SimSun" w:hAnsi="Times New Roman"/>
          <w:szCs w:val="24"/>
          <w:lang w:eastAsia="zh-CN"/>
        </w:rPr>
      </w:pPr>
      <w:r w:rsidRPr="00006BBC">
        <w:rPr>
          <w:rFonts w:ascii="Times New Roman" w:eastAsia="SimSun" w:hAnsi="Times New Roman"/>
          <w:szCs w:val="24"/>
          <w:lang w:eastAsia="zh-CN"/>
        </w:rPr>
        <w:t>(</w:t>
      </w:r>
      <w:proofErr w:type="gramStart"/>
      <w:r w:rsidRPr="00006BBC">
        <w:rPr>
          <w:rFonts w:ascii="Times New Roman" w:eastAsia="SimSun" w:hAnsi="Times New Roman"/>
          <w:szCs w:val="24"/>
          <w:lang w:eastAsia="zh-CN"/>
        </w:rPr>
        <w:t>emphasis</w:t>
      </w:r>
      <w:proofErr w:type="gramEnd"/>
      <w:r w:rsidRPr="00006BBC">
        <w:rPr>
          <w:rFonts w:ascii="Times New Roman" w:eastAsia="SimSun" w:hAnsi="Times New Roman"/>
          <w:szCs w:val="24"/>
          <w:lang w:eastAsia="zh-CN"/>
        </w:rPr>
        <w:t xml:space="preserve"> added)</w:t>
      </w:r>
    </w:p>
    <w:p w:rsidR="00756BEE" w:rsidRPr="00063B67" w:rsidRDefault="00006BBC" w:rsidP="00756BEE">
      <w:pPr>
        <w:pStyle w:val="Final"/>
        <w:numPr>
          <w:ilvl w:val="0"/>
          <w:numId w:val="28"/>
        </w:numPr>
        <w:spacing w:after="480"/>
        <w:ind w:left="0" w:firstLine="0"/>
      </w:pPr>
      <w:r w:rsidRPr="003328A8">
        <w:rPr>
          <w:szCs w:val="24"/>
          <w:lang w:eastAsia="zh-HK"/>
        </w:rPr>
        <w:t>This leads us to our third observation, which was that the judge seems never to have been disabused of Ms Wong’s mistake.  There are other examples, but what the judge said in paragraph 54 of his Reasons for Verdict (see under paragraph 15 above) makes that obvious.</w:t>
      </w:r>
    </w:p>
    <w:p w:rsidR="00756BEE" w:rsidRPr="00063B67" w:rsidRDefault="00006BBC" w:rsidP="00756BEE">
      <w:pPr>
        <w:pStyle w:val="Final"/>
        <w:numPr>
          <w:ilvl w:val="0"/>
          <w:numId w:val="28"/>
        </w:numPr>
        <w:spacing w:after="480"/>
        <w:ind w:left="0" w:firstLine="0"/>
      </w:pPr>
      <w:r w:rsidRPr="003328A8">
        <w:rPr>
          <w:szCs w:val="24"/>
          <w:lang w:eastAsia="zh-HK"/>
        </w:rPr>
        <w:t xml:space="preserve">Continuing with that paragraph, we would add that the two questions that the judge took from </w:t>
      </w:r>
      <w:proofErr w:type="spellStart"/>
      <w:r w:rsidRPr="003328A8">
        <w:rPr>
          <w:i/>
          <w:szCs w:val="24"/>
          <w:lang w:eastAsia="zh-HK"/>
        </w:rPr>
        <w:t>Archbold</w:t>
      </w:r>
      <w:proofErr w:type="spellEnd"/>
      <w:r w:rsidRPr="003328A8">
        <w:rPr>
          <w:i/>
          <w:szCs w:val="24"/>
          <w:lang w:eastAsia="zh-HK"/>
        </w:rPr>
        <w:t xml:space="preserve"> Hong Kong 2015</w:t>
      </w:r>
      <w:r w:rsidRPr="003328A8">
        <w:rPr>
          <w:rStyle w:val="FootnoteReference"/>
          <w:szCs w:val="24"/>
          <w:lang w:eastAsia="zh-HK"/>
        </w:rPr>
        <w:footnoteReference w:id="21"/>
      </w:r>
      <w:r w:rsidRPr="003328A8">
        <w:rPr>
          <w:szCs w:val="24"/>
          <w:lang w:eastAsia="zh-HK"/>
        </w:rPr>
        <w:t xml:space="preserve"> (read paragraph 54 in conjunction with paragraphs 51 and 55 of the Reasons for Verdict) are not questions intended </w:t>
      </w:r>
      <w:r w:rsidRPr="003328A8">
        <w:rPr>
          <w:rFonts w:eastAsia="SimSun"/>
          <w:szCs w:val="24"/>
        </w:rPr>
        <w:t>for</w:t>
      </w:r>
      <w:r w:rsidRPr="003328A8">
        <w:rPr>
          <w:szCs w:val="24"/>
          <w:lang w:eastAsia="zh-HK"/>
        </w:rPr>
        <w:t xml:space="preserve"> the tribunal of fact.  They are, just as the </w:t>
      </w:r>
      <w:r w:rsidRPr="003328A8">
        <w:rPr>
          <w:rFonts w:eastAsia="SimSun"/>
          <w:szCs w:val="24"/>
        </w:rPr>
        <w:t>book</w:t>
      </w:r>
      <w:r w:rsidRPr="003328A8">
        <w:rPr>
          <w:i/>
          <w:szCs w:val="24"/>
          <w:lang w:eastAsia="zh-HK"/>
        </w:rPr>
        <w:t xml:space="preserve"> </w:t>
      </w:r>
      <w:r w:rsidRPr="003328A8">
        <w:rPr>
          <w:rFonts w:eastAsia="SimSun"/>
          <w:szCs w:val="24"/>
        </w:rPr>
        <w:t>sa</w:t>
      </w:r>
      <w:r w:rsidR="00883F8F">
        <w:rPr>
          <w:rFonts w:eastAsiaTheme="minorEastAsia" w:hint="eastAsia"/>
          <w:szCs w:val="24"/>
        </w:rPr>
        <w:t>ys</w:t>
      </w:r>
      <w:r w:rsidRPr="003328A8">
        <w:rPr>
          <w:szCs w:val="24"/>
          <w:lang w:eastAsia="zh-HK"/>
        </w:rPr>
        <w:t xml:space="preserve">, </w:t>
      </w:r>
      <w:r w:rsidRPr="003328A8">
        <w:rPr>
          <w:rFonts w:eastAsia="SimSun"/>
          <w:szCs w:val="24"/>
        </w:rPr>
        <w:t>“</w:t>
      </w:r>
      <w:r w:rsidRPr="003328A8">
        <w:rPr>
          <w:szCs w:val="24"/>
          <w:lang w:eastAsia="zh-HK"/>
        </w:rPr>
        <w:t>two distinct questions</w:t>
      </w:r>
      <w:r w:rsidRPr="003328A8">
        <w:rPr>
          <w:rFonts w:eastAsia="SimSun"/>
          <w:szCs w:val="24"/>
        </w:rPr>
        <w:t>”</w:t>
      </w:r>
      <w:r w:rsidRPr="003328A8">
        <w:rPr>
          <w:szCs w:val="24"/>
          <w:lang w:eastAsia="zh-HK"/>
        </w:rPr>
        <w:t xml:space="preserve">; and their answers, we venture to suggest, must be in the form of numerical probabilities, not some </w:t>
      </w:r>
      <w:r w:rsidRPr="003328A8">
        <w:rPr>
          <w:rFonts w:eastAsia="SimSun"/>
          <w:szCs w:val="24"/>
        </w:rPr>
        <w:t xml:space="preserve">scriptural </w:t>
      </w:r>
      <w:r w:rsidRPr="003328A8">
        <w:rPr>
          <w:szCs w:val="24"/>
          <w:lang w:eastAsia="zh-HK"/>
        </w:rPr>
        <w:t>finding of fact.</w:t>
      </w:r>
    </w:p>
    <w:p w:rsidR="00756BEE" w:rsidRPr="00063B67" w:rsidRDefault="00006BBC" w:rsidP="00756BEE">
      <w:pPr>
        <w:pStyle w:val="Final"/>
        <w:numPr>
          <w:ilvl w:val="0"/>
          <w:numId w:val="28"/>
        </w:numPr>
        <w:spacing w:after="480"/>
        <w:ind w:left="0" w:firstLine="0"/>
      </w:pPr>
      <w:r w:rsidRPr="003328A8">
        <w:rPr>
          <w:szCs w:val="24"/>
          <w:lang w:eastAsia="zh-HK"/>
        </w:rPr>
        <w:t xml:space="preserve">Finally, regarding the </w:t>
      </w:r>
      <w:proofErr w:type="spellStart"/>
      <w:r w:rsidRPr="003328A8">
        <w:rPr>
          <w:i/>
          <w:szCs w:val="24"/>
          <w:lang w:eastAsia="zh-HK"/>
        </w:rPr>
        <w:t>Doheny</w:t>
      </w:r>
      <w:proofErr w:type="spellEnd"/>
      <w:r w:rsidRPr="003328A8">
        <w:rPr>
          <w:i/>
          <w:szCs w:val="24"/>
          <w:lang w:eastAsia="zh-HK"/>
        </w:rPr>
        <w:t xml:space="preserve"> and Adams</w:t>
      </w:r>
      <w:r w:rsidRPr="003328A8">
        <w:rPr>
          <w:szCs w:val="24"/>
          <w:lang w:eastAsia="zh-HK"/>
        </w:rPr>
        <w:t xml:space="preserve"> direction (see paragraph 52 of the Reasons for Verdict), it is appropriate to so direct a jury only where DNA evidence is presented by way of a Random Occurrence Ratio (“ROR”)</w:t>
      </w:r>
      <w:r w:rsidRPr="003328A8">
        <w:rPr>
          <w:rStyle w:val="FootnoteReference"/>
          <w:szCs w:val="24"/>
          <w:lang w:eastAsia="zh-HK"/>
        </w:rPr>
        <w:footnoteReference w:id="22"/>
      </w:r>
      <w:r w:rsidRPr="003328A8">
        <w:rPr>
          <w:szCs w:val="24"/>
          <w:lang w:eastAsia="zh-HK"/>
        </w:rPr>
        <w:t xml:space="preserve">.  This is how it was done when the older English cases </w:t>
      </w:r>
      <w:r w:rsidRPr="003328A8">
        <w:rPr>
          <w:rFonts w:eastAsia="SimSun"/>
          <w:szCs w:val="24"/>
        </w:rPr>
        <w:t xml:space="preserve">of some twenty years ago </w:t>
      </w:r>
      <w:r w:rsidRPr="003328A8">
        <w:rPr>
          <w:szCs w:val="24"/>
          <w:lang w:eastAsia="zh-HK"/>
        </w:rPr>
        <w:t xml:space="preserve">were reported and, being expressed </w:t>
      </w:r>
      <w:r w:rsidRPr="003328A8">
        <w:rPr>
          <w:rFonts w:eastAsia="SimSun"/>
          <w:szCs w:val="24"/>
        </w:rPr>
        <w:t>in</w:t>
      </w:r>
      <w:r w:rsidRPr="003328A8">
        <w:rPr>
          <w:szCs w:val="24"/>
          <w:lang w:eastAsia="zh-HK"/>
        </w:rPr>
        <w:t xml:space="preserve"> an actual number of men</w:t>
      </w:r>
      <w:r w:rsidRPr="003328A8">
        <w:rPr>
          <w:rFonts w:eastAsia="SimSun"/>
          <w:szCs w:val="24"/>
        </w:rPr>
        <w:t xml:space="preserve"> or women</w:t>
      </w:r>
      <w:r w:rsidRPr="003328A8">
        <w:rPr>
          <w:szCs w:val="24"/>
          <w:lang w:eastAsia="zh-HK"/>
        </w:rPr>
        <w:t xml:space="preserve"> (see the direction itself)</w:t>
      </w:r>
      <w:proofErr w:type="gramStart"/>
      <w:r w:rsidRPr="003328A8">
        <w:rPr>
          <w:szCs w:val="24"/>
          <w:lang w:eastAsia="zh-HK"/>
        </w:rPr>
        <w:t>,</w:t>
      </w:r>
      <w:proofErr w:type="gramEnd"/>
      <w:r w:rsidRPr="003328A8">
        <w:rPr>
          <w:szCs w:val="24"/>
          <w:lang w:eastAsia="zh-HK"/>
        </w:rPr>
        <w:t xml:space="preserve"> </w:t>
      </w:r>
      <w:r w:rsidRPr="003328A8">
        <w:rPr>
          <w:szCs w:val="24"/>
          <w:lang w:eastAsia="zh-HK"/>
        </w:rPr>
        <w:lastRenderedPageBreak/>
        <w:t>the ROR may well be different in concept and computation than the RMP and relative-based probabilities.</w:t>
      </w:r>
    </w:p>
    <w:p w:rsidR="00756BEE" w:rsidRPr="00063B67" w:rsidRDefault="00006BBC" w:rsidP="00756BEE">
      <w:pPr>
        <w:pStyle w:val="Final"/>
        <w:numPr>
          <w:ilvl w:val="0"/>
          <w:numId w:val="28"/>
        </w:numPr>
        <w:spacing w:after="480"/>
        <w:ind w:left="0" w:firstLine="0"/>
      </w:pPr>
      <w:r w:rsidRPr="003328A8">
        <w:rPr>
          <w:szCs w:val="24"/>
          <w:lang w:eastAsia="zh-HK"/>
        </w:rPr>
        <w:t>The question is: given the judge’s</w:t>
      </w:r>
      <w:r w:rsidR="00883F8F">
        <w:rPr>
          <w:rFonts w:hint="eastAsia"/>
          <w:szCs w:val="24"/>
        </w:rPr>
        <w:t xml:space="preserve"> obviously</w:t>
      </w:r>
      <w:r w:rsidRPr="003328A8">
        <w:rPr>
          <w:rFonts w:eastAsia="SimSun"/>
          <w:szCs w:val="24"/>
        </w:rPr>
        <w:t xml:space="preserve"> </w:t>
      </w:r>
      <w:r w:rsidRPr="003328A8">
        <w:rPr>
          <w:szCs w:val="24"/>
          <w:lang w:eastAsia="zh-HK"/>
        </w:rPr>
        <w:t>less than perfect grasp of some of the nicer points in the DNA evidence, is the conviction of the appellant safe?  Our answer is in the affirmative because, when cut to the chase, the judge was really saying (a) the probability of the appellant not being the donor of the DNA on Exhibit P1 is exceedingly low (</w:t>
      </w:r>
      <w:r w:rsidRPr="003328A8">
        <w:rPr>
          <w:i/>
          <w:szCs w:val="24"/>
          <w:lang w:eastAsia="zh-HK"/>
        </w:rPr>
        <w:t>vide</w:t>
      </w:r>
      <w:r w:rsidRPr="003328A8">
        <w:rPr>
          <w:szCs w:val="24"/>
          <w:lang w:eastAsia="zh-HK"/>
        </w:rPr>
        <w:t xml:space="preserve"> paragraph 54, Reasons for Verdict) and (b) given how and for how long Exhibit P1 had been put away for safekeeping, the suggestion of an indirect and fortuitous transfer of the appellant’s DNA onto its surface is fanciful and speculative (</w:t>
      </w:r>
      <w:r w:rsidRPr="003328A8">
        <w:rPr>
          <w:i/>
          <w:szCs w:val="24"/>
          <w:lang w:eastAsia="zh-HK"/>
        </w:rPr>
        <w:t>vide</w:t>
      </w:r>
      <w:r w:rsidRPr="003328A8">
        <w:rPr>
          <w:szCs w:val="24"/>
          <w:lang w:eastAsia="zh-HK"/>
        </w:rPr>
        <w:t xml:space="preserve"> paragraph 55, Reasons for Verdict).  He was correct on both counts.</w:t>
      </w:r>
    </w:p>
    <w:p w:rsidR="00006BBC" w:rsidRPr="007256F3" w:rsidRDefault="00006BBC" w:rsidP="00006BBC">
      <w:pPr>
        <w:pStyle w:val="Final"/>
        <w:numPr>
          <w:ilvl w:val="0"/>
          <w:numId w:val="0"/>
        </w:numPr>
        <w:rPr>
          <w:rFonts w:eastAsia="SimSun"/>
          <w:i/>
          <w:szCs w:val="24"/>
        </w:rPr>
      </w:pPr>
      <w:r w:rsidRPr="003328A8">
        <w:rPr>
          <w:i/>
          <w:szCs w:val="24"/>
          <w:lang w:eastAsia="zh-HK"/>
        </w:rPr>
        <w:t>Postscript</w:t>
      </w:r>
    </w:p>
    <w:p w:rsidR="00756BEE" w:rsidRPr="00063B67" w:rsidRDefault="00006BBC" w:rsidP="00756BEE">
      <w:pPr>
        <w:pStyle w:val="Final"/>
        <w:numPr>
          <w:ilvl w:val="0"/>
          <w:numId w:val="28"/>
        </w:numPr>
        <w:spacing w:after="480"/>
        <w:ind w:left="0" w:firstLine="0"/>
      </w:pPr>
      <w:r w:rsidRPr="003328A8">
        <w:rPr>
          <w:szCs w:val="24"/>
          <w:lang w:eastAsia="zh-HK"/>
        </w:rPr>
        <w:t xml:space="preserve">It has become apparent in this appeal that such notions as </w:t>
      </w:r>
      <w:r w:rsidRPr="003328A8">
        <w:rPr>
          <w:rFonts w:eastAsia="SimSun"/>
          <w:szCs w:val="24"/>
        </w:rPr>
        <w:t xml:space="preserve">the </w:t>
      </w:r>
      <w:r w:rsidRPr="003328A8">
        <w:rPr>
          <w:szCs w:val="24"/>
          <w:lang w:eastAsia="zh-HK"/>
        </w:rPr>
        <w:t xml:space="preserve">Random Occurrence Ratio, Random Match Probability and what we have loosely referred to as relative-based probabilities were as unfamiliar to counsel as they were to the judge.  We </w:t>
      </w:r>
      <w:r w:rsidRPr="003328A8">
        <w:rPr>
          <w:rFonts w:eastAsia="SimSun"/>
          <w:szCs w:val="24"/>
        </w:rPr>
        <w:t>trust</w:t>
      </w:r>
      <w:r w:rsidRPr="003328A8">
        <w:rPr>
          <w:szCs w:val="24"/>
          <w:lang w:eastAsia="zh-HK"/>
        </w:rPr>
        <w:t xml:space="preserve"> that this is not a reflection of the general situation, but </w:t>
      </w:r>
      <w:r w:rsidRPr="003328A8">
        <w:rPr>
          <w:rFonts w:eastAsia="SimSun"/>
          <w:szCs w:val="24"/>
        </w:rPr>
        <w:t>invite</w:t>
      </w:r>
      <w:r w:rsidRPr="003328A8">
        <w:rPr>
          <w:szCs w:val="24"/>
          <w:lang w:eastAsia="zh-HK"/>
        </w:rPr>
        <w:t xml:space="preserve"> the prosecuting authorit</w:t>
      </w:r>
      <w:r w:rsidRPr="003328A8">
        <w:rPr>
          <w:rFonts w:eastAsia="SimSun"/>
          <w:szCs w:val="24"/>
        </w:rPr>
        <w:t>ies</w:t>
      </w:r>
      <w:r w:rsidRPr="003328A8">
        <w:rPr>
          <w:szCs w:val="24"/>
          <w:lang w:eastAsia="zh-HK"/>
        </w:rPr>
        <w:t xml:space="preserve"> to consider what </w:t>
      </w:r>
      <w:r w:rsidRPr="003328A8">
        <w:rPr>
          <w:rFonts w:eastAsia="SimSun"/>
          <w:szCs w:val="24"/>
        </w:rPr>
        <w:t>steps might be taken</w:t>
      </w:r>
      <w:r w:rsidRPr="003328A8">
        <w:rPr>
          <w:szCs w:val="24"/>
          <w:lang w:eastAsia="zh-HK"/>
        </w:rPr>
        <w:t xml:space="preserve"> to ensure that the courts are provided with adequate assistance in this area.</w:t>
      </w:r>
    </w:p>
    <w:p w:rsidR="00CC49B8" w:rsidRPr="00883F8F" w:rsidRDefault="00CC49B8" w:rsidP="00883F8F">
      <w:pPr>
        <w:pStyle w:val="Final"/>
        <w:pageBreakBefore/>
        <w:numPr>
          <w:ilvl w:val="0"/>
          <w:numId w:val="0"/>
        </w:numPr>
        <w:rPr>
          <w:i/>
          <w:caps/>
          <w:szCs w:val="24"/>
          <w:lang w:eastAsia="zh-HK"/>
        </w:rPr>
      </w:pPr>
      <w:r w:rsidRPr="00883F8F">
        <w:rPr>
          <w:i/>
          <w:caps/>
          <w:szCs w:val="24"/>
          <w:lang w:eastAsia="zh-HK"/>
        </w:rPr>
        <w:lastRenderedPageBreak/>
        <w:t>D</w:t>
      </w:r>
      <w:r w:rsidR="00DF1437" w:rsidRPr="00883F8F">
        <w:rPr>
          <w:i/>
          <w:caps/>
          <w:szCs w:val="24"/>
          <w:lang w:eastAsia="zh-HK"/>
        </w:rPr>
        <w:t>isposal</w:t>
      </w:r>
    </w:p>
    <w:p w:rsidR="00006BBC" w:rsidRPr="00063B67" w:rsidRDefault="00006BBC" w:rsidP="00006BBC">
      <w:pPr>
        <w:pStyle w:val="Final"/>
        <w:numPr>
          <w:ilvl w:val="0"/>
          <w:numId w:val="28"/>
        </w:numPr>
        <w:spacing w:after="480"/>
        <w:ind w:left="0" w:firstLine="0"/>
      </w:pPr>
      <w:r w:rsidRPr="003328A8">
        <w:rPr>
          <w:szCs w:val="24"/>
          <w:lang w:eastAsia="zh-HK"/>
        </w:rPr>
        <w:t>The appellant’s appeal against conviction is dismissed.</w:t>
      </w:r>
    </w:p>
    <w:p w:rsidR="00B3536F" w:rsidRPr="00B23678" w:rsidRDefault="00B3536F" w:rsidP="00DF1437">
      <w:pPr>
        <w:pStyle w:val="Quotation"/>
        <w:tabs>
          <w:tab w:val="clear" w:pos="1440"/>
        </w:tabs>
        <w:ind w:left="0"/>
      </w:pPr>
    </w:p>
    <w:p w:rsidR="007F3839" w:rsidRPr="00B23678" w:rsidRDefault="007F3839" w:rsidP="00DF1437">
      <w:pPr>
        <w:pStyle w:val="Quotation"/>
        <w:tabs>
          <w:tab w:val="clear" w:pos="1440"/>
        </w:tabs>
        <w:ind w:left="0"/>
      </w:pPr>
    </w:p>
    <w:p w:rsidR="005B511F" w:rsidRDefault="005B511F" w:rsidP="005B511F">
      <w:pPr>
        <w:pStyle w:val="Final"/>
        <w:numPr>
          <w:ilvl w:val="0"/>
          <w:numId w:val="0"/>
        </w:numPr>
        <w:spacing w:after="0" w:line="240" w:lineRule="auto"/>
        <w:rPr>
          <w:lang w:val="en-US"/>
        </w:rPr>
      </w:pPr>
    </w:p>
    <w:p w:rsidR="005B511F" w:rsidRDefault="005B511F" w:rsidP="005B511F">
      <w:pPr>
        <w:pStyle w:val="Final"/>
        <w:numPr>
          <w:ilvl w:val="0"/>
          <w:numId w:val="0"/>
        </w:numPr>
        <w:spacing w:after="0" w:line="240" w:lineRule="auto"/>
        <w:rPr>
          <w:lang w:val="en-US"/>
        </w:rPr>
      </w:pPr>
    </w:p>
    <w:p w:rsidR="005B511F" w:rsidRDefault="005B511F" w:rsidP="005B511F">
      <w:pPr>
        <w:pStyle w:val="Final"/>
        <w:numPr>
          <w:ilvl w:val="0"/>
          <w:numId w:val="0"/>
        </w:numPr>
        <w:spacing w:after="0" w:line="240" w:lineRule="auto"/>
        <w:rPr>
          <w:lang w:val="en-US"/>
        </w:rPr>
      </w:pPr>
    </w:p>
    <w:p w:rsidR="005B511F" w:rsidRDefault="005B511F" w:rsidP="005B511F">
      <w:pPr>
        <w:pStyle w:val="Final"/>
        <w:numPr>
          <w:ilvl w:val="0"/>
          <w:numId w:val="0"/>
        </w:numPr>
        <w:spacing w:after="0" w:line="240" w:lineRule="auto"/>
        <w:rPr>
          <w:lang w:val="en-US"/>
        </w:rPr>
      </w:pPr>
    </w:p>
    <w:p w:rsidR="005B511F" w:rsidRDefault="005B511F" w:rsidP="005B511F">
      <w:pPr>
        <w:pStyle w:val="Final"/>
        <w:numPr>
          <w:ilvl w:val="0"/>
          <w:numId w:val="0"/>
        </w:numPr>
        <w:spacing w:after="0" w:line="240" w:lineRule="auto"/>
        <w:rPr>
          <w:lang w:val="en-US"/>
        </w:rPr>
      </w:pPr>
    </w:p>
    <w:p w:rsidR="005B511F" w:rsidRPr="00091845" w:rsidRDefault="005B511F" w:rsidP="005B511F">
      <w:pPr>
        <w:tabs>
          <w:tab w:val="center" w:pos="1440"/>
          <w:tab w:val="center" w:pos="7200"/>
        </w:tabs>
        <w:overflowPunct w:val="0"/>
      </w:pPr>
      <w:r>
        <w:rPr>
          <w:rFonts w:eastAsia="新細明體" w:hint="eastAsia"/>
          <w:lang w:eastAsia="zh-TW"/>
        </w:rPr>
        <w:tab/>
      </w:r>
      <w:r>
        <w:rPr>
          <w:rFonts w:eastAsiaTheme="minorEastAsia" w:hint="eastAsia"/>
        </w:rPr>
        <w:t>(</w:t>
      </w:r>
      <w:r w:rsidRPr="00192805">
        <w:rPr>
          <w:szCs w:val="28"/>
        </w:rPr>
        <w:t xml:space="preserve">Michael </w:t>
      </w:r>
      <w:proofErr w:type="spellStart"/>
      <w:r w:rsidRPr="00192805">
        <w:rPr>
          <w:szCs w:val="28"/>
        </w:rPr>
        <w:t>Lunn</w:t>
      </w:r>
      <w:proofErr w:type="spellEnd"/>
      <w:r>
        <w:rPr>
          <w:rFonts w:eastAsia="新細明體" w:hint="eastAsia"/>
          <w:lang w:eastAsia="zh-TW"/>
        </w:rPr>
        <w:t>)</w:t>
      </w:r>
      <w:r>
        <w:tab/>
      </w:r>
      <w:r w:rsidRPr="00091845">
        <w:t>(</w:t>
      </w:r>
      <w:r>
        <w:rPr>
          <w:rFonts w:eastAsiaTheme="minorEastAsia" w:hint="eastAsia"/>
        </w:rPr>
        <w:t>Derek Pang</w:t>
      </w:r>
      <w:r w:rsidRPr="00091845">
        <w:t>)</w:t>
      </w:r>
      <w:r>
        <w:tab/>
        <w:t>(</w:t>
      </w:r>
      <w:r>
        <w:rPr>
          <w:rFonts w:hint="eastAsia"/>
        </w:rPr>
        <w:t xml:space="preserve">E </w:t>
      </w:r>
      <w:proofErr w:type="spellStart"/>
      <w:r>
        <w:rPr>
          <w:rFonts w:hint="eastAsia"/>
        </w:rPr>
        <w:t>Toh</w:t>
      </w:r>
      <w:proofErr w:type="spellEnd"/>
      <w:r>
        <w:t>)</w:t>
      </w:r>
    </w:p>
    <w:p w:rsidR="005B511F" w:rsidRDefault="005B511F" w:rsidP="005B511F">
      <w:pPr>
        <w:tabs>
          <w:tab w:val="clear" w:pos="8453"/>
          <w:tab w:val="center" w:pos="1440"/>
          <w:tab w:val="center" w:pos="7200"/>
        </w:tabs>
        <w:overflowPunct w:val="0"/>
        <w:rPr>
          <w:rFonts w:eastAsiaTheme="minorEastAsia"/>
        </w:rPr>
      </w:pPr>
      <w:r>
        <w:rPr>
          <w:rFonts w:eastAsia="新細明體" w:hint="eastAsia"/>
          <w:lang w:eastAsia="zh-TW"/>
        </w:rPr>
        <w:tab/>
      </w:r>
      <w:r>
        <w:rPr>
          <w:rFonts w:eastAsia="新細明體"/>
          <w:lang w:eastAsia="zh-TW"/>
        </w:rPr>
        <w:t>Vice-President</w:t>
      </w:r>
      <w:r>
        <w:rPr>
          <w:rFonts w:eastAsia="新細明體" w:hint="eastAsia"/>
          <w:lang w:eastAsia="zh-TW"/>
        </w:rPr>
        <w:tab/>
        <w:t>Justice of Appeal</w:t>
      </w:r>
      <w:r>
        <w:rPr>
          <w:rFonts w:eastAsia="新細明體"/>
          <w:lang w:eastAsia="zh-TW"/>
        </w:rPr>
        <w:tab/>
      </w:r>
      <w:r>
        <w:rPr>
          <w:rFonts w:eastAsia="新細明體" w:hint="eastAsia"/>
          <w:lang w:eastAsia="zh-TW"/>
        </w:rPr>
        <w:t>Ju</w:t>
      </w:r>
      <w:r>
        <w:rPr>
          <w:rFonts w:eastAsiaTheme="minorEastAsia" w:hint="eastAsia"/>
        </w:rPr>
        <w:t>dge of the Court of</w:t>
      </w:r>
    </w:p>
    <w:p w:rsidR="005B511F" w:rsidRPr="005B511F" w:rsidRDefault="005B511F" w:rsidP="005B511F">
      <w:pPr>
        <w:tabs>
          <w:tab w:val="clear" w:pos="8453"/>
          <w:tab w:val="center" w:pos="1440"/>
          <w:tab w:val="center" w:pos="7200"/>
        </w:tabs>
        <w:overflowPunct w:val="0"/>
        <w:rPr>
          <w:rFonts w:eastAsiaTheme="minorEastAsia"/>
        </w:rPr>
      </w:pPr>
      <w:r>
        <w:rPr>
          <w:rFonts w:eastAsiaTheme="minorEastAsia" w:hint="eastAsia"/>
        </w:rPr>
        <w:tab/>
      </w:r>
      <w:r>
        <w:rPr>
          <w:rFonts w:eastAsiaTheme="minorEastAsia" w:hint="eastAsia"/>
        </w:rPr>
        <w:tab/>
      </w:r>
      <w:r>
        <w:rPr>
          <w:rFonts w:eastAsiaTheme="minorEastAsia" w:hint="eastAsia"/>
        </w:rPr>
        <w:tab/>
        <w:t>First Instance</w:t>
      </w:r>
    </w:p>
    <w:p w:rsidR="005B511F" w:rsidRDefault="005B511F" w:rsidP="005B511F">
      <w:pPr>
        <w:tabs>
          <w:tab w:val="clear" w:pos="1440"/>
          <w:tab w:val="clear" w:pos="8453"/>
          <w:tab w:val="center" w:pos="2160"/>
          <w:tab w:val="center" w:pos="6480"/>
        </w:tabs>
        <w:overflowPunct w:val="0"/>
        <w:rPr>
          <w:rFonts w:eastAsia="新細明體"/>
          <w:lang w:eastAsia="zh-TW"/>
        </w:rPr>
      </w:pPr>
    </w:p>
    <w:p w:rsidR="005B511F" w:rsidRDefault="005B511F" w:rsidP="005B511F">
      <w:pPr>
        <w:tabs>
          <w:tab w:val="clear" w:pos="1440"/>
          <w:tab w:val="clear" w:pos="8453"/>
          <w:tab w:val="center" w:pos="2160"/>
          <w:tab w:val="center" w:pos="6480"/>
        </w:tabs>
        <w:overflowPunct w:val="0"/>
        <w:rPr>
          <w:rFonts w:eastAsia="新細明體"/>
          <w:lang w:eastAsia="zh-TW"/>
        </w:rPr>
      </w:pPr>
    </w:p>
    <w:p w:rsidR="00B3536F" w:rsidRPr="00B23678" w:rsidRDefault="00B3536F" w:rsidP="00372647">
      <w:pPr>
        <w:keepNext/>
        <w:tabs>
          <w:tab w:val="clear" w:pos="1440"/>
          <w:tab w:val="clear" w:pos="4234"/>
          <w:tab w:val="center" w:pos="6336"/>
        </w:tabs>
        <w:rPr>
          <w:bCs/>
        </w:rPr>
      </w:pPr>
    </w:p>
    <w:p w:rsidR="00566170" w:rsidRPr="00B23678" w:rsidRDefault="00566170" w:rsidP="00372647">
      <w:pPr>
        <w:keepNext/>
        <w:tabs>
          <w:tab w:val="clear" w:pos="1440"/>
          <w:tab w:val="clear" w:pos="4234"/>
          <w:tab w:val="center" w:pos="6336"/>
        </w:tabs>
        <w:ind w:left="274" w:hanging="274"/>
        <w:rPr>
          <w:lang w:val="en-US"/>
        </w:rPr>
      </w:pPr>
    </w:p>
    <w:p w:rsidR="00B3536F" w:rsidRPr="00B23678" w:rsidRDefault="00411EDC" w:rsidP="00372647">
      <w:pPr>
        <w:keepNext/>
        <w:tabs>
          <w:tab w:val="clear" w:pos="1440"/>
          <w:tab w:val="clear" w:pos="4234"/>
          <w:tab w:val="center" w:pos="6336"/>
        </w:tabs>
        <w:ind w:left="274" w:hanging="274"/>
        <w:rPr>
          <w:lang w:val="en-US"/>
        </w:rPr>
      </w:pPr>
      <w:r w:rsidRPr="00B23678">
        <w:rPr>
          <w:lang w:val="en-US"/>
        </w:rPr>
        <w:t>M</w:t>
      </w:r>
      <w:r w:rsidR="005B511F">
        <w:rPr>
          <w:lang w:val="en-US"/>
        </w:rPr>
        <w:t xml:space="preserve">iss Cheung </w:t>
      </w:r>
      <w:proofErr w:type="spellStart"/>
      <w:r w:rsidR="005B511F">
        <w:rPr>
          <w:lang w:val="en-US"/>
        </w:rPr>
        <w:t>Wai-</w:t>
      </w:r>
      <w:r w:rsidR="005B511F">
        <w:rPr>
          <w:rFonts w:hint="eastAsia"/>
          <w:lang w:val="en-US"/>
        </w:rPr>
        <w:t>ngan</w:t>
      </w:r>
      <w:proofErr w:type="spellEnd"/>
      <w:r w:rsidR="005B511F">
        <w:rPr>
          <w:rFonts w:hint="eastAsia"/>
          <w:lang w:val="en-US"/>
        </w:rPr>
        <w:t>, Karen</w:t>
      </w:r>
      <w:r w:rsidRPr="00B23678">
        <w:rPr>
          <w:lang w:val="en-US"/>
        </w:rPr>
        <w:t xml:space="preserve">, </w:t>
      </w:r>
      <w:r w:rsidR="005B511F">
        <w:rPr>
          <w:rFonts w:hint="eastAsia"/>
          <w:lang w:val="en-US"/>
        </w:rPr>
        <w:t>instructed by Director of Legal Aid,</w:t>
      </w:r>
      <w:r w:rsidR="00B3536F" w:rsidRPr="00B23678">
        <w:rPr>
          <w:lang w:val="en-US"/>
        </w:rPr>
        <w:t xml:space="preserve"> for the </w:t>
      </w:r>
      <w:r w:rsidR="005B511F">
        <w:rPr>
          <w:rFonts w:hint="eastAsia"/>
          <w:lang w:val="en-US"/>
        </w:rPr>
        <w:t>appellant</w:t>
      </w:r>
    </w:p>
    <w:p w:rsidR="00B3536F" w:rsidRPr="00B23678" w:rsidRDefault="00B3536F" w:rsidP="00372647">
      <w:pPr>
        <w:pStyle w:val="Header"/>
        <w:ind w:left="274" w:hanging="274"/>
        <w:rPr>
          <w:szCs w:val="28"/>
          <w:lang w:val="en-US"/>
        </w:rPr>
      </w:pPr>
    </w:p>
    <w:p w:rsidR="005B511F" w:rsidRPr="00B23678" w:rsidRDefault="005B511F" w:rsidP="005B511F">
      <w:pPr>
        <w:keepNext/>
        <w:tabs>
          <w:tab w:val="clear" w:pos="1440"/>
          <w:tab w:val="clear" w:pos="4234"/>
          <w:tab w:val="center" w:pos="6336"/>
        </w:tabs>
        <w:ind w:left="274" w:hanging="274"/>
        <w:rPr>
          <w:lang w:val="en-US"/>
        </w:rPr>
      </w:pPr>
      <w:r w:rsidRPr="00B23678">
        <w:rPr>
          <w:lang w:val="en-US"/>
        </w:rPr>
        <w:t>M</w:t>
      </w:r>
      <w:r>
        <w:rPr>
          <w:lang w:val="en-US"/>
        </w:rPr>
        <w:t xml:space="preserve">s </w:t>
      </w:r>
      <w:proofErr w:type="spellStart"/>
      <w:r>
        <w:rPr>
          <w:rFonts w:hint="eastAsia"/>
          <w:lang w:val="en-US"/>
        </w:rPr>
        <w:t>Ko</w:t>
      </w:r>
      <w:proofErr w:type="spellEnd"/>
      <w:r>
        <w:rPr>
          <w:rFonts w:hint="eastAsia"/>
          <w:lang w:val="en-US"/>
        </w:rPr>
        <w:t xml:space="preserve"> Po-</w:t>
      </w:r>
      <w:proofErr w:type="spellStart"/>
      <w:r>
        <w:rPr>
          <w:rFonts w:hint="eastAsia"/>
          <w:lang w:val="en-US"/>
        </w:rPr>
        <w:t>chui</w:t>
      </w:r>
      <w:proofErr w:type="spellEnd"/>
      <w:r>
        <w:rPr>
          <w:rFonts w:hint="eastAsia"/>
          <w:lang w:val="en-US"/>
        </w:rPr>
        <w:t>, Catherine</w:t>
      </w:r>
      <w:r w:rsidRPr="00B23678">
        <w:rPr>
          <w:lang w:val="en-US"/>
        </w:rPr>
        <w:t xml:space="preserve">, </w:t>
      </w:r>
      <w:proofErr w:type="gramStart"/>
      <w:r w:rsidRPr="00B23678">
        <w:rPr>
          <w:lang w:val="en-US"/>
        </w:rPr>
        <w:t>S</w:t>
      </w:r>
      <w:r>
        <w:rPr>
          <w:rFonts w:hint="eastAsia"/>
          <w:lang w:val="en-US"/>
        </w:rPr>
        <w:t>AD</w:t>
      </w:r>
      <w:r w:rsidRPr="00B23678">
        <w:rPr>
          <w:lang w:val="en-US"/>
        </w:rPr>
        <w:t>PP</w:t>
      </w:r>
      <w:r>
        <w:rPr>
          <w:rFonts w:hint="eastAsia"/>
          <w:lang w:val="en-US"/>
        </w:rPr>
        <w:t>(</w:t>
      </w:r>
      <w:proofErr w:type="gramEnd"/>
      <w:r>
        <w:rPr>
          <w:rFonts w:hint="eastAsia"/>
          <w:lang w:val="en-US"/>
        </w:rPr>
        <w:t xml:space="preserve">Ag.), of </w:t>
      </w:r>
      <w:r w:rsidR="000E11FF">
        <w:rPr>
          <w:rFonts w:hint="eastAsia"/>
          <w:lang w:val="en-US"/>
        </w:rPr>
        <w:t>Department</w:t>
      </w:r>
      <w:r>
        <w:rPr>
          <w:rFonts w:hint="eastAsia"/>
          <w:lang w:val="en-US"/>
        </w:rPr>
        <w:t xml:space="preserve"> of Justice,</w:t>
      </w:r>
      <w:r w:rsidRPr="00B23678">
        <w:rPr>
          <w:lang w:val="en-US"/>
        </w:rPr>
        <w:t xml:space="preserve"> for the respondent</w:t>
      </w:r>
    </w:p>
    <w:p w:rsidR="007E3542" w:rsidRPr="00B23678" w:rsidRDefault="007E3542" w:rsidP="005B511F">
      <w:pPr>
        <w:keepNext/>
        <w:tabs>
          <w:tab w:val="clear" w:pos="1440"/>
          <w:tab w:val="clear" w:pos="4234"/>
          <w:tab w:val="center" w:pos="6336"/>
        </w:tabs>
        <w:ind w:left="274" w:hanging="274"/>
        <w:rPr>
          <w:lang w:val="en-US"/>
        </w:rPr>
      </w:pPr>
    </w:p>
    <w:sectPr w:rsidR="007E3542" w:rsidRPr="00B23678" w:rsidSect="00A34041">
      <w:headerReference w:type="even" r:id="rId7"/>
      <w:headerReference w:type="default" r:id="rId8"/>
      <w:headerReference w:type="first" r:id="rId9"/>
      <w:pgSz w:w="11907" w:h="16840" w:code="9"/>
      <w:pgMar w:top="1728" w:right="1728" w:bottom="1440" w:left="1728" w:header="720" w:footer="720" w:gutter="0"/>
      <w:pgNumType w:start="1"/>
      <w:cols w:space="720"/>
      <w:titlePg/>
      <w:docGrid w:linePitch="7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340" w:rsidRDefault="003E2340">
      <w:r>
        <w:separator/>
      </w:r>
    </w:p>
  </w:endnote>
  <w:endnote w:type="continuationSeparator" w:id="0">
    <w:p w:rsidR="003E2340" w:rsidRDefault="003E23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MingLiU">
    <w:altName w:val="細明體"/>
    <w:panose1 w:val="02020509000000000000"/>
    <w:charset w:val="88"/>
    <w:family w:val="modern"/>
    <w:notTrueType/>
    <w:pitch w:val="fixed"/>
    <w:sig w:usb0="00000001" w:usb1="08080000" w:usb2="00000010" w:usb3="00000000" w:csb0="00100000" w:csb1="00000000"/>
  </w:font>
  <w:font w:name="SimSun">
    <w:panose1 w:val="02010600030101010101"/>
    <w:charset w:val="00"/>
    <w:family w:val="roman"/>
    <w:notTrueType/>
    <w:pitch w:val="default"/>
    <w:sig w:usb0="00000000" w:usb1="00000000" w:usb2="00000000" w:usb3="00000000" w:csb0="00000000" w:csb1="00000000"/>
  </w:font>
  <w:font w:name="Malgun Gothic">
    <w:panose1 w:val="020B0503020000020004"/>
    <w:charset w:val="81"/>
    <w:family w:val="swiss"/>
    <w:pitch w:val="variable"/>
    <w:sig w:usb0="900002AF" w:usb1="09D77CFB" w:usb2="00000012" w:usb3="00000000" w:csb0="00080001" w:csb1="00000000"/>
  </w:font>
  <w:font w:name="新細明體">
    <w:altName w:val="Arial Unicode MS"/>
    <w:charset w:val="51"/>
    <w:family w:val="auto"/>
    <w:pitch w:val="variable"/>
    <w:sig w:usb0="00000000" w:usb1="08080000" w:usb2="00000010" w:usb3="00000000" w:csb0="001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340" w:rsidRDefault="003E2340">
      <w:r>
        <w:separator/>
      </w:r>
    </w:p>
  </w:footnote>
  <w:footnote w:type="continuationSeparator" w:id="0">
    <w:p w:rsidR="003E2340" w:rsidRDefault="003E2340">
      <w:r>
        <w:continuationSeparator/>
      </w:r>
    </w:p>
  </w:footnote>
  <w:footnote w:id="1">
    <w:p w:rsidR="003E4F1F" w:rsidRPr="003E4F1F" w:rsidRDefault="003E4F1F" w:rsidP="003E4F1F">
      <w:pPr>
        <w:pStyle w:val="FootnoteText"/>
        <w:tabs>
          <w:tab w:val="clear" w:pos="1440"/>
          <w:tab w:val="clear" w:pos="3946"/>
          <w:tab w:val="clear" w:pos="4234"/>
          <w:tab w:val="clear" w:pos="8453"/>
        </w:tabs>
        <w:snapToGrid/>
        <w:spacing w:after="0"/>
        <w:ind w:left="720" w:right="562" w:hanging="720"/>
        <w:rPr>
          <w:rStyle w:val="FootnoteReference"/>
          <w:sz w:val="20"/>
          <w:lang w:val="en-US"/>
        </w:rPr>
      </w:pPr>
      <w:r w:rsidRPr="003E4F1F">
        <w:rPr>
          <w:rStyle w:val="FootnoteReference"/>
          <w:sz w:val="20"/>
          <w:lang w:val="en-US"/>
        </w:rPr>
        <w:footnoteRef/>
      </w:r>
      <w:r w:rsidRPr="003E4F1F">
        <w:rPr>
          <w:rStyle w:val="FootnoteReference"/>
          <w:sz w:val="20"/>
          <w:lang w:val="en-US"/>
        </w:rPr>
        <w:t xml:space="preserve"> </w:t>
      </w:r>
      <w:r w:rsidRPr="003E4F1F">
        <w:rPr>
          <w:rStyle w:val="FootnoteReference"/>
          <w:rFonts w:hint="eastAsia"/>
          <w:sz w:val="20"/>
          <w:lang w:val="en-US"/>
        </w:rPr>
        <w:t xml:space="preserve"> </w:t>
      </w:r>
      <w:r>
        <w:rPr>
          <w:sz w:val="20"/>
          <w:lang w:val="en-US"/>
        </w:rPr>
        <w:tab/>
      </w:r>
      <w:r w:rsidRPr="003E4F1F">
        <w:rPr>
          <w:rStyle w:val="FootnoteReference"/>
          <w:rFonts w:hint="eastAsia"/>
          <w:sz w:val="20"/>
          <w:vertAlign w:val="baseline"/>
          <w:lang w:val="en-US"/>
        </w:rPr>
        <w:t>See footnote 4 below.</w:t>
      </w:r>
    </w:p>
  </w:footnote>
  <w:footnote w:id="2">
    <w:p w:rsidR="003E4F1F" w:rsidRPr="003E4F1F" w:rsidRDefault="003E4F1F" w:rsidP="003E4F1F">
      <w:pPr>
        <w:pStyle w:val="FootnoteText"/>
        <w:tabs>
          <w:tab w:val="clear" w:pos="1440"/>
          <w:tab w:val="clear" w:pos="3946"/>
          <w:tab w:val="clear" w:pos="4234"/>
          <w:tab w:val="clear" w:pos="8453"/>
        </w:tabs>
        <w:snapToGrid/>
        <w:spacing w:after="0"/>
        <w:ind w:left="720" w:right="562" w:hanging="720"/>
        <w:rPr>
          <w:rStyle w:val="FootnoteReference"/>
          <w:sz w:val="20"/>
          <w:lang w:val="en-US"/>
        </w:rPr>
      </w:pPr>
      <w:r w:rsidRPr="003E4F1F">
        <w:rPr>
          <w:rStyle w:val="FootnoteReference"/>
          <w:sz w:val="20"/>
          <w:lang w:val="en-US"/>
        </w:rPr>
        <w:footnoteRef/>
      </w:r>
      <w:r w:rsidRPr="003E4F1F">
        <w:rPr>
          <w:rStyle w:val="FootnoteReference"/>
          <w:rFonts w:hint="eastAsia"/>
          <w:sz w:val="20"/>
          <w:lang w:val="en-US"/>
        </w:rPr>
        <w:t xml:space="preserve">  </w:t>
      </w:r>
      <w:r>
        <w:rPr>
          <w:rStyle w:val="FootnoteReference"/>
          <w:sz w:val="20"/>
          <w:lang w:val="en-US"/>
        </w:rPr>
        <w:tab/>
      </w:r>
      <w:r w:rsidRPr="003E4F1F">
        <w:rPr>
          <w:rStyle w:val="FootnoteReference"/>
          <w:rFonts w:hint="eastAsia"/>
          <w:sz w:val="20"/>
          <w:vertAlign w:val="baseline"/>
          <w:lang w:val="en-US"/>
        </w:rPr>
        <w:t>Ms Wong</w:t>
      </w:r>
      <w:r w:rsidRPr="003E4F1F">
        <w:rPr>
          <w:rStyle w:val="FootnoteReference"/>
          <w:sz w:val="20"/>
          <w:vertAlign w:val="baseline"/>
          <w:lang w:val="en-US"/>
        </w:rPr>
        <w:t>’</w:t>
      </w:r>
      <w:r w:rsidRPr="003E4F1F">
        <w:rPr>
          <w:rStyle w:val="FootnoteReference"/>
          <w:rFonts w:hint="eastAsia"/>
          <w:sz w:val="20"/>
          <w:vertAlign w:val="baseline"/>
          <w:lang w:val="en-US"/>
        </w:rPr>
        <w:t>s sister lived in Canada, and was only visiting: Appeal Bundle, page 31P</w:t>
      </w:r>
      <w:r w:rsidRPr="003E4F1F">
        <w:rPr>
          <w:rStyle w:val="FootnoteReference"/>
          <w:sz w:val="20"/>
          <w:vertAlign w:val="baseline"/>
          <w:lang w:val="en-US"/>
        </w:rPr>
        <w:t>–</w:t>
      </w:r>
      <w:r w:rsidRPr="003E4F1F">
        <w:rPr>
          <w:rStyle w:val="FootnoteReference"/>
          <w:rFonts w:hint="eastAsia"/>
          <w:sz w:val="20"/>
          <w:vertAlign w:val="baseline"/>
          <w:lang w:val="en-US"/>
        </w:rPr>
        <w:t>T.</w:t>
      </w:r>
      <w:r w:rsidRPr="003E4F1F">
        <w:rPr>
          <w:rStyle w:val="FootnoteReference"/>
          <w:sz w:val="20"/>
          <w:vertAlign w:val="baseline"/>
          <w:lang w:val="en-US"/>
        </w:rPr>
        <w:t xml:space="preserve"> </w:t>
      </w:r>
    </w:p>
  </w:footnote>
  <w:footnote w:id="3">
    <w:p w:rsidR="003E4F1F" w:rsidRPr="003E4F1F" w:rsidRDefault="003E4F1F" w:rsidP="003E4F1F">
      <w:pPr>
        <w:pStyle w:val="FootnoteText"/>
        <w:tabs>
          <w:tab w:val="clear" w:pos="1440"/>
          <w:tab w:val="clear" w:pos="3946"/>
          <w:tab w:val="clear" w:pos="4234"/>
          <w:tab w:val="clear" w:pos="8453"/>
        </w:tabs>
        <w:snapToGrid/>
        <w:spacing w:after="0"/>
        <w:ind w:left="720" w:right="562" w:hanging="720"/>
        <w:rPr>
          <w:rStyle w:val="FootnoteReference"/>
          <w:sz w:val="20"/>
          <w:lang w:val="en-US"/>
        </w:rPr>
      </w:pPr>
      <w:r w:rsidRPr="003E4F1F">
        <w:rPr>
          <w:rStyle w:val="FootnoteReference"/>
          <w:sz w:val="20"/>
          <w:lang w:val="en-US"/>
        </w:rPr>
        <w:footnoteRef/>
      </w:r>
      <w:r w:rsidRPr="003E4F1F">
        <w:rPr>
          <w:rStyle w:val="FootnoteReference"/>
          <w:sz w:val="20"/>
          <w:lang w:val="en-US"/>
        </w:rPr>
        <w:t xml:space="preserve"> </w:t>
      </w:r>
      <w:r w:rsidRPr="003E4F1F">
        <w:rPr>
          <w:rStyle w:val="FootnoteReference"/>
          <w:rFonts w:hint="eastAsia"/>
          <w:sz w:val="20"/>
          <w:lang w:val="en-US"/>
        </w:rPr>
        <w:t xml:space="preserve"> </w:t>
      </w:r>
      <w:r>
        <w:rPr>
          <w:rStyle w:val="FootnoteReference"/>
          <w:sz w:val="20"/>
          <w:lang w:val="en-US"/>
        </w:rPr>
        <w:tab/>
      </w:r>
      <w:r w:rsidRPr="003E4F1F">
        <w:rPr>
          <w:rStyle w:val="FootnoteReference"/>
          <w:rFonts w:hint="eastAsia"/>
          <w:sz w:val="20"/>
          <w:vertAlign w:val="baseline"/>
          <w:lang w:val="en-US"/>
        </w:rPr>
        <w:t>Ms Wong</w:t>
      </w:r>
      <w:r w:rsidRPr="003E4F1F">
        <w:rPr>
          <w:rStyle w:val="FootnoteReference"/>
          <w:sz w:val="20"/>
          <w:vertAlign w:val="baseline"/>
          <w:lang w:val="en-US"/>
        </w:rPr>
        <w:t>’</w:t>
      </w:r>
      <w:r w:rsidRPr="003E4F1F">
        <w:rPr>
          <w:rStyle w:val="FootnoteReference"/>
          <w:rFonts w:hint="eastAsia"/>
          <w:sz w:val="20"/>
          <w:vertAlign w:val="baseline"/>
          <w:lang w:val="en-US"/>
        </w:rPr>
        <w:t>s mother also lived in Canada, and was not in Hong Kong at the time of the offence: Appeal Bundle, pages 31T</w:t>
      </w:r>
      <w:r w:rsidRPr="003E4F1F">
        <w:rPr>
          <w:rStyle w:val="FootnoteReference"/>
          <w:sz w:val="20"/>
          <w:vertAlign w:val="baseline"/>
          <w:lang w:val="en-US"/>
        </w:rPr>
        <w:t>–</w:t>
      </w:r>
      <w:r w:rsidRPr="003E4F1F">
        <w:rPr>
          <w:rStyle w:val="FootnoteReference"/>
          <w:rFonts w:hint="eastAsia"/>
          <w:sz w:val="20"/>
          <w:vertAlign w:val="baseline"/>
          <w:lang w:val="en-US"/>
        </w:rPr>
        <w:t xml:space="preserve">32H. </w:t>
      </w:r>
    </w:p>
  </w:footnote>
  <w:footnote w:id="4">
    <w:p w:rsidR="003E4F1F" w:rsidRPr="003E4F1F" w:rsidRDefault="003E4F1F" w:rsidP="003E4F1F">
      <w:pPr>
        <w:pStyle w:val="FootnoteText"/>
        <w:tabs>
          <w:tab w:val="clear" w:pos="1440"/>
          <w:tab w:val="clear" w:pos="3946"/>
          <w:tab w:val="clear" w:pos="4234"/>
          <w:tab w:val="clear" w:pos="8453"/>
        </w:tabs>
        <w:snapToGrid/>
        <w:spacing w:after="0"/>
        <w:ind w:left="720" w:right="562" w:hanging="720"/>
        <w:rPr>
          <w:rStyle w:val="FootnoteReference"/>
          <w:sz w:val="20"/>
          <w:lang w:val="en-US"/>
        </w:rPr>
      </w:pPr>
      <w:r w:rsidRPr="003E4F1F">
        <w:rPr>
          <w:rStyle w:val="FootnoteReference"/>
          <w:sz w:val="20"/>
          <w:lang w:val="en-US"/>
        </w:rPr>
        <w:footnoteRef/>
      </w:r>
      <w:r w:rsidRPr="003E4F1F">
        <w:rPr>
          <w:rStyle w:val="FootnoteReference"/>
          <w:sz w:val="20"/>
          <w:lang w:val="en-US"/>
        </w:rPr>
        <w:t xml:space="preserve"> </w:t>
      </w:r>
      <w:r w:rsidRPr="003E4F1F">
        <w:rPr>
          <w:rStyle w:val="FootnoteReference"/>
          <w:rFonts w:hint="eastAsia"/>
          <w:sz w:val="20"/>
          <w:lang w:val="en-US"/>
        </w:rPr>
        <w:t xml:space="preserve"> </w:t>
      </w:r>
      <w:r>
        <w:rPr>
          <w:rStyle w:val="FootnoteReference"/>
          <w:sz w:val="20"/>
          <w:lang w:val="en-US"/>
        </w:rPr>
        <w:tab/>
      </w:r>
      <w:r w:rsidRPr="003E4F1F">
        <w:rPr>
          <w:rStyle w:val="FootnoteReference"/>
          <w:rFonts w:hint="eastAsia"/>
          <w:sz w:val="20"/>
          <w:vertAlign w:val="baseline"/>
          <w:lang w:val="en-US"/>
        </w:rPr>
        <w:t xml:space="preserve">Both Constable Ng and the </w:t>
      </w:r>
      <w:r w:rsidRPr="003E4F1F">
        <w:rPr>
          <w:rStyle w:val="FootnoteReference"/>
          <w:sz w:val="20"/>
          <w:vertAlign w:val="baseline"/>
          <w:lang w:val="en-US"/>
        </w:rPr>
        <w:t>third</w:t>
      </w:r>
      <w:r w:rsidRPr="003E4F1F">
        <w:rPr>
          <w:rStyle w:val="FootnoteReference"/>
          <w:rFonts w:hint="eastAsia"/>
          <w:sz w:val="20"/>
          <w:vertAlign w:val="baseline"/>
          <w:lang w:val="en-US"/>
        </w:rPr>
        <w:t xml:space="preserve"> prosecution witness (see later) were cross-examined on their handling and transmission of Exhibit P1 for possible exposure to contamination.  Their answers formed the basis of one of the lines of </w:t>
      </w:r>
      <w:proofErr w:type="spellStart"/>
      <w:r w:rsidRPr="003E4F1F">
        <w:rPr>
          <w:rStyle w:val="FootnoteReference"/>
          <w:rFonts w:hint="eastAsia"/>
          <w:sz w:val="20"/>
          <w:vertAlign w:val="baseline"/>
          <w:lang w:val="en-US"/>
        </w:rPr>
        <w:t>defence</w:t>
      </w:r>
      <w:proofErr w:type="spellEnd"/>
      <w:r w:rsidRPr="003E4F1F">
        <w:rPr>
          <w:rStyle w:val="FootnoteReference"/>
          <w:rFonts w:hint="eastAsia"/>
          <w:sz w:val="20"/>
          <w:vertAlign w:val="baseline"/>
          <w:lang w:val="en-US"/>
        </w:rPr>
        <w:t xml:space="preserve"> of the appellant at trial and, upon his conviction, the subject matter of a number of his original grounds of appeal.  Those grounds having been denied leave by the Single Judge, and given that there was no attempt to renew them, it is </w:t>
      </w:r>
      <w:r w:rsidRPr="003E4F1F">
        <w:rPr>
          <w:rStyle w:val="FootnoteReference"/>
          <w:sz w:val="20"/>
          <w:vertAlign w:val="baseline"/>
          <w:lang w:val="en-US"/>
        </w:rPr>
        <w:t>unnecessary</w:t>
      </w:r>
      <w:r w:rsidRPr="003E4F1F">
        <w:rPr>
          <w:rStyle w:val="FootnoteReference"/>
          <w:rFonts w:hint="eastAsia"/>
          <w:sz w:val="20"/>
          <w:vertAlign w:val="baseline"/>
          <w:lang w:val="en-US"/>
        </w:rPr>
        <w:t xml:space="preserve"> to set out that part of the prosecution evidence.  For the appellant</w:t>
      </w:r>
      <w:r w:rsidRPr="003E4F1F">
        <w:rPr>
          <w:rStyle w:val="FootnoteReference"/>
          <w:sz w:val="20"/>
          <w:vertAlign w:val="baseline"/>
          <w:lang w:val="en-US"/>
        </w:rPr>
        <w:t>’</w:t>
      </w:r>
      <w:r w:rsidRPr="003E4F1F">
        <w:rPr>
          <w:rStyle w:val="FootnoteReference"/>
          <w:rFonts w:hint="eastAsia"/>
          <w:sz w:val="20"/>
          <w:vertAlign w:val="baseline"/>
          <w:lang w:val="en-US"/>
        </w:rPr>
        <w:t xml:space="preserve">s other line of </w:t>
      </w:r>
      <w:proofErr w:type="spellStart"/>
      <w:r w:rsidRPr="003E4F1F">
        <w:rPr>
          <w:rStyle w:val="FootnoteReference"/>
          <w:rFonts w:hint="eastAsia"/>
          <w:sz w:val="20"/>
          <w:vertAlign w:val="baseline"/>
          <w:lang w:val="en-US"/>
        </w:rPr>
        <w:t>defence</w:t>
      </w:r>
      <w:proofErr w:type="spellEnd"/>
      <w:r w:rsidRPr="003E4F1F">
        <w:rPr>
          <w:rStyle w:val="FootnoteReference"/>
          <w:rFonts w:hint="eastAsia"/>
          <w:sz w:val="20"/>
          <w:vertAlign w:val="baseline"/>
          <w:lang w:val="en-US"/>
        </w:rPr>
        <w:t xml:space="preserve">, see paragraph 9 of this judgment.   </w:t>
      </w:r>
    </w:p>
  </w:footnote>
  <w:footnote w:id="5">
    <w:p w:rsidR="00B0622D" w:rsidRPr="00B0622D" w:rsidRDefault="00B0622D" w:rsidP="00B0622D">
      <w:pPr>
        <w:pStyle w:val="FootnoteText"/>
        <w:tabs>
          <w:tab w:val="clear" w:pos="1440"/>
          <w:tab w:val="clear" w:pos="3946"/>
          <w:tab w:val="clear" w:pos="4234"/>
          <w:tab w:val="clear" w:pos="8453"/>
        </w:tabs>
        <w:snapToGrid/>
        <w:spacing w:after="0"/>
        <w:ind w:left="720" w:right="562" w:hanging="720"/>
        <w:rPr>
          <w:rStyle w:val="FootnoteReference"/>
          <w:sz w:val="20"/>
          <w:lang w:val="en-US"/>
        </w:rPr>
      </w:pPr>
      <w:r w:rsidRPr="00B0622D">
        <w:rPr>
          <w:rStyle w:val="FootnoteReference"/>
          <w:sz w:val="20"/>
          <w:lang w:val="en-US"/>
        </w:rPr>
        <w:footnoteRef/>
      </w:r>
      <w:r w:rsidRPr="00B0622D">
        <w:rPr>
          <w:rStyle w:val="FootnoteReference"/>
          <w:sz w:val="20"/>
          <w:lang w:val="en-US"/>
        </w:rPr>
        <w:t xml:space="preserve"> </w:t>
      </w:r>
      <w:r w:rsidRPr="00B0622D">
        <w:rPr>
          <w:rStyle w:val="FootnoteReference"/>
          <w:rFonts w:hint="eastAsia"/>
          <w:sz w:val="20"/>
          <w:lang w:val="en-US"/>
        </w:rPr>
        <w:t xml:space="preserve"> </w:t>
      </w:r>
      <w:r>
        <w:rPr>
          <w:rStyle w:val="FootnoteReference"/>
          <w:sz w:val="20"/>
          <w:lang w:val="en-US"/>
        </w:rPr>
        <w:tab/>
      </w:r>
      <w:r w:rsidRPr="00B0622D">
        <w:rPr>
          <w:rStyle w:val="FootnoteReference"/>
          <w:rFonts w:hint="eastAsia"/>
          <w:sz w:val="20"/>
          <w:vertAlign w:val="baseline"/>
          <w:lang w:val="en-US"/>
        </w:rPr>
        <w:t xml:space="preserve">This is a matter of admitted fact, although the exact circumstances in which the appellant had </w:t>
      </w:r>
      <w:r w:rsidRPr="00B0622D">
        <w:rPr>
          <w:rStyle w:val="FootnoteReference"/>
          <w:sz w:val="20"/>
          <w:vertAlign w:val="baseline"/>
          <w:lang w:val="en-US"/>
        </w:rPr>
        <w:t>provided</w:t>
      </w:r>
      <w:r w:rsidRPr="00B0622D">
        <w:rPr>
          <w:rStyle w:val="FootnoteReference"/>
          <w:rFonts w:hint="eastAsia"/>
          <w:sz w:val="20"/>
          <w:vertAlign w:val="baseline"/>
          <w:lang w:val="en-US"/>
        </w:rPr>
        <w:t xml:space="preserve"> his DNA samples were not disclosed at trial.  It was also an admitted fact that the appellant was in Hong Kong at the time of the burglary.  See Appeal Bundle, page 9.</w:t>
      </w:r>
      <w:r w:rsidRPr="00B0622D">
        <w:rPr>
          <w:rStyle w:val="FootnoteReference"/>
          <w:rFonts w:hint="eastAsia"/>
          <w:sz w:val="20"/>
          <w:lang w:val="en-US"/>
        </w:rPr>
        <w:t xml:space="preserve">  </w:t>
      </w:r>
    </w:p>
  </w:footnote>
  <w:footnote w:id="6">
    <w:p w:rsidR="00DF577E" w:rsidRPr="00063B67" w:rsidRDefault="00DF577E" w:rsidP="00063B67">
      <w:pPr>
        <w:pStyle w:val="FootnoteText"/>
        <w:tabs>
          <w:tab w:val="clear" w:pos="1440"/>
          <w:tab w:val="clear" w:pos="3946"/>
          <w:tab w:val="clear" w:pos="4234"/>
          <w:tab w:val="clear" w:pos="8453"/>
        </w:tabs>
        <w:snapToGrid/>
        <w:spacing w:after="0"/>
        <w:ind w:left="720" w:right="562" w:hanging="720"/>
        <w:rPr>
          <w:rStyle w:val="FootnoteReference"/>
          <w:sz w:val="20"/>
          <w:lang w:val="en-US"/>
        </w:rPr>
      </w:pPr>
      <w:r w:rsidRPr="00063B67">
        <w:rPr>
          <w:rStyle w:val="FootnoteReference"/>
          <w:sz w:val="20"/>
          <w:lang w:val="en-US"/>
        </w:rPr>
        <w:footnoteRef/>
      </w:r>
      <w:r w:rsidRPr="00063B67">
        <w:rPr>
          <w:rStyle w:val="FootnoteReference"/>
          <w:sz w:val="20"/>
          <w:lang w:val="en-US"/>
        </w:rPr>
        <w:t xml:space="preserve"> </w:t>
      </w:r>
      <w:r w:rsidRPr="00063B67">
        <w:rPr>
          <w:rStyle w:val="FootnoteReference"/>
          <w:rFonts w:hint="eastAsia"/>
          <w:sz w:val="20"/>
          <w:lang w:val="en-US"/>
        </w:rPr>
        <w:t xml:space="preserve"> </w:t>
      </w:r>
      <w:r w:rsidR="00063B67">
        <w:rPr>
          <w:sz w:val="20"/>
          <w:lang w:val="en-US"/>
        </w:rPr>
        <w:tab/>
      </w:r>
      <w:r w:rsidRPr="00063B67">
        <w:rPr>
          <w:rStyle w:val="FootnoteReference"/>
          <w:rFonts w:hint="eastAsia"/>
          <w:sz w:val="20"/>
          <w:vertAlign w:val="baseline"/>
          <w:lang w:val="en-US"/>
        </w:rPr>
        <w:t>See Appeal Bundle, pages 72A</w:t>
      </w:r>
      <w:r w:rsidRPr="00063B67">
        <w:rPr>
          <w:rStyle w:val="FootnoteReference"/>
          <w:sz w:val="20"/>
          <w:vertAlign w:val="baseline"/>
          <w:lang w:val="en-US"/>
        </w:rPr>
        <w:t>–</w:t>
      </w:r>
      <w:r w:rsidRPr="00063B67">
        <w:rPr>
          <w:rStyle w:val="FootnoteReference"/>
          <w:rFonts w:hint="eastAsia"/>
          <w:sz w:val="20"/>
          <w:vertAlign w:val="baseline"/>
          <w:lang w:val="en-US"/>
        </w:rPr>
        <w:t>73M.  A written version of the judge</w:t>
      </w:r>
      <w:r w:rsidRPr="00063B67">
        <w:rPr>
          <w:rStyle w:val="FootnoteReference"/>
          <w:sz w:val="20"/>
          <w:vertAlign w:val="baseline"/>
          <w:lang w:val="en-US"/>
        </w:rPr>
        <w:t>’</w:t>
      </w:r>
      <w:r w:rsidRPr="00063B67">
        <w:rPr>
          <w:rStyle w:val="FootnoteReference"/>
          <w:rFonts w:hint="eastAsia"/>
          <w:sz w:val="20"/>
          <w:vertAlign w:val="baseline"/>
          <w:lang w:val="en-US"/>
        </w:rPr>
        <w:t xml:space="preserve">s ruling also appears in the Reasons for Verdict, under the section </w:t>
      </w:r>
      <w:r w:rsidRPr="00063B67">
        <w:rPr>
          <w:rStyle w:val="FootnoteReference"/>
          <w:sz w:val="20"/>
          <w:vertAlign w:val="baseline"/>
          <w:lang w:val="en-US"/>
        </w:rPr>
        <w:t>“</w:t>
      </w:r>
      <w:r w:rsidRPr="00063B67">
        <w:rPr>
          <w:rStyle w:val="FootnoteReference"/>
          <w:rFonts w:hint="eastAsia"/>
          <w:sz w:val="20"/>
          <w:vertAlign w:val="baseline"/>
          <w:lang w:val="en-US"/>
        </w:rPr>
        <w:t>Rebuttal Evidence</w:t>
      </w:r>
      <w:r w:rsidRPr="00063B67">
        <w:rPr>
          <w:rStyle w:val="FootnoteReference"/>
          <w:sz w:val="20"/>
          <w:vertAlign w:val="baseline"/>
          <w:lang w:val="en-US"/>
        </w:rPr>
        <w:t>”</w:t>
      </w:r>
      <w:r w:rsidRPr="00063B67">
        <w:rPr>
          <w:rStyle w:val="FootnoteReference"/>
          <w:rFonts w:hint="eastAsia"/>
          <w:sz w:val="20"/>
          <w:vertAlign w:val="baseline"/>
          <w:lang w:val="en-US"/>
        </w:rPr>
        <w:t xml:space="preserve">.  </w:t>
      </w:r>
    </w:p>
  </w:footnote>
  <w:footnote w:id="7">
    <w:p w:rsidR="00DF577E" w:rsidRPr="00063B67" w:rsidRDefault="00DF577E" w:rsidP="00063B67">
      <w:pPr>
        <w:pStyle w:val="FootnoteText"/>
        <w:tabs>
          <w:tab w:val="clear" w:pos="1440"/>
          <w:tab w:val="clear" w:pos="3946"/>
          <w:tab w:val="clear" w:pos="4234"/>
          <w:tab w:val="clear" w:pos="8453"/>
        </w:tabs>
        <w:snapToGrid/>
        <w:spacing w:after="0"/>
        <w:ind w:left="720" w:right="562" w:hanging="720"/>
        <w:rPr>
          <w:rStyle w:val="FootnoteReference"/>
          <w:sz w:val="20"/>
          <w:lang w:val="en-US"/>
        </w:rPr>
      </w:pPr>
      <w:r w:rsidRPr="00063B67">
        <w:rPr>
          <w:rStyle w:val="FootnoteReference"/>
          <w:sz w:val="20"/>
          <w:lang w:val="en-US"/>
        </w:rPr>
        <w:footnoteRef/>
      </w:r>
      <w:r w:rsidRPr="00063B67">
        <w:rPr>
          <w:rStyle w:val="FootnoteReference"/>
          <w:sz w:val="20"/>
          <w:lang w:val="en-US"/>
        </w:rPr>
        <w:t xml:space="preserve"> </w:t>
      </w:r>
      <w:r w:rsidRPr="00063B67">
        <w:rPr>
          <w:rStyle w:val="FootnoteReference"/>
          <w:rFonts w:hint="eastAsia"/>
          <w:sz w:val="20"/>
          <w:lang w:val="en-US"/>
        </w:rPr>
        <w:t xml:space="preserve"> </w:t>
      </w:r>
      <w:r w:rsidR="00063B67">
        <w:rPr>
          <w:rStyle w:val="FootnoteReference"/>
          <w:sz w:val="20"/>
          <w:lang w:val="en-US"/>
        </w:rPr>
        <w:tab/>
      </w:r>
      <w:r w:rsidRPr="00063B67">
        <w:rPr>
          <w:rStyle w:val="FootnoteReference"/>
          <w:rFonts w:hint="eastAsia"/>
          <w:sz w:val="20"/>
          <w:vertAlign w:val="baseline"/>
          <w:lang w:val="en-US"/>
        </w:rPr>
        <w:t>That evidence was given some six weeks later on 27 April 2015.</w:t>
      </w:r>
    </w:p>
  </w:footnote>
  <w:footnote w:id="8">
    <w:p w:rsidR="00756BEE" w:rsidRPr="00C60AF7" w:rsidRDefault="00756BEE" w:rsidP="00C60AF7">
      <w:pPr>
        <w:pStyle w:val="FootnoteText"/>
        <w:tabs>
          <w:tab w:val="clear" w:pos="1440"/>
          <w:tab w:val="clear" w:pos="3946"/>
          <w:tab w:val="clear" w:pos="4234"/>
          <w:tab w:val="clear" w:pos="8453"/>
        </w:tabs>
        <w:snapToGrid/>
        <w:spacing w:after="0"/>
        <w:ind w:left="720" w:right="562" w:hanging="720"/>
        <w:rPr>
          <w:rStyle w:val="FootnoteReference"/>
          <w:sz w:val="20"/>
          <w:lang w:val="en-US"/>
        </w:rPr>
      </w:pPr>
      <w:r w:rsidRPr="00C60AF7">
        <w:rPr>
          <w:rStyle w:val="FootnoteReference"/>
          <w:sz w:val="20"/>
          <w:lang w:val="en-US"/>
        </w:rPr>
        <w:footnoteRef/>
      </w:r>
      <w:r w:rsidRPr="00C60AF7">
        <w:rPr>
          <w:rStyle w:val="FootnoteReference"/>
          <w:rFonts w:hint="eastAsia"/>
          <w:sz w:val="20"/>
          <w:lang w:val="en-US"/>
        </w:rPr>
        <w:t xml:space="preserve">  </w:t>
      </w:r>
      <w:r w:rsidR="00C60AF7">
        <w:rPr>
          <w:rStyle w:val="FootnoteReference"/>
          <w:sz w:val="20"/>
          <w:lang w:val="en-US"/>
        </w:rPr>
        <w:tab/>
      </w:r>
      <w:r w:rsidRPr="00C60AF7">
        <w:rPr>
          <w:rStyle w:val="FootnoteReference"/>
          <w:rFonts w:hint="eastAsia"/>
          <w:sz w:val="20"/>
          <w:vertAlign w:val="baseline"/>
          <w:lang w:val="en-US"/>
        </w:rPr>
        <w:t>These are taken verbatim from the Perfected Grounds of Appeal.</w:t>
      </w:r>
      <w:r w:rsidRPr="00C60AF7">
        <w:rPr>
          <w:rStyle w:val="FootnoteReference"/>
          <w:rFonts w:hint="eastAsia"/>
          <w:sz w:val="20"/>
          <w:lang w:val="en-US"/>
        </w:rPr>
        <w:t xml:space="preserve"> </w:t>
      </w:r>
      <w:r w:rsidRPr="00C60AF7">
        <w:rPr>
          <w:rStyle w:val="FootnoteReference"/>
          <w:sz w:val="20"/>
          <w:lang w:val="en-US"/>
        </w:rPr>
        <w:t xml:space="preserve"> </w:t>
      </w:r>
    </w:p>
  </w:footnote>
  <w:footnote w:id="9">
    <w:p w:rsidR="00C60AF7" w:rsidRPr="00C60AF7" w:rsidRDefault="00C60AF7" w:rsidP="00C60AF7">
      <w:pPr>
        <w:pStyle w:val="FootnoteText"/>
        <w:tabs>
          <w:tab w:val="clear" w:pos="1440"/>
          <w:tab w:val="clear" w:pos="3946"/>
          <w:tab w:val="clear" w:pos="4234"/>
          <w:tab w:val="clear" w:pos="8453"/>
        </w:tabs>
        <w:snapToGrid/>
        <w:spacing w:after="0"/>
        <w:ind w:left="720" w:right="562" w:hanging="720"/>
        <w:rPr>
          <w:rStyle w:val="FootnoteReference"/>
          <w:sz w:val="20"/>
          <w:lang w:val="en-US"/>
        </w:rPr>
      </w:pPr>
      <w:r w:rsidRPr="00C60AF7">
        <w:rPr>
          <w:rStyle w:val="FootnoteReference"/>
          <w:sz w:val="20"/>
          <w:lang w:val="en-US"/>
        </w:rPr>
        <w:footnoteRef/>
      </w:r>
      <w:r w:rsidRPr="00C60AF7">
        <w:rPr>
          <w:rStyle w:val="FootnoteReference"/>
          <w:sz w:val="20"/>
          <w:lang w:val="en-US"/>
        </w:rPr>
        <w:t xml:space="preserve"> </w:t>
      </w:r>
      <w:r w:rsidRPr="00C60AF7">
        <w:rPr>
          <w:rStyle w:val="FootnoteReference"/>
          <w:rFonts w:hint="eastAsia"/>
          <w:sz w:val="20"/>
          <w:lang w:val="en-US"/>
        </w:rPr>
        <w:t xml:space="preserve"> </w:t>
      </w:r>
      <w:r>
        <w:rPr>
          <w:rStyle w:val="FootnoteReference"/>
          <w:sz w:val="20"/>
          <w:lang w:val="en-US"/>
        </w:rPr>
        <w:tab/>
      </w:r>
      <w:r w:rsidRPr="00C60AF7">
        <w:rPr>
          <w:rStyle w:val="FootnoteReference"/>
          <w:rFonts w:hint="eastAsia"/>
          <w:sz w:val="20"/>
          <w:vertAlign w:val="baseline"/>
          <w:lang w:val="en-US"/>
        </w:rPr>
        <w:t xml:space="preserve">As pointed out in footnote 4, contamination by procedural breaches was one of the lines of </w:t>
      </w:r>
      <w:proofErr w:type="spellStart"/>
      <w:r w:rsidRPr="00C60AF7">
        <w:rPr>
          <w:rStyle w:val="FootnoteReference"/>
          <w:rFonts w:hint="eastAsia"/>
          <w:sz w:val="20"/>
          <w:vertAlign w:val="baseline"/>
          <w:lang w:val="en-US"/>
        </w:rPr>
        <w:t>defence</w:t>
      </w:r>
      <w:proofErr w:type="spellEnd"/>
      <w:r w:rsidRPr="00C60AF7">
        <w:rPr>
          <w:rStyle w:val="FootnoteReference"/>
          <w:rFonts w:hint="eastAsia"/>
          <w:sz w:val="20"/>
          <w:vertAlign w:val="baseline"/>
          <w:lang w:val="en-US"/>
        </w:rPr>
        <w:t xml:space="preserve"> at trial, now abandoned as a ground or grounds of appeal.</w:t>
      </w:r>
    </w:p>
  </w:footnote>
  <w:footnote w:id="10">
    <w:p w:rsidR="00C60AF7" w:rsidRPr="00C60AF7" w:rsidRDefault="00C60AF7" w:rsidP="00C60AF7">
      <w:pPr>
        <w:pStyle w:val="FootnoteText"/>
        <w:tabs>
          <w:tab w:val="clear" w:pos="1440"/>
          <w:tab w:val="clear" w:pos="3946"/>
          <w:tab w:val="clear" w:pos="4234"/>
          <w:tab w:val="clear" w:pos="8453"/>
        </w:tabs>
        <w:snapToGrid/>
        <w:spacing w:after="0"/>
        <w:ind w:left="720" w:right="562" w:hanging="720"/>
        <w:rPr>
          <w:rStyle w:val="FootnoteReference"/>
          <w:sz w:val="20"/>
          <w:lang w:val="en-US"/>
        </w:rPr>
      </w:pPr>
      <w:r w:rsidRPr="00C60AF7">
        <w:rPr>
          <w:rStyle w:val="FootnoteReference"/>
          <w:sz w:val="20"/>
          <w:lang w:val="en-US"/>
        </w:rPr>
        <w:footnoteRef/>
      </w:r>
      <w:r w:rsidRPr="00C60AF7">
        <w:rPr>
          <w:rStyle w:val="FootnoteReference"/>
          <w:sz w:val="20"/>
          <w:lang w:val="en-US"/>
        </w:rPr>
        <w:t xml:space="preserve"> </w:t>
      </w:r>
      <w:r>
        <w:rPr>
          <w:rStyle w:val="FootnoteReference"/>
          <w:sz w:val="20"/>
          <w:lang w:val="en-US"/>
        </w:rPr>
        <w:tab/>
      </w:r>
      <w:r w:rsidRPr="00C60AF7">
        <w:rPr>
          <w:rStyle w:val="FootnoteReference"/>
          <w:rFonts w:hint="eastAsia"/>
          <w:sz w:val="20"/>
          <w:vertAlign w:val="baseline"/>
          <w:lang w:val="en-US"/>
        </w:rPr>
        <w:t>Dandruff is a kind of skin cell according to Ms Wong, the prosecution expert.</w:t>
      </w:r>
    </w:p>
  </w:footnote>
  <w:footnote w:id="11">
    <w:p w:rsidR="00871A9E" w:rsidRPr="00871A9E" w:rsidRDefault="00871A9E" w:rsidP="00871A9E">
      <w:pPr>
        <w:pStyle w:val="FootnoteText"/>
        <w:tabs>
          <w:tab w:val="clear" w:pos="1440"/>
          <w:tab w:val="clear" w:pos="3946"/>
          <w:tab w:val="clear" w:pos="4234"/>
          <w:tab w:val="clear" w:pos="8453"/>
        </w:tabs>
        <w:snapToGrid/>
        <w:spacing w:after="0"/>
        <w:ind w:left="720" w:right="562" w:hanging="720"/>
        <w:rPr>
          <w:rStyle w:val="FootnoteReference"/>
          <w:sz w:val="20"/>
          <w:lang w:val="en-US"/>
        </w:rPr>
      </w:pPr>
      <w:r w:rsidRPr="00871A9E">
        <w:rPr>
          <w:rStyle w:val="FootnoteReference"/>
          <w:sz w:val="20"/>
          <w:lang w:val="en-US"/>
        </w:rPr>
        <w:footnoteRef/>
      </w:r>
      <w:r w:rsidRPr="00871A9E">
        <w:rPr>
          <w:rStyle w:val="FootnoteReference"/>
          <w:rFonts w:hint="eastAsia"/>
          <w:sz w:val="20"/>
          <w:lang w:val="en-US"/>
        </w:rPr>
        <w:t xml:space="preserve"> </w:t>
      </w:r>
      <w:r>
        <w:rPr>
          <w:rStyle w:val="FootnoteReference"/>
          <w:sz w:val="20"/>
          <w:lang w:val="en-US"/>
        </w:rPr>
        <w:tab/>
      </w:r>
      <w:r w:rsidRPr="00871A9E">
        <w:rPr>
          <w:rStyle w:val="FootnoteReference"/>
          <w:rFonts w:hint="eastAsia"/>
          <w:sz w:val="20"/>
          <w:vertAlign w:val="baseline"/>
          <w:lang w:val="en-US"/>
        </w:rPr>
        <w:t>That is, the cross-examination before she was recalled; see Appeal Bundle pages 46</w:t>
      </w:r>
      <w:r w:rsidRPr="00871A9E">
        <w:rPr>
          <w:rStyle w:val="FootnoteReference"/>
          <w:sz w:val="20"/>
          <w:vertAlign w:val="baseline"/>
          <w:lang w:val="en-US"/>
        </w:rPr>
        <w:t>–</w:t>
      </w:r>
      <w:r w:rsidRPr="00871A9E">
        <w:rPr>
          <w:rStyle w:val="FootnoteReference"/>
          <w:rFonts w:hint="eastAsia"/>
          <w:sz w:val="20"/>
          <w:vertAlign w:val="baseline"/>
          <w:lang w:val="en-US"/>
        </w:rPr>
        <w:t>52.</w:t>
      </w:r>
      <w:r w:rsidRPr="00871A9E">
        <w:rPr>
          <w:rStyle w:val="FootnoteReference"/>
          <w:rFonts w:hint="eastAsia"/>
          <w:sz w:val="20"/>
          <w:lang w:val="en-US"/>
        </w:rPr>
        <w:t xml:space="preserve"> </w:t>
      </w:r>
      <w:r w:rsidRPr="00871A9E">
        <w:rPr>
          <w:rStyle w:val="FootnoteReference"/>
          <w:sz w:val="20"/>
          <w:lang w:val="en-US"/>
        </w:rPr>
        <w:t xml:space="preserve"> </w:t>
      </w:r>
    </w:p>
  </w:footnote>
  <w:footnote w:id="12">
    <w:p w:rsidR="00871A9E" w:rsidRPr="00871A9E" w:rsidRDefault="00871A9E" w:rsidP="00871A9E">
      <w:pPr>
        <w:pStyle w:val="FootnoteText"/>
        <w:tabs>
          <w:tab w:val="clear" w:pos="1440"/>
          <w:tab w:val="clear" w:pos="3946"/>
          <w:tab w:val="clear" w:pos="4234"/>
          <w:tab w:val="clear" w:pos="8453"/>
        </w:tabs>
        <w:snapToGrid/>
        <w:spacing w:after="0"/>
        <w:ind w:left="720" w:right="562" w:hanging="720"/>
        <w:rPr>
          <w:rStyle w:val="FootnoteReference"/>
          <w:sz w:val="20"/>
          <w:lang w:val="en-US"/>
        </w:rPr>
      </w:pPr>
      <w:r w:rsidRPr="00871A9E">
        <w:rPr>
          <w:rStyle w:val="FootnoteReference"/>
          <w:sz w:val="20"/>
          <w:lang w:val="en-US"/>
        </w:rPr>
        <w:footnoteRef/>
      </w:r>
      <w:r w:rsidRPr="00871A9E">
        <w:rPr>
          <w:rStyle w:val="FootnoteReference"/>
          <w:sz w:val="20"/>
          <w:lang w:val="en-US"/>
        </w:rPr>
        <w:t xml:space="preserve"> </w:t>
      </w:r>
      <w:r>
        <w:rPr>
          <w:rStyle w:val="FootnoteReference"/>
          <w:sz w:val="20"/>
          <w:lang w:val="en-US"/>
        </w:rPr>
        <w:tab/>
      </w:r>
      <w:r w:rsidRPr="00871A9E">
        <w:rPr>
          <w:rStyle w:val="FootnoteReference"/>
          <w:rFonts w:hint="eastAsia"/>
          <w:sz w:val="20"/>
          <w:vertAlign w:val="baseline"/>
          <w:lang w:val="en-US"/>
        </w:rPr>
        <w:t>See paragraph 31 of the Reasons for Verdict under paragraph 6 of this judgment; also, pages 51I and 52N of the Appeal Bundle.</w:t>
      </w:r>
      <w:r w:rsidRPr="00871A9E">
        <w:rPr>
          <w:rStyle w:val="FootnoteReference"/>
          <w:rFonts w:hint="eastAsia"/>
          <w:sz w:val="20"/>
          <w:lang w:val="en-US"/>
        </w:rPr>
        <w:t xml:space="preserve">  </w:t>
      </w:r>
    </w:p>
  </w:footnote>
  <w:footnote w:id="13">
    <w:p w:rsidR="00871A9E" w:rsidRPr="00871A9E" w:rsidRDefault="00871A9E" w:rsidP="00871A9E">
      <w:pPr>
        <w:pStyle w:val="FootnoteText"/>
        <w:tabs>
          <w:tab w:val="clear" w:pos="1440"/>
          <w:tab w:val="clear" w:pos="3946"/>
          <w:tab w:val="clear" w:pos="4234"/>
          <w:tab w:val="clear" w:pos="8453"/>
        </w:tabs>
        <w:snapToGrid/>
        <w:spacing w:after="0"/>
        <w:ind w:left="720" w:right="562" w:hanging="720"/>
        <w:rPr>
          <w:rStyle w:val="FootnoteReference"/>
          <w:sz w:val="20"/>
          <w:lang w:val="en-US"/>
        </w:rPr>
      </w:pPr>
      <w:r w:rsidRPr="00871A9E">
        <w:rPr>
          <w:rStyle w:val="FootnoteReference"/>
          <w:sz w:val="20"/>
          <w:lang w:val="en-US"/>
        </w:rPr>
        <w:footnoteRef/>
      </w:r>
      <w:r w:rsidRPr="00871A9E">
        <w:rPr>
          <w:rStyle w:val="FootnoteReference"/>
          <w:sz w:val="20"/>
          <w:lang w:val="en-US"/>
        </w:rPr>
        <w:t xml:space="preserve"> </w:t>
      </w:r>
      <w:r>
        <w:rPr>
          <w:rStyle w:val="FootnoteReference"/>
          <w:sz w:val="20"/>
          <w:lang w:val="en-US"/>
        </w:rPr>
        <w:tab/>
      </w:r>
      <w:r w:rsidRPr="00871A9E">
        <w:rPr>
          <w:rStyle w:val="FootnoteReference"/>
          <w:rFonts w:hint="eastAsia"/>
          <w:sz w:val="20"/>
          <w:vertAlign w:val="baseline"/>
          <w:lang w:val="en-US"/>
        </w:rPr>
        <w:t xml:space="preserve">Appeal Bundle, page 56. </w:t>
      </w:r>
    </w:p>
  </w:footnote>
  <w:footnote w:id="14">
    <w:p w:rsidR="00871A9E" w:rsidRPr="00871A9E" w:rsidRDefault="00871A9E" w:rsidP="00871A9E">
      <w:pPr>
        <w:pStyle w:val="FootnoteText"/>
        <w:tabs>
          <w:tab w:val="clear" w:pos="1440"/>
          <w:tab w:val="clear" w:pos="3946"/>
          <w:tab w:val="clear" w:pos="4234"/>
          <w:tab w:val="clear" w:pos="8453"/>
        </w:tabs>
        <w:snapToGrid/>
        <w:spacing w:after="0"/>
        <w:ind w:left="720" w:right="562" w:hanging="720"/>
        <w:rPr>
          <w:rStyle w:val="FootnoteReference"/>
          <w:sz w:val="20"/>
          <w:lang w:val="en-US"/>
        </w:rPr>
      </w:pPr>
      <w:r w:rsidRPr="00871A9E">
        <w:rPr>
          <w:rStyle w:val="FootnoteReference"/>
          <w:sz w:val="20"/>
          <w:lang w:val="en-US"/>
        </w:rPr>
        <w:footnoteRef/>
      </w:r>
      <w:r w:rsidRPr="00871A9E">
        <w:rPr>
          <w:rStyle w:val="FootnoteReference"/>
          <w:sz w:val="20"/>
          <w:lang w:val="en-US"/>
        </w:rPr>
        <w:t xml:space="preserve"> </w:t>
      </w:r>
      <w:r>
        <w:rPr>
          <w:rStyle w:val="FootnoteReference"/>
          <w:sz w:val="20"/>
          <w:lang w:val="en-US"/>
        </w:rPr>
        <w:tab/>
      </w:r>
      <w:r w:rsidRPr="00871A9E">
        <w:rPr>
          <w:rStyle w:val="FootnoteReference"/>
          <w:rFonts w:hint="eastAsia"/>
          <w:sz w:val="20"/>
          <w:vertAlign w:val="baseline"/>
          <w:lang w:val="en-US"/>
        </w:rPr>
        <w:t>Appeal Bundle, pages 51T</w:t>
      </w:r>
      <w:r w:rsidRPr="00871A9E">
        <w:rPr>
          <w:rStyle w:val="FootnoteReference"/>
          <w:sz w:val="20"/>
          <w:vertAlign w:val="baseline"/>
          <w:lang w:val="en-US"/>
        </w:rPr>
        <w:t>–</w:t>
      </w:r>
      <w:r w:rsidRPr="00871A9E">
        <w:rPr>
          <w:rStyle w:val="FootnoteReference"/>
          <w:rFonts w:hint="eastAsia"/>
          <w:sz w:val="20"/>
          <w:vertAlign w:val="baseline"/>
          <w:lang w:val="en-US"/>
        </w:rPr>
        <w:t>52E.  See also footnote 20 below.</w:t>
      </w:r>
    </w:p>
    <w:p w:rsidR="00871A9E" w:rsidRPr="00DD05AD" w:rsidRDefault="00871A9E" w:rsidP="00871A9E">
      <w:pPr>
        <w:pStyle w:val="FootnoteText"/>
        <w:rPr>
          <w:rFonts w:eastAsia="SimSun"/>
        </w:rPr>
      </w:pPr>
    </w:p>
  </w:footnote>
  <w:footnote w:id="15">
    <w:p w:rsidR="00EC1C45" w:rsidRPr="00EC1C45" w:rsidRDefault="00EC1C45" w:rsidP="00EC1C45">
      <w:pPr>
        <w:pStyle w:val="FootnoteText"/>
        <w:tabs>
          <w:tab w:val="clear" w:pos="1440"/>
          <w:tab w:val="clear" w:pos="3946"/>
          <w:tab w:val="clear" w:pos="4234"/>
          <w:tab w:val="clear" w:pos="8453"/>
        </w:tabs>
        <w:snapToGrid/>
        <w:spacing w:after="0"/>
        <w:ind w:left="720" w:right="562" w:hanging="720"/>
        <w:rPr>
          <w:rStyle w:val="FootnoteReference"/>
          <w:sz w:val="20"/>
          <w:lang w:val="en-US"/>
        </w:rPr>
      </w:pPr>
      <w:r w:rsidRPr="00EC1C45">
        <w:rPr>
          <w:rStyle w:val="FootnoteReference"/>
          <w:sz w:val="20"/>
          <w:lang w:val="en-US"/>
        </w:rPr>
        <w:footnoteRef/>
      </w:r>
      <w:r w:rsidRPr="00EC1C45">
        <w:rPr>
          <w:rStyle w:val="FootnoteReference"/>
          <w:sz w:val="20"/>
          <w:lang w:val="en-US"/>
        </w:rPr>
        <w:t xml:space="preserve"> </w:t>
      </w:r>
      <w:r>
        <w:rPr>
          <w:rStyle w:val="FootnoteReference"/>
          <w:sz w:val="20"/>
          <w:lang w:val="en-US"/>
        </w:rPr>
        <w:tab/>
      </w:r>
      <w:r w:rsidRPr="00EC1C45">
        <w:rPr>
          <w:rStyle w:val="FootnoteReference"/>
          <w:rFonts w:hint="eastAsia"/>
          <w:sz w:val="20"/>
          <w:vertAlign w:val="baseline"/>
          <w:lang w:val="en-US"/>
        </w:rPr>
        <w:t>This is one of the appellant</w:t>
      </w:r>
      <w:r w:rsidRPr="00EC1C45">
        <w:rPr>
          <w:rStyle w:val="FootnoteReference"/>
          <w:sz w:val="20"/>
          <w:vertAlign w:val="baseline"/>
          <w:lang w:val="en-US"/>
        </w:rPr>
        <w:t>’</w:t>
      </w:r>
      <w:r w:rsidRPr="00EC1C45">
        <w:rPr>
          <w:rStyle w:val="FootnoteReference"/>
          <w:rFonts w:hint="eastAsia"/>
          <w:sz w:val="20"/>
          <w:vertAlign w:val="baseline"/>
          <w:lang w:val="en-US"/>
        </w:rPr>
        <w:t>s major arguments.</w:t>
      </w:r>
    </w:p>
  </w:footnote>
  <w:footnote w:id="16">
    <w:p w:rsidR="00EC1C45" w:rsidRPr="00EC1C45" w:rsidRDefault="00EC1C45" w:rsidP="00EC1C45">
      <w:pPr>
        <w:pStyle w:val="FootnoteText"/>
        <w:tabs>
          <w:tab w:val="clear" w:pos="1440"/>
          <w:tab w:val="clear" w:pos="3946"/>
          <w:tab w:val="clear" w:pos="4234"/>
          <w:tab w:val="clear" w:pos="8453"/>
        </w:tabs>
        <w:snapToGrid/>
        <w:spacing w:after="0"/>
        <w:ind w:left="720" w:right="562" w:hanging="720"/>
        <w:rPr>
          <w:rStyle w:val="FootnoteReference"/>
          <w:sz w:val="20"/>
          <w:lang w:val="en-US"/>
        </w:rPr>
      </w:pPr>
      <w:r w:rsidRPr="00EC1C45">
        <w:rPr>
          <w:rStyle w:val="FootnoteReference"/>
          <w:sz w:val="20"/>
          <w:lang w:val="en-US"/>
        </w:rPr>
        <w:footnoteRef/>
      </w:r>
      <w:r w:rsidRPr="00EC1C45">
        <w:rPr>
          <w:rStyle w:val="FootnoteReference"/>
          <w:sz w:val="20"/>
          <w:lang w:val="en-US"/>
        </w:rPr>
        <w:t xml:space="preserve"> </w:t>
      </w:r>
      <w:r>
        <w:rPr>
          <w:rStyle w:val="FootnoteReference"/>
          <w:sz w:val="20"/>
          <w:lang w:val="en-US"/>
        </w:rPr>
        <w:tab/>
      </w:r>
      <w:r w:rsidRPr="00EC1C45">
        <w:rPr>
          <w:rStyle w:val="FootnoteReference"/>
          <w:rFonts w:hint="eastAsia"/>
          <w:sz w:val="20"/>
          <w:vertAlign w:val="baseline"/>
          <w:lang w:val="en-US"/>
        </w:rPr>
        <w:t>This is another one of the appellant</w:t>
      </w:r>
      <w:r w:rsidRPr="00EC1C45">
        <w:rPr>
          <w:rStyle w:val="FootnoteReference"/>
          <w:sz w:val="20"/>
          <w:vertAlign w:val="baseline"/>
          <w:lang w:val="en-US"/>
        </w:rPr>
        <w:t>’</w:t>
      </w:r>
      <w:r w:rsidRPr="00EC1C45">
        <w:rPr>
          <w:rStyle w:val="FootnoteReference"/>
          <w:rFonts w:hint="eastAsia"/>
          <w:sz w:val="20"/>
          <w:vertAlign w:val="baseline"/>
          <w:lang w:val="en-US"/>
        </w:rPr>
        <w:t>s major arguments, citing a District Court decision.</w:t>
      </w:r>
    </w:p>
  </w:footnote>
  <w:footnote w:id="17">
    <w:p w:rsidR="00EC1C45" w:rsidRPr="00362C52" w:rsidRDefault="00EC1C45" w:rsidP="00362C52">
      <w:pPr>
        <w:pStyle w:val="FootnoteText"/>
        <w:tabs>
          <w:tab w:val="clear" w:pos="1440"/>
          <w:tab w:val="clear" w:pos="3946"/>
          <w:tab w:val="clear" w:pos="4234"/>
          <w:tab w:val="clear" w:pos="8453"/>
        </w:tabs>
        <w:snapToGrid/>
        <w:spacing w:after="0"/>
        <w:ind w:left="720" w:right="562" w:hanging="720"/>
        <w:rPr>
          <w:rStyle w:val="FootnoteReference"/>
          <w:sz w:val="20"/>
          <w:lang w:val="en-US"/>
        </w:rPr>
      </w:pPr>
      <w:r w:rsidRPr="00362C52">
        <w:rPr>
          <w:rStyle w:val="FootnoteReference"/>
          <w:sz w:val="20"/>
          <w:lang w:val="en-US"/>
        </w:rPr>
        <w:footnoteRef/>
      </w:r>
      <w:r w:rsidRPr="00362C52">
        <w:rPr>
          <w:rStyle w:val="FootnoteReference"/>
          <w:sz w:val="20"/>
          <w:lang w:val="en-US"/>
        </w:rPr>
        <w:t xml:space="preserve"> </w:t>
      </w:r>
      <w:r w:rsidR="00362C52">
        <w:rPr>
          <w:rStyle w:val="FootnoteReference"/>
          <w:sz w:val="20"/>
          <w:lang w:val="en-US"/>
        </w:rPr>
        <w:tab/>
      </w:r>
      <w:r w:rsidRPr="00362C52">
        <w:rPr>
          <w:rStyle w:val="FootnoteReference"/>
          <w:rFonts w:hint="eastAsia"/>
          <w:sz w:val="20"/>
          <w:vertAlign w:val="baseline"/>
          <w:lang w:val="en-US"/>
        </w:rPr>
        <w:t xml:space="preserve">See, for </w:t>
      </w:r>
      <w:r w:rsidRPr="00362C52">
        <w:rPr>
          <w:rStyle w:val="FootnoteReference"/>
          <w:sz w:val="20"/>
          <w:vertAlign w:val="baseline"/>
          <w:lang w:val="en-US"/>
        </w:rPr>
        <w:t xml:space="preserve">example, </w:t>
      </w:r>
      <w:r w:rsidRPr="00883F8F">
        <w:rPr>
          <w:rStyle w:val="FootnoteReference"/>
          <w:i/>
          <w:sz w:val="20"/>
          <w:vertAlign w:val="baseline"/>
          <w:lang w:val="en-US"/>
        </w:rPr>
        <w:t>R v Grant</w:t>
      </w:r>
      <w:r w:rsidRPr="00362C52">
        <w:rPr>
          <w:rStyle w:val="FootnoteReference"/>
          <w:sz w:val="20"/>
          <w:vertAlign w:val="baseline"/>
          <w:lang w:val="en-US"/>
        </w:rPr>
        <w:t xml:space="preserve"> [2008] EWCA </w:t>
      </w:r>
      <w:proofErr w:type="spellStart"/>
      <w:r w:rsidRPr="00362C52">
        <w:rPr>
          <w:rStyle w:val="FootnoteReference"/>
          <w:sz w:val="20"/>
          <w:vertAlign w:val="baseline"/>
          <w:lang w:val="en-US"/>
        </w:rPr>
        <w:t>Crim</w:t>
      </w:r>
      <w:proofErr w:type="spellEnd"/>
      <w:r w:rsidRPr="00362C52">
        <w:rPr>
          <w:rStyle w:val="FootnoteReference"/>
          <w:sz w:val="20"/>
          <w:vertAlign w:val="baseline"/>
          <w:lang w:val="en-US"/>
        </w:rPr>
        <w:t xml:space="preserve"> 1890</w:t>
      </w:r>
      <w:r w:rsidRPr="00362C52">
        <w:rPr>
          <w:rStyle w:val="FootnoteReference"/>
          <w:rFonts w:hint="eastAsia"/>
          <w:sz w:val="20"/>
          <w:vertAlign w:val="baseline"/>
          <w:lang w:val="en-US"/>
        </w:rPr>
        <w:t xml:space="preserve"> and </w:t>
      </w:r>
      <w:r w:rsidRPr="00883F8F">
        <w:rPr>
          <w:rStyle w:val="FootnoteReference"/>
          <w:i/>
          <w:sz w:val="20"/>
          <w:vertAlign w:val="baseline"/>
          <w:lang w:val="en-US"/>
        </w:rPr>
        <w:t xml:space="preserve">R v </w:t>
      </w:r>
      <w:r w:rsidRPr="00883F8F">
        <w:rPr>
          <w:rStyle w:val="FootnoteReference"/>
          <w:rFonts w:hint="eastAsia"/>
          <w:i/>
          <w:sz w:val="20"/>
          <w:vertAlign w:val="baseline"/>
          <w:lang w:val="en-US"/>
        </w:rPr>
        <w:t>Ogden</w:t>
      </w:r>
      <w:r w:rsidRPr="00362C52">
        <w:rPr>
          <w:rStyle w:val="FootnoteReference"/>
          <w:sz w:val="20"/>
          <w:vertAlign w:val="baseline"/>
          <w:lang w:val="en-US"/>
        </w:rPr>
        <w:t xml:space="preserve"> [20</w:t>
      </w:r>
      <w:r w:rsidRPr="00362C52">
        <w:rPr>
          <w:rStyle w:val="FootnoteReference"/>
          <w:rFonts w:hint="eastAsia"/>
          <w:sz w:val="20"/>
          <w:vertAlign w:val="baseline"/>
          <w:lang w:val="en-US"/>
        </w:rPr>
        <w:t>13</w:t>
      </w:r>
      <w:r w:rsidRPr="00362C52">
        <w:rPr>
          <w:rStyle w:val="FootnoteReference"/>
          <w:sz w:val="20"/>
          <w:vertAlign w:val="baseline"/>
          <w:lang w:val="en-US"/>
        </w:rPr>
        <w:t xml:space="preserve">] EWCA </w:t>
      </w:r>
      <w:proofErr w:type="spellStart"/>
      <w:r w:rsidRPr="00362C52">
        <w:rPr>
          <w:rStyle w:val="FootnoteReference"/>
          <w:sz w:val="20"/>
          <w:vertAlign w:val="baseline"/>
          <w:lang w:val="en-US"/>
        </w:rPr>
        <w:t>Crim</w:t>
      </w:r>
      <w:proofErr w:type="spellEnd"/>
      <w:r w:rsidRPr="00362C52">
        <w:rPr>
          <w:rStyle w:val="FootnoteReference"/>
          <w:sz w:val="20"/>
          <w:vertAlign w:val="baseline"/>
          <w:lang w:val="en-US"/>
        </w:rPr>
        <w:t xml:space="preserve"> 1</w:t>
      </w:r>
      <w:r w:rsidRPr="00362C52">
        <w:rPr>
          <w:rStyle w:val="FootnoteReference"/>
          <w:rFonts w:hint="eastAsia"/>
          <w:sz w:val="20"/>
          <w:vertAlign w:val="baseline"/>
          <w:lang w:val="en-US"/>
        </w:rPr>
        <w:t>294.</w:t>
      </w:r>
    </w:p>
  </w:footnote>
  <w:footnote w:id="18">
    <w:p w:rsidR="00006BBC" w:rsidRPr="00362C52" w:rsidRDefault="00006BBC" w:rsidP="00362C52">
      <w:pPr>
        <w:pStyle w:val="FootnoteText"/>
        <w:tabs>
          <w:tab w:val="clear" w:pos="1440"/>
          <w:tab w:val="clear" w:pos="3946"/>
          <w:tab w:val="clear" w:pos="4234"/>
          <w:tab w:val="clear" w:pos="8453"/>
        </w:tabs>
        <w:snapToGrid/>
        <w:spacing w:after="0"/>
        <w:ind w:left="720" w:right="562" w:hanging="720"/>
        <w:rPr>
          <w:rStyle w:val="FootnoteReference"/>
          <w:sz w:val="20"/>
          <w:lang w:val="en-US"/>
        </w:rPr>
      </w:pPr>
      <w:r w:rsidRPr="00362C52">
        <w:rPr>
          <w:rStyle w:val="FootnoteReference"/>
          <w:sz w:val="20"/>
          <w:lang w:val="en-US"/>
        </w:rPr>
        <w:footnoteRef/>
      </w:r>
      <w:r w:rsidRPr="00362C52">
        <w:rPr>
          <w:rStyle w:val="FootnoteReference"/>
          <w:sz w:val="20"/>
          <w:lang w:val="en-US"/>
        </w:rPr>
        <w:t xml:space="preserve"> </w:t>
      </w:r>
      <w:r w:rsidR="00362C52">
        <w:rPr>
          <w:sz w:val="20"/>
          <w:lang w:val="en-US"/>
        </w:rPr>
        <w:tab/>
      </w:r>
      <w:r w:rsidRPr="00362C52">
        <w:rPr>
          <w:rStyle w:val="FootnoteReference"/>
          <w:rFonts w:hint="eastAsia"/>
          <w:sz w:val="20"/>
          <w:vertAlign w:val="baseline"/>
          <w:lang w:val="en-US"/>
        </w:rPr>
        <w:t>Appeal Bundle, pages 49F</w:t>
      </w:r>
      <w:r w:rsidRPr="00362C52">
        <w:rPr>
          <w:rStyle w:val="FootnoteReference"/>
          <w:sz w:val="20"/>
          <w:vertAlign w:val="baseline"/>
          <w:lang w:val="en-US"/>
        </w:rPr>
        <w:t>–</w:t>
      </w:r>
      <w:r w:rsidRPr="00362C52">
        <w:rPr>
          <w:rStyle w:val="FootnoteReference"/>
          <w:rFonts w:hint="eastAsia"/>
          <w:sz w:val="20"/>
          <w:vertAlign w:val="baseline"/>
          <w:lang w:val="en-US"/>
        </w:rPr>
        <w:t>G, 49I</w:t>
      </w:r>
      <w:r w:rsidRPr="00362C52">
        <w:rPr>
          <w:rStyle w:val="FootnoteReference"/>
          <w:sz w:val="20"/>
          <w:vertAlign w:val="baseline"/>
          <w:lang w:val="en-US"/>
        </w:rPr>
        <w:t>–</w:t>
      </w:r>
      <w:r w:rsidRPr="00362C52">
        <w:rPr>
          <w:rStyle w:val="FootnoteReference"/>
          <w:rFonts w:hint="eastAsia"/>
          <w:sz w:val="20"/>
          <w:vertAlign w:val="baseline"/>
          <w:lang w:val="en-US"/>
        </w:rPr>
        <w:t>K and 55E</w:t>
      </w:r>
      <w:r w:rsidRPr="00362C52">
        <w:rPr>
          <w:rStyle w:val="FootnoteReference"/>
          <w:sz w:val="20"/>
          <w:vertAlign w:val="baseline"/>
          <w:lang w:val="en-US"/>
        </w:rPr>
        <w:t>–</w:t>
      </w:r>
      <w:r w:rsidRPr="00362C52">
        <w:rPr>
          <w:rStyle w:val="FootnoteReference"/>
          <w:rFonts w:hint="eastAsia"/>
          <w:sz w:val="20"/>
          <w:vertAlign w:val="baseline"/>
          <w:lang w:val="en-US"/>
        </w:rPr>
        <w:t>G.  All these instances took place during Ms Wong</w:t>
      </w:r>
      <w:r w:rsidRPr="00362C52">
        <w:rPr>
          <w:rStyle w:val="FootnoteReference"/>
          <w:sz w:val="20"/>
          <w:vertAlign w:val="baseline"/>
          <w:lang w:val="en-US"/>
        </w:rPr>
        <w:t>’</w:t>
      </w:r>
      <w:r w:rsidRPr="00362C52">
        <w:rPr>
          <w:rStyle w:val="FootnoteReference"/>
          <w:rFonts w:hint="eastAsia"/>
          <w:sz w:val="20"/>
          <w:vertAlign w:val="baseline"/>
          <w:lang w:val="en-US"/>
        </w:rPr>
        <w:t>s first cross-examination, before she was recalled.</w:t>
      </w:r>
    </w:p>
  </w:footnote>
  <w:footnote w:id="19">
    <w:p w:rsidR="00006BBC" w:rsidRPr="00362C52" w:rsidRDefault="00006BBC" w:rsidP="00362C52">
      <w:pPr>
        <w:pStyle w:val="FootnoteText"/>
        <w:tabs>
          <w:tab w:val="clear" w:pos="1440"/>
          <w:tab w:val="clear" w:pos="3946"/>
          <w:tab w:val="clear" w:pos="4234"/>
          <w:tab w:val="clear" w:pos="8453"/>
        </w:tabs>
        <w:snapToGrid/>
        <w:spacing w:after="0"/>
        <w:ind w:left="720" w:right="562" w:hanging="720"/>
        <w:rPr>
          <w:rStyle w:val="FootnoteReference"/>
          <w:sz w:val="20"/>
          <w:lang w:val="en-US"/>
        </w:rPr>
      </w:pPr>
      <w:r w:rsidRPr="00362C52">
        <w:rPr>
          <w:rStyle w:val="FootnoteReference"/>
          <w:sz w:val="20"/>
          <w:lang w:val="en-US"/>
        </w:rPr>
        <w:footnoteRef/>
      </w:r>
      <w:r w:rsidRPr="00362C52">
        <w:rPr>
          <w:rStyle w:val="FootnoteReference"/>
          <w:sz w:val="20"/>
          <w:lang w:val="en-US"/>
        </w:rPr>
        <w:t xml:space="preserve"> </w:t>
      </w:r>
      <w:r w:rsidR="00362C52">
        <w:rPr>
          <w:sz w:val="20"/>
          <w:lang w:val="en-US"/>
        </w:rPr>
        <w:tab/>
      </w:r>
      <w:r w:rsidRPr="00362C52">
        <w:rPr>
          <w:rStyle w:val="FootnoteReference"/>
          <w:rFonts w:hint="eastAsia"/>
          <w:sz w:val="20"/>
          <w:vertAlign w:val="baseline"/>
          <w:lang w:val="en-US"/>
        </w:rPr>
        <w:t>Appeal Bundle, page 49D</w:t>
      </w:r>
      <w:r w:rsidRPr="00362C52">
        <w:rPr>
          <w:rStyle w:val="FootnoteReference"/>
          <w:sz w:val="20"/>
          <w:vertAlign w:val="baseline"/>
          <w:lang w:val="en-US"/>
        </w:rPr>
        <w:t>–</w:t>
      </w:r>
      <w:r w:rsidRPr="00362C52">
        <w:rPr>
          <w:rStyle w:val="FootnoteReference"/>
          <w:rFonts w:hint="eastAsia"/>
          <w:sz w:val="20"/>
          <w:vertAlign w:val="baseline"/>
          <w:lang w:val="en-US"/>
        </w:rPr>
        <w:t>K.</w:t>
      </w:r>
    </w:p>
  </w:footnote>
  <w:footnote w:id="20">
    <w:p w:rsidR="00006BBC" w:rsidRPr="00362C52" w:rsidRDefault="00006BBC" w:rsidP="00362C52">
      <w:pPr>
        <w:pStyle w:val="FootnoteText"/>
        <w:tabs>
          <w:tab w:val="clear" w:pos="1440"/>
          <w:tab w:val="clear" w:pos="3946"/>
          <w:tab w:val="clear" w:pos="4234"/>
          <w:tab w:val="clear" w:pos="8453"/>
        </w:tabs>
        <w:snapToGrid/>
        <w:spacing w:after="0"/>
        <w:ind w:left="720" w:right="562" w:hanging="720"/>
        <w:rPr>
          <w:rStyle w:val="FootnoteReference"/>
          <w:sz w:val="20"/>
          <w:lang w:val="en-US"/>
        </w:rPr>
      </w:pPr>
      <w:r w:rsidRPr="00362C52">
        <w:rPr>
          <w:rStyle w:val="FootnoteReference"/>
          <w:sz w:val="20"/>
          <w:lang w:val="en-US"/>
        </w:rPr>
        <w:footnoteRef/>
      </w:r>
      <w:r w:rsidRPr="00362C52">
        <w:rPr>
          <w:rStyle w:val="FootnoteReference"/>
          <w:sz w:val="20"/>
          <w:lang w:val="en-US"/>
        </w:rPr>
        <w:t xml:space="preserve"> </w:t>
      </w:r>
      <w:r w:rsidR="00362C52">
        <w:rPr>
          <w:sz w:val="20"/>
          <w:lang w:val="en-US"/>
        </w:rPr>
        <w:tab/>
      </w:r>
      <w:r w:rsidRPr="00362C52">
        <w:rPr>
          <w:rStyle w:val="FootnoteReference"/>
          <w:rFonts w:hint="eastAsia"/>
          <w:sz w:val="20"/>
          <w:vertAlign w:val="baseline"/>
          <w:lang w:val="en-US"/>
        </w:rPr>
        <w:t xml:space="preserve">This is also relevant to the </w:t>
      </w:r>
      <w:r w:rsidRPr="00883F8F">
        <w:rPr>
          <w:rStyle w:val="FootnoteReference"/>
          <w:rFonts w:hint="eastAsia"/>
          <w:i/>
          <w:sz w:val="20"/>
          <w:vertAlign w:val="baseline"/>
          <w:lang w:val="en-US"/>
        </w:rPr>
        <w:t xml:space="preserve">Browne v Dunn </w:t>
      </w:r>
      <w:r w:rsidRPr="00362C52">
        <w:rPr>
          <w:rStyle w:val="FootnoteReference"/>
          <w:rFonts w:hint="eastAsia"/>
          <w:sz w:val="20"/>
          <w:vertAlign w:val="baseline"/>
          <w:lang w:val="en-US"/>
        </w:rPr>
        <w:t xml:space="preserve">point, as to which see paragraphs 21 and 22 </w:t>
      </w:r>
      <w:r w:rsidR="00883F8F">
        <w:rPr>
          <w:rFonts w:hint="eastAsia"/>
          <w:sz w:val="20"/>
          <w:lang w:val="en-US"/>
        </w:rPr>
        <w:t xml:space="preserve">of this judgment </w:t>
      </w:r>
      <w:r w:rsidRPr="00362C52">
        <w:rPr>
          <w:rStyle w:val="FootnoteReference"/>
          <w:rFonts w:hint="eastAsia"/>
          <w:sz w:val="20"/>
          <w:vertAlign w:val="baseline"/>
          <w:lang w:val="en-US"/>
        </w:rPr>
        <w:t>above.</w:t>
      </w:r>
    </w:p>
  </w:footnote>
  <w:footnote w:id="21">
    <w:p w:rsidR="00006BBC" w:rsidRPr="00362C52" w:rsidRDefault="00006BBC" w:rsidP="00362C52">
      <w:pPr>
        <w:pStyle w:val="FootnoteText"/>
        <w:tabs>
          <w:tab w:val="clear" w:pos="1440"/>
          <w:tab w:val="clear" w:pos="3946"/>
          <w:tab w:val="clear" w:pos="4234"/>
          <w:tab w:val="clear" w:pos="8453"/>
        </w:tabs>
        <w:snapToGrid/>
        <w:spacing w:after="0"/>
        <w:ind w:left="720" w:right="562" w:hanging="720"/>
        <w:rPr>
          <w:rStyle w:val="FootnoteReference"/>
          <w:sz w:val="20"/>
          <w:lang w:val="en-US"/>
        </w:rPr>
      </w:pPr>
      <w:r w:rsidRPr="00362C52">
        <w:rPr>
          <w:rStyle w:val="FootnoteReference"/>
          <w:sz w:val="20"/>
          <w:lang w:val="en-US"/>
        </w:rPr>
        <w:footnoteRef/>
      </w:r>
      <w:r w:rsidRPr="00362C52">
        <w:rPr>
          <w:rStyle w:val="FootnoteReference"/>
          <w:sz w:val="20"/>
          <w:lang w:val="en-US"/>
        </w:rPr>
        <w:t xml:space="preserve"> </w:t>
      </w:r>
      <w:r w:rsidR="00362C52">
        <w:rPr>
          <w:sz w:val="20"/>
          <w:lang w:val="en-US"/>
        </w:rPr>
        <w:tab/>
      </w:r>
      <w:r w:rsidRPr="00362C52">
        <w:rPr>
          <w:rStyle w:val="FootnoteReference"/>
          <w:rFonts w:hint="eastAsia"/>
          <w:sz w:val="20"/>
          <w:vertAlign w:val="baseline"/>
          <w:lang w:val="en-US"/>
        </w:rPr>
        <w:t>The correct reference is paragraph 14-44, not 14-11.</w:t>
      </w:r>
    </w:p>
  </w:footnote>
  <w:footnote w:id="22">
    <w:p w:rsidR="00006BBC" w:rsidRPr="00362C52" w:rsidRDefault="00006BBC" w:rsidP="00362C52">
      <w:pPr>
        <w:pStyle w:val="FootnoteText"/>
        <w:tabs>
          <w:tab w:val="clear" w:pos="1440"/>
          <w:tab w:val="clear" w:pos="3946"/>
          <w:tab w:val="clear" w:pos="4234"/>
          <w:tab w:val="clear" w:pos="8453"/>
        </w:tabs>
        <w:snapToGrid/>
        <w:spacing w:after="0"/>
        <w:ind w:left="720" w:right="562" w:hanging="720"/>
        <w:rPr>
          <w:rStyle w:val="FootnoteReference"/>
          <w:sz w:val="20"/>
          <w:lang w:val="en-US"/>
        </w:rPr>
      </w:pPr>
      <w:r w:rsidRPr="00362C52">
        <w:rPr>
          <w:rStyle w:val="FootnoteReference"/>
          <w:sz w:val="20"/>
          <w:lang w:val="en-US"/>
        </w:rPr>
        <w:footnoteRef/>
      </w:r>
      <w:r w:rsidRPr="00362C52">
        <w:rPr>
          <w:rStyle w:val="FootnoteReference"/>
          <w:sz w:val="20"/>
          <w:lang w:val="en-US"/>
        </w:rPr>
        <w:t xml:space="preserve"> </w:t>
      </w:r>
      <w:r w:rsidR="00362C52">
        <w:rPr>
          <w:sz w:val="20"/>
          <w:lang w:val="en-US"/>
        </w:rPr>
        <w:tab/>
      </w:r>
      <w:r w:rsidRPr="00362C52">
        <w:rPr>
          <w:rStyle w:val="FootnoteReference"/>
          <w:rFonts w:hint="eastAsia"/>
          <w:sz w:val="20"/>
          <w:vertAlign w:val="baseline"/>
          <w:lang w:val="en-US"/>
        </w:rPr>
        <w:t xml:space="preserve">See paragraph 14-45 of </w:t>
      </w:r>
      <w:proofErr w:type="spellStart"/>
      <w:r w:rsidRPr="00883F8F">
        <w:rPr>
          <w:rStyle w:val="FootnoteReference"/>
          <w:rFonts w:hint="eastAsia"/>
          <w:i/>
          <w:sz w:val="20"/>
          <w:vertAlign w:val="baseline"/>
          <w:lang w:val="en-US"/>
        </w:rPr>
        <w:t>Archbold</w:t>
      </w:r>
      <w:proofErr w:type="spellEnd"/>
      <w:r w:rsidRPr="00883F8F">
        <w:rPr>
          <w:rStyle w:val="FootnoteReference"/>
          <w:rFonts w:hint="eastAsia"/>
          <w:i/>
          <w:sz w:val="20"/>
          <w:vertAlign w:val="baseline"/>
          <w:lang w:val="en-US"/>
        </w:rPr>
        <w:t xml:space="preserve"> Hong Kong 2105</w:t>
      </w:r>
      <w:r w:rsidRPr="00362C52">
        <w:rPr>
          <w:rStyle w:val="FootnoteReference"/>
          <w:rFonts w:hint="eastAsia"/>
          <w:sz w:val="20"/>
          <w:vertAlign w:val="baseline"/>
          <w:lang w:val="en-US"/>
        </w:rPr>
        <w:t xml:space="preserve">.  At point (13), in discussing the guidelines that may be derived from </w:t>
      </w:r>
      <w:r w:rsidRPr="00883F8F">
        <w:rPr>
          <w:rStyle w:val="FootnoteReference"/>
          <w:rFonts w:hint="eastAsia"/>
          <w:i/>
          <w:sz w:val="20"/>
          <w:vertAlign w:val="baseline"/>
          <w:lang w:val="en-US"/>
        </w:rPr>
        <w:t xml:space="preserve">R v </w:t>
      </w:r>
      <w:proofErr w:type="spellStart"/>
      <w:r w:rsidRPr="00883F8F">
        <w:rPr>
          <w:rStyle w:val="FootnoteReference"/>
          <w:rFonts w:hint="eastAsia"/>
          <w:i/>
          <w:sz w:val="20"/>
          <w:vertAlign w:val="baseline"/>
          <w:lang w:val="en-US"/>
        </w:rPr>
        <w:t>Doheny</w:t>
      </w:r>
      <w:proofErr w:type="spellEnd"/>
      <w:r w:rsidRPr="00883F8F">
        <w:rPr>
          <w:rStyle w:val="FootnoteReference"/>
          <w:rFonts w:hint="eastAsia"/>
          <w:i/>
          <w:sz w:val="20"/>
          <w:vertAlign w:val="baseline"/>
          <w:lang w:val="en-US"/>
        </w:rPr>
        <w:t xml:space="preserve"> and Adams</w:t>
      </w:r>
      <w:r w:rsidRPr="00362C52">
        <w:rPr>
          <w:rStyle w:val="FootnoteReference"/>
          <w:rFonts w:hint="eastAsia"/>
          <w:sz w:val="20"/>
          <w:vertAlign w:val="baseline"/>
          <w:lang w:val="en-US"/>
        </w:rPr>
        <w:t xml:space="preserve"> [1997] 1 Cr App R 369, it is stated: </w:t>
      </w:r>
      <w:r w:rsidRPr="00362C52">
        <w:rPr>
          <w:rStyle w:val="FootnoteReference"/>
          <w:sz w:val="20"/>
          <w:vertAlign w:val="baseline"/>
          <w:lang w:val="en-US"/>
        </w:rPr>
        <w:t>“</w:t>
      </w:r>
      <w:r w:rsidRPr="00362C52">
        <w:rPr>
          <w:rStyle w:val="FootnoteReference"/>
          <w:rFonts w:hint="eastAsia"/>
          <w:sz w:val="20"/>
          <w:vertAlign w:val="baseline"/>
          <w:lang w:val="en-US"/>
        </w:rPr>
        <w:t xml:space="preserve">In relation to the random occurrence ratio, a direction along the following lines may be appropriate </w:t>
      </w:r>
      <w:r w:rsidRPr="00362C52">
        <w:rPr>
          <w:rStyle w:val="FootnoteReference"/>
          <w:sz w:val="20"/>
          <w:vertAlign w:val="baseline"/>
          <w:lang w:val="en-US"/>
        </w:rPr>
        <w:t>…</w:t>
      </w:r>
      <w:r w:rsidRPr="00362C52">
        <w:rPr>
          <w:rStyle w:val="FootnoteReference"/>
          <w:rFonts w:hint="eastAsia"/>
          <w:sz w:val="20"/>
          <w:vertAlign w:val="baseline"/>
          <w:lang w:val="en-US"/>
        </w:rPr>
        <w:t>.</w:t>
      </w:r>
      <w:r w:rsidRPr="00362C52">
        <w:rPr>
          <w:rStyle w:val="FootnoteReference"/>
          <w:sz w:val="20"/>
          <w:vertAlign w:val="baseline"/>
          <w:lang w:val="en-US"/>
        </w:rPr>
        <w:t>”</w:t>
      </w:r>
      <w:bookmarkStart w:id="0" w:name="_GoBack"/>
      <w:bookmarkEnd w:id="0"/>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B97" w:rsidRDefault="00A44477">
    <w:pPr>
      <w:pStyle w:val="Header"/>
      <w:framePr w:wrap="around" w:vAnchor="text" w:hAnchor="margin" w:xAlign="center" w:y="1"/>
      <w:rPr>
        <w:rStyle w:val="PageNumber"/>
      </w:rPr>
    </w:pPr>
    <w:r>
      <w:rPr>
        <w:rStyle w:val="PageNumber"/>
      </w:rPr>
      <w:fldChar w:fldCharType="begin"/>
    </w:r>
    <w:r w:rsidR="00702B97">
      <w:rPr>
        <w:rStyle w:val="PageNumber"/>
      </w:rPr>
      <w:instrText xml:space="preserve">PAGE  </w:instrText>
    </w:r>
    <w:r>
      <w:rPr>
        <w:rStyle w:val="PageNumber"/>
      </w:rPr>
      <w:fldChar w:fldCharType="end"/>
    </w:r>
  </w:p>
  <w:p w:rsidR="00702B97" w:rsidRDefault="00702B9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B97" w:rsidRPr="00A34041" w:rsidRDefault="00A44477" w:rsidP="00A34041">
    <w:pPr>
      <w:tabs>
        <w:tab w:val="clear" w:pos="1440"/>
      </w:tabs>
      <w:jc w:val="center"/>
      <w:rPr>
        <w:lang w:val="en-US"/>
      </w:rPr>
    </w:pPr>
    <w:r w:rsidRPr="00A44477">
      <w:rPr>
        <w:noProof/>
      </w:rPr>
      <w:pict>
        <v:rect id="_x0000_s1025" style="position:absolute;left:0;text-align:left;margin-left:460.7pt;margin-top:5.65pt;width:27pt;height:799.25pt;z-index:251656192" o:allowincell="f" stroked="f" strokeweight="0">
          <v:textbox inset="0,0,0,0">
            <w:txbxContent>
              <w:p w:rsidR="00702B97" w:rsidRDefault="00702B97">
                <w:pPr>
                  <w:spacing w:line="720" w:lineRule="exact"/>
                  <w:jc w:val="right"/>
                  <w:rPr>
                    <w:b/>
                    <w:sz w:val="20"/>
                  </w:rPr>
                </w:pPr>
                <w:r>
                  <w:rPr>
                    <w:b/>
                    <w:sz w:val="20"/>
                  </w:rPr>
                  <w:t>A</w:t>
                </w:r>
              </w:p>
              <w:p w:rsidR="00702B97" w:rsidRDefault="00702B97">
                <w:pPr>
                  <w:spacing w:line="720" w:lineRule="exact"/>
                  <w:jc w:val="right"/>
                  <w:rPr>
                    <w:b/>
                    <w:sz w:val="20"/>
                  </w:rPr>
                </w:pPr>
                <w:r>
                  <w:rPr>
                    <w:b/>
                    <w:sz w:val="20"/>
                  </w:rPr>
                  <w:t>B</w:t>
                </w:r>
              </w:p>
              <w:p w:rsidR="00702B97" w:rsidRDefault="00702B97">
                <w:pPr>
                  <w:spacing w:line="720" w:lineRule="exact"/>
                  <w:jc w:val="right"/>
                  <w:rPr>
                    <w:b/>
                    <w:sz w:val="20"/>
                  </w:rPr>
                </w:pPr>
                <w:r>
                  <w:rPr>
                    <w:b/>
                    <w:sz w:val="20"/>
                  </w:rPr>
                  <w:t>C</w:t>
                </w:r>
              </w:p>
              <w:p w:rsidR="00702B97" w:rsidRDefault="00702B97">
                <w:pPr>
                  <w:spacing w:line="720" w:lineRule="exact"/>
                  <w:jc w:val="right"/>
                  <w:rPr>
                    <w:b/>
                    <w:sz w:val="20"/>
                  </w:rPr>
                </w:pPr>
                <w:r>
                  <w:rPr>
                    <w:b/>
                    <w:sz w:val="20"/>
                  </w:rPr>
                  <w:t>D</w:t>
                </w:r>
              </w:p>
              <w:p w:rsidR="00702B97" w:rsidRDefault="00702B97">
                <w:pPr>
                  <w:spacing w:line="720" w:lineRule="exact"/>
                  <w:jc w:val="right"/>
                  <w:rPr>
                    <w:b/>
                    <w:sz w:val="20"/>
                  </w:rPr>
                </w:pPr>
                <w:r>
                  <w:rPr>
                    <w:b/>
                    <w:sz w:val="20"/>
                  </w:rPr>
                  <w:t>E</w:t>
                </w:r>
              </w:p>
              <w:p w:rsidR="00702B97" w:rsidRDefault="00702B97">
                <w:pPr>
                  <w:pStyle w:val="Heading3"/>
                  <w:spacing w:line="720" w:lineRule="exact"/>
                  <w:jc w:val="right"/>
                </w:pPr>
                <w:r>
                  <w:t>F</w:t>
                </w:r>
              </w:p>
              <w:p w:rsidR="00702B97" w:rsidRDefault="00702B97">
                <w:pPr>
                  <w:spacing w:line="720" w:lineRule="exact"/>
                  <w:jc w:val="right"/>
                  <w:rPr>
                    <w:b/>
                    <w:sz w:val="20"/>
                  </w:rPr>
                </w:pPr>
                <w:r>
                  <w:rPr>
                    <w:b/>
                    <w:sz w:val="20"/>
                  </w:rPr>
                  <w:t>G</w:t>
                </w:r>
              </w:p>
              <w:p w:rsidR="00702B97" w:rsidRDefault="00702B97">
                <w:pPr>
                  <w:spacing w:line="720" w:lineRule="exact"/>
                  <w:jc w:val="right"/>
                  <w:rPr>
                    <w:b/>
                    <w:sz w:val="20"/>
                  </w:rPr>
                </w:pPr>
                <w:r>
                  <w:rPr>
                    <w:b/>
                    <w:sz w:val="20"/>
                  </w:rPr>
                  <w:t>H</w:t>
                </w:r>
              </w:p>
              <w:p w:rsidR="00702B97" w:rsidRDefault="00702B97">
                <w:pPr>
                  <w:spacing w:line="720" w:lineRule="exact"/>
                  <w:jc w:val="right"/>
                  <w:rPr>
                    <w:b/>
                    <w:sz w:val="20"/>
                  </w:rPr>
                </w:pPr>
                <w:r>
                  <w:rPr>
                    <w:b/>
                    <w:sz w:val="20"/>
                  </w:rPr>
                  <w:t>I</w:t>
                </w:r>
              </w:p>
              <w:p w:rsidR="00702B97" w:rsidRDefault="00702B97">
                <w:pPr>
                  <w:spacing w:line="720" w:lineRule="exact"/>
                  <w:jc w:val="right"/>
                  <w:rPr>
                    <w:b/>
                    <w:sz w:val="20"/>
                  </w:rPr>
                </w:pPr>
                <w:r>
                  <w:rPr>
                    <w:b/>
                    <w:sz w:val="20"/>
                  </w:rPr>
                  <w:t>J</w:t>
                </w:r>
              </w:p>
              <w:p w:rsidR="00702B97" w:rsidRDefault="00702B97">
                <w:pPr>
                  <w:spacing w:line="720" w:lineRule="exact"/>
                  <w:jc w:val="right"/>
                  <w:rPr>
                    <w:b/>
                    <w:sz w:val="20"/>
                  </w:rPr>
                </w:pPr>
                <w:r>
                  <w:rPr>
                    <w:b/>
                    <w:sz w:val="20"/>
                  </w:rPr>
                  <w:t>K</w:t>
                </w:r>
              </w:p>
              <w:p w:rsidR="00702B97" w:rsidRDefault="00702B97">
                <w:pPr>
                  <w:spacing w:line="720" w:lineRule="exact"/>
                  <w:jc w:val="right"/>
                  <w:rPr>
                    <w:b/>
                    <w:sz w:val="20"/>
                  </w:rPr>
                </w:pPr>
                <w:r>
                  <w:rPr>
                    <w:b/>
                    <w:sz w:val="20"/>
                  </w:rPr>
                  <w:t>L</w:t>
                </w:r>
              </w:p>
              <w:p w:rsidR="00702B97" w:rsidRDefault="00702B97">
                <w:pPr>
                  <w:spacing w:line="720" w:lineRule="exact"/>
                  <w:jc w:val="right"/>
                  <w:rPr>
                    <w:b/>
                    <w:sz w:val="20"/>
                  </w:rPr>
                </w:pPr>
                <w:r>
                  <w:rPr>
                    <w:b/>
                    <w:sz w:val="20"/>
                  </w:rPr>
                  <w:t>M</w:t>
                </w:r>
              </w:p>
              <w:p w:rsidR="00702B97" w:rsidRDefault="00702B97">
                <w:pPr>
                  <w:spacing w:line="720" w:lineRule="exact"/>
                  <w:jc w:val="right"/>
                  <w:rPr>
                    <w:b/>
                    <w:sz w:val="20"/>
                  </w:rPr>
                </w:pPr>
                <w:r>
                  <w:rPr>
                    <w:b/>
                    <w:sz w:val="20"/>
                  </w:rPr>
                  <w:t>N</w:t>
                </w:r>
              </w:p>
              <w:p w:rsidR="00702B97" w:rsidRDefault="00702B97">
                <w:pPr>
                  <w:spacing w:line="720" w:lineRule="exact"/>
                  <w:jc w:val="right"/>
                  <w:rPr>
                    <w:b/>
                    <w:sz w:val="20"/>
                  </w:rPr>
                </w:pPr>
                <w:r>
                  <w:rPr>
                    <w:b/>
                    <w:sz w:val="20"/>
                  </w:rPr>
                  <w:t>O</w:t>
                </w:r>
              </w:p>
              <w:p w:rsidR="00702B97" w:rsidRDefault="00702B97">
                <w:pPr>
                  <w:spacing w:line="720" w:lineRule="exact"/>
                  <w:jc w:val="right"/>
                  <w:rPr>
                    <w:b/>
                    <w:sz w:val="20"/>
                  </w:rPr>
                </w:pPr>
                <w:r>
                  <w:rPr>
                    <w:b/>
                    <w:sz w:val="20"/>
                  </w:rPr>
                  <w:t>P</w:t>
                </w:r>
              </w:p>
              <w:p w:rsidR="00702B97" w:rsidRDefault="00702B97">
                <w:pPr>
                  <w:spacing w:line="720" w:lineRule="exact"/>
                  <w:jc w:val="right"/>
                  <w:rPr>
                    <w:b/>
                    <w:sz w:val="20"/>
                  </w:rPr>
                </w:pPr>
                <w:r>
                  <w:rPr>
                    <w:b/>
                    <w:sz w:val="20"/>
                  </w:rPr>
                  <w:t>Q</w:t>
                </w:r>
              </w:p>
              <w:p w:rsidR="00702B97" w:rsidRDefault="00702B97">
                <w:pPr>
                  <w:spacing w:line="720" w:lineRule="exact"/>
                  <w:jc w:val="right"/>
                  <w:rPr>
                    <w:b/>
                    <w:sz w:val="20"/>
                  </w:rPr>
                </w:pPr>
                <w:r>
                  <w:rPr>
                    <w:b/>
                    <w:sz w:val="20"/>
                  </w:rPr>
                  <w:t>R</w:t>
                </w:r>
              </w:p>
              <w:p w:rsidR="00702B97" w:rsidRDefault="00702B97">
                <w:pPr>
                  <w:spacing w:line="720" w:lineRule="exact"/>
                  <w:jc w:val="right"/>
                  <w:rPr>
                    <w:b/>
                    <w:sz w:val="20"/>
                  </w:rPr>
                </w:pPr>
                <w:r>
                  <w:rPr>
                    <w:b/>
                    <w:sz w:val="20"/>
                  </w:rPr>
                  <w:t>S</w:t>
                </w:r>
              </w:p>
              <w:p w:rsidR="00702B97" w:rsidRDefault="00702B97">
                <w:pPr>
                  <w:spacing w:line="720" w:lineRule="exact"/>
                  <w:jc w:val="right"/>
                  <w:rPr>
                    <w:b/>
                    <w:sz w:val="20"/>
                  </w:rPr>
                </w:pPr>
                <w:r>
                  <w:rPr>
                    <w:b/>
                    <w:sz w:val="20"/>
                  </w:rPr>
                  <w:t>T</w:t>
                </w:r>
              </w:p>
              <w:p w:rsidR="00702B97" w:rsidRDefault="00702B97">
                <w:pPr>
                  <w:spacing w:line="720" w:lineRule="exact"/>
                  <w:jc w:val="right"/>
                  <w:rPr>
                    <w:b/>
                    <w:sz w:val="20"/>
                  </w:rPr>
                </w:pPr>
                <w:r>
                  <w:rPr>
                    <w:b/>
                    <w:sz w:val="20"/>
                  </w:rPr>
                  <w:t>U</w:t>
                </w:r>
              </w:p>
              <w:p w:rsidR="00702B97" w:rsidRDefault="00702B97">
                <w:pPr>
                  <w:spacing w:line="720" w:lineRule="exact"/>
                  <w:jc w:val="right"/>
                  <w:rPr>
                    <w:b/>
                    <w:sz w:val="20"/>
                  </w:rPr>
                </w:pPr>
                <w:r>
                  <w:rPr>
                    <w:b/>
                    <w:sz w:val="20"/>
                  </w:rPr>
                  <w:t>V</w:t>
                </w:r>
              </w:p>
              <w:p w:rsidR="00702B97" w:rsidRDefault="00702B97">
                <w:pPr>
                  <w:spacing w:line="720" w:lineRule="exact"/>
                  <w:jc w:val="right"/>
                  <w:rPr>
                    <w:b/>
                    <w:sz w:val="20"/>
                  </w:rPr>
                </w:pPr>
              </w:p>
            </w:txbxContent>
          </v:textbox>
        </v:rect>
      </w:pict>
    </w:r>
    <w:r w:rsidRPr="00A44477">
      <w:rPr>
        <w:noProof/>
      </w:rPr>
      <w:pict>
        <v:rect id="_x0000_s1026" style="position:absolute;left:0;text-align:left;margin-left:-56.7pt;margin-top:5.65pt;width:27pt;height:799.25pt;z-index:251657216" o:allowincell="f" stroked="f" strokeweight="0">
          <v:textbox inset="0,0,0,0">
            <w:txbxContent>
              <w:p w:rsidR="00702B97" w:rsidRDefault="00702B97">
                <w:pPr>
                  <w:spacing w:line="720" w:lineRule="exact"/>
                  <w:rPr>
                    <w:b/>
                    <w:sz w:val="20"/>
                  </w:rPr>
                </w:pPr>
                <w:r>
                  <w:rPr>
                    <w:b/>
                    <w:sz w:val="20"/>
                  </w:rPr>
                  <w:t>A</w:t>
                </w:r>
              </w:p>
              <w:p w:rsidR="00702B97" w:rsidRDefault="00702B97">
                <w:pPr>
                  <w:spacing w:line="720" w:lineRule="exact"/>
                  <w:rPr>
                    <w:b/>
                    <w:sz w:val="20"/>
                  </w:rPr>
                </w:pPr>
                <w:r>
                  <w:rPr>
                    <w:b/>
                    <w:sz w:val="20"/>
                  </w:rPr>
                  <w:t>B</w:t>
                </w:r>
              </w:p>
              <w:p w:rsidR="00702B97" w:rsidRDefault="00702B97">
                <w:pPr>
                  <w:spacing w:line="720" w:lineRule="exact"/>
                  <w:rPr>
                    <w:b/>
                    <w:sz w:val="20"/>
                  </w:rPr>
                </w:pPr>
                <w:r>
                  <w:rPr>
                    <w:b/>
                    <w:sz w:val="20"/>
                  </w:rPr>
                  <w:t>C</w:t>
                </w:r>
              </w:p>
              <w:p w:rsidR="00702B97" w:rsidRDefault="00702B97">
                <w:pPr>
                  <w:spacing w:line="720" w:lineRule="exact"/>
                  <w:rPr>
                    <w:b/>
                    <w:sz w:val="20"/>
                  </w:rPr>
                </w:pPr>
                <w:r>
                  <w:rPr>
                    <w:b/>
                    <w:sz w:val="20"/>
                  </w:rPr>
                  <w:t>D</w:t>
                </w:r>
              </w:p>
              <w:p w:rsidR="00702B97" w:rsidRDefault="00702B97">
                <w:pPr>
                  <w:spacing w:line="720" w:lineRule="exact"/>
                  <w:rPr>
                    <w:b/>
                    <w:sz w:val="20"/>
                  </w:rPr>
                </w:pPr>
                <w:r>
                  <w:rPr>
                    <w:b/>
                    <w:sz w:val="20"/>
                  </w:rPr>
                  <w:t>E</w:t>
                </w:r>
              </w:p>
              <w:p w:rsidR="00702B97" w:rsidRDefault="00702B97">
                <w:pPr>
                  <w:pStyle w:val="Heading3"/>
                  <w:spacing w:line="720" w:lineRule="exact"/>
                  <w:jc w:val="left"/>
                </w:pPr>
                <w:r>
                  <w:t>F</w:t>
                </w:r>
              </w:p>
              <w:p w:rsidR="00702B97" w:rsidRDefault="00702B97">
                <w:pPr>
                  <w:spacing w:line="720" w:lineRule="exact"/>
                  <w:rPr>
                    <w:b/>
                    <w:sz w:val="20"/>
                  </w:rPr>
                </w:pPr>
                <w:r>
                  <w:rPr>
                    <w:b/>
                    <w:sz w:val="20"/>
                  </w:rPr>
                  <w:t>G</w:t>
                </w:r>
              </w:p>
              <w:p w:rsidR="00702B97" w:rsidRDefault="00702B97">
                <w:pPr>
                  <w:spacing w:line="720" w:lineRule="exact"/>
                  <w:rPr>
                    <w:b/>
                    <w:sz w:val="20"/>
                  </w:rPr>
                </w:pPr>
                <w:r>
                  <w:rPr>
                    <w:b/>
                    <w:sz w:val="20"/>
                  </w:rPr>
                  <w:t>H</w:t>
                </w:r>
              </w:p>
              <w:p w:rsidR="00702B97" w:rsidRDefault="00702B97">
                <w:pPr>
                  <w:spacing w:line="720" w:lineRule="exact"/>
                  <w:rPr>
                    <w:b/>
                    <w:sz w:val="20"/>
                  </w:rPr>
                </w:pPr>
                <w:r>
                  <w:rPr>
                    <w:b/>
                    <w:sz w:val="20"/>
                  </w:rPr>
                  <w:t>I</w:t>
                </w:r>
              </w:p>
              <w:p w:rsidR="00702B97" w:rsidRDefault="00702B97">
                <w:pPr>
                  <w:spacing w:line="720" w:lineRule="exact"/>
                  <w:rPr>
                    <w:b/>
                    <w:sz w:val="20"/>
                  </w:rPr>
                </w:pPr>
                <w:r>
                  <w:rPr>
                    <w:b/>
                    <w:sz w:val="20"/>
                  </w:rPr>
                  <w:t>J</w:t>
                </w:r>
              </w:p>
              <w:p w:rsidR="00702B97" w:rsidRDefault="00702B97">
                <w:pPr>
                  <w:spacing w:line="720" w:lineRule="exact"/>
                  <w:rPr>
                    <w:b/>
                    <w:sz w:val="20"/>
                  </w:rPr>
                </w:pPr>
                <w:r>
                  <w:rPr>
                    <w:b/>
                    <w:sz w:val="20"/>
                  </w:rPr>
                  <w:t>K</w:t>
                </w:r>
              </w:p>
              <w:p w:rsidR="00702B97" w:rsidRDefault="00702B97">
                <w:pPr>
                  <w:spacing w:line="720" w:lineRule="exact"/>
                  <w:rPr>
                    <w:b/>
                    <w:sz w:val="20"/>
                  </w:rPr>
                </w:pPr>
                <w:r>
                  <w:rPr>
                    <w:b/>
                    <w:sz w:val="20"/>
                  </w:rPr>
                  <w:t>L</w:t>
                </w:r>
              </w:p>
              <w:p w:rsidR="00702B97" w:rsidRDefault="00702B97">
                <w:pPr>
                  <w:spacing w:line="720" w:lineRule="exact"/>
                  <w:rPr>
                    <w:b/>
                    <w:sz w:val="20"/>
                  </w:rPr>
                </w:pPr>
                <w:r>
                  <w:rPr>
                    <w:b/>
                    <w:sz w:val="20"/>
                  </w:rPr>
                  <w:t>M</w:t>
                </w:r>
              </w:p>
              <w:p w:rsidR="00702B97" w:rsidRDefault="00702B97">
                <w:pPr>
                  <w:spacing w:line="720" w:lineRule="exact"/>
                  <w:rPr>
                    <w:b/>
                    <w:sz w:val="20"/>
                  </w:rPr>
                </w:pPr>
                <w:r>
                  <w:rPr>
                    <w:b/>
                    <w:sz w:val="20"/>
                  </w:rPr>
                  <w:t>N</w:t>
                </w:r>
              </w:p>
              <w:p w:rsidR="00702B97" w:rsidRDefault="00702B97">
                <w:pPr>
                  <w:spacing w:line="720" w:lineRule="exact"/>
                  <w:rPr>
                    <w:b/>
                    <w:sz w:val="20"/>
                  </w:rPr>
                </w:pPr>
                <w:r>
                  <w:rPr>
                    <w:b/>
                    <w:sz w:val="20"/>
                  </w:rPr>
                  <w:t>O</w:t>
                </w:r>
              </w:p>
              <w:p w:rsidR="00702B97" w:rsidRDefault="00702B97">
                <w:pPr>
                  <w:spacing w:line="720" w:lineRule="exact"/>
                  <w:rPr>
                    <w:b/>
                    <w:sz w:val="20"/>
                  </w:rPr>
                </w:pPr>
                <w:r>
                  <w:rPr>
                    <w:b/>
                    <w:sz w:val="20"/>
                  </w:rPr>
                  <w:t>P</w:t>
                </w:r>
              </w:p>
              <w:p w:rsidR="00702B97" w:rsidRDefault="00702B97">
                <w:pPr>
                  <w:spacing w:line="720" w:lineRule="exact"/>
                  <w:rPr>
                    <w:b/>
                    <w:sz w:val="20"/>
                  </w:rPr>
                </w:pPr>
                <w:r>
                  <w:rPr>
                    <w:b/>
                    <w:sz w:val="20"/>
                  </w:rPr>
                  <w:t>Q</w:t>
                </w:r>
              </w:p>
              <w:p w:rsidR="00702B97" w:rsidRDefault="00702B97">
                <w:pPr>
                  <w:spacing w:line="720" w:lineRule="exact"/>
                  <w:rPr>
                    <w:b/>
                    <w:sz w:val="20"/>
                  </w:rPr>
                </w:pPr>
                <w:r>
                  <w:rPr>
                    <w:b/>
                    <w:sz w:val="20"/>
                  </w:rPr>
                  <w:t>R</w:t>
                </w:r>
              </w:p>
              <w:p w:rsidR="00702B97" w:rsidRDefault="00702B97">
                <w:pPr>
                  <w:spacing w:line="720" w:lineRule="exact"/>
                  <w:rPr>
                    <w:b/>
                    <w:sz w:val="20"/>
                  </w:rPr>
                </w:pPr>
                <w:r>
                  <w:rPr>
                    <w:b/>
                    <w:sz w:val="20"/>
                  </w:rPr>
                  <w:t>S</w:t>
                </w:r>
              </w:p>
              <w:p w:rsidR="00702B97" w:rsidRDefault="00702B97">
                <w:pPr>
                  <w:spacing w:line="720" w:lineRule="exact"/>
                  <w:rPr>
                    <w:b/>
                    <w:sz w:val="20"/>
                  </w:rPr>
                </w:pPr>
                <w:r>
                  <w:rPr>
                    <w:b/>
                    <w:sz w:val="20"/>
                  </w:rPr>
                  <w:t>T</w:t>
                </w:r>
              </w:p>
              <w:p w:rsidR="00702B97" w:rsidRDefault="00702B97">
                <w:pPr>
                  <w:spacing w:line="720" w:lineRule="exact"/>
                  <w:rPr>
                    <w:b/>
                    <w:sz w:val="20"/>
                  </w:rPr>
                </w:pPr>
                <w:r>
                  <w:rPr>
                    <w:b/>
                    <w:sz w:val="20"/>
                  </w:rPr>
                  <w:t>U</w:t>
                </w:r>
              </w:p>
              <w:p w:rsidR="00702B97" w:rsidRDefault="00702B97">
                <w:pPr>
                  <w:spacing w:line="720" w:lineRule="exact"/>
                  <w:rPr>
                    <w:b/>
                    <w:sz w:val="20"/>
                  </w:rPr>
                </w:pPr>
                <w:r>
                  <w:rPr>
                    <w:b/>
                    <w:sz w:val="20"/>
                  </w:rPr>
                  <w:t>V</w:t>
                </w:r>
              </w:p>
              <w:p w:rsidR="00702B97" w:rsidRDefault="00702B97">
                <w:pPr>
                  <w:spacing w:line="720" w:lineRule="exact"/>
                  <w:rPr>
                    <w:b/>
                    <w:sz w:val="20"/>
                  </w:rPr>
                </w:pPr>
              </w:p>
            </w:txbxContent>
          </v:textbox>
        </v:rect>
      </w:pict>
    </w:r>
    <w:r w:rsidR="00A34041">
      <w:rPr>
        <w:rFonts w:hint="eastAsia"/>
      </w:rPr>
      <w:t xml:space="preserve">-  </w:t>
    </w:r>
    <w:r>
      <w:rPr>
        <w:rStyle w:val="PageNumber"/>
      </w:rPr>
      <w:fldChar w:fldCharType="begin"/>
    </w:r>
    <w:r w:rsidR="00A34041">
      <w:rPr>
        <w:rStyle w:val="PageNumber"/>
      </w:rPr>
      <w:instrText xml:space="preserve"> PAGE </w:instrText>
    </w:r>
    <w:r>
      <w:rPr>
        <w:rStyle w:val="PageNumber"/>
      </w:rPr>
      <w:fldChar w:fldCharType="separate"/>
    </w:r>
    <w:r w:rsidR="000E11FF">
      <w:rPr>
        <w:rStyle w:val="PageNumber"/>
        <w:noProof/>
      </w:rPr>
      <w:t>22</w:t>
    </w:r>
    <w:r>
      <w:rPr>
        <w:rStyle w:val="PageNumber"/>
      </w:rPr>
      <w:fldChar w:fldCharType="end"/>
    </w:r>
    <w:r w:rsidR="00A34041">
      <w:rPr>
        <w:rStyle w:val="PageNumber"/>
        <w:rFonts w:hint="eastAsia"/>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B97" w:rsidRDefault="00A44477">
    <w:pPr>
      <w:pStyle w:val="Header"/>
    </w:pPr>
    <w:r w:rsidRPr="00A44477">
      <w:rPr>
        <w:noProof/>
      </w:rPr>
      <w:pict>
        <v:rect id="_x0000_s1028" style="position:absolute;left:0;text-align:left;margin-left:460.7pt;margin-top:5.65pt;width:27pt;height:799.25pt;z-index:251659264" o:allowincell="f" stroked="f" strokeweight="0">
          <v:textbox inset="0,0,0,0">
            <w:txbxContent>
              <w:p w:rsidR="00702B97" w:rsidRDefault="00702B97">
                <w:pPr>
                  <w:spacing w:line="720" w:lineRule="exact"/>
                  <w:jc w:val="right"/>
                  <w:rPr>
                    <w:b/>
                    <w:sz w:val="20"/>
                  </w:rPr>
                </w:pPr>
                <w:r>
                  <w:rPr>
                    <w:b/>
                    <w:sz w:val="20"/>
                  </w:rPr>
                  <w:t>A</w:t>
                </w:r>
              </w:p>
              <w:p w:rsidR="00702B97" w:rsidRDefault="00702B97">
                <w:pPr>
                  <w:spacing w:line="720" w:lineRule="exact"/>
                  <w:jc w:val="right"/>
                  <w:rPr>
                    <w:b/>
                    <w:sz w:val="20"/>
                  </w:rPr>
                </w:pPr>
                <w:r>
                  <w:rPr>
                    <w:b/>
                    <w:sz w:val="20"/>
                  </w:rPr>
                  <w:t>B</w:t>
                </w:r>
              </w:p>
              <w:p w:rsidR="00702B97" w:rsidRDefault="00702B97">
                <w:pPr>
                  <w:spacing w:line="720" w:lineRule="exact"/>
                  <w:jc w:val="right"/>
                  <w:rPr>
                    <w:b/>
                    <w:sz w:val="20"/>
                  </w:rPr>
                </w:pPr>
                <w:r>
                  <w:rPr>
                    <w:b/>
                    <w:sz w:val="20"/>
                  </w:rPr>
                  <w:t>C</w:t>
                </w:r>
              </w:p>
              <w:p w:rsidR="00702B97" w:rsidRDefault="00702B97">
                <w:pPr>
                  <w:spacing w:line="720" w:lineRule="exact"/>
                  <w:jc w:val="right"/>
                  <w:rPr>
                    <w:b/>
                    <w:sz w:val="20"/>
                  </w:rPr>
                </w:pPr>
                <w:r>
                  <w:rPr>
                    <w:b/>
                    <w:sz w:val="20"/>
                  </w:rPr>
                  <w:t>D</w:t>
                </w:r>
              </w:p>
              <w:p w:rsidR="00702B97" w:rsidRDefault="00702B97">
                <w:pPr>
                  <w:spacing w:line="720" w:lineRule="exact"/>
                  <w:jc w:val="right"/>
                  <w:rPr>
                    <w:b/>
                    <w:sz w:val="20"/>
                  </w:rPr>
                </w:pPr>
                <w:r>
                  <w:rPr>
                    <w:b/>
                    <w:sz w:val="20"/>
                  </w:rPr>
                  <w:t>E</w:t>
                </w:r>
              </w:p>
              <w:p w:rsidR="00702B97" w:rsidRDefault="00702B97">
                <w:pPr>
                  <w:pStyle w:val="Heading3"/>
                  <w:spacing w:line="720" w:lineRule="exact"/>
                  <w:jc w:val="right"/>
                </w:pPr>
                <w:r>
                  <w:t>F</w:t>
                </w:r>
              </w:p>
              <w:p w:rsidR="00702B97" w:rsidRDefault="00702B97">
                <w:pPr>
                  <w:spacing w:line="720" w:lineRule="exact"/>
                  <w:jc w:val="right"/>
                  <w:rPr>
                    <w:b/>
                    <w:sz w:val="20"/>
                  </w:rPr>
                </w:pPr>
                <w:r>
                  <w:rPr>
                    <w:b/>
                    <w:sz w:val="20"/>
                  </w:rPr>
                  <w:t>G</w:t>
                </w:r>
              </w:p>
              <w:p w:rsidR="00702B97" w:rsidRDefault="00702B97">
                <w:pPr>
                  <w:spacing w:line="720" w:lineRule="exact"/>
                  <w:jc w:val="right"/>
                  <w:rPr>
                    <w:b/>
                    <w:sz w:val="20"/>
                  </w:rPr>
                </w:pPr>
                <w:r>
                  <w:rPr>
                    <w:b/>
                    <w:sz w:val="20"/>
                  </w:rPr>
                  <w:t>H</w:t>
                </w:r>
              </w:p>
              <w:p w:rsidR="00702B97" w:rsidRDefault="00702B97">
                <w:pPr>
                  <w:spacing w:line="720" w:lineRule="exact"/>
                  <w:jc w:val="right"/>
                  <w:rPr>
                    <w:b/>
                    <w:sz w:val="20"/>
                  </w:rPr>
                </w:pPr>
                <w:r>
                  <w:rPr>
                    <w:b/>
                    <w:sz w:val="20"/>
                  </w:rPr>
                  <w:t>I</w:t>
                </w:r>
              </w:p>
              <w:p w:rsidR="00702B97" w:rsidRDefault="00702B97">
                <w:pPr>
                  <w:spacing w:line="720" w:lineRule="exact"/>
                  <w:jc w:val="right"/>
                  <w:rPr>
                    <w:b/>
                    <w:sz w:val="20"/>
                  </w:rPr>
                </w:pPr>
                <w:r>
                  <w:rPr>
                    <w:b/>
                    <w:sz w:val="20"/>
                  </w:rPr>
                  <w:t>J</w:t>
                </w:r>
              </w:p>
              <w:p w:rsidR="00702B97" w:rsidRDefault="00702B97">
                <w:pPr>
                  <w:spacing w:line="720" w:lineRule="exact"/>
                  <w:jc w:val="right"/>
                  <w:rPr>
                    <w:b/>
                    <w:sz w:val="20"/>
                  </w:rPr>
                </w:pPr>
                <w:r>
                  <w:rPr>
                    <w:b/>
                    <w:sz w:val="20"/>
                  </w:rPr>
                  <w:t>K</w:t>
                </w:r>
              </w:p>
              <w:p w:rsidR="00702B97" w:rsidRDefault="00702B97">
                <w:pPr>
                  <w:spacing w:line="720" w:lineRule="exact"/>
                  <w:jc w:val="right"/>
                  <w:rPr>
                    <w:b/>
                    <w:sz w:val="20"/>
                  </w:rPr>
                </w:pPr>
                <w:r>
                  <w:rPr>
                    <w:b/>
                    <w:sz w:val="20"/>
                  </w:rPr>
                  <w:t>L</w:t>
                </w:r>
              </w:p>
              <w:p w:rsidR="00702B97" w:rsidRDefault="00702B97">
                <w:pPr>
                  <w:spacing w:line="720" w:lineRule="exact"/>
                  <w:jc w:val="right"/>
                  <w:rPr>
                    <w:b/>
                    <w:sz w:val="20"/>
                  </w:rPr>
                </w:pPr>
                <w:r>
                  <w:rPr>
                    <w:b/>
                    <w:sz w:val="20"/>
                  </w:rPr>
                  <w:t>M</w:t>
                </w:r>
              </w:p>
              <w:p w:rsidR="00702B97" w:rsidRDefault="00702B97">
                <w:pPr>
                  <w:spacing w:line="720" w:lineRule="exact"/>
                  <w:jc w:val="right"/>
                  <w:rPr>
                    <w:b/>
                    <w:sz w:val="20"/>
                  </w:rPr>
                </w:pPr>
                <w:r>
                  <w:rPr>
                    <w:b/>
                    <w:sz w:val="20"/>
                  </w:rPr>
                  <w:t>N</w:t>
                </w:r>
              </w:p>
              <w:p w:rsidR="00702B97" w:rsidRDefault="00702B97">
                <w:pPr>
                  <w:spacing w:line="720" w:lineRule="exact"/>
                  <w:jc w:val="right"/>
                  <w:rPr>
                    <w:b/>
                    <w:sz w:val="20"/>
                  </w:rPr>
                </w:pPr>
                <w:r>
                  <w:rPr>
                    <w:b/>
                    <w:sz w:val="20"/>
                  </w:rPr>
                  <w:t>O</w:t>
                </w:r>
              </w:p>
              <w:p w:rsidR="00702B97" w:rsidRDefault="00702B97">
                <w:pPr>
                  <w:spacing w:line="720" w:lineRule="exact"/>
                  <w:jc w:val="right"/>
                  <w:rPr>
                    <w:b/>
                    <w:sz w:val="20"/>
                  </w:rPr>
                </w:pPr>
                <w:r>
                  <w:rPr>
                    <w:b/>
                    <w:sz w:val="20"/>
                  </w:rPr>
                  <w:t>P</w:t>
                </w:r>
              </w:p>
              <w:p w:rsidR="00702B97" w:rsidRDefault="00702B97">
                <w:pPr>
                  <w:spacing w:line="720" w:lineRule="exact"/>
                  <w:jc w:val="right"/>
                  <w:rPr>
                    <w:b/>
                    <w:sz w:val="20"/>
                  </w:rPr>
                </w:pPr>
                <w:r>
                  <w:rPr>
                    <w:b/>
                    <w:sz w:val="20"/>
                  </w:rPr>
                  <w:t>Q</w:t>
                </w:r>
              </w:p>
              <w:p w:rsidR="00702B97" w:rsidRDefault="00702B97">
                <w:pPr>
                  <w:spacing w:line="720" w:lineRule="exact"/>
                  <w:jc w:val="right"/>
                  <w:rPr>
                    <w:b/>
                    <w:sz w:val="20"/>
                  </w:rPr>
                </w:pPr>
                <w:r>
                  <w:rPr>
                    <w:b/>
                    <w:sz w:val="20"/>
                  </w:rPr>
                  <w:t>R</w:t>
                </w:r>
              </w:p>
              <w:p w:rsidR="00702B97" w:rsidRDefault="00702B97">
                <w:pPr>
                  <w:spacing w:line="720" w:lineRule="exact"/>
                  <w:jc w:val="right"/>
                  <w:rPr>
                    <w:b/>
                    <w:sz w:val="20"/>
                  </w:rPr>
                </w:pPr>
                <w:r>
                  <w:rPr>
                    <w:b/>
                    <w:sz w:val="20"/>
                  </w:rPr>
                  <w:t>S</w:t>
                </w:r>
              </w:p>
              <w:p w:rsidR="00702B97" w:rsidRDefault="00702B97">
                <w:pPr>
                  <w:spacing w:line="720" w:lineRule="exact"/>
                  <w:jc w:val="right"/>
                  <w:rPr>
                    <w:b/>
                    <w:sz w:val="20"/>
                  </w:rPr>
                </w:pPr>
                <w:r>
                  <w:rPr>
                    <w:b/>
                    <w:sz w:val="20"/>
                  </w:rPr>
                  <w:t>T</w:t>
                </w:r>
              </w:p>
              <w:p w:rsidR="00702B97" w:rsidRDefault="00702B97">
                <w:pPr>
                  <w:spacing w:line="720" w:lineRule="exact"/>
                  <w:jc w:val="right"/>
                  <w:rPr>
                    <w:b/>
                    <w:sz w:val="20"/>
                  </w:rPr>
                </w:pPr>
                <w:r>
                  <w:rPr>
                    <w:b/>
                    <w:sz w:val="20"/>
                  </w:rPr>
                  <w:t>U</w:t>
                </w:r>
              </w:p>
              <w:p w:rsidR="00702B97" w:rsidRDefault="00702B97">
                <w:pPr>
                  <w:spacing w:line="720" w:lineRule="exact"/>
                  <w:jc w:val="right"/>
                  <w:rPr>
                    <w:b/>
                    <w:sz w:val="20"/>
                  </w:rPr>
                </w:pPr>
                <w:r>
                  <w:rPr>
                    <w:b/>
                    <w:sz w:val="20"/>
                  </w:rPr>
                  <w:t>V</w:t>
                </w:r>
              </w:p>
              <w:p w:rsidR="00702B97" w:rsidRDefault="00702B97">
                <w:pPr>
                  <w:spacing w:line="720" w:lineRule="exact"/>
                  <w:jc w:val="right"/>
                  <w:rPr>
                    <w:b/>
                    <w:sz w:val="20"/>
                  </w:rPr>
                </w:pPr>
              </w:p>
            </w:txbxContent>
          </v:textbox>
        </v:rect>
      </w:pict>
    </w:r>
    <w:r w:rsidRPr="00A44477">
      <w:rPr>
        <w:noProof/>
      </w:rPr>
      <w:pict>
        <v:rect id="_x0000_s1027" style="position:absolute;left:0;text-align:left;margin-left:-56.7pt;margin-top:5.65pt;width:27pt;height:799.25pt;z-index:251658240" o:allowincell="f" stroked="f" strokeweight="0">
          <v:textbox inset="0,0,0,0">
            <w:txbxContent>
              <w:p w:rsidR="00702B97" w:rsidRDefault="00702B97">
                <w:pPr>
                  <w:spacing w:line="720" w:lineRule="exact"/>
                  <w:rPr>
                    <w:b/>
                    <w:sz w:val="20"/>
                  </w:rPr>
                </w:pPr>
                <w:r>
                  <w:rPr>
                    <w:b/>
                    <w:sz w:val="20"/>
                  </w:rPr>
                  <w:t>A</w:t>
                </w:r>
              </w:p>
              <w:p w:rsidR="00702B97" w:rsidRDefault="00702B97">
                <w:pPr>
                  <w:spacing w:line="720" w:lineRule="exact"/>
                  <w:rPr>
                    <w:b/>
                    <w:sz w:val="20"/>
                  </w:rPr>
                </w:pPr>
                <w:r>
                  <w:rPr>
                    <w:b/>
                    <w:sz w:val="20"/>
                  </w:rPr>
                  <w:t>B</w:t>
                </w:r>
              </w:p>
              <w:p w:rsidR="00702B97" w:rsidRDefault="00702B97">
                <w:pPr>
                  <w:spacing w:line="720" w:lineRule="exact"/>
                  <w:rPr>
                    <w:b/>
                    <w:sz w:val="20"/>
                  </w:rPr>
                </w:pPr>
                <w:r>
                  <w:rPr>
                    <w:b/>
                    <w:sz w:val="20"/>
                  </w:rPr>
                  <w:t>C</w:t>
                </w:r>
              </w:p>
              <w:p w:rsidR="00702B97" w:rsidRDefault="00702B97">
                <w:pPr>
                  <w:spacing w:line="720" w:lineRule="exact"/>
                  <w:rPr>
                    <w:b/>
                    <w:sz w:val="20"/>
                  </w:rPr>
                </w:pPr>
                <w:r>
                  <w:rPr>
                    <w:b/>
                    <w:sz w:val="20"/>
                  </w:rPr>
                  <w:t>D</w:t>
                </w:r>
              </w:p>
              <w:p w:rsidR="00702B97" w:rsidRDefault="00702B97">
                <w:pPr>
                  <w:spacing w:line="720" w:lineRule="exact"/>
                  <w:rPr>
                    <w:b/>
                    <w:sz w:val="20"/>
                  </w:rPr>
                </w:pPr>
                <w:r>
                  <w:rPr>
                    <w:b/>
                    <w:sz w:val="20"/>
                  </w:rPr>
                  <w:t>E</w:t>
                </w:r>
              </w:p>
              <w:p w:rsidR="00702B97" w:rsidRDefault="00702B97">
                <w:pPr>
                  <w:pStyle w:val="Heading3"/>
                  <w:spacing w:line="720" w:lineRule="exact"/>
                  <w:jc w:val="left"/>
                </w:pPr>
                <w:r>
                  <w:t>F</w:t>
                </w:r>
              </w:p>
              <w:p w:rsidR="00702B97" w:rsidRDefault="00702B97">
                <w:pPr>
                  <w:spacing w:line="720" w:lineRule="exact"/>
                  <w:rPr>
                    <w:b/>
                    <w:sz w:val="20"/>
                  </w:rPr>
                </w:pPr>
                <w:r>
                  <w:rPr>
                    <w:b/>
                    <w:sz w:val="20"/>
                  </w:rPr>
                  <w:t>G</w:t>
                </w:r>
              </w:p>
              <w:p w:rsidR="00702B97" w:rsidRDefault="00702B97">
                <w:pPr>
                  <w:spacing w:line="720" w:lineRule="exact"/>
                  <w:rPr>
                    <w:b/>
                    <w:sz w:val="20"/>
                  </w:rPr>
                </w:pPr>
                <w:r>
                  <w:rPr>
                    <w:b/>
                    <w:sz w:val="20"/>
                  </w:rPr>
                  <w:t>H</w:t>
                </w:r>
              </w:p>
              <w:p w:rsidR="00702B97" w:rsidRDefault="00702B97">
                <w:pPr>
                  <w:spacing w:line="720" w:lineRule="exact"/>
                  <w:rPr>
                    <w:b/>
                    <w:sz w:val="20"/>
                  </w:rPr>
                </w:pPr>
                <w:r>
                  <w:rPr>
                    <w:b/>
                    <w:sz w:val="20"/>
                  </w:rPr>
                  <w:t>I</w:t>
                </w:r>
              </w:p>
              <w:p w:rsidR="00702B97" w:rsidRDefault="00702B97">
                <w:pPr>
                  <w:spacing w:line="720" w:lineRule="exact"/>
                  <w:rPr>
                    <w:b/>
                    <w:sz w:val="20"/>
                  </w:rPr>
                </w:pPr>
                <w:r>
                  <w:rPr>
                    <w:b/>
                    <w:sz w:val="20"/>
                  </w:rPr>
                  <w:t>J</w:t>
                </w:r>
              </w:p>
              <w:p w:rsidR="00702B97" w:rsidRDefault="00702B97">
                <w:pPr>
                  <w:spacing w:line="720" w:lineRule="exact"/>
                  <w:rPr>
                    <w:b/>
                    <w:sz w:val="20"/>
                  </w:rPr>
                </w:pPr>
                <w:r>
                  <w:rPr>
                    <w:b/>
                    <w:sz w:val="20"/>
                  </w:rPr>
                  <w:t>K</w:t>
                </w:r>
              </w:p>
              <w:p w:rsidR="00702B97" w:rsidRDefault="00702B97">
                <w:pPr>
                  <w:spacing w:line="720" w:lineRule="exact"/>
                  <w:rPr>
                    <w:b/>
                    <w:sz w:val="20"/>
                  </w:rPr>
                </w:pPr>
                <w:r>
                  <w:rPr>
                    <w:b/>
                    <w:sz w:val="20"/>
                  </w:rPr>
                  <w:t>L</w:t>
                </w:r>
              </w:p>
              <w:p w:rsidR="00702B97" w:rsidRDefault="00702B97">
                <w:pPr>
                  <w:spacing w:line="720" w:lineRule="exact"/>
                  <w:rPr>
                    <w:b/>
                    <w:sz w:val="20"/>
                  </w:rPr>
                </w:pPr>
                <w:r>
                  <w:rPr>
                    <w:b/>
                    <w:sz w:val="20"/>
                  </w:rPr>
                  <w:t>M</w:t>
                </w:r>
              </w:p>
              <w:p w:rsidR="00702B97" w:rsidRDefault="00702B97">
                <w:pPr>
                  <w:spacing w:line="720" w:lineRule="exact"/>
                  <w:rPr>
                    <w:b/>
                    <w:sz w:val="20"/>
                  </w:rPr>
                </w:pPr>
                <w:r>
                  <w:rPr>
                    <w:b/>
                    <w:sz w:val="20"/>
                  </w:rPr>
                  <w:t>N</w:t>
                </w:r>
              </w:p>
              <w:p w:rsidR="00702B97" w:rsidRDefault="00702B97">
                <w:pPr>
                  <w:spacing w:line="720" w:lineRule="exact"/>
                  <w:rPr>
                    <w:b/>
                    <w:sz w:val="20"/>
                  </w:rPr>
                </w:pPr>
                <w:r>
                  <w:rPr>
                    <w:b/>
                    <w:sz w:val="20"/>
                  </w:rPr>
                  <w:t>O</w:t>
                </w:r>
              </w:p>
              <w:p w:rsidR="00702B97" w:rsidRDefault="00702B97">
                <w:pPr>
                  <w:spacing w:line="720" w:lineRule="exact"/>
                  <w:rPr>
                    <w:b/>
                    <w:sz w:val="20"/>
                  </w:rPr>
                </w:pPr>
                <w:r>
                  <w:rPr>
                    <w:b/>
                    <w:sz w:val="20"/>
                  </w:rPr>
                  <w:t>P</w:t>
                </w:r>
              </w:p>
              <w:p w:rsidR="00702B97" w:rsidRDefault="00702B97">
                <w:pPr>
                  <w:spacing w:line="720" w:lineRule="exact"/>
                  <w:rPr>
                    <w:b/>
                    <w:sz w:val="20"/>
                  </w:rPr>
                </w:pPr>
                <w:r>
                  <w:rPr>
                    <w:b/>
                    <w:sz w:val="20"/>
                  </w:rPr>
                  <w:t>Q</w:t>
                </w:r>
              </w:p>
              <w:p w:rsidR="00702B97" w:rsidRDefault="00702B97">
                <w:pPr>
                  <w:spacing w:line="720" w:lineRule="exact"/>
                  <w:rPr>
                    <w:b/>
                    <w:sz w:val="20"/>
                  </w:rPr>
                </w:pPr>
                <w:r>
                  <w:rPr>
                    <w:b/>
                    <w:sz w:val="20"/>
                  </w:rPr>
                  <w:t>R</w:t>
                </w:r>
              </w:p>
              <w:p w:rsidR="00702B97" w:rsidRDefault="00702B97">
                <w:pPr>
                  <w:spacing w:line="720" w:lineRule="exact"/>
                  <w:rPr>
                    <w:b/>
                    <w:sz w:val="20"/>
                  </w:rPr>
                </w:pPr>
                <w:r>
                  <w:rPr>
                    <w:b/>
                    <w:sz w:val="20"/>
                  </w:rPr>
                  <w:t>S</w:t>
                </w:r>
              </w:p>
              <w:p w:rsidR="00702B97" w:rsidRDefault="00702B97">
                <w:pPr>
                  <w:spacing w:line="720" w:lineRule="exact"/>
                  <w:rPr>
                    <w:b/>
                    <w:sz w:val="20"/>
                  </w:rPr>
                </w:pPr>
                <w:r>
                  <w:rPr>
                    <w:b/>
                    <w:sz w:val="20"/>
                  </w:rPr>
                  <w:t>T</w:t>
                </w:r>
              </w:p>
              <w:p w:rsidR="00702B97" w:rsidRDefault="00702B97">
                <w:pPr>
                  <w:spacing w:line="720" w:lineRule="exact"/>
                  <w:rPr>
                    <w:b/>
                    <w:sz w:val="20"/>
                  </w:rPr>
                </w:pPr>
                <w:r>
                  <w:rPr>
                    <w:b/>
                    <w:sz w:val="20"/>
                  </w:rPr>
                  <w:t>U</w:t>
                </w:r>
              </w:p>
              <w:p w:rsidR="00702B97" w:rsidRDefault="00702B97">
                <w:pPr>
                  <w:spacing w:line="720" w:lineRule="exact"/>
                  <w:rPr>
                    <w:b/>
                    <w:sz w:val="20"/>
                  </w:rPr>
                </w:pPr>
                <w:r>
                  <w:rPr>
                    <w:b/>
                    <w:sz w:val="20"/>
                  </w:rPr>
                  <w:t>V</w:t>
                </w:r>
              </w:p>
              <w:p w:rsidR="00702B97" w:rsidRDefault="00702B97">
                <w:pPr>
                  <w:spacing w:line="720" w:lineRule="exact"/>
                  <w:rPr>
                    <w:b/>
                    <w:sz w:val="20"/>
                  </w:rPr>
                </w:pPr>
              </w:p>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14B0E"/>
    <w:multiLevelType w:val="hybridMultilevel"/>
    <w:tmpl w:val="6E3687BE"/>
    <w:lvl w:ilvl="0" w:tplc="2432D5CC">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
    <w:nsid w:val="02885B57"/>
    <w:multiLevelType w:val="hybridMultilevel"/>
    <w:tmpl w:val="8EE6B9EE"/>
    <w:lvl w:ilvl="0" w:tplc="826A9CEC">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CC7582"/>
    <w:multiLevelType w:val="hybridMultilevel"/>
    <w:tmpl w:val="758E41B0"/>
    <w:lvl w:ilvl="0" w:tplc="776CEE46">
      <w:start w:val="3"/>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8990C38"/>
    <w:multiLevelType w:val="hybridMultilevel"/>
    <w:tmpl w:val="BB58BD54"/>
    <w:lvl w:ilvl="0" w:tplc="D88AB718">
      <w:start w:val="7"/>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89C732F"/>
    <w:multiLevelType w:val="hybridMultilevel"/>
    <w:tmpl w:val="203E76A6"/>
    <w:lvl w:ilvl="0" w:tplc="F3F6B960">
      <w:start w:val="1"/>
      <w:numFmt w:val="upperLetter"/>
      <w:lvlText w:val="%1."/>
      <w:lvlJc w:val="left"/>
      <w:pPr>
        <w:tabs>
          <w:tab w:val="num" w:pos="1960"/>
        </w:tabs>
        <w:ind w:left="1960" w:hanging="420"/>
      </w:pPr>
      <w:rPr>
        <w:rFonts w:hint="eastAsia"/>
      </w:rPr>
    </w:lvl>
    <w:lvl w:ilvl="1" w:tplc="04090019" w:tentative="1">
      <w:start w:val="1"/>
      <w:numFmt w:val="lowerLetter"/>
      <w:lvlText w:val="%2."/>
      <w:lvlJc w:val="left"/>
      <w:pPr>
        <w:tabs>
          <w:tab w:val="num" w:pos="2620"/>
        </w:tabs>
        <w:ind w:left="2620" w:hanging="360"/>
      </w:pPr>
    </w:lvl>
    <w:lvl w:ilvl="2" w:tplc="0409001B" w:tentative="1">
      <w:start w:val="1"/>
      <w:numFmt w:val="lowerRoman"/>
      <w:lvlText w:val="%3."/>
      <w:lvlJc w:val="right"/>
      <w:pPr>
        <w:tabs>
          <w:tab w:val="num" w:pos="3340"/>
        </w:tabs>
        <w:ind w:left="3340" w:hanging="180"/>
      </w:pPr>
    </w:lvl>
    <w:lvl w:ilvl="3" w:tplc="0409000F" w:tentative="1">
      <w:start w:val="1"/>
      <w:numFmt w:val="decimal"/>
      <w:lvlText w:val="%4."/>
      <w:lvlJc w:val="left"/>
      <w:pPr>
        <w:tabs>
          <w:tab w:val="num" w:pos="4060"/>
        </w:tabs>
        <w:ind w:left="4060" w:hanging="360"/>
      </w:pPr>
    </w:lvl>
    <w:lvl w:ilvl="4" w:tplc="04090019" w:tentative="1">
      <w:start w:val="1"/>
      <w:numFmt w:val="lowerLetter"/>
      <w:lvlText w:val="%5."/>
      <w:lvlJc w:val="left"/>
      <w:pPr>
        <w:tabs>
          <w:tab w:val="num" w:pos="4780"/>
        </w:tabs>
        <w:ind w:left="4780" w:hanging="360"/>
      </w:pPr>
    </w:lvl>
    <w:lvl w:ilvl="5" w:tplc="0409001B" w:tentative="1">
      <w:start w:val="1"/>
      <w:numFmt w:val="lowerRoman"/>
      <w:lvlText w:val="%6."/>
      <w:lvlJc w:val="right"/>
      <w:pPr>
        <w:tabs>
          <w:tab w:val="num" w:pos="5500"/>
        </w:tabs>
        <w:ind w:left="5500" w:hanging="180"/>
      </w:pPr>
    </w:lvl>
    <w:lvl w:ilvl="6" w:tplc="0409000F" w:tentative="1">
      <w:start w:val="1"/>
      <w:numFmt w:val="decimal"/>
      <w:lvlText w:val="%7."/>
      <w:lvlJc w:val="left"/>
      <w:pPr>
        <w:tabs>
          <w:tab w:val="num" w:pos="6220"/>
        </w:tabs>
        <w:ind w:left="6220" w:hanging="360"/>
      </w:pPr>
    </w:lvl>
    <w:lvl w:ilvl="7" w:tplc="04090019" w:tentative="1">
      <w:start w:val="1"/>
      <w:numFmt w:val="lowerLetter"/>
      <w:lvlText w:val="%8."/>
      <w:lvlJc w:val="left"/>
      <w:pPr>
        <w:tabs>
          <w:tab w:val="num" w:pos="6940"/>
        </w:tabs>
        <w:ind w:left="6940" w:hanging="360"/>
      </w:pPr>
    </w:lvl>
    <w:lvl w:ilvl="8" w:tplc="0409001B" w:tentative="1">
      <w:start w:val="1"/>
      <w:numFmt w:val="lowerRoman"/>
      <w:lvlText w:val="%9."/>
      <w:lvlJc w:val="right"/>
      <w:pPr>
        <w:tabs>
          <w:tab w:val="num" w:pos="7660"/>
        </w:tabs>
        <w:ind w:left="7660" w:hanging="180"/>
      </w:pPr>
    </w:lvl>
  </w:abstractNum>
  <w:abstractNum w:abstractNumId="5">
    <w:nsid w:val="0D5524F7"/>
    <w:multiLevelType w:val="hybridMultilevel"/>
    <w:tmpl w:val="05608022"/>
    <w:lvl w:ilvl="0" w:tplc="A12EF218">
      <w:numFmt w:val="bullet"/>
      <w:lvlText w:val="-"/>
      <w:lvlJc w:val="left"/>
      <w:pPr>
        <w:ind w:left="1800" w:hanging="360"/>
      </w:pPr>
      <w:rPr>
        <w:rFonts w:ascii="Times New Roman" w:eastAsia="宋体"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162B2CCB"/>
    <w:multiLevelType w:val="hybridMultilevel"/>
    <w:tmpl w:val="19A085F8"/>
    <w:lvl w:ilvl="0" w:tplc="352C3B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AF5AE3"/>
    <w:multiLevelType w:val="hybridMultilevel"/>
    <w:tmpl w:val="AC7EF7F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B5805"/>
    <w:multiLevelType w:val="hybridMultilevel"/>
    <w:tmpl w:val="F9C828C6"/>
    <w:lvl w:ilvl="0" w:tplc="BFB8A022">
      <w:start w:val="1"/>
      <w:numFmt w:val="lowerLetter"/>
      <w:lvlText w:val="(%1)"/>
      <w:lvlJc w:val="left"/>
      <w:pPr>
        <w:ind w:left="1785" w:hanging="360"/>
      </w:pPr>
      <w:rPr>
        <w:rFonts w:hint="default"/>
        <w:sz w:val="28"/>
        <w:szCs w:val="28"/>
      </w:rPr>
    </w:lvl>
    <w:lvl w:ilvl="1" w:tplc="04090019" w:tentative="1">
      <w:start w:val="1"/>
      <w:numFmt w:val="ideographTraditional"/>
      <w:lvlText w:val="%2、"/>
      <w:lvlJc w:val="left"/>
      <w:pPr>
        <w:ind w:left="2385" w:hanging="480"/>
      </w:pPr>
    </w:lvl>
    <w:lvl w:ilvl="2" w:tplc="0409001B" w:tentative="1">
      <w:start w:val="1"/>
      <w:numFmt w:val="lowerRoman"/>
      <w:lvlText w:val="%3."/>
      <w:lvlJc w:val="right"/>
      <w:pPr>
        <w:ind w:left="2865" w:hanging="480"/>
      </w:pPr>
    </w:lvl>
    <w:lvl w:ilvl="3" w:tplc="0409000F" w:tentative="1">
      <w:start w:val="1"/>
      <w:numFmt w:val="decimal"/>
      <w:lvlText w:val="%4."/>
      <w:lvlJc w:val="left"/>
      <w:pPr>
        <w:ind w:left="3345" w:hanging="480"/>
      </w:pPr>
    </w:lvl>
    <w:lvl w:ilvl="4" w:tplc="04090019" w:tentative="1">
      <w:start w:val="1"/>
      <w:numFmt w:val="ideographTraditional"/>
      <w:lvlText w:val="%5、"/>
      <w:lvlJc w:val="left"/>
      <w:pPr>
        <w:ind w:left="3825" w:hanging="480"/>
      </w:pPr>
    </w:lvl>
    <w:lvl w:ilvl="5" w:tplc="0409001B" w:tentative="1">
      <w:start w:val="1"/>
      <w:numFmt w:val="lowerRoman"/>
      <w:lvlText w:val="%6."/>
      <w:lvlJc w:val="right"/>
      <w:pPr>
        <w:ind w:left="4305" w:hanging="480"/>
      </w:pPr>
    </w:lvl>
    <w:lvl w:ilvl="6" w:tplc="0409000F" w:tentative="1">
      <w:start w:val="1"/>
      <w:numFmt w:val="decimal"/>
      <w:lvlText w:val="%7."/>
      <w:lvlJc w:val="left"/>
      <w:pPr>
        <w:ind w:left="4785" w:hanging="480"/>
      </w:pPr>
    </w:lvl>
    <w:lvl w:ilvl="7" w:tplc="04090019" w:tentative="1">
      <w:start w:val="1"/>
      <w:numFmt w:val="ideographTraditional"/>
      <w:lvlText w:val="%8、"/>
      <w:lvlJc w:val="left"/>
      <w:pPr>
        <w:ind w:left="5265" w:hanging="480"/>
      </w:pPr>
    </w:lvl>
    <w:lvl w:ilvl="8" w:tplc="0409001B" w:tentative="1">
      <w:start w:val="1"/>
      <w:numFmt w:val="lowerRoman"/>
      <w:lvlText w:val="%9."/>
      <w:lvlJc w:val="right"/>
      <w:pPr>
        <w:ind w:left="5745" w:hanging="480"/>
      </w:pPr>
    </w:lvl>
  </w:abstractNum>
  <w:abstractNum w:abstractNumId="9">
    <w:nsid w:val="20DD6672"/>
    <w:multiLevelType w:val="hybridMultilevel"/>
    <w:tmpl w:val="D9B0C7EE"/>
    <w:lvl w:ilvl="0" w:tplc="5B461830">
      <w:start w:val="1"/>
      <w:numFmt w:val="decimal"/>
      <w:lvlText w:val="%1."/>
      <w:lvlJc w:val="left"/>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C36FF3"/>
    <w:multiLevelType w:val="hybridMultilevel"/>
    <w:tmpl w:val="39DE7D6A"/>
    <w:lvl w:ilvl="0" w:tplc="E2A8C244">
      <w:start w:val="6"/>
      <w:numFmt w:val="decimal"/>
      <w:lvlRestart w:val="0"/>
      <w:lvlText w:val="1.           "/>
      <w:lvlJc w:val="left"/>
      <w:pPr>
        <w:tabs>
          <w:tab w:val="num" w:pos="2160"/>
        </w:tabs>
        <w:ind w:left="108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2">
    <w:nsid w:val="2C13167F"/>
    <w:multiLevelType w:val="hybridMultilevel"/>
    <w:tmpl w:val="9A4CBD60"/>
    <w:lvl w:ilvl="0" w:tplc="C2167EAA">
      <w:start w:val="1"/>
      <w:numFmt w:val="decimal"/>
      <w:lvlText w:val="(%1)"/>
      <w:lvlJc w:val="left"/>
      <w:pPr>
        <w:ind w:left="1440" w:hanging="360"/>
      </w:pPr>
      <w:rPr>
        <w:rFonts w:hint="eastAsia"/>
      </w:rPr>
    </w:lvl>
    <w:lvl w:ilvl="1" w:tplc="399A47F4">
      <w:start w:val="1"/>
      <w:numFmt w:val="lowerLetter"/>
      <w:lvlText w:val="(%2)"/>
      <w:lvlJc w:val="left"/>
      <w:pPr>
        <w:ind w:left="2160" w:hanging="360"/>
      </w:pPr>
      <w:rPr>
        <w:rFont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D303A41"/>
    <w:multiLevelType w:val="hybridMultilevel"/>
    <w:tmpl w:val="69DEF228"/>
    <w:lvl w:ilvl="0" w:tplc="8102B3FC">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E6A56F6"/>
    <w:multiLevelType w:val="hybridMultilevel"/>
    <w:tmpl w:val="E12018F8"/>
    <w:lvl w:ilvl="0" w:tplc="4CA00DEA">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EAD55D6"/>
    <w:multiLevelType w:val="hybridMultilevel"/>
    <w:tmpl w:val="81B47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5514EF"/>
    <w:multiLevelType w:val="hybridMultilevel"/>
    <w:tmpl w:val="5D34FFE4"/>
    <w:lvl w:ilvl="0" w:tplc="9132D43C">
      <w:start w:val="1"/>
      <w:numFmt w:val="decimal"/>
      <w:lvlText w:val="%1."/>
      <w:lvlJc w:val="left"/>
      <w:pPr>
        <w:ind w:left="36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B364CA"/>
    <w:multiLevelType w:val="hybridMultilevel"/>
    <w:tmpl w:val="D0C6EF48"/>
    <w:lvl w:ilvl="0" w:tplc="EF58C5FC">
      <w:numFmt w:val="bullet"/>
      <w:lvlText w:val="-"/>
      <w:lvlJc w:val="left"/>
      <w:pPr>
        <w:ind w:left="4545" w:hanging="360"/>
      </w:pPr>
      <w:rPr>
        <w:rFonts w:ascii="Times New Roman" w:eastAsia="宋体" w:hAnsi="Times New Roman" w:cs="Times New Roman" w:hint="default"/>
      </w:rPr>
    </w:lvl>
    <w:lvl w:ilvl="1" w:tplc="08090003" w:tentative="1">
      <w:start w:val="1"/>
      <w:numFmt w:val="bullet"/>
      <w:lvlText w:val="o"/>
      <w:lvlJc w:val="left"/>
      <w:pPr>
        <w:ind w:left="5265" w:hanging="360"/>
      </w:pPr>
      <w:rPr>
        <w:rFonts w:ascii="Courier New" w:hAnsi="Courier New" w:cs="Courier New" w:hint="default"/>
      </w:rPr>
    </w:lvl>
    <w:lvl w:ilvl="2" w:tplc="08090005" w:tentative="1">
      <w:start w:val="1"/>
      <w:numFmt w:val="bullet"/>
      <w:lvlText w:val=""/>
      <w:lvlJc w:val="left"/>
      <w:pPr>
        <w:ind w:left="5985" w:hanging="360"/>
      </w:pPr>
      <w:rPr>
        <w:rFonts w:ascii="Wingdings" w:hAnsi="Wingdings" w:hint="default"/>
      </w:rPr>
    </w:lvl>
    <w:lvl w:ilvl="3" w:tplc="08090001" w:tentative="1">
      <w:start w:val="1"/>
      <w:numFmt w:val="bullet"/>
      <w:lvlText w:val=""/>
      <w:lvlJc w:val="left"/>
      <w:pPr>
        <w:ind w:left="6705" w:hanging="360"/>
      </w:pPr>
      <w:rPr>
        <w:rFonts w:ascii="Symbol" w:hAnsi="Symbol" w:hint="default"/>
      </w:rPr>
    </w:lvl>
    <w:lvl w:ilvl="4" w:tplc="08090003" w:tentative="1">
      <w:start w:val="1"/>
      <w:numFmt w:val="bullet"/>
      <w:lvlText w:val="o"/>
      <w:lvlJc w:val="left"/>
      <w:pPr>
        <w:ind w:left="7425" w:hanging="360"/>
      </w:pPr>
      <w:rPr>
        <w:rFonts w:ascii="Courier New" w:hAnsi="Courier New" w:cs="Courier New" w:hint="default"/>
      </w:rPr>
    </w:lvl>
    <w:lvl w:ilvl="5" w:tplc="08090005" w:tentative="1">
      <w:start w:val="1"/>
      <w:numFmt w:val="bullet"/>
      <w:lvlText w:val=""/>
      <w:lvlJc w:val="left"/>
      <w:pPr>
        <w:ind w:left="8145" w:hanging="360"/>
      </w:pPr>
      <w:rPr>
        <w:rFonts w:ascii="Wingdings" w:hAnsi="Wingdings" w:hint="default"/>
      </w:rPr>
    </w:lvl>
    <w:lvl w:ilvl="6" w:tplc="08090001" w:tentative="1">
      <w:start w:val="1"/>
      <w:numFmt w:val="bullet"/>
      <w:lvlText w:val=""/>
      <w:lvlJc w:val="left"/>
      <w:pPr>
        <w:ind w:left="8865" w:hanging="360"/>
      </w:pPr>
      <w:rPr>
        <w:rFonts w:ascii="Symbol" w:hAnsi="Symbol" w:hint="default"/>
      </w:rPr>
    </w:lvl>
    <w:lvl w:ilvl="7" w:tplc="08090003" w:tentative="1">
      <w:start w:val="1"/>
      <w:numFmt w:val="bullet"/>
      <w:lvlText w:val="o"/>
      <w:lvlJc w:val="left"/>
      <w:pPr>
        <w:ind w:left="9585" w:hanging="360"/>
      </w:pPr>
      <w:rPr>
        <w:rFonts w:ascii="Courier New" w:hAnsi="Courier New" w:cs="Courier New" w:hint="default"/>
      </w:rPr>
    </w:lvl>
    <w:lvl w:ilvl="8" w:tplc="08090005" w:tentative="1">
      <w:start w:val="1"/>
      <w:numFmt w:val="bullet"/>
      <w:lvlText w:val=""/>
      <w:lvlJc w:val="left"/>
      <w:pPr>
        <w:ind w:left="10305" w:hanging="360"/>
      </w:pPr>
      <w:rPr>
        <w:rFonts w:ascii="Wingdings" w:hAnsi="Wingdings" w:hint="default"/>
      </w:rPr>
    </w:lvl>
  </w:abstractNum>
  <w:abstractNum w:abstractNumId="18">
    <w:nsid w:val="3FFD0235"/>
    <w:multiLevelType w:val="hybridMultilevel"/>
    <w:tmpl w:val="BF3264EC"/>
    <w:lvl w:ilvl="0" w:tplc="74FED32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6D62B5"/>
    <w:multiLevelType w:val="hybridMultilevel"/>
    <w:tmpl w:val="6E3455FE"/>
    <w:lvl w:ilvl="0" w:tplc="AEA2F2FC">
      <w:start w:val="1"/>
      <w:numFmt w:val="decimal"/>
      <w:lvlText w:val="%1."/>
      <w:lvlJc w:val="left"/>
      <w:pPr>
        <w:ind w:left="1425" w:hanging="142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BEF1A2C"/>
    <w:multiLevelType w:val="hybridMultilevel"/>
    <w:tmpl w:val="83CA7D1C"/>
    <w:lvl w:ilvl="0" w:tplc="0409000F">
      <w:start w:val="1"/>
      <w:numFmt w:val="decimal"/>
      <w:lvlText w:val="%1."/>
      <w:lvlJc w:val="left"/>
      <w:pPr>
        <w:ind w:left="360" w:hanging="360"/>
      </w:pPr>
      <w:rPr>
        <w:rFonts w:hint="default"/>
        <w:b w:val="0"/>
        <w:i w:val="0"/>
        <w:color w:val="auto"/>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F016F66"/>
    <w:multiLevelType w:val="hybridMultilevel"/>
    <w:tmpl w:val="82B490F4"/>
    <w:lvl w:ilvl="0" w:tplc="C596A07E">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5554267"/>
    <w:multiLevelType w:val="hybridMultilevel"/>
    <w:tmpl w:val="3E1AEF64"/>
    <w:lvl w:ilvl="0" w:tplc="390A7EEA">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7C6551B"/>
    <w:multiLevelType w:val="hybridMultilevel"/>
    <w:tmpl w:val="5F7CA7CA"/>
    <w:lvl w:ilvl="0" w:tplc="9132D43C">
      <w:start w:val="1"/>
      <w:numFmt w:val="decimal"/>
      <w:lvlText w:val="%1."/>
      <w:lvlJc w:val="left"/>
      <w:pPr>
        <w:ind w:left="36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522A80"/>
    <w:multiLevelType w:val="hybridMultilevel"/>
    <w:tmpl w:val="4B44F202"/>
    <w:lvl w:ilvl="0" w:tplc="E65AABDE">
      <w:start w:val="1"/>
      <w:numFmt w:val="decimal"/>
      <w:pStyle w:val="Final"/>
      <w:lvlText w:val="%1."/>
      <w:lvlJc w:val="left"/>
      <w:pPr>
        <w:ind w:left="360" w:hanging="360"/>
      </w:pPr>
      <w:rPr>
        <w:rFonts w:ascii="t" w:hAnsi="t" w:hint="default"/>
        <w:b w:val="0"/>
        <w:i w:val="0"/>
        <w:color w:val="auto"/>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DE0040B"/>
    <w:multiLevelType w:val="hybridMultilevel"/>
    <w:tmpl w:val="7E1EE136"/>
    <w:lvl w:ilvl="0" w:tplc="23200706">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34B4697"/>
    <w:multiLevelType w:val="hybridMultilevel"/>
    <w:tmpl w:val="C6A8D6A6"/>
    <w:lvl w:ilvl="0" w:tplc="1EB2FAB6">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3DA31C6"/>
    <w:multiLevelType w:val="hybridMultilevel"/>
    <w:tmpl w:val="88386F08"/>
    <w:lvl w:ilvl="0" w:tplc="9132D43C">
      <w:start w:val="1"/>
      <w:numFmt w:val="decimal"/>
      <w:lvlText w:val="%1."/>
      <w:lvlJc w:val="left"/>
      <w:pPr>
        <w:ind w:left="36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8F3D6E"/>
    <w:multiLevelType w:val="hybridMultilevel"/>
    <w:tmpl w:val="D9E494C8"/>
    <w:lvl w:ilvl="0" w:tplc="6786F3C8">
      <w:start w:val="1"/>
      <w:numFmt w:val="lowerLetter"/>
      <w:lvlText w:val="(%1)"/>
      <w:lvlJc w:val="left"/>
      <w:pPr>
        <w:ind w:left="1785" w:hanging="360"/>
      </w:pPr>
      <w:rPr>
        <w:rFonts w:hint="default"/>
      </w:rPr>
    </w:lvl>
    <w:lvl w:ilvl="1" w:tplc="04090019" w:tentative="1">
      <w:start w:val="1"/>
      <w:numFmt w:val="ideographTraditional"/>
      <w:lvlText w:val="%2、"/>
      <w:lvlJc w:val="left"/>
      <w:pPr>
        <w:ind w:left="2385" w:hanging="480"/>
      </w:pPr>
    </w:lvl>
    <w:lvl w:ilvl="2" w:tplc="0409001B" w:tentative="1">
      <w:start w:val="1"/>
      <w:numFmt w:val="lowerRoman"/>
      <w:lvlText w:val="%3."/>
      <w:lvlJc w:val="right"/>
      <w:pPr>
        <w:ind w:left="2865" w:hanging="480"/>
      </w:pPr>
    </w:lvl>
    <w:lvl w:ilvl="3" w:tplc="0409000F" w:tentative="1">
      <w:start w:val="1"/>
      <w:numFmt w:val="decimal"/>
      <w:lvlText w:val="%4."/>
      <w:lvlJc w:val="left"/>
      <w:pPr>
        <w:ind w:left="3345" w:hanging="480"/>
      </w:pPr>
    </w:lvl>
    <w:lvl w:ilvl="4" w:tplc="04090019" w:tentative="1">
      <w:start w:val="1"/>
      <w:numFmt w:val="ideographTraditional"/>
      <w:lvlText w:val="%5、"/>
      <w:lvlJc w:val="left"/>
      <w:pPr>
        <w:ind w:left="3825" w:hanging="480"/>
      </w:pPr>
    </w:lvl>
    <w:lvl w:ilvl="5" w:tplc="0409001B" w:tentative="1">
      <w:start w:val="1"/>
      <w:numFmt w:val="lowerRoman"/>
      <w:lvlText w:val="%6."/>
      <w:lvlJc w:val="right"/>
      <w:pPr>
        <w:ind w:left="4305" w:hanging="480"/>
      </w:pPr>
    </w:lvl>
    <w:lvl w:ilvl="6" w:tplc="0409000F" w:tentative="1">
      <w:start w:val="1"/>
      <w:numFmt w:val="decimal"/>
      <w:lvlText w:val="%7."/>
      <w:lvlJc w:val="left"/>
      <w:pPr>
        <w:ind w:left="4785" w:hanging="480"/>
      </w:pPr>
    </w:lvl>
    <w:lvl w:ilvl="7" w:tplc="04090019" w:tentative="1">
      <w:start w:val="1"/>
      <w:numFmt w:val="ideographTraditional"/>
      <w:lvlText w:val="%8、"/>
      <w:lvlJc w:val="left"/>
      <w:pPr>
        <w:ind w:left="5265" w:hanging="480"/>
      </w:pPr>
    </w:lvl>
    <w:lvl w:ilvl="8" w:tplc="0409001B" w:tentative="1">
      <w:start w:val="1"/>
      <w:numFmt w:val="lowerRoman"/>
      <w:lvlText w:val="%9."/>
      <w:lvlJc w:val="right"/>
      <w:pPr>
        <w:ind w:left="5745" w:hanging="480"/>
      </w:pPr>
    </w:lvl>
  </w:abstractNum>
  <w:abstractNum w:abstractNumId="29">
    <w:nsid w:val="7A4B6B03"/>
    <w:multiLevelType w:val="hybridMultilevel"/>
    <w:tmpl w:val="53D46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25"/>
  </w:num>
  <w:num w:numId="4">
    <w:abstractNumId w:val="24"/>
  </w:num>
  <w:num w:numId="5">
    <w:abstractNumId w:val="26"/>
  </w:num>
  <w:num w:numId="6">
    <w:abstractNumId w:val="5"/>
  </w:num>
  <w:num w:numId="7">
    <w:abstractNumId w:val="1"/>
  </w:num>
  <w:num w:numId="8">
    <w:abstractNumId w:val="17"/>
  </w:num>
  <w:num w:numId="9">
    <w:abstractNumId w:val="13"/>
  </w:num>
  <w:num w:numId="10">
    <w:abstractNumId w:val="21"/>
  </w:num>
  <w:num w:numId="11">
    <w:abstractNumId w:val="4"/>
  </w:num>
  <w:num w:numId="12">
    <w:abstractNumId w:val="11"/>
  </w:num>
  <w:num w:numId="13">
    <w:abstractNumId w:val="11"/>
  </w:num>
  <w:num w:numId="14">
    <w:abstractNumId w:val="19"/>
  </w:num>
  <w:num w:numId="15">
    <w:abstractNumId w:val="3"/>
  </w:num>
  <w:num w:numId="16">
    <w:abstractNumId w:val="2"/>
  </w:num>
  <w:num w:numId="17">
    <w:abstractNumId w:val="22"/>
  </w:num>
  <w:num w:numId="18">
    <w:abstractNumId w:val="7"/>
  </w:num>
  <w:num w:numId="19">
    <w:abstractNumId w:val="0"/>
  </w:num>
  <w:num w:numId="20">
    <w:abstractNumId w:val="6"/>
  </w:num>
  <w:num w:numId="21">
    <w:abstractNumId w:val="8"/>
  </w:num>
  <w:num w:numId="22">
    <w:abstractNumId w:val="28"/>
  </w:num>
  <w:num w:numId="23">
    <w:abstractNumId w:val="12"/>
  </w:num>
  <w:num w:numId="24">
    <w:abstractNumId w:val="24"/>
  </w:num>
  <w:num w:numId="25">
    <w:abstractNumId w:val="20"/>
  </w:num>
  <w:num w:numId="26">
    <w:abstractNumId w:val="15"/>
  </w:num>
  <w:num w:numId="27">
    <w:abstractNumId w:val="29"/>
  </w:num>
  <w:num w:numId="28">
    <w:abstractNumId w:val="16"/>
  </w:num>
  <w:num w:numId="29">
    <w:abstractNumId w:val="18"/>
  </w:num>
  <w:num w:numId="30">
    <w:abstractNumId w:val="24"/>
  </w:num>
  <w:num w:numId="31">
    <w:abstractNumId w:val="9"/>
  </w:num>
  <w:num w:numId="32">
    <w:abstractNumId w:val="24"/>
  </w:num>
  <w:num w:numId="33">
    <w:abstractNumId w:val="27"/>
  </w:num>
  <w:num w:numId="34">
    <w:abstractNumId w:val="23"/>
  </w:num>
  <w:num w:numId="35">
    <w:abstractNumId w:val="24"/>
  </w:num>
  <w:num w:numId="3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embedSystemFonts/>
  <w:proofState w:spelling="clean" w:grammar="clean"/>
  <w:attachedTemplate r:id="rId1"/>
  <w:stylePaneFormatFilter w:val="3F01"/>
  <w:defaultTabStop w:val="709"/>
  <w:drawingGridHorizontalSpacing w:val="57"/>
  <w:drawingGridVerticalSpacing w:val="39"/>
  <w:displayVerticalDrawingGridEvery w:val="0"/>
  <w:noPunctuationKerning/>
  <w:characterSpacingControl w:val="doNotCompress"/>
  <w:hdrShapeDefaults>
    <o:shapedefaults v:ext="edit" spidmax="25602"/>
    <o:shapelayout v:ext="edit">
      <o:idmap v:ext="edit" data="1"/>
    </o:shapelayout>
  </w:hdrShapeDefaults>
  <w:footnotePr>
    <w:footnote w:id="-1"/>
    <w:footnote w:id="0"/>
  </w:footnotePr>
  <w:endnotePr>
    <w:endnote w:id="-1"/>
    <w:endnote w:id="0"/>
  </w:endnotePr>
  <w:compat>
    <w:balanceSingleByteDoubleByteWidth/>
    <w:doNotLeaveBackslashAlone/>
    <w:ulTrailSpace/>
    <w:doNotExpandShiftReturn/>
    <w:useFELayout/>
  </w:compat>
  <w:rsids>
    <w:rsidRoot w:val="00D60F8C"/>
    <w:rsid w:val="000066C9"/>
    <w:rsid w:val="00006BBC"/>
    <w:rsid w:val="000334E6"/>
    <w:rsid w:val="00035F00"/>
    <w:rsid w:val="00045077"/>
    <w:rsid w:val="00045971"/>
    <w:rsid w:val="00045E7B"/>
    <w:rsid w:val="0004730B"/>
    <w:rsid w:val="00051182"/>
    <w:rsid w:val="0005339D"/>
    <w:rsid w:val="00063B67"/>
    <w:rsid w:val="00066012"/>
    <w:rsid w:val="00085082"/>
    <w:rsid w:val="0008755D"/>
    <w:rsid w:val="00091093"/>
    <w:rsid w:val="000A042F"/>
    <w:rsid w:val="000A3BA8"/>
    <w:rsid w:val="000A58AD"/>
    <w:rsid w:val="000C78EA"/>
    <w:rsid w:val="000E11FF"/>
    <w:rsid w:val="000F4AFA"/>
    <w:rsid w:val="000F5346"/>
    <w:rsid w:val="001007E2"/>
    <w:rsid w:val="0010119C"/>
    <w:rsid w:val="00103474"/>
    <w:rsid w:val="00104F61"/>
    <w:rsid w:val="00111EF6"/>
    <w:rsid w:val="00135008"/>
    <w:rsid w:val="00135510"/>
    <w:rsid w:val="00172F51"/>
    <w:rsid w:val="00182D17"/>
    <w:rsid w:val="00191867"/>
    <w:rsid w:val="00192805"/>
    <w:rsid w:val="001A0C08"/>
    <w:rsid w:val="001A3273"/>
    <w:rsid w:val="001A5F19"/>
    <w:rsid w:val="001B7AE2"/>
    <w:rsid w:val="001D6FA3"/>
    <w:rsid w:val="001F3CE7"/>
    <w:rsid w:val="00207EEC"/>
    <w:rsid w:val="002125DC"/>
    <w:rsid w:val="00216E36"/>
    <w:rsid w:val="002465FF"/>
    <w:rsid w:val="002503EA"/>
    <w:rsid w:val="00271477"/>
    <w:rsid w:val="00291C4D"/>
    <w:rsid w:val="002955CF"/>
    <w:rsid w:val="002C427D"/>
    <w:rsid w:val="002C4B3B"/>
    <w:rsid w:val="002C4FFC"/>
    <w:rsid w:val="002C5E47"/>
    <w:rsid w:val="002F5424"/>
    <w:rsid w:val="002F7A70"/>
    <w:rsid w:val="00300615"/>
    <w:rsid w:val="00305619"/>
    <w:rsid w:val="003125B8"/>
    <w:rsid w:val="003215DB"/>
    <w:rsid w:val="003241BF"/>
    <w:rsid w:val="00331F71"/>
    <w:rsid w:val="0033387F"/>
    <w:rsid w:val="00342465"/>
    <w:rsid w:val="00344B85"/>
    <w:rsid w:val="0035012A"/>
    <w:rsid w:val="0035494E"/>
    <w:rsid w:val="00360C34"/>
    <w:rsid w:val="00361DA4"/>
    <w:rsid w:val="00362C52"/>
    <w:rsid w:val="00364DF1"/>
    <w:rsid w:val="003708C8"/>
    <w:rsid w:val="003716CD"/>
    <w:rsid w:val="00372647"/>
    <w:rsid w:val="003754AE"/>
    <w:rsid w:val="00395F13"/>
    <w:rsid w:val="003D0027"/>
    <w:rsid w:val="003D698D"/>
    <w:rsid w:val="003E2340"/>
    <w:rsid w:val="003E4F1F"/>
    <w:rsid w:val="003E77D0"/>
    <w:rsid w:val="003F3042"/>
    <w:rsid w:val="00402E3E"/>
    <w:rsid w:val="0041024B"/>
    <w:rsid w:val="00411EDC"/>
    <w:rsid w:val="00417774"/>
    <w:rsid w:val="00422E86"/>
    <w:rsid w:val="0044123A"/>
    <w:rsid w:val="00446AC1"/>
    <w:rsid w:val="00447FC7"/>
    <w:rsid w:val="00463B33"/>
    <w:rsid w:val="00465D86"/>
    <w:rsid w:val="0048123A"/>
    <w:rsid w:val="00481AA0"/>
    <w:rsid w:val="00491EA1"/>
    <w:rsid w:val="004D25BC"/>
    <w:rsid w:val="004D5134"/>
    <w:rsid w:val="00500539"/>
    <w:rsid w:val="005067E8"/>
    <w:rsid w:val="005116C8"/>
    <w:rsid w:val="0051657B"/>
    <w:rsid w:val="00525661"/>
    <w:rsid w:val="00526170"/>
    <w:rsid w:val="00530475"/>
    <w:rsid w:val="00546981"/>
    <w:rsid w:val="005522C3"/>
    <w:rsid w:val="00560D64"/>
    <w:rsid w:val="00566170"/>
    <w:rsid w:val="00572DB8"/>
    <w:rsid w:val="0058564E"/>
    <w:rsid w:val="005B511F"/>
    <w:rsid w:val="005C709C"/>
    <w:rsid w:val="005D6FA1"/>
    <w:rsid w:val="005E3DA0"/>
    <w:rsid w:val="006076A5"/>
    <w:rsid w:val="00616655"/>
    <w:rsid w:val="00662610"/>
    <w:rsid w:val="00675D3E"/>
    <w:rsid w:val="00677114"/>
    <w:rsid w:val="006779F6"/>
    <w:rsid w:val="0068096A"/>
    <w:rsid w:val="00680F67"/>
    <w:rsid w:val="006902E7"/>
    <w:rsid w:val="00692085"/>
    <w:rsid w:val="00695EC3"/>
    <w:rsid w:val="006B289D"/>
    <w:rsid w:val="006B4B3D"/>
    <w:rsid w:val="006B7492"/>
    <w:rsid w:val="006C240B"/>
    <w:rsid w:val="006E6359"/>
    <w:rsid w:val="006F1D8B"/>
    <w:rsid w:val="006F2447"/>
    <w:rsid w:val="006F338C"/>
    <w:rsid w:val="006F6809"/>
    <w:rsid w:val="00702B97"/>
    <w:rsid w:val="00715385"/>
    <w:rsid w:val="00715467"/>
    <w:rsid w:val="00721B32"/>
    <w:rsid w:val="00721F59"/>
    <w:rsid w:val="007256F3"/>
    <w:rsid w:val="007259D5"/>
    <w:rsid w:val="00727CF9"/>
    <w:rsid w:val="007349A9"/>
    <w:rsid w:val="00735F4E"/>
    <w:rsid w:val="00754FDD"/>
    <w:rsid w:val="00756BEE"/>
    <w:rsid w:val="00774EDA"/>
    <w:rsid w:val="00775198"/>
    <w:rsid w:val="007805B3"/>
    <w:rsid w:val="0079218F"/>
    <w:rsid w:val="007A16BF"/>
    <w:rsid w:val="007B03E9"/>
    <w:rsid w:val="007C578B"/>
    <w:rsid w:val="007C6D5F"/>
    <w:rsid w:val="007D7C5F"/>
    <w:rsid w:val="007E3542"/>
    <w:rsid w:val="007E6BD6"/>
    <w:rsid w:val="007E77DC"/>
    <w:rsid w:val="007F01D8"/>
    <w:rsid w:val="007F0674"/>
    <w:rsid w:val="007F3839"/>
    <w:rsid w:val="007F62D0"/>
    <w:rsid w:val="008158BC"/>
    <w:rsid w:val="0082742F"/>
    <w:rsid w:val="00830F72"/>
    <w:rsid w:val="00835F03"/>
    <w:rsid w:val="00854C1A"/>
    <w:rsid w:val="00860683"/>
    <w:rsid w:val="00865134"/>
    <w:rsid w:val="0086621D"/>
    <w:rsid w:val="00867DF6"/>
    <w:rsid w:val="00871A9E"/>
    <w:rsid w:val="008730E7"/>
    <w:rsid w:val="008733AD"/>
    <w:rsid w:val="00883F8F"/>
    <w:rsid w:val="008972F2"/>
    <w:rsid w:val="008B56F3"/>
    <w:rsid w:val="008D335F"/>
    <w:rsid w:val="008E18A3"/>
    <w:rsid w:val="009025DF"/>
    <w:rsid w:val="009353F4"/>
    <w:rsid w:val="009413D6"/>
    <w:rsid w:val="00970836"/>
    <w:rsid w:val="009808F3"/>
    <w:rsid w:val="009826B9"/>
    <w:rsid w:val="00985DF6"/>
    <w:rsid w:val="00987E17"/>
    <w:rsid w:val="00993542"/>
    <w:rsid w:val="00993B1F"/>
    <w:rsid w:val="00994A0C"/>
    <w:rsid w:val="009A40B7"/>
    <w:rsid w:val="009C20BD"/>
    <w:rsid w:val="009C2DE8"/>
    <w:rsid w:val="009C4558"/>
    <w:rsid w:val="009C60FA"/>
    <w:rsid w:val="009E25E5"/>
    <w:rsid w:val="009E2D22"/>
    <w:rsid w:val="009E638C"/>
    <w:rsid w:val="009F7FC8"/>
    <w:rsid w:val="00A03326"/>
    <w:rsid w:val="00A05A93"/>
    <w:rsid w:val="00A24F4A"/>
    <w:rsid w:val="00A34041"/>
    <w:rsid w:val="00A44477"/>
    <w:rsid w:val="00A465B4"/>
    <w:rsid w:val="00A46910"/>
    <w:rsid w:val="00A52458"/>
    <w:rsid w:val="00A710D3"/>
    <w:rsid w:val="00A75350"/>
    <w:rsid w:val="00A77B85"/>
    <w:rsid w:val="00A92030"/>
    <w:rsid w:val="00AA3E00"/>
    <w:rsid w:val="00AB22BD"/>
    <w:rsid w:val="00AD22CB"/>
    <w:rsid w:val="00AD5B0E"/>
    <w:rsid w:val="00B0622D"/>
    <w:rsid w:val="00B07519"/>
    <w:rsid w:val="00B22494"/>
    <w:rsid w:val="00B23678"/>
    <w:rsid w:val="00B3121D"/>
    <w:rsid w:val="00B3536F"/>
    <w:rsid w:val="00B44C49"/>
    <w:rsid w:val="00B53702"/>
    <w:rsid w:val="00B6030F"/>
    <w:rsid w:val="00B65214"/>
    <w:rsid w:val="00B75F49"/>
    <w:rsid w:val="00B81067"/>
    <w:rsid w:val="00BB3A76"/>
    <w:rsid w:val="00BC10B0"/>
    <w:rsid w:val="00BC11B5"/>
    <w:rsid w:val="00BC19BE"/>
    <w:rsid w:val="00BC51B2"/>
    <w:rsid w:val="00BC62FF"/>
    <w:rsid w:val="00BE0A19"/>
    <w:rsid w:val="00BE23B4"/>
    <w:rsid w:val="00BF0501"/>
    <w:rsid w:val="00BF4776"/>
    <w:rsid w:val="00BF504E"/>
    <w:rsid w:val="00C06FFD"/>
    <w:rsid w:val="00C15975"/>
    <w:rsid w:val="00C15C69"/>
    <w:rsid w:val="00C16941"/>
    <w:rsid w:val="00C21C93"/>
    <w:rsid w:val="00C27705"/>
    <w:rsid w:val="00C30051"/>
    <w:rsid w:val="00C310EE"/>
    <w:rsid w:val="00C312D1"/>
    <w:rsid w:val="00C32C0D"/>
    <w:rsid w:val="00C33D3E"/>
    <w:rsid w:val="00C36DD0"/>
    <w:rsid w:val="00C42547"/>
    <w:rsid w:val="00C50D70"/>
    <w:rsid w:val="00C50F4C"/>
    <w:rsid w:val="00C51074"/>
    <w:rsid w:val="00C57C22"/>
    <w:rsid w:val="00C60AF7"/>
    <w:rsid w:val="00C70ED3"/>
    <w:rsid w:val="00C73999"/>
    <w:rsid w:val="00C82117"/>
    <w:rsid w:val="00C838D6"/>
    <w:rsid w:val="00C853AC"/>
    <w:rsid w:val="00C87721"/>
    <w:rsid w:val="00CA55CF"/>
    <w:rsid w:val="00CA701D"/>
    <w:rsid w:val="00CA7DBE"/>
    <w:rsid w:val="00CB304C"/>
    <w:rsid w:val="00CB3BFA"/>
    <w:rsid w:val="00CB552D"/>
    <w:rsid w:val="00CB6382"/>
    <w:rsid w:val="00CC0D43"/>
    <w:rsid w:val="00CC49B8"/>
    <w:rsid w:val="00CD3D3A"/>
    <w:rsid w:val="00CE6254"/>
    <w:rsid w:val="00CE6B2B"/>
    <w:rsid w:val="00D07CDE"/>
    <w:rsid w:val="00D33858"/>
    <w:rsid w:val="00D37DFD"/>
    <w:rsid w:val="00D53C5F"/>
    <w:rsid w:val="00D60F8C"/>
    <w:rsid w:val="00D61655"/>
    <w:rsid w:val="00D66299"/>
    <w:rsid w:val="00D70FE5"/>
    <w:rsid w:val="00D77A03"/>
    <w:rsid w:val="00D82E0F"/>
    <w:rsid w:val="00DA2B26"/>
    <w:rsid w:val="00DA5F4A"/>
    <w:rsid w:val="00DB4AC8"/>
    <w:rsid w:val="00DB4F95"/>
    <w:rsid w:val="00DB692F"/>
    <w:rsid w:val="00DC57D6"/>
    <w:rsid w:val="00DC59E4"/>
    <w:rsid w:val="00DC7473"/>
    <w:rsid w:val="00DE1435"/>
    <w:rsid w:val="00DF1437"/>
    <w:rsid w:val="00DF577E"/>
    <w:rsid w:val="00E067F0"/>
    <w:rsid w:val="00E10830"/>
    <w:rsid w:val="00E22F19"/>
    <w:rsid w:val="00E44275"/>
    <w:rsid w:val="00E44EE5"/>
    <w:rsid w:val="00E65D1D"/>
    <w:rsid w:val="00E70D7D"/>
    <w:rsid w:val="00E82D3E"/>
    <w:rsid w:val="00E914E5"/>
    <w:rsid w:val="00E9299D"/>
    <w:rsid w:val="00E968E2"/>
    <w:rsid w:val="00E9713A"/>
    <w:rsid w:val="00EA0C15"/>
    <w:rsid w:val="00EA76AB"/>
    <w:rsid w:val="00EB0923"/>
    <w:rsid w:val="00EB2164"/>
    <w:rsid w:val="00EB36C6"/>
    <w:rsid w:val="00EC1C45"/>
    <w:rsid w:val="00EF1980"/>
    <w:rsid w:val="00EF7434"/>
    <w:rsid w:val="00F10463"/>
    <w:rsid w:val="00F16BB0"/>
    <w:rsid w:val="00F27DEF"/>
    <w:rsid w:val="00F36833"/>
    <w:rsid w:val="00F378EB"/>
    <w:rsid w:val="00F5523E"/>
    <w:rsid w:val="00F55AD4"/>
    <w:rsid w:val="00F55BA8"/>
    <w:rsid w:val="00F56590"/>
    <w:rsid w:val="00F60803"/>
    <w:rsid w:val="00F61C24"/>
    <w:rsid w:val="00F632CB"/>
    <w:rsid w:val="00F6613F"/>
    <w:rsid w:val="00F6741E"/>
    <w:rsid w:val="00F725B7"/>
    <w:rsid w:val="00F728F3"/>
    <w:rsid w:val="00F75B36"/>
    <w:rsid w:val="00F7727D"/>
    <w:rsid w:val="00F837D2"/>
    <w:rsid w:val="00FB1F04"/>
    <w:rsid w:val="00FC3447"/>
    <w:rsid w:val="00FC743C"/>
    <w:rsid w:val="00FE08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Body Text Indent 2" w:uiPriority="99"/>
    <w:lsdException w:name="Body Text Indent 3"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DFD"/>
    <w:pPr>
      <w:tabs>
        <w:tab w:val="left" w:pos="1440"/>
        <w:tab w:val="center" w:pos="4234"/>
        <w:tab w:val="right" w:pos="8453"/>
      </w:tabs>
      <w:snapToGrid w:val="0"/>
      <w:jc w:val="both"/>
    </w:pPr>
    <w:rPr>
      <w:sz w:val="28"/>
      <w:lang w:val="en-GB"/>
    </w:rPr>
  </w:style>
  <w:style w:type="paragraph" w:styleId="Heading1">
    <w:name w:val="heading 1"/>
    <w:basedOn w:val="Normal"/>
    <w:next w:val="Normal"/>
    <w:link w:val="Heading1Char"/>
    <w:qFormat/>
    <w:rsid w:val="00835F03"/>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491EA1"/>
    <w:pPr>
      <w:keepNext/>
      <w:outlineLvl w:val="1"/>
    </w:pPr>
    <w:rPr>
      <w:b/>
      <w:sz w:val="20"/>
      <w:lang w:val="en-US"/>
    </w:rPr>
  </w:style>
  <w:style w:type="paragraph" w:styleId="Heading3">
    <w:name w:val="heading 3"/>
    <w:basedOn w:val="Normal"/>
    <w:next w:val="Normal"/>
    <w:qFormat/>
    <w:rsid w:val="00491EA1"/>
    <w:pPr>
      <w:keepNext/>
      <w:jc w:val="center"/>
      <w:outlineLvl w:val="2"/>
    </w:pPr>
    <w:rPr>
      <w:b/>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91EA1"/>
    <w:pPr>
      <w:tabs>
        <w:tab w:val="center" w:pos="4153"/>
        <w:tab w:val="right" w:pos="8306"/>
      </w:tabs>
    </w:pPr>
  </w:style>
  <w:style w:type="paragraph" w:styleId="Footer">
    <w:name w:val="footer"/>
    <w:basedOn w:val="Normal"/>
    <w:rsid w:val="00A34041"/>
    <w:pPr>
      <w:tabs>
        <w:tab w:val="center" w:pos="4153"/>
        <w:tab w:val="right" w:pos="8306"/>
      </w:tabs>
    </w:pPr>
    <w:rPr>
      <w:sz w:val="20"/>
    </w:rPr>
  </w:style>
  <w:style w:type="character" w:styleId="PageNumber">
    <w:name w:val="page number"/>
    <w:basedOn w:val="DefaultParagraphFont"/>
    <w:rsid w:val="00491EA1"/>
  </w:style>
  <w:style w:type="paragraph" w:customStyle="1" w:styleId="Final">
    <w:name w:val="Final"/>
    <w:basedOn w:val="Normal"/>
    <w:qFormat/>
    <w:rsid w:val="00A34041"/>
    <w:pPr>
      <w:numPr>
        <w:numId w:val="4"/>
      </w:numPr>
      <w:spacing w:before="360" w:after="80" w:line="360" w:lineRule="auto"/>
    </w:pPr>
  </w:style>
  <w:style w:type="character" w:styleId="FootnoteReference">
    <w:name w:val="footnote reference"/>
    <w:basedOn w:val="DefaultParagraphFont"/>
    <w:uiPriority w:val="99"/>
    <w:rsid w:val="00A34041"/>
    <w:rPr>
      <w:sz w:val="28"/>
      <w:vertAlign w:val="superscript"/>
    </w:rPr>
  </w:style>
  <w:style w:type="paragraph" w:styleId="FootnoteText">
    <w:name w:val="footnote text"/>
    <w:basedOn w:val="Normal"/>
    <w:link w:val="FootnoteTextChar"/>
    <w:uiPriority w:val="99"/>
    <w:rsid w:val="00A34041"/>
    <w:pPr>
      <w:tabs>
        <w:tab w:val="center" w:pos="3946"/>
      </w:tabs>
      <w:spacing w:after="60"/>
      <w:ind w:left="360" w:hanging="360"/>
    </w:pPr>
  </w:style>
  <w:style w:type="character" w:customStyle="1" w:styleId="FootnoteTextChar">
    <w:name w:val="Footnote Text Char"/>
    <w:basedOn w:val="DefaultParagraphFont"/>
    <w:link w:val="FootnoteText"/>
    <w:uiPriority w:val="99"/>
    <w:rsid w:val="00A34041"/>
    <w:rPr>
      <w:rFonts w:eastAsia="宋体"/>
      <w:sz w:val="24"/>
    </w:rPr>
  </w:style>
  <w:style w:type="paragraph" w:customStyle="1" w:styleId="H-1">
    <w:name w:val="H-1"/>
    <w:basedOn w:val="Normal"/>
    <w:rsid w:val="00A34041"/>
    <w:pPr>
      <w:keepNext/>
      <w:tabs>
        <w:tab w:val="center" w:pos="3946"/>
      </w:tabs>
      <w:spacing w:before="360"/>
    </w:pPr>
    <w:rPr>
      <w:i/>
      <w:kern w:val="2"/>
    </w:rPr>
  </w:style>
  <w:style w:type="paragraph" w:customStyle="1" w:styleId="H1-CAP">
    <w:name w:val="H1-CAP"/>
    <w:basedOn w:val="H-1"/>
    <w:rsid w:val="00A34041"/>
    <w:pPr>
      <w:spacing w:before="440"/>
    </w:pPr>
    <w:rPr>
      <w:caps/>
    </w:rPr>
  </w:style>
  <w:style w:type="paragraph" w:customStyle="1" w:styleId="H-2">
    <w:name w:val="H-2"/>
    <w:basedOn w:val="H-1"/>
    <w:rsid w:val="00A34041"/>
    <w:pPr>
      <w:spacing w:before="440"/>
      <w:ind w:left="720" w:hanging="720"/>
    </w:pPr>
  </w:style>
  <w:style w:type="paragraph" w:customStyle="1" w:styleId="Hanging">
    <w:name w:val="Hanging"/>
    <w:basedOn w:val="Normal"/>
    <w:rsid w:val="00A34041"/>
    <w:pPr>
      <w:tabs>
        <w:tab w:val="center" w:pos="3946"/>
      </w:tabs>
      <w:spacing w:before="40" w:after="80" w:line="360" w:lineRule="auto"/>
      <w:ind w:left="1440" w:hanging="720"/>
    </w:pPr>
    <w:rPr>
      <w:kern w:val="2"/>
    </w:rPr>
  </w:style>
  <w:style w:type="paragraph" w:customStyle="1" w:styleId="hspace">
    <w:name w:val="hspace"/>
    <w:basedOn w:val="Normal"/>
    <w:rsid w:val="00A34041"/>
    <w:pPr>
      <w:spacing w:line="200" w:lineRule="exact"/>
    </w:pPr>
  </w:style>
  <w:style w:type="paragraph" w:customStyle="1" w:styleId="Quotation">
    <w:name w:val="Quotation"/>
    <w:basedOn w:val="Normal"/>
    <w:qFormat/>
    <w:rsid w:val="00A34041"/>
    <w:pPr>
      <w:tabs>
        <w:tab w:val="clear" w:pos="4234"/>
        <w:tab w:val="left" w:pos="2016"/>
        <w:tab w:val="left" w:pos="2448"/>
        <w:tab w:val="center" w:pos="3946"/>
      </w:tabs>
      <w:spacing w:before="160" w:after="80"/>
      <w:ind w:left="1440" w:right="720"/>
    </w:pPr>
    <w:rPr>
      <w:kern w:val="2"/>
      <w:sz w:val="24"/>
    </w:rPr>
  </w:style>
  <w:style w:type="paragraph" w:styleId="ListParagraph">
    <w:name w:val="List Paragraph"/>
    <w:basedOn w:val="Normal"/>
    <w:uiPriority w:val="34"/>
    <w:qFormat/>
    <w:rsid w:val="003754AE"/>
    <w:pPr>
      <w:widowControl w:val="0"/>
      <w:tabs>
        <w:tab w:val="clear" w:pos="1440"/>
        <w:tab w:val="clear" w:pos="4234"/>
        <w:tab w:val="clear" w:pos="8453"/>
      </w:tabs>
      <w:snapToGrid/>
      <w:ind w:leftChars="200" w:left="480"/>
      <w:jc w:val="left"/>
    </w:pPr>
    <w:rPr>
      <w:rFonts w:ascii="Calibri" w:hAnsi="Calibri"/>
      <w:kern w:val="2"/>
      <w:sz w:val="24"/>
      <w:szCs w:val="22"/>
      <w:lang w:val="en-US" w:eastAsia="zh-TW"/>
    </w:rPr>
  </w:style>
  <w:style w:type="paragraph" w:styleId="BalloonText">
    <w:name w:val="Balloon Text"/>
    <w:basedOn w:val="Normal"/>
    <w:link w:val="BalloonTextChar"/>
    <w:rsid w:val="00C838D6"/>
    <w:rPr>
      <w:rFonts w:ascii="Tahoma" w:hAnsi="Tahoma" w:cs="Tahoma"/>
      <w:sz w:val="16"/>
      <w:szCs w:val="16"/>
    </w:rPr>
  </w:style>
  <w:style w:type="character" w:customStyle="1" w:styleId="BalloonTextChar">
    <w:name w:val="Balloon Text Char"/>
    <w:basedOn w:val="DefaultParagraphFont"/>
    <w:link w:val="BalloonText"/>
    <w:rsid w:val="00C838D6"/>
    <w:rPr>
      <w:rFonts w:ascii="Tahoma" w:hAnsi="Tahoma" w:cs="Tahoma"/>
      <w:sz w:val="16"/>
      <w:szCs w:val="16"/>
      <w:lang w:val="en-GB"/>
    </w:rPr>
  </w:style>
  <w:style w:type="paragraph" w:customStyle="1" w:styleId="normal2">
    <w:name w:val="normal2"/>
    <w:basedOn w:val="Normal"/>
    <w:rsid w:val="00342465"/>
    <w:pPr>
      <w:tabs>
        <w:tab w:val="clear" w:pos="4234"/>
        <w:tab w:val="clear" w:pos="8453"/>
        <w:tab w:val="left" w:pos="1411"/>
        <w:tab w:val="center" w:pos="4320"/>
        <w:tab w:val="right" w:pos="9072"/>
      </w:tabs>
      <w:overflowPunct w:val="0"/>
      <w:autoSpaceDE w:val="0"/>
      <w:autoSpaceDN w:val="0"/>
      <w:spacing w:line="360" w:lineRule="auto"/>
      <w:jc w:val="center"/>
    </w:pPr>
    <w:rPr>
      <w:rFonts w:eastAsia="MingLiU"/>
      <w:caps/>
    </w:rPr>
  </w:style>
  <w:style w:type="paragraph" w:customStyle="1" w:styleId="normal3">
    <w:name w:val="normal3"/>
    <w:basedOn w:val="Normal"/>
    <w:rsid w:val="00342465"/>
    <w:pPr>
      <w:tabs>
        <w:tab w:val="clear" w:pos="4234"/>
        <w:tab w:val="clear" w:pos="8453"/>
        <w:tab w:val="center" w:pos="4320"/>
        <w:tab w:val="center" w:pos="4500"/>
        <w:tab w:val="right" w:pos="9000"/>
        <w:tab w:val="right" w:pos="9072"/>
      </w:tabs>
      <w:overflowPunct w:val="0"/>
      <w:autoSpaceDE w:val="0"/>
      <w:autoSpaceDN w:val="0"/>
      <w:spacing w:line="360" w:lineRule="auto"/>
      <w:jc w:val="left"/>
    </w:pPr>
    <w:rPr>
      <w:rFonts w:eastAsia="MingLiU"/>
    </w:rPr>
  </w:style>
  <w:style w:type="character" w:customStyle="1" w:styleId="HeaderChar">
    <w:name w:val="Header Char"/>
    <w:basedOn w:val="DefaultParagraphFont"/>
    <w:link w:val="Header"/>
    <w:rsid w:val="00342465"/>
    <w:rPr>
      <w:sz w:val="28"/>
      <w:lang w:val="en-GB"/>
    </w:rPr>
  </w:style>
  <w:style w:type="paragraph" w:customStyle="1" w:styleId="para">
    <w:name w:val="para"/>
    <w:rsid w:val="00342465"/>
    <w:pPr>
      <w:numPr>
        <w:numId w:val="12"/>
      </w:numPr>
      <w:snapToGrid w:val="0"/>
      <w:spacing w:before="480" w:line="360" w:lineRule="auto"/>
      <w:jc w:val="both"/>
    </w:pPr>
    <w:rPr>
      <w:sz w:val="28"/>
      <w:lang w:val="en-GB"/>
    </w:rPr>
  </w:style>
  <w:style w:type="paragraph" w:styleId="BodyTextIndent2">
    <w:name w:val="Body Text Indent 2"/>
    <w:basedOn w:val="Normal"/>
    <w:link w:val="BodyTextIndent2Char"/>
    <w:uiPriority w:val="99"/>
    <w:unhideWhenUsed/>
    <w:rsid w:val="00342465"/>
    <w:pPr>
      <w:widowControl w:val="0"/>
      <w:tabs>
        <w:tab w:val="clear" w:pos="1440"/>
        <w:tab w:val="clear" w:pos="4234"/>
        <w:tab w:val="clear" w:pos="8453"/>
      </w:tabs>
      <w:snapToGrid/>
      <w:spacing w:after="120" w:line="480" w:lineRule="auto"/>
      <w:ind w:left="360"/>
    </w:pPr>
    <w:rPr>
      <w:kern w:val="2"/>
      <w:sz w:val="21"/>
      <w:lang w:val="en-US"/>
    </w:rPr>
  </w:style>
  <w:style w:type="character" w:customStyle="1" w:styleId="BodyTextIndent2Char">
    <w:name w:val="Body Text Indent 2 Char"/>
    <w:basedOn w:val="DefaultParagraphFont"/>
    <w:link w:val="BodyTextIndent2"/>
    <w:uiPriority w:val="99"/>
    <w:rsid w:val="00342465"/>
    <w:rPr>
      <w:kern w:val="2"/>
      <w:sz w:val="21"/>
    </w:rPr>
  </w:style>
  <w:style w:type="paragraph" w:styleId="BodyTextIndent3">
    <w:name w:val="Body Text Indent 3"/>
    <w:basedOn w:val="Normal"/>
    <w:link w:val="BodyTextIndent3Char"/>
    <w:uiPriority w:val="99"/>
    <w:unhideWhenUsed/>
    <w:rsid w:val="00342465"/>
    <w:pPr>
      <w:widowControl w:val="0"/>
      <w:tabs>
        <w:tab w:val="clear" w:pos="1440"/>
        <w:tab w:val="clear" w:pos="4234"/>
        <w:tab w:val="clear" w:pos="8453"/>
      </w:tabs>
      <w:snapToGrid/>
      <w:spacing w:after="120"/>
      <w:ind w:left="360"/>
    </w:pPr>
    <w:rPr>
      <w:kern w:val="2"/>
      <w:sz w:val="16"/>
      <w:szCs w:val="16"/>
      <w:lang w:val="en-US"/>
    </w:rPr>
  </w:style>
  <w:style w:type="character" w:customStyle="1" w:styleId="BodyTextIndent3Char">
    <w:name w:val="Body Text Indent 3 Char"/>
    <w:basedOn w:val="DefaultParagraphFont"/>
    <w:link w:val="BodyTextIndent3"/>
    <w:uiPriority w:val="99"/>
    <w:rsid w:val="00342465"/>
    <w:rPr>
      <w:kern w:val="2"/>
      <w:sz w:val="16"/>
      <w:szCs w:val="16"/>
    </w:rPr>
  </w:style>
  <w:style w:type="paragraph" w:styleId="BodyTextIndent">
    <w:name w:val="Body Text Indent"/>
    <w:basedOn w:val="Normal"/>
    <w:link w:val="BodyTextIndentChar"/>
    <w:rsid w:val="00300615"/>
    <w:pPr>
      <w:spacing w:after="120"/>
      <w:ind w:left="360"/>
    </w:pPr>
  </w:style>
  <w:style w:type="character" w:customStyle="1" w:styleId="BodyTextIndentChar">
    <w:name w:val="Body Text Indent Char"/>
    <w:basedOn w:val="DefaultParagraphFont"/>
    <w:link w:val="BodyTextIndent"/>
    <w:rsid w:val="00300615"/>
    <w:rPr>
      <w:sz w:val="28"/>
      <w:lang w:val="en-GB"/>
    </w:rPr>
  </w:style>
  <w:style w:type="table" w:styleId="TableGrid">
    <w:name w:val="Table Grid"/>
    <w:basedOn w:val="TableNormal"/>
    <w:rsid w:val="008E18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raft">
    <w:name w:val="Draft"/>
    <w:basedOn w:val="Normal"/>
    <w:rsid w:val="00B3536F"/>
    <w:pPr>
      <w:tabs>
        <w:tab w:val="clear" w:pos="4234"/>
        <w:tab w:val="clear" w:pos="8453"/>
        <w:tab w:val="center" w:pos="4320"/>
      </w:tabs>
      <w:spacing w:line="360" w:lineRule="auto"/>
    </w:pPr>
    <w:rPr>
      <w:lang w:val="en-US"/>
    </w:rPr>
  </w:style>
  <w:style w:type="character" w:customStyle="1" w:styleId="Heading1Char">
    <w:name w:val="Heading 1 Char"/>
    <w:basedOn w:val="DefaultParagraphFont"/>
    <w:link w:val="Heading1"/>
    <w:rsid w:val="00835F03"/>
    <w:rPr>
      <w:rFonts w:ascii="Cambria" w:eastAsia="宋体" w:hAnsi="Cambria" w:cs="Times New Roman"/>
      <w:b/>
      <w:bCs/>
      <w:kern w:val="32"/>
      <w:sz w:val="32"/>
      <w:szCs w:val="32"/>
      <w:lang w:val="en-GB"/>
    </w:rPr>
  </w:style>
  <w:style w:type="paragraph" w:customStyle="1" w:styleId="ar-quotation">
    <w:name w:val="ar-quotation"/>
    <w:basedOn w:val="Normal"/>
    <w:rsid w:val="00F837D2"/>
    <w:pPr>
      <w:tabs>
        <w:tab w:val="clear" w:pos="4234"/>
        <w:tab w:val="clear" w:pos="8453"/>
        <w:tab w:val="left" w:pos="2160"/>
      </w:tabs>
      <w:spacing w:before="240"/>
      <w:ind w:left="1440" w:right="720"/>
      <w:jc w:val="left"/>
    </w:pPr>
    <w:rPr>
      <w:rFonts w:eastAsia="MingLiU"/>
      <w:sz w:val="24"/>
    </w:rPr>
  </w:style>
</w:styles>
</file>

<file path=word/webSettings.xml><?xml version="1.0" encoding="utf-8"?>
<w:webSettings xmlns:r="http://schemas.openxmlformats.org/officeDocument/2006/relationships" xmlns:w="http://schemas.openxmlformats.org/wordprocessingml/2006/main">
  <w:divs>
    <w:div w:id="11098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c_trans_05.DARTS-A.000\Application%20Data\Microsoft\Templates\JUD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JUDGE.DOT</Template>
  <TotalTime>121</TotalTime>
  <Pages>22</Pages>
  <Words>4996</Words>
  <Characters>28478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HCA2137/2004</vt:lpstr>
    </vt:vector>
  </TitlesOfParts>
  <Company>judiciary</Company>
  <LinksUpToDate>false</LinksUpToDate>
  <CharactersWithSpaces>33408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HCA2137/2004</dc:title>
  <dc:creator>hc_trans_05</dc:creator>
  <cp:lastModifiedBy>Catherine KW lEUNG</cp:lastModifiedBy>
  <cp:revision>6</cp:revision>
  <cp:lastPrinted>2016-04-12T01:37:00Z</cp:lastPrinted>
  <dcterms:created xsi:type="dcterms:W3CDTF">2016-04-12T01:34:00Z</dcterms:created>
  <dcterms:modified xsi:type="dcterms:W3CDTF">2016-04-15T06:48:00Z</dcterms:modified>
</cp:coreProperties>
</file>