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A10" w:rsidRPr="00BD3B25" w:rsidRDefault="00456986" w:rsidP="00F37A10">
      <w:pPr>
        <w:pStyle w:val="normal1"/>
        <w:jc w:val="right"/>
        <w:rPr>
          <w:caps/>
        </w:rPr>
      </w:pPr>
      <w:r w:rsidRPr="00BD3B25">
        <w:rPr>
          <w:rFonts w:eastAsia="宋体"/>
          <w:caps/>
        </w:rPr>
        <w:t>cacc</w:t>
      </w:r>
      <w:r w:rsidRPr="00BD3B25">
        <w:rPr>
          <w:rFonts w:eastAsia="宋体"/>
          <w:caps/>
          <w:noProof/>
          <w:snapToGrid/>
        </w:rPr>
        <w:t xml:space="preserve"> </w:t>
      </w:r>
      <w:r w:rsidR="00305417" w:rsidRPr="00BD3B25">
        <w:rPr>
          <w:rFonts w:eastAsia="宋体"/>
          <w:caps/>
          <w:noProof/>
          <w:snapToGrid/>
        </w:rPr>
        <w:t>186</w:t>
      </w:r>
      <w:r w:rsidR="00F37A10" w:rsidRPr="00BD3B25">
        <w:rPr>
          <w:caps/>
        </w:rPr>
        <w:t>/20</w:t>
      </w:r>
      <w:r w:rsidR="00305417" w:rsidRPr="00BD3B25">
        <w:rPr>
          <w:caps/>
        </w:rPr>
        <w:t>16</w:t>
      </w:r>
    </w:p>
    <w:p w:rsidR="00F37A10" w:rsidRPr="00BD3B25" w:rsidRDefault="005F257C" w:rsidP="00112D25">
      <w:pPr>
        <w:pStyle w:val="normal1"/>
        <w:tabs>
          <w:tab w:val="clear" w:pos="1411"/>
        </w:tabs>
        <w:jc w:val="right"/>
      </w:pPr>
      <w:r>
        <w:t xml:space="preserve">[2018] HKCA </w:t>
      </w:r>
      <w:r w:rsidR="006F2B54">
        <w:t>913</w:t>
      </w:r>
    </w:p>
    <w:p w:rsidR="00AA33C6" w:rsidRPr="00BD3B25" w:rsidRDefault="00AA33C6" w:rsidP="00F37A10">
      <w:pPr>
        <w:pStyle w:val="normal1"/>
        <w:tabs>
          <w:tab w:val="clear" w:pos="1411"/>
        </w:tabs>
      </w:pPr>
    </w:p>
    <w:p w:rsidR="00F37A10" w:rsidRPr="00BD3B25" w:rsidRDefault="00F37A10" w:rsidP="00F37A10">
      <w:pPr>
        <w:pStyle w:val="normal2"/>
        <w:snapToGrid/>
        <w:spacing w:line="360" w:lineRule="auto"/>
        <w:rPr>
          <w:b/>
          <w:bCs/>
        </w:rPr>
      </w:pPr>
      <w:r w:rsidRPr="00BD3B25">
        <w:rPr>
          <w:b/>
          <w:bCs/>
        </w:rPr>
        <w:t>in the high court of the</w:t>
      </w:r>
    </w:p>
    <w:p w:rsidR="00F37A10" w:rsidRPr="00BD3B25" w:rsidRDefault="00F37A10" w:rsidP="00F37A10">
      <w:pPr>
        <w:pStyle w:val="normal2"/>
        <w:snapToGrid/>
        <w:spacing w:line="360" w:lineRule="auto"/>
        <w:rPr>
          <w:b/>
          <w:bCs/>
        </w:rPr>
      </w:pPr>
      <w:r w:rsidRPr="00BD3B25">
        <w:rPr>
          <w:b/>
          <w:bCs/>
        </w:rPr>
        <w:t>hong kong special administrative region</w:t>
      </w:r>
    </w:p>
    <w:p w:rsidR="00F37A10" w:rsidRPr="00BD3B25" w:rsidRDefault="00F37A10" w:rsidP="00F37A10">
      <w:pPr>
        <w:pStyle w:val="normal2"/>
        <w:snapToGrid/>
        <w:spacing w:line="360" w:lineRule="auto"/>
        <w:rPr>
          <w:b/>
          <w:bCs/>
        </w:rPr>
      </w:pPr>
      <w:r w:rsidRPr="00BD3B25">
        <w:rPr>
          <w:b/>
          <w:bCs/>
        </w:rPr>
        <w:t>court of appeal</w:t>
      </w:r>
    </w:p>
    <w:p w:rsidR="00F37A10" w:rsidRPr="00BD3B25" w:rsidRDefault="00456986" w:rsidP="005A5065">
      <w:pPr>
        <w:pStyle w:val="normal3"/>
        <w:tabs>
          <w:tab w:val="clear" w:pos="4500"/>
          <w:tab w:val="clear" w:pos="9000"/>
        </w:tabs>
        <w:spacing w:line="360" w:lineRule="auto"/>
        <w:rPr>
          <w:rFonts w:eastAsia="宋体"/>
          <w:b w:val="0"/>
          <w:bCs/>
          <w:lang w:eastAsia="zh-CN"/>
        </w:rPr>
      </w:pPr>
      <w:r w:rsidRPr="00BD3B25">
        <w:rPr>
          <w:rFonts w:eastAsia="宋体"/>
          <w:b w:val="0"/>
          <w:bCs/>
          <w:lang w:eastAsia="zh-CN"/>
        </w:rPr>
        <w:t xml:space="preserve">criminal </w:t>
      </w:r>
      <w:r w:rsidR="00F37A10" w:rsidRPr="00BD3B25">
        <w:rPr>
          <w:b w:val="0"/>
          <w:bCs/>
        </w:rPr>
        <w:t xml:space="preserve">appeal no </w:t>
      </w:r>
      <w:r w:rsidR="00305417" w:rsidRPr="00BD3B25">
        <w:rPr>
          <w:b w:val="0"/>
          <w:bCs/>
        </w:rPr>
        <w:t>186</w:t>
      </w:r>
      <w:r w:rsidR="001168B7" w:rsidRPr="00BD3B25">
        <w:rPr>
          <w:b w:val="0"/>
          <w:bCs/>
        </w:rPr>
        <w:t xml:space="preserve"> </w:t>
      </w:r>
      <w:r w:rsidR="00F37A10" w:rsidRPr="00BD3B25">
        <w:rPr>
          <w:b w:val="0"/>
          <w:bCs/>
        </w:rPr>
        <w:t>of</w:t>
      </w:r>
      <w:r w:rsidR="004A2F3B" w:rsidRPr="00BD3B25">
        <w:rPr>
          <w:rFonts w:eastAsia="宋体"/>
          <w:b w:val="0"/>
          <w:bCs/>
          <w:lang w:eastAsia="zh-CN"/>
        </w:rPr>
        <w:t xml:space="preserve"> 20</w:t>
      </w:r>
      <w:r w:rsidR="00305417" w:rsidRPr="00BD3B25">
        <w:rPr>
          <w:rFonts w:eastAsia="宋体"/>
          <w:b w:val="0"/>
          <w:bCs/>
          <w:lang w:eastAsia="zh-CN"/>
        </w:rPr>
        <w:t>16</w:t>
      </w:r>
    </w:p>
    <w:p w:rsidR="00F37A10" w:rsidRPr="00BD3B25" w:rsidRDefault="00F37A10" w:rsidP="005A5065">
      <w:pPr>
        <w:pStyle w:val="normal3"/>
        <w:tabs>
          <w:tab w:val="clear" w:pos="4500"/>
          <w:tab w:val="clear" w:pos="9000"/>
        </w:tabs>
        <w:spacing w:after="0"/>
        <w:rPr>
          <w:b w:val="0"/>
          <w:bCs/>
        </w:rPr>
      </w:pPr>
      <w:r w:rsidRPr="00BD3B25">
        <w:rPr>
          <w:b w:val="0"/>
          <w:bCs/>
        </w:rPr>
        <w:t>(on appeal from</w:t>
      </w:r>
      <w:r w:rsidR="001168B7" w:rsidRPr="00BD3B25">
        <w:rPr>
          <w:b w:val="0"/>
          <w:bCs/>
        </w:rPr>
        <w:t xml:space="preserve"> </w:t>
      </w:r>
      <w:r w:rsidR="00305417" w:rsidRPr="00BD3B25">
        <w:rPr>
          <w:b w:val="0"/>
          <w:bCs/>
        </w:rPr>
        <w:t>DCCC</w:t>
      </w:r>
      <w:r w:rsidR="00456986" w:rsidRPr="00BD3B25">
        <w:rPr>
          <w:b w:val="0"/>
          <w:bCs/>
        </w:rPr>
        <w:t xml:space="preserve"> </w:t>
      </w:r>
      <w:r w:rsidRPr="00BD3B25">
        <w:rPr>
          <w:rFonts w:eastAsia="宋体"/>
          <w:b w:val="0"/>
          <w:bCs/>
          <w:lang w:eastAsia="zh-CN"/>
        </w:rPr>
        <w:t xml:space="preserve">NO </w:t>
      </w:r>
      <w:r w:rsidR="00305417" w:rsidRPr="00BD3B25">
        <w:rPr>
          <w:rFonts w:eastAsia="宋体"/>
          <w:b w:val="0"/>
          <w:bCs/>
          <w:lang w:eastAsia="zh-CN"/>
        </w:rPr>
        <w:t>338</w:t>
      </w:r>
      <w:r w:rsidR="00456986" w:rsidRPr="00BD3B25">
        <w:rPr>
          <w:rFonts w:eastAsia="宋体"/>
          <w:b w:val="0"/>
          <w:bCs/>
          <w:lang w:eastAsia="zh-CN"/>
        </w:rPr>
        <w:t xml:space="preserve"> </w:t>
      </w:r>
      <w:r w:rsidRPr="00BD3B25">
        <w:rPr>
          <w:b w:val="0"/>
          <w:bCs/>
        </w:rPr>
        <w:t xml:space="preserve">of </w:t>
      </w:r>
      <w:r w:rsidRPr="00BD3B25">
        <w:rPr>
          <w:rFonts w:eastAsia="宋体"/>
          <w:b w:val="0"/>
          <w:bCs/>
          <w:lang w:eastAsia="zh-CN"/>
        </w:rPr>
        <w:t>20</w:t>
      </w:r>
      <w:r w:rsidR="00305417" w:rsidRPr="00BD3B25">
        <w:rPr>
          <w:rFonts w:eastAsia="宋体"/>
          <w:b w:val="0"/>
          <w:bCs/>
          <w:lang w:eastAsia="zh-CN"/>
        </w:rPr>
        <w:t>15</w:t>
      </w:r>
      <w:r w:rsidRPr="00BD3B25">
        <w:rPr>
          <w:b w:val="0"/>
          <w:bCs/>
        </w:rPr>
        <w:t>)</w:t>
      </w:r>
    </w:p>
    <w:tbl>
      <w:tblPr>
        <w:tblW w:w="0" w:type="auto"/>
        <w:jc w:val="center"/>
        <w:tblBorders>
          <w:bottom w:val="single" w:sz="4" w:space="0" w:color="auto"/>
        </w:tblBorders>
        <w:tblLook w:val="0000" w:firstRow="0" w:lastRow="0" w:firstColumn="0" w:lastColumn="0" w:noHBand="0" w:noVBand="0"/>
      </w:tblPr>
      <w:tblGrid>
        <w:gridCol w:w="3150"/>
      </w:tblGrid>
      <w:tr w:rsidR="00F37A10" w:rsidRPr="00BD3B25" w:rsidTr="000B2301">
        <w:trPr>
          <w:jc w:val="center"/>
        </w:trPr>
        <w:tc>
          <w:tcPr>
            <w:tcW w:w="3150" w:type="dxa"/>
          </w:tcPr>
          <w:p w:rsidR="00F37A10" w:rsidRPr="00BD3B25" w:rsidRDefault="00F37A10" w:rsidP="00BC5597">
            <w:pPr>
              <w:pStyle w:val="sh"/>
              <w:tabs>
                <w:tab w:val="clear" w:pos="720"/>
              </w:tabs>
              <w:snapToGrid w:val="0"/>
              <w:jc w:val="center"/>
              <w:rPr>
                <w:lang w:val="en-GB"/>
              </w:rPr>
            </w:pPr>
          </w:p>
        </w:tc>
      </w:tr>
    </w:tbl>
    <w:p w:rsidR="00F37A10" w:rsidRPr="00BD3B25" w:rsidRDefault="00F37A10" w:rsidP="007E6F04">
      <w:pPr>
        <w:pStyle w:val="Heading6"/>
        <w:spacing w:before="240" w:after="240"/>
      </w:pPr>
      <w:r w:rsidRPr="00BD3B25">
        <w:t>BETWEEN</w:t>
      </w:r>
    </w:p>
    <w:tbl>
      <w:tblPr>
        <w:tblW w:w="7308" w:type="dxa"/>
        <w:tblInd w:w="1530" w:type="dxa"/>
        <w:tblLayout w:type="fixed"/>
        <w:tblLook w:val="0000" w:firstRow="0" w:lastRow="0" w:firstColumn="0" w:lastColumn="0" w:noHBand="0" w:noVBand="0"/>
      </w:tblPr>
      <w:tblGrid>
        <w:gridCol w:w="1080"/>
        <w:gridCol w:w="3150"/>
        <w:gridCol w:w="1080"/>
        <w:gridCol w:w="1998"/>
      </w:tblGrid>
      <w:tr w:rsidR="00F37A10" w:rsidRPr="00BD3B25" w:rsidTr="00045517">
        <w:trPr>
          <w:cantSplit/>
          <w:trHeight w:val="504"/>
        </w:trPr>
        <w:tc>
          <w:tcPr>
            <w:tcW w:w="5310" w:type="dxa"/>
            <w:gridSpan w:val="3"/>
          </w:tcPr>
          <w:p w:rsidR="007E6F04" w:rsidRPr="00BD3B25" w:rsidRDefault="00305417" w:rsidP="007E6F04">
            <w:pPr>
              <w:pStyle w:val="sh"/>
              <w:tabs>
                <w:tab w:val="clear" w:pos="720"/>
                <w:tab w:val="clear" w:pos="1440"/>
                <w:tab w:val="clear" w:pos="4320"/>
              </w:tabs>
              <w:jc w:val="center"/>
              <w:rPr>
                <w:lang w:val="en-GB"/>
              </w:rPr>
            </w:pPr>
            <w:r w:rsidRPr="00BD3B25">
              <w:rPr>
                <w:lang w:val="en-GB"/>
              </w:rPr>
              <w:t>HKSAR</w:t>
            </w:r>
          </w:p>
        </w:tc>
        <w:tc>
          <w:tcPr>
            <w:tcW w:w="1998" w:type="dxa"/>
          </w:tcPr>
          <w:p w:rsidR="00F37A10" w:rsidRPr="00BD3B25" w:rsidRDefault="00305417" w:rsidP="00BC5597">
            <w:pPr>
              <w:pStyle w:val="sh"/>
              <w:tabs>
                <w:tab w:val="clear" w:pos="720"/>
                <w:tab w:val="clear" w:pos="1440"/>
              </w:tabs>
              <w:rPr>
                <w:lang w:val="en-GB"/>
              </w:rPr>
            </w:pPr>
            <w:r w:rsidRPr="00BD3B25">
              <w:rPr>
                <w:lang w:val="en-GB"/>
              </w:rPr>
              <w:t>Respondent</w:t>
            </w:r>
          </w:p>
        </w:tc>
      </w:tr>
      <w:tr w:rsidR="00F37A10" w:rsidRPr="00BD3B25" w:rsidTr="00045517">
        <w:trPr>
          <w:cantSplit/>
          <w:trHeight w:val="504"/>
        </w:trPr>
        <w:tc>
          <w:tcPr>
            <w:tcW w:w="5310" w:type="dxa"/>
            <w:gridSpan w:val="3"/>
          </w:tcPr>
          <w:p w:rsidR="00F37A10" w:rsidRPr="00BD3B25" w:rsidRDefault="009D513E" w:rsidP="00BC5597">
            <w:pPr>
              <w:pStyle w:val="sh"/>
              <w:tabs>
                <w:tab w:val="clear" w:pos="720"/>
                <w:tab w:val="clear" w:pos="1440"/>
                <w:tab w:val="clear" w:pos="4320"/>
              </w:tabs>
              <w:jc w:val="center"/>
              <w:rPr>
                <w:lang w:val="en-GB"/>
              </w:rPr>
            </w:pPr>
            <w:r w:rsidRPr="00BD3B25">
              <w:rPr>
                <w:lang w:val="en-GB"/>
              </w:rPr>
              <w:t>and</w:t>
            </w:r>
          </w:p>
        </w:tc>
        <w:tc>
          <w:tcPr>
            <w:tcW w:w="1998" w:type="dxa"/>
          </w:tcPr>
          <w:p w:rsidR="00F37A10" w:rsidRPr="00BD3B25" w:rsidRDefault="00F37A10" w:rsidP="00BC5597">
            <w:pPr>
              <w:pStyle w:val="sh"/>
              <w:tabs>
                <w:tab w:val="clear" w:pos="720"/>
                <w:tab w:val="clear" w:pos="1440"/>
              </w:tabs>
              <w:rPr>
                <w:lang w:val="en-GB"/>
              </w:rPr>
            </w:pPr>
          </w:p>
        </w:tc>
      </w:tr>
      <w:tr w:rsidR="00F37A10" w:rsidRPr="00BD3B25" w:rsidTr="00045517">
        <w:trPr>
          <w:cantSplit/>
          <w:trHeight w:val="504"/>
        </w:trPr>
        <w:tc>
          <w:tcPr>
            <w:tcW w:w="5310" w:type="dxa"/>
            <w:gridSpan w:val="3"/>
          </w:tcPr>
          <w:p w:rsidR="007E6F04" w:rsidRPr="00BD3B25" w:rsidRDefault="00305417" w:rsidP="00BC5597">
            <w:pPr>
              <w:pStyle w:val="sh"/>
              <w:tabs>
                <w:tab w:val="clear" w:pos="720"/>
                <w:tab w:val="clear" w:pos="1440"/>
                <w:tab w:val="clear" w:pos="4320"/>
              </w:tabs>
              <w:jc w:val="center"/>
              <w:rPr>
                <w:lang w:val="en-GB"/>
              </w:rPr>
            </w:pPr>
            <w:r w:rsidRPr="00BD3B25">
              <w:rPr>
                <w:lang w:val="en-GB"/>
              </w:rPr>
              <w:t>So Ping Chi (</w:t>
            </w:r>
            <w:r w:rsidRPr="00BD3B25">
              <w:rPr>
                <w:rFonts w:ascii="宋体" w:hAnsi="宋体"/>
                <w:color w:val="000000"/>
                <w:sz w:val="27"/>
                <w:szCs w:val="27"/>
                <w:lang w:val="en-GB" w:eastAsia="zh-HK"/>
              </w:rPr>
              <w:t>蘇平治</w:t>
            </w:r>
            <w:r w:rsidRPr="00BD3B25">
              <w:rPr>
                <w:lang w:val="en-GB"/>
              </w:rPr>
              <w:t>)</w:t>
            </w:r>
          </w:p>
        </w:tc>
        <w:tc>
          <w:tcPr>
            <w:tcW w:w="1998" w:type="dxa"/>
          </w:tcPr>
          <w:p w:rsidR="00F37A10" w:rsidRPr="00BD3B25" w:rsidRDefault="00305417" w:rsidP="00BC5597">
            <w:pPr>
              <w:pStyle w:val="sh"/>
              <w:tabs>
                <w:tab w:val="clear" w:pos="720"/>
                <w:tab w:val="clear" w:pos="1440"/>
              </w:tabs>
              <w:rPr>
                <w:lang w:val="en-GB"/>
              </w:rPr>
            </w:pPr>
            <w:r w:rsidRPr="00BD3B25">
              <w:rPr>
                <w:lang w:val="en-GB"/>
              </w:rPr>
              <w:t>Appellant</w:t>
            </w:r>
          </w:p>
        </w:tc>
      </w:tr>
      <w:tr w:rsidR="00F37A10" w:rsidRPr="00BD3B25" w:rsidTr="00045517">
        <w:tblPrEx>
          <w:tblBorders>
            <w:bottom w:val="single" w:sz="4" w:space="0" w:color="auto"/>
          </w:tblBorders>
        </w:tblPrEx>
        <w:trPr>
          <w:gridBefore w:val="1"/>
          <w:gridAfter w:val="2"/>
          <w:wBefore w:w="1080" w:type="dxa"/>
          <w:wAfter w:w="3078" w:type="dxa"/>
        </w:trPr>
        <w:tc>
          <w:tcPr>
            <w:tcW w:w="3150" w:type="dxa"/>
          </w:tcPr>
          <w:p w:rsidR="00F37A10" w:rsidRPr="00BD3B25" w:rsidRDefault="00F37A10" w:rsidP="00BC5597">
            <w:pPr>
              <w:pStyle w:val="sh"/>
              <w:tabs>
                <w:tab w:val="clear" w:pos="720"/>
              </w:tabs>
              <w:snapToGrid w:val="0"/>
              <w:jc w:val="center"/>
              <w:rPr>
                <w:lang w:val="en-GB"/>
              </w:rPr>
            </w:pPr>
          </w:p>
        </w:tc>
      </w:tr>
    </w:tbl>
    <w:p w:rsidR="003D125E" w:rsidRPr="00BD3B25" w:rsidRDefault="003D125E" w:rsidP="003D125E">
      <w:pPr>
        <w:spacing w:before="360" w:after="120"/>
        <w:jc w:val="left"/>
        <w:rPr>
          <w:rFonts w:eastAsia="宋体"/>
          <w:b w:val="0"/>
          <w:bCs/>
          <w:sz w:val="28"/>
        </w:rPr>
      </w:pPr>
      <w:r w:rsidRPr="00BD3B25">
        <w:rPr>
          <w:rFonts w:eastAsia="宋体"/>
          <w:b w:val="0"/>
          <w:bCs/>
          <w:sz w:val="28"/>
        </w:rPr>
        <w:t xml:space="preserve">Before: Hon </w:t>
      </w:r>
      <w:bookmarkStart w:id="0" w:name="_GoBack"/>
      <w:proofErr w:type="spellStart"/>
      <w:r w:rsidR="001168B7" w:rsidRPr="00BD3B25">
        <w:rPr>
          <w:rFonts w:eastAsia="宋体"/>
          <w:b w:val="0"/>
          <w:bCs/>
          <w:sz w:val="28"/>
        </w:rPr>
        <w:t>Macrae</w:t>
      </w:r>
      <w:proofErr w:type="spellEnd"/>
      <w:r w:rsidR="00F60C0E" w:rsidRPr="00BD3B25">
        <w:rPr>
          <w:rFonts w:eastAsia="宋体"/>
          <w:b w:val="0"/>
          <w:bCs/>
          <w:sz w:val="28"/>
        </w:rPr>
        <w:t xml:space="preserve"> VP</w:t>
      </w:r>
      <w:r w:rsidR="00DB7DC3" w:rsidRPr="00BD3B25">
        <w:rPr>
          <w:rFonts w:eastAsia="宋体"/>
          <w:b w:val="0"/>
          <w:bCs/>
          <w:sz w:val="28"/>
        </w:rPr>
        <w:t xml:space="preserve">, </w:t>
      </w:r>
      <w:proofErr w:type="spellStart"/>
      <w:r w:rsidR="00360A16" w:rsidRPr="00BD3B25">
        <w:rPr>
          <w:rFonts w:eastAsia="宋体"/>
          <w:b w:val="0"/>
          <w:bCs/>
          <w:sz w:val="28"/>
        </w:rPr>
        <w:t>McWalters</w:t>
      </w:r>
      <w:proofErr w:type="spellEnd"/>
      <w:r w:rsidR="00360A16" w:rsidRPr="00BD3B25">
        <w:rPr>
          <w:rFonts w:eastAsia="宋体"/>
          <w:b w:val="0"/>
          <w:bCs/>
          <w:sz w:val="28"/>
        </w:rPr>
        <w:t xml:space="preserve"> JA</w:t>
      </w:r>
      <w:r w:rsidRPr="00BD3B25">
        <w:rPr>
          <w:rFonts w:eastAsia="宋体"/>
          <w:b w:val="0"/>
          <w:bCs/>
          <w:sz w:val="28"/>
        </w:rPr>
        <w:t xml:space="preserve"> </w:t>
      </w:r>
      <w:r w:rsidR="00DB7DC3" w:rsidRPr="00BD3B25">
        <w:rPr>
          <w:rFonts w:eastAsia="宋体"/>
          <w:b w:val="0"/>
          <w:bCs/>
          <w:sz w:val="28"/>
        </w:rPr>
        <w:t xml:space="preserve">and </w:t>
      </w:r>
      <w:r w:rsidR="00360A16" w:rsidRPr="00BD3B25">
        <w:rPr>
          <w:rFonts w:eastAsia="宋体"/>
          <w:b w:val="0"/>
          <w:bCs/>
          <w:sz w:val="28"/>
        </w:rPr>
        <w:t>Pang JA</w:t>
      </w:r>
      <w:r w:rsidR="001168B7" w:rsidRPr="00BD3B25">
        <w:rPr>
          <w:rFonts w:eastAsia="宋体"/>
          <w:b w:val="0"/>
          <w:bCs/>
          <w:sz w:val="28"/>
        </w:rPr>
        <w:t xml:space="preserve"> </w:t>
      </w:r>
      <w:bookmarkEnd w:id="0"/>
      <w:r w:rsidR="009D513E" w:rsidRPr="00BD3B25">
        <w:rPr>
          <w:rFonts w:eastAsia="宋体"/>
          <w:b w:val="0"/>
          <w:bCs/>
          <w:sz w:val="28"/>
        </w:rPr>
        <w:t>i</w:t>
      </w:r>
      <w:r w:rsidRPr="00BD3B25">
        <w:rPr>
          <w:rFonts w:eastAsia="宋体"/>
          <w:b w:val="0"/>
          <w:bCs/>
          <w:sz w:val="28"/>
        </w:rPr>
        <w:t>n Court</w:t>
      </w:r>
    </w:p>
    <w:p w:rsidR="003D125E" w:rsidRPr="00BD3B25" w:rsidRDefault="003D125E" w:rsidP="003D125E">
      <w:pPr>
        <w:spacing w:after="120"/>
        <w:jc w:val="left"/>
        <w:rPr>
          <w:rFonts w:eastAsia="宋体"/>
          <w:b w:val="0"/>
          <w:bCs/>
          <w:sz w:val="28"/>
        </w:rPr>
      </w:pPr>
      <w:r w:rsidRPr="00BD3B25">
        <w:rPr>
          <w:b w:val="0"/>
          <w:bCs/>
          <w:sz w:val="28"/>
        </w:rPr>
        <w:t xml:space="preserve">Date of Hearing: </w:t>
      </w:r>
      <w:r w:rsidR="00360A16" w:rsidRPr="00BD3B25">
        <w:rPr>
          <w:b w:val="0"/>
          <w:bCs/>
          <w:sz w:val="28"/>
        </w:rPr>
        <w:t>20 June 2018</w:t>
      </w:r>
    </w:p>
    <w:p w:rsidR="003D125E" w:rsidRPr="00BD3B25" w:rsidRDefault="00E20872" w:rsidP="003D125E">
      <w:pPr>
        <w:spacing w:after="120"/>
        <w:jc w:val="left"/>
        <w:rPr>
          <w:rFonts w:eastAsia="宋体"/>
          <w:b w:val="0"/>
          <w:bCs/>
          <w:sz w:val="28"/>
        </w:rPr>
      </w:pPr>
      <w:r w:rsidRPr="00BD3B25">
        <w:rPr>
          <w:rFonts w:eastAsia="宋体"/>
          <w:b w:val="0"/>
          <w:bCs/>
          <w:sz w:val="28"/>
        </w:rPr>
        <w:t xml:space="preserve">Date of Judgment: </w:t>
      </w:r>
      <w:r w:rsidR="00237DF9">
        <w:rPr>
          <w:rFonts w:eastAsia="宋体"/>
          <w:b w:val="0"/>
          <w:bCs/>
          <w:sz w:val="28"/>
        </w:rPr>
        <w:t>30 November 2018</w:t>
      </w:r>
    </w:p>
    <w:p w:rsidR="003D125E" w:rsidRPr="00BD3B25" w:rsidRDefault="003D125E" w:rsidP="003D125E">
      <w:pPr>
        <w:spacing w:after="120"/>
        <w:jc w:val="left"/>
        <w:rPr>
          <w:rFonts w:eastAsia="宋体"/>
          <w:b w:val="0"/>
          <w:bCs/>
          <w:sz w:val="28"/>
        </w:rPr>
      </w:pPr>
    </w:p>
    <w:tbl>
      <w:tblPr>
        <w:tblW w:w="0" w:type="auto"/>
        <w:jc w:val="center"/>
        <w:tblBorders>
          <w:top w:val="single" w:sz="4" w:space="0" w:color="auto"/>
          <w:bottom w:val="single" w:sz="4" w:space="0" w:color="auto"/>
        </w:tblBorders>
        <w:tblLook w:val="0000" w:firstRow="0" w:lastRow="0" w:firstColumn="0" w:lastColumn="0" w:noHBand="0" w:noVBand="0"/>
      </w:tblPr>
      <w:tblGrid>
        <w:gridCol w:w="3150"/>
      </w:tblGrid>
      <w:tr w:rsidR="00F37A10" w:rsidRPr="00BD3B25" w:rsidTr="000B2301">
        <w:trPr>
          <w:jc w:val="center"/>
        </w:trPr>
        <w:tc>
          <w:tcPr>
            <w:tcW w:w="3150" w:type="dxa"/>
            <w:vAlign w:val="center"/>
          </w:tcPr>
          <w:p w:rsidR="00F37A10" w:rsidRPr="00BD3B25" w:rsidRDefault="00F37A10" w:rsidP="00BC5597">
            <w:pPr>
              <w:pStyle w:val="sh"/>
              <w:tabs>
                <w:tab w:val="clear" w:pos="720"/>
                <w:tab w:val="clear" w:pos="1440"/>
                <w:tab w:val="clear" w:pos="4320"/>
              </w:tabs>
              <w:snapToGrid w:val="0"/>
              <w:spacing w:before="200" w:after="200"/>
              <w:jc w:val="center"/>
              <w:rPr>
                <w:lang w:val="en-GB"/>
              </w:rPr>
            </w:pPr>
            <w:r w:rsidRPr="00BD3B25">
              <w:rPr>
                <w:lang w:val="en-GB"/>
              </w:rPr>
              <w:t>J U D G M E N T</w:t>
            </w:r>
          </w:p>
        </w:tc>
      </w:tr>
    </w:tbl>
    <w:p w:rsidR="00EE3AD7" w:rsidRPr="00BD3B25" w:rsidRDefault="00C96C75" w:rsidP="00C96C75">
      <w:pPr>
        <w:pStyle w:val="ar-draft"/>
        <w:keepNext/>
        <w:numPr>
          <w:ilvl w:val="0"/>
          <w:numId w:val="0"/>
        </w:numPr>
      </w:pPr>
      <w:r w:rsidRPr="00BD3B25">
        <w:t xml:space="preserve">Hon </w:t>
      </w:r>
      <w:proofErr w:type="spellStart"/>
      <w:r w:rsidRPr="00BD3B25">
        <w:t>Macrae</w:t>
      </w:r>
      <w:proofErr w:type="spellEnd"/>
      <w:r w:rsidRPr="00BD3B25">
        <w:t xml:space="preserve"> </w:t>
      </w:r>
      <w:r w:rsidR="00F6299F" w:rsidRPr="00BD3B25">
        <w:t>VP</w:t>
      </w:r>
      <w:r w:rsidRPr="00BD3B25">
        <w:t xml:space="preserve"> (giving the Judgment of the Court):</w:t>
      </w:r>
    </w:p>
    <w:p w:rsidR="0034463C" w:rsidRPr="00BD3B25" w:rsidRDefault="0034463C" w:rsidP="0034463C">
      <w:pPr>
        <w:pStyle w:val="ar-draft"/>
        <w:rPr>
          <w:szCs w:val="28"/>
        </w:rPr>
      </w:pPr>
      <w:r w:rsidRPr="00BD3B25">
        <w:t xml:space="preserve">The appellant </w:t>
      </w:r>
      <w:r w:rsidRPr="00BD3B25">
        <w:rPr>
          <w:szCs w:val="28"/>
        </w:rPr>
        <w:t xml:space="preserve">was convicted </w:t>
      </w:r>
      <w:r w:rsidRPr="00BD3B25">
        <w:t xml:space="preserve">on 7 June </w:t>
      </w:r>
      <w:r w:rsidRPr="00BD3B25">
        <w:rPr>
          <w:szCs w:val="28"/>
        </w:rPr>
        <w:t>2016 after trial</w:t>
      </w:r>
      <w:r w:rsidRPr="00BD3B25">
        <w:t xml:space="preserve"> before </w:t>
      </w:r>
      <w:r w:rsidR="00135935">
        <w:t>HH Judge</w:t>
      </w:r>
      <w:r w:rsidRPr="00BD3B25">
        <w:t xml:space="preserve"> Douglas</w:t>
      </w:r>
      <w:r w:rsidR="009E629B" w:rsidRPr="00BD3B25">
        <w:t xml:space="preserve"> </w:t>
      </w:r>
      <w:proofErr w:type="spellStart"/>
      <w:r w:rsidRPr="00BD3B25">
        <w:t>Yau</w:t>
      </w:r>
      <w:proofErr w:type="spellEnd"/>
      <w:r w:rsidRPr="00BD3B25">
        <w:t xml:space="preserve"> (“the judge”)</w:t>
      </w:r>
      <w:r w:rsidRPr="00BD3B25">
        <w:rPr>
          <w:szCs w:val="28"/>
        </w:rPr>
        <w:t xml:space="preserve"> o</w:t>
      </w:r>
      <w:r w:rsidR="00861473">
        <w:rPr>
          <w:szCs w:val="28"/>
        </w:rPr>
        <w:t>f</w:t>
      </w:r>
      <w:r w:rsidRPr="00BD3B25">
        <w:t xml:space="preserve"> one charge of </w:t>
      </w:r>
      <w:r w:rsidR="00D14BB4">
        <w:t>m</w:t>
      </w:r>
      <w:r w:rsidRPr="00BD3B25">
        <w:t>isconduct in public office, contrary to Common Law and punishable under section</w:t>
      </w:r>
      <w:r w:rsidR="009E629B" w:rsidRPr="00BD3B25">
        <w:t xml:space="preserve"> ‍</w:t>
      </w:r>
      <w:r w:rsidRPr="00BD3B25">
        <w:t>101</w:t>
      </w:r>
      <w:proofErr w:type="gramStart"/>
      <w:r w:rsidRPr="00BD3B25">
        <w:t>I(</w:t>
      </w:r>
      <w:proofErr w:type="gramEnd"/>
      <w:r w:rsidRPr="00BD3B25">
        <w:t>1) of the Criminal Procedure Ordinance, Cap</w:t>
      </w:r>
      <w:r w:rsidR="00BD3B25" w:rsidRPr="00BD3B25">
        <w:t xml:space="preserve"> </w:t>
      </w:r>
      <w:r w:rsidRPr="00BD3B25">
        <w:t>221</w:t>
      </w:r>
      <w:r w:rsidR="0046275A">
        <w:t>.  He was</w:t>
      </w:r>
      <w:r w:rsidRPr="00BD3B25">
        <w:t xml:space="preserve"> sentenced to </w:t>
      </w:r>
      <w:r w:rsidRPr="00BD3B25">
        <w:rPr>
          <w:szCs w:val="28"/>
        </w:rPr>
        <w:t>16 months’ imprisonment.</w:t>
      </w:r>
    </w:p>
    <w:p w:rsidR="0034463C" w:rsidRDefault="0064484E" w:rsidP="0034463C">
      <w:pPr>
        <w:pStyle w:val="ar-draft"/>
      </w:pPr>
      <w:r>
        <w:lastRenderedPageBreak/>
        <w:t>The appellant</w:t>
      </w:r>
      <w:r w:rsidR="0034463C" w:rsidRPr="00BD3B25">
        <w:t xml:space="preserve"> applied for leave to appeal against both conviction and sentence.  He was granted bail pending </w:t>
      </w:r>
      <w:r w:rsidR="00AC6933">
        <w:t xml:space="preserve">his </w:t>
      </w:r>
      <w:r w:rsidR="0034463C" w:rsidRPr="00BD3B25">
        <w:t xml:space="preserve">appeal </w:t>
      </w:r>
      <w:r w:rsidR="00135935">
        <w:t>by a Single Judge of the Court of Appeal</w:t>
      </w:r>
      <w:r w:rsidR="00135935">
        <w:rPr>
          <w:rStyle w:val="FootnoteReference"/>
        </w:rPr>
        <w:footnoteReference w:id="1"/>
      </w:r>
      <w:r w:rsidR="00135935">
        <w:t xml:space="preserve"> </w:t>
      </w:r>
      <w:r w:rsidR="0034463C" w:rsidRPr="00BD3B25">
        <w:t>on 11 November 2016</w:t>
      </w:r>
      <w:r w:rsidR="00887A55">
        <w:t>;</w:t>
      </w:r>
      <w:r w:rsidR="0034463C" w:rsidRPr="00BD3B25">
        <w:t xml:space="preserve"> and </w:t>
      </w:r>
      <w:r w:rsidR="0046275A">
        <w:t>subsequently</w:t>
      </w:r>
      <w:r w:rsidR="0034463C" w:rsidRPr="00BD3B25">
        <w:t xml:space="preserve"> leave to appeal against conviction (</w:t>
      </w:r>
      <w:r w:rsidR="0046275A">
        <w:t xml:space="preserve">but </w:t>
      </w:r>
      <w:r w:rsidR="004D0447">
        <w:t xml:space="preserve">only </w:t>
      </w:r>
      <w:r w:rsidR="0034463C" w:rsidRPr="00BD3B25">
        <w:t xml:space="preserve">on </w:t>
      </w:r>
      <w:r w:rsidR="00135935">
        <w:t>G</w:t>
      </w:r>
      <w:r w:rsidR="0034463C" w:rsidRPr="00BD3B25">
        <w:t>rounds</w:t>
      </w:r>
      <w:r w:rsidR="00BD3B25" w:rsidRPr="00BD3B25">
        <w:t xml:space="preserve"> </w:t>
      </w:r>
      <w:r w:rsidR="0034463C" w:rsidRPr="00BD3B25">
        <w:t>4, 7, 8, and 9 of his Amended Perfected Grounds of Appeal) on 13 December 2017</w:t>
      </w:r>
      <w:r w:rsidR="00836564">
        <w:t>.  At the same time, he was also given leave to appeal against sentence</w:t>
      </w:r>
      <w:r w:rsidR="0034463C" w:rsidRPr="00BD3B25">
        <w:t>.</w:t>
      </w:r>
    </w:p>
    <w:p w:rsidR="00723ADA" w:rsidRPr="00BD3B25" w:rsidRDefault="00723ADA" w:rsidP="0034463C">
      <w:pPr>
        <w:pStyle w:val="ar-draft"/>
      </w:pPr>
      <w:r>
        <w:t xml:space="preserve">On 20 June 2018, </w:t>
      </w:r>
      <w:r w:rsidR="00AC6933">
        <w:t xml:space="preserve">having heard argument from the parties, </w:t>
      </w:r>
      <w:r>
        <w:t xml:space="preserve">we reserved judgment on both the appeal against conviction and the appeal against sentence.  This is our </w:t>
      </w:r>
      <w:r w:rsidR="006E18B8">
        <w:t>judgment</w:t>
      </w:r>
      <w:r>
        <w:t>.</w:t>
      </w:r>
    </w:p>
    <w:p w:rsidR="0034463C" w:rsidRPr="00BD3B25" w:rsidRDefault="0034463C" w:rsidP="0034463C">
      <w:pPr>
        <w:pStyle w:val="ar-heading1"/>
        <w:rPr>
          <w:szCs w:val="28"/>
        </w:rPr>
      </w:pPr>
      <w:r w:rsidRPr="00BD3B25">
        <w:t>The trial</w:t>
      </w:r>
    </w:p>
    <w:p w:rsidR="0034463C" w:rsidRPr="00135935" w:rsidRDefault="0034463C" w:rsidP="0034463C">
      <w:pPr>
        <w:pStyle w:val="ar-heading1"/>
      </w:pPr>
      <w:r w:rsidRPr="00135935">
        <w:t xml:space="preserve">Particulars of the </w:t>
      </w:r>
      <w:r w:rsidR="00135935" w:rsidRPr="00135935">
        <w:t>o</w:t>
      </w:r>
      <w:r w:rsidRPr="00135935">
        <w:t>ffence</w:t>
      </w:r>
    </w:p>
    <w:p w:rsidR="0034463C" w:rsidRPr="00BD3B25" w:rsidRDefault="0034463C" w:rsidP="00135935">
      <w:pPr>
        <w:pStyle w:val="ar-draft"/>
      </w:pPr>
      <w:r w:rsidRPr="00BD3B25">
        <w:t xml:space="preserve">It was alleged that between 16 April 2007 and a day on or about 4 March 2013, the appellant, being a public officer in the Marine Department of the Government of the </w:t>
      </w:r>
      <w:r w:rsidRPr="00BD3B25">
        <w:rPr>
          <w:szCs w:val="28"/>
        </w:rPr>
        <w:t>HKSAR</w:t>
      </w:r>
      <w:r w:rsidRPr="00BD3B25">
        <w:t>, whose duties and responsibilities included the enforcement of requirements in relation to the provision of life</w:t>
      </w:r>
      <w:r w:rsidR="00733BA7">
        <w:noBreakHyphen/>
      </w:r>
      <w:r w:rsidRPr="00BD3B25">
        <w:t>saving appliances required by the Merchant Shipping (Local Vessels) (Safety and Survey) Regulation, Cap</w:t>
      </w:r>
      <w:r w:rsidR="00BD3B25" w:rsidRPr="00BD3B25">
        <w:t xml:space="preserve"> </w:t>
      </w:r>
      <w:r w:rsidRPr="00BD3B25">
        <w:t>548G (“Cap 548G”), in the course of or in relation to that public duty wilfully misconducted himself by</w:t>
      </w:r>
      <w:r w:rsidR="00135935">
        <w:t xml:space="preserve"> </w:t>
      </w:r>
      <w:r w:rsidRPr="00BD3B25">
        <w:t>(a)</w:t>
      </w:r>
      <w:r w:rsidR="00733BA7">
        <w:t xml:space="preserve"> ‍</w:t>
      </w:r>
      <w:r w:rsidRPr="00BD3B25">
        <w:t>instructing his subordinates not to enforce the provisions contained in Section 32(2)(b) and Parts 1 and 2 of Schedule</w:t>
      </w:r>
      <w:r w:rsidR="00733BA7">
        <w:t xml:space="preserve"> </w:t>
      </w:r>
      <w:r w:rsidRPr="00BD3B25">
        <w:t xml:space="preserve">3 </w:t>
      </w:r>
      <w:r w:rsidR="006E18B8">
        <w:t>to</w:t>
      </w:r>
      <w:r w:rsidRPr="00BD3B25">
        <w:t xml:space="preserve"> Cap</w:t>
      </w:r>
      <w:r w:rsidR="00733BA7">
        <w:t xml:space="preserve"> </w:t>
      </w:r>
      <w:r w:rsidRPr="00BD3B25">
        <w:t>548G relating to the requirement that children’s lifejackets, in respect of vessels first licensed before the 2</w:t>
      </w:r>
      <w:r w:rsidRPr="00135935">
        <w:rPr>
          <w:vertAlign w:val="superscript"/>
        </w:rPr>
        <w:t>nd</w:t>
      </w:r>
      <w:r w:rsidRPr="00BD3B25">
        <w:t xml:space="preserve"> day of January, 2007, be kept on board that vessel whenever such vessel </w:t>
      </w:r>
      <w:r w:rsidR="00AC6933">
        <w:t>i</w:t>
      </w:r>
      <w:r w:rsidRPr="00BD3B25">
        <w:t>s being used or operated; and</w:t>
      </w:r>
      <w:r w:rsidR="00135935">
        <w:t xml:space="preserve"> (b) </w:t>
      </w:r>
      <w:r w:rsidR="00733BA7">
        <w:t>‍</w:t>
      </w:r>
      <w:r w:rsidRPr="00BD3B25">
        <w:t xml:space="preserve">further by </w:t>
      </w:r>
      <w:r w:rsidRPr="00BD3B25">
        <w:lastRenderedPageBreak/>
        <w:t>failing at any stage thereafter to rescind the said instruction, which amounted to serious misconduct</w:t>
      </w:r>
      <w:r w:rsidR="0046275A">
        <w:t>,</w:t>
      </w:r>
      <w:r w:rsidRPr="00BD3B25">
        <w:t xml:space="preserve"> and which misconduct was without reasonable excuse or justification.</w:t>
      </w:r>
    </w:p>
    <w:p w:rsidR="0034463C" w:rsidRPr="00135935" w:rsidRDefault="0034463C" w:rsidP="0034463C">
      <w:pPr>
        <w:pStyle w:val="ar-heading1"/>
        <w:rPr>
          <w:szCs w:val="28"/>
        </w:rPr>
      </w:pPr>
      <w:r w:rsidRPr="00135935">
        <w:t>The prosecution case</w:t>
      </w:r>
    </w:p>
    <w:p w:rsidR="0034463C" w:rsidRPr="00BD3B25" w:rsidRDefault="0034463C" w:rsidP="0034463C">
      <w:pPr>
        <w:pStyle w:val="ar-draft"/>
        <w:rPr>
          <w:szCs w:val="28"/>
        </w:rPr>
      </w:pPr>
      <w:r w:rsidRPr="00BD3B25">
        <w:rPr>
          <w:szCs w:val="28"/>
        </w:rPr>
        <w:t xml:space="preserve">The appellant was the </w:t>
      </w:r>
      <w:r w:rsidR="00861473">
        <w:rPr>
          <w:szCs w:val="28"/>
        </w:rPr>
        <w:t xml:space="preserve">General Manager and </w:t>
      </w:r>
      <w:r w:rsidRPr="00BD3B25">
        <w:t xml:space="preserve">Principal Surveyor of Ships of the Local Vessel Safety Branch (“LVSB”) of </w:t>
      </w:r>
      <w:r w:rsidR="0046275A">
        <w:t xml:space="preserve">the </w:t>
      </w:r>
      <w:r w:rsidRPr="00BD3B25">
        <w:t xml:space="preserve">Marine Department </w:t>
      </w:r>
      <w:r w:rsidRPr="00135935">
        <w:t>between 16 April 2007 and 12 August 2010</w:t>
      </w:r>
      <w:r w:rsidR="0046275A">
        <w:t>, for which his responsibilities were the</w:t>
      </w:r>
      <w:r w:rsidRPr="00BD3B25">
        <w:t xml:space="preserve"> enforcement of the legislation particularised in the charge</w:t>
      </w:r>
      <w:r w:rsidR="00BD3B25">
        <w:t>.</w:t>
      </w:r>
    </w:p>
    <w:p w:rsidR="0034463C" w:rsidRPr="00BD3B25" w:rsidRDefault="0034463C" w:rsidP="0034463C">
      <w:pPr>
        <w:pStyle w:val="ar-draft"/>
        <w:rPr>
          <w:szCs w:val="28"/>
        </w:rPr>
      </w:pPr>
      <w:r w:rsidRPr="00BD3B25">
        <w:t xml:space="preserve">Cap 548G came into force on </w:t>
      </w:r>
      <w:r w:rsidRPr="00135935">
        <w:t>2 January 2007</w:t>
      </w:r>
      <w:r w:rsidRPr="00BD3B25">
        <w:t xml:space="preserve">, </w:t>
      </w:r>
      <w:r w:rsidR="0046275A">
        <w:t>three</w:t>
      </w:r>
      <w:r w:rsidRPr="00135935">
        <w:t xml:space="preserve"> </w:t>
      </w:r>
      <w:r w:rsidR="00BD3B25" w:rsidRPr="00135935">
        <w:t>‍</w:t>
      </w:r>
      <w:r w:rsidRPr="00135935">
        <w:t>months before</w:t>
      </w:r>
      <w:r w:rsidRPr="00BD3B25">
        <w:t xml:space="preserve"> </w:t>
      </w:r>
      <w:r w:rsidR="0046275A">
        <w:t xml:space="preserve">the </w:t>
      </w:r>
      <w:r w:rsidRPr="00BD3B25">
        <w:t xml:space="preserve">appellant’s tenure </w:t>
      </w:r>
      <w:r w:rsidR="0046275A">
        <w:t>as</w:t>
      </w:r>
      <w:r w:rsidRPr="00BD3B25">
        <w:t xml:space="preserve"> General Manager</w:t>
      </w:r>
      <w:r w:rsidR="0035353E">
        <w:t xml:space="preserve"> and Principal Surveyor of Ships</w:t>
      </w:r>
      <w:r w:rsidRPr="00BD3B25">
        <w:t xml:space="preserve"> of </w:t>
      </w:r>
      <w:r w:rsidR="00D14BB4">
        <w:t xml:space="preserve">the </w:t>
      </w:r>
      <w:r w:rsidRPr="00BD3B25">
        <w:t>LVSB</w:t>
      </w:r>
      <w:r w:rsidR="00D14BB4">
        <w:t xml:space="preserve"> began</w:t>
      </w:r>
      <w:r w:rsidRPr="00BD3B25">
        <w:t xml:space="preserve">.  </w:t>
      </w:r>
      <w:r w:rsidR="0046275A">
        <w:t>The Regulation</w:t>
      </w:r>
      <w:r w:rsidRPr="00BD3B25">
        <w:t xml:space="preserve"> required vessels </w:t>
      </w:r>
      <w:r w:rsidR="00165D1B">
        <w:t>which</w:t>
      </w:r>
      <w:r w:rsidRPr="00BD3B25">
        <w:t xml:space="preserve"> were subject to </w:t>
      </w:r>
      <w:r w:rsidR="00BF379A">
        <w:t xml:space="preserve">it </w:t>
      </w:r>
      <w:r w:rsidRPr="00BD3B25">
        <w:t xml:space="preserve">to increase the number of lifejackets </w:t>
      </w:r>
      <w:r w:rsidR="00165D1B">
        <w:t>being</w:t>
      </w:r>
      <w:r w:rsidRPr="00BD3B25">
        <w:t xml:space="preserve"> carried on board in </w:t>
      </w:r>
      <w:r w:rsidR="00D14BB4">
        <w:t>t</w:t>
      </w:r>
      <w:r w:rsidR="00BF379A">
        <w:t>he following ways</w:t>
      </w:r>
      <w:r w:rsidR="00165D1B">
        <w:t>,</w:t>
      </w:r>
      <w:r w:rsidR="00D14BB4">
        <w:t xml:space="preserve"> in particular</w:t>
      </w:r>
      <w:r w:rsidRPr="00BD3B25">
        <w:t>:</w:t>
      </w:r>
    </w:p>
    <w:p w:rsidR="0034463C" w:rsidRPr="00BD3B25" w:rsidRDefault="0034463C" w:rsidP="0034463C">
      <w:pPr>
        <w:pStyle w:val="ar-draft"/>
        <w:numPr>
          <w:ilvl w:val="0"/>
          <w:numId w:val="0"/>
        </w:numPr>
        <w:spacing w:before="240"/>
        <w:ind w:left="1440" w:hanging="720"/>
        <w:rPr>
          <w:szCs w:val="28"/>
        </w:rPr>
      </w:pPr>
      <w:r w:rsidRPr="00BD3B25">
        <w:rPr>
          <w:szCs w:val="28"/>
        </w:rPr>
        <w:t>(a)</w:t>
      </w:r>
      <w:r w:rsidRPr="00BD3B25">
        <w:rPr>
          <w:szCs w:val="28"/>
        </w:rPr>
        <w:tab/>
      </w:r>
      <w:r w:rsidR="00676DF8" w:rsidRPr="00135935">
        <w:t>before the enactment</w:t>
      </w:r>
      <w:r w:rsidR="00676DF8">
        <w:t xml:space="preserve"> of Cap 548G</w:t>
      </w:r>
      <w:r w:rsidR="00676DF8" w:rsidRPr="00BD3B25">
        <w:rPr>
          <w:b/>
        </w:rPr>
        <w:t>,</w:t>
      </w:r>
      <w:r w:rsidR="00676DF8" w:rsidRPr="00BD3B25">
        <w:t xml:space="preserve"> vessels were required to carry lifejackets</w:t>
      </w:r>
      <w:r w:rsidR="00676DF8">
        <w:t xml:space="preserve"> </w:t>
      </w:r>
      <w:r w:rsidR="00861473">
        <w:t>in respect of</w:t>
      </w:r>
      <w:r w:rsidR="00676DF8" w:rsidRPr="00BD3B25">
        <w:t xml:space="preserve"> 40% of the maximum number of passengers</w:t>
      </w:r>
      <w:r w:rsidR="00861473">
        <w:t xml:space="preserve"> that could be carried on board</w:t>
      </w:r>
      <w:r w:rsidR="00676DF8" w:rsidRPr="00BD3B25">
        <w:t>, with the remain</w:t>
      </w:r>
      <w:r w:rsidR="00861473">
        <w:t>der</w:t>
      </w:r>
      <w:r w:rsidR="00676DF8" w:rsidRPr="00BD3B25">
        <w:t xml:space="preserve"> being made up of other life</w:t>
      </w:r>
      <w:r w:rsidR="00676DF8">
        <w:noBreakHyphen/>
      </w:r>
      <w:r w:rsidR="00676DF8" w:rsidRPr="00BD3B25">
        <w:t xml:space="preserve">saving </w:t>
      </w:r>
      <w:r w:rsidR="00676DF8">
        <w:t xml:space="preserve">equipment and </w:t>
      </w:r>
      <w:r w:rsidR="00676DF8" w:rsidRPr="00BD3B25">
        <w:t>appliances (</w:t>
      </w:r>
      <w:r w:rsidR="00676DF8">
        <w:t>for example,</w:t>
      </w:r>
      <w:r w:rsidR="00676DF8" w:rsidRPr="00BD3B25">
        <w:t xml:space="preserve"> life</w:t>
      </w:r>
      <w:r w:rsidR="0064484E">
        <w:t xml:space="preserve"> rafts and</w:t>
      </w:r>
      <w:r w:rsidR="00676DF8" w:rsidRPr="00BD3B25">
        <w:t xml:space="preserve"> buoys), </w:t>
      </w:r>
      <w:r w:rsidR="00676DF8">
        <w:t>whil</w:t>
      </w:r>
      <w:r w:rsidR="00165D1B">
        <w:t>st</w:t>
      </w:r>
      <w:r w:rsidR="00676DF8" w:rsidRPr="00BD3B25">
        <w:t xml:space="preserve"> there was no requirement for children</w:t>
      </w:r>
      <w:r w:rsidR="00165D1B">
        <w:t>’s</w:t>
      </w:r>
      <w:r w:rsidR="00676DF8" w:rsidRPr="00BD3B25">
        <w:t xml:space="preserve"> lifejackets</w:t>
      </w:r>
      <w:r w:rsidR="00676DF8" w:rsidRPr="00BD3B25">
        <w:rPr>
          <w:rStyle w:val="FootnoteReference"/>
          <w:szCs w:val="28"/>
        </w:rPr>
        <w:footnoteReference w:id="2"/>
      </w:r>
      <w:r w:rsidR="00676DF8">
        <w:t>;</w:t>
      </w:r>
    </w:p>
    <w:p w:rsidR="0034463C" w:rsidRPr="00BD3B25" w:rsidRDefault="0034463C" w:rsidP="0034463C">
      <w:pPr>
        <w:pStyle w:val="ar-draft"/>
        <w:numPr>
          <w:ilvl w:val="0"/>
          <w:numId w:val="0"/>
        </w:numPr>
        <w:spacing w:before="240"/>
        <w:ind w:left="1440" w:hanging="720"/>
      </w:pPr>
      <w:r w:rsidRPr="00BD3B25">
        <w:t>(b)</w:t>
      </w:r>
      <w:r w:rsidRPr="00BD3B25">
        <w:tab/>
      </w:r>
      <w:r w:rsidR="00676DF8">
        <w:rPr>
          <w:szCs w:val="28"/>
        </w:rPr>
        <w:t>a</w:t>
      </w:r>
      <w:r w:rsidR="00676DF8" w:rsidRPr="00135935">
        <w:rPr>
          <w:szCs w:val="28"/>
        </w:rPr>
        <w:t>fter the enactment</w:t>
      </w:r>
      <w:r w:rsidR="00676DF8">
        <w:rPr>
          <w:szCs w:val="28"/>
        </w:rPr>
        <w:t xml:space="preserve"> of Cap 548G</w:t>
      </w:r>
      <w:r w:rsidR="00676DF8" w:rsidRPr="00BD3B25">
        <w:rPr>
          <w:szCs w:val="28"/>
        </w:rPr>
        <w:t>, in order to satisfy the requirement</w:t>
      </w:r>
      <w:r w:rsidR="00165D1B">
        <w:rPr>
          <w:szCs w:val="28"/>
        </w:rPr>
        <w:t>s</w:t>
      </w:r>
      <w:r w:rsidR="00676DF8" w:rsidRPr="00BD3B25">
        <w:rPr>
          <w:szCs w:val="28"/>
        </w:rPr>
        <w:t xml:space="preserve"> of </w:t>
      </w:r>
      <w:r w:rsidR="00676DF8">
        <w:rPr>
          <w:szCs w:val="28"/>
        </w:rPr>
        <w:t>s</w:t>
      </w:r>
      <w:r w:rsidR="00676DF8" w:rsidRPr="00BD3B25">
        <w:t>ection 32(2)(b) of</w:t>
      </w:r>
      <w:r w:rsidR="00676DF8" w:rsidRPr="00BD3B25">
        <w:rPr>
          <w:szCs w:val="28"/>
        </w:rPr>
        <w:t xml:space="preserve"> </w:t>
      </w:r>
      <w:r w:rsidR="00676DF8" w:rsidRPr="00BD3B25">
        <w:t>Cap 548G, Class I or IV</w:t>
      </w:r>
      <w:r w:rsidR="00676DF8" w:rsidRPr="00BD3B25">
        <w:rPr>
          <w:rStyle w:val="FootnoteReference"/>
          <w:szCs w:val="28"/>
        </w:rPr>
        <w:footnoteReference w:id="3"/>
      </w:r>
      <w:r w:rsidR="00676DF8" w:rsidRPr="00BD3B25">
        <w:t xml:space="preserve"> </w:t>
      </w:r>
      <w:r w:rsidR="00676DF8" w:rsidRPr="00BD3B25">
        <w:lastRenderedPageBreak/>
        <w:t xml:space="preserve">vessels </w:t>
      </w:r>
      <w:r w:rsidR="00676DF8">
        <w:t>were required</w:t>
      </w:r>
      <w:r w:rsidR="00676DF8" w:rsidRPr="00BD3B25">
        <w:t xml:space="preserve"> to provide “</w:t>
      </w:r>
      <w:r w:rsidR="00676DF8" w:rsidRPr="00DD4913">
        <w:rPr>
          <w:i/>
        </w:rPr>
        <w:t>100% adult lifejacket + 5% children lifejacket</w:t>
      </w:r>
      <w:r w:rsidR="00676DF8" w:rsidRPr="00BD3B25">
        <w:t>” on each vessel</w:t>
      </w:r>
      <w:r w:rsidR="00165D1B">
        <w:t xml:space="preserve"> operating </w:t>
      </w:r>
      <w:r w:rsidR="006F4C7E">
        <w:t xml:space="preserve">anywhere </w:t>
      </w:r>
      <w:r w:rsidR="00165D1B">
        <w:t>within Hong Kong waters,</w:t>
      </w:r>
      <w:r w:rsidR="00676DF8" w:rsidRPr="00BD3B25">
        <w:t xml:space="preserve"> pursuant to Table 1 of </w:t>
      </w:r>
      <w:r w:rsidR="006F4C7E">
        <w:t xml:space="preserve">Part 2 of </w:t>
      </w:r>
      <w:r w:rsidR="00676DF8" w:rsidRPr="00BD3B25">
        <w:t xml:space="preserve">Schedule </w:t>
      </w:r>
      <w:r w:rsidR="00E124C7">
        <w:t>‍</w:t>
      </w:r>
      <w:r w:rsidR="00676DF8" w:rsidRPr="00BD3B25">
        <w:t>3 of</w:t>
      </w:r>
      <w:r w:rsidR="00676DF8" w:rsidRPr="00BD3B25">
        <w:rPr>
          <w:szCs w:val="28"/>
        </w:rPr>
        <w:t xml:space="preserve"> </w:t>
      </w:r>
      <w:r w:rsidR="00676DF8">
        <w:t>Cap 548G;</w:t>
      </w:r>
    </w:p>
    <w:p w:rsidR="0034463C" w:rsidRPr="00BD3B25" w:rsidRDefault="0034463C" w:rsidP="0034463C">
      <w:pPr>
        <w:pStyle w:val="ar-draft"/>
        <w:numPr>
          <w:ilvl w:val="0"/>
          <w:numId w:val="0"/>
        </w:numPr>
        <w:spacing w:before="240"/>
        <w:ind w:left="1440" w:hanging="720"/>
        <w:rPr>
          <w:szCs w:val="28"/>
        </w:rPr>
      </w:pPr>
      <w:r w:rsidRPr="00BD3B25">
        <w:t>(c)</w:t>
      </w:r>
      <w:r w:rsidRPr="00BD3B25">
        <w:tab/>
      </w:r>
      <w:r w:rsidR="004D0447">
        <w:t>there was a</w:t>
      </w:r>
      <w:r w:rsidRPr="00BD3B25">
        <w:t xml:space="preserve"> </w:t>
      </w:r>
      <w:r w:rsidRPr="00135935">
        <w:t>grace period of 12 months</w:t>
      </w:r>
      <w:r w:rsidRPr="00BD3B25">
        <w:rPr>
          <w:b/>
        </w:rPr>
        <w:t xml:space="preserve"> </w:t>
      </w:r>
      <w:r w:rsidRPr="00BD3B25">
        <w:t xml:space="preserve">(until 1 </w:t>
      </w:r>
      <w:r w:rsidR="00BD3B25">
        <w:t>‍</w:t>
      </w:r>
      <w:r w:rsidRPr="00BD3B25">
        <w:t xml:space="preserve">January 2008) to </w:t>
      </w:r>
      <w:r w:rsidR="00887A55">
        <w:t>give</w:t>
      </w:r>
      <w:r w:rsidRPr="00BD3B25">
        <w:t xml:space="preserve"> those subject to </w:t>
      </w:r>
      <w:r w:rsidR="00165D1B">
        <w:t>the Regulation</w:t>
      </w:r>
      <w:r w:rsidRPr="00BD3B25">
        <w:t xml:space="preserve"> time to make their vessels compliant with its requirements</w:t>
      </w:r>
      <w:r w:rsidRPr="00BD3B25">
        <w:rPr>
          <w:rStyle w:val="FootnoteReference"/>
        </w:rPr>
        <w:footnoteReference w:id="4"/>
      </w:r>
      <w:r w:rsidR="004E5D03">
        <w:t>.</w:t>
      </w:r>
    </w:p>
    <w:p w:rsidR="0034463C" w:rsidRPr="00BD3B25" w:rsidRDefault="0034463C" w:rsidP="00B30DBA">
      <w:pPr>
        <w:pStyle w:val="ar-draft"/>
      </w:pPr>
      <w:r w:rsidRPr="00BD3B25">
        <w:t>The difference between the old and new requirement</w:t>
      </w:r>
      <w:r w:rsidR="00165D1B">
        <w:t>s</w:t>
      </w:r>
      <w:r w:rsidRPr="00BD3B25">
        <w:t xml:space="preserve"> was the combination of life</w:t>
      </w:r>
      <w:r w:rsidR="00AB3C21">
        <w:noBreakHyphen/>
      </w:r>
      <w:r w:rsidRPr="00BD3B25">
        <w:t xml:space="preserve">saving equipment </w:t>
      </w:r>
      <w:r w:rsidR="00D14BB4">
        <w:t xml:space="preserve">and appliances </w:t>
      </w:r>
      <w:r w:rsidRPr="00BD3B25">
        <w:t xml:space="preserve">required under the </w:t>
      </w:r>
      <w:r w:rsidR="00165D1B">
        <w:t>R</w:t>
      </w:r>
      <w:r w:rsidRPr="00BD3B25">
        <w:t>egulation</w:t>
      </w:r>
      <w:r w:rsidR="00AC6933">
        <w:t>, and the specific provision of lifejackets for children</w:t>
      </w:r>
      <w:r w:rsidRPr="00BD3B25">
        <w:t>.  Some of the other</w:t>
      </w:r>
      <w:r w:rsidR="00887A55">
        <w:t xml:space="preserve"> forms of </w:t>
      </w:r>
      <w:r w:rsidRPr="00BD3B25">
        <w:t>life</w:t>
      </w:r>
      <w:r w:rsidR="00AB3C21">
        <w:noBreakHyphen/>
      </w:r>
      <w:r w:rsidRPr="00BD3B25">
        <w:t xml:space="preserve">saving </w:t>
      </w:r>
      <w:r w:rsidR="00165D1B">
        <w:t>equipment</w:t>
      </w:r>
      <w:r w:rsidRPr="00BD3B25">
        <w:t>, unlike lifejackets, could be shared by more than one person</w:t>
      </w:r>
      <w:r w:rsidR="004E5D03">
        <w:t>.</w:t>
      </w:r>
    </w:p>
    <w:p w:rsidR="0034463C" w:rsidRPr="00BD3B25" w:rsidRDefault="0034463C" w:rsidP="00B30DBA">
      <w:pPr>
        <w:pStyle w:val="ar-draft"/>
      </w:pPr>
      <w:r w:rsidRPr="00BD3B25">
        <w:t xml:space="preserve">It was for </w:t>
      </w:r>
      <w:r w:rsidR="00C00E49">
        <w:t>the Local Vessel Safety Section</w:t>
      </w:r>
      <w:r w:rsidRPr="00BD3B25">
        <w:t xml:space="preserve"> (“LVSS”) under </w:t>
      </w:r>
      <w:r w:rsidR="00C00E49">
        <w:t xml:space="preserve">the </w:t>
      </w:r>
      <w:r w:rsidRPr="00BD3B25">
        <w:t>LVSB to enforce the new law: ship inspectors would conduct inspections on the vessels and issue Certificates of Survey for their operations in Hong Kong waters</w:t>
      </w:r>
      <w:r w:rsidR="00DE5986">
        <w:t>,</w:t>
      </w:r>
      <w:r w:rsidRPr="00BD3B25">
        <w:t xml:space="preserve"> when they were satisfied that all requirements had been met.</w:t>
      </w:r>
    </w:p>
    <w:p w:rsidR="0034463C" w:rsidRPr="00BD3B25" w:rsidRDefault="0034463C" w:rsidP="00B30DBA">
      <w:pPr>
        <w:pStyle w:val="ar-draft"/>
        <w:rPr>
          <w:szCs w:val="28"/>
        </w:rPr>
      </w:pPr>
      <w:r w:rsidRPr="00BD3B25">
        <w:t xml:space="preserve">The prosecution alleged that the appellant had wilfully misconducted himself when, as a public officer of the Marine Department, </w:t>
      </w:r>
      <w:r w:rsidR="00C00E49">
        <w:t xml:space="preserve">he </w:t>
      </w:r>
      <w:r w:rsidRPr="00BD3B25">
        <w:t>issued instructions that the statutory requirements for the provision of children</w:t>
      </w:r>
      <w:r w:rsidR="00C00E49">
        <w:t>’s</w:t>
      </w:r>
      <w:r w:rsidRPr="00BD3B25">
        <w:t xml:space="preserve"> lifejackets on board under Section 32(2)(b) of</w:t>
      </w:r>
      <w:r w:rsidRPr="00BD3B25">
        <w:rPr>
          <w:szCs w:val="28"/>
        </w:rPr>
        <w:t xml:space="preserve"> </w:t>
      </w:r>
      <w:r w:rsidRPr="00BD3B25">
        <w:t xml:space="preserve">Cap </w:t>
      </w:r>
      <w:r w:rsidR="004E5D03">
        <w:t>‍</w:t>
      </w:r>
      <w:r w:rsidRPr="00BD3B25">
        <w:t>548G only applie</w:t>
      </w:r>
      <w:r w:rsidR="00C00E49">
        <w:t>d to “new vessels”,</w:t>
      </w:r>
      <w:r w:rsidRPr="00BD3B25">
        <w:t xml:space="preserve"> which were licensed after 2 </w:t>
      </w:r>
      <w:r w:rsidR="004E5D03">
        <w:t>‍</w:t>
      </w:r>
      <w:r w:rsidRPr="00BD3B25">
        <w:t xml:space="preserve">January 2007, but not </w:t>
      </w:r>
      <w:r w:rsidR="00C00E49">
        <w:t>to</w:t>
      </w:r>
      <w:r w:rsidRPr="00BD3B25">
        <w:t xml:space="preserve"> “old vessels”, which were licensed before the said date (“the </w:t>
      </w:r>
      <w:r w:rsidR="007C2AF5">
        <w:t>n</w:t>
      </w:r>
      <w:r w:rsidRPr="00BD3B25">
        <w:t>on</w:t>
      </w:r>
      <w:r w:rsidR="004E5D03">
        <w:noBreakHyphen/>
      </w:r>
      <w:r w:rsidRPr="00BD3B25">
        <w:t xml:space="preserve">enforcement </w:t>
      </w:r>
      <w:r w:rsidR="007C2AF5">
        <w:t>i</w:t>
      </w:r>
      <w:r w:rsidRPr="00BD3B25">
        <w:t>nstruction”)</w:t>
      </w:r>
      <w:r w:rsidR="00C00E49">
        <w:t xml:space="preserve">.  </w:t>
      </w:r>
      <w:r w:rsidR="00165D1B">
        <w:t>The prosecution</w:t>
      </w:r>
      <w:r w:rsidRPr="00BD3B25">
        <w:t xml:space="preserve"> relied on the evidence </w:t>
      </w:r>
      <w:r w:rsidR="00165D1B">
        <w:t>of</w:t>
      </w:r>
      <w:r w:rsidRPr="00BD3B25">
        <w:t xml:space="preserve"> </w:t>
      </w:r>
      <w:r w:rsidRPr="00BD3B25">
        <w:lastRenderedPageBreak/>
        <w:t>ship inspectors as to the existence of the practice</w:t>
      </w:r>
      <w:r w:rsidR="00165D1B">
        <w:t>,</w:t>
      </w:r>
      <w:r w:rsidRPr="00BD3B25">
        <w:t xml:space="preserve"> and the appellant’s own admissions as to the issuing of the </w:t>
      </w:r>
      <w:r w:rsidR="007C2AF5">
        <w:t>n</w:t>
      </w:r>
      <w:r w:rsidRPr="00BD3B25">
        <w:t>on</w:t>
      </w:r>
      <w:r w:rsidR="004E5D03">
        <w:noBreakHyphen/>
      </w:r>
      <w:r w:rsidRPr="00BD3B25">
        <w:t xml:space="preserve">enforcement </w:t>
      </w:r>
      <w:r w:rsidR="007C2AF5">
        <w:t>i</w:t>
      </w:r>
      <w:r w:rsidRPr="00BD3B25">
        <w:t xml:space="preserve">nstruction.  The </w:t>
      </w:r>
      <w:r w:rsidR="00165D1B">
        <w:t>a</w:t>
      </w:r>
      <w:r w:rsidRPr="00BD3B25">
        <w:t xml:space="preserve">ppellant failed to rescind the </w:t>
      </w:r>
      <w:r w:rsidR="007C2AF5">
        <w:t>n</w:t>
      </w:r>
      <w:r w:rsidR="00C00E49">
        <w:t>on-enforcement</w:t>
      </w:r>
      <w:r w:rsidRPr="00BD3B25">
        <w:t xml:space="preserve"> </w:t>
      </w:r>
      <w:r w:rsidR="007C2AF5">
        <w:t>i</w:t>
      </w:r>
      <w:r w:rsidR="00D14BB4">
        <w:t xml:space="preserve">nstruction during the </w:t>
      </w:r>
      <w:r w:rsidR="00AC6933">
        <w:t xml:space="preserve">entire </w:t>
      </w:r>
      <w:r w:rsidR="00D14BB4">
        <w:t>time he was in office: the said instruction was only rescinded</w:t>
      </w:r>
      <w:r w:rsidRPr="00BD3B25">
        <w:t xml:space="preserve"> by </w:t>
      </w:r>
      <w:r w:rsidR="007B2EDC">
        <w:t xml:space="preserve">one of </w:t>
      </w:r>
      <w:r w:rsidRPr="00BD3B25">
        <w:t>his successor</w:t>
      </w:r>
      <w:r w:rsidR="007B2EDC">
        <w:t>s</w:t>
      </w:r>
      <w:r w:rsidRPr="00BD3B25">
        <w:rPr>
          <w:rStyle w:val="FootnoteReference"/>
        </w:rPr>
        <w:footnoteReference w:id="5"/>
      </w:r>
      <w:r w:rsidR="00C00E49">
        <w:t>,</w:t>
      </w:r>
      <w:r w:rsidRPr="00BD3B25">
        <w:t xml:space="preserve"> </w:t>
      </w:r>
      <w:r w:rsidR="00135935">
        <w:t>following</w:t>
      </w:r>
      <w:r w:rsidRPr="00BD3B25">
        <w:t xml:space="preserve"> the collision </w:t>
      </w:r>
      <w:r w:rsidR="00135935">
        <w:t>of</w:t>
      </w:r>
      <w:r w:rsidRPr="00BD3B25">
        <w:t xml:space="preserve"> two </w:t>
      </w:r>
      <w:r w:rsidR="00135935">
        <w:t xml:space="preserve">ferry </w:t>
      </w:r>
      <w:r w:rsidRPr="00BD3B25">
        <w:t xml:space="preserve">vessels near </w:t>
      </w:r>
      <w:proofErr w:type="spellStart"/>
      <w:r w:rsidRPr="00BD3B25">
        <w:t>Lamma</w:t>
      </w:r>
      <w:proofErr w:type="spellEnd"/>
      <w:r w:rsidRPr="00BD3B25">
        <w:t xml:space="preserve"> Island on October 2012.</w:t>
      </w:r>
    </w:p>
    <w:p w:rsidR="0034463C" w:rsidRPr="00BD3B25" w:rsidRDefault="007B2EDC" w:rsidP="00B30DBA">
      <w:pPr>
        <w:pStyle w:val="ar-draft"/>
      </w:pPr>
      <w:r>
        <w:t>In the wake of</w:t>
      </w:r>
      <w:r w:rsidR="00C00E49">
        <w:t xml:space="preserve"> that</w:t>
      </w:r>
      <w:r w:rsidR="0034463C" w:rsidRPr="00BD3B25">
        <w:t xml:space="preserve"> </w:t>
      </w:r>
      <w:r>
        <w:t>tragedy</w:t>
      </w:r>
      <w:r w:rsidR="0034463C" w:rsidRPr="00BD3B25">
        <w:t xml:space="preserve">, a Commission of Inquiry was set up to look into the incident.  The </w:t>
      </w:r>
      <w:r>
        <w:t xml:space="preserve">non-enforcement instruction </w:t>
      </w:r>
      <w:r w:rsidR="00D14BB4">
        <w:t xml:space="preserve">came to light during evidence given by </w:t>
      </w:r>
      <w:r w:rsidR="0034463C" w:rsidRPr="00BD3B25">
        <w:t xml:space="preserve">officers of the Marine Department </w:t>
      </w:r>
      <w:r w:rsidR="00C00E49">
        <w:t>at</w:t>
      </w:r>
      <w:r w:rsidR="0034463C" w:rsidRPr="00BD3B25">
        <w:t xml:space="preserve"> the Inquiry.  A</w:t>
      </w:r>
      <w:r w:rsidR="00C00E49">
        <w:t>t</w:t>
      </w:r>
      <w:r w:rsidR="0034463C" w:rsidRPr="00BD3B25">
        <w:t xml:space="preserve"> the conclusion of the Inquiry</w:t>
      </w:r>
      <w:r w:rsidR="00C00E49">
        <w:t>,</w:t>
      </w:r>
      <w:r w:rsidR="0034463C" w:rsidRPr="00BD3B25">
        <w:t xml:space="preserve"> and following </w:t>
      </w:r>
      <w:r w:rsidR="00C00E49">
        <w:t xml:space="preserve">an </w:t>
      </w:r>
      <w:r w:rsidR="0034463C" w:rsidRPr="00BD3B25">
        <w:t xml:space="preserve">internal investigation </w:t>
      </w:r>
      <w:r w:rsidR="00C00E49">
        <w:t>within</w:t>
      </w:r>
      <w:r w:rsidR="0034463C" w:rsidRPr="00BD3B25">
        <w:t xml:space="preserve"> the Department, the case was referred to the Marine Police and the appellant subsequently arrested</w:t>
      </w:r>
      <w:r w:rsidR="00C00E49">
        <w:t>, given his</w:t>
      </w:r>
      <w:r w:rsidR="0034463C" w:rsidRPr="00BD3B25">
        <w:t xml:space="preserve"> issuance of </w:t>
      </w:r>
      <w:r w:rsidR="00C00E49">
        <w:t xml:space="preserve">the </w:t>
      </w:r>
      <w:r w:rsidR="007C2AF5">
        <w:t>n</w:t>
      </w:r>
      <w:r w:rsidR="00C00E49">
        <w:t>on-</w:t>
      </w:r>
      <w:r w:rsidR="00F86169">
        <w:t>e</w:t>
      </w:r>
      <w:r w:rsidR="00C00E49">
        <w:t xml:space="preserve">nforcement </w:t>
      </w:r>
      <w:r w:rsidR="007C2AF5">
        <w:t>i</w:t>
      </w:r>
      <w:r w:rsidR="0034463C" w:rsidRPr="00BD3B25">
        <w:t xml:space="preserve">nstruction and his failure to rescind </w:t>
      </w:r>
      <w:r w:rsidR="00C00E49">
        <w:t>the</w:t>
      </w:r>
      <w:r w:rsidR="00E31061">
        <w:t xml:space="preserve"> sa</w:t>
      </w:r>
      <w:r w:rsidR="00C00E49">
        <w:t>m</w:t>
      </w:r>
      <w:r w:rsidR="00E31061">
        <w:t>e</w:t>
      </w:r>
      <w:r w:rsidR="0034463C" w:rsidRPr="00BD3B25">
        <w:t>.</w:t>
      </w:r>
    </w:p>
    <w:p w:rsidR="0034463C" w:rsidRPr="00135935" w:rsidRDefault="00B06F73" w:rsidP="00B30DBA">
      <w:pPr>
        <w:pStyle w:val="ar-heading1"/>
      </w:pPr>
      <w:r>
        <w:t>T</w:t>
      </w:r>
      <w:r w:rsidR="0034463C" w:rsidRPr="00135935">
        <w:t xml:space="preserve">he issuance of the </w:t>
      </w:r>
      <w:r w:rsidR="007B2EDC">
        <w:t>n</w:t>
      </w:r>
      <w:r w:rsidR="0034463C" w:rsidRPr="00135935">
        <w:t>on</w:t>
      </w:r>
      <w:r w:rsidR="004E5D03" w:rsidRPr="00135935">
        <w:noBreakHyphen/>
      </w:r>
      <w:r w:rsidR="0034463C" w:rsidRPr="00135935">
        <w:t xml:space="preserve">enforcement </w:t>
      </w:r>
      <w:r w:rsidR="007B2EDC">
        <w:t>i</w:t>
      </w:r>
      <w:r w:rsidR="0034463C" w:rsidRPr="00135935">
        <w:t>nstruction</w:t>
      </w:r>
    </w:p>
    <w:p w:rsidR="0034463C" w:rsidRPr="00BD3B25" w:rsidRDefault="0034463C" w:rsidP="00B30DBA">
      <w:pPr>
        <w:pStyle w:val="ar-draft"/>
        <w:rPr>
          <w:szCs w:val="28"/>
        </w:rPr>
      </w:pPr>
      <w:r w:rsidRPr="00BD3B25">
        <w:t>Before the enactment of Section 32(2)(b) of</w:t>
      </w:r>
      <w:r w:rsidRPr="00BD3B25">
        <w:rPr>
          <w:szCs w:val="28"/>
        </w:rPr>
        <w:t xml:space="preserve"> </w:t>
      </w:r>
      <w:r w:rsidRPr="00BD3B25">
        <w:t xml:space="preserve">Cap 548G, the </w:t>
      </w:r>
      <w:r w:rsidR="00C67FEF">
        <w:t xml:space="preserve">appellant’s </w:t>
      </w:r>
      <w:r w:rsidRPr="00BD3B25">
        <w:t xml:space="preserve">predecessor </w:t>
      </w:r>
      <w:r w:rsidR="00C67FEF">
        <w:t>had</w:t>
      </w:r>
      <w:r w:rsidRPr="00BD3B25">
        <w:t xml:space="preserve"> participated in discussions with member</w:t>
      </w:r>
      <w:r w:rsidR="00D05794">
        <w:t>s</w:t>
      </w:r>
      <w:r w:rsidRPr="00BD3B25">
        <w:t xml:space="preserve"> of industry organisations</w:t>
      </w:r>
      <w:r w:rsidR="006E18B8">
        <w:rPr>
          <w:rStyle w:val="FootnoteReference"/>
        </w:rPr>
        <w:footnoteReference w:id="6"/>
      </w:r>
      <w:r w:rsidRPr="00BD3B25">
        <w:t xml:space="preserve"> as General Manager</w:t>
      </w:r>
      <w:r w:rsidR="00E600C4">
        <w:t xml:space="preserve"> and Principal Surveyor of Ships</w:t>
      </w:r>
      <w:r w:rsidRPr="00BD3B25">
        <w:t xml:space="preserve"> of LVSB, </w:t>
      </w:r>
      <w:r w:rsidR="00C67FEF">
        <w:t>since there were</w:t>
      </w:r>
      <w:r w:rsidRPr="00BD3B25">
        <w:t xml:space="preserve"> concerns </w:t>
      </w:r>
      <w:r w:rsidR="00C67FEF">
        <w:t>about</w:t>
      </w:r>
      <w:r w:rsidRPr="00BD3B25">
        <w:t xml:space="preserve"> the financial implication</w:t>
      </w:r>
      <w:r w:rsidR="00C67FEF">
        <w:t>s</w:t>
      </w:r>
      <w:r w:rsidRPr="00BD3B25">
        <w:t xml:space="preserve"> of the requirement</w:t>
      </w:r>
      <w:r w:rsidR="00C67FEF">
        <w:t>s under the new legislation.</w:t>
      </w:r>
      <w:r w:rsidRPr="00BD3B25">
        <w:t xml:space="preserve"> </w:t>
      </w:r>
      <w:r w:rsidRPr="00BD3B25">
        <w:rPr>
          <w:szCs w:val="28"/>
        </w:rPr>
        <w:t xml:space="preserve"> </w:t>
      </w:r>
      <w:r w:rsidRPr="00BD3B25">
        <w:t>In response to th</w:t>
      </w:r>
      <w:r w:rsidR="00C67FEF">
        <w:t>ose</w:t>
      </w:r>
      <w:r w:rsidRPr="00BD3B25">
        <w:t xml:space="preserve"> concerns</w:t>
      </w:r>
      <w:r w:rsidR="00C67FEF">
        <w:t>,</w:t>
      </w:r>
      <w:r w:rsidRPr="00BD3B25">
        <w:t xml:space="preserve"> the appellant’s predecessor </w:t>
      </w:r>
      <w:r w:rsidR="00C67FEF">
        <w:t xml:space="preserve">had </w:t>
      </w:r>
      <w:r w:rsidRPr="00BD3B25">
        <w:t>developed a policy</w:t>
      </w:r>
      <w:r w:rsidR="00C67FEF">
        <w:t xml:space="preserve"> described as</w:t>
      </w:r>
      <w:r w:rsidRPr="00BD3B25">
        <w:t xml:space="preserve"> “old vessels follow old law, new vessels follow new law”, which involved applying the new requirements only to those ships receiving their first certification after 2 </w:t>
      </w:r>
      <w:r w:rsidR="00842B74">
        <w:t>‍</w:t>
      </w:r>
      <w:r w:rsidRPr="00BD3B25">
        <w:t>January 2007</w:t>
      </w:r>
      <w:r w:rsidRPr="00BD3B25">
        <w:rPr>
          <w:b/>
        </w:rPr>
        <w:t xml:space="preserve"> </w:t>
      </w:r>
      <w:r w:rsidRPr="00BD3B25">
        <w:t xml:space="preserve">and not </w:t>
      </w:r>
      <w:r w:rsidR="00C67FEF">
        <w:t>to those</w:t>
      </w:r>
      <w:r w:rsidRPr="00BD3B25">
        <w:t xml:space="preserve"> vessels wh</w:t>
      </w:r>
      <w:r w:rsidR="00C67FEF">
        <w:t>ich</w:t>
      </w:r>
      <w:r w:rsidRPr="00BD3B25">
        <w:t xml:space="preserve"> already h</w:t>
      </w:r>
      <w:r w:rsidR="00C67FEF">
        <w:t>eld</w:t>
      </w:r>
      <w:r w:rsidRPr="00BD3B25">
        <w:t xml:space="preserve"> a certification on 2 January 2007.  The purpose </w:t>
      </w:r>
      <w:r w:rsidR="00C67FEF">
        <w:t>was</w:t>
      </w:r>
      <w:r w:rsidRPr="00BD3B25">
        <w:t xml:space="preserve"> to ease the </w:t>
      </w:r>
      <w:r w:rsidRPr="00BD3B25">
        <w:lastRenderedPageBreak/>
        <w:t xml:space="preserve">operators’ financial burden by allowing them a longer grace </w:t>
      </w:r>
      <w:r w:rsidR="00C67FEF">
        <w:t>period in which</w:t>
      </w:r>
      <w:r w:rsidRPr="00BD3B25">
        <w:t xml:space="preserve"> to gradually phase in their co</w:t>
      </w:r>
      <w:r w:rsidR="004E5D03">
        <w:t xml:space="preserve">mpliance with the </w:t>
      </w:r>
      <w:r w:rsidR="00C67FEF">
        <w:t xml:space="preserve">new </w:t>
      </w:r>
      <w:r w:rsidR="004E5D03">
        <w:t>legislation.</w:t>
      </w:r>
    </w:p>
    <w:p w:rsidR="0034463C" w:rsidRPr="00BD3B25" w:rsidRDefault="0034463C" w:rsidP="00B30DBA">
      <w:pPr>
        <w:pStyle w:val="ar-draft"/>
      </w:pPr>
      <w:r w:rsidRPr="00BD3B25">
        <w:rPr>
          <w:szCs w:val="28"/>
        </w:rPr>
        <w:t xml:space="preserve">On assuming his position as </w:t>
      </w:r>
      <w:r w:rsidRPr="00BD3B25">
        <w:t>General Manager</w:t>
      </w:r>
      <w:r w:rsidR="00E600C4">
        <w:t xml:space="preserve"> and Principal Surveyor of Ships</w:t>
      </w:r>
      <w:r w:rsidRPr="00BD3B25">
        <w:t xml:space="preserve"> of LVSB</w:t>
      </w:r>
      <w:r w:rsidRPr="00BD3B25">
        <w:rPr>
          <w:szCs w:val="28"/>
        </w:rPr>
        <w:t xml:space="preserve"> in </w:t>
      </w:r>
      <w:r w:rsidRPr="00BD3B25">
        <w:t>April 2007</w:t>
      </w:r>
      <w:r w:rsidR="00DE5986">
        <w:t>,</w:t>
      </w:r>
      <w:r w:rsidRPr="00BD3B25">
        <w:t xml:space="preserve"> </w:t>
      </w:r>
      <w:r w:rsidRPr="00BD3B25">
        <w:rPr>
          <w:szCs w:val="28"/>
        </w:rPr>
        <w:t xml:space="preserve">the appellant </w:t>
      </w:r>
      <w:r w:rsidR="00DA68D1">
        <w:rPr>
          <w:szCs w:val="28"/>
        </w:rPr>
        <w:t>issued</w:t>
      </w:r>
      <w:r w:rsidRPr="00BD3B25">
        <w:t xml:space="preserve"> an instruction to continue with this </w:t>
      </w:r>
      <w:r w:rsidR="00DA68D1">
        <w:t xml:space="preserve">policy.  </w:t>
      </w:r>
      <w:r w:rsidRPr="00BD3B25">
        <w:t xml:space="preserve">Au Yeung Chun </w:t>
      </w:r>
      <w:proofErr w:type="spellStart"/>
      <w:r w:rsidRPr="00BD3B25">
        <w:t>Tak</w:t>
      </w:r>
      <w:proofErr w:type="spellEnd"/>
      <w:r w:rsidRPr="00BD3B25">
        <w:t xml:space="preserve">, </w:t>
      </w:r>
      <w:r w:rsidR="00DA68D1">
        <w:t xml:space="preserve">a </w:t>
      </w:r>
      <w:r w:rsidRPr="00BD3B25">
        <w:t>former Chief Ship Inspector (</w:t>
      </w:r>
      <w:r w:rsidR="00DA68D1">
        <w:t>“</w:t>
      </w:r>
      <w:r w:rsidRPr="00BD3B25">
        <w:t>PW1</w:t>
      </w:r>
      <w:r w:rsidR="00DA68D1">
        <w:t>”</w:t>
      </w:r>
      <w:r w:rsidRPr="00BD3B25">
        <w:t>)</w:t>
      </w:r>
      <w:r w:rsidR="00DA68D1">
        <w:t>,</w:t>
      </w:r>
      <w:r w:rsidRPr="00BD3B25">
        <w:t xml:space="preserve"> </w:t>
      </w:r>
      <w:r w:rsidR="00D14BB4">
        <w:t>testified</w:t>
      </w:r>
      <w:r w:rsidR="00C12D46">
        <w:t xml:space="preserve"> to the effect </w:t>
      </w:r>
      <w:r w:rsidRPr="00BD3B25">
        <w:t xml:space="preserve">that there was a passive acceptance by the appellant both in April </w:t>
      </w:r>
      <w:r w:rsidR="000B76A4">
        <w:t>‍</w:t>
      </w:r>
      <w:r w:rsidRPr="00BD3B25">
        <w:t>2007</w:t>
      </w:r>
      <w:r w:rsidR="00E54FE0">
        <w:t>,</w:t>
      </w:r>
      <w:r w:rsidRPr="00BD3B25">
        <w:t xml:space="preserve"> and </w:t>
      </w:r>
      <w:r w:rsidR="00DE5986">
        <w:t xml:space="preserve">in </w:t>
      </w:r>
      <w:r w:rsidRPr="00BD3B25">
        <w:t xml:space="preserve">January </w:t>
      </w:r>
      <w:r w:rsidR="00E124C7">
        <w:t>‍</w:t>
      </w:r>
      <w:r w:rsidRPr="00BD3B25">
        <w:t>2008</w:t>
      </w:r>
      <w:r w:rsidR="00E54FE0">
        <w:t>,</w:t>
      </w:r>
      <w:r w:rsidRPr="00BD3B25">
        <w:t xml:space="preserve"> that the policy would continue; </w:t>
      </w:r>
      <w:r w:rsidR="00E54FE0">
        <w:t>t</w:t>
      </w:r>
      <w:r w:rsidR="00C12D46">
        <w:t xml:space="preserve">he </w:t>
      </w:r>
      <w:r w:rsidR="00E54FE0">
        <w:t xml:space="preserve">appellant </w:t>
      </w:r>
      <w:r w:rsidR="00C12D46">
        <w:t xml:space="preserve">certainly did not say that the practice </w:t>
      </w:r>
      <w:r w:rsidR="0005348A">
        <w:t>should be</w:t>
      </w:r>
      <w:r w:rsidR="00C12D46">
        <w:t xml:space="preserve"> stopped.</w:t>
      </w:r>
    </w:p>
    <w:p w:rsidR="0034463C" w:rsidRPr="00BD3B25" w:rsidRDefault="0034463C" w:rsidP="00B30DBA">
      <w:pPr>
        <w:pStyle w:val="ar-draft"/>
      </w:pPr>
      <w:r w:rsidRPr="00BD3B25">
        <w:t xml:space="preserve">The said policy </w:t>
      </w:r>
      <w:r w:rsidR="00DA68D1">
        <w:t>then</w:t>
      </w:r>
      <w:r w:rsidRPr="00BD3B25">
        <w:t xml:space="preserve"> continued during the term of the appellant’s next two successors, until it was rescinded after the </w:t>
      </w:r>
      <w:r w:rsidR="001774AC">
        <w:t xml:space="preserve">tragic </w:t>
      </w:r>
      <w:r w:rsidRPr="00BD3B25">
        <w:t xml:space="preserve">collision near </w:t>
      </w:r>
      <w:proofErr w:type="spellStart"/>
      <w:r w:rsidRPr="00BD3B25">
        <w:t>Lamma</w:t>
      </w:r>
      <w:proofErr w:type="spellEnd"/>
      <w:r w:rsidRPr="00BD3B25">
        <w:t xml:space="preserve"> Island.  </w:t>
      </w:r>
      <w:r w:rsidR="00AC6933">
        <w:t xml:space="preserve">The appellant’s </w:t>
      </w:r>
      <w:r w:rsidRPr="00BD3B25">
        <w:t>two successors were subject to disciplinary proceedings</w:t>
      </w:r>
      <w:r w:rsidR="001774AC">
        <w:t xml:space="preserve"> only, whil</w:t>
      </w:r>
      <w:r w:rsidR="00E54FE0">
        <w:t>st</w:t>
      </w:r>
      <w:r w:rsidR="001774AC">
        <w:t xml:space="preserve"> his predecessor was not subject to either disciplinary or criminal proceedings</w:t>
      </w:r>
      <w:r w:rsidRPr="00BD3B25">
        <w:t>.</w:t>
      </w:r>
    </w:p>
    <w:p w:rsidR="0034463C" w:rsidRPr="00DA68D1" w:rsidRDefault="007238EB" w:rsidP="00B30DBA">
      <w:pPr>
        <w:pStyle w:val="ar-heading1"/>
      </w:pPr>
      <w:r>
        <w:t xml:space="preserve">The </w:t>
      </w:r>
      <w:r w:rsidR="0034463C" w:rsidRPr="00DA68D1">
        <w:t xml:space="preserve">March 2013 </w:t>
      </w:r>
      <w:r>
        <w:t>m</w:t>
      </w:r>
      <w:r w:rsidR="0034463C" w:rsidRPr="00DA68D1">
        <w:t>eeting</w:t>
      </w:r>
    </w:p>
    <w:p w:rsidR="0034463C" w:rsidRPr="00BD3B25" w:rsidRDefault="00DA68D1" w:rsidP="00B30DBA">
      <w:pPr>
        <w:pStyle w:val="ar-draft"/>
        <w:rPr>
          <w:szCs w:val="28"/>
        </w:rPr>
      </w:pPr>
      <w:r>
        <w:rPr>
          <w:szCs w:val="28"/>
        </w:rPr>
        <w:t xml:space="preserve">On 6 March 2013, following the </w:t>
      </w:r>
      <w:proofErr w:type="spellStart"/>
      <w:r w:rsidR="00E54FE0">
        <w:rPr>
          <w:szCs w:val="28"/>
        </w:rPr>
        <w:t>Lamma</w:t>
      </w:r>
      <w:proofErr w:type="spellEnd"/>
      <w:r w:rsidR="00E54FE0">
        <w:rPr>
          <w:szCs w:val="28"/>
        </w:rPr>
        <w:t xml:space="preserve"> Island </w:t>
      </w:r>
      <w:r>
        <w:rPr>
          <w:szCs w:val="28"/>
        </w:rPr>
        <w:t>collision</w:t>
      </w:r>
      <w:r w:rsidR="000427E0">
        <w:rPr>
          <w:szCs w:val="28"/>
        </w:rPr>
        <w:t xml:space="preserve">, a regular Monday morning meeting took place at the Marine Department, attended by the appellant and other senior officers of the Department.  The </w:t>
      </w:r>
      <w:r w:rsidR="0034463C" w:rsidRPr="00BD3B25">
        <w:rPr>
          <w:szCs w:val="28"/>
        </w:rPr>
        <w:t>evidence</w:t>
      </w:r>
      <w:r w:rsidR="00E54FE0">
        <w:rPr>
          <w:szCs w:val="28"/>
        </w:rPr>
        <w:t xml:space="preserve"> at trial</w:t>
      </w:r>
      <w:r w:rsidR="0034463C" w:rsidRPr="00BD3B25">
        <w:rPr>
          <w:rStyle w:val="FootnoteReference"/>
          <w:szCs w:val="28"/>
        </w:rPr>
        <w:footnoteReference w:id="7"/>
      </w:r>
      <w:r w:rsidR="0034463C" w:rsidRPr="00BD3B25">
        <w:rPr>
          <w:szCs w:val="28"/>
        </w:rPr>
        <w:t xml:space="preserve"> </w:t>
      </w:r>
      <w:r w:rsidR="000427E0">
        <w:rPr>
          <w:szCs w:val="28"/>
        </w:rPr>
        <w:t xml:space="preserve">was </w:t>
      </w:r>
      <w:r w:rsidR="0034463C" w:rsidRPr="00BD3B25">
        <w:rPr>
          <w:szCs w:val="28"/>
        </w:rPr>
        <w:t xml:space="preserve">that, </w:t>
      </w:r>
      <w:r w:rsidR="0034463C" w:rsidRPr="00BD3B25">
        <w:t xml:space="preserve">when asked about the </w:t>
      </w:r>
      <w:r w:rsidR="00E31061">
        <w:t>n</w:t>
      </w:r>
      <w:r w:rsidR="0034463C" w:rsidRPr="00BD3B25">
        <w:t>on</w:t>
      </w:r>
      <w:r w:rsidR="004E5D03">
        <w:noBreakHyphen/>
      </w:r>
      <w:r w:rsidR="0034463C" w:rsidRPr="00BD3B25">
        <w:t xml:space="preserve">enforcement </w:t>
      </w:r>
      <w:r w:rsidR="00E31061">
        <w:t>i</w:t>
      </w:r>
      <w:r w:rsidR="0034463C" w:rsidRPr="00BD3B25">
        <w:t>nstruction</w:t>
      </w:r>
      <w:r w:rsidR="00AC6933">
        <w:t xml:space="preserve"> by PW3</w:t>
      </w:r>
      <w:r w:rsidR="0034463C" w:rsidRPr="00BD3B25">
        <w:t xml:space="preserve">, the appellant </w:t>
      </w:r>
      <w:r w:rsidR="00AC6933">
        <w:t xml:space="preserve">had </w:t>
      </w:r>
      <w:r w:rsidR="0034463C" w:rsidRPr="00BD3B25">
        <w:t xml:space="preserve">accepted that: (a) </w:t>
      </w:r>
      <w:r w:rsidR="004E5D03">
        <w:t>‍</w:t>
      </w:r>
      <w:r w:rsidR="0034463C" w:rsidRPr="00BD3B25">
        <w:t>it was h</w:t>
      </w:r>
      <w:r w:rsidR="000427E0">
        <w:t>e who had given</w:t>
      </w:r>
      <w:r w:rsidR="0034463C" w:rsidRPr="00BD3B25">
        <w:t xml:space="preserve"> the instruction, </w:t>
      </w:r>
      <w:r w:rsidR="00AC6933">
        <w:t>“</w:t>
      </w:r>
      <w:r w:rsidR="000427E0" w:rsidRPr="00887A55">
        <w:t>because</w:t>
      </w:r>
      <w:r w:rsidR="0034463C" w:rsidRPr="00887A55">
        <w:t xml:space="preserve"> the industry had reflected to him that the operation cost would increase after the new regulations were implemented </w:t>
      </w:r>
      <w:r w:rsidR="0034463C" w:rsidRPr="00887A55">
        <w:lastRenderedPageBreak/>
        <w:t>and some companies may have to be closed down</w:t>
      </w:r>
      <w:r w:rsidR="000427E0" w:rsidRPr="000427E0">
        <w:t>”</w:t>
      </w:r>
      <w:r w:rsidR="0034463C" w:rsidRPr="002F7583">
        <w:rPr>
          <w:rStyle w:val="FootnoteReference"/>
        </w:rPr>
        <w:footnoteReference w:id="8"/>
      </w:r>
      <w:r w:rsidR="0034463C" w:rsidRPr="00BD3B25">
        <w:t xml:space="preserve">; and (b) </w:t>
      </w:r>
      <w:r w:rsidR="004E5D03">
        <w:t>‍</w:t>
      </w:r>
      <w:r w:rsidR="0034463C" w:rsidRPr="00BD3B25">
        <w:t xml:space="preserve">he had not sought advice from the </w:t>
      </w:r>
      <w:r w:rsidR="0034463C" w:rsidRPr="00BD3B25">
        <w:rPr>
          <w:szCs w:val="28"/>
        </w:rPr>
        <w:t>Department of Justice</w:t>
      </w:r>
      <w:r w:rsidR="0034463C" w:rsidRPr="00BD3B25">
        <w:t xml:space="preserve"> before making the decision</w:t>
      </w:r>
      <w:r w:rsidR="004E5D03">
        <w:t>.</w:t>
      </w:r>
    </w:p>
    <w:p w:rsidR="0034463C" w:rsidRPr="000427E0" w:rsidRDefault="0034463C" w:rsidP="00B30DBA">
      <w:pPr>
        <w:pStyle w:val="ar-heading1"/>
      </w:pPr>
      <w:r w:rsidRPr="000427E0">
        <w:t>Culpability</w:t>
      </w:r>
    </w:p>
    <w:p w:rsidR="0034463C" w:rsidRPr="00BD3B25" w:rsidRDefault="0034463C" w:rsidP="00B30DBA">
      <w:pPr>
        <w:pStyle w:val="ar-draft"/>
      </w:pPr>
      <w:r w:rsidRPr="00BD3B25">
        <w:t xml:space="preserve">The </w:t>
      </w:r>
      <w:r w:rsidR="000427E0">
        <w:t>p</w:t>
      </w:r>
      <w:r w:rsidRPr="00BD3B25">
        <w:t xml:space="preserve">rosecution </w:t>
      </w:r>
      <w:r w:rsidR="000427E0">
        <w:t>maintained that the appellant</w:t>
      </w:r>
      <w:r w:rsidR="00D14BB4">
        <w:t>’s serious misconduct was culpable in</w:t>
      </w:r>
      <w:r w:rsidR="00AC6933">
        <w:t>asmuch as he deliberately decided not to enforce</w:t>
      </w:r>
      <w:r w:rsidRPr="00BD3B25">
        <w:t xml:space="preserve"> lawfully enacted legislation.  </w:t>
      </w:r>
      <w:r w:rsidR="00A75456">
        <w:t xml:space="preserve">The </w:t>
      </w:r>
      <w:r w:rsidR="00E31061">
        <w:t>n</w:t>
      </w:r>
      <w:r w:rsidRPr="00BD3B25">
        <w:t>on</w:t>
      </w:r>
      <w:r w:rsidR="00B904F3">
        <w:t>-</w:t>
      </w:r>
      <w:r w:rsidRPr="00BD3B25">
        <w:t xml:space="preserve">enforcement </w:t>
      </w:r>
      <w:r w:rsidR="00E31061">
        <w:t>i</w:t>
      </w:r>
      <w:r w:rsidRPr="00BD3B25">
        <w:t>nstruction amounted to a direction to his subordinates to act in defiance of, and actively ignore, certain safety requirements</w:t>
      </w:r>
      <w:r w:rsidR="00E54FE0">
        <w:t>,</w:t>
      </w:r>
      <w:r w:rsidRPr="00BD3B25">
        <w:t xml:space="preserve"> which were specifically pr</w:t>
      </w:r>
      <w:r w:rsidR="00521A2A">
        <w:t xml:space="preserve">escribed by </w:t>
      </w:r>
      <w:r w:rsidR="00A75456">
        <w:t xml:space="preserve">the </w:t>
      </w:r>
      <w:r w:rsidR="00521A2A">
        <w:t>safety legislation</w:t>
      </w:r>
      <w:r w:rsidR="00A75456">
        <w:t xml:space="preserve">; his conduct </w:t>
      </w:r>
      <w:r w:rsidR="00D14BB4">
        <w:t xml:space="preserve">was </w:t>
      </w:r>
      <w:r w:rsidR="00A75456">
        <w:t xml:space="preserve">therefore </w:t>
      </w:r>
      <w:r w:rsidR="00D14BB4">
        <w:t xml:space="preserve">serious and </w:t>
      </w:r>
      <w:r w:rsidR="00A75456">
        <w:t>warranted the sanction of the criminal law</w:t>
      </w:r>
      <w:r w:rsidR="00521A2A">
        <w:t>.</w:t>
      </w:r>
    </w:p>
    <w:p w:rsidR="0034463C" w:rsidRPr="00BD3B25" w:rsidRDefault="00A75456" w:rsidP="00B30DBA">
      <w:pPr>
        <w:pStyle w:val="ar-draft"/>
      </w:pPr>
      <w:r>
        <w:rPr>
          <w:szCs w:val="28"/>
        </w:rPr>
        <w:t>The prosecution emphasised that</w:t>
      </w:r>
      <w:r w:rsidR="0034463C" w:rsidRPr="00BD3B25">
        <w:t xml:space="preserve"> the issuance of </w:t>
      </w:r>
      <w:r w:rsidR="00F86169">
        <w:t xml:space="preserve">the </w:t>
      </w:r>
      <w:r w:rsidR="00E31061">
        <w:t>n</w:t>
      </w:r>
      <w:r w:rsidR="00F86169">
        <w:t xml:space="preserve">on-enforcement </w:t>
      </w:r>
      <w:r w:rsidR="00E31061">
        <w:t>i</w:t>
      </w:r>
      <w:r w:rsidR="00F86169">
        <w:t>nstruction</w:t>
      </w:r>
      <w:r w:rsidR="0034463C" w:rsidRPr="00BD3B25">
        <w:t xml:space="preserve"> encouraging partial or flexible enforcement </w:t>
      </w:r>
      <w:r w:rsidR="00F86169">
        <w:t>wa</w:t>
      </w:r>
      <w:r w:rsidR="0034463C" w:rsidRPr="00BD3B25">
        <w:t xml:space="preserve">s unlawful and strictly impermissible.  </w:t>
      </w:r>
      <w:r w:rsidR="00F86169">
        <w:t>Moreover, there was</w:t>
      </w:r>
      <w:r w:rsidR="0034463C" w:rsidRPr="00BD3B25">
        <w:t xml:space="preserve"> no temporal limitation on the instruction, </w:t>
      </w:r>
      <w:r w:rsidR="00F86169">
        <w:t xml:space="preserve">effectively making </w:t>
      </w:r>
      <w:r w:rsidR="00E31061">
        <w:t>it</w:t>
      </w:r>
      <w:r w:rsidR="00F86169">
        <w:t xml:space="preserve"> </w:t>
      </w:r>
      <w:r w:rsidR="0034463C" w:rsidRPr="00BD3B25">
        <w:t>open</w:t>
      </w:r>
      <w:r w:rsidR="0034463C" w:rsidRPr="00BD3B25">
        <w:noBreakHyphen/>
        <w:t>ended.</w:t>
      </w:r>
    </w:p>
    <w:p w:rsidR="0034463C" w:rsidRPr="00F86169" w:rsidRDefault="00F86169" w:rsidP="00B30DBA">
      <w:pPr>
        <w:pStyle w:val="ar-heading1"/>
      </w:pPr>
      <w:r w:rsidRPr="00F86169">
        <w:t xml:space="preserve">The </w:t>
      </w:r>
      <w:r>
        <w:t>d</w:t>
      </w:r>
      <w:r w:rsidR="0034463C" w:rsidRPr="00F86169">
        <w:t xml:space="preserve">efence </w:t>
      </w:r>
      <w:r>
        <w:t>c</w:t>
      </w:r>
      <w:r w:rsidR="0034463C" w:rsidRPr="00F86169">
        <w:t>ase</w:t>
      </w:r>
    </w:p>
    <w:p w:rsidR="0034463C" w:rsidRPr="00BD3B25" w:rsidRDefault="0034463C" w:rsidP="00F86169">
      <w:pPr>
        <w:pStyle w:val="ar-draft"/>
      </w:pPr>
      <w:r w:rsidRPr="00BD3B25">
        <w:t>The appellant elected not to give evidence.</w:t>
      </w:r>
      <w:r w:rsidR="00F86169">
        <w:t xml:space="preserve">  His case, as advanced by </w:t>
      </w:r>
      <w:r w:rsidR="00E54FE0">
        <w:t xml:space="preserve">his </w:t>
      </w:r>
      <w:r w:rsidR="00F86169">
        <w:t>counsel,</w:t>
      </w:r>
      <w:r w:rsidRPr="00BD3B25">
        <w:t xml:space="preserve"> was that there was no </w:t>
      </w:r>
      <w:r w:rsidR="00F86169">
        <w:t>sufficient evidence</w:t>
      </w:r>
      <w:r w:rsidRPr="00BD3B25">
        <w:t xml:space="preserve"> as to when the appellant </w:t>
      </w:r>
      <w:r w:rsidR="00F86169">
        <w:t>had given</w:t>
      </w:r>
      <w:r w:rsidRPr="00BD3B25">
        <w:t xml:space="preserve"> the </w:t>
      </w:r>
      <w:r w:rsidR="00E31061">
        <w:t>n</w:t>
      </w:r>
      <w:r w:rsidRPr="00BD3B25">
        <w:t>on</w:t>
      </w:r>
      <w:r w:rsidR="00B904F3">
        <w:t>-</w:t>
      </w:r>
      <w:r w:rsidRPr="00BD3B25">
        <w:t xml:space="preserve">enforcement </w:t>
      </w:r>
      <w:r w:rsidR="00E31061">
        <w:t>i</w:t>
      </w:r>
      <w:r w:rsidRPr="00BD3B25">
        <w:t>nstruction or its terms</w:t>
      </w:r>
      <w:r w:rsidR="00F86169">
        <w:t>, nor was there any</w:t>
      </w:r>
      <w:r w:rsidRPr="00BD3B25">
        <w:t xml:space="preserve"> proof that the appellant </w:t>
      </w:r>
      <w:r w:rsidR="00E54FE0">
        <w:t xml:space="preserve">had </w:t>
      </w:r>
      <w:r w:rsidRPr="00BD3B25">
        <w:t>deliberately failed to rescind the instruction</w:t>
      </w:r>
      <w:r w:rsidR="00F86169">
        <w:t xml:space="preserve">.  </w:t>
      </w:r>
      <w:r w:rsidR="007C2AF5">
        <w:t xml:space="preserve">Even if the appellant did issue the said </w:t>
      </w:r>
      <w:r w:rsidR="00E31061">
        <w:t>i</w:t>
      </w:r>
      <w:r w:rsidR="007C2AF5">
        <w:t>nstruction and/or failed to rescind it, his actions</w:t>
      </w:r>
      <w:r w:rsidR="00F86169">
        <w:t xml:space="preserve"> were</w:t>
      </w:r>
      <w:r w:rsidRPr="00BD3B25">
        <w:t xml:space="preserve"> not serious enough to amount to </w:t>
      </w:r>
      <w:r w:rsidR="00F86169">
        <w:t xml:space="preserve">the crime of </w:t>
      </w:r>
      <w:r w:rsidR="00D14BB4">
        <w:t>m</w:t>
      </w:r>
      <w:r w:rsidRPr="00BD3B25">
        <w:t>isconduct in public office</w:t>
      </w:r>
      <w:r w:rsidR="00F86169">
        <w:t xml:space="preserve"> s</w:t>
      </w:r>
      <w:r w:rsidR="00E54FE0">
        <w:t>o</w:t>
      </w:r>
      <w:r w:rsidR="00F86169">
        <w:t xml:space="preserve"> as to warrant criminal sanction</w:t>
      </w:r>
      <w:r w:rsidRPr="00BD3B25">
        <w:t>.</w:t>
      </w:r>
    </w:p>
    <w:p w:rsidR="0034463C" w:rsidRPr="00BD3B25" w:rsidRDefault="0034463C" w:rsidP="00B30DBA">
      <w:pPr>
        <w:pStyle w:val="ar-draft"/>
      </w:pPr>
      <w:r w:rsidRPr="00BD3B25">
        <w:lastRenderedPageBreak/>
        <w:t xml:space="preserve">It was </w:t>
      </w:r>
      <w:r w:rsidR="007C2AF5">
        <w:t>further</w:t>
      </w:r>
      <w:r w:rsidRPr="00BD3B25">
        <w:t xml:space="preserve"> submitted that the appellant </w:t>
      </w:r>
      <w:r w:rsidR="007C2AF5">
        <w:t xml:space="preserve">had a </w:t>
      </w:r>
      <w:r w:rsidRPr="00BD3B25">
        <w:t xml:space="preserve">reasonable excuse </w:t>
      </w:r>
      <w:r w:rsidR="00D14BB4">
        <w:t>for continuing and</w:t>
      </w:r>
      <w:r w:rsidRPr="00BD3B25">
        <w:t xml:space="preserve"> not rescind</w:t>
      </w:r>
      <w:r w:rsidR="00D14BB4">
        <w:t>ing</w:t>
      </w:r>
      <w:r w:rsidRPr="00BD3B25">
        <w:t xml:space="preserve"> the </w:t>
      </w:r>
      <w:r w:rsidR="00E31061">
        <w:t>n</w:t>
      </w:r>
      <w:r w:rsidRPr="00BD3B25">
        <w:t>on</w:t>
      </w:r>
      <w:r w:rsidR="00B904F3">
        <w:t>-</w:t>
      </w:r>
      <w:r w:rsidRPr="00BD3B25">
        <w:t xml:space="preserve">enforcement </w:t>
      </w:r>
      <w:r w:rsidR="00E31061">
        <w:t>i</w:t>
      </w:r>
      <w:r w:rsidRPr="00BD3B25">
        <w:t xml:space="preserve">nstruction, the excuse being the need for the defendant to ensure the </w:t>
      </w:r>
      <w:r w:rsidR="00E54FE0">
        <w:t>“</w:t>
      </w:r>
      <w:r w:rsidRPr="00BD3B25">
        <w:t>smooth implementation</w:t>
      </w:r>
      <w:r w:rsidR="00E54FE0">
        <w:t>”</w:t>
      </w:r>
      <w:r w:rsidRPr="00BD3B25">
        <w:t xml:space="preserve"> of the new lifejacket requirements under Cap</w:t>
      </w:r>
      <w:r w:rsidR="00930F3F">
        <w:t xml:space="preserve"> </w:t>
      </w:r>
      <w:r w:rsidR="00D14BB4">
        <w:t>548G, in circumstances where the new law was in practical terms little different from the old</w:t>
      </w:r>
      <w:r w:rsidR="00AC6933">
        <w:t>.</w:t>
      </w:r>
    </w:p>
    <w:p w:rsidR="0034463C" w:rsidRPr="00BD3B25" w:rsidRDefault="0034463C" w:rsidP="00B30DBA">
      <w:pPr>
        <w:pStyle w:val="ar-heading1"/>
      </w:pPr>
      <w:r w:rsidRPr="00BD3B25">
        <w:t xml:space="preserve">Reasons for </w:t>
      </w:r>
      <w:r w:rsidR="00E31061">
        <w:t>v</w:t>
      </w:r>
      <w:r w:rsidRPr="00BD3B25">
        <w:t>erdict</w:t>
      </w:r>
    </w:p>
    <w:p w:rsidR="0034463C" w:rsidRPr="00BD3B25" w:rsidRDefault="0034463C" w:rsidP="00B30DBA">
      <w:pPr>
        <w:pStyle w:val="ar-draft"/>
      </w:pPr>
      <w:r w:rsidRPr="00BD3B25">
        <w:t>The issues identified by the judge were (</w:t>
      </w:r>
      <w:proofErr w:type="spellStart"/>
      <w:r w:rsidR="00E31061">
        <w:t>i</w:t>
      </w:r>
      <w:proofErr w:type="spellEnd"/>
      <w:r w:rsidRPr="00BD3B25">
        <w:t xml:space="preserve">) </w:t>
      </w:r>
      <w:r w:rsidR="00D14BB4">
        <w:t xml:space="preserve">whether </w:t>
      </w:r>
      <w:r w:rsidR="002F75CB">
        <w:t>‍</w:t>
      </w:r>
      <w:r w:rsidRPr="00BD3B25">
        <w:t xml:space="preserve">the issuance of </w:t>
      </w:r>
      <w:r w:rsidR="002F75CB">
        <w:t xml:space="preserve">the </w:t>
      </w:r>
      <w:r w:rsidR="00E31061">
        <w:t>n</w:t>
      </w:r>
      <w:r w:rsidR="002F75CB">
        <w:t>on</w:t>
      </w:r>
      <w:r w:rsidR="00B904F3">
        <w:t>-</w:t>
      </w:r>
      <w:r w:rsidRPr="00BD3B25">
        <w:t xml:space="preserve">enforcement </w:t>
      </w:r>
      <w:r w:rsidR="00E31061">
        <w:t>i</w:t>
      </w:r>
      <w:r w:rsidRPr="00BD3B25">
        <w:t xml:space="preserve">nstruction amounted to </w:t>
      </w:r>
      <w:r w:rsidRPr="00D14BB4">
        <w:t>wilful misconduct</w:t>
      </w:r>
      <w:r w:rsidRPr="00BD3B25">
        <w:t>; (</w:t>
      </w:r>
      <w:r w:rsidR="00E31061">
        <w:t>ii</w:t>
      </w:r>
      <w:r w:rsidRPr="00BD3B25">
        <w:t xml:space="preserve">) </w:t>
      </w:r>
      <w:r w:rsidR="00D14BB4">
        <w:t xml:space="preserve">whether </w:t>
      </w:r>
      <w:r w:rsidR="00E31061">
        <w:t xml:space="preserve">such </w:t>
      </w:r>
      <w:r w:rsidRPr="00BD3B25">
        <w:t xml:space="preserve">misconduct </w:t>
      </w:r>
      <w:r w:rsidR="00E31061">
        <w:t>amounted to</w:t>
      </w:r>
      <w:r w:rsidRPr="00BD3B25">
        <w:t xml:space="preserve"> serious misconduct; and (</w:t>
      </w:r>
      <w:r w:rsidR="00E31061">
        <w:t>iii</w:t>
      </w:r>
      <w:r w:rsidRPr="00BD3B25">
        <w:t xml:space="preserve">) </w:t>
      </w:r>
      <w:r w:rsidR="00D14BB4">
        <w:t xml:space="preserve">whether </w:t>
      </w:r>
      <w:r w:rsidR="002F75CB">
        <w:t>‍</w:t>
      </w:r>
      <w:r w:rsidRPr="00BD3B25">
        <w:t xml:space="preserve">there was </w:t>
      </w:r>
      <w:r w:rsidR="00D14BB4">
        <w:t>any</w:t>
      </w:r>
      <w:r w:rsidRPr="00BD3B25">
        <w:t xml:space="preserve"> reasonable excuse or ju</w:t>
      </w:r>
      <w:r w:rsidR="002F75CB">
        <w:t>stification for the misconduct.</w:t>
      </w:r>
    </w:p>
    <w:p w:rsidR="0034463C" w:rsidRPr="00BD3B25" w:rsidRDefault="0034463C" w:rsidP="00B30DBA">
      <w:pPr>
        <w:pStyle w:val="ar-draft"/>
      </w:pPr>
      <w:r w:rsidRPr="00BD3B25">
        <w:t xml:space="preserve">The judge found that all </w:t>
      </w:r>
      <w:r w:rsidR="00D14BB4">
        <w:t xml:space="preserve">of </w:t>
      </w:r>
      <w:r w:rsidRPr="00BD3B25">
        <w:t>the prosecution witnesses were honest and reliable and</w:t>
      </w:r>
      <w:r w:rsidR="00E31061">
        <w:t>,</w:t>
      </w:r>
      <w:r w:rsidRPr="00BD3B25">
        <w:t xml:space="preserve"> </w:t>
      </w:r>
      <w:r w:rsidR="00E54FE0">
        <w:t>in reliance</w:t>
      </w:r>
      <w:r w:rsidRPr="00BD3B25">
        <w:t xml:space="preserve"> </w:t>
      </w:r>
      <w:r w:rsidR="00E31061">
        <w:t>up</w:t>
      </w:r>
      <w:r w:rsidRPr="00BD3B25">
        <w:t>on the</w:t>
      </w:r>
      <w:r w:rsidR="00D14BB4">
        <w:t>ir</w:t>
      </w:r>
      <w:r w:rsidRPr="00BD3B25">
        <w:t xml:space="preserve"> evidence, </w:t>
      </w:r>
      <w:r w:rsidR="00E31061">
        <w:t xml:space="preserve">he was satisfied that the </w:t>
      </w:r>
      <w:r w:rsidRPr="00BD3B25">
        <w:t xml:space="preserve">appellant </w:t>
      </w:r>
      <w:r w:rsidRPr="00BD3B25">
        <w:rPr>
          <w:szCs w:val="28"/>
        </w:rPr>
        <w:t xml:space="preserve">did in fact issue </w:t>
      </w:r>
      <w:r w:rsidRPr="00BD3B25">
        <w:t xml:space="preserve">the </w:t>
      </w:r>
      <w:r w:rsidR="00E31061">
        <w:t>n</w:t>
      </w:r>
      <w:r w:rsidRPr="00BD3B25">
        <w:t>on</w:t>
      </w:r>
      <w:r w:rsidR="00B904F3">
        <w:t>-</w:t>
      </w:r>
      <w:r w:rsidRPr="00BD3B25">
        <w:t xml:space="preserve">enforcement </w:t>
      </w:r>
      <w:r w:rsidR="00E31061">
        <w:t>i</w:t>
      </w:r>
      <w:r w:rsidRPr="00BD3B25">
        <w:t>nstruction</w:t>
      </w:r>
      <w:r w:rsidRPr="00BD3B25">
        <w:rPr>
          <w:szCs w:val="28"/>
        </w:rPr>
        <w:t xml:space="preserve"> to his subordinate ship inspectors in April 2007, </w:t>
      </w:r>
      <w:r w:rsidR="00D14BB4">
        <w:rPr>
          <w:szCs w:val="28"/>
        </w:rPr>
        <w:t>to the effect that</w:t>
      </w:r>
      <w:r w:rsidRPr="00BD3B25">
        <w:rPr>
          <w:szCs w:val="28"/>
        </w:rPr>
        <w:t xml:space="preserve"> they did not have to enforce the new lifejacket requirements under </w:t>
      </w:r>
      <w:r w:rsidR="00D14BB4">
        <w:rPr>
          <w:szCs w:val="28"/>
        </w:rPr>
        <w:t>Cap</w:t>
      </w:r>
      <w:r w:rsidR="00B904F3">
        <w:rPr>
          <w:szCs w:val="28"/>
          <w:lang w:val="en-US"/>
        </w:rPr>
        <w:t xml:space="preserve"> </w:t>
      </w:r>
      <w:r w:rsidRPr="00BD3B25">
        <w:rPr>
          <w:szCs w:val="28"/>
        </w:rPr>
        <w:t>548G in relation to local vessels which already held a previously valid Certificate of Survey.</w:t>
      </w:r>
    </w:p>
    <w:p w:rsidR="0034463C" w:rsidRPr="00BD3B25" w:rsidRDefault="00E31061" w:rsidP="00B30DBA">
      <w:pPr>
        <w:pStyle w:val="ar-draft"/>
      </w:pPr>
      <w:r>
        <w:t>T</w:t>
      </w:r>
      <w:r w:rsidR="0034463C" w:rsidRPr="00BD3B25">
        <w:t xml:space="preserve">he judge found </w:t>
      </w:r>
      <w:r w:rsidR="003E7C3A">
        <w:t>from the evidence of PW</w:t>
      </w:r>
      <w:r w:rsidR="009939D0">
        <w:t>’</w:t>
      </w:r>
      <w:r w:rsidR="003E7C3A">
        <w:t>s 1,</w:t>
      </w:r>
      <w:r w:rsidR="00576C33">
        <w:t xml:space="preserve"> </w:t>
      </w:r>
      <w:r w:rsidR="003E7C3A">
        <w:t xml:space="preserve">2, 3 and </w:t>
      </w:r>
      <w:r w:rsidR="00B904F3">
        <w:t>‍</w:t>
      </w:r>
      <w:r w:rsidR="00576C33">
        <w:t>Catherine Chui</w:t>
      </w:r>
      <w:r w:rsidR="00F9028E">
        <w:t xml:space="preserve"> Kit Wan</w:t>
      </w:r>
      <w:r w:rsidR="00576C33">
        <w:t xml:space="preserve"> (“PW4”) </w:t>
      </w:r>
      <w:r w:rsidR="0034463C" w:rsidRPr="00BD3B25">
        <w:t xml:space="preserve">that, although the exact time of the issuance of the said instruction </w:t>
      </w:r>
      <w:r>
        <w:t>wa</w:t>
      </w:r>
      <w:r w:rsidR="0034463C" w:rsidRPr="00BD3B25">
        <w:t xml:space="preserve">s unclear, </w:t>
      </w:r>
      <w:r>
        <w:t xml:space="preserve">it could nevertheless be inferred </w:t>
      </w:r>
      <w:r w:rsidR="00576C33">
        <w:t xml:space="preserve">from their accounts </w:t>
      </w:r>
      <w:r>
        <w:t>that the appellant had issued the instruction after taking</w:t>
      </w:r>
      <w:r w:rsidR="0034463C" w:rsidRPr="00BD3B25">
        <w:t xml:space="preserve"> up his pos</w:t>
      </w:r>
      <w:r>
        <w:t>t</w:t>
      </w:r>
      <w:r w:rsidR="0034463C" w:rsidRPr="00BD3B25">
        <w:t xml:space="preserve"> in April 2007</w:t>
      </w:r>
      <w:r w:rsidR="00F9028E">
        <w:t>,</w:t>
      </w:r>
      <w:r w:rsidR="0034463C" w:rsidRPr="00BD3B25">
        <w:t xml:space="preserve"> </w:t>
      </w:r>
      <w:r w:rsidR="00576C33">
        <w:t xml:space="preserve">because he was anxious to </w:t>
      </w:r>
      <w:r w:rsidR="00D14BB4">
        <w:t>assuage</w:t>
      </w:r>
      <w:r w:rsidR="00576C33">
        <w:t xml:space="preserve"> the</w:t>
      </w:r>
      <w:r w:rsidR="00F9028E">
        <w:t xml:space="preserve"> various</w:t>
      </w:r>
      <w:r w:rsidR="00576C33">
        <w:t xml:space="preserve"> industry representatives who w</w:t>
      </w:r>
      <w:r w:rsidR="00AB3C21">
        <w:t xml:space="preserve">ere </w:t>
      </w:r>
      <w:r w:rsidR="00AC6933">
        <w:t>un</w:t>
      </w:r>
      <w:r w:rsidR="00AB3C21">
        <w:t xml:space="preserve">happy with the new </w:t>
      </w:r>
      <w:r w:rsidR="00AB3C21">
        <w:lastRenderedPageBreak/>
        <w:t>life</w:t>
      </w:r>
      <w:r w:rsidR="00576C33">
        <w:t xml:space="preserve">jacket requirements, </w:t>
      </w:r>
      <w:r w:rsidR="0034463C" w:rsidRPr="00BD3B25">
        <w:t xml:space="preserve">and that the practice had </w:t>
      </w:r>
      <w:r>
        <w:t>continued until his</w:t>
      </w:r>
      <w:r w:rsidR="0034463C" w:rsidRPr="00BD3B25">
        <w:t xml:space="preserve"> departure from the LVSS.</w:t>
      </w:r>
    </w:p>
    <w:p w:rsidR="00AF028D" w:rsidRDefault="00576C33" w:rsidP="0070564F">
      <w:pPr>
        <w:pStyle w:val="ar-draft"/>
      </w:pPr>
      <w:r>
        <w:t>The fact that his predecessor had issued a similar instruction did not mean that the appellant could not be guilty of the offence, since he had the authority and the opportunity to rescind that instruction yet chose to issue the non-enforcement instruction instead</w:t>
      </w:r>
      <w:r w:rsidR="0034463C" w:rsidRPr="00BD3B25">
        <w:t xml:space="preserve">.  The judge found that the issuing of the </w:t>
      </w:r>
      <w:r w:rsidR="00AF028D">
        <w:t xml:space="preserve">non-enforcement </w:t>
      </w:r>
      <w:r w:rsidR="0034463C" w:rsidRPr="00BD3B25">
        <w:t xml:space="preserve">instruction was deliberate and not inadvertent.  </w:t>
      </w:r>
      <w:r w:rsidR="00AF028D">
        <w:t>There was no evidence to show why he did not rescind the instruction or to suggest that he had somehow forgotten to do so.  Accordingly, he found the appellant’s conduct to be w</w:t>
      </w:r>
      <w:r w:rsidR="00B904F3">
        <w:t>ilful.</w:t>
      </w:r>
    </w:p>
    <w:p w:rsidR="0034463C" w:rsidRPr="00BD3B25" w:rsidRDefault="00AF028D" w:rsidP="0070564F">
      <w:pPr>
        <w:pStyle w:val="ar-draft"/>
      </w:pPr>
      <w:r>
        <w:t>In addressing the element of seriousness, the judge</w:t>
      </w:r>
      <w:r w:rsidR="0034463C" w:rsidRPr="00BD3B25">
        <w:t xml:space="preserve"> found </w:t>
      </w:r>
      <w:r w:rsidR="00CF2775">
        <w:t xml:space="preserve">that </w:t>
      </w:r>
      <w:r>
        <w:t>the appellant’s</w:t>
      </w:r>
      <w:r w:rsidR="0034463C" w:rsidRPr="00BD3B25">
        <w:t xml:space="preserve"> departure from his duty to enforce the </w:t>
      </w:r>
      <w:r w:rsidR="00F9028E">
        <w:t>Regulation</w:t>
      </w:r>
      <w:r w:rsidR="0034463C" w:rsidRPr="00BD3B25">
        <w:t xml:space="preserve"> was not merely negligent but “amounted to an affront to the standing of the public office held”</w:t>
      </w:r>
      <w:r w:rsidR="0034463C" w:rsidRPr="00BD3B25">
        <w:rPr>
          <w:rStyle w:val="FootnoteReference"/>
        </w:rPr>
        <w:footnoteReference w:id="9"/>
      </w:r>
      <w:r>
        <w:t>.</w:t>
      </w:r>
      <w:r w:rsidR="0034463C" w:rsidRPr="00BD3B25">
        <w:t xml:space="preserve">  The </w:t>
      </w:r>
      <w:r w:rsidR="0034463C" w:rsidRPr="00AF028D">
        <w:rPr>
          <w:kern w:val="2"/>
        </w:rPr>
        <w:t>judge</w:t>
      </w:r>
      <w:r w:rsidR="0034463C" w:rsidRPr="00BD3B25">
        <w:t xml:space="preserve"> said:</w:t>
      </w:r>
      <w:r>
        <w:rPr>
          <w:rStyle w:val="FootnoteReference"/>
        </w:rPr>
        <w:footnoteReference w:id="10"/>
      </w:r>
    </w:p>
    <w:p w:rsidR="0034463C" w:rsidRPr="00BD3B25" w:rsidRDefault="0034463C" w:rsidP="00B30DBA">
      <w:pPr>
        <w:pStyle w:val="ar-quotation"/>
      </w:pPr>
      <w:r w:rsidRPr="00BD3B25">
        <w:t>“The seriousness of the defendant’s misconduct lies in his decision to disregard the will of the legislature and replace it with his own.”</w:t>
      </w:r>
    </w:p>
    <w:p w:rsidR="0034463C" w:rsidRPr="00BD3B25" w:rsidRDefault="0034463C" w:rsidP="00B30DBA">
      <w:pPr>
        <w:pStyle w:val="ar-draft"/>
      </w:pPr>
      <w:r w:rsidRPr="00BD3B25">
        <w:t xml:space="preserve">He directed himself that, as a matter of law, it </w:t>
      </w:r>
      <w:r w:rsidR="00AF028D">
        <w:t>wa</w:t>
      </w:r>
      <w:r w:rsidRPr="00BD3B25">
        <w:t>s not necessary</w:t>
      </w:r>
      <w:r w:rsidR="00AF028D">
        <w:t>,</w:t>
      </w:r>
      <w:r w:rsidRPr="00BD3B25">
        <w:t xml:space="preserve"> in order for the misconduct to reach the level of seriousness required for it to attract criminal sanction</w:t>
      </w:r>
      <w:r w:rsidR="00AF028D">
        <w:t>, for the appellant</w:t>
      </w:r>
      <w:r w:rsidRPr="00BD3B25">
        <w:t xml:space="preserve">’s misconduct </w:t>
      </w:r>
      <w:r w:rsidR="00AF028D">
        <w:t>to be</w:t>
      </w:r>
      <w:r w:rsidRPr="00BD3B25">
        <w:t xml:space="preserve"> accompanied or prompted by a dishonest, corrupt or malicious motive</w:t>
      </w:r>
      <w:r w:rsidR="00AF028D">
        <w:rPr>
          <w:rStyle w:val="FootnoteReference"/>
        </w:rPr>
        <w:footnoteReference w:id="11"/>
      </w:r>
      <w:r w:rsidRPr="00BD3B25">
        <w:t>.</w:t>
      </w:r>
    </w:p>
    <w:p w:rsidR="0034463C" w:rsidRPr="00BD3B25" w:rsidRDefault="00AF028D" w:rsidP="00B30DBA">
      <w:pPr>
        <w:pStyle w:val="ar-draft"/>
      </w:pPr>
      <w:r>
        <w:t>Having directed</w:t>
      </w:r>
      <w:r w:rsidR="0034463C" w:rsidRPr="00BD3B25">
        <w:t xml:space="preserve"> himself that the threshold of seriousness </w:t>
      </w:r>
      <w:r>
        <w:t>wa</w:t>
      </w:r>
      <w:r w:rsidR="0034463C" w:rsidRPr="00BD3B25">
        <w:t>s a high one</w:t>
      </w:r>
      <w:r>
        <w:t>,</w:t>
      </w:r>
      <w:r w:rsidR="0034463C" w:rsidRPr="00BD3B25">
        <w:t xml:space="preserve"> </w:t>
      </w:r>
      <w:r w:rsidR="00F9028E">
        <w:t>t</w:t>
      </w:r>
      <w:r w:rsidR="0034463C" w:rsidRPr="00BD3B25">
        <w:t xml:space="preserve">he </w:t>
      </w:r>
      <w:r w:rsidR="00F9028E">
        <w:t xml:space="preserve">judge </w:t>
      </w:r>
      <w:r>
        <w:t xml:space="preserve">nevertheless </w:t>
      </w:r>
      <w:r w:rsidR="0034463C" w:rsidRPr="00BD3B25">
        <w:t>found</w:t>
      </w:r>
      <w:r w:rsidR="00746D8C">
        <w:t xml:space="preserve"> that the appellant’s non-</w:t>
      </w:r>
      <w:r w:rsidR="00746D8C">
        <w:lastRenderedPageBreak/>
        <w:t xml:space="preserve">enforcement instruction </w:t>
      </w:r>
      <w:r w:rsidR="001C0682">
        <w:t>was a blanket one covering</w:t>
      </w:r>
      <w:r w:rsidR="00746D8C">
        <w:t xml:space="preserve"> </w:t>
      </w:r>
      <w:r w:rsidR="00746D8C" w:rsidRPr="00CF2775">
        <w:rPr>
          <w:i/>
        </w:rPr>
        <w:t>all</w:t>
      </w:r>
      <w:r w:rsidR="00746D8C">
        <w:t xml:space="preserve"> local vessels licensed prior to the enactment of the new law</w:t>
      </w:r>
      <w:r w:rsidR="00746D8C">
        <w:rPr>
          <w:rStyle w:val="FootnoteReference"/>
        </w:rPr>
        <w:footnoteReference w:id="12"/>
      </w:r>
      <w:r w:rsidR="00746D8C">
        <w:t>.  Given the number of vessels affected, he found that</w:t>
      </w:r>
      <w:r w:rsidR="0034463C" w:rsidRPr="00BD3B25">
        <w:t>:</w:t>
      </w:r>
      <w:r w:rsidR="00AC6933">
        <w:rPr>
          <w:rStyle w:val="FootnoteReference"/>
        </w:rPr>
        <w:footnoteReference w:id="13"/>
      </w:r>
    </w:p>
    <w:p w:rsidR="0034463C" w:rsidRPr="00BD3B25" w:rsidRDefault="0034463C" w:rsidP="00B30DBA">
      <w:pPr>
        <w:pStyle w:val="ar-quotation"/>
      </w:pPr>
      <w:r w:rsidRPr="00BD3B25">
        <w:t>“The extent of the defendant’s departure from his responsibility to enforce the relevant provisions is large and the nature serious</w:t>
      </w:r>
      <w:r w:rsidR="00F9028E">
        <w:t>.</w:t>
      </w:r>
      <w:r w:rsidRPr="00BD3B25">
        <w:t>”</w:t>
      </w:r>
    </w:p>
    <w:p w:rsidR="0034463C" w:rsidRPr="00BD3B25" w:rsidRDefault="00AA3928" w:rsidP="00B30DBA">
      <w:pPr>
        <w:pStyle w:val="ar-draft"/>
      </w:pPr>
      <w:r>
        <w:t>In considering</w:t>
      </w:r>
      <w:r w:rsidR="0034463C" w:rsidRPr="00BD3B25">
        <w:t xml:space="preserve"> the consequences of the </w:t>
      </w:r>
      <w:r w:rsidR="0034463C" w:rsidRPr="00BD3B25">
        <w:rPr>
          <w:szCs w:val="28"/>
        </w:rPr>
        <w:t>app</w:t>
      </w:r>
      <w:r>
        <w:rPr>
          <w:szCs w:val="28"/>
        </w:rPr>
        <w:t>ella</w:t>
      </w:r>
      <w:r w:rsidR="0034463C" w:rsidRPr="00BD3B25">
        <w:rPr>
          <w:szCs w:val="28"/>
        </w:rPr>
        <w:t>nt</w:t>
      </w:r>
      <w:r>
        <w:t>’s misconduct, the judge said that lifejackets were intended to save lives</w:t>
      </w:r>
      <w:r w:rsidR="0034463C" w:rsidRPr="00BD3B25">
        <w:t>:</w:t>
      </w:r>
      <w:r w:rsidR="00184E62">
        <w:rPr>
          <w:rStyle w:val="FootnoteReference"/>
        </w:rPr>
        <w:footnoteReference w:id="14"/>
      </w:r>
    </w:p>
    <w:p w:rsidR="0034463C" w:rsidRPr="00BD3B25" w:rsidRDefault="0034463C" w:rsidP="00B30DBA">
      <w:pPr>
        <w:pStyle w:val="ar-quotation"/>
      </w:pPr>
      <w:r w:rsidRPr="00BD3B25">
        <w:t>“</w:t>
      </w:r>
      <w:r w:rsidR="00AA3928">
        <w:t xml:space="preserve">For the defendant to instruct his subordinates to ignore the regulations governing the provision of lifejackets on a certain category of local vessels, he was acting against the explicit requirements of the legislation.  </w:t>
      </w:r>
      <w:r w:rsidRPr="00BD3B25">
        <w:t>I find that the cons</w:t>
      </w:r>
      <w:r w:rsidR="00FD62E4">
        <w:t>equences of the defendant’s non</w:t>
      </w:r>
      <w:r w:rsidR="00FD62E4">
        <w:noBreakHyphen/>
      </w:r>
      <w:r w:rsidRPr="00BD3B25">
        <w:t>enforcement instruction potentially serious</w:t>
      </w:r>
      <w:r w:rsidR="00F9028E">
        <w:t>.</w:t>
      </w:r>
      <w:r w:rsidRPr="00BD3B25">
        <w:t>”</w:t>
      </w:r>
    </w:p>
    <w:p w:rsidR="0034463C" w:rsidRPr="00BD3B25" w:rsidRDefault="00AA3928" w:rsidP="00AA3928">
      <w:pPr>
        <w:pStyle w:val="ar-draft"/>
        <w:numPr>
          <w:ilvl w:val="0"/>
          <w:numId w:val="0"/>
        </w:numPr>
      </w:pPr>
      <w:r>
        <w:t xml:space="preserve">Accordingly, </w:t>
      </w:r>
      <w:r w:rsidR="00CF2775">
        <w:t xml:space="preserve">he found </w:t>
      </w:r>
      <w:r>
        <w:t>the appellant’s actions were serious enough to warrant criminal sanction</w:t>
      </w:r>
      <w:r w:rsidR="0034463C" w:rsidRPr="00BD3B25">
        <w:rPr>
          <w:rStyle w:val="FootnoteReference"/>
        </w:rPr>
        <w:footnoteReference w:id="15"/>
      </w:r>
      <w:r>
        <w:t>.</w:t>
      </w:r>
    </w:p>
    <w:p w:rsidR="0034463C" w:rsidRPr="00BD3B25" w:rsidRDefault="0034463C" w:rsidP="00B30DBA">
      <w:pPr>
        <w:pStyle w:val="ar-draft"/>
      </w:pPr>
      <w:r w:rsidRPr="00BD3B25">
        <w:t xml:space="preserve">The </w:t>
      </w:r>
      <w:r w:rsidRPr="00BD3B25">
        <w:rPr>
          <w:kern w:val="2"/>
        </w:rPr>
        <w:t>judge</w:t>
      </w:r>
      <w:r w:rsidRPr="00BD3B25">
        <w:t xml:space="preserve"> then turned to the </w:t>
      </w:r>
      <w:r w:rsidR="00056B3C">
        <w:t>question of whether there could be a reasonable excuse for the appellant’s actions.</w:t>
      </w:r>
      <w:r w:rsidRPr="00BD3B25">
        <w:t xml:space="preserve">  Having found that </w:t>
      </w:r>
      <w:r w:rsidR="00056B3C">
        <w:t>his</w:t>
      </w:r>
      <w:r w:rsidRPr="00BD3B25">
        <w:t xml:space="preserve"> excuse was the “smooth implementation” of the new requirements </w:t>
      </w:r>
      <w:r w:rsidR="00056B3C">
        <w:t>under</w:t>
      </w:r>
      <w:r w:rsidRPr="00BD3B25">
        <w:t xml:space="preserve"> Cap</w:t>
      </w:r>
      <w:r w:rsidR="00FD62E4">
        <w:t xml:space="preserve"> </w:t>
      </w:r>
      <w:r w:rsidRPr="00BD3B25">
        <w:t>548G</w:t>
      </w:r>
      <w:r w:rsidR="00056B3C">
        <w:t xml:space="preserve"> </w:t>
      </w:r>
      <w:r w:rsidR="008315FF">
        <w:t>so as</w:t>
      </w:r>
      <w:r w:rsidR="00056B3C">
        <w:t xml:space="preserve"> to appease </w:t>
      </w:r>
      <w:r w:rsidR="00CF2775">
        <w:t>various</w:t>
      </w:r>
      <w:r w:rsidR="00056B3C">
        <w:t xml:space="preserve"> industry representatives</w:t>
      </w:r>
      <w:r w:rsidRPr="00BD3B25">
        <w:t>, he concluded that it could not</w:t>
      </w:r>
      <w:r w:rsidR="00056B3C">
        <w:t xml:space="preserve"> amount to a reasonable excuse</w:t>
      </w:r>
      <w:r w:rsidR="00056B3C">
        <w:rPr>
          <w:rStyle w:val="FootnoteReference"/>
        </w:rPr>
        <w:footnoteReference w:id="16"/>
      </w:r>
      <w:r w:rsidRPr="00BD3B25">
        <w:t xml:space="preserve">.  </w:t>
      </w:r>
      <w:r w:rsidR="00056B3C">
        <w:t>The appellant must have known that he had no statutory power</w:t>
      </w:r>
      <w:r w:rsidRPr="00BD3B25">
        <w:t xml:space="preserve"> to exempt vessels from compliance with the law</w:t>
      </w:r>
      <w:r w:rsidR="00056B3C">
        <w:t>, although</w:t>
      </w:r>
      <w:r w:rsidRPr="00BD3B25">
        <w:t xml:space="preserve"> </w:t>
      </w:r>
      <w:r w:rsidR="00056B3C">
        <w:t xml:space="preserve">he would also have known that </w:t>
      </w:r>
      <w:r w:rsidRPr="00BD3B25">
        <w:t>the Director of</w:t>
      </w:r>
      <w:r w:rsidR="00FD62E4">
        <w:t xml:space="preserve"> Marine did have such a power</w:t>
      </w:r>
      <w:r w:rsidR="00056B3C">
        <w:rPr>
          <w:rStyle w:val="FootnoteReference"/>
        </w:rPr>
        <w:footnoteReference w:id="17"/>
      </w:r>
      <w:r w:rsidR="00FD62E4">
        <w:t>.</w:t>
      </w:r>
      <w:r w:rsidR="00056B3C">
        <w:t xml:space="preserve">  Instead, he did not consult his superior</w:t>
      </w:r>
      <w:r w:rsidR="00CF2775">
        <w:t>,</w:t>
      </w:r>
      <w:r w:rsidR="00056B3C">
        <w:t xml:space="preserve"> nor did he seek legal advice on the matter before issuing </w:t>
      </w:r>
      <w:r w:rsidR="00552FD1">
        <w:t xml:space="preserve">what amounted to </w:t>
      </w:r>
      <w:r w:rsidR="00056B3C">
        <w:t>an unqualified</w:t>
      </w:r>
      <w:r w:rsidR="00552FD1">
        <w:t xml:space="preserve"> instruction</w:t>
      </w:r>
      <w:r w:rsidR="00C2601E">
        <w:rPr>
          <w:rStyle w:val="FootnoteReference"/>
        </w:rPr>
        <w:footnoteReference w:id="18"/>
      </w:r>
      <w:r w:rsidR="00056B3C">
        <w:t>.</w:t>
      </w:r>
      <w:r w:rsidR="00F9028E">
        <w:t xml:space="preserve">  Furthermore, there was no </w:t>
      </w:r>
      <w:r w:rsidR="00F9028E">
        <w:lastRenderedPageBreak/>
        <w:t xml:space="preserve">evidence that the appellant </w:t>
      </w:r>
      <w:r w:rsidR="00552FD1">
        <w:t>“</w:t>
      </w:r>
      <w:r w:rsidR="00F9028E">
        <w:t>had ordered his subordinates to make clear to the ship</w:t>
      </w:r>
      <w:r w:rsidR="00552FD1">
        <w:t xml:space="preserve"> </w:t>
      </w:r>
      <w:r w:rsidR="00F9028E">
        <w:t>owners during inspections that they should gradually comply with the new lifejacket requirements</w:t>
      </w:r>
      <w:r w:rsidR="00552FD1">
        <w:t>”</w:t>
      </w:r>
      <w:r w:rsidR="00552FD1">
        <w:rPr>
          <w:rStyle w:val="FootnoteReference"/>
        </w:rPr>
        <w:footnoteReference w:id="19"/>
      </w:r>
      <w:r w:rsidR="00F9028E">
        <w:t>.</w:t>
      </w:r>
    </w:p>
    <w:p w:rsidR="0034463C" w:rsidRPr="00BD3B25" w:rsidRDefault="00C2601E" w:rsidP="00B30DBA">
      <w:pPr>
        <w:pStyle w:val="ar-draft"/>
      </w:pPr>
      <w:r>
        <w:t xml:space="preserve">The judge </w:t>
      </w:r>
      <w:r w:rsidR="0034463C" w:rsidRPr="00BD3B25">
        <w:t xml:space="preserve">said it was not for the </w:t>
      </w:r>
      <w:r w:rsidR="0034463C" w:rsidRPr="00BD3B25">
        <w:rPr>
          <w:szCs w:val="28"/>
        </w:rPr>
        <w:t>app</w:t>
      </w:r>
      <w:r w:rsidR="00A7634E">
        <w:rPr>
          <w:szCs w:val="28"/>
        </w:rPr>
        <w:t>ellant</w:t>
      </w:r>
      <w:r w:rsidR="0034463C" w:rsidRPr="00BD3B25">
        <w:t xml:space="preserve"> “to choose appeasement over enforcement”</w:t>
      </w:r>
      <w:r>
        <w:rPr>
          <w:rStyle w:val="FootnoteReference"/>
        </w:rPr>
        <w:footnoteReference w:id="20"/>
      </w:r>
      <w:r w:rsidR="00552FD1">
        <w:t>;</w:t>
      </w:r>
      <w:r w:rsidR="0034463C" w:rsidRPr="00BD3B25">
        <w:t xml:space="preserve"> and that “the appeasement of the industry is not a reasonable excuse for the defendant to decide to issue the non</w:t>
      </w:r>
      <w:r w:rsidR="001E5D13">
        <w:t>-</w:t>
      </w:r>
      <w:r w:rsidR="0034463C" w:rsidRPr="00BD3B25">
        <w:t>enforcement instruction to his subordinates, nor is it a reasonable excuse for his failure to rescind the ins</w:t>
      </w:r>
      <w:r>
        <w:t>truction at any time thereafter</w:t>
      </w:r>
      <w:r w:rsidR="0034463C" w:rsidRPr="00BD3B25">
        <w:t>”</w:t>
      </w:r>
      <w:r w:rsidR="0034463C" w:rsidRPr="00BD3B25">
        <w:rPr>
          <w:rStyle w:val="FootnoteReference"/>
        </w:rPr>
        <w:footnoteReference w:id="21"/>
      </w:r>
      <w:r>
        <w:t>.</w:t>
      </w:r>
      <w:r w:rsidR="0034463C" w:rsidRPr="00BD3B25">
        <w:t xml:space="preserve">  The </w:t>
      </w:r>
      <w:r w:rsidR="0034463C" w:rsidRPr="00BD3B25">
        <w:rPr>
          <w:kern w:val="2"/>
        </w:rPr>
        <w:t>judge</w:t>
      </w:r>
      <w:r w:rsidR="0034463C" w:rsidRPr="00BD3B25">
        <w:t xml:space="preserve"> </w:t>
      </w:r>
      <w:r w:rsidR="00552FD1">
        <w:t>accordingly</w:t>
      </w:r>
      <w:r w:rsidR="0034463C" w:rsidRPr="00BD3B25">
        <w:t xml:space="preserve"> convicted the </w:t>
      </w:r>
      <w:r w:rsidR="0034463C" w:rsidRPr="00BD3B25">
        <w:rPr>
          <w:szCs w:val="28"/>
        </w:rPr>
        <w:t>app</w:t>
      </w:r>
      <w:r w:rsidR="00A7634E">
        <w:rPr>
          <w:szCs w:val="28"/>
        </w:rPr>
        <w:t>ellant</w:t>
      </w:r>
      <w:r w:rsidR="0034463C" w:rsidRPr="00BD3B25">
        <w:t>.</w:t>
      </w:r>
    </w:p>
    <w:p w:rsidR="0034463C" w:rsidRPr="00BD3B25" w:rsidRDefault="0034463C" w:rsidP="00B30DBA">
      <w:pPr>
        <w:pStyle w:val="ar-heading1"/>
      </w:pPr>
      <w:r w:rsidRPr="00BD3B25">
        <w:t>G</w:t>
      </w:r>
      <w:r w:rsidR="00DE131B">
        <w:t xml:space="preserve">rounds of </w:t>
      </w:r>
      <w:r w:rsidR="00891C34">
        <w:t>a</w:t>
      </w:r>
      <w:r w:rsidR="00DE131B">
        <w:t>ppeal</w:t>
      </w:r>
      <w:r w:rsidR="00891C34">
        <w:t xml:space="preserve"> against</w:t>
      </w:r>
      <w:r w:rsidR="00DE131B">
        <w:t xml:space="preserve"> conviction</w:t>
      </w:r>
    </w:p>
    <w:p w:rsidR="0034463C" w:rsidRDefault="001B53D5" w:rsidP="000F68D1">
      <w:pPr>
        <w:pStyle w:val="ar-draft"/>
      </w:pPr>
      <w:r>
        <w:t xml:space="preserve">Mr </w:t>
      </w:r>
      <w:proofErr w:type="spellStart"/>
      <w:r>
        <w:t>Marash</w:t>
      </w:r>
      <w:proofErr w:type="spellEnd"/>
      <w:r>
        <w:t xml:space="preserve"> SC, with him Ms Wong SC, on behalf of the appellant were granted leave to appeal against conviction by the Single Judge in respect of four grounds of appeal.  </w:t>
      </w:r>
      <w:r w:rsidR="00F56F15">
        <w:t>By Ground 4, it is a</w:t>
      </w:r>
      <w:r>
        <w:t>rgued</w:t>
      </w:r>
      <w:r w:rsidR="00F56F15">
        <w:t xml:space="preserve"> that the judge</w:t>
      </w:r>
      <w:r w:rsidR="0034463C" w:rsidRPr="00BD3B25">
        <w:t xml:space="preserve"> failed </w:t>
      </w:r>
      <w:r w:rsidR="00E655EF">
        <w:t xml:space="preserve">properly </w:t>
      </w:r>
      <w:r w:rsidR="0034463C" w:rsidRPr="00BD3B25">
        <w:t>to consider, in relation to “wilful</w:t>
      </w:r>
      <w:r w:rsidR="00B32FD7">
        <w:t>ness</w:t>
      </w:r>
      <w:r w:rsidR="0034463C" w:rsidRPr="00BD3B25">
        <w:t xml:space="preserve">” and </w:t>
      </w:r>
      <w:r w:rsidR="00B32FD7">
        <w:t xml:space="preserve">the </w:t>
      </w:r>
      <w:r w:rsidR="0034463C" w:rsidRPr="00BD3B25">
        <w:t>“seriousness of consequence</w:t>
      </w:r>
      <w:r w:rsidR="00B32FD7">
        <w:t>s</w:t>
      </w:r>
      <w:r w:rsidR="0034463C" w:rsidRPr="00BD3B25">
        <w:t xml:space="preserve">” in the offence of </w:t>
      </w:r>
      <w:r w:rsidR="00CF2775">
        <w:t>m</w:t>
      </w:r>
      <w:r w:rsidR="0034463C" w:rsidRPr="00BD3B25">
        <w:t xml:space="preserve">isconduct in public office, the appellant’s state of mind at the time he gave the </w:t>
      </w:r>
      <w:r w:rsidR="00E66DD8">
        <w:t>non-enforcement instruction.</w:t>
      </w:r>
      <w:r w:rsidR="00F56F15">
        <w:t xml:space="preserve">  It is complained that the judge</w:t>
      </w:r>
      <w:r w:rsidR="0034463C" w:rsidRPr="00BD3B25">
        <w:t xml:space="preserve"> </w:t>
      </w:r>
      <w:r w:rsidR="00F56F15">
        <w:t xml:space="preserve">treated the fact that the appellant gave the instruction </w:t>
      </w:r>
      <w:r w:rsidR="00E66DD8">
        <w:t xml:space="preserve">as evidence </w:t>
      </w:r>
      <w:r w:rsidR="00D05794" w:rsidRPr="00D05794">
        <w:rPr>
          <w:i/>
        </w:rPr>
        <w:t>per se</w:t>
      </w:r>
      <w:r w:rsidR="00D05794">
        <w:t xml:space="preserve"> </w:t>
      </w:r>
      <w:r w:rsidR="00E66DD8">
        <w:t>of wilful misconduct</w:t>
      </w:r>
      <w:r w:rsidR="00D05794">
        <w:t>,</w:t>
      </w:r>
      <w:r w:rsidR="00E66DD8">
        <w:t xml:space="preserve"> without regard to </w:t>
      </w:r>
      <w:r w:rsidR="00E655EF">
        <w:t>the</w:t>
      </w:r>
      <w:r w:rsidR="00E66DD8">
        <w:t xml:space="preserve"> consequences</w:t>
      </w:r>
      <w:r w:rsidR="00E655EF">
        <w:t xml:space="preserve"> </w:t>
      </w:r>
      <w:r w:rsidR="002A5F31">
        <w:t xml:space="preserve">(or lack of consequences) </w:t>
      </w:r>
      <w:r w:rsidR="00E655EF">
        <w:t>of his action</w:t>
      </w:r>
      <w:r w:rsidR="002A5F31">
        <w:t>s</w:t>
      </w:r>
      <w:r w:rsidR="00E66DD8">
        <w:t xml:space="preserve">.  In so doing, he </w:t>
      </w:r>
      <w:r w:rsidR="00F56F15">
        <w:t xml:space="preserve">failed to </w:t>
      </w:r>
      <w:r w:rsidR="000F68D1">
        <w:t>bear in mind</w:t>
      </w:r>
      <w:r w:rsidR="002A5F31">
        <w:t>:</w:t>
      </w:r>
      <w:r w:rsidR="00E66DD8">
        <w:t xml:space="preserve"> </w:t>
      </w:r>
      <w:r w:rsidR="000F68D1">
        <w:t>(</w:t>
      </w:r>
      <w:proofErr w:type="spellStart"/>
      <w:r w:rsidR="000F68D1">
        <w:t>i</w:t>
      </w:r>
      <w:proofErr w:type="spellEnd"/>
      <w:r w:rsidR="000F68D1">
        <w:t xml:space="preserve">) </w:t>
      </w:r>
      <w:r w:rsidR="00C915EE">
        <w:t>‍</w:t>
      </w:r>
      <w:r w:rsidR="00E66DD8">
        <w:t>the incontrovertible evidence that there was in</w:t>
      </w:r>
      <w:r w:rsidR="0034463C" w:rsidRPr="00BD3B25">
        <w:t xml:space="preserve"> fact</w:t>
      </w:r>
      <w:r w:rsidR="00F56F15">
        <w:t xml:space="preserve"> adequate</w:t>
      </w:r>
      <w:r w:rsidR="0034463C" w:rsidRPr="00BD3B25">
        <w:t xml:space="preserve"> life</w:t>
      </w:r>
      <w:r w:rsidR="00AB3C21">
        <w:noBreakHyphen/>
      </w:r>
      <w:r w:rsidR="0034463C" w:rsidRPr="00BD3B25">
        <w:t xml:space="preserve">saving equipment </w:t>
      </w:r>
      <w:r w:rsidR="00D05794">
        <w:t>provided for under the old law</w:t>
      </w:r>
      <w:r w:rsidR="000F68D1">
        <w:t>, which was little differen</w:t>
      </w:r>
      <w:r w:rsidR="000C56C1">
        <w:t>t</w:t>
      </w:r>
      <w:r w:rsidR="000F68D1">
        <w:t xml:space="preserve"> in terms of safety to the </w:t>
      </w:r>
      <w:r w:rsidR="000C56C1">
        <w:t xml:space="preserve">requirements under the </w:t>
      </w:r>
      <w:r w:rsidR="000F68D1">
        <w:t>new law</w:t>
      </w:r>
      <w:r w:rsidR="0034463C" w:rsidRPr="00BD3B25">
        <w:t xml:space="preserve">; (ii) </w:t>
      </w:r>
      <w:r w:rsidR="00DE131B">
        <w:t>‍</w:t>
      </w:r>
      <w:r w:rsidR="000F68D1">
        <w:t>the number of vessels which would not be compliant with the new law; and (iii)</w:t>
      </w:r>
      <w:r w:rsidR="0034463C" w:rsidRPr="00BD3B25">
        <w:t xml:space="preserve"> </w:t>
      </w:r>
      <w:r w:rsidR="00C915EE">
        <w:t>‍</w:t>
      </w:r>
      <w:r w:rsidR="0034463C" w:rsidRPr="00BD3B25">
        <w:t xml:space="preserve">the </w:t>
      </w:r>
      <w:r w:rsidR="0034463C" w:rsidRPr="00BD3B25">
        <w:lastRenderedPageBreak/>
        <w:t>appellant’s subjective view of the consequence</w:t>
      </w:r>
      <w:r w:rsidR="000F68D1">
        <w:t xml:space="preserve">s of </w:t>
      </w:r>
      <w:r w:rsidR="00E655EF">
        <w:t>the</w:t>
      </w:r>
      <w:r w:rsidR="000F68D1">
        <w:t xml:space="preserve"> </w:t>
      </w:r>
      <w:r w:rsidR="002A5F31">
        <w:t>no</w:t>
      </w:r>
      <w:r w:rsidR="008F1849">
        <w:t>n</w:t>
      </w:r>
      <w:r w:rsidR="002A5F31">
        <w:t xml:space="preserve">-enforcement </w:t>
      </w:r>
      <w:r w:rsidR="000F68D1">
        <w:t>instruction</w:t>
      </w:r>
      <w:r w:rsidR="0034463C" w:rsidRPr="00BD3B25">
        <w:t>.</w:t>
      </w:r>
    </w:p>
    <w:p w:rsidR="00F35A15" w:rsidRDefault="000F68D1" w:rsidP="000F68D1">
      <w:pPr>
        <w:pStyle w:val="ar-draft"/>
      </w:pPr>
      <w:r>
        <w:t xml:space="preserve">By Ground 7, </w:t>
      </w:r>
      <w:r w:rsidR="001B53D5">
        <w:t xml:space="preserve">Mr </w:t>
      </w:r>
      <w:proofErr w:type="spellStart"/>
      <w:r w:rsidR="001B53D5">
        <w:t>Marash</w:t>
      </w:r>
      <w:proofErr w:type="spellEnd"/>
      <w:r w:rsidR="001B53D5">
        <w:t xml:space="preserve"> submit</w:t>
      </w:r>
      <w:r w:rsidR="00D05794">
        <w:t>ted</w:t>
      </w:r>
      <w:r>
        <w:t xml:space="preserve"> that the judge was wrong in law in directing himself that it was not necessary to show that the appellant’s act of misconduct was accompanied or prompted by a dishonest, corrupt or malicious motive so as to be serious enough to attract criminal sanction</w:t>
      </w:r>
      <w:r w:rsidR="00EC25A3">
        <w:t>.</w:t>
      </w:r>
      <w:r w:rsidR="00811830">
        <w:t xml:space="preserve">  He relied on</w:t>
      </w:r>
      <w:r w:rsidR="00F35A15">
        <w:t xml:space="preserve"> the distinction drawn by </w:t>
      </w:r>
      <w:r w:rsidR="00D05794">
        <w:t xml:space="preserve">Sir Anthony Mason NPJ in the </w:t>
      </w:r>
      <w:r w:rsidR="00F35A15">
        <w:t xml:space="preserve">Court of Final Appeal </w:t>
      </w:r>
      <w:r w:rsidR="00D05794">
        <w:t>decision in</w:t>
      </w:r>
      <w:r w:rsidR="00F35A15">
        <w:t xml:space="preserve"> </w:t>
      </w:r>
      <w:r w:rsidR="00F35A15" w:rsidRPr="00F35A15">
        <w:rPr>
          <w:i/>
        </w:rPr>
        <w:t>Shum Kwok Sher v HKSAR</w:t>
      </w:r>
      <w:r w:rsidR="00F35A15">
        <w:rPr>
          <w:rStyle w:val="FootnoteReference"/>
        </w:rPr>
        <w:footnoteReference w:id="22"/>
      </w:r>
      <w:r w:rsidR="00F35A15">
        <w:t xml:space="preserve"> between cases of nonfeasance, or the non-performance of a duty</w:t>
      </w:r>
      <w:r w:rsidR="00F90445">
        <w:t>,</w:t>
      </w:r>
      <w:r w:rsidR="00F35A15">
        <w:t xml:space="preserve"> arising out of the office or employment, in which, in respect of the mental element concerned, “all that is required is wilful intent, accompanied by absence of reasonable excuse or justification”</w:t>
      </w:r>
      <w:r w:rsidR="00F35A15">
        <w:rPr>
          <w:rStyle w:val="FootnoteReference"/>
        </w:rPr>
        <w:footnoteReference w:id="23"/>
      </w:r>
      <w:r w:rsidR="00F35A15">
        <w:t xml:space="preserve">; </w:t>
      </w:r>
      <w:r w:rsidR="00CE313B">
        <w:t xml:space="preserve">and what may be termed </w:t>
      </w:r>
      <w:r w:rsidR="00B12455">
        <w:t xml:space="preserve">misfeasance and </w:t>
      </w:r>
      <w:r w:rsidR="00CE313B">
        <w:t>malfeasance, in which</w:t>
      </w:r>
      <w:r w:rsidR="00F35A15">
        <w:t>:</w:t>
      </w:r>
      <w:r w:rsidR="00CE313B">
        <w:rPr>
          <w:rStyle w:val="FootnoteReference"/>
        </w:rPr>
        <w:footnoteReference w:id="24"/>
      </w:r>
    </w:p>
    <w:p w:rsidR="000F68D1" w:rsidRDefault="00F35A15" w:rsidP="00C915EE">
      <w:pPr>
        <w:pStyle w:val="ar-quotation"/>
      </w:pPr>
      <w:r>
        <w:t>“</w:t>
      </w:r>
      <w:r w:rsidR="002A5F31">
        <w:t xml:space="preserve">… </w:t>
      </w:r>
      <w:r>
        <w:t xml:space="preserve">outside the area of non-performance of a duty, an additional element is generally, if not always required, to establish misconduct which is culpable for the purposes of the offence.  In such cases, </w:t>
      </w:r>
      <w:r w:rsidRPr="008315FF">
        <w:t>in</w:t>
      </w:r>
      <w:r w:rsidR="00557CD1" w:rsidRPr="008315FF">
        <w:t xml:space="preserve"> th</w:t>
      </w:r>
      <w:r w:rsidRPr="008315FF">
        <w:t>e absence of breach of duty</w:t>
      </w:r>
      <w:r>
        <w:t>, the element of wilful intent will not be enough</w:t>
      </w:r>
      <w:r w:rsidR="002F7FC4">
        <w:t xml:space="preserve"> in itself</w:t>
      </w:r>
      <w:r>
        <w:t xml:space="preserve"> to stamp the conduct as culpable misconduct.  A dishonest or corrupt motive will be necessary</w:t>
      </w:r>
      <w:r w:rsidR="00557CD1">
        <w:t xml:space="preserve"> as in situations where the officer is exercising a power or discretion with a view to conferring a benefit or advantage on himself, a relative or friend.  A malicious motive will be necessary where the officer exercises a power or discretion with a view to harming another.  And a corrupt, dishonest or malicious motive will be required where an officer acts in excess of power.  The point about these cases is that, absent the relevant improper motive, be it dishonest, corrupt or malicious, the exercise of the power or discretion would not, or might not, amount to culpable misconduct.  Although the examples constitute some only of the range of situations which fall within the reach of misconduct in public office, they are enough to illustrate the proposition that the existence of an improper motive, beyond the existence of a basic wilful</w:t>
      </w:r>
      <w:r w:rsidR="002A5F31">
        <w:t xml:space="preserve"> intent</w:t>
      </w:r>
      <w:r w:rsidR="00CE313B">
        <w:t xml:space="preserve">, is necessary </w:t>
      </w:r>
      <w:r w:rsidR="00CE313B">
        <w:lastRenderedPageBreak/>
        <w:t>to stamp various categories of conduct</w:t>
      </w:r>
      <w:r w:rsidR="002A5F31">
        <w:t xml:space="preserve"> by a public officer</w:t>
      </w:r>
      <w:r w:rsidR="00CE313B">
        <w:t xml:space="preserve"> as culpable </w:t>
      </w:r>
      <w:r w:rsidR="002F7FC4">
        <w:t xml:space="preserve">misconduct </w:t>
      </w:r>
      <w:r w:rsidR="00CE313B">
        <w:t>for the purposes of the offence</w:t>
      </w:r>
      <w:r w:rsidR="00134A59">
        <w:t>.</w:t>
      </w:r>
      <w:r w:rsidR="00CE313B">
        <w:t>”</w:t>
      </w:r>
    </w:p>
    <w:p w:rsidR="00CE313B" w:rsidRDefault="00CE313B" w:rsidP="00F35A15">
      <w:pPr>
        <w:pStyle w:val="ar-draft"/>
        <w:numPr>
          <w:ilvl w:val="0"/>
          <w:numId w:val="0"/>
        </w:numPr>
      </w:pPr>
      <w:r>
        <w:t xml:space="preserve">In this case, </w:t>
      </w:r>
      <w:r w:rsidR="00BA29E5">
        <w:t xml:space="preserve">it is </w:t>
      </w:r>
      <w:r w:rsidR="00B12455">
        <w:t>contended</w:t>
      </w:r>
      <w:r w:rsidR="00BA29E5">
        <w:t xml:space="preserve"> that no</w:t>
      </w:r>
      <w:r>
        <w:t xml:space="preserve"> such motive </w:t>
      </w:r>
      <w:r w:rsidR="00BA29E5">
        <w:t xml:space="preserve">could be </w:t>
      </w:r>
      <w:r>
        <w:t>attributed to the appellant.</w:t>
      </w:r>
    </w:p>
    <w:p w:rsidR="00544D2A" w:rsidRDefault="00544D2A" w:rsidP="00544D2A">
      <w:pPr>
        <w:pStyle w:val="ar-draft"/>
      </w:pPr>
      <w:r>
        <w:t xml:space="preserve">Mr </w:t>
      </w:r>
      <w:proofErr w:type="spellStart"/>
      <w:r w:rsidR="0040551C">
        <w:t>Marash</w:t>
      </w:r>
      <w:proofErr w:type="spellEnd"/>
      <w:r w:rsidR="0040551C">
        <w:t xml:space="preserve"> argued that the appellant’s conduct may have been worthy of disciplinary action: it did not warrant the full force of the criminal law</w:t>
      </w:r>
      <w:r w:rsidR="0040551C">
        <w:rPr>
          <w:rStyle w:val="FootnoteReference"/>
        </w:rPr>
        <w:footnoteReference w:id="25"/>
      </w:r>
      <w:r w:rsidR="0040551C">
        <w:t xml:space="preserve">, </w:t>
      </w:r>
      <w:r w:rsidR="007238EB">
        <w:t>for which he cited</w:t>
      </w:r>
      <w:r w:rsidR="0040551C">
        <w:t xml:space="preserve"> the </w:t>
      </w:r>
      <w:r w:rsidR="007238EB">
        <w:t xml:space="preserve">decision of the </w:t>
      </w:r>
      <w:r w:rsidR="00D05794">
        <w:t>Supreme Court</w:t>
      </w:r>
      <w:r w:rsidR="0040551C">
        <w:t xml:space="preserve"> </w:t>
      </w:r>
      <w:r w:rsidR="007238EB">
        <w:t>of Canada in</w:t>
      </w:r>
      <w:r w:rsidR="0040551C">
        <w:t xml:space="preserve"> </w:t>
      </w:r>
      <w:r w:rsidR="0040551C" w:rsidRPr="0055673D">
        <w:rPr>
          <w:i/>
        </w:rPr>
        <w:t>R v Boulanger</w:t>
      </w:r>
      <w:r w:rsidR="0055673D">
        <w:rPr>
          <w:rStyle w:val="FootnoteReference"/>
        </w:rPr>
        <w:footnoteReference w:id="26"/>
      </w:r>
      <w:r w:rsidR="0040551C">
        <w:t xml:space="preserve"> in support</w:t>
      </w:r>
      <w:r w:rsidR="0055673D">
        <w:t xml:space="preserve"> of his </w:t>
      </w:r>
      <w:r w:rsidR="002F7FC4">
        <w:t>submission</w:t>
      </w:r>
      <w:r w:rsidR="0055673D">
        <w:t>.</w:t>
      </w:r>
    </w:p>
    <w:p w:rsidR="00EC25A3" w:rsidRPr="00F56F15" w:rsidRDefault="00EC25A3" w:rsidP="000F68D1">
      <w:pPr>
        <w:pStyle w:val="ar-draft"/>
      </w:pPr>
      <w:r>
        <w:t xml:space="preserve">Grounds 8 and 9 aver that the judge failed to consider the appellant’s case that the lifejackets were suitable for both adults and children; that he </w:t>
      </w:r>
      <w:r w:rsidR="00D05794">
        <w:t>would have been</w:t>
      </w:r>
      <w:r>
        <w:t xml:space="preserve"> aware of this fact when he failed to rescind the no</w:t>
      </w:r>
      <w:r w:rsidR="00E655EF">
        <w:t>n</w:t>
      </w:r>
      <w:r>
        <w:t xml:space="preserve">-enforcement instruction; and that the new law made little practical difference to the issue of safety.  These factors were relevant to the issue of whether the appellant may have had a reasonable excuse </w:t>
      </w:r>
      <w:r w:rsidR="0064484E">
        <w:t xml:space="preserve">or justification </w:t>
      </w:r>
      <w:r>
        <w:t>for his actions, as well as to the issue of culpability.</w:t>
      </w:r>
    </w:p>
    <w:p w:rsidR="0034463C" w:rsidRPr="00A07F3D" w:rsidRDefault="00B04D99" w:rsidP="00C915EE">
      <w:pPr>
        <w:pStyle w:val="ar-heading1"/>
      </w:pPr>
      <w:r>
        <w:t>The r</w:t>
      </w:r>
      <w:r w:rsidR="0034463C" w:rsidRPr="00A07F3D">
        <w:t>espondent’s submissions</w:t>
      </w:r>
    </w:p>
    <w:p w:rsidR="00501A1C" w:rsidRPr="00501A1C" w:rsidRDefault="0034463C" w:rsidP="0070564F">
      <w:pPr>
        <w:pStyle w:val="ar-draft"/>
        <w:rPr>
          <w:szCs w:val="28"/>
        </w:rPr>
      </w:pPr>
      <w:r w:rsidRPr="00BD3B25">
        <w:t xml:space="preserve">Mr Bruce SC, </w:t>
      </w:r>
      <w:r w:rsidR="00A07F3D">
        <w:t xml:space="preserve">with him Ms Souza, on behalf of the respondent, </w:t>
      </w:r>
      <w:r w:rsidR="00501A1C">
        <w:t>contended</w:t>
      </w:r>
      <w:r w:rsidR="00A07F3D">
        <w:t xml:space="preserve"> that</w:t>
      </w:r>
      <w:r w:rsidRPr="00BD3B25">
        <w:t xml:space="preserve"> the judge had properly assessed the element of “wilful misconduct” and “seriousness”, and was not required to take into account </w:t>
      </w:r>
      <w:r w:rsidR="00836564">
        <w:t xml:space="preserve">either </w:t>
      </w:r>
      <w:r w:rsidRPr="00BD3B25">
        <w:t>the consequence</w:t>
      </w:r>
      <w:r w:rsidR="00A07F3D">
        <w:t>s</w:t>
      </w:r>
      <w:r w:rsidRPr="00BD3B25">
        <w:t xml:space="preserve"> on passenger</w:t>
      </w:r>
      <w:r w:rsidR="002F7FC4">
        <w:t>s</w:t>
      </w:r>
      <w:r w:rsidRPr="00BD3B25">
        <w:t xml:space="preserve">’ safety </w:t>
      </w:r>
      <w:r w:rsidR="00A07F3D">
        <w:t>or the</w:t>
      </w:r>
      <w:r w:rsidRPr="00BD3B25">
        <w:t xml:space="preserve"> appellant’s subjective view of </w:t>
      </w:r>
      <w:r w:rsidR="00CF2775">
        <w:t>such</w:t>
      </w:r>
      <w:r w:rsidRPr="00BD3B25">
        <w:t xml:space="preserve"> consequence</w:t>
      </w:r>
      <w:r w:rsidR="00CF2775">
        <w:t>s</w:t>
      </w:r>
      <w:r w:rsidRPr="00BD3B25">
        <w:t xml:space="preserve">.  </w:t>
      </w:r>
      <w:r w:rsidR="00501A1C">
        <w:t>He</w:t>
      </w:r>
      <w:r w:rsidRPr="00BD3B25">
        <w:t xml:space="preserve"> submitted that the judge had correctly applied the test of “wilful</w:t>
      </w:r>
      <w:r w:rsidR="00501A1C">
        <w:t>ness</w:t>
      </w:r>
      <w:r w:rsidRPr="00BD3B25">
        <w:t>” as being deliberate and not inadvertent</w:t>
      </w:r>
      <w:r w:rsidR="00CF2775">
        <w:t>,</w:t>
      </w:r>
      <w:r w:rsidR="00C32A02">
        <w:t xml:space="preserve"> and </w:t>
      </w:r>
      <w:r w:rsidR="00CF2775">
        <w:t xml:space="preserve">had </w:t>
      </w:r>
      <w:r w:rsidR="00C32A02">
        <w:t xml:space="preserve">correctly found that the appellant deliberately and not inadvertently </w:t>
      </w:r>
      <w:r w:rsidR="00C32A02">
        <w:lastRenderedPageBreak/>
        <w:t>issued the non-enforcement instruction.</w:t>
      </w:r>
      <w:r w:rsidRPr="00BD3B25">
        <w:t xml:space="preserve"> </w:t>
      </w:r>
      <w:r w:rsidR="00C32A02">
        <w:t xml:space="preserve"> </w:t>
      </w:r>
      <w:r w:rsidR="00501A1C">
        <w:t xml:space="preserve">In respect of </w:t>
      </w:r>
      <w:r w:rsidR="00D05794">
        <w:t xml:space="preserve">the </w:t>
      </w:r>
      <w:r w:rsidR="00E63EEE">
        <w:t>mental element required</w:t>
      </w:r>
      <w:r w:rsidR="00184E62">
        <w:t>,</w:t>
      </w:r>
      <w:r w:rsidR="00501A1C">
        <w:t xml:space="preserve"> he </w:t>
      </w:r>
      <w:r w:rsidRPr="00BD3B25">
        <w:t>relied on</w:t>
      </w:r>
      <w:r w:rsidR="00501A1C">
        <w:t xml:space="preserve"> the English Court of Appeal decision</w:t>
      </w:r>
      <w:r w:rsidR="00CF2775">
        <w:t>s</w:t>
      </w:r>
      <w:r w:rsidR="00501A1C">
        <w:t xml:space="preserve"> in</w:t>
      </w:r>
      <w:r w:rsidRPr="00BD3B25">
        <w:t xml:space="preserve"> </w:t>
      </w:r>
      <w:r w:rsidRPr="00A07F3D">
        <w:rPr>
          <w:i/>
        </w:rPr>
        <w:t>R v Chapman</w:t>
      </w:r>
      <w:r w:rsidR="00501A1C" w:rsidRPr="00501A1C">
        <w:rPr>
          <w:rStyle w:val="FootnoteReference"/>
        </w:rPr>
        <w:footnoteReference w:id="27"/>
      </w:r>
      <w:r w:rsidRPr="00A07F3D">
        <w:rPr>
          <w:i/>
        </w:rPr>
        <w:t xml:space="preserve"> </w:t>
      </w:r>
      <w:r w:rsidR="00D80976" w:rsidRPr="00D80976">
        <w:t>and</w:t>
      </w:r>
      <w:r w:rsidR="00D80976">
        <w:rPr>
          <w:i/>
        </w:rPr>
        <w:t xml:space="preserve"> R v France (Anthony)</w:t>
      </w:r>
      <w:r w:rsidR="00D80976" w:rsidRPr="00D80976">
        <w:rPr>
          <w:rStyle w:val="FootnoteReference"/>
        </w:rPr>
        <w:footnoteReference w:id="28"/>
      </w:r>
      <w:r w:rsidR="00D80976">
        <w:rPr>
          <w:i/>
        </w:rPr>
        <w:t xml:space="preserve"> </w:t>
      </w:r>
      <w:r w:rsidR="00CF2775" w:rsidRPr="00CF2775">
        <w:t>for the proposition</w:t>
      </w:r>
      <w:r w:rsidR="00CF2775">
        <w:rPr>
          <w:i/>
        </w:rPr>
        <w:t xml:space="preserve"> </w:t>
      </w:r>
      <w:r w:rsidRPr="00A07F3D">
        <w:rPr>
          <w:rFonts w:eastAsia="PMingLiU"/>
          <w:lang w:eastAsia="zh-TW"/>
        </w:rPr>
        <w:t>that</w:t>
      </w:r>
      <w:r w:rsidR="002566E8">
        <w:rPr>
          <w:rFonts w:eastAsia="PMingLiU"/>
          <w:lang w:eastAsia="zh-TW"/>
        </w:rPr>
        <w:t>, provided the defendant knew of the relevant facts and circumstances</w:t>
      </w:r>
      <w:r w:rsidR="00D80976">
        <w:rPr>
          <w:rFonts w:eastAsia="PMingLiU"/>
          <w:lang w:eastAsia="zh-TW"/>
        </w:rPr>
        <w:t xml:space="preserve"> so as to enable him to make an assessment of the seriousness of his own conduct, it was nevertheless for the hypothetical jury to determine whether they amounted to serious misconduct</w:t>
      </w:r>
      <w:r w:rsidR="00501A1C">
        <w:rPr>
          <w:rStyle w:val="FootnoteReference"/>
          <w:rFonts w:eastAsia="PMingLiU"/>
          <w:lang w:eastAsia="zh-TW"/>
        </w:rPr>
        <w:footnoteReference w:id="29"/>
      </w:r>
      <w:r w:rsidR="00D80976">
        <w:rPr>
          <w:rFonts w:eastAsia="PMingLiU"/>
          <w:lang w:eastAsia="zh-TW"/>
        </w:rPr>
        <w:t>.</w:t>
      </w:r>
    </w:p>
    <w:p w:rsidR="0034463C" w:rsidRPr="00BD3B25" w:rsidRDefault="00C32A02" w:rsidP="00153C29">
      <w:pPr>
        <w:pStyle w:val="ar-draft"/>
        <w:rPr>
          <w:szCs w:val="28"/>
        </w:rPr>
      </w:pPr>
      <w:r>
        <w:rPr>
          <w:lang w:eastAsia="zh-TW"/>
        </w:rPr>
        <w:t>Mr Bruce countered the argument that the judge had ignored the appellant’s subjective intention by pointing out that the appellant did not give evidence as to why he did what he did.  In any event</w:t>
      </w:r>
      <w:r w:rsidR="00CF2775">
        <w:rPr>
          <w:lang w:eastAsia="zh-TW"/>
        </w:rPr>
        <w:t>,</w:t>
      </w:r>
      <w:r>
        <w:rPr>
          <w:lang w:eastAsia="zh-TW"/>
        </w:rPr>
        <w:t xml:space="preserve"> the basis of the </w:t>
      </w:r>
      <w:r w:rsidR="00836564">
        <w:rPr>
          <w:lang w:eastAsia="zh-TW"/>
        </w:rPr>
        <w:t>assertion</w:t>
      </w:r>
      <w:r>
        <w:rPr>
          <w:lang w:eastAsia="zh-TW"/>
        </w:rPr>
        <w:t xml:space="preserve"> that lifejackets were suitable for both adults and children was hearsay and </w:t>
      </w:r>
      <w:r w:rsidR="002B4FBF">
        <w:rPr>
          <w:lang w:eastAsia="zh-TW"/>
        </w:rPr>
        <w:t>arose out of a conversation with PW4</w:t>
      </w:r>
      <w:r w:rsidR="002F7FC4">
        <w:rPr>
          <w:lang w:eastAsia="zh-TW"/>
        </w:rPr>
        <w:t>,</w:t>
      </w:r>
      <w:r w:rsidR="002B4FBF">
        <w:rPr>
          <w:lang w:eastAsia="zh-TW"/>
        </w:rPr>
        <w:t xml:space="preserve"> </w:t>
      </w:r>
      <w:r w:rsidR="00184E62">
        <w:rPr>
          <w:lang w:eastAsia="zh-TW"/>
        </w:rPr>
        <w:t>which</w:t>
      </w:r>
      <w:r w:rsidR="002B4FBF">
        <w:rPr>
          <w:lang w:eastAsia="zh-TW"/>
        </w:rPr>
        <w:t xml:space="preserve"> </w:t>
      </w:r>
      <w:r>
        <w:rPr>
          <w:lang w:eastAsia="zh-TW"/>
        </w:rPr>
        <w:t>had taken place years after the app</w:t>
      </w:r>
      <w:r w:rsidR="00A7634E">
        <w:rPr>
          <w:lang w:eastAsia="zh-TW"/>
        </w:rPr>
        <w:t>ellant</w:t>
      </w:r>
      <w:r>
        <w:rPr>
          <w:lang w:eastAsia="zh-TW"/>
        </w:rPr>
        <w:t xml:space="preserve"> issued the non-enforcement instruction.</w:t>
      </w:r>
    </w:p>
    <w:p w:rsidR="0034463C" w:rsidRPr="00BD3B25" w:rsidRDefault="0034463C" w:rsidP="00153C29">
      <w:pPr>
        <w:pStyle w:val="ar-draft"/>
        <w:rPr>
          <w:szCs w:val="28"/>
        </w:rPr>
      </w:pPr>
      <w:r w:rsidRPr="00BD3B25">
        <w:rPr>
          <w:lang w:eastAsia="zh-TW"/>
        </w:rPr>
        <w:t>Mr Bruce submitted that the judge had fully set out the legal principles from the relevant authorities and concluded that the appellant’s misconduct was sufficiently serious</w:t>
      </w:r>
      <w:r w:rsidR="002B4FBF">
        <w:rPr>
          <w:lang w:eastAsia="zh-TW"/>
        </w:rPr>
        <w:t xml:space="preserve"> to warrant conviction</w:t>
      </w:r>
      <w:r w:rsidRPr="00BD3B25">
        <w:rPr>
          <w:lang w:eastAsia="zh-TW"/>
        </w:rPr>
        <w:t xml:space="preserve">, </w:t>
      </w:r>
      <w:r w:rsidR="002F7FC4">
        <w:rPr>
          <w:lang w:eastAsia="zh-TW"/>
        </w:rPr>
        <w:t>given</w:t>
      </w:r>
      <w:r w:rsidR="00CF2775">
        <w:rPr>
          <w:lang w:eastAsia="zh-TW"/>
        </w:rPr>
        <w:t xml:space="preserve"> that</w:t>
      </w:r>
      <w:r w:rsidRPr="00BD3B25">
        <w:rPr>
          <w:lang w:eastAsia="zh-TW"/>
        </w:rPr>
        <w:t>: (</w:t>
      </w:r>
      <w:proofErr w:type="spellStart"/>
      <w:r w:rsidRPr="00BD3B25">
        <w:rPr>
          <w:lang w:eastAsia="zh-TW"/>
        </w:rPr>
        <w:t>i</w:t>
      </w:r>
      <w:proofErr w:type="spellEnd"/>
      <w:r w:rsidRPr="00BD3B25">
        <w:rPr>
          <w:lang w:eastAsia="zh-TW"/>
        </w:rPr>
        <w:t xml:space="preserve">) </w:t>
      </w:r>
      <w:r w:rsidR="007E1ED4">
        <w:t>‍</w:t>
      </w:r>
      <w:r w:rsidRPr="00BD3B25">
        <w:rPr>
          <w:lang w:eastAsia="zh-TW"/>
        </w:rPr>
        <w:t xml:space="preserve">the </w:t>
      </w:r>
      <w:r w:rsidR="002B4FBF">
        <w:rPr>
          <w:lang w:eastAsia="zh-TW"/>
        </w:rPr>
        <w:t xml:space="preserve">non-enforcement </w:t>
      </w:r>
      <w:r w:rsidRPr="00BD3B25">
        <w:rPr>
          <w:lang w:eastAsia="zh-TW"/>
        </w:rPr>
        <w:t>instruction directly co</w:t>
      </w:r>
      <w:r w:rsidR="002F7FC4">
        <w:rPr>
          <w:lang w:eastAsia="zh-TW"/>
        </w:rPr>
        <w:t>untermanded</w:t>
      </w:r>
      <w:r w:rsidRPr="00BD3B25">
        <w:rPr>
          <w:lang w:eastAsia="zh-TW"/>
        </w:rPr>
        <w:t xml:space="preserve"> the statutorily prescribed safety requirements; (ii) </w:t>
      </w:r>
      <w:r w:rsidR="007E1ED4">
        <w:t>‍</w:t>
      </w:r>
      <w:r w:rsidRPr="00BD3B25">
        <w:rPr>
          <w:lang w:eastAsia="zh-TW"/>
        </w:rPr>
        <w:t xml:space="preserve">it was not for the appellant to supplant </w:t>
      </w:r>
      <w:r w:rsidR="002B4FBF">
        <w:rPr>
          <w:lang w:eastAsia="zh-TW"/>
        </w:rPr>
        <w:t>the legislative intention with his own</w:t>
      </w:r>
      <w:r w:rsidRPr="00BD3B25">
        <w:rPr>
          <w:lang w:eastAsia="zh-TW"/>
        </w:rPr>
        <w:t xml:space="preserve"> decision as to implementation; (iii) </w:t>
      </w:r>
      <w:r w:rsidR="007E1ED4">
        <w:t>‍</w:t>
      </w:r>
      <w:r w:rsidRPr="00BD3B25">
        <w:rPr>
          <w:lang w:eastAsia="zh-TW"/>
        </w:rPr>
        <w:t>the</w:t>
      </w:r>
      <w:r w:rsidR="00D84062">
        <w:rPr>
          <w:lang w:eastAsia="zh-TW"/>
        </w:rPr>
        <w:t xml:space="preserve"> non-enforcement</w:t>
      </w:r>
      <w:r w:rsidRPr="00BD3B25">
        <w:rPr>
          <w:lang w:eastAsia="zh-TW"/>
        </w:rPr>
        <w:t xml:space="preserve"> instruction was of wide application</w:t>
      </w:r>
      <w:r w:rsidR="00D84062">
        <w:rPr>
          <w:lang w:eastAsia="zh-TW"/>
        </w:rPr>
        <w:t xml:space="preserve"> to a large number of vessels and there was</w:t>
      </w:r>
      <w:r w:rsidRPr="00BD3B25">
        <w:rPr>
          <w:lang w:eastAsia="zh-TW"/>
        </w:rPr>
        <w:t xml:space="preserve"> no basis to conclude that it </w:t>
      </w:r>
      <w:r w:rsidR="00D84062">
        <w:rPr>
          <w:lang w:eastAsia="zh-TW"/>
        </w:rPr>
        <w:t>arose out of negligence</w:t>
      </w:r>
      <w:r w:rsidRPr="00BD3B25">
        <w:rPr>
          <w:lang w:eastAsia="zh-TW"/>
        </w:rPr>
        <w:t xml:space="preserve">; (iv) </w:t>
      </w:r>
      <w:r w:rsidR="007E1ED4">
        <w:t>‍</w:t>
      </w:r>
      <w:r w:rsidRPr="00BD3B25">
        <w:rPr>
          <w:lang w:eastAsia="zh-TW"/>
        </w:rPr>
        <w:t xml:space="preserve">the appellant’s departure from his duty was an affront to the standing of the public office held; </w:t>
      </w:r>
      <w:r w:rsidR="00D84062">
        <w:rPr>
          <w:lang w:eastAsia="zh-TW"/>
        </w:rPr>
        <w:t xml:space="preserve">and </w:t>
      </w:r>
      <w:r w:rsidRPr="00BD3B25">
        <w:rPr>
          <w:lang w:eastAsia="zh-TW"/>
        </w:rPr>
        <w:t xml:space="preserve">(v) </w:t>
      </w:r>
      <w:r w:rsidR="007E1ED4">
        <w:t>‍</w:t>
      </w:r>
      <w:r w:rsidRPr="00BD3B25">
        <w:rPr>
          <w:lang w:eastAsia="zh-TW"/>
        </w:rPr>
        <w:t>the appellant’s misconduct fell so far below acceptable standard</w:t>
      </w:r>
      <w:r w:rsidR="0064484E">
        <w:rPr>
          <w:lang w:eastAsia="zh-TW"/>
        </w:rPr>
        <w:t>s</w:t>
      </w:r>
      <w:r w:rsidRPr="00BD3B25">
        <w:rPr>
          <w:lang w:eastAsia="zh-TW"/>
        </w:rPr>
        <w:t xml:space="preserve"> as to amount to an abuse of the public trust.</w:t>
      </w:r>
    </w:p>
    <w:p w:rsidR="0034463C" w:rsidRPr="00BD3B25" w:rsidRDefault="00D84062" w:rsidP="0034463C">
      <w:pPr>
        <w:pStyle w:val="ar-draft"/>
        <w:rPr>
          <w:szCs w:val="28"/>
        </w:rPr>
      </w:pPr>
      <w:r w:rsidRPr="00D84062">
        <w:lastRenderedPageBreak/>
        <w:t>In respect of</w:t>
      </w:r>
      <w:r w:rsidR="0034463C" w:rsidRPr="00D84062">
        <w:t xml:space="preserve"> Ground 7</w:t>
      </w:r>
      <w:r w:rsidR="0034463C" w:rsidRPr="00BD3B25">
        <w:t>, Mr Bruce submitted that</w:t>
      </w:r>
      <w:r>
        <w:t xml:space="preserve"> the it was not necessary to find a dishonest, corrupt or malicious motive before </w:t>
      </w:r>
      <w:r w:rsidR="002F7FC4">
        <w:t xml:space="preserve">misconduct constituted by </w:t>
      </w:r>
      <w:r w:rsidR="00836564">
        <w:t>non-performance of a</w:t>
      </w:r>
      <w:r w:rsidR="007E5F1E">
        <w:t xml:space="preserve"> duty</w:t>
      </w:r>
      <w:r>
        <w:t xml:space="preserve"> could be found to be serious </w:t>
      </w:r>
      <w:r w:rsidR="00836564">
        <w:t>enough to</w:t>
      </w:r>
      <w:r>
        <w:t xml:space="preserve"> warrant criminal sanction.</w:t>
      </w:r>
    </w:p>
    <w:p w:rsidR="0034463C" w:rsidRPr="00811830" w:rsidRDefault="0034463C" w:rsidP="0070564F">
      <w:pPr>
        <w:pStyle w:val="ar-draft"/>
        <w:rPr>
          <w:szCs w:val="28"/>
        </w:rPr>
      </w:pPr>
      <w:r w:rsidRPr="00BD3B25">
        <w:t xml:space="preserve">As </w:t>
      </w:r>
      <w:r w:rsidR="00D84062">
        <w:t>for</w:t>
      </w:r>
      <w:r w:rsidRPr="00BD3B25">
        <w:t xml:space="preserve"> </w:t>
      </w:r>
      <w:r w:rsidRPr="00D84062">
        <w:t>Ground</w:t>
      </w:r>
      <w:r w:rsidR="00D84062" w:rsidRPr="00D84062">
        <w:t>s</w:t>
      </w:r>
      <w:r w:rsidRPr="00D84062">
        <w:t xml:space="preserve"> 8 and 9</w:t>
      </w:r>
      <w:r w:rsidRPr="00BD3B25">
        <w:t xml:space="preserve">, </w:t>
      </w:r>
      <w:r w:rsidR="00DC5B13">
        <w:t>t</w:t>
      </w:r>
      <w:r w:rsidRPr="00BD3B25">
        <w:t>he judge had already considered the appellant’s reason</w:t>
      </w:r>
      <w:r w:rsidR="0023462E">
        <w:t>s</w:t>
      </w:r>
      <w:r w:rsidRPr="00BD3B25">
        <w:t xml:space="preserve"> for issuing the </w:t>
      </w:r>
      <w:r w:rsidR="00DC5B13">
        <w:t>n</w:t>
      </w:r>
      <w:r w:rsidRPr="00BD3B25">
        <w:t>on</w:t>
      </w:r>
      <w:r w:rsidR="007F0111">
        <w:noBreakHyphen/>
      </w:r>
      <w:r w:rsidRPr="00BD3B25">
        <w:t>enforcement instruction</w:t>
      </w:r>
      <w:r w:rsidR="00DC5B13">
        <w:t xml:space="preserve">, </w:t>
      </w:r>
      <w:r w:rsidR="00811830">
        <w:t>which was</w:t>
      </w:r>
      <w:r w:rsidR="00DC5B13">
        <w:t xml:space="preserve"> to appease industry representatives and to ensure t</w:t>
      </w:r>
      <w:r w:rsidRPr="00BD3B25">
        <w:t>he “smooth implementation</w:t>
      </w:r>
      <w:r w:rsidR="00811830">
        <w:t>”</w:t>
      </w:r>
      <w:r w:rsidRPr="00BD3B25">
        <w:t xml:space="preserve"> of Cap 548G</w:t>
      </w:r>
      <w:r w:rsidR="00B12C60">
        <w:t>.  However, th</w:t>
      </w:r>
      <w:r w:rsidR="0023462E">
        <w:t>ey</w:t>
      </w:r>
      <w:r w:rsidR="00B12C60">
        <w:t xml:space="preserve"> could</w:t>
      </w:r>
      <w:r w:rsidRPr="00BD3B25">
        <w:t xml:space="preserve"> not amount to </w:t>
      </w:r>
      <w:r w:rsidR="00B12C60">
        <w:t xml:space="preserve">a </w:t>
      </w:r>
      <w:r w:rsidRPr="00BD3B25">
        <w:t>reasonable excuse</w:t>
      </w:r>
      <w:r w:rsidR="00CF2775">
        <w:t xml:space="preserve"> or </w:t>
      </w:r>
      <w:r w:rsidRPr="00BD3B25">
        <w:t>justification</w:t>
      </w:r>
      <w:r w:rsidR="00811830">
        <w:t>, certainly not</w:t>
      </w:r>
      <w:r w:rsidRPr="00BD3B25">
        <w:t xml:space="preserve"> without </w:t>
      </w:r>
      <w:r w:rsidR="00CF2775">
        <w:t xml:space="preserve">the appellant </w:t>
      </w:r>
      <w:r w:rsidR="00811830">
        <w:t xml:space="preserve">first </w:t>
      </w:r>
      <w:r w:rsidRPr="00BD3B25">
        <w:t xml:space="preserve">consulting his superior or seeking legal advice.  </w:t>
      </w:r>
      <w:r w:rsidR="00B12C60">
        <w:t>In any event, the appellant had not given evidence on the issue</w:t>
      </w:r>
      <w:r w:rsidRPr="00BD3B25">
        <w:t>.</w:t>
      </w:r>
      <w:r w:rsidR="00811830">
        <w:t xml:space="preserve">  </w:t>
      </w:r>
      <w:r w:rsidR="0064484E">
        <w:t>Moreover</w:t>
      </w:r>
      <w:r w:rsidR="00811830">
        <w:t>, where there had been a falling so far below</w:t>
      </w:r>
      <w:r w:rsidRPr="00BD3B25">
        <w:t xml:space="preserve"> the standard</w:t>
      </w:r>
      <w:r w:rsidR="00811830">
        <w:t>s</w:t>
      </w:r>
      <w:r w:rsidRPr="00BD3B25">
        <w:t xml:space="preserve"> expected of </w:t>
      </w:r>
      <w:r w:rsidR="00811830">
        <w:t>a public officer</w:t>
      </w:r>
      <w:r w:rsidRPr="00BD3B25">
        <w:t xml:space="preserve"> as to amount to an abuse of public trust, there was no need for the judge to further consider </w:t>
      </w:r>
      <w:r w:rsidR="00811830">
        <w:t>subjective intention</w:t>
      </w:r>
      <w:r w:rsidR="007F0111">
        <w:t>.</w:t>
      </w:r>
    </w:p>
    <w:p w:rsidR="00BA29E5" w:rsidRPr="00BA29E5" w:rsidRDefault="00BA29E5" w:rsidP="00054BD5">
      <w:pPr>
        <w:pStyle w:val="ar-heading1"/>
      </w:pPr>
      <w:r w:rsidRPr="00BA29E5">
        <w:t>Discussion</w:t>
      </w:r>
      <w:r w:rsidR="00B06F73">
        <w:t xml:space="preserve"> (conviction)</w:t>
      </w:r>
    </w:p>
    <w:p w:rsidR="008315FF" w:rsidRDefault="00BD13E9" w:rsidP="00BA29E5">
      <w:pPr>
        <w:pStyle w:val="ar-draft"/>
      </w:pPr>
      <w:r>
        <w:t xml:space="preserve">We shall deal first with the </w:t>
      </w:r>
      <w:r w:rsidR="00CF2775">
        <w:t xml:space="preserve">more fundamental </w:t>
      </w:r>
      <w:r>
        <w:t>complaint made in Ground 7 of the appellant’s grounds of appeal that, in the absence of a dishonest, corrupt or malicious motive, which the judge accepted</w:t>
      </w:r>
      <w:r>
        <w:rPr>
          <w:rStyle w:val="FootnoteReference"/>
        </w:rPr>
        <w:footnoteReference w:id="30"/>
      </w:r>
      <w:r>
        <w:t xml:space="preserve">, the seriousness of his conduct was not such as to call for criminal sanction.  </w:t>
      </w:r>
      <w:r w:rsidR="002422B6">
        <w:t xml:space="preserve">The argument put forward </w:t>
      </w:r>
      <w:r w:rsidR="007E5F1E">
        <w:t>on behalf of the appellant</w:t>
      </w:r>
      <w:r w:rsidR="002422B6">
        <w:t xml:space="preserve"> is that, </w:t>
      </w:r>
      <w:r w:rsidR="002422B6" w:rsidRPr="00BD13E9">
        <w:rPr>
          <w:i/>
        </w:rPr>
        <w:t>absent</w:t>
      </w:r>
      <w:r w:rsidR="002422B6">
        <w:t xml:space="preserve"> a dishonest, corrupt or malicious motive, the appellant’s conduct in issuing the non-enforcement instruction could not be culpable</w:t>
      </w:r>
      <w:r w:rsidR="005D02D1">
        <w:t>.</w:t>
      </w:r>
    </w:p>
    <w:p w:rsidR="00FA3EEF" w:rsidRDefault="001C3D8B" w:rsidP="00BA29E5">
      <w:pPr>
        <w:pStyle w:val="ar-draft"/>
      </w:pPr>
      <w:r>
        <w:t xml:space="preserve">However, we think this is a misreading of what Sir Anthony Mason had to say in </w:t>
      </w:r>
      <w:r w:rsidRPr="001C3D8B">
        <w:rPr>
          <w:i/>
        </w:rPr>
        <w:t>Shum Kwok Sher</w:t>
      </w:r>
      <w:r w:rsidR="008315FF">
        <w:t xml:space="preserve"> where</w:t>
      </w:r>
      <w:r w:rsidR="0023462E">
        <w:t>, at paragraphs 82-83,</w:t>
      </w:r>
      <w:r w:rsidR="008315FF">
        <w:t xml:space="preserve"> he was </w:t>
      </w:r>
      <w:r w:rsidR="008315FF">
        <w:lastRenderedPageBreak/>
        <w:t>addressing the question of the mental element of the offence.  In so doing, he distinguish</w:t>
      </w:r>
      <w:r w:rsidR="0023462E">
        <w:t>ed</w:t>
      </w:r>
      <w:r w:rsidR="008315FF">
        <w:t xml:space="preserve"> </w:t>
      </w:r>
      <w:r w:rsidR="00CF3EAC">
        <w:t xml:space="preserve">between </w:t>
      </w:r>
      <w:r w:rsidR="008315FF">
        <w:t>the various forms of misconduct that the offence may take</w:t>
      </w:r>
      <w:r w:rsidR="00FA3EEF">
        <w:t>, which he described as:</w:t>
      </w:r>
      <w:r w:rsidR="00FA3EEF">
        <w:rPr>
          <w:rStyle w:val="FootnoteReference"/>
        </w:rPr>
        <w:footnoteReference w:id="31"/>
      </w:r>
    </w:p>
    <w:p w:rsidR="00FA3EEF" w:rsidRDefault="00FA3EEF" w:rsidP="005D02D1">
      <w:pPr>
        <w:pStyle w:val="ar-quotation"/>
      </w:pPr>
      <w:r>
        <w:t>“…ranging from fraudulent conduct, through nonfeasance of a duty, misfeasance in the performance of a duty or exercise of a power with a dishonest, corrupt or malicious motive, acting in excess of power or authority with a similar motive [</w:t>
      </w:r>
      <w:proofErr w:type="spellStart"/>
      <w:r>
        <w:t>ie</w:t>
      </w:r>
      <w:proofErr w:type="spellEnd"/>
      <w:r>
        <w:t xml:space="preserve"> </w:t>
      </w:r>
      <w:r w:rsidR="003A6D94">
        <w:t>‍</w:t>
      </w:r>
      <w:r>
        <w:t>malfeasance], to oppression.</w:t>
      </w:r>
      <w:r w:rsidR="00134A59">
        <w:t>”</w:t>
      </w:r>
    </w:p>
    <w:p w:rsidR="00CF3EAC" w:rsidRDefault="00CF3EAC" w:rsidP="00CF3EAC">
      <w:pPr>
        <w:pStyle w:val="ar-draft"/>
        <w:numPr>
          <w:ilvl w:val="0"/>
          <w:numId w:val="0"/>
        </w:numPr>
      </w:pPr>
      <w:r>
        <w:t xml:space="preserve">We </w:t>
      </w:r>
      <w:r w:rsidR="0064484E">
        <w:t xml:space="preserve">should </w:t>
      </w:r>
      <w:r w:rsidR="00C27E9D">
        <w:t>n</w:t>
      </w:r>
      <w:r w:rsidR="0023462E">
        <w:t>onetheless</w:t>
      </w:r>
      <w:r>
        <w:t xml:space="preserve"> emphasise that misconduct does not become culpable simply because it can be “pigeon-holed” into one of these categories, which Sir Anthony Mason </w:t>
      </w:r>
      <w:r w:rsidR="0023462E">
        <w:t>explained were not</w:t>
      </w:r>
      <w:r>
        <w:t xml:space="preserve"> intended to be exhaustive</w:t>
      </w:r>
      <w:r w:rsidR="0023462E">
        <w:rPr>
          <w:rStyle w:val="FootnoteReference"/>
        </w:rPr>
        <w:footnoteReference w:id="32"/>
      </w:r>
      <w:r>
        <w:t xml:space="preserve">.  Rather, it is because </w:t>
      </w:r>
      <w:r w:rsidR="00400660">
        <w:t>the misconduct</w:t>
      </w:r>
      <w:r>
        <w:t xml:space="preserve"> possesses features which warrant it being regarded as culpable. </w:t>
      </w:r>
      <w:r w:rsidR="00400660">
        <w:t xml:space="preserve"> </w:t>
      </w:r>
      <w:r w:rsidR="00C27E9D">
        <w:t>However</w:t>
      </w:r>
      <w:r>
        <w:t>, what these features are will vary according to the form that the misconduct takes.</w:t>
      </w:r>
    </w:p>
    <w:p w:rsidR="00400660" w:rsidRDefault="00FA3EEF" w:rsidP="008A7B94">
      <w:pPr>
        <w:pStyle w:val="ar-draft"/>
      </w:pPr>
      <w:r>
        <w:t xml:space="preserve">In misfeasance of duty cases, a public officer </w:t>
      </w:r>
      <w:r w:rsidR="005041D0">
        <w:t>will normally be</w:t>
      </w:r>
      <w:r>
        <w:t xml:space="preserve"> </w:t>
      </w:r>
      <w:r w:rsidR="008F0387">
        <w:t>exercising a</w:t>
      </w:r>
      <w:r w:rsidR="005041D0">
        <w:t xml:space="preserve"> lawful power or authority</w:t>
      </w:r>
      <w:r w:rsidR="008F0387">
        <w:t xml:space="preserve"> when he performs the impugned act</w:t>
      </w:r>
      <w:r>
        <w:t>, which is not in breach of his duty</w:t>
      </w:r>
      <w:r w:rsidR="00A8588C">
        <w:rPr>
          <w:rStyle w:val="FootnoteReference"/>
        </w:rPr>
        <w:footnoteReference w:id="33"/>
      </w:r>
      <w:r w:rsidR="00B12455">
        <w:t>.  Accordingly, it must be shown that he has otherwise misconducted himself</w:t>
      </w:r>
      <w:r w:rsidR="008F0387">
        <w:t xml:space="preserve"> in </w:t>
      </w:r>
      <w:r w:rsidR="00A04F2E">
        <w:t>the performance of that</w:t>
      </w:r>
      <w:r w:rsidR="008F0387">
        <w:t xml:space="preserve"> act</w:t>
      </w:r>
      <w:r w:rsidR="00400660">
        <w:t>, because the act, by itself, will not amount to misconduct.  Evidence is therefore needed to prove that what on its face is the lawful performance by a public officer of his duty is in fact misconduct</w:t>
      </w:r>
      <w:r w:rsidR="00B12455">
        <w:t>.  That may be demonstrated by</w:t>
      </w:r>
      <w:r>
        <w:t xml:space="preserve"> </w:t>
      </w:r>
      <w:r w:rsidR="00400660">
        <w:t xml:space="preserve">evidence of impropriety in respect of the means by which the public officer carries out his duty, or </w:t>
      </w:r>
      <w:r w:rsidR="00C27E9D">
        <w:t xml:space="preserve">by evidence or inference </w:t>
      </w:r>
      <w:r w:rsidR="00C3388A">
        <w:t>as to</w:t>
      </w:r>
      <w:r w:rsidR="00C27E9D">
        <w:t xml:space="preserve"> </w:t>
      </w:r>
      <w:r w:rsidR="00400660">
        <w:t>the motive which underlies its performance.</w:t>
      </w:r>
    </w:p>
    <w:p w:rsidR="00685CB6" w:rsidRDefault="00400660" w:rsidP="008A7B94">
      <w:pPr>
        <w:pStyle w:val="ar-draft"/>
      </w:pPr>
      <w:r>
        <w:lastRenderedPageBreak/>
        <w:t>H</w:t>
      </w:r>
      <w:r w:rsidR="00DA1348">
        <w:t>owever, for cases of nonfeasance of duty, all that is</w:t>
      </w:r>
      <w:r w:rsidR="0023462E">
        <w:t xml:space="preserve"> generally</w:t>
      </w:r>
      <w:r w:rsidR="00DA1348">
        <w:t xml:space="preserve"> required to be proved is a wilful intent, accompanied by the absence of a reasonable excuse or justification, in respect of misconduct that is serious.</w:t>
      </w:r>
      <w:r w:rsidR="003160C6">
        <w:t xml:space="preserve">  </w:t>
      </w:r>
      <w:r w:rsidR="00DA1348">
        <w:t xml:space="preserve">The reason for this is that the public officer, by not performing his duty, is already shown to have misconducted himself.  </w:t>
      </w:r>
      <w:r w:rsidR="008F0387">
        <w:t>However, this</w:t>
      </w:r>
      <w:r w:rsidR="00DA1348">
        <w:t xml:space="preserve">, by itself, </w:t>
      </w:r>
      <w:r w:rsidR="008F0387">
        <w:t>w</w:t>
      </w:r>
      <w:r w:rsidR="00C27E9D">
        <w:t>ill</w:t>
      </w:r>
      <w:r w:rsidR="008F0387">
        <w:t xml:space="preserve"> not be</w:t>
      </w:r>
      <w:r w:rsidR="00DA1348">
        <w:t xml:space="preserve"> enough: what makes his proven misconduct culpable is that it is both wilful and serious.  And by “wilful”</w:t>
      </w:r>
      <w:r w:rsidR="00FD70FD">
        <w:t>,</w:t>
      </w:r>
      <w:r w:rsidR="00DA1348">
        <w:t xml:space="preserve"> Sir Anthony </w:t>
      </w:r>
      <w:r w:rsidR="005041D0">
        <w:t xml:space="preserve">Mason </w:t>
      </w:r>
      <w:r w:rsidR="00A04F2E">
        <w:t>made clear</w:t>
      </w:r>
      <w:r w:rsidR="00DA1348">
        <w:t xml:space="preserve"> that the non-performance had to be both voluntarily and deliberately done.</w:t>
      </w:r>
    </w:p>
    <w:p w:rsidR="00E32FD2" w:rsidRDefault="00DA1348" w:rsidP="00BA29E5">
      <w:pPr>
        <w:pStyle w:val="ar-draft"/>
      </w:pPr>
      <w:r>
        <w:t xml:space="preserve">The distinction that Sir Anthony Mason drew is well illustrated, </w:t>
      </w:r>
      <w:r w:rsidR="003160C6">
        <w:t xml:space="preserve">we think, </w:t>
      </w:r>
      <w:r>
        <w:t>by t</w:t>
      </w:r>
      <w:r w:rsidR="003160C6">
        <w:t xml:space="preserve">he case of </w:t>
      </w:r>
      <w:r w:rsidR="003160C6" w:rsidRPr="003160C6">
        <w:rPr>
          <w:i/>
        </w:rPr>
        <w:t>Boulanger</w:t>
      </w:r>
      <w:r w:rsidR="003160C6">
        <w:t>.  There</w:t>
      </w:r>
      <w:r w:rsidR="00E32FD2">
        <w:t>,</w:t>
      </w:r>
      <w:r w:rsidR="003160C6">
        <w:t xml:space="preserve"> </w:t>
      </w:r>
      <w:r w:rsidR="0023462E">
        <w:t>Boulanger, as</w:t>
      </w:r>
      <w:r w:rsidR="003160C6">
        <w:t xml:space="preserve"> director of security of a municipality in Quebec</w:t>
      </w:r>
      <w:r w:rsidR="00C3388A">
        <w:t>,</w:t>
      </w:r>
      <w:r w:rsidR="003160C6">
        <w:t xml:space="preserve"> </w:t>
      </w:r>
      <w:r w:rsidR="002566E8">
        <w:t xml:space="preserve">had </w:t>
      </w:r>
      <w:r w:rsidR="003160C6">
        <w:t>asked the constable in charge of the case of a traffic accident, in which Boulanger’s daughter had been involved, to prepare a second more complete accident report</w:t>
      </w:r>
      <w:r w:rsidR="009F65D3">
        <w:t>;</w:t>
      </w:r>
      <w:r w:rsidR="003160C6">
        <w:t xml:space="preserve"> as he was entitled to do.  The second report, for which the constable was solely responsible, exonerated Boulanger’s daughter from blame for the accident.</w:t>
      </w:r>
      <w:r w:rsidR="00685CB6">
        <w:t xml:space="preserve">  The Supreme Court of Canada found that</w:t>
      </w:r>
      <w:r w:rsidR="00497EEE">
        <w:t xml:space="preserve"> Boulanger’s “intention was to have Constable Stephens make a complete report, not to skew it in one direction or another”</w:t>
      </w:r>
      <w:r w:rsidR="00497EEE">
        <w:rPr>
          <w:rStyle w:val="FootnoteReference"/>
        </w:rPr>
        <w:footnoteReference w:id="34"/>
      </w:r>
      <w:r w:rsidR="00497EEE">
        <w:t>.  While he should more properly</w:t>
      </w:r>
      <w:r w:rsidR="00685CB6">
        <w:t xml:space="preserve"> have asked his insurer to communicate directly with the constable concerned, “nevertheless the course of action chosen by the accused cannot be said to represent a marked departure from the course of action he should have taken”</w:t>
      </w:r>
      <w:r w:rsidR="00E32FD2">
        <w:rPr>
          <w:rStyle w:val="FootnoteReference"/>
        </w:rPr>
        <w:footnoteReference w:id="35"/>
      </w:r>
      <w:r w:rsidR="00E32FD2">
        <w:t xml:space="preserve">.  </w:t>
      </w:r>
      <w:r w:rsidR="00FD70FD">
        <w:t>In other words, Boulanger was entitled</w:t>
      </w:r>
      <w:r w:rsidR="009F65D3">
        <w:t xml:space="preserve">, and </w:t>
      </w:r>
      <w:r w:rsidR="00C3388A">
        <w:t xml:space="preserve">was </w:t>
      </w:r>
      <w:r w:rsidR="00A04F2E">
        <w:t xml:space="preserve">acting </w:t>
      </w:r>
      <w:r w:rsidR="009F65D3">
        <w:t>within his power</w:t>
      </w:r>
      <w:r w:rsidR="00C3388A">
        <w:t xml:space="preserve"> and authority</w:t>
      </w:r>
      <w:r w:rsidR="009F65D3">
        <w:t>,</w:t>
      </w:r>
      <w:r w:rsidR="00FD70FD">
        <w:t xml:space="preserve"> to ask for a second report.  </w:t>
      </w:r>
      <w:r w:rsidR="00497EEE">
        <w:t xml:space="preserve">It would, of course, </w:t>
      </w:r>
      <w:r w:rsidR="00E32FD2">
        <w:t xml:space="preserve">have been different “had Boulanger instructed Constable Stephens to put a particular content into the report, that might have amounted to using his </w:t>
      </w:r>
      <w:r w:rsidR="00E32FD2">
        <w:lastRenderedPageBreak/>
        <w:t>office in a way that betrayed the public trust”</w:t>
      </w:r>
      <w:r w:rsidR="00E32FD2">
        <w:rPr>
          <w:rStyle w:val="FootnoteReference"/>
        </w:rPr>
        <w:footnoteReference w:id="36"/>
      </w:r>
      <w:r w:rsidR="00A04F2E">
        <w:t>;</w:t>
      </w:r>
      <w:r w:rsidR="00497EEE">
        <w:t xml:space="preserve"> or if he had paid the constable to “skew” the report</w:t>
      </w:r>
      <w:r w:rsidR="009F65D3">
        <w:t xml:space="preserve"> in his daughter’s favour</w:t>
      </w:r>
      <w:r w:rsidR="00497EEE">
        <w:t>.</w:t>
      </w:r>
    </w:p>
    <w:p w:rsidR="002422B6" w:rsidRDefault="00E32FD2" w:rsidP="00BA29E5">
      <w:pPr>
        <w:pStyle w:val="ar-draft"/>
      </w:pPr>
      <w:r>
        <w:t xml:space="preserve">Unlike </w:t>
      </w:r>
      <w:r w:rsidRPr="00E32FD2">
        <w:rPr>
          <w:i/>
        </w:rPr>
        <w:t>Boulanger</w:t>
      </w:r>
      <w:r>
        <w:t xml:space="preserve">, </w:t>
      </w:r>
      <w:r w:rsidR="00DA1348">
        <w:t>which involved an allegation of misfeasance, the appellant before us</w:t>
      </w:r>
      <w:r>
        <w:t xml:space="preserve"> </w:t>
      </w:r>
      <w:r w:rsidR="008F0387">
        <w:t xml:space="preserve">had </w:t>
      </w:r>
      <w:r w:rsidR="00A8588C">
        <w:t>misconducted himself by deliberately not performing his</w:t>
      </w:r>
      <w:r>
        <w:t xml:space="preserve"> </w:t>
      </w:r>
      <w:r w:rsidR="005E5E54">
        <w:t xml:space="preserve">public </w:t>
      </w:r>
      <w:r>
        <w:t xml:space="preserve">duty </w:t>
      </w:r>
      <w:r w:rsidR="00A8588C">
        <w:t>when he issued</w:t>
      </w:r>
      <w:r w:rsidR="00C27E9D">
        <w:t xml:space="preserve"> and failed to rescind</w:t>
      </w:r>
      <w:r>
        <w:t xml:space="preserve"> the non-enforcement instruction</w:t>
      </w:r>
      <w:r w:rsidR="008F0387">
        <w:t>,</w:t>
      </w:r>
      <w:r>
        <w:t xml:space="preserve"> knowing that he was substituting his own decision, without </w:t>
      </w:r>
      <w:r w:rsidR="0023462E">
        <w:t xml:space="preserve">authority, </w:t>
      </w:r>
      <w:r>
        <w:t>approval or legal advice, for</w:t>
      </w:r>
      <w:r w:rsidR="00685CB6">
        <w:t xml:space="preserve"> </w:t>
      </w:r>
      <w:r w:rsidR="009B524A">
        <w:t xml:space="preserve">the legislative intention.  </w:t>
      </w:r>
      <w:r w:rsidR="00C473DD">
        <w:t>This</w:t>
      </w:r>
      <w:r w:rsidR="009B524A">
        <w:t xml:space="preserve"> </w:t>
      </w:r>
      <w:r w:rsidR="005041D0">
        <w:t>seems to us to be</w:t>
      </w:r>
      <w:r w:rsidR="009B524A">
        <w:t xml:space="preserve"> a</w:t>
      </w:r>
      <w:r w:rsidR="00440A96">
        <w:t xml:space="preserve"> clear</w:t>
      </w:r>
      <w:r w:rsidR="009B524A">
        <w:t xml:space="preserve"> </w:t>
      </w:r>
      <w:r w:rsidR="005041D0">
        <w:t xml:space="preserve">case of </w:t>
      </w:r>
      <w:r w:rsidR="00A8588C">
        <w:t>nonfeasance</w:t>
      </w:r>
      <w:r w:rsidR="005041D0">
        <w:t>,</w:t>
      </w:r>
      <w:r w:rsidR="00A8588C">
        <w:t xml:space="preserve"> or </w:t>
      </w:r>
      <w:r w:rsidR="009B524A">
        <w:t xml:space="preserve">breach of duty: it was </w:t>
      </w:r>
      <w:r w:rsidR="009B524A" w:rsidRPr="009F65D3">
        <w:rPr>
          <w:i/>
        </w:rPr>
        <w:t>not</w:t>
      </w:r>
      <w:r w:rsidR="009B524A">
        <w:t xml:space="preserve"> a </w:t>
      </w:r>
      <w:r w:rsidR="00A8588C">
        <w:t>misfeasance case</w:t>
      </w:r>
      <w:r w:rsidR="009B524A">
        <w:t xml:space="preserve"> </w:t>
      </w:r>
      <w:r w:rsidR="005041D0">
        <w:t>involving the lawful exercise of a power or authority</w:t>
      </w:r>
      <w:r w:rsidR="00CF2775">
        <w:t>,</w:t>
      </w:r>
      <w:r w:rsidR="009B524A">
        <w:t xml:space="preserve"> but with an </w:t>
      </w:r>
      <w:r w:rsidR="005041D0">
        <w:t xml:space="preserve">impure or </w:t>
      </w:r>
      <w:r w:rsidR="009B524A">
        <w:t>improper motive.</w:t>
      </w:r>
      <w:r w:rsidR="009F65D3">
        <w:t xml:space="preserve">  </w:t>
      </w:r>
      <w:r w:rsidR="00E817DE">
        <w:t xml:space="preserve">Mr </w:t>
      </w:r>
      <w:proofErr w:type="spellStart"/>
      <w:r w:rsidR="00E817DE">
        <w:t>Marash’s</w:t>
      </w:r>
      <w:proofErr w:type="spellEnd"/>
      <w:r w:rsidR="009F65D3">
        <w:t xml:space="preserve"> reliance on the passage in </w:t>
      </w:r>
      <w:r w:rsidR="009F65D3" w:rsidRPr="009F65D3">
        <w:rPr>
          <w:i/>
        </w:rPr>
        <w:t>Shum Kwok Sher</w:t>
      </w:r>
      <w:r w:rsidR="009F65D3">
        <w:t xml:space="preserve"> in this re</w:t>
      </w:r>
      <w:r w:rsidR="002566E8">
        <w:t>gard</w:t>
      </w:r>
      <w:r w:rsidR="009F65D3">
        <w:t xml:space="preserve"> </w:t>
      </w:r>
      <w:r w:rsidR="00CF2775">
        <w:t xml:space="preserve">is, with respect, </w:t>
      </w:r>
      <w:r w:rsidR="009F65D3">
        <w:t>misconceived.</w:t>
      </w:r>
    </w:p>
    <w:p w:rsidR="003A6452" w:rsidRDefault="002566E8" w:rsidP="003A6452">
      <w:pPr>
        <w:pStyle w:val="ar-draft"/>
      </w:pPr>
      <w:r>
        <w:t>Further, t</w:t>
      </w:r>
      <w:r w:rsidR="0070564F">
        <w:t xml:space="preserve">he possibility that the appellant </w:t>
      </w:r>
      <w:r w:rsidR="00E817DE">
        <w:t>could</w:t>
      </w:r>
      <w:r w:rsidR="0070564F">
        <w:t xml:space="preserve"> have had a benign motive for breaching his duty, which m</w:t>
      </w:r>
      <w:r w:rsidR="00ED6810">
        <w:t>ight have been</w:t>
      </w:r>
      <w:r w:rsidR="0070564F">
        <w:t xml:space="preserve"> relevant to whether the public’s trust was in fact abused</w:t>
      </w:r>
      <w:r w:rsidR="003A6452">
        <w:t xml:space="preserve"> and whether, therefore, his misconduct was serious enough to warrant conviction</w:t>
      </w:r>
      <w:r w:rsidR="0064484E">
        <w:t>,</w:t>
      </w:r>
      <w:r w:rsidR="0070564F">
        <w:t xml:space="preserve"> is a difficult submission </w:t>
      </w:r>
      <w:r w:rsidR="00ED6810">
        <w:t xml:space="preserve">to advance </w:t>
      </w:r>
      <w:r w:rsidR="0070564F">
        <w:t>in the absence of the appellant’s evidence.</w:t>
      </w:r>
      <w:r w:rsidR="00ED6810">
        <w:t xml:space="preserve">  There was no explanation from him as to why he decided to issue the non-enforcement instruction.  The contention that it might have been because of his desire for the “smooth implementation” of the</w:t>
      </w:r>
      <w:r w:rsidR="003A6452">
        <w:t xml:space="preserve"> law so as to appease industry representatives was rejected by the judge as </w:t>
      </w:r>
      <w:r w:rsidR="0023462E">
        <w:t>constituting</w:t>
      </w:r>
      <w:r w:rsidR="003A6452">
        <w:t xml:space="preserve"> a reasonable excuse or justification.  That was hardly surprising given the i</w:t>
      </w:r>
      <w:r w:rsidR="0058166D">
        <w:t>mportant i</w:t>
      </w:r>
      <w:r w:rsidR="003A6452">
        <w:t xml:space="preserve">ssue of public safety that was engaged when vessels were not required </w:t>
      </w:r>
      <w:r w:rsidR="0058166D">
        <w:t xml:space="preserve">by the relevant authority </w:t>
      </w:r>
      <w:r w:rsidR="003A6452">
        <w:t xml:space="preserve">to comply with the </w:t>
      </w:r>
      <w:r>
        <w:t>Regulation</w:t>
      </w:r>
      <w:r w:rsidR="003A6452">
        <w:t xml:space="preserve">.  Members of the public, who would </w:t>
      </w:r>
      <w:r w:rsidR="00C473DD">
        <w:t xml:space="preserve">be unaware whether the vessel </w:t>
      </w:r>
      <w:r w:rsidR="007E67A3">
        <w:t>on which they were travelling</w:t>
      </w:r>
      <w:r w:rsidR="00C473DD">
        <w:t xml:space="preserve"> </w:t>
      </w:r>
      <w:r w:rsidR="00C12D46">
        <w:t xml:space="preserve">in fact </w:t>
      </w:r>
      <w:r w:rsidR="00C473DD">
        <w:t xml:space="preserve">complied with </w:t>
      </w:r>
      <w:r w:rsidR="0023462E">
        <w:t>legal safety requirements</w:t>
      </w:r>
      <w:r w:rsidR="00440A96">
        <w:t>,</w:t>
      </w:r>
      <w:r w:rsidR="00C473DD">
        <w:t xml:space="preserve"> </w:t>
      </w:r>
      <w:r w:rsidR="00C473DD">
        <w:lastRenderedPageBreak/>
        <w:t>wer</w:t>
      </w:r>
      <w:r w:rsidR="00C12D46">
        <w:t>e entitled to trust</w:t>
      </w:r>
      <w:r w:rsidR="003A6452">
        <w:t xml:space="preserve"> that a </w:t>
      </w:r>
      <w:r>
        <w:t>Regulation</w:t>
      </w:r>
      <w:r w:rsidR="003A6452">
        <w:t xml:space="preserve"> designed to protect them</w:t>
      </w:r>
      <w:r w:rsidR="001F6B07">
        <w:t xml:space="preserve"> and their children</w:t>
      </w:r>
      <w:r w:rsidR="003A6452">
        <w:t xml:space="preserve"> at sea was being properly implemented</w:t>
      </w:r>
      <w:r w:rsidR="00C473DD">
        <w:t xml:space="preserve"> </w:t>
      </w:r>
      <w:r w:rsidR="00440A96">
        <w:t xml:space="preserve">and overseen </w:t>
      </w:r>
      <w:r w:rsidR="00C473DD">
        <w:t>by the officials concerned</w:t>
      </w:r>
      <w:r w:rsidR="003A6452">
        <w:t>.</w:t>
      </w:r>
    </w:p>
    <w:p w:rsidR="00C473DD" w:rsidRDefault="00C473DD" w:rsidP="003A6452">
      <w:pPr>
        <w:pStyle w:val="ar-draft"/>
      </w:pPr>
      <w:r>
        <w:t xml:space="preserve">We </w:t>
      </w:r>
      <w:r w:rsidR="002566E8">
        <w:t>do not</w:t>
      </w:r>
      <w:r w:rsidR="005E5E54">
        <w:t xml:space="preserve">, therefore, </w:t>
      </w:r>
      <w:r>
        <w:t xml:space="preserve">accept the premise on which Ground 7 is </w:t>
      </w:r>
      <w:r w:rsidR="00440A96">
        <w:t>found</w:t>
      </w:r>
      <w:r>
        <w:t>ed</w:t>
      </w:r>
      <w:r w:rsidR="00E817DE">
        <w:t xml:space="preserve"> and reject the submission</w:t>
      </w:r>
      <w:r>
        <w:t xml:space="preserve">.  </w:t>
      </w:r>
      <w:r w:rsidR="005E5E54">
        <w:t>Accordingly, we turn</w:t>
      </w:r>
      <w:r>
        <w:t xml:space="preserve"> to Ground 4, which</w:t>
      </w:r>
      <w:r w:rsidR="00440A96">
        <w:t xml:space="preserve"> in </w:t>
      </w:r>
      <w:r w:rsidR="00E74B2E">
        <w:t xml:space="preserve">a </w:t>
      </w:r>
      <w:r w:rsidR="00440A96">
        <w:t>similar vein com</w:t>
      </w:r>
      <w:r w:rsidR="002566E8">
        <w:t xml:space="preserve">plains that the judge failed </w:t>
      </w:r>
      <w:r w:rsidR="00440A96">
        <w:t>properly</w:t>
      </w:r>
      <w:r w:rsidR="002566E8">
        <w:t xml:space="preserve"> to</w:t>
      </w:r>
      <w:r w:rsidR="00440A96">
        <w:t xml:space="preserve"> consider the appellant’s state of mind at the time he gave the non-enforcement instruction</w:t>
      </w:r>
      <w:r w:rsidR="00572D91">
        <w:t xml:space="preserve"> and whether he </w:t>
      </w:r>
      <w:r w:rsidR="000812DC">
        <w:t xml:space="preserve">subjectively </w:t>
      </w:r>
      <w:r w:rsidR="00572D91">
        <w:t>appreciated</w:t>
      </w:r>
      <w:r w:rsidR="000812DC">
        <w:t xml:space="preserve"> the </w:t>
      </w:r>
      <w:r w:rsidR="00C3388A">
        <w:t xml:space="preserve">seriousness of the </w:t>
      </w:r>
      <w:r w:rsidR="000812DC">
        <w:t>consequences of his actions</w:t>
      </w:r>
      <w:r w:rsidR="00440A96">
        <w:t xml:space="preserve">.  Again, there was no </w:t>
      </w:r>
      <w:r w:rsidR="002566E8">
        <w:t xml:space="preserve">evidence or </w:t>
      </w:r>
      <w:r w:rsidR="00440A96">
        <w:t xml:space="preserve">explanation from the appellant as to why </w:t>
      </w:r>
      <w:r w:rsidR="00D80976">
        <w:t xml:space="preserve">he </w:t>
      </w:r>
      <w:r w:rsidR="00440A96">
        <w:t>did what he did.</w:t>
      </w:r>
      <w:r w:rsidR="00572D91">
        <w:t xml:space="preserve">  As </w:t>
      </w:r>
      <w:r w:rsidR="00E63EEE">
        <w:t>for</w:t>
      </w:r>
      <w:r w:rsidR="00572D91">
        <w:t xml:space="preserve"> the consequences (or </w:t>
      </w:r>
      <w:r w:rsidR="00C3388A">
        <w:t xml:space="preserve">the </w:t>
      </w:r>
      <w:r w:rsidR="00572D91">
        <w:t xml:space="preserve">lack of them) of what </w:t>
      </w:r>
      <w:r w:rsidR="002566E8">
        <w:t>he</w:t>
      </w:r>
      <w:r w:rsidR="00572D91">
        <w:t xml:space="preserve"> did, and his subjective view of those consequences,</w:t>
      </w:r>
      <w:r w:rsidR="00D80976">
        <w:t xml:space="preserve"> assuming that is a relevant consideration,</w:t>
      </w:r>
      <w:r w:rsidR="00572D91">
        <w:t xml:space="preserve"> again there was no evidence</w:t>
      </w:r>
      <w:r w:rsidR="002566E8">
        <w:t xml:space="preserve"> or explanation</w:t>
      </w:r>
      <w:r w:rsidR="00572D91">
        <w:t xml:space="preserve"> from the appellant as to what he believed as to the consequences of the non-enforcement instruction.</w:t>
      </w:r>
    </w:p>
    <w:p w:rsidR="000812DC" w:rsidRDefault="000812DC" w:rsidP="003A6452">
      <w:pPr>
        <w:pStyle w:val="ar-draft"/>
      </w:pPr>
      <w:r>
        <w:t xml:space="preserve">This argument, as Mr Bruce points out, </w:t>
      </w:r>
      <w:r w:rsidR="00B06F73">
        <w:t xml:space="preserve">is </w:t>
      </w:r>
      <w:r>
        <w:t xml:space="preserve">similar to that advanced before the Court of Appeal of England and Wales in </w:t>
      </w:r>
      <w:r w:rsidRPr="000812DC">
        <w:rPr>
          <w:i/>
        </w:rPr>
        <w:t>Chapman</w:t>
      </w:r>
      <w:r>
        <w:rPr>
          <w:rStyle w:val="FootnoteReference"/>
        </w:rPr>
        <w:footnoteReference w:id="37"/>
      </w:r>
      <w:r>
        <w:t xml:space="preserve">, </w:t>
      </w:r>
      <w:r w:rsidRPr="000812DC">
        <w:t xml:space="preserve">where it was </w:t>
      </w:r>
      <w:r w:rsidR="00A04F2E">
        <w:t>submitted</w:t>
      </w:r>
      <w:r>
        <w:rPr>
          <w:i/>
        </w:rPr>
        <w:t xml:space="preserve"> </w:t>
      </w:r>
      <w:r>
        <w:t>that the judge’s directions were deficient “in that they did not require the jury to find that each (appellant) knew or intended that the misconduct of the holder of the public office should be so serious as to amount to an abuse of the public’s trust in the office holder”.  In response</w:t>
      </w:r>
      <w:r w:rsidR="00F33D07">
        <w:t xml:space="preserve"> to that argument</w:t>
      </w:r>
      <w:r>
        <w:t xml:space="preserve">, the prosecution </w:t>
      </w:r>
      <w:r w:rsidR="007E67A3">
        <w:t xml:space="preserve">in </w:t>
      </w:r>
      <w:r w:rsidR="007E67A3" w:rsidRPr="007E67A3">
        <w:rPr>
          <w:i/>
        </w:rPr>
        <w:t>Chapman</w:t>
      </w:r>
      <w:r w:rsidR="007E67A3">
        <w:t xml:space="preserve"> </w:t>
      </w:r>
      <w:r>
        <w:t>submitted:</w:t>
      </w:r>
      <w:r w:rsidR="00B164FD">
        <w:rPr>
          <w:rStyle w:val="FootnoteReference"/>
        </w:rPr>
        <w:footnoteReference w:id="38"/>
      </w:r>
    </w:p>
    <w:p w:rsidR="000812DC" w:rsidRDefault="000812DC" w:rsidP="006C4304">
      <w:pPr>
        <w:pStyle w:val="ar-quotation"/>
      </w:pPr>
      <w:r>
        <w:t>“… for the holder of a public office to be convicted of misconduct in a public office</w:t>
      </w:r>
      <w:r w:rsidR="00B164FD">
        <w:t xml:space="preserve">, he must know of the facts and circumstances which would lead the right-thinking member of the public to conclude that the misconduct was such as is required by the third element set out in </w:t>
      </w:r>
      <w:r w:rsidR="00B164FD" w:rsidRPr="00B164FD">
        <w:rPr>
          <w:i/>
        </w:rPr>
        <w:t>Attorney General’s Reference (No 3 of 2003)</w:t>
      </w:r>
      <w:r w:rsidR="00B164FD">
        <w:t xml:space="preserve">.  However, it was not necessary for the prosecution to prove that the holder of the public office </w:t>
      </w:r>
      <w:r w:rsidR="00B164FD">
        <w:lastRenderedPageBreak/>
        <w:t>himself reached that conclusion. It was sufficient to prove that he had the means of knowledge available to him to make the necessary assessment of the seriousness of the misconduct; the assessment was for the jury.”</w:t>
      </w:r>
    </w:p>
    <w:p w:rsidR="00B164FD" w:rsidRDefault="00B164FD" w:rsidP="000812DC">
      <w:pPr>
        <w:pStyle w:val="ar-draft"/>
        <w:numPr>
          <w:ilvl w:val="0"/>
          <w:numId w:val="0"/>
        </w:numPr>
      </w:pPr>
      <w:r>
        <w:t>The Court agreed with the prosecution’s submission</w:t>
      </w:r>
      <w:r w:rsidR="007E67A3">
        <w:rPr>
          <w:rStyle w:val="FootnoteReference"/>
        </w:rPr>
        <w:footnoteReference w:id="39"/>
      </w:r>
      <w:r>
        <w:t xml:space="preserve">.  This approach was </w:t>
      </w:r>
      <w:r w:rsidR="00836D15">
        <w:t xml:space="preserve">recently </w:t>
      </w:r>
      <w:r>
        <w:t xml:space="preserve">approved by this Court in </w:t>
      </w:r>
      <w:r w:rsidRPr="00B164FD">
        <w:rPr>
          <w:i/>
        </w:rPr>
        <w:t xml:space="preserve">HKSAR v Tsang Yam </w:t>
      </w:r>
      <w:proofErr w:type="spellStart"/>
      <w:r w:rsidRPr="00B164FD">
        <w:rPr>
          <w:i/>
        </w:rPr>
        <w:t>Kuen</w:t>
      </w:r>
      <w:proofErr w:type="spellEnd"/>
      <w:r w:rsidRPr="00B164FD">
        <w:rPr>
          <w:i/>
        </w:rPr>
        <w:t>, Donald</w:t>
      </w:r>
      <w:r>
        <w:rPr>
          <w:rStyle w:val="FootnoteReference"/>
        </w:rPr>
        <w:footnoteReference w:id="40"/>
      </w:r>
      <w:r>
        <w:t>.</w:t>
      </w:r>
    </w:p>
    <w:p w:rsidR="00836D15" w:rsidRDefault="00836D15" w:rsidP="00836D15">
      <w:pPr>
        <w:pStyle w:val="ar-draft"/>
      </w:pPr>
      <w:r>
        <w:t xml:space="preserve">In our judgment, the appellant, as </w:t>
      </w:r>
      <w:r w:rsidR="00E74B2E">
        <w:t xml:space="preserve">General Manager and </w:t>
      </w:r>
      <w:r>
        <w:t>Principal Surveyor of Ships of the LVSB of the Marine Department, would plainly have known of the facts and circumstances</w:t>
      </w:r>
      <w:r w:rsidR="0042367B">
        <w:t xml:space="preserve"> of his non-compliance with </w:t>
      </w:r>
      <w:r w:rsidR="00AB3C21">
        <w:t xml:space="preserve">the provision relating to </w:t>
      </w:r>
      <w:r w:rsidR="001F6B07">
        <w:t>children’s lifejackets</w:t>
      </w:r>
      <w:r w:rsidR="00F33D07">
        <w:t>,</w:t>
      </w:r>
      <w:r w:rsidR="0042367B">
        <w:t xml:space="preserve"> </w:t>
      </w:r>
      <w:r>
        <w:t xml:space="preserve">which would </w:t>
      </w:r>
      <w:r w:rsidR="00620209">
        <w:t xml:space="preserve">have </w:t>
      </w:r>
      <w:r>
        <w:t>led a right</w:t>
      </w:r>
      <w:r w:rsidR="006C4304">
        <w:noBreakHyphen/>
      </w:r>
      <w:r>
        <w:t>thinking member of the public to conclude that his misconduct was serious.</w:t>
      </w:r>
      <w:r w:rsidR="008E071D">
        <w:t xml:space="preserve">  If there were reasons justifying in his mind his non-compliance with the law</w:t>
      </w:r>
      <w:r w:rsidR="00E817DE">
        <w:t xml:space="preserve"> and the </w:t>
      </w:r>
      <w:r w:rsidR="001F6B07">
        <w:t xml:space="preserve">supposedly insignificant </w:t>
      </w:r>
      <w:r w:rsidR="00E817DE">
        <w:t>consequences thereof</w:t>
      </w:r>
      <w:r w:rsidR="008E071D">
        <w:t xml:space="preserve">, without </w:t>
      </w:r>
      <w:r w:rsidR="008F0387">
        <w:t xml:space="preserve">any </w:t>
      </w:r>
      <w:r w:rsidR="008E071D">
        <w:t>authority or legal advice, the appellant did not give them.</w:t>
      </w:r>
    </w:p>
    <w:p w:rsidR="00EF14C6" w:rsidRDefault="00EF14C6" w:rsidP="00836D15">
      <w:pPr>
        <w:pStyle w:val="ar-draft"/>
      </w:pPr>
      <w:r>
        <w:t>As for the question of “wilfulness”, the word in this co</w:t>
      </w:r>
      <w:r w:rsidR="00DB4096">
        <w:t>ntext means, as</w:t>
      </w:r>
      <w:r w:rsidR="0099169E">
        <w:t xml:space="preserve"> the </w:t>
      </w:r>
      <w:r w:rsidR="00DB4096">
        <w:t>judge indicated, “deliberate”</w:t>
      </w:r>
      <w:r w:rsidR="00DB4096">
        <w:rPr>
          <w:rStyle w:val="FootnoteReference"/>
        </w:rPr>
        <w:footnoteReference w:id="41"/>
      </w:r>
      <w:r w:rsidR="00DB4096">
        <w:t>.  The judge went on to find that the appellant could not have forgotten to rescind the non-enforcement instruction when he came into office, nor was he inadvertent</w:t>
      </w:r>
      <w:r w:rsidR="00E817DE">
        <w:t xml:space="preserve"> </w:t>
      </w:r>
      <w:r w:rsidR="00F33D07">
        <w:t>in not doing so</w:t>
      </w:r>
      <w:r w:rsidR="00DB4096">
        <w:rPr>
          <w:rStyle w:val="FootnoteReference"/>
        </w:rPr>
        <w:footnoteReference w:id="42"/>
      </w:r>
      <w:r w:rsidR="00DB4096">
        <w:t>.  Furthermore, he found on the basis of the witnesses’ evidence that the appellant had himself issued the non-enforcement instruction</w:t>
      </w:r>
      <w:r w:rsidR="00DB4096">
        <w:rPr>
          <w:rStyle w:val="FootnoteReference"/>
        </w:rPr>
        <w:footnoteReference w:id="43"/>
      </w:r>
      <w:r w:rsidR="00DB4096">
        <w:t>.  There is nothing in this point.</w:t>
      </w:r>
    </w:p>
    <w:p w:rsidR="00A8588C" w:rsidRDefault="00A8588C" w:rsidP="00836D15">
      <w:pPr>
        <w:pStyle w:val="ar-draft"/>
      </w:pPr>
      <w:r>
        <w:t xml:space="preserve">For these reasons, we reject the argument in respect of </w:t>
      </w:r>
      <w:r w:rsidR="00AF52B2">
        <w:t>G</w:t>
      </w:r>
      <w:r>
        <w:t xml:space="preserve">round </w:t>
      </w:r>
      <w:r w:rsidR="00C16037">
        <w:t>‍</w:t>
      </w:r>
      <w:r>
        <w:t xml:space="preserve">4.  </w:t>
      </w:r>
      <w:r w:rsidR="008F0387">
        <w:t>In our judgment, t</w:t>
      </w:r>
      <w:r>
        <w:t>here was</w:t>
      </w:r>
      <w:r w:rsidR="00E74B2E">
        <w:t xml:space="preserve"> sufficient</w:t>
      </w:r>
      <w:r>
        <w:t xml:space="preserve"> evidence to justify the </w:t>
      </w:r>
      <w:r>
        <w:lastRenderedPageBreak/>
        <w:t>finding by the judge that the appellant’s nonfeasance misconduct was both wilful and serious and, therefore, culpable.</w:t>
      </w:r>
    </w:p>
    <w:p w:rsidR="00817ABD" w:rsidRDefault="00A8588C" w:rsidP="00836D15">
      <w:pPr>
        <w:pStyle w:val="ar-draft"/>
      </w:pPr>
      <w:r>
        <w:t>We now turn</w:t>
      </w:r>
      <w:r w:rsidR="0099169E">
        <w:t xml:space="preserve"> to Grounds 8 and 9, which aver that the </w:t>
      </w:r>
      <w:r w:rsidR="00D65BF2">
        <w:t xml:space="preserve">state of the </w:t>
      </w:r>
      <w:r w:rsidR="0099169E">
        <w:t>evidence was su</w:t>
      </w:r>
      <w:r w:rsidR="00D65BF2">
        <w:t>ch that either the appellant would not have regarded his own misconduct as unreasonable and thereby serious</w:t>
      </w:r>
      <w:r w:rsidR="00E74B2E">
        <w:t>,</w:t>
      </w:r>
      <w:r w:rsidR="00D65BF2">
        <w:t xml:space="preserve"> or it would have afforded him a reasonable excuse </w:t>
      </w:r>
      <w:r w:rsidR="00E74B2E">
        <w:t xml:space="preserve">or justification </w:t>
      </w:r>
      <w:r w:rsidR="00D65BF2">
        <w:t xml:space="preserve">for doing what he did.  In particular, the appellant relies on evidence that lifejackets used on vessels in Hong Kong were suitable for both adults and children and </w:t>
      </w:r>
      <w:r w:rsidR="00643456">
        <w:t xml:space="preserve">the proposition </w:t>
      </w:r>
      <w:r w:rsidR="00D65BF2">
        <w:t xml:space="preserve">that </w:t>
      </w:r>
      <w:r w:rsidR="00643456">
        <w:t xml:space="preserve">the new requirements </w:t>
      </w:r>
      <w:r w:rsidR="00D65BF2">
        <w:t xml:space="preserve">made little practical difference to the issue of safety when compared with the </w:t>
      </w:r>
      <w:r w:rsidR="00643456">
        <w:t>life-saving equipment and appliances required under the old law</w:t>
      </w:r>
      <w:r w:rsidR="00D65BF2">
        <w:t>.</w:t>
      </w:r>
    </w:p>
    <w:p w:rsidR="00817ABD" w:rsidRDefault="00CD7D6E" w:rsidP="00836D15">
      <w:pPr>
        <w:pStyle w:val="ar-draft"/>
      </w:pPr>
      <w:r>
        <w:t>We have already made the point that the appellant did not give evidence at trial</w:t>
      </w:r>
      <w:r w:rsidR="002B54CF">
        <w:t xml:space="preserve"> nor did he offer any explanation under caution at interview</w:t>
      </w:r>
      <w:r w:rsidR="002B54CF">
        <w:rPr>
          <w:rStyle w:val="FootnoteReference"/>
        </w:rPr>
        <w:footnoteReference w:id="44"/>
      </w:r>
      <w:r w:rsidR="002B54CF">
        <w:t>.  That is in no way a criticism of choices</w:t>
      </w:r>
      <w:r w:rsidR="00834B00">
        <w:t xml:space="preserve"> he was perfectly entitled to make</w:t>
      </w:r>
      <w:r w:rsidR="002B54CF">
        <w:t>.  Nor are we to be taken as saying that a reasonable excuse can only be mounted by a defendant giving or calling evidence.  A reasonable excuse could emerge from prosecution witnesses and be attributable to the defendant on trial, or it might emerge from the particular facts and circumstances in the case</w:t>
      </w:r>
      <w:r w:rsidR="00834B00">
        <w:t xml:space="preserve"> or from answers </w:t>
      </w:r>
      <w:r w:rsidR="00E74B2E">
        <w:t xml:space="preserve">given </w:t>
      </w:r>
      <w:r w:rsidR="00834B00">
        <w:t>under caution</w:t>
      </w:r>
      <w:r w:rsidR="002B54CF">
        <w:t xml:space="preserve">.  However, in this case, the appellant </w:t>
      </w:r>
      <w:r w:rsidR="00E74B2E">
        <w:t>never explained</w:t>
      </w:r>
      <w:r w:rsidR="002B54CF">
        <w:t xml:space="preserve"> what was in his mind and why he d</w:t>
      </w:r>
      <w:r w:rsidR="00834B00">
        <w:t xml:space="preserve">eliberately decided not to enforce the law.  Indeed, he did not even accept that he had given the non-enforcement instruction: the case put on his behalf was that </w:t>
      </w:r>
      <w:r w:rsidR="00834B00" w:rsidRPr="007439B5">
        <w:rPr>
          <w:i/>
        </w:rPr>
        <w:t>if</w:t>
      </w:r>
      <w:r w:rsidR="00834B00">
        <w:t xml:space="preserve"> he had issued the instruction and failed to rescind it, his conduct was not so serious as to warrant criminal sanction</w:t>
      </w:r>
      <w:r w:rsidR="00834B00">
        <w:rPr>
          <w:rStyle w:val="FootnoteReference"/>
        </w:rPr>
        <w:footnoteReference w:id="45"/>
      </w:r>
      <w:r w:rsidR="00834B00">
        <w:t>.</w:t>
      </w:r>
    </w:p>
    <w:p w:rsidR="0079245E" w:rsidRDefault="0079245E" w:rsidP="00836D15">
      <w:pPr>
        <w:pStyle w:val="ar-draft"/>
      </w:pPr>
      <w:r>
        <w:lastRenderedPageBreak/>
        <w:t>It is clear that the judge did nevertheless consider the issue of reasonable excuse</w:t>
      </w:r>
      <w:r w:rsidR="00C3388A">
        <w:t xml:space="preserve"> or justification</w:t>
      </w:r>
      <w:r>
        <w:t xml:space="preserve">.  </w:t>
      </w:r>
      <w:r w:rsidR="00A8588C">
        <w:t>The evidence showed that t</w:t>
      </w:r>
      <w:r>
        <w:t>he appellant did not consult his superior or seek legal advice</w:t>
      </w:r>
      <w:r w:rsidR="00B76E3F">
        <w:rPr>
          <w:rStyle w:val="FootnoteReference"/>
        </w:rPr>
        <w:footnoteReference w:id="46"/>
      </w:r>
      <w:r>
        <w:t>, when he must have known that he had no power himself to exempt vessels from compliance with the law</w:t>
      </w:r>
      <w:r w:rsidR="00B76E3F">
        <w:rPr>
          <w:rStyle w:val="FootnoteReference"/>
        </w:rPr>
        <w:footnoteReference w:id="47"/>
      </w:r>
      <w:r>
        <w:t>, although the Director of Marine did have such power</w:t>
      </w:r>
      <w:r>
        <w:rPr>
          <w:rStyle w:val="FootnoteReference"/>
        </w:rPr>
        <w:footnoteReference w:id="48"/>
      </w:r>
      <w:r>
        <w:t xml:space="preserve">; </w:t>
      </w:r>
      <w:r w:rsidR="00B76E3F">
        <w:t>furthermore, his immediate superior, PW2, was not aware of the non-enforcement instruction, nor did the appellant ever bring the subject up with him</w:t>
      </w:r>
      <w:r w:rsidR="00B76E3F">
        <w:rPr>
          <w:rStyle w:val="FootnoteReference"/>
        </w:rPr>
        <w:footnoteReference w:id="49"/>
      </w:r>
      <w:r w:rsidR="00B76E3F">
        <w:t xml:space="preserve">.  The </w:t>
      </w:r>
      <w:r>
        <w:t xml:space="preserve">instruction </w:t>
      </w:r>
      <w:r w:rsidR="00B76E3F">
        <w:t xml:space="preserve">was neither </w:t>
      </w:r>
      <w:r>
        <w:t xml:space="preserve">limited </w:t>
      </w:r>
      <w:r w:rsidR="00B76E3F">
        <w:t>n</w:t>
      </w:r>
      <w:r>
        <w:t>or short</w:t>
      </w:r>
      <w:r w:rsidR="00FC121E">
        <w:noBreakHyphen/>
      </w:r>
      <w:r>
        <w:t>term</w:t>
      </w:r>
      <w:r>
        <w:rPr>
          <w:rStyle w:val="FootnoteReference"/>
        </w:rPr>
        <w:footnoteReference w:id="50"/>
      </w:r>
      <w:r>
        <w:t>.  Indeed</w:t>
      </w:r>
      <w:r w:rsidR="00B76E3F">
        <w:t>,</w:t>
      </w:r>
      <w:r>
        <w:t xml:space="preserve"> it was still in existence when he left office</w:t>
      </w:r>
      <w:r w:rsidR="00B84776">
        <w:t xml:space="preserve"> and remained in existence until the aftermath of the tragic collision off </w:t>
      </w:r>
      <w:proofErr w:type="spellStart"/>
      <w:r w:rsidR="00B84776">
        <w:t>Lamma</w:t>
      </w:r>
      <w:proofErr w:type="spellEnd"/>
      <w:r w:rsidR="00B84776">
        <w:t xml:space="preserve"> Island on 1 </w:t>
      </w:r>
      <w:r w:rsidR="00666E6F">
        <w:t>‍</w:t>
      </w:r>
      <w:r w:rsidR="00B84776">
        <w:t>October 2012.</w:t>
      </w:r>
    </w:p>
    <w:p w:rsidR="00A8588C" w:rsidRDefault="007226B8" w:rsidP="00836D15">
      <w:pPr>
        <w:pStyle w:val="ar-draft"/>
      </w:pPr>
      <w:r>
        <w:t>It is hardly surprising that</w:t>
      </w:r>
      <w:r w:rsidR="00A8588C">
        <w:t xml:space="preserve"> the judge did not accept that if the non-enforcement instruction was given to </w:t>
      </w:r>
      <w:r w:rsidR="008F0387">
        <w:t xml:space="preserve">appease industry representatives and/or </w:t>
      </w:r>
      <w:r w:rsidR="00A8588C">
        <w:t xml:space="preserve">ensure the </w:t>
      </w:r>
      <w:r w:rsidR="00AE5E68">
        <w:t>“</w:t>
      </w:r>
      <w:r w:rsidR="00A8588C">
        <w:t>smooth implementation</w:t>
      </w:r>
      <w:r w:rsidR="00AE5E68">
        <w:t>”</w:t>
      </w:r>
      <w:r w:rsidR="00A8588C">
        <w:t xml:space="preserve"> of the new law</w:t>
      </w:r>
      <w:r w:rsidR="00D647E9">
        <w:t>, it would have amounted to a reasonable excuse</w:t>
      </w:r>
      <w:r w:rsidR="00E74B2E">
        <w:t xml:space="preserve"> or justification</w:t>
      </w:r>
      <w:r w:rsidR="00D647E9">
        <w:t>.  We agree</w:t>
      </w:r>
      <w:r>
        <w:t xml:space="preserve"> with him</w:t>
      </w:r>
      <w:r w:rsidR="00D647E9">
        <w:t xml:space="preserve">.  Appeasing the industry for such a long period of time </w:t>
      </w:r>
      <w:r w:rsidR="0058166D">
        <w:t xml:space="preserve">also </w:t>
      </w:r>
      <w:r w:rsidR="00D647E9">
        <w:t>smacks of departmental convenience, while the so</w:t>
      </w:r>
      <w:r w:rsidR="00C16037">
        <w:noBreakHyphen/>
      </w:r>
      <w:r w:rsidR="00D647E9">
        <w:t>called “smooth implementation” of the Regulation does not really make sense if the regulation was not in fact being implemented.  Neither reason can amount to an excuse, let alone a reasonable one.</w:t>
      </w:r>
    </w:p>
    <w:p w:rsidR="003D50E3" w:rsidRDefault="00B76E3F" w:rsidP="00836D15">
      <w:pPr>
        <w:pStyle w:val="ar-draft"/>
      </w:pPr>
      <w:r>
        <w:t xml:space="preserve">On the question of whether there was any </w:t>
      </w:r>
      <w:r w:rsidR="000E67C3">
        <w:t xml:space="preserve">real </w:t>
      </w:r>
      <w:r>
        <w:t xml:space="preserve">difference in terms of safety between the old law and the new, the judge </w:t>
      </w:r>
      <w:r w:rsidR="00E817DE">
        <w:t xml:space="preserve">was alive to the argument but </w:t>
      </w:r>
      <w:r>
        <w:t xml:space="preserve">found that whatever the position, it was not for the appellant to </w:t>
      </w:r>
      <w:r w:rsidR="000E67C3">
        <w:t xml:space="preserve">substitute his own view </w:t>
      </w:r>
      <w:r w:rsidR="00E74B2E">
        <w:t xml:space="preserve">of the matter </w:t>
      </w:r>
      <w:r w:rsidR="000E67C3">
        <w:t>for the</w:t>
      </w:r>
      <w:r>
        <w:t xml:space="preserve"> decision of the legislature, </w:t>
      </w:r>
      <w:r>
        <w:lastRenderedPageBreak/>
        <w:t xml:space="preserve">assuming </w:t>
      </w:r>
      <w:r w:rsidR="00D647E9">
        <w:t>it</w:t>
      </w:r>
      <w:r>
        <w:t xml:space="preserve"> was </w:t>
      </w:r>
      <w:r w:rsidR="000E67C3">
        <w:t xml:space="preserve">indeed </w:t>
      </w:r>
      <w:r>
        <w:t xml:space="preserve">his view, </w:t>
      </w:r>
      <w:r w:rsidR="00D647E9">
        <w:t>given that</w:t>
      </w:r>
      <w:r>
        <w:t xml:space="preserve"> he did not testify.</w:t>
      </w:r>
      <w:r w:rsidR="003D50E3">
        <w:t xml:space="preserve">  In any event, it seems to us that there is a</w:t>
      </w:r>
      <w:r w:rsidR="00134A59">
        <w:t>n obvious and</w:t>
      </w:r>
      <w:r w:rsidR="003D50E3">
        <w:t xml:space="preserve"> material difference between </w:t>
      </w:r>
      <w:r w:rsidR="00E41B30">
        <w:t>a</w:t>
      </w:r>
      <w:r w:rsidR="003D50E3">
        <w:t xml:space="preserve"> requirement </w:t>
      </w:r>
      <w:r w:rsidR="00E41B30">
        <w:t>for</w:t>
      </w:r>
      <w:r w:rsidR="003D50E3">
        <w:t xml:space="preserve"> the provision of lifejackets for 40% of the number of </w:t>
      </w:r>
      <w:r w:rsidR="00E74B2E">
        <w:t xml:space="preserve">maximum </w:t>
      </w:r>
      <w:r w:rsidR="003D50E3">
        <w:t xml:space="preserve">passengers </w:t>
      </w:r>
      <w:r w:rsidR="00E74B2E">
        <w:t xml:space="preserve">on board </w:t>
      </w:r>
      <w:r w:rsidR="00E41B30">
        <w:t>w</w:t>
      </w:r>
      <w:r w:rsidR="001F6B07">
        <w:t>ith no provision for children’s lifejackets</w:t>
      </w:r>
      <w:r w:rsidR="003D50E3">
        <w:t xml:space="preserve"> </w:t>
      </w:r>
      <w:r w:rsidR="00E41B30">
        <w:t xml:space="preserve">under the old law, </w:t>
      </w:r>
      <w:r w:rsidR="003D50E3">
        <w:t xml:space="preserve">and the provision of 100% adult lifejackets </w:t>
      </w:r>
      <w:r w:rsidR="003D50E3" w:rsidRPr="00D647E9">
        <w:rPr>
          <w:i/>
        </w:rPr>
        <w:t>plus</w:t>
      </w:r>
      <w:r w:rsidR="003D50E3">
        <w:t xml:space="preserve"> 5% children’s lifejackets under the new law, regardless of the merits of the argument as to whether certain types of adult lifejacket </w:t>
      </w:r>
      <w:r w:rsidR="001F6B07">
        <w:t>might be</w:t>
      </w:r>
      <w:r w:rsidR="003D50E3">
        <w:t xml:space="preserve"> suitable for children as well, or whether other appliances and equipment under the old law, such as life rafts and buoys, were as effective as lifejackets.  As the judge said of these arguments:</w:t>
      </w:r>
      <w:r w:rsidR="003D50E3">
        <w:rPr>
          <w:rStyle w:val="FootnoteReference"/>
        </w:rPr>
        <w:footnoteReference w:id="51"/>
      </w:r>
    </w:p>
    <w:p w:rsidR="00B76E3F" w:rsidRDefault="003D50E3" w:rsidP="00DA78E7">
      <w:pPr>
        <w:pStyle w:val="ar-quotation"/>
      </w:pPr>
      <w:r>
        <w:t>“… I find that it is not for the defendant to supplant the decision of the legislature and decide himself that the new lifejacket requirements were just the same as the old ones, that it would not make any difference to safety, and order that the new law not be implemented rega</w:t>
      </w:r>
      <w:r w:rsidR="00DA78E7">
        <w:t>rding certain types of vessel.”</w:t>
      </w:r>
    </w:p>
    <w:p w:rsidR="00B84776" w:rsidRDefault="00B84776" w:rsidP="00836D15">
      <w:pPr>
        <w:pStyle w:val="ar-draft"/>
      </w:pPr>
      <w:r>
        <w:t>In our judgment, we see no valid basis for impugning the judge’s finding that there was no reasonable excuse or justification for issuing and failing to rescind the non-enforcement instruction.</w:t>
      </w:r>
    </w:p>
    <w:p w:rsidR="00B84776" w:rsidRDefault="00B84776" w:rsidP="00836D15">
      <w:pPr>
        <w:pStyle w:val="ar-draft"/>
      </w:pPr>
      <w:r>
        <w:t>Accordingly, we find no merit in the grounds of appeal advanced and the appeal against conviction must be dismissed.</w:t>
      </w:r>
      <w:r w:rsidR="00B27C72">
        <w:t xml:space="preserve">  We now turn to the question of sentence.</w:t>
      </w:r>
    </w:p>
    <w:p w:rsidR="00D12CD3" w:rsidRPr="00BD3B25" w:rsidRDefault="00D12CD3" w:rsidP="00D12CD3">
      <w:pPr>
        <w:pStyle w:val="ar-heading1"/>
      </w:pPr>
      <w:r w:rsidRPr="00BD3B25">
        <w:t xml:space="preserve">Reasons for </w:t>
      </w:r>
      <w:r>
        <w:t>s</w:t>
      </w:r>
      <w:r w:rsidRPr="00BD3B25">
        <w:t>entence</w:t>
      </w:r>
    </w:p>
    <w:p w:rsidR="00D12CD3" w:rsidRPr="00BD3B25" w:rsidRDefault="00D12CD3" w:rsidP="00D12CD3">
      <w:pPr>
        <w:pStyle w:val="ar-draft"/>
      </w:pPr>
      <w:r w:rsidRPr="00BD3B25">
        <w:t xml:space="preserve">The appellant </w:t>
      </w:r>
      <w:r>
        <w:t>was 59 years of age</w:t>
      </w:r>
      <w:r w:rsidR="00E41B30">
        <w:t xml:space="preserve"> at the time of sentence</w:t>
      </w:r>
      <w:r>
        <w:t>, married with</w:t>
      </w:r>
      <w:r w:rsidRPr="00BD3B25">
        <w:t xml:space="preserve"> two children</w:t>
      </w:r>
      <w:r>
        <w:t xml:space="preserve"> and of clear criminal record.  The judge noted the contents of more than 40 mitigation letters</w:t>
      </w:r>
      <w:r w:rsidRPr="00BD3B25">
        <w:t xml:space="preserve">, </w:t>
      </w:r>
      <w:r>
        <w:t>which de</w:t>
      </w:r>
      <w:r w:rsidR="001F6B07">
        <w:t>scribed</w:t>
      </w:r>
      <w:r>
        <w:t xml:space="preserve"> the appellant “as a </w:t>
      </w:r>
      <w:r w:rsidRPr="00BD3B25">
        <w:rPr>
          <w:szCs w:val="28"/>
        </w:rPr>
        <w:t xml:space="preserve">kind, caring, generous, diligent and intelligent person and </w:t>
      </w:r>
      <w:r w:rsidRPr="00BD3B25">
        <w:rPr>
          <w:szCs w:val="28"/>
        </w:rPr>
        <w:lastRenderedPageBreak/>
        <w:t>as someone with extensive experience and knowledge in the shipping industry</w:t>
      </w:r>
      <w:r>
        <w:rPr>
          <w:szCs w:val="28"/>
        </w:rPr>
        <w:t>”</w:t>
      </w:r>
      <w:r>
        <w:rPr>
          <w:rStyle w:val="FootnoteReference"/>
          <w:szCs w:val="28"/>
        </w:rPr>
        <w:footnoteReference w:id="52"/>
      </w:r>
      <w:r>
        <w:rPr>
          <w:szCs w:val="28"/>
        </w:rPr>
        <w:t>.</w:t>
      </w:r>
    </w:p>
    <w:p w:rsidR="00D12CD3" w:rsidRPr="00BD3B25" w:rsidRDefault="00D12CD3" w:rsidP="00D12CD3">
      <w:pPr>
        <w:pStyle w:val="ar-draft"/>
      </w:pPr>
      <w:r w:rsidRPr="00BD3B25">
        <w:t>Having heard the mitigating submissions, he took into account the appellant’s devotion to his work and his family; his fundraising charity work; the risk of hi</w:t>
      </w:r>
      <w:r w:rsidR="00A04F2E">
        <w:t xml:space="preserve">s </w:t>
      </w:r>
      <w:r w:rsidRPr="00BD3B25">
        <w:t xml:space="preserve">losing his pension; and </w:t>
      </w:r>
      <w:r>
        <w:t>his inevitable f</w:t>
      </w:r>
      <w:r w:rsidRPr="00BD3B25">
        <w:t>all from grace</w:t>
      </w:r>
      <w:r>
        <w:t xml:space="preserve"> for</w:t>
      </w:r>
      <w:r w:rsidRPr="00BD3B25">
        <w:t xml:space="preserve"> being convicted of a criminal offence.</w:t>
      </w:r>
    </w:p>
    <w:p w:rsidR="00D12CD3" w:rsidRPr="00BD3B25" w:rsidRDefault="00D12CD3" w:rsidP="00D12CD3">
      <w:pPr>
        <w:pStyle w:val="ar-draft"/>
      </w:pPr>
      <w:r w:rsidRPr="00BD3B25">
        <w:t xml:space="preserve">The judge </w:t>
      </w:r>
      <w:r>
        <w:t xml:space="preserve">nevertheless </w:t>
      </w:r>
      <w:r w:rsidRPr="00BD3B25">
        <w:t>considered that the misconduct was so serious</w:t>
      </w:r>
      <w:r>
        <w:t>, having lasted throughout his tenure of the office</w:t>
      </w:r>
      <w:r w:rsidR="001F6B07">
        <w:t xml:space="preserve"> of</w:t>
      </w:r>
      <w:r>
        <w:t xml:space="preserve"> </w:t>
      </w:r>
      <w:r w:rsidR="00E74B2E">
        <w:t xml:space="preserve">General Manager and </w:t>
      </w:r>
      <w:r>
        <w:t>Principal Surveyor of Ships of the LVSB (a period of 3 years and 4 months)</w:t>
      </w:r>
      <w:r w:rsidRPr="00BD3B25">
        <w:t xml:space="preserve"> </w:t>
      </w:r>
      <w:r>
        <w:t>that</w:t>
      </w:r>
      <w:r w:rsidRPr="00BD3B25">
        <w:t xml:space="preserve"> an immediate custodial sentence </w:t>
      </w:r>
      <w:r>
        <w:t>was inevitable</w:t>
      </w:r>
      <w:r>
        <w:rPr>
          <w:rStyle w:val="FootnoteReference"/>
        </w:rPr>
        <w:footnoteReference w:id="53"/>
      </w:r>
      <w:r w:rsidRPr="00BD3B25">
        <w:t>.</w:t>
      </w:r>
    </w:p>
    <w:p w:rsidR="00D12CD3" w:rsidRPr="00BD3B25" w:rsidRDefault="00D12CD3" w:rsidP="00D12CD3">
      <w:pPr>
        <w:pStyle w:val="ar-draft"/>
      </w:pPr>
      <w:r w:rsidRPr="00BD3B25">
        <w:t>Th</w:t>
      </w:r>
      <w:r>
        <w:t>at</w:t>
      </w:r>
      <w:r w:rsidRPr="00BD3B25">
        <w:t xml:space="preserve"> a similar instruction was in place before the appellant arrived at the LVSB was </w:t>
      </w:r>
      <w:r w:rsidR="00A04F2E">
        <w:t>held not to be</w:t>
      </w:r>
      <w:r w:rsidRPr="00BD3B25">
        <w:t xml:space="preserve"> </w:t>
      </w:r>
      <w:r w:rsidR="001F6B07">
        <w:t xml:space="preserve">a </w:t>
      </w:r>
      <w:r w:rsidRPr="00BD3B25">
        <w:t>mitigating factor</w:t>
      </w:r>
      <w:r w:rsidR="007226B8">
        <w:t>,</w:t>
      </w:r>
      <w:r w:rsidRPr="00BD3B25">
        <w:t xml:space="preserve"> since the appellant was in a position</w:t>
      </w:r>
      <w:r w:rsidR="001F6B07">
        <w:t>,</w:t>
      </w:r>
      <w:r w:rsidRPr="00BD3B25">
        <w:t xml:space="preserve"> and had the </w:t>
      </w:r>
      <w:r w:rsidR="001F6B07">
        <w:t xml:space="preserve">power and </w:t>
      </w:r>
      <w:r w:rsidRPr="00BD3B25">
        <w:t>opportunity</w:t>
      </w:r>
      <w:r w:rsidR="001F6B07">
        <w:t>,</w:t>
      </w:r>
      <w:r w:rsidRPr="00BD3B25">
        <w:t xml:space="preserve"> to decide whether to cont</w:t>
      </w:r>
      <w:r>
        <w:t>inue the practice or not</w:t>
      </w:r>
      <w:r>
        <w:rPr>
          <w:rStyle w:val="FootnoteReference"/>
        </w:rPr>
        <w:footnoteReference w:id="54"/>
      </w:r>
      <w:r>
        <w:t>.</w:t>
      </w:r>
    </w:p>
    <w:p w:rsidR="00D12CD3" w:rsidRPr="00221871" w:rsidRDefault="00D12CD3" w:rsidP="00D12CD3">
      <w:pPr>
        <w:pStyle w:val="ar-draft"/>
        <w:rPr>
          <w:szCs w:val="28"/>
        </w:rPr>
      </w:pPr>
      <w:r>
        <w:t>The</w:t>
      </w:r>
      <w:r w:rsidRPr="00BD3B25">
        <w:t xml:space="preserve"> consequences of the appellant’s decision were potentially very </w:t>
      </w:r>
      <w:r>
        <w:t>serious, since</w:t>
      </w:r>
      <w:r w:rsidRPr="00BD3B25">
        <w:t xml:space="preserve"> the lifejacket requirements w</w:t>
      </w:r>
      <w:r>
        <w:t>ere</w:t>
      </w:r>
      <w:r w:rsidRPr="00BD3B25">
        <w:t xml:space="preserve"> </w:t>
      </w:r>
      <w:r w:rsidR="007226B8">
        <w:t xml:space="preserve">obviously </w:t>
      </w:r>
      <w:r w:rsidR="00756534">
        <w:t xml:space="preserve">designed </w:t>
      </w:r>
      <w:r w:rsidRPr="00BD3B25">
        <w:t xml:space="preserve">to </w:t>
      </w:r>
      <w:r w:rsidRPr="00BD3B25">
        <w:rPr>
          <w:szCs w:val="28"/>
        </w:rPr>
        <w:t>enhance the chance</w:t>
      </w:r>
      <w:r w:rsidR="007226B8">
        <w:rPr>
          <w:szCs w:val="28"/>
        </w:rPr>
        <w:t>s</w:t>
      </w:r>
      <w:r w:rsidRPr="00BD3B25">
        <w:rPr>
          <w:szCs w:val="28"/>
        </w:rPr>
        <w:t xml:space="preserve"> of survival in case of accident</w:t>
      </w:r>
      <w:r w:rsidR="007226B8">
        <w:rPr>
          <w:szCs w:val="28"/>
        </w:rPr>
        <w:t>s</w:t>
      </w:r>
      <w:r w:rsidR="00756534">
        <w:rPr>
          <w:szCs w:val="28"/>
        </w:rPr>
        <w:t xml:space="preserve"> at sea</w:t>
      </w:r>
      <w:r w:rsidRPr="00BD3B25">
        <w:rPr>
          <w:szCs w:val="28"/>
        </w:rPr>
        <w:t xml:space="preserve">.  </w:t>
      </w:r>
      <w:r w:rsidR="00756534">
        <w:rPr>
          <w:szCs w:val="28"/>
        </w:rPr>
        <w:t>The judge was of the view that s</w:t>
      </w:r>
      <w:r>
        <w:rPr>
          <w:szCs w:val="28"/>
        </w:rPr>
        <w:t>uch</w:t>
      </w:r>
      <w:r w:rsidRPr="00BD3B25">
        <w:rPr>
          <w:szCs w:val="28"/>
        </w:rPr>
        <w:t xml:space="preserve"> misconduct had eroded the public’s trust in the Marine Department, if not the entire civil service system, and the damage done </w:t>
      </w:r>
      <w:r>
        <w:rPr>
          <w:szCs w:val="28"/>
        </w:rPr>
        <w:t xml:space="preserve">by the appellant’s misconduct was </w:t>
      </w:r>
      <w:r w:rsidR="00756534">
        <w:rPr>
          <w:szCs w:val="28"/>
        </w:rPr>
        <w:t xml:space="preserve">undoubtedly </w:t>
      </w:r>
      <w:r>
        <w:rPr>
          <w:szCs w:val="28"/>
        </w:rPr>
        <w:t>serious</w:t>
      </w:r>
      <w:r>
        <w:rPr>
          <w:rStyle w:val="FootnoteReference"/>
          <w:szCs w:val="28"/>
        </w:rPr>
        <w:footnoteReference w:id="55"/>
      </w:r>
      <w:r>
        <w:rPr>
          <w:szCs w:val="28"/>
        </w:rPr>
        <w:t>.  Although the appellant had been by all accounts an excellent civil servant</w:t>
      </w:r>
      <w:r w:rsidR="007226B8">
        <w:rPr>
          <w:szCs w:val="28"/>
        </w:rPr>
        <w:t>,</w:t>
      </w:r>
      <w:r>
        <w:rPr>
          <w:szCs w:val="28"/>
        </w:rPr>
        <w:t xml:space="preserve"> who was well</w:t>
      </w:r>
      <w:r w:rsidR="00BA6A88">
        <w:rPr>
          <w:szCs w:val="28"/>
        </w:rPr>
        <w:noBreakHyphen/>
      </w:r>
      <w:r>
        <w:rPr>
          <w:szCs w:val="28"/>
        </w:rPr>
        <w:t xml:space="preserve">liked and respected by his colleagues and those in the shipping industry, and while there was no dishonest, corrupt or malicious motive </w:t>
      </w:r>
      <w:r>
        <w:rPr>
          <w:szCs w:val="28"/>
        </w:rPr>
        <w:lastRenderedPageBreak/>
        <w:t>underlying his actions, the seriousness of his misconduct lay in his decision</w:t>
      </w:r>
      <w:r w:rsidRPr="00BD3B25">
        <w:t xml:space="preserve"> to supplant the will of the legislature with his own</w:t>
      </w:r>
      <w:r>
        <w:rPr>
          <w:rStyle w:val="FootnoteReference"/>
        </w:rPr>
        <w:footnoteReference w:id="56"/>
      </w:r>
      <w:r>
        <w:t>.</w:t>
      </w:r>
    </w:p>
    <w:p w:rsidR="00D12CD3" w:rsidRPr="00BD3B25" w:rsidRDefault="00D12CD3" w:rsidP="00D12CD3">
      <w:pPr>
        <w:pStyle w:val="ar-draft"/>
      </w:pPr>
      <w:r w:rsidRPr="00BD3B25">
        <w:t>Taking into account all the circumstances, the judge adopted a starting point of 18 months’ imprisonment and reduced it by 2 months for the various mitigating factors.  The appellant was</w:t>
      </w:r>
      <w:r>
        <w:t xml:space="preserve"> thereby</w:t>
      </w:r>
      <w:r w:rsidRPr="00BD3B25">
        <w:t xml:space="preserve"> sentenced to 16 </w:t>
      </w:r>
      <w:r>
        <w:t>‍months’ imprisonment.</w:t>
      </w:r>
    </w:p>
    <w:p w:rsidR="00D12CD3" w:rsidRDefault="00D12CD3" w:rsidP="00D12CD3">
      <w:pPr>
        <w:pStyle w:val="ar-heading1"/>
      </w:pPr>
      <w:r w:rsidRPr="00BD3B25">
        <w:t xml:space="preserve">Grounds of </w:t>
      </w:r>
      <w:r>
        <w:t>a</w:t>
      </w:r>
      <w:r w:rsidRPr="00BD3B25">
        <w:t>ppeal</w:t>
      </w:r>
      <w:r>
        <w:t xml:space="preserve"> against</w:t>
      </w:r>
      <w:r w:rsidRPr="00BD3B25">
        <w:t xml:space="preserve"> sentence</w:t>
      </w:r>
    </w:p>
    <w:p w:rsidR="00D12CD3" w:rsidRDefault="00D12CD3" w:rsidP="00D12CD3">
      <w:pPr>
        <w:pStyle w:val="ar-draft"/>
      </w:pPr>
      <w:r w:rsidRPr="00BD3B25">
        <w:t xml:space="preserve">It </w:t>
      </w:r>
      <w:r>
        <w:t>wa</w:t>
      </w:r>
      <w:r w:rsidRPr="00BD3B25">
        <w:t xml:space="preserve">s submitted </w:t>
      </w:r>
      <w:r w:rsidR="00B06F73">
        <w:t xml:space="preserve">by Mr </w:t>
      </w:r>
      <w:proofErr w:type="spellStart"/>
      <w:r w:rsidR="00B06F73">
        <w:t>Marash</w:t>
      </w:r>
      <w:proofErr w:type="spellEnd"/>
      <w:r w:rsidR="00B06F73">
        <w:t xml:space="preserve"> </w:t>
      </w:r>
      <w:r w:rsidRPr="00BD3B25">
        <w:t>that the sentence of 16 months’ imprisonment was disproportionate to the circumstances of the offence and the appellant’s culpability</w:t>
      </w:r>
      <w:r>
        <w:t xml:space="preserve"> and, a</w:t>
      </w:r>
      <w:r w:rsidR="00B04D99">
        <w:t>ccordingly</w:t>
      </w:r>
      <w:r>
        <w:t>, manifestly excessive</w:t>
      </w:r>
      <w:r w:rsidRPr="00BD3B25">
        <w:t xml:space="preserve">.  </w:t>
      </w:r>
      <w:r w:rsidR="007226B8">
        <w:t>He</w:t>
      </w:r>
      <w:r>
        <w:t xml:space="preserve"> emphasised that the</w:t>
      </w:r>
      <w:r w:rsidRPr="00BD3B25">
        <w:t xml:space="preserve"> appellant was of </w:t>
      </w:r>
      <w:r w:rsidR="00B04D99">
        <w:t>exemplary</w:t>
      </w:r>
      <w:r w:rsidRPr="00BD3B25">
        <w:t xml:space="preserve"> character </w:t>
      </w:r>
      <w:r>
        <w:t xml:space="preserve">and </w:t>
      </w:r>
      <w:r w:rsidR="007226B8">
        <w:t xml:space="preserve">had </w:t>
      </w:r>
      <w:r>
        <w:t>gained nothing from his actions, which were to continue a pre</w:t>
      </w:r>
      <w:r w:rsidR="00DA78E7">
        <w:noBreakHyphen/>
      </w:r>
      <w:r>
        <w:t>existing policy he had not himself devised</w:t>
      </w:r>
      <w:r w:rsidR="00B04D99">
        <w:t>,</w:t>
      </w:r>
      <w:r>
        <w:t xml:space="preserve"> and which would </w:t>
      </w:r>
      <w:r w:rsidR="00B06F73">
        <w:t xml:space="preserve">have </w:t>
      </w:r>
      <w:r>
        <w:t xml:space="preserve">become redundant in time.  It </w:t>
      </w:r>
      <w:r w:rsidR="007226B8">
        <w:t>wa</w:t>
      </w:r>
      <w:r>
        <w:t xml:space="preserve">s </w:t>
      </w:r>
      <w:r w:rsidR="006E13DB">
        <w:t>reiterated</w:t>
      </w:r>
      <w:r>
        <w:t xml:space="preserve"> that under the previous law, lifejackets would be provided which were adequate for both adults and children</w:t>
      </w:r>
      <w:r w:rsidR="00B06F73">
        <w:t>, so that there was little difference between the provisions of the old law and the new</w:t>
      </w:r>
      <w:r>
        <w:t>.</w:t>
      </w:r>
    </w:p>
    <w:p w:rsidR="00B04D99" w:rsidRPr="00B04D99" w:rsidRDefault="00B04D99" w:rsidP="00E614FF">
      <w:pPr>
        <w:pStyle w:val="ar-heading1"/>
      </w:pPr>
      <w:r>
        <w:t>The r</w:t>
      </w:r>
      <w:r w:rsidRPr="00B04D99">
        <w:t>espondent’s position</w:t>
      </w:r>
    </w:p>
    <w:p w:rsidR="00D12CD3" w:rsidRDefault="00D12CD3" w:rsidP="00D12CD3">
      <w:pPr>
        <w:pStyle w:val="ar-draft"/>
      </w:pPr>
      <w:r w:rsidRPr="00BD3B25">
        <w:t>Mr Bruce</w:t>
      </w:r>
      <w:r w:rsidR="00B06F73">
        <w:t>, on the other hand, drew our attention to a number of</w:t>
      </w:r>
      <w:r w:rsidRPr="00BD3B25">
        <w:t xml:space="preserve"> other cases</w:t>
      </w:r>
      <w:r w:rsidR="004E3789">
        <w:t xml:space="preserve"> involving high ranking public officials who had breached their public duties, where </w:t>
      </w:r>
      <w:r w:rsidR="00A04F2E">
        <w:t>the courts</w:t>
      </w:r>
      <w:r w:rsidR="004E3789">
        <w:t xml:space="preserve"> had considered</w:t>
      </w:r>
      <w:r w:rsidR="00A04F2E">
        <w:t xml:space="preserve"> it</w:t>
      </w:r>
      <w:r w:rsidR="004E3789">
        <w:t xml:space="preserve"> appropriate to order a </w:t>
      </w:r>
      <w:r w:rsidR="00D14263">
        <w:t>term of imprisonment</w:t>
      </w:r>
      <w:r w:rsidR="004E3789">
        <w:t xml:space="preserve"> of </w:t>
      </w:r>
      <w:r w:rsidR="006F27DD">
        <w:t xml:space="preserve">a </w:t>
      </w:r>
      <w:r w:rsidR="004E3789">
        <w:t xml:space="preserve">similar </w:t>
      </w:r>
      <w:r w:rsidR="00A04F2E">
        <w:t>period</w:t>
      </w:r>
      <w:r w:rsidR="004E3789">
        <w:t xml:space="preserve"> to th</w:t>
      </w:r>
      <w:r w:rsidR="00D14263">
        <w:t>at</w:t>
      </w:r>
      <w:r w:rsidR="00A04F2E">
        <w:t xml:space="preserve"> passed upon the </w:t>
      </w:r>
      <w:r w:rsidR="004E3789">
        <w:t>appellant</w:t>
      </w:r>
      <w:r w:rsidR="00A04F2E">
        <w:t>,</w:t>
      </w:r>
      <w:r w:rsidR="004E3789">
        <w:t xml:space="preserve"> </w:t>
      </w:r>
      <w:r w:rsidR="004E3789">
        <w:lastRenderedPageBreak/>
        <w:t xml:space="preserve">even </w:t>
      </w:r>
      <w:r w:rsidR="006F27DD">
        <w:t>in circumstances where no</w:t>
      </w:r>
      <w:r w:rsidR="004E3789">
        <w:t xml:space="preserve"> dishonest, corrupt or malicious motive</w:t>
      </w:r>
      <w:r w:rsidR="006F27DD">
        <w:t xml:space="preserve"> could be shown</w:t>
      </w:r>
      <w:r w:rsidRPr="00BD3B25">
        <w:rPr>
          <w:rStyle w:val="FootnoteReference"/>
        </w:rPr>
        <w:footnoteReference w:id="57"/>
      </w:r>
      <w:r w:rsidR="004E3789">
        <w:t>.</w:t>
      </w:r>
    </w:p>
    <w:p w:rsidR="00B06F73" w:rsidRPr="00B06F73" w:rsidRDefault="00B06F73" w:rsidP="00DA78E7">
      <w:pPr>
        <w:pStyle w:val="ar-heading1"/>
      </w:pPr>
      <w:r w:rsidRPr="00B06F73">
        <w:t>Discussion (sentence)</w:t>
      </w:r>
    </w:p>
    <w:p w:rsidR="001A1846" w:rsidRDefault="00D943BC" w:rsidP="00836D15">
      <w:pPr>
        <w:pStyle w:val="ar-draft"/>
      </w:pPr>
      <w:r>
        <w:t>The fifth element of the offence of misconduct in public office, as re</w:t>
      </w:r>
      <w:r w:rsidR="001E6480">
        <w:noBreakHyphen/>
      </w:r>
      <w:r>
        <w:t>formulated by Sir Anthony Mason</w:t>
      </w:r>
      <w:r w:rsidR="00D14263">
        <w:t xml:space="preserve"> NPJ</w:t>
      </w:r>
      <w:r>
        <w:t xml:space="preserve"> in </w:t>
      </w:r>
      <w:r w:rsidRPr="00D943BC">
        <w:rPr>
          <w:i/>
        </w:rPr>
        <w:t xml:space="preserve">Sin </w:t>
      </w:r>
      <w:proofErr w:type="spellStart"/>
      <w:r w:rsidRPr="00D943BC">
        <w:rPr>
          <w:i/>
        </w:rPr>
        <w:t>Kam</w:t>
      </w:r>
      <w:proofErr w:type="spellEnd"/>
      <w:r w:rsidRPr="00D943BC">
        <w:rPr>
          <w:i/>
        </w:rPr>
        <w:t xml:space="preserve"> </w:t>
      </w:r>
      <w:proofErr w:type="spellStart"/>
      <w:r w:rsidRPr="00D943BC">
        <w:rPr>
          <w:i/>
        </w:rPr>
        <w:t>Wah</w:t>
      </w:r>
      <w:proofErr w:type="spellEnd"/>
      <w:r w:rsidR="00D14263">
        <w:rPr>
          <w:i/>
        </w:rPr>
        <w:t xml:space="preserve"> v HKSAR</w:t>
      </w:r>
      <w:r w:rsidR="00D14263" w:rsidRPr="00D14263">
        <w:rPr>
          <w:rStyle w:val="FootnoteReference"/>
        </w:rPr>
        <w:footnoteReference w:id="58"/>
      </w:r>
      <w:r>
        <w:t>, requires that the misconduct be “serious, not trivial, having regard to the responsibilities of the office and the officeholder, the importance of the public objects which they serve and the nature and extent of the departure</w:t>
      </w:r>
      <w:r w:rsidR="001E6480">
        <w:t xml:space="preserve"> from those responsibilities”</w:t>
      </w:r>
      <w:r w:rsidR="00D14263">
        <w:rPr>
          <w:rStyle w:val="FootnoteReference"/>
        </w:rPr>
        <w:footnoteReference w:id="59"/>
      </w:r>
      <w:r w:rsidR="001E6480">
        <w:t>.</w:t>
      </w:r>
    </w:p>
    <w:p w:rsidR="00D943BC" w:rsidRDefault="00D943BC" w:rsidP="00836D15">
      <w:pPr>
        <w:pStyle w:val="ar-draft"/>
      </w:pPr>
      <w:r>
        <w:t xml:space="preserve">There can be no denying that the appellant occupied a very senior position within the Marine Department as </w:t>
      </w:r>
      <w:r w:rsidR="00D14263">
        <w:t xml:space="preserve">General Manager and </w:t>
      </w:r>
      <w:r>
        <w:t>Principal Surveyor of Ships of the LVSB</w:t>
      </w:r>
      <w:r w:rsidR="001A1846">
        <w:t>.  His responsibilities included the enforcement of the legal requirements in relation to the provision of life</w:t>
      </w:r>
      <w:r w:rsidR="00AB25EA">
        <w:noBreakHyphen/>
      </w:r>
      <w:r w:rsidR="001A1846">
        <w:t>saving equipment and appliances.  Those responsibilities affected the important public objects of safety at sea for th</w:t>
      </w:r>
      <w:r w:rsidR="000439B4">
        <w:t>e many people who regularly travel</w:t>
      </w:r>
      <w:r w:rsidR="001A1846">
        <w:t xml:space="preserve"> on vessels in Hong Kong waters.  As we have already remarked, members of the public, who would </w:t>
      </w:r>
      <w:r w:rsidR="000439B4">
        <w:t xml:space="preserve">normally </w:t>
      </w:r>
      <w:r w:rsidR="001A1846">
        <w:t xml:space="preserve">be unaware of the safety measures in place on the vessels </w:t>
      </w:r>
      <w:r w:rsidR="000439B4">
        <w:t>in</w:t>
      </w:r>
      <w:r w:rsidR="001A1846">
        <w:t xml:space="preserve"> which they </w:t>
      </w:r>
      <w:r w:rsidR="000439B4">
        <w:t>were being carried,</w:t>
      </w:r>
      <w:r w:rsidR="001A1846">
        <w:t xml:space="preserve"> and </w:t>
      </w:r>
      <w:r w:rsidR="004D0447">
        <w:t xml:space="preserve">who would inevitably be </w:t>
      </w:r>
      <w:r w:rsidR="000439B4">
        <w:t xml:space="preserve">ignorant as to </w:t>
      </w:r>
      <w:r w:rsidR="001A1846">
        <w:t>whether they complied with the law, were entitled to trust that a Regulation designed to protect them</w:t>
      </w:r>
      <w:r w:rsidR="001F6B07">
        <w:t xml:space="preserve"> and their children</w:t>
      </w:r>
      <w:r w:rsidR="001A1846">
        <w:t xml:space="preserve"> at sea was being properly implemented and oversee</w:t>
      </w:r>
      <w:r w:rsidR="000439B4">
        <w:t>n</w:t>
      </w:r>
      <w:r w:rsidR="001A1846">
        <w:t xml:space="preserve"> by the officials concerned.</w:t>
      </w:r>
      <w:r w:rsidR="000439B4">
        <w:t xml:space="preserve">  Yet, in this case, the official </w:t>
      </w:r>
      <w:r w:rsidR="005934D0">
        <w:t>responsible</w:t>
      </w:r>
      <w:r w:rsidR="000439B4">
        <w:t xml:space="preserve"> had </w:t>
      </w:r>
      <w:r w:rsidR="002F109C">
        <w:t xml:space="preserve">given </w:t>
      </w:r>
      <w:r w:rsidR="002F109C">
        <w:lastRenderedPageBreak/>
        <w:t>an instruction</w:t>
      </w:r>
      <w:r w:rsidR="000439B4">
        <w:t xml:space="preserve"> that the Regulation did not need to be enforced</w:t>
      </w:r>
      <w:r w:rsidR="005934D0">
        <w:t xml:space="preserve"> in certain types of vessel</w:t>
      </w:r>
      <w:r w:rsidR="000439B4">
        <w:t>.  That represented a serious departure from the responsibilities of the appellant’s office</w:t>
      </w:r>
      <w:r w:rsidR="00F33D07">
        <w:t xml:space="preserve">, and one which </w:t>
      </w:r>
      <w:r w:rsidR="00E817DE">
        <w:t>went on for</w:t>
      </w:r>
      <w:r w:rsidR="00F33D07">
        <w:t xml:space="preserve"> </w:t>
      </w:r>
      <w:r w:rsidR="004E3789">
        <w:t xml:space="preserve">the duration of his term of office of </w:t>
      </w:r>
      <w:r w:rsidR="00F33D07">
        <w:t>some 3 years and 4 months</w:t>
      </w:r>
      <w:r w:rsidR="000439B4">
        <w:t>.</w:t>
      </w:r>
    </w:p>
    <w:p w:rsidR="000439B4" w:rsidRDefault="000439B4" w:rsidP="00836D15">
      <w:pPr>
        <w:pStyle w:val="ar-draft"/>
      </w:pPr>
      <w:r>
        <w:t xml:space="preserve">In our judgment, an official in the position of the appellant has no right to decide that a law affecting </w:t>
      </w:r>
      <w:r w:rsidR="001F6B07">
        <w:t xml:space="preserve">an important object of </w:t>
      </w:r>
      <w:r>
        <w:t xml:space="preserve">public safety should not be enforced.  If he thought strongly about any aspect of the Regulation for whatever reason, he could and should have brought it to the attention of his superior instead of unilaterally dispensing with its enforcement.  </w:t>
      </w:r>
      <w:r w:rsidR="002F109C">
        <w:t>As it was</w:t>
      </w:r>
      <w:r>
        <w:t>, his superior remained unaware of the non-enforcement instruction.</w:t>
      </w:r>
    </w:p>
    <w:p w:rsidR="002F109C" w:rsidRDefault="002F109C" w:rsidP="00836D15">
      <w:pPr>
        <w:pStyle w:val="ar-draft"/>
      </w:pPr>
      <w:r>
        <w:t xml:space="preserve">We are of the view that a sentence of imprisonment for such misconduct was </w:t>
      </w:r>
      <w:r w:rsidR="001F6B07">
        <w:t>appropriate</w:t>
      </w:r>
      <w:r>
        <w:t xml:space="preserve">. </w:t>
      </w:r>
      <w:r w:rsidR="001E6480">
        <w:t xml:space="preserve"> </w:t>
      </w:r>
      <w:r>
        <w:t xml:space="preserve">However, there are a number of </w:t>
      </w:r>
      <w:r w:rsidR="001F6B07">
        <w:t xml:space="preserve">cogent </w:t>
      </w:r>
      <w:r>
        <w:t xml:space="preserve">matters in the appellant’s favour. </w:t>
      </w:r>
      <w:r w:rsidR="001E6480">
        <w:t xml:space="preserve"> </w:t>
      </w:r>
      <w:r>
        <w:t xml:space="preserve">First, there </w:t>
      </w:r>
      <w:r w:rsidR="001F6B07">
        <w:t>wa</w:t>
      </w:r>
      <w:r>
        <w:t>s no question, as the judge clearly found</w:t>
      </w:r>
      <w:r w:rsidR="00CA1A37">
        <w:rPr>
          <w:rStyle w:val="FootnoteReference"/>
        </w:rPr>
        <w:footnoteReference w:id="60"/>
      </w:r>
      <w:r>
        <w:t xml:space="preserve">, of any dishonesty, corruption or malicious intent behind the </w:t>
      </w:r>
      <w:r w:rsidR="00CA1A37">
        <w:t xml:space="preserve">appellant’s </w:t>
      </w:r>
      <w:r w:rsidR="007103B8">
        <w:t>commission of the offence.</w:t>
      </w:r>
    </w:p>
    <w:p w:rsidR="00CA1A37" w:rsidRDefault="00CA1A37" w:rsidP="00836D15">
      <w:pPr>
        <w:pStyle w:val="ar-draft"/>
      </w:pPr>
      <w:r>
        <w:t>Secondly, there can be no doubt, and this was specifically accepted by the judge</w:t>
      </w:r>
      <w:r>
        <w:rPr>
          <w:rStyle w:val="FootnoteReference"/>
        </w:rPr>
        <w:footnoteReference w:id="61"/>
      </w:r>
      <w:r>
        <w:t xml:space="preserve">, that the appellant was an otherwise excellent </w:t>
      </w:r>
      <w:r w:rsidR="007226B8">
        <w:t>c</w:t>
      </w:r>
      <w:r>
        <w:t xml:space="preserve">ivil </w:t>
      </w:r>
      <w:r w:rsidR="007226B8">
        <w:t>s</w:t>
      </w:r>
      <w:r>
        <w:t>ervant</w:t>
      </w:r>
      <w:r w:rsidR="005934D0">
        <w:t>,</w:t>
      </w:r>
      <w:r>
        <w:t xml:space="preserve"> who was well</w:t>
      </w:r>
      <w:r w:rsidR="001E6480">
        <w:noBreakHyphen/>
      </w:r>
      <w:r>
        <w:t>liked and well</w:t>
      </w:r>
      <w:r w:rsidR="001E6480">
        <w:noBreakHyphen/>
      </w:r>
      <w:r>
        <w:t xml:space="preserve">respected by his colleagues and </w:t>
      </w:r>
      <w:r w:rsidR="00B06F73">
        <w:t>members of the</w:t>
      </w:r>
      <w:r>
        <w:t xml:space="preserve"> shipping industry.</w:t>
      </w:r>
    </w:p>
    <w:p w:rsidR="00CA1A37" w:rsidRDefault="00CA1A37" w:rsidP="00836D15">
      <w:pPr>
        <w:pStyle w:val="ar-draft"/>
      </w:pPr>
      <w:r>
        <w:t>However, it is the third factor which is the most striking</w:t>
      </w:r>
      <w:r w:rsidR="00370C89">
        <w:t xml:space="preserve"> in this case</w:t>
      </w:r>
      <w:r>
        <w:t xml:space="preserve">.  It </w:t>
      </w:r>
      <w:r w:rsidR="00B06F73">
        <w:t>wa</w:t>
      </w:r>
      <w:r>
        <w:t xml:space="preserve">s accepted by the prosecution that the appellant inherited the policy </w:t>
      </w:r>
      <w:r w:rsidR="002B4E1A">
        <w:t>of not enforcing the Regulation</w:t>
      </w:r>
      <w:r w:rsidR="007E2EA6">
        <w:t xml:space="preserve"> from his predecessor</w:t>
      </w:r>
      <w:r w:rsidR="002B4E1A">
        <w:t xml:space="preserve">.  He continued it and did not rescind it for the entirety of his term of office.  </w:t>
      </w:r>
      <w:r w:rsidR="002B4E1A">
        <w:lastRenderedPageBreak/>
        <w:t>When he left office</w:t>
      </w:r>
      <w:r w:rsidR="005934D0">
        <w:t>,</w:t>
      </w:r>
      <w:r w:rsidR="002B4E1A">
        <w:t xml:space="preserve"> it was </w:t>
      </w:r>
      <w:r w:rsidR="007226B8">
        <w:t xml:space="preserve">carried on </w:t>
      </w:r>
      <w:r w:rsidR="002B4E1A">
        <w:t>by two of his successors.  Neither his predecessor nor his two successors have been dealt with by the criminal law.  We are told that only the appellant’s successors have been</w:t>
      </w:r>
      <w:r w:rsidR="007E2EA6">
        <w:t xml:space="preserve"> the subject of disciplinary action, </w:t>
      </w:r>
      <w:r w:rsidR="00370C89">
        <w:t xml:space="preserve">each receiving a warning letter, </w:t>
      </w:r>
      <w:r w:rsidR="007E2EA6">
        <w:t xml:space="preserve">yet, as Mr </w:t>
      </w:r>
      <w:r w:rsidR="008119B7">
        <w:t>‍</w:t>
      </w:r>
      <w:r w:rsidR="007E2EA6">
        <w:t>Bruce conceded at</w:t>
      </w:r>
      <w:r w:rsidR="00370C89">
        <w:t xml:space="preserve"> the appellant’s application for bail pending appeal before the Single Judge, “there was nothing to distinguish the applicant, morally or legally, from those who succeeded him in his post”</w:t>
      </w:r>
      <w:r w:rsidR="00370C89">
        <w:rPr>
          <w:rStyle w:val="FootnoteReference"/>
        </w:rPr>
        <w:footnoteReference w:id="62"/>
      </w:r>
      <w:r w:rsidR="00370C89">
        <w:t xml:space="preserve">.  As </w:t>
      </w:r>
      <w:proofErr w:type="spellStart"/>
      <w:r w:rsidR="00370C89">
        <w:t>McWalters</w:t>
      </w:r>
      <w:proofErr w:type="spellEnd"/>
      <w:r w:rsidR="00370C89">
        <w:t xml:space="preserve"> </w:t>
      </w:r>
      <w:r w:rsidR="00E817DE">
        <w:t xml:space="preserve">JA </w:t>
      </w:r>
      <w:r w:rsidR="00370C89">
        <w:t>further noted</w:t>
      </w:r>
      <w:r w:rsidR="007238EB">
        <w:t xml:space="preserve"> in his judgment</w:t>
      </w:r>
      <w:r w:rsidR="00370C89">
        <w:t>, and we agree, the fact that they “have escaped a criminal prosecution and the level of punishment which the applicant has been forced to endure must … as a matter of simple fairness, be a valid consideration to which a sentencing court should have regard”</w:t>
      </w:r>
      <w:r w:rsidR="00370C89">
        <w:rPr>
          <w:rStyle w:val="FootnoteReference"/>
        </w:rPr>
        <w:footnoteReference w:id="63"/>
      </w:r>
      <w:r w:rsidR="00370C89">
        <w:t>.  The judge did not advert to this matter in his Reasons for Sentence.</w:t>
      </w:r>
    </w:p>
    <w:p w:rsidR="00370C89" w:rsidRDefault="00370C89" w:rsidP="00836D15">
      <w:pPr>
        <w:pStyle w:val="ar-draft"/>
      </w:pPr>
      <w:r>
        <w:t>The appellant has served</w:t>
      </w:r>
      <w:r w:rsidR="005E5E54">
        <w:t xml:space="preserve"> 4½ months’ imprisonment since the date of his conviction on 21 June 2016.  In our judgment, that more than satisfies the sentence that was appropriate to pass in his case, which we would have assessed at 6 months’ imprisonment after trial, with a slight reduction </w:t>
      </w:r>
      <w:r w:rsidR="004D0447">
        <w:t xml:space="preserve">from that starting point </w:t>
      </w:r>
      <w:r w:rsidR="005E5E54">
        <w:t>for the appellant’s exemplary character.  We propose in the circumstances to order that the appellant should be sentenced to time already served, so that he will be immediately released and not have to return to prison.</w:t>
      </w:r>
    </w:p>
    <w:p w:rsidR="00D647E9" w:rsidRDefault="00D647E9" w:rsidP="00836D15">
      <w:pPr>
        <w:pStyle w:val="ar-draft"/>
      </w:pPr>
      <w:r>
        <w:t xml:space="preserve">It is, of course, a matter for the </w:t>
      </w:r>
      <w:r w:rsidR="007226B8">
        <w:t>c</w:t>
      </w:r>
      <w:r>
        <w:t xml:space="preserve">ivil </w:t>
      </w:r>
      <w:r w:rsidR="007226B8">
        <w:t>s</w:t>
      </w:r>
      <w:r>
        <w:t xml:space="preserve">ervice as to what further action should be taken against the appellant as a consequence of </w:t>
      </w:r>
      <w:r w:rsidR="00E41B30">
        <w:t>his being convicted of this offence and sentenced to imprisonment</w:t>
      </w:r>
      <w:r>
        <w:t>.  However, given the unusual circumstances of th</w:t>
      </w:r>
      <w:r w:rsidR="0005063B">
        <w:t>e</w:t>
      </w:r>
      <w:r>
        <w:t xml:space="preserve"> case and on the basis of the </w:t>
      </w:r>
      <w:r>
        <w:lastRenderedPageBreak/>
        <w:t xml:space="preserve">information known to us, we </w:t>
      </w:r>
      <w:r w:rsidR="00E41B30">
        <w:t>would</w:t>
      </w:r>
      <w:r>
        <w:t xml:space="preserve"> urge that th</w:t>
      </w:r>
      <w:r w:rsidR="00B04D99">
        <w:t>e</w:t>
      </w:r>
      <w:r>
        <w:t xml:space="preserve"> appellant should not be treated more harshly than his colleagues</w:t>
      </w:r>
      <w:r w:rsidR="0005063B">
        <w:t>,</w:t>
      </w:r>
      <w:r>
        <w:t xml:space="preserve"> who were also involved in implementing</w:t>
      </w:r>
      <w:r w:rsidR="0005063B">
        <w:t xml:space="preserve"> the non-enforcement policy.</w:t>
      </w:r>
    </w:p>
    <w:p w:rsidR="007E67A3" w:rsidRPr="007E67A3" w:rsidRDefault="007E67A3" w:rsidP="00DA78E7">
      <w:pPr>
        <w:pStyle w:val="ar-heading1"/>
      </w:pPr>
      <w:r w:rsidRPr="007E67A3">
        <w:t>Conclusion</w:t>
      </w:r>
    </w:p>
    <w:p w:rsidR="007238EB" w:rsidRDefault="007238EB" w:rsidP="00836D15">
      <w:pPr>
        <w:pStyle w:val="ar-draft"/>
      </w:pPr>
      <w:r>
        <w:t xml:space="preserve">The appeal against </w:t>
      </w:r>
      <w:r w:rsidR="007E67A3">
        <w:t>conviction is dismissed</w:t>
      </w:r>
      <w:r w:rsidR="00B04D99">
        <w:t>.  However,</w:t>
      </w:r>
      <w:r w:rsidR="007E67A3">
        <w:t xml:space="preserve"> the appeal against </w:t>
      </w:r>
      <w:r>
        <w:t>sentence is allowed to the extent indicated.</w:t>
      </w:r>
    </w:p>
    <w:p w:rsidR="0079245E" w:rsidRDefault="0079245E" w:rsidP="0079245E">
      <w:pPr>
        <w:pStyle w:val="ar-draft"/>
        <w:numPr>
          <w:ilvl w:val="0"/>
          <w:numId w:val="0"/>
        </w:numPr>
      </w:pPr>
    </w:p>
    <w:p w:rsidR="00811830" w:rsidRPr="00BD3B25" w:rsidRDefault="00811830" w:rsidP="0070564F">
      <w:pPr>
        <w:pStyle w:val="ar-draft"/>
        <w:numPr>
          <w:ilvl w:val="0"/>
          <w:numId w:val="0"/>
        </w:numPr>
      </w:pPr>
    </w:p>
    <w:p w:rsidR="00AF5552" w:rsidRPr="00BD3B25" w:rsidRDefault="00AF5552" w:rsidP="0020266A">
      <w:pPr>
        <w:pStyle w:val="ar-draft"/>
        <w:numPr>
          <w:ilvl w:val="0"/>
          <w:numId w:val="0"/>
        </w:numPr>
      </w:pPr>
    </w:p>
    <w:tbl>
      <w:tblPr>
        <w:tblW w:w="9240" w:type="dxa"/>
        <w:jc w:val="center"/>
        <w:tblLayout w:type="fixed"/>
        <w:tblLook w:val="0000" w:firstRow="0" w:lastRow="0" w:firstColumn="0" w:lastColumn="0" w:noHBand="0" w:noVBand="0"/>
      </w:tblPr>
      <w:tblGrid>
        <w:gridCol w:w="3080"/>
        <w:gridCol w:w="3080"/>
        <w:gridCol w:w="3080"/>
      </w:tblGrid>
      <w:tr w:rsidR="00125EAA" w:rsidRPr="00BD3B25" w:rsidTr="00360A16">
        <w:trPr>
          <w:jc w:val="center"/>
        </w:trPr>
        <w:tc>
          <w:tcPr>
            <w:tcW w:w="3080" w:type="dxa"/>
          </w:tcPr>
          <w:p w:rsidR="001168B7" w:rsidRPr="00BD3B25" w:rsidRDefault="001168B7" w:rsidP="001168B7">
            <w:pPr>
              <w:pStyle w:val="normal1"/>
              <w:tabs>
                <w:tab w:val="clear" w:pos="1411"/>
              </w:tabs>
            </w:pPr>
            <w:r w:rsidRPr="00BD3B25">
              <w:t xml:space="preserve">(Andrew </w:t>
            </w:r>
            <w:proofErr w:type="spellStart"/>
            <w:r w:rsidRPr="00BD3B25">
              <w:t>Macrae</w:t>
            </w:r>
            <w:proofErr w:type="spellEnd"/>
            <w:r w:rsidRPr="00BD3B25">
              <w:t>)</w:t>
            </w:r>
          </w:p>
          <w:p w:rsidR="00125EAA" w:rsidRPr="00BD3B25" w:rsidRDefault="001168B7" w:rsidP="001168B7">
            <w:pPr>
              <w:jc w:val="center"/>
              <w:rPr>
                <w:b w:val="0"/>
                <w:bCs/>
                <w:sz w:val="28"/>
              </w:rPr>
            </w:pPr>
            <w:r w:rsidRPr="00BD3B25">
              <w:rPr>
                <w:b w:val="0"/>
                <w:bCs/>
                <w:sz w:val="28"/>
              </w:rPr>
              <w:t>Vice President</w:t>
            </w:r>
          </w:p>
        </w:tc>
        <w:tc>
          <w:tcPr>
            <w:tcW w:w="3080" w:type="dxa"/>
          </w:tcPr>
          <w:p w:rsidR="00360A16" w:rsidRPr="00BD3B25" w:rsidRDefault="00360A16" w:rsidP="00360A16">
            <w:pPr>
              <w:jc w:val="center"/>
              <w:rPr>
                <w:rFonts w:eastAsia="宋体"/>
                <w:b w:val="0"/>
                <w:sz w:val="28"/>
                <w:szCs w:val="28"/>
              </w:rPr>
            </w:pPr>
            <w:r w:rsidRPr="00BD3B25">
              <w:rPr>
                <w:rFonts w:eastAsia="宋体"/>
                <w:b w:val="0"/>
                <w:sz w:val="28"/>
                <w:szCs w:val="28"/>
              </w:rPr>
              <w:t xml:space="preserve">(Ian </w:t>
            </w:r>
            <w:proofErr w:type="spellStart"/>
            <w:r w:rsidRPr="00BD3B25">
              <w:rPr>
                <w:rFonts w:eastAsia="宋体"/>
                <w:b w:val="0"/>
                <w:sz w:val="28"/>
                <w:szCs w:val="28"/>
              </w:rPr>
              <w:t>McWalters</w:t>
            </w:r>
            <w:proofErr w:type="spellEnd"/>
            <w:r w:rsidRPr="00BD3B25">
              <w:rPr>
                <w:rFonts w:eastAsia="宋体"/>
                <w:b w:val="0"/>
                <w:sz w:val="28"/>
                <w:szCs w:val="28"/>
              </w:rPr>
              <w:t>)</w:t>
            </w:r>
          </w:p>
          <w:p w:rsidR="00125EAA" w:rsidRPr="00BD3B25" w:rsidRDefault="00360A16" w:rsidP="00360A16">
            <w:pPr>
              <w:jc w:val="center"/>
              <w:rPr>
                <w:b w:val="0"/>
                <w:bCs/>
                <w:sz w:val="28"/>
              </w:rPr>
            </w:pPr>
            <w:r w:rsidRPr="00BD3B25">
              <w:rPr>
                <w:b w:val="0"/>
                <w:sz w:val="28"/>
                <w:szCs w:val="28"/>
              </w:rPr>
              <w:t>Justice of Appeal</w:t>
            </w:r>
          </w:p>
        </w:tc>
        <w:tc>
          <w:tcPr>
            <w:tcW w:w="3080" w:type="dxa"/>
          </w:tcPr>
          <w:p w:rsidR="00360A16" w:rsidRPr="00BD3B25" w:rsidRDefault="00360A16" w:rsidP="00360A16">
            <w:pPr>
              <w:jc w:val="center"/>
              <w:rPr>
                <w:rFonts w:eastAsia="宋体"/>
                <w:b w:val="0"/>
                <w:sz w:val="28"/>
                <w:szCs w:val="28"/>
              </w:rPr>
            </w:pPr>
            <w:r w:rsidRPr="00BD3B25">
              <w:rPr>
                <w:rFonts w:eastAsia="宋体"/>
                <w:b w:val="0"/>
                <w:sz w:val="28"/>
                <w:szCs w:val="28"/>
              </w:rPr>
              <w:t>(Derek Pang)</w:t>
            </w:r>
          </w:p>
          <w:p w:rsidR="00125EAA" w:rsidRPr="00BD3B25" w:rsidRDefault="00360A16" w:rsidP="00360A16">
            <w:pPr>
              <w:jc w:val="center"/>
              <w:rPr>
                <w:b w:val="0"/>
                <w:bCs/>
                <w:sz w:val="28"/>
              </w:rPr>
            </w:pPr>
            <w:r w:rsidRPr="00BD3B25">
              <w:rPr>
                <w:b w:val="0"/>
                <w:sz w:val="28"/>
                <w:szCs w:val="28"/>
              </w:rPr>
              <w:t>Justice of Appeal</w:t>
            </w:r>
          </w:p>
        </w:tc>
      </w:tr>
    </w:tbl>
    <w:p w:rsidR="008957E0" w:rsidRPr="00BD3B25" w:rsidRDefault="008957E0" w:rsidP="00485E4A">
      <w:pPr>
        <w:ind w:left="360" w:hanging="360"/>
        <w:rPr>
          <w:b w:val="0"/>
          <w:bCs/>
          <w:sz w:val="28"/>
        </w:rPr>
      </w:pPr>
    </w:p>
    <w:p w:rsidR="00125EAA" w:rsidRPr="00BD3B25" w:rsidRDefault="00125EAA" w:rsidP="00485E4A">
      <w:pPr>
        <w:ind w:left="360" w:hanging="360"/>
        <w:rPr>
          <w:b w:val="0"/>
          <w:bCs/>
          <w:sz w:val="28"/>
        </w:rPr>
      </w:pPr>
    </w:p>
    <w:p w:rsidR="00990C8D" w:rsidRPr="00BD3B25" w:rsidRDefault="00990C8D" w:rsidP="00990C8D">
      <w:pPr>
        <w:ind w:left="360" w:hanging="360"/>
        <w:rPr>
          <w:rFonts w:eastAsia="宋体"/>
          <w:b w:val="0"/>
          <w:bCs/>
          <w:sz w:val="28"/>
        </w:rPr>
      </w:pPr>
      <w:r w:rsidRPr="00BD3B25">
        <w:rPr>
          <w:rFonts w:eastAsia="宋体"/>
          <w:b w:val="0"/>
          <w:bCs/>
          <w:sz w:val="28"/>
        </w:rPr>
        <w:t xml:space="preserve">Mr Andrew Bruce SC and Ms Denise Souza, </w:t>
      </w:r>
      <w:r>
        <w:rPr>
          <w:rFonts w:eastAsia="宋体"/>
          <w:b w:val="0"/>
          <w:bCs/>
          <w:sz w:val="28"/>
        </w:rPr>
        <w:t xml:space="preserve">Counsel </w:t>
      </w:r>
      <w:r w:rsidRPr="00BD3B25">
        <w:rPr>
          <w:rFonts w:eastAsia="宋体"/>
          <w:b w:val="0"/>
          <w:bCs/>
          <w:sz w:val="28"/>
        </w:rPr>
        <w:t xml:space="preserve">on fiat, </w:t>
      </w:r>
      <w:r>
        <w:rPr>
          <w:rFonts w:eastAsia="宋体"/>
          <w:b w:val="0"/>
          <w:bCs/>
          <w:sz w:val="28"/>
        </w:rPr>
        <w:t>of</w:t>
      </w:r>
      <w:r w:rsidRPr="00BD3B25">
        <w:rPr>
          <w:rFonts w:eastAsia="宋体"/>
          <w:b w:val="0"/>
          <w:bCs/>
          <w:sz w:val="28"/>
        </w:rPr>
        <w:t xml:space="preserve"> the Department of Justice, for the Respondent</w:t>
      </w:r>
    </w:p>
    <w:p w:rsidR="00990C8D" w:rsidRPr="00BD3B25" w:rsidRDefault="00990C8D" w:rsidP="00990C8D">
      <w:pPr>
        <w:ind w:left="360" w:hanging="360"/>
        <w:rPr>
          <w:rFonts w:eastAsia="宋体"/>
          <w:b w:val="0"/>
          <w:bCs/>
          <w:sz w:val="28"/>
        </w:rPr>
      </w:pPr>
    </w:p>
    <w:p w:rsidR="00990C8D" w:rsidRPr="00BD3B25" w:rsidRDefault="00990C8D" w:rsidP="00990C8D">
      <w:pPr>
        <w:ind w:left="360" w:hanging="360"/>
        <w:rPr>
          <w:rFonts w:eastAsia="宋体"/>
          <w:b w:val="0"/>
          <w:bCs/>
          <w:sz w:val="28"/>
        </w:rPr>
      </w:pPr>
      <w:r w:rsidRPr="00BD3B25">
        <w:rPr>
          <w:rFonts w:eastAsia="宋体"/>
          <w:b w:val="0"/>
          <w:bCs/>
          <w:sz w:val="28"/>
        </w:rPr>
        <w:t xml:space="preserve">Mr Daniel </w:t>
      </w:r>
      <w:proofErr w:type="spellStart"/>
      <w:r w:rsidRPr="00BD3B25">
        <w:rPr>
          <w:rFonts w:eastAsia="宋体"/>
          <w:b w:val="0"/>
          <w:bCs/>
          <w:sz w:val="28"/>
        </w:rPr>
        <w:t>Marash</w:t>
      </w:r>
      <w:proofErr w:type="spellEnd"/>
      <w:r w:rsidRPr="00BD3B25">
        <w:rPr>
          <w:rFonts w:eastAsia="宋体"/>
          <w:b w:val="0"/>
          <w:bCs/>
          <w:sz w:val="28"/>
        </w:rPr>
        <w:t xml:space="preserve"> SC and Ms Maggie Wong SC, instructed by Stephenson Harwood, for the Appellant</w:t>
      </w:r>
    </w:p>
    <w:sectPr w:rsidR="00990C8D" w:rsidRPr="00BD3B25" w:rsidSect="000B4E57">
      <w:headerReference w:type="default" r:id="rId9"/>
      <w:headerReference w:type="first" r:id="rId10"/>
      <w:pgSz w:w="11906" w:h="16838" w:code="9"/>
      <w:pgMar w:top="1440" w:right="1800" w:bottom="1620" w:left="180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44">
      <wne:acd wne:acdName="acd0"/>
    </wne:keymap>
    <wne:keymap wne:kcmPrimary="0648">
      <wne:acd wne:acdName="acd2"/>
    </wne:keymap>
    <wne:keymap wne:kcmPrimary="0651">
      <wne:acd wne:acdName="acd1"/>
    </wne:keymap>
    <wne:keymap wne:kcmPrimary="0653">
      <wne:acd wne:acdName="acd3"/>
    </wne:keymap>
  </wne:keymaps>
  <wne:toolbars>
    <wne:acdManifest>
      <wne:acdEntry wne:acdName="acd0"/>
      <wne:acdEntry wne:acdName="acd1"/>
      <wne:acdEntry wne:acdName="acd2"/>
      <wne:acdEntry wne:acdName="acd3"/>
    </wne:acdManifest>
  </wne:toolbars>
  <wne:acds>
    <wne:acd wne:argValue="AgBhAHIALQBkAHIAYQBmAHQA" wne:acdName="acd0" wne:fciIndexBasedOn="0065"/>
    <wne:acd wne:argValue="AgBhAHIALQBxAHUAbwB0AGEAdABpAG8AbgA=" wne:acdName="acd1" wne:fciIndexBasedOn="0065"/>
    <wne:acd wne:argValue="AgBhAHIALQBoAGUAYQBkAGkAbgBnADEA" wne:acdName="acd2" wne:fciIndexBasedOn="0065"/>
    <wne:acd wne:argValue="AgBhAHIALQBzAHUAYgBoAGUAYQBkAGkAbgBnA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0B8" w:rsidRDefault="003310B8" w:rsidP="00BC5597">
      <w:r>
        <w:separator/>
      </w:r>
    </w:p>
  </w:endnote>
  <w:endnote w:type="continuationSeparator" w:id="0">
    <w:p w:rsidR="003310B8" w:rsidRDefault="003310B8" w:rsidP="00BC5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
    <w:altName w:val="MV Boli"/>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0B8" w:rsidRDefault="003310B8" w:rsidP="00BC5597">
      <w:r>
        <w:separator/>
      </w:r>
    </w:p>
  </w:footnote>
  <w:footnote w:type="continuationSeparator" w:id="0">
    <w:p w:rsidR="003310B8" w:rsidRDefault="003310B8" w:rsidP="00BC5597">
      <w:r>
        <w:continuationSeparator/>
      </w:r>
    </w:p>
  </w:footnote>
  <w:footnote w:id="1">
    <w:p w:rsidR="0070564F" w:rsidRPr="00135935" w:rsidRDefault="0070564F">
      <w:pPr>
        <w:pStyle w:val="FootnoteText"/>
        <w:rPr>
          <w:rFonts w:eastAsiaTheme="minorEastAsia"/>
        </w:rPr>
      </w:pPr>
      <w:r>
        <w:rPr>
          <w:rStyle w:val="FootnoteReference"/>
        </w:rPr>
        <w:footnoteRef/>
      </w:r>
      <w:r w:rsidR="008119B7">
        <w:tab/>
      </w:r>
      <w:r>
        <w:t xml:space="preserve">Hon </w:t>
      </w:r>
      <w:proofErr w:type="spellStart"/>
      <w:r>
        <w:t>McWalters</w:t>
      </w:r>
      <w:proofErr w:type="spellEnd"/>
      <w:r>
        <w:t xml:space="preserve"> JA.</w:t>
      </w:r>
    </w:p>
  </w:footnote>
  <w:footnote w:id="2">
    <w:p w:rsidR="00676DF8" w:rsidRPr="00147134" w:rsidRDefault="00676DF8" w:rsidP="00676DF8">
      <w:pPr>
        <w:pStyle w:val="FootnoteText"/>
        <w:rPr>
          <w:lang w:val="en-US"/>
        </w:rPr>
      </w:pPr>
      <w:r w:rsidRPr="00147134">
        <w:rPr>
          <w:rStyle w:val="FootnoteReference"/>
        </w:rPr>
        <w:footnoteRef/>
      </w:r>
      <w:r>
        <w:tab/>
      </w:r>
      <w:r>
        <w:rPr>
          <w:lang w:val="en-US"/>
        </w:rPr>
        <w:t>AB</w:t>
      </w:r>
      <w:r w:rsidR="00E41B30">
        <w:rPr>
          <w:lang w:val="en-US"/>
        </w:rPr>
        <w:t xml:space="preserve"> p</w:t>
      </w:r>
      <w:r w:rsidR="00904612">
        <w:rPr>
          <w:lang w:val="en-US"/>
        </w:rPr>
        <w:t>p</w:t>
      </w:r>
      <w:r w:rsidRPr="00147134">
        <w:rPr>
          <w:lang w:val="en-US"/>
        </w:rPr>
        <w:t xml:space="preserve"> 22Q-23F</w:t>
      </w:r>
      <w:r w:rsidR="00904612">
        <w:rPr>
          <w:lang w:val="en-US"/>
        </w:rPr>
        <w:t>, paragraphs 10-11</w:t>
      </w:r>
      <w:r>
        <w:rPr>
          <w:lang w:val="en-US"/>
        </w:rPr>
        <w:t>.</w:t>
      </w:r>
    </w:p>
  </w:footnote>
  <w:footnote w:id="3">
    <w:p w:rsidR="00676DF8" w:rsidRPr="00147134" w:rsidRDefault="00676DF8" w:rsidP="00676DF8">
      <w:pPr>
        <w:pStyle w:val="FootnoteText"/>
      </w:pPr>
      <w:r w:rsidRPr="00147134">
        <w:rPr>
          <w:rStyle w:val="FootnoteReference"/>
        </w:rPr>
        <w:footnoteRef/>
      </w:r>
      <w:r>
        <w:tab/>
      </w:r>
      <w:r w:rsidRPr="00147134">
        <w:t>The classification of vessels is found in Schedule 1 of Cap</w:t>
      </w:r>
      <w:r>
        <w:t xml:space="preserve"> </w:t>
      </w:r>
      <w:r w:rsidRPr="00147134">
        <w:t xml:space="preserve">548D. </w:t>
      </w:r>
      <w:r>
        <w:t xml:space="preserve">A </w:t>
      </w:r>
      <w:r w:rsidRPr="00147134">
        <w:t>Class I vessel</w:t>
      </w:r>
      <w:r>
        <w:t xml:space="preserve"> is a</w:t>
      </w:r>
      <w:r w:rsidRPr="00147134">
        <w:t xml:space="preserve"> ferry vessel, floating restaurant, </w:t>
      </w:r>
      <w:r>
        <w:t xml:space="preserve">a </w:t>
      </w:r>
      <w:r w:rsidRPr="00147134">
        <w:t xml:space="preserve">launch, </w:t>
      </w:r>
      <w:r>
        <w:t xml:space="preserve">a </w:t>
      </w:r>
      <w:r w:rsidRPr="00147134">
        <w:t xml:space="preserve">multi-purpose vessel, </w:t>
      </w:r>
      <w:r>
        <w:t xml:space="preserve">a </w:t>
      </w:r>
      <w:r w:rsidRPr="00147134">
        <w:t xml:space="preserve">primitive vessel and </w:t>
      </w:r>
      <w:r>
        <w:t xml:space="preserve">a </w:t>
      </w:r>
      <w:r w:rsidRPr="00147134">
        <w:t xml:space="preserve">stationary vessel. </w:t>
      </w:r>
      <w:r>
        <w:t xml:space="preserve"> A ‍</w:t>
      </w:r>
      <w:r w:rsidRPr="00147134">
        <w:t xml:space="preserve">Class </w:t>
      </w:r>
      <w:r>
        <w:t>‍</w:t>
      </w:r>
      <w:r w:rsidRPr="00147134">
        <w:t>IV vessel</w:t>
      </w:r>
      <w:r>
        <w:t xml:space="preserve"> is an</w:t>
      </w:r>
      <w:r w:rsidRPr="00147134">
        <w:t xml:space="preserve"> auxiliary powered yacht, </w:t>
      </w:r>
      <w:r>
        <w:t xml:space="preserve">a </w:t>
      </w:r>
      <w:r w:rsidRPr="00147134">
        <w:t xml:space="preserve">cruiser and </w:t>
      </w:r>
      <w:r>
        <w:t xml:space="preserve">an </w:t>
      </w:r>
      <w:r w:rsidRPr="00147134">
        <w:t>open cruise</w:t>
      </w:r>
      <w:r>
        <w:t>r</w:t>
      </w:r>
      <w:r w:rsidRPr="00147134">
        <w:t>.</w:t>
      </w:r>
    </w:p>
  </w:footnote>
  <w:footnote w:id="4">
    <w:p w:rsidR="0070564F" w:rsidRPr="00147134" w:rsidRDefault="0070564F" w:rsidP="0034463C">
      <w:pPr>
        <w:pStyle w:val="FootnoteText"/>
      </w:pPr>
      <w:r w:rsidRPr="00147134">
        <w:rPr>
          <w:rStyle w:val="FootnoteReference"/>
        </w:rPr>
        <w:footnoteRef/>
      </w:r>
      <w:r>
        <w:tab/>
      </w:r>
      <w:r w:rsidRPr="00147134">
        <w:t>Under s</w:t>
      </w:r>
      <w:r>
        <w:rPr>
          <w:lang w:val="en-US"/>
        </w:rPr>
        <w:t> </w:t>
      </w:r>
      <w:r w:rsidRPr="00147134">
        <w:t>9(1) of Schedule 8</w:t>
      </w:r>
      <w:r>
        <w:t>.</w:t>
      </w:r>
    </w:p>
  </w:footnote>
  <w:footnote w:id="5">
    <w:p w:rsidR="0070564F" w:rsidRPr="00147134" w:rsidRDefault="0070564F" w:rsidP="0034463C">
      <w:pPr>
        <w:pStyle w:val="FootnoteText"/>
      </w:pPr>
      <w:r w:rsidRPr="00147134">
        <w:rPr>
          <w:rStyle w:val="FootnoteReference"/>
        </w:rPr>
        <w:footnoteRef/>
      </w:r>
      <w:r w:rsidR="00165D1B">
        <w:tab/>
      </w:r>
      <w:r>
        <w:t>Leung Wing Fai.</w:t>
      </w:r>
    </w:p>
  </w:footnote>
  <w:footnote w:id="6">
    <w:p w:rsidR="006E18B8" w:rsidRPr="006E18B8" w:rsidRDefault="006E18B8">
      <w:pPr>
        <w:pStyle w:val="FootnoteText"/>
        <w:rPr>
          <w:rFonts w:eastAsiaTheme="minorEastAsia"/>
        </w:rPr>
      </w:pPr>
      <w:r>
        <w:rPr>
          <w:rStyle w:val="FootnoteReference"/>
        </w:rPr>
        <w:footnoteRef/>
      </w:r>
      <w:r w:rsidR="0063050A">
        <w:tab/>
      </w:r>
      <w:r>
        <w:rPr>
          <w:rFonts w:eastAsiaTheme="minorEastAsia" w:hint="eastAsia"/>
        </w:rPr>
        <w:t>According to PW1, the industry was represented by the Hong Kong and Kowloon Motor</w:t>
      </w:r>
      <w:r>
        <w:rPr>
          <w:rFonts w:eastAsiaTheme="minorEastAsia"/>
        </w:rPr>
        <w:t xml:space="preserve"> Boats</w:t>
      </w:r>
      <w:r>
        <w:rPr>
          <w:rFonts w:eastAsiaTheme="minorEastAsia" w:hint="eastAsia"/>
        </w:rPr>
        <w:t xml:space="preserve"> and Tug Boat</w:t>
      </w:r>
      <w:r>
        <w:rPr>
          <w:rFonts w:eastAsiaTheme="minorEastAsia"/>
        </w:rPr>
        <w:t>s</w:t>
      </w:r>
      <w:r>
        <w:rPr>
          <w:rFonts w:eastAsiaTheme="minorEastAsia" w:hint="eastAsia"/>
        </w:rPr>
        <w:t xml:space="preserve"> Association, the Cargo Traders Association and several fishermen</w:t>
      </w:r>
      <w:r>
        <w:rPr>
          <w:rFonts w:eastAsiaTheme="minorEastAsia"/>
        </w:rPr>
        <w:t>’s associations.</w:t>
      </w:r>
    </w:p>
  </w:footnote>
  <w:footnote w:id="7">
    <w:p w:rsidR="0070564F" w:rsidRPr="00147134" w:rsidRDefault="0070564F" w:rsidP="0034463C">
      <w:pPr>
        <w:pStyle w:val="FootnoteText"/>
        <w:rPr>
          <w:lang w:val="en-AU"/>
        </w:rPr>
      </w:pPr>
      <w:r w:rsidRPr="00147134">
        <w:rPr>
          <w:rStyle w:val="FootnoteReference"/>
        </w:rPr>
        <w:footnoteRef/>
      </w:r>
      <w:r>
        <w:tab/>
      </w:r>
      <w:r w:rsidRPr="00147134">
        <w:t>From Tung Hon Ming</w:t>
      </w:r>
      <w:r>
        <w:t xml:space="preserve"> (“PW2”), a</w:t>
      </w:r>
      <w:r w:rsidRPr="00147134">
        <w:t xml:space="preserve"> Deputy Director </w:t>
      </w:r>
      <w:r>
        <w:t xml:space="preserve">of Marine; </w:t>
      </w:r>
      <w:r w:rsidRPr="00147134">
        <w:t xml:space="preserve">Liu Hon </w:t>
      </w:r>
      <w:proofErr w:type="spellStart"/>
      <w:r w:rsidRPr="00147134">
        <w:t>Por</w:t>
      </w:r>
      <w:proofErr w:type="spellEnd"/>
      <w:r w:rsidRPr="00147134">
        <w:t xml:space="preserve"> Francis</w:t>
      </w:r>
      <w:r>
        <w:t xml:space="preserve"> (“PW3”)</w:t>
      </w:r>
      <w:r w:rsidR="00904612">
        <w:t>,</w:t>
      </w:r>
      <w:r w:rsidRPr="00147134">
        <w:t xml:space="preserve"> </w:t>
      </w:r>
      <w:r>
        <w:t xml:space="preserve">a </w:t>
      </w:r>
      <w:r w:rsidRPr="00147134">
        <w:t>retired Director of Marine; and Wong Hon Chung</w:t>
      </w:r>
      <w:r>
        <w:t xml:space="preserve"> (“PW5”)</w:t>
      </w:r>
      <w:r w:rsidR="00904612">
        <w:t>,</w:t>
      </w:r>
      <w:r w:rsidRPr="00147134">
        <w:t xml:space="preserve"> </w:t>
      </w:r>
      <w:r>
        <w:t xml:space="preserve">a </w:t>
      </w:r>
      <w:r w:rsidRPr="00147134">
        <w:t>Chief Ship Inspector since 2009</w:t>
      </w:r>
      <w:r>
        <w:t>.</w:t>
      </w:r>
    </w:p>
  </w:footnote>
  <w:footnote w:id="8">
    <w:p w:rsidR="0070564F" w:rsidRPr="00147134" w:rsidRDefault="0070564F" w:rsidP="0034463C">
      <w:pPr>
        <w:pStyle w:val="FootnoteText"/>
        <w:rPr>
          <w:lang w:val="en-US"/>
        </w:rPr>
      </w:pPr>
      <w:r w:rsidRPr="00147134">
        <w:rPr>
          <w:rStyle w:val="FootnoteReference"/>
        </w:rPr>
        <w:footnoteRef/>
      </w:r>
      <w:r w:rsidR="00CE6DC1">
        <w:tab/>
      </w:r>
      <w:r>
        <w:rPr>
          <w:lang w:val="en-US"/>
        </w:rPr>
        <w:t>AB</w:t>
      </w:r>
      <w:r w:rsidR="00E41B30">
        <w:rPr>
          <w:lang w:val="en-US"/>
        </w:rPr>
        <w:t xml:space="preserve"> p</w:t>
      </w:r>
      <w:r>
        <w:rPr>
          <w:lang w:val="en-US"/>
        </w:rPr>
        <w:t xml:space="preserve"> 46</w:t>
      </w:r>
      <w:r w:rsidR="001C0682">
        <w:rPr>
          <w:lang w:val="en-US"/>
        </w:rPr>
        <w:t>N-Q</w:t>
      </w:r>
      <w:r>
        <w:rPr>
          <w:lang w:val="en-US"/>
        </w:rPr>
        <w:t xml:space="preserve">, </w:t>
      </w:r>
      <w:r w:rsidRPr="00147134">
        <w:rPr>
          <w:lang w:val="en-US"/>
        </w:rPr>
        <w:t>paragraph 118</w:t>
      </w:r>
      <w:r>
        <w:rPr>
          <w:lang w:val="en-US"/>
        </w:rPr>
        <w:t>.</w:t>
      </w:r>
    </w:p>
  </w:footnote>
  <w:footnote w:id="9">
    <w:p w:rsidR="0070564F" w:rsidRPr="00147134" w:rsidRDefault="0070564F" w:rsidP="0034463C">
      <w:pPr>
        <w:pStyle w:val="FootnoteText"/>
      </w:pPr>
      <w:r w:rsidRPr="00147134">
        <w:rPr>
          <w:rStyle w:val="FootnoteReference"/>
        </w:rPr>
        <w:footnoteRef/>
      </w:r>
      <w:r>
        <w:tab/>
        <w:t xml:space="preserve">AB </w:t>
      </w:r>
      <w:r w:rsidR="001C0682">
        <w:t xml:space="preserve">p </w:t>
      </w:r>
      <w:r>
        <w:t>79P-R, paragraph 256.</w:t>
      </w:r>
    </w:p>
  </w:footnote>
  <w:footnote w:id="10">
    <w:p w:rsidR="0070564F" w:rsidRPr="00AF028D" w:rsidRDefault="0070564F">
      <w:pPr>
        <w:pStyle w:val="FootnoteText"/>
        <w:rPr>
          <w:rFonts w:eastAsiaTheme="minorEastAsia"/>
        </w:rPr>
      </w:pPr>
      <w:r>
        <w:rPr>
          <w:rStyle w:val="FootnoteReference"/>
        </w:rPr>
        <w:footnoteRef/>
      </w:r>
      <w:r w:rsidR="008119B7">
        <w:tab/>
      </w:r>
      <w:r>
        <w:rPr>
          <w:rFonts w:eastAsiaTheme="minorEastAsia" w:hint="eastAsia"/>
        </w:rPr>
        <w:t>AB</w:t>
      </w:r>
      <w:r w:rsidR="001C0682">
        <w:rPr>
          <w:rFonts w:eastAsiaTheme="minorEastAsia"/>
        </w:rPr>
        <w:t xml:space="preserve"> p</w:t>
      </w:r>
      <w:r>
        <w:rPr>
          <w:rFonts w:eastAsiaTheme="minorEastAsia" w:hint="eastAsia"/>
        </w:rPr>
        <w:t xml:space="preserve"> 79S-T, paragraph 257</w:t>
      </w:r>
      <w:r w:rsidR="008119B7">
        <w:rPr>
          <w:rFonts w:eastAsiaTheme="minorEastAsia"/>
        </w:rPr>
        <w:t>.</w:t>
      </w:r>
    </w:p>
  </w:footnote>
  <w:footnote w:id="11">
    <w:p w:rsidR="0070564F" w:rsidRPr="00AF028D" w:rsidRDefault="0070564F">
      <w:pPr>
        <w:pStyle w:val="FootnoteText"/>
        <w:rPr>
          <w:rFonts w:eastAsiaTheme="minorEastAsia"/>
        </w:rPr>
      </w:pPr>
      <w:r>
        <w:rPr>
          <w:rStyle w:val="FootnoteReference"/>
        </w:rPr>
        <w:footnoteRef/>
      </w:r>
      <w:r w:rsidR="008119B7">
        <w:tab/>
      </w:r>
      <w:r>
        <w:rPr>
          <w:rFonts w:eastAsiaTheme="minorEastAsia" w:hint="eastAsia"/>
        </w:rPr>
        <w:t xml:space="preserve">AB </w:t>
      </w:r>
      <w:r w:rsidR="001C0682">
        <w:rPr>
          <w:rFonts w:eastAsiaTheme="minorEastAsia"/>
        </w:rPr>
        <w:t xml:space="preserve">p </w:t>
      </w:r>
      <w:r>
        <w:rPr>
          <w:rFonts w:eastAsiaTheme="minorEastAsia" w:hint="eastAsia"/>
        </w:rPr>
        <w:t>80A-I, paragraphs 258-259.</w:t>
      </w:r>
    </w:p>
  </w:footnote>
  <w:footnote w:id="12">
    <w:p w:rsidR="0070564F" w:rsidRPr="00746D8C" w:rsidRDefault="0070564F">
      <w:pPr>
        <w:pStyle w:val="FootnoteText"/>
        <w:rPr>
          <w:rFonts w:eastAsiaTheme="minorEastAsia"/>
        </w:rPr>
      </w:pPr>
      <w:r>
        <w:rPr>
          <w:rStyle w:val="FootnoteReference"/>
        </w:rPr>
        <w:footnoteRef/>
      </w:r>
      <w:r w:rsidR="00372EBA">
        <w:tab/>
      </w:r>
      <w:r>
        <w:rPr>
          <w:rFonts w:eastAsiaTheme="minorEastAsia" w:hint="eastAsia"/>
        </w:rPr>
        <w:t>AB</w:t>
      </w:r>
      <w:r w:rsidR="00372EBA">
        <w:rPr>
          <w:rFonts w:eastAsiaTheme="minorEastAsia"/>
        </w:rPr>
        <w:t xml:space="preserve"> </w:t>
      </w:r>
      <w:r w:rsidR="001C0682">
        <w:rPr>
          <w:rFonts w:eastAsiaTheme="minorEastAsia"/>
        </w:rPr>
        <w:t xml:space="preserve">p </w:t>
      </w:r>
      <w:r>
        <w:rPr>
          <w:rFonts w:eastAsiaTheme="minorEastAsia" w:hint="eastAsia"/>
        </w:rPr>
        <w:t>80</w:t>
      </w:r>
      <w:r w:rsidR="001C0682">
        <w:rPr>
          <w:rFonts w:eastAsiaTheme="minorEastAsia"/>
        </w:rPr>
        <w:t>K-S</w:t>
      </w:r>
      <w:r>
        <w:rPr>
          <w:rFonts w:eastAsiaTheme="minorEastAsia" w:hint="eastAsia"/>
        </w:rPr>
        <w:t>, paragraph</w:t>
      </w:r>
      <w:r>
        <w:rPr>
          <w:rFonts w:eastAsiaTheme="minorEastAsia"/>
        </w:rPr>
        <w:t xml:space="preserve">s </w:t>
      </w:r>
      <w:r>
        <w:rPr>
          <w:rFonts w:eastAsiaTheme="minorEastAsia" w:hint="eastAsia"/>
        </w:rPr>
        <w:t>260-261.</w:t>
      </w:r>
    </w:p>
  </w:footnote>
  <w:footnote w:id="13">
    <w:p w:rsidR="00AC6933" w:rsidRPr="00AC6933" w:rsidRDefault="00AC6933">
      <w:pPr>
        <w:pStyle w:val="FootnoteText"/>
        <w:rPr>
          <w:rFonts w:eastAsiaTheme="minorEastAsia"/>
        </w:rPr>
      </w:pPr>
      <w:r>
        <w:rPr>
          <w:rStyle w:val="FootnoteReference"/>
        </w:rPr>
        <w:footnoteRef/>
      </w:r>
      <w:r w:rsidR="001C74A4">
        <w:tab/>
      </w:r>
      <w:r w:rsidR="00184E62">
        <w:rPr>
          <w:rFonts w:eastAsiaTheme="minorEastAsia" w:hint="eastAsia"/>
        </w:rPr>
        <w:t>AB</w:t>
      </w:r>
      <w:r w:rsidR="001C0682">
        <w:rPr>
          <w:rFonts w:eastAsiaTheme="minorEastAsia"/>
        </w:rPr>
        <w:t xml:space="preserve"> p</w:t>
      </w:r>
      <w:r w:rsidR="00184E62">
        <w:rPr>
          <w:rFonts w:eastAsiaTheme="minorEastAsia"/>
        </w:rPr>
        <w:t xml:space="preserve"> </w:t>
      </w:r>
      <w:r w:rsidR="00184E62">
        <w:rPr>
          <w:rFonts w:eastAsiaTheme="minorEastAsia" w:hint="eastAsia"/>
        </w:rPr>
        <w:t>80</w:t>
      </w:r>
      <w:r w:rsidR="00184E62">
        <w:rPr>
          <w:rFonts w:eastAsiaTheme="minorEastAsia"/>
        </w:rPr>
        <w:t>R-S, paragraph 261.</w:t>
      </w:r>
    </w:p>
  </w:footnote>
  <w:footnote w:id="14">
    <w:p w:rsidR="00184E62" w:rsidRPr="00184E62" w:rsidRDefault="00184E62">
      <w:pPr>
        <w:pStyle w:val="FootnoteText"/>
        <w:rPr>
          <w:rFonts w:eastAsiaTheme="minorEastAsia"/>
        </w:rPr>
      </w:pPr>
      <w:r>
        <w:rPr>
          <w:rStyle w:val="FootnoteReference"/>
        </w:rPr>
        <w:footnoteRef/>
      </w:r>
      <w:r w:rsidR="001C74A4">
        <w:tab/>
      </w:r>
      <w:r>
        <w:rPr>
          <w:rFonts w:eastAsiaTheme="minorEastAsia" w:hint="eastAsia"/>
        </w:rPr>
        <w:t>AB</w:t>
      </w:r>
      <w:r>
        <w:rPr>
          <w:rFonts w:eastAsiaTheme="minorEastAsia"/>
        </w:rPr>
        <w:t xml:space="preserve"> </w:t>
      </w:r>
      <w:r w:rsidR="001C0682">
        <w:rPr>
          <w:rFonts w:eastAsiaTheme="minorEastAsia"/>
        </w:rPr>
        <w:t xml:space="preserve">p </w:t>
      </w:r>
      <w:r>
        <w:rPr>
          <w:rFonts w:eastAsiaTheme="minorEastAsia"/>
        </w:rPr>
        <w:t>81C-G, paragraph 262.</w:t>
      </w:r>
    </w:p>
  </w:footnote>
  <w:footnote w:id="15">
    <w:p w:rsidR="0070564F" w:rsidRPr="00147134" w:rsidRDefault="0070564F" w:rsidP="0034463C">
      <w:pPr>
        <w:pStyle w:val="FootnoteText"/>
      </w:pPr>
      <w:r w:rsidRPr="00147134">
        <w:rPr>
          <w:rStyle w:val="FootnoteReference"/>
        </w:rPr>
        <w:footnoteRef/>
      </w:r>
      <w:r w:rsidRPr="00147134">
        <w:tab/>
        <w:t xml:space="preserve">AB </w:t>
      </w:r>
      <w:r w:rsidR="001C0682">
        <w:t xml:space="preserve">p </w:t>
      </w:r>
      <w:r w:rsidRPr="00147134">
        <w:t>81H-I, paragraph 263.</w:t>
      </w:r>
    </w:p>
  </w:footnote>
  <w:footnote w:id="16">
    <w:p w:rsidR="0070564F" w:rsidRPr="00056B3C" w:rsidRDefault="0070564F">
      <w:pPr>
        <w:pStyle w:val="FootnoteText"/>
        <w:rPr>
          <w:rFonts w:eastAsiaTheme="minorEastAsia"/>
        </w:rPr>
      </w:pPr>
      <w:r>
        <w:rPr>
          <w:rStyle w:val="FootnoteReference"/>
        </w:rPr>
        <w:footnoteRef/>
      </w:r>
      <w:r w:rsidR="00CB24DB">
        <w:tab/>
      </w:r>
      <w:r>
        <w:rPr>
          <w:rFonts w:eastAsiaTheme="minorEastAsia" w:hint="eastAsia"/>
        </w:rPr>
        <w:t>AB</w:t>
      </w:r>
      <w:r w:rsidR="00CB24DB">
        <w:rPr>
          <w:rFonts w:eastAsiaTheme="minorEastAsia"/>
        </w:rPr>
        <w:t xml:space="preserve"> </w:t>
      </w:r>
      <w:r w:rsidR="001C0682">
        <w:rPr>
          <w:rFonts w:eastAsiaTheme="minorEastAsia"/>
        </w:rPr>
        <w:t xml:space="preserve">pp </w:t>
      </w:r>
      <w:r>
        <w:rPr>
          <w:rFonts w:eastAsiaTheme="minorEastAsia" w:hint="eastAsia"/>
        </w:rPr>
        <w:t>81P-82E</w:t>
      </w:r>
      <w:r>
        <w:rPr>
          <w:rFonts w:eastAsiaTheme="minorEastAsia"/>
        </w:rPr>
        <w:t>, paragraphs 265-267</w:t>
      </w:r>
      <w:r>
        <w:rPr>
          <w:rFonts w:eastAsiaTheme="minorEastAsia" w:hint="eastAsia"/>
        </w:rPr>
        <w:t>.</w:t>
      </w:r>
    </w:p>
  </w:footnote>
  <w:footnote w:id="17">
    <w:p w:rsidR="0070564F" w:rsidRPr="00056B3C" w:rsidRDefault="0070564F">
      <w:pPr>
        <w:pStyle w:val="FootnoteText"/>
        <w:rPr>
          <w:rFonts w:eastAsiaTheme="minorEastAsia"/>
        </w:rPr>
      </w:pPr>
      <w:r>
        <w:rPr>
          <w:rStyle w:val="FootnoteReference"/>
        </w:rPr>
        <w:footnoteRef/>
      </w:r>
      <w:r w:rsidR="00CB24DB">
        <w:tab/>
      </w:r>
      <w:r>
        <w:rPr>
          <w:rFonts w:eastAsiaTheme="minorEastAsia" w:hint="eastAsia"/>
        </w:rPr>
        <w:t>AB</w:t>
      </w:r>
      <w:r w:rsidR="001C0682">
        <w:rPr>
          <w:rFonts w:eastAsiaTheme="minorEastAsia"/>
        </w:rPr>
        <w:t xml:space="preserve"> p </w:t>
      </w:r>
      <w:r>
        <w:rPr>
          <w:rFonts w:eastAsiaTheme="minorEastAsia" w:hint="eastAsia"/>
        </w:rPr>
        <w:t>83A-G</w:t>
      </w:r>
      <w:r>
        <w:rPr>
          <w:rFonts w:eastAsiaTheme="minorEastAsia"/>
        </w:rPr>
        <w:t>, paragraph 271</w:t>
      </w:r>
      <w:r>
        <w:rPr>
          <w:rFonts w:eastAsiaTheme="minorEastAsia" w:hint="eastAsia"/>
        </w:rPr>
        <w:t>.</w:t>
      </w:r>
    </w:p>
  </w:footnote>
  <w:footnote w:id="18">
    <w:p w:rsidR="0070564F" w:rsidRPr="00C2601E" w:rsidRDefault="0070564F">
      <w:pPr>
        <w:pStyle w:val="FootnoteText"/>
        <w:rPr>
          <w:rFonts w:eastAsiaTheme="minorEastAsia"/>
        </w:rPr>
      </w:pPr>
      <w:r>
        <w:rPr>
          <w:rStyle w:val="FootnoteReference"/>
        </w:rPr>
        <w:footnoteRef/>
      </w:r>
      <w:r w:rsidR="00CB24DB">
        <w:tab/>
      </w:r>
      <w:r>
        <w:rPr>
          <w:rFonts w:eastAsiaTheme="minorEastAsia" w:hint="eastAsia"/>
        </w:rPr>
        <w:t>AB</w:t>
      </w:r>
      <w:r w:rsidR="00CB24DB">
        <w:rPr>
          <w:rFonts w:eastAsiaTheme="minorEastAsia"/>
        </w:rPr>
        <w:t xml:space="preserve"> </w:t>
      </w:r>
      <w:r w:rsidR="001C0682">
        <w:rPr>
          <w:rFonts w:eastAsiaTheme="minorEastAsia"/>
        </w:rPr>
        <w:t xml:space="preserve">p </w:t>
      </w:r>
      <w:r>
        <w:rPr>
          <w:rFonts w:eastAsiaTheme="minorEastAsia" w:hint="eastAsia"/>
        </w:rPr>
        <w:t>83Q-R</w:t>
      </w:r>
      <w:r>
        <w:rPr>
          <w:rFonts w:eastAsiaTheme="minorEastAsia"/>
        </w:rPr>
        <w:t>, paragraph 275</w:t>
      </w:r>
      <w:r>
        <w:rPr>
          <w:rFonts w:eastAsiaTheme="minorEastAsia" w:hint="eastAsia"/>
        </w:rPr>
        <w:t>.</w:t>
      </w:r>
    </w:p>
  </w:footnote>
  <w:footnote w:id="19">
    <w:p w:rsidR="00552FD1" w:rsidRPr="00552FD1" w:rsidRDefault="00552FD1">
      <w:pPr>
        <w:pStyle w:val="FootnoteText"/>
        <w:rPr>
          <w:rFonts w:eastAsiaTheme="minorEastAsia"/>
        </w:rPr>
      </w:pPr>
      <w:r>
        <w:rPr>
          <w:rStyle w:val="FootnoteReference"/>
        </w:rPr>
        <w:footnoteRef/>
      </w:r>
      <w:r w:rsidR="00CE6DC1">
        <w:tab/>
      </w:r>
      <w:r>
        <w:rPr>
          <w:rFonts w:eastAsiaTheme="minorEastAsia" w:hint="eastAsia"/>
        </w:rPr>
        <w:t xml:space="preserve">AB </w:t>
      </w:r>
      <w:r w:rsidR="001C0682">
        <w:rPr>
          <w:rFonts w:eastAsiaTheme="minorEastAsia"/>
        </w:rPr>
        <w:t xml:space="preserve">p </w:t>
      </w:r>
      <w:r>
        <w:rPr>
          <w:rFonts w:eastAsiaTheme="minorEastAsia" w:hint="eastAsia"/>
        </w:rPr>
        <w:t>83R-T, paragraph 275.</w:t>
      </w:r>
    </w:p>
  </w:footnote>
  <w:footnote w:id="20">
    <w:p w:rsidR="0070564F" w:rsidRPr="00C2601E" w:rsidRDefault="0070564F">
      <w:pPr>
        <w:pStyle w:val="FootnoteText"/>
        <w:rPr>
          <w:rFonts w:eastAsiaTheme="minorEastAsia"/>
        </w:rPr>
      </w:pPr>
      <w:r>
        <w:rPr>
          <w:rStyle w:val="FootnoteReference"/>
        </w:rPr>
        <w:footnoteRef/>
      </w:r>
      <w:r w:rsidR="00CB24DB">
        <w:tab/>
      </w:r>
      <w:r>
        <w:rPr>
          <w:rFonts w:eastAsiaTheme="minorEastAsia" w:hint="eastAsia"/>
        </w:rPr>
        <w:t>AB</w:t>
      </w:r>
      <w:r w:rsidR="001C0682">
        <w:rPr>
          <w:rFonts w:eastAsiaTheme="minorEastAsia"/>
        </w:rPr>
        <w:t xml:space="preserve"> p</w:t>
      </w:r>
      <w:r w:rsidR="00CB24DB">
        <w:rPr>
          <w:rFonts w:eastAsiaTheme="minorEastAsia"/>
        </w:rPr>
        <w:t xml:space="preserve"> </w:t>
      </w:r>
      <w:r>
        <w:rPr>
          <w:rFonts w:eastAsiaTheme="minorEastAsia" w:hint="eastAsia"/>
        </w:rPr>
        <w:t>84</w:t>
      </w:r>
      <w:r>
        <w:rPr>
          <w:rFonts w:eastAsiaTheme="minorEastAsia"/>
        </w:rPr>
        <w:t>K-L</w:t>
      </w:r>
      <w:r>
        <w:rPr>
          <w:rFonts w:eastAsiaTheme="minorEastAsia" w:hint="eastAsia"/>
        </w:rPr>
        <w:t>, paragraph 278.</w:t>
      </w:r>
    </w:p>
  </w:footnote>
  <w:footnote w:id="21">
    <w:p w:rsidR="0070564F" w:rsidRPr="00147134" w:rsidRDefault="0070564F" w:rsidP="0034463C">
      <w:pPr>
        <w:pStyle w:val="FootnoteText"/>
      </w:pPr>
      <w:r w:rsidRPr="00147134">
        <w:rPr>
          <w:rStyle w:val="FootnoteReference"/>
        </w:rPr>
        <w:footnoteRef/>
      </w:r>
      <w:r w:rsidRPr="00147134">
        <w:tab/>
        <w:t xml:space="preserve">AB </w:t>
      </w:r>
      <w:r w:rsidR="001C0682">
        <w:t xml:space="preserve">p </w:t>
      </w:r>
      <w:r w:rsidRPr="00147134">
        <w:t>84</w:t>
      </w:r>
      <w:r>
        <w:t>O</w:t>
      </w:r>
      <w:r w:rsidRPr="00147134">
        <w:t>-Q, paragraph</w:t>
      </w:r>
      <w:r>
        <w:t xml:space="preserve"> </w:t>
      </w:r>
      <w:r w:rsidRPr="00147134">
        <w:t>279.</w:t>
      </w:r>
    </w:p>
  </w:footnote>
  <w:footnote w:id="22">
    <w:p w:rsidR="0070564F" w:rsidRPr="00F35A15" w:rsidRDefault="0070564F">
      <w:pPr>
        <w:pStyle w:val="FootnoteText"/>
        <w:rPr>
          <w:rFonts w:eastAsiaTheme="minorEastAsia"/>
        </w:rPr>
      </w:pPr>
      <w:r>
        <w:rPr>
          <w:rStyle w:val="FootnoteReference"/>
        </w:rPr>
        <w:footnoteRef/>
      </w:r>
      <w:r w:rsidR="00CB24DB">
        <w:tab/>
      </w:r>
      <w:r w:rsidRPr="00F35A15">
        <w:rPr>
          <w:rFonts w:eastAsiaTheme="minorEastAsia" w:hint="eastAsia"/>
          <w:i/>
        </w:rPr>
        <w:t>Shum Kwok Sher v HKSAR</w:t>
      </w:r>
      <w:r>
        <w:rPr>
          <w:rFonts w:eastAsiaTheme="minorEastAsia" w:hint="eastAsia"/>
        </w:rPr>
        <w:t xml:space="preserve"> (2002) 5 HKCFAR 381.</w:t>
      </w:r>
    </w:p>
  </w:footnote>
  <w:footnote w:id="23">
    <w:p w:rsidR="0070564F" w:rsidRPr="00F35A15" w:rsidRDefault="0070564F">
      <w:pPr>
        <w:pStyle w:val="FootnoteText"/>
        <w:rPr>
          <w:rFonts w:eastAsiaTheme="minorEastAsia"/>
        </w:rPr>
      </w:pPr>
      <w:r>
        <w:rPr>
          <w:rStyle w:val="FootnoteReference"/>
        </w:rPr>
        <w:footnoteRef/>
      </w:r>
      <w:r w:rsidR="00CB24DB">
        <w:tab/>
      </w:r>
      <w:r w:rsidRPr="00CE313B">
        <w:rPr>
          <w:rFonts w:eastAsiaTheme="minorEastAsia"/>
          <w:i/>
        </w:rPr>
        <w:t>Ibid.</w:t>
      </w:r>
      <w:r>
        <w:rPr>
          <w:rFonts w:eastAsiaTheme="minorEastAsia"/>
        </w:rPr>
        <w:t>, at paragraph 82.</w:t>
      </w:r>
    </w:p>
  </w:footnote>
  <w:footnote w:id="24">
    <w:p w:rsidR="0070564F" w:rsidRPr="00CE313B" w:rsidRDefault="0070564F">
      <w:pPr>
        <w:pStyle w:val="FootnoteText"/>
        <w:rPr>
          <w:rFonts w:eastAsiaTheme="minorEastAsia"/>
        </w:rPr>
      </w:pPr>
      <w:r>
        <w:rPr>
          <w:rStyle w:val="FootnoteReference"/>
        </w:rPr>
        <w:footnoteRef/>
      </w:r>
      <w:r w:rsidR="00CB24DB">
        <w:tab/>
      </w:r>
      <w:r w:rsidRPr="00CE313B">
        <w:rPr>
          <w:rFonts w:eastAsiaTheme="minorEastAsia"/>
          <w:i/>
        </w:rPr>
        <w:t>Ibid.</w:t>
      </w:r>
      <w:r>
        <w:rPr>
          <w:rFonts w:eastAsiaTheme="minorEastAsia"/>
        </w:rPr>
        <w:t>, at paragraph 83.</w:t>
      </w:r>
    </w:p>
  </w:footnote>
  <w:footnote w:id="25">
    <w:p w:rsidR="0070564F" w:rsidRPr="0040551C" w:rsidRDefault="0070564F">
      <w:pPr>
        <w:pStyle w:val="FootnoteText"/>
        <w:rPr>
          <w:rFonts w:eastAsiaTheme="minorEastAsia"/>
        </w:rPr>
      </w:pPr>
      <w:r>
        <w:rPr>
          <w:rStyle w:val="FootnoteReference"/>
        </w:rPr>
        <w:footnoteRef/>
      </w:r>
      <w:r w:rsidR="00CB24DB">
        <w:tab/>
      </w:r>
      <w:r>
        <w:rPr>
          <w:rFonts w:eastAsiaTheme="minorEastAsia"/>
        </w:rPr>
        <w:t>S</w:t>
      </w:r>
      <w:r>
        <w:rPr>
          <w:rFonts w:eastAsiaTheme="minorEastAsia" w:hint="eastAsia"/>
        </w:rPr>
        <w:t xml:space="preserve">ee </w:t>
      </w:r>
      <w:r w:rsidRPr="0040551C">
        <w:rPr>
          <w:rFonts w:eastAsiaTheme="minorEastAsia"/>
          <w:i/>
        </w:rPr>
        <w:t>Bribery and Corruption Law in Hong Kong</w:t>
      </w:r>
      <w:r>
        <w:rPr>
          <w:rFonts w:eastAsiaTheme="minorEastAsia"/>
        </w:rPr>
        <w:t xml:space="preserve"> (3</w:t>
      </w:r>
      <w:r w:rsidRPr="0040551C">
        <w:rPr>
          <w:rFonts w:eastAsiaTheme="minorEastAsia"/>
          <w:vertAlign w:val="superscript"/>
        </w:rPr>
        <w:t>rd</w:t>
      </w:r>
      <w:r>
        <w:rPr>
          <w:rFonts w:eastAsiaTheme="minorEastAsia"/>
        </w:rPr>
        <w:t xml:space="preserve"> edition) by </w:t>
      </w:r>
      <w:proofErr w:type="spellStart"/>
      <w:r>
        <w:rPr>
          <w:rFonts w:eastAsiaTheme="minorEastAsia"/>
        </w:rPr>
        <w:t>McWalters</w:t>
      </w:r>
      <w:proofErr w:type="spellEnd"/>
      <w:r>
        <w:rPr>
          <w:rFonts w:eastAsiaTheme="minorEastAsia"/>
        </w:rPr>
        <w:t>, Fitzpatrick and Bruce, at paragraph 14.110.</w:t>
      </w:r>
    </w:p>
  </w:footnote>
  <w:footnote w:id="26">
    <w:p w:rsidR="0070564F" w:rsidRPr="0055673D" w:rsidRDefault="0070564F">
      <w:pPr>
        <w:pStyle w:val="FootnoteText"/>
        <w:rPr>
          <w:rFonts w:eastAsiaTheme="minorEastAsia"/>
        </w:rPr>
      </w:pPr>
      <w:r>
        <w:rPr>
          <w:rStyle w:val="FootnoteReference"/>
        </w:rPr>
        <w:footnoteRef/>
      </w:r>
      <w:r w:rsidR="00CB24DB">
        <w:tab/>
      </w:r>
      <w:r w:rsidRPr="0055673D">
        <w:rPr>
          <w:rFonts w:eastAsiaTheme="minorEastAsia" w:hint="eastAsia"/>
          <w:i/>
        </w:rPr>
        <w:t>R v Boulanger</w:t>
      </w:r>
      <w:r>
        <w:rPr>
          <w:rFonts w:eastAsiaTheme="minorEastAsia" w:hint="eastAsia"/>
        </w:rPr>
        <w:t xml:space="preserve"> [2006] 2 SCR 49.</w:t>
      </w:r>
    </w:p>
  </w:footnote>
  <w:footnote w:id="27">
    <w:p w:rsidR="0070564F" w:rsidRPr="00501A1C" w:rsidRDefault="0070564F">
      <w:pPr>
        <w:pStyle w:val="FootnoteText"/>
        <w:rPr>
          <w:rFonts w:eastAsiaTheme="minorEastAsia"/>
        </w:rPr>
      </w:pPr>
      <w:r>
        <w:rPr>
          <w:rStyle w:val="FootnoteReference"/>
        </w:rPr>
        <w:footnoteRef/>
      </w:r>
      <w:r w:rsidR="00CB24DB">
        <w:tab/>
      </w:r>
      <w:r w:rsidRPr="00D80976">
        <w:rPr>
          <w:rFonts w:eastAsiaTheme="minorEastAsia" w:hint="eastAsia"/>
          <w:i/>
        </w:rPr>
        <w:t>R v Chapman</w:t>
      </w:r>
      <w:r>
        <w:rPr>
          <w:rFonts w:eastAsiaTheme="minorEastAsia" w:hint="eastAsia"/>
        </w:rPr>
        <w:t xml:space="preserve"> [2015] QB 883</w:t>
      </w:r>
      <w:r w:rsidR="00D80976">
        <w:rPr>
          <w:rFonts w:eastAsiaTheme="minorEastAsia"/>
        </w:rPr>
        <w:t>.</w:t>
      </w:r>
    </w:p>
  </w:footnote>
  <w:footnote w:id="28">
    <w:p w:rsidR="00D80976" w:rsidRPr="00D80976" w:rsidRDefault="00D80976">
      <w:pPr>
        <w:pStyle w:val="FootnoteText"/>
        <w:rPr>
          <w:rFonts w:eastAsiaTheme="minorEastAsia"/>
        </w:rPr>
      </w:pPr>
      <w:r>
        <w:rPr>
          <w:rStyle w:val="FootnoteReference"/>
        </w:rPr>
        <w:footnoteRef/>
      </w:r>
      <w:r w:rsidR="00CB24DB">
        <w:tab/>
      </w:r>
      <w:r w:rsidRPr="00D80976">
        <w:rPr>
          <w:rFonts w:eastAsiaTheme="minorEastAsia" w:hint="eastAsia"/>
          <w:i/>
        </w:rPr>
        <w:t>R v France (Anthony)</w:t>
      </w:r>
      <w:r>
        <w:rPr>
          <w:rFonts w:eastAsiaTheme="minorEastAsia"/>
        </w:rPr>
        <w:t xml:space="preserve"> [2016] 4 WLR 175.</w:t>
      </w:r>
    </w:p>
  </w:footnote>
  <w:footnote w:id="29">
    <w:p w:rsidR="0070564F" w:rsidRPr="00501A1C" w:rsidRDefault="0070564F">
      <w:pPr>
        <w:pStyle w:val="FootnoteText"/>
        <w:rPr>
          <w:rFonts w:eastAsiaTheme="minorEastAsia"/>
        </w:rPr>
      </w:pPr>
      <w:r>
        <w:rPr>
          <w:rStyle w:val="FootnoteReference"/>
        </w:rPr>
        <w:footnoteRef/>
      </w:r>
      <w:r w:rsidR="00CB24DB">
        <w:tab/>
      </w:r>
      <w:r w:rsidR="00D80976" w:rsidRPr="00D80976">
        <w:rPr>
          <w:i/>
        </w:rPr>
        <w:t>R v Chapman</w:t>
      </w:r>
      <w:r w:rsidR="00D80976">
        <w:t xml:space="preserve"> [2015] QB 883,</w:t>
      </w:r>
      <w:r>
        <w:rPr>
          <w:rFonts w:eastAsiaTheme="minorEastAsia"/>
        </w:rPr>
        <w:t xml:space="preserve"> at paragraph 48.</w:t>
      </w:r>
    </w:p>
  </w:footnote>
  <w:footnote w:id="30">
    <w:p w:rsidR="0070564F" w:rsidRPr="00BD13E9" w:rsidRDefault="0070564F">
      <w:pPr>
        <w:pStyle w:val="FootnoteText"/>
        <w:rPr>
          <w:rFonts w:eastAsiaTheme="minorEastAsia"/>
        </w:rPr>
      </w:pPr>
      <w:r>
        <w:rPr>
          <w:rStyle w:val="FootnoteReference"/>
        </w:rPr>
        <w:footnoteRef/>
      </w:r>
      <w:r w:rsidR="00CB24DB">
        <w:tab/>
      </w:r>
      <w:r>
        <w:rPr>
          <w:rFonts w:eastAsiaTheme="minorEastAsia"/>
        </w:rPr>
        <w:t>AB</w:t>
      </w:r>
      <w:r w:rsidR="00CB24DB">
        <w:rPr>
          <w:rFonts w:eastAsiaTheme="minorEastAsia"/>
        </w:rPr>
        <w:t xml:space="preserve"> </w:t>
      </w:r>
      <w:r w:rsidR="001C0682">
        <w:rPr>
          <w:rFonts w:eastAsiaTheme="minorEastAsia"/>
        </w:rPr>
        <w:t xml:space="preserve">p </w:t>
      </w:r>
      <w:r>
        <w:rPr>
          <w:rFonts w:eastAsiaTheme="minorEastAsia"/>
        </w:rPr>
        <w:t>80B-I, paragraphs 258-259.</w:t>
      </w:r>
    </w:p>
  </w:footnote>
  <w:footnote w:id="31">
    <w:p w:rsidR="00FA3EEF" w:rsidRPr="00FA3EEF" w:rsidRDefault="00FA3EEF">
      <w:pPr>
        <w:pStyle w:val="FootnoteText"/>
        <w:rPr>
          <w:rFonts w:eastAsiaTheme="minorEastAsia"/>
        </w:rPr>
      </w:pPr>
      <w:r>
        <w:rPr>
          <w:rStyle w:val="FootnoteReference"/>
        </w:rPr>
        <w:footnoteRef/>
      </w:r>
      <w:r w:rsidR="001C74A4">
        <w:tab/>
      </w:r>
      <w:r w:rsidRPr="00FA3EEF">
        <w:rPr>
          <w:i/>
        </w:rPr>
        <w:t>Shum Kwok Sher v HKSAR</w:t>
      </w:r>
      <w:r>
        <w:t xml:space="preserve"> (2002) 5 HKCFAR 381, at paragraph 81.</w:t>
      </w:r>
    </w:p>
  </w:footnote>
  <w:footnote w:id="32">
    <w:p w:rsidR="0023462E" w:rsidRPr="0023462E" w:rsidRDefault="0023462E">
      <w:pPr>
        <w:pStyle w:val="FootnoteText"/>
        <w:rPr>
          <w:rFonts w:eastAsiaTheme="minorEastAsia"/>
        </w:rPr>
      </w:pPr>
      <w:r>
        <w:rPr>
          <w:rStyle w:val="FootnoteReference"/>
        </w:rPr>
        <w:footnoteRef/>
      </w:r>
      <w:r w:rsidR="002D62F0">
        <w:tab/>
      </w:r>
      <w:r w:rsidRPr="0023462E">
        <w:rPr>
          <w:rFonts w:eastAsiaTheme="minorEastAsia"/>
          <w:i/>
        </w:rPr>
        <w:t>I</w:t>
      </w:r>
      <w:r w:rsidRPr="0023462E">
        <w:rPr>
          <w:rFonts w:eastAsiaTheme="minorEastAsia" w:hint="eastAsia"/>
          <w:i/>
        </w:rPr>
        <w:t>bid.</w:t>
      </w:r>
      <w:r>
        <w:rPr>
          <w:rFonts w:eastAsiaTheme="minorEastAsia"/>
        </w:rPr>
        <w:t>, at paragraph 83.</w:t>
      </w:r>
    </w:p>
  </w:footnote>
  <w:footnote w:id="33">
    <w:p w:rsidR="00A8588C" w:rsidRPr="00A8588C" w:rsidRDefault="00A8588C">
      <w:pPr>
        <w:pStyle w:val="FootnoteText"/>
        <w:rPr>
          <w:rFonts w:eastAsiaTheme="minorEastAsia"/>
        </w:rPr>
      </w:pPr>
      <w:r>
        <w:rPr>
          <w:rStyle w:val="FootnoteReference"/>
        </w:rPr>
        <w:footnoteRef/>
      </w:r>
      <w:r w:rsidR="001C74A4">
        <w:tab/>
      </w:r>
      <w:r>
        <w:rPr>
          <w:rFonts w:eastAsiaTheme="minorEastAsia" w:hint="eastAsia"/>
        </w:rPr>
        <w:t xml:space="preserve">Note the governing words used by Sir Anthony Mason NPJ in </w:t>
      </w:r>
      <w:r w:rsidR="0023462E">
        <w:rPr>
          <w:rFonts w:eastAsiaTheme="minorEastAsia" w:hint="eastAsia"/>
          <w:i/>
        </w:rPr>
        <w:t>Shum Kwok Sher</w:t>
      </w:r>
      <w:r>
        <w:rPr>
          <w:rFonts w:eastAsiaTheme="minorEastAsia" w:hint="eastAsia"/>
        </w:rPr>
        <w:t xml:space="preserve">, at 408H, paragraph </w:t>
      </w:r>
      <w:r w:rsidR="002D62F0">
        <w:rPr>
          <w:rFonts w:eastAsiaTheme="minorEastAsia"/>
        </w:rPr>
        <w:t>‍</w:t>
      </w:r>
      <w:r>
        <w:rPr>
          <w:rFonts w:eastAsiaTheme="minorEastAsia" w:hint="eastAsia"/>
        </w:rPr>
        <w:t xml:space="preserve">83: </w:t>
      </w:r>
      <w:r>
        <w:rPr>
          <w:rFonts w:eastAsiaTheme="minorEastAsia"/>
        </w:rPr>
        <w:t>“… in the absence of breach of duty …”.</w:t>
      </w:r>
    </w:p>
  </w:footnote>
  <w:footnote w:id="34">
    <w:p w:rsidR="0070564F" w:rsidRPr="00497EEE" w:rsidRDefault="0070564F">
      <w:pPr>
        <w:pStyle w:val="FootnoteText"/>
        <w:rPr>
          <w:rFonts w:eastAsiaTheme="minorEastAsia"/>
        </w:rPr>
      </w:pPr>
      <w:r>
        <w:rPr>
          <w:rStyle w:val="FootnoteReference"/>
        </w:rPr>
        <w:footnoteRef/>
      </w:r>
      <w:r w:rsidR="00CB24DB">
        <w:tab/>
      </w:r>
      <w:r w:rsidRPr="007B116A">
        <w:rPr>
          <w:rFonts w:eastAsiaTheme="minorEastAsia"/>
          <w:i/>
        </w:rPr>
        <w:t>R v Boulanger</w:t>
      </w:r>
      <w:r>
        <w:rPr>
          <w:rFonts w:eastAsiaTheme="minorEastAsia"/>
        </w:rPr>
        <w:t xml:space="preserve"> [2006] 2 SCR 49, at paragraph 65.</w:t>
      </w:r>
    </w:p>
  </w:footnote>
  <w:footnote w:id="35">
    <w:p w:rsidR="0070564F" w:rsidRPr="00E32FD2" w:rsidRDefault="0070564F">
      <w:pPr>
        <w:pStyle w:val="FootnoteText"/>
        <w:rPr>
          <w:rFonts w:eastAsiaTheme="minorEastAsia"/>
        </w:rPr>
      </w:pPr>
      <w:r>
        <w:rPr>
          <w:rStyle w:val="FootnoteReference"/>
        </w:rPr>
        <w:footnoteRef/>
      </w:r>
      <w:r w:rsidR="00CB24DB">
        <w:tab/>
      </w:r>
      <w:r w:rsidR="00A8588C" w:rsidRPr="00A8588C">
        <w:rPr>
          <w:i/>
        </w:rPr>
        <w:t>Ibid.</w:t>
      </w:r>
      <w:r w:rsidR="00A8588C">
        <w:t>,</w:t>
      </w:r>
      <w:r>
        <w:rPr>
          <w:rFonts w:eastAsiaTheme="minorEastAsia" w:hint="eastAsia"/>
        </w:rPr>
        <w:t xml:space="preserve"> at </w:t>
      </w:r>
      <w:r>
        <w:rPr>
          <w:rFonts w:eastAsiaTheme="minorEastAsia"/>
        </w:rPr>
        <w:t>paragraph</w:t>
      </w:r>
      <w:r>
        <w:rPr>
          <w:rFonts w:eastAsiaTheme="minorEastAsia" w:hint="eastAsia"/>
        </w:rPr>
        <w:t xml:space="preserve"> </w:t>
      </w:r>
      <w:r>
        <w:rPr>
          <w:rFonts w:eastAsiaTheme="minorEastAsia"/>
        </w:rPr>
        <w:t>67.</w:t>
      </w:r>
    </w:p>
  </w:footnote>
  <w:footnote w:id="36">
    <w:p w:rsidR="0070564F" w:rsidRPr="00E32FD2" w:rsidRDefault="0070564F">
      <w:pPr>
        <w:pStyle w:val="FootnoteText"/>
        <w:rPr>
          <w:rFonts w:eastAsiaTheme="minorEastAsia"/>
        </w:rPr>
      </w:pPr>
      <w:r>
        <w:rPr>
          <w:rStyle w:val="FootnoteReference"/>
        </w:rPr>
        <w:footnoteRef/>
      </w:r>
      <w:r w:rsidR="00CB24DB">
        <w:tab/>
      </w:r>
      <w:r w:rsidRPr="00E32FD2">
        <w:rPr>
          <w:rFonts w:eastAsiaTheme="minorEastAsia"/>
          <w:i/>
        </w:rPr>
        <w:t>I</w:t>
      </w:r>
      <w:r w:rsidRPr="00E32FD2">
        <w:rPr>
          <w:rFonts w:eastAsiaTheme="minorEastAsia" w:hint="eastAsia"/>
          <w:i/>
        </w:rPr>
        <w:t>bid.</w:t>
      </w:r>
      <w:r>
        <w:rPr>
          <w:rFonts w:eastAsiaTheme="minorEastAsia"/>
        </w:rPr>
        <w:t>, at paragraph 64.</w:t>
      </w:r>
    </w:p>
  </w:footnote>
  <w:footnote w:id="37">
    <w:p w:rsidR="000812DC" w:rsidRPr="000812DC" w:rsidRDefault="000812DC">
      <w:pPr>
        <w:pStyle w:val="FootnoteText"/>
        <w:rPr>
          <w:rFonts w:eastAsiaTheme="minorEastAsia"/>
        </w:rPr>
      </w:pPr>
      <w:r>
        <w:rPr>
          <w:rStyle w:val="FootnoteReference"/>
        </w:rPr>
        <w:footnoteRef/>
      </w:r>
      <w:r w:rsidR="00CB24DB">
        <w:tab/>
      </w:r>
      <w:r w:rsidRPr="000812DC">
        <w:rPr>
          <w:rFonts w:eastAsiaTheme="minorEastAsia" w:hint="eastAsia"/>
          <w:i/>
        </w:rPr>
        <w:t>R v Chapman</w:t>
      </w:r>
      <w:r>
        <w:rPr>
          <w:rFonts w:eastAsiaTheme="minorEastAsia" w:hint="eastAsia"/>
        </w:rPr>
        <w:t xml:space="preserve"> [2015] QB 883.</w:t>
      </w:r>
    </w:p>
  </w:footnote>
  <w:footnote w:id="38">
    <w:p w:rsidR="00B164FD" w:rsidRPr="00B164FD" w:rsidRDefault="00B164FD">
      <w:pPr>
        <w:pStyle w:val="FootnoteText"/>
        <w:rPr>
          <w:rFonts w:eastAsiaTheme="minorEastAsia"/>
        </w:rPr>
      </w:pPr>
      <w:r>
        <w:rPr>
          <w:rStyle w:val="FootnoteReference"/>
        </w:rPr>
        <w:footnoteRef/>
      </w:r>
      <w:r w:rsidR="00CB24DB">
        <w:tab/>
      </w:r>
      <w:r w:rsidRPr="00CB24DB">
        <w:rPr>
          <w:rFonts w:eastAsiaTheme="minorEastAsia"/>
          <w:i/>
        </w:rPr>
        <w:t>I</w:t>
      </w:r>
      <w:r w:rsidRPr="00CB24DB">
        <w:rPr>
          <w:rFonts w:eastAsiaTheme="minorEastAsia" w:hint="eastAsia"/>
          <w:i/>
        </w:rPr>
        <w:t>bid</w:t>
      </w:r>
      <w:r>
        <w:rPr>
          <w:rFonts w:eastAsiaTheme="minorEastAsia" w:hint="eastAsia"/>
        </w:rPr>
        <w:t>.</w:t>
      </w:r>
      <w:r>
        <w:rPr>
          <w:rFonts w:eastAsiaTheme="minorEastAsia"/>
        </w:rPr>
        <w:t>, at paragraph 48.</w:t>
      </w:r>
    </w:p>
  </w:footnote>
  <w:footnote w:id="39">
    <w:p w:rsidR="007E67A3" w:rsidRPr="007E67A3" w:rsidRDefault="007E67A3">
      <w:pPr>
        <w:pStyle w:val="FootnoteText"/>
        <w:rPr>
          <w:rFonts w:eastAsiaTheme="minorEastAsia"/>
        </w:rPr>
      </w:pPr>
      <w:r>
        <w:rPr>
          <w:rStyle w:val="FootnoteReference"/>
        </w:rPr>
        <w:footnoteRef/>
      </w:r>
      <w:r w:rsidR="00DA78E7">
        <w:tab/>
      </w:r>
      <w:r w:rsidRPr="007E67A3">
        <w:rPr>
          <w:rFonts w:eastAsiaTheme="minorEastAsia"/>
          <w:i/>
        </w:rPr>
        <w:t>I</w:t>
      </w:r>
      <w:r w:rsidRPr="007E67A3">
        <w:rPr>
          <w:rFonts w:eastAsiaTheme="minorEastAsia" w:hint="eastAsia"/>
          <w:i/>
        </w:rPr>
        <w:t>bid.</w:t>
      </w:r>
      <w:r>
        <w:rPr>
          <w:rFonts w:eastAsiaTheme="minorEastAsia"/>
        </w:rPr>
        <w:t>, at paragraph 49.</w:t>
      </w:r>
    </w:p>
  </w:footnote>
  <w:footnote w:id="40">
    <w:p w:rsidR="00B164FD" w:rsidRPr="00B164FD" w:rsidRDefault="00B164FD">
      <w:pPr>
        <w:pStyle w:val="FootnoteText"/>
        <w:rPr>
          <w:rFonts w:eastAsiaTheme="minorEastAsia"/>
        </w:rPr>
      </w:pPr>
      <w:r>
        <w:rPr>
          <w:rStyle w:val="FootnoteReference"/>
        </w:rPr>
        <w:footnoteRef/>
      </w:r>
      <w:r w:rsidR="00CB24DB">
        <w:tab/>
      </w:r>
      <w:r w:rsidRPr="00B164FD">
        <w:rPr>
          <w:rFonts w:eastAsiaTheme="minorEastAsia" w:hint="eastAsia"/>
          <w:i/>
        </w:rPr>
        <w:t>HKSAR v Tsang</w:t>
      </w:r>
      <w:r w:rsidRPr="00B164FD">
        <w:rPr>
          <w:rFonts w:eastAsiaTheme="minorEastAsia"/>
          <w:i/>
        </w:rPr>
        <w:t xml:space="preserve"> Yam </w:t>
      </w:r>
      <w:proofErr w:type="spellStart"/>
      <w:r w:rsidRPr="00B164FD">
        <w:rPr>
          <w:rFonts w:eastAsiaTheme="minorEastAsia"/>
          <w:i/>
        </w:rPr>
        <w:t>Kuen</w:t>
      </w:r>
      <w:proofErr w:type="spellEnd"/>
      <w:r w:rsidRPr="00B164FD">
        <w:rPr>
          <w:rFonts w:eastAsiaTheme="minorEastAsia"/>
          <w:i/>
        </w:rPr>
        <w:t>, Donald</w:t>
      </w:r>
      <w:r>
        <w:rPr>
          <w:rFonts w:eastAsiaTheme="minorEastAsia"/>
        </w:rPr>
        <w:t xml:space="preserve"> [2018] 3 HKLRD 564, at paragraphs 122-123.</w:t>
      </w:r>
    </w:p>
  </w:footnote>
  <w:footnote w:id="41">
    <w:p w:rsidR="00DB4096" w:rsidRPr="00DB4096" w:rsidRDefault="00DB4096">
      <w:pPr>
        <w:pStyle w:val="FootnoteText"/>
        <w:rPr>
          <w:rFonts w:eastAsiaTheme="minorEastAsia"/>
        </w:rPr>
      </w:pPr>
      <w:r>
        <w:rPr>
          <w:rStyle w:val="FootnoteReference"/>
        </w:rPr>
        <w:footnoteRef/>
      </w:r>
      <w:r w:rsidR="00CB24DB">
        <w:tab/>
      </w:r>
      <w:r>
        <w:rPr>
          <w:rFonts w:eastAsiaTheme="minorEastAsia" w:hint="eastAsia"/>
        </w:rPr>
        <w:t>AB</w:t>
      </w:r>
      <w:r w:rsidR="00CB24DB">
        <w:rPr>
          <w:rFonts w:eastAsiaTheme="minorEastAsia"/>
        </w:rPr>
        <w:t xml:space="preserve"> </w:t>
      </w:r>
      <w:r w:rsidR="001C0682">
        <w:rPr>
          <w:rFonts w:eastAsiaTheme="minorEastAsia"/>
        </w:rPr>
        <w:t xml:space="preserve">p </w:t>
      </w:r>
      <w:r>
        <w:rPr>
          <w:rFonts w:eastAsiaTheme="minorEastAsia" w:hint="eastAsia"/>
        </w:rPr>
        <w:t>68Q-R, paragraph 225.</w:t>
      </w:r>
    </w:p>
  </w:footnote>
  <w:footnote w:id="42">
    <w:p w:rsidR="00DB4096" w:rsidRPr="00DB4096" w:rsidRDefault="00DB4096">
      <w:pPr>
        <w:pStyle w:val="FootnoteText"/>
        <w:rPr>
          <w:rFonts w:eastAsiaTheme="minorEastAsia"/>
        </w:rPr>
      </w:pPr>
      <w:r>
        <w:rPr>
          <w:rStyle w:val="FootnoteReference"/>
        </w:rPr>
        <w:footnoteRef/>
      </w:r>
      <w:r w:rsidR="00CB24DB">
        <w:tab/>
      </w:r>
      <w:r>
        <w:rPr>
          <w:rFonts w:eastAsiaTheme="minorEastAsia" w:hint="eastAsia"/>
        </w:rPr>
        <w:t>AB</w:t>
      </w:r>
      <w:r w:rsidR="001C0682">
        <w:rPr>
          <w:rFonts w:eastAsiaTheme="minorEastAsia"/>
        </w:rPr>
        <w:t xml:space="preserve"> p</w:t>
      </w:r>
      <w:r w:rsidR="00CB24DB">
        <w:rPr>
          <w:rFonts w:eastAsiaTheme="minorEastAsia"/>
        </w:rPr>
        <w:t xml:space="preserve"> </w:t>
      </w:r>
      <w:r>
        <w:rPr>
          <w:rFonts w:eastAsiaTheme="minorEastAsia" w:hint="eastAsia"/>
        </w:rPr>
        <w:t>69D-K, paragraphs 227-228.</w:t>
      </w:r>
    </w:p>
  </w:footnote>
  <w:footnote w:id="43">
    <w:p w:rsidR="00DB4096" w:rsidRPr="00DB4096" w:rsidRDefault="00DB4096">
      <w:pPr>
        <w:pStyle w:val="FootnoteText"/>
        <w:rPr>
          <w:rFonts w:eastAsiaTheme="minorEastAsia"/>
        </w:rPr>
      </w:pPr>
      <w:r>
        <w:rPr>
          <w:rStyle w:val="FootnoteReference"/>
        </w:rPr>
        <w:footnoteRef/>
      </w:r>
      <w:r w:rsidR="00CB24DB">
        <w:tab/>
      </w:r>
      <w:r>
        <w:rPr>
          <w:rFonts w:eastAsiaTheme="minorEastAsia" w:hint="eastAsia"/>
        </w:rPr>
        <w:t>AB</w:t>
      </w:r>
      <w:r w:rsidR="001C0682">
        <w:rPr>
          <w:rFonts w:eastAsiaTheme="minorEastAsia"/>
        </w:rPr>
        <w:t xml:space="preserve"> p</w:t>
      </w:r>
      <w:r w:rsidR="00CB24DB">
        <w:rPr>
          <w:rFonts w:eastAsiaTheme="minorEastAsia"/>
        </w:rPr>
        <w:t xml:space="preserve"> </w:t>
      </w:r>
      <w:r>
        <w:rPr>
          <w:rFonts w:eastAsiaTheme="minorEastAsia" w:hint="eastAsia"/>
        </w:rPr>
        <w:t>65E</w:t>
      </w:r>
      <w:r>
        <w:rPr>
          <w:rFonts w:eastAsiaTheme="minorEastAsia"/>
        </w:rPr>
        <w:t>-</w:t>
      </w:r>
      <w:r>
        <w:rPr>
          <w:rFonts w:eastAsiaTheme="minorEastAsia" w:hint="eastAsia"/>
        </w:rPr>
        <w:t>J, paragraphs 206-207.</w:t>
      </w:r>
    </w:p>
  </w:footnote>
  <w:footnote w:id="44">
    <w:p w:rsidR="002B54CF" w:rsidRPr="002B54CF" w:rsidRDefault="002B54CF">
      <w:pPr>
        <w:pStyle w:val="FootnoteText"/>
        <w:rPr>
          <w:rFonts w:eastAsiaTheme="minorEastAsia"/>
        </w:rPr>
      </w:pPr>
      <w:r>
        <w:rPr>
          <w:rStyle w:val="FootnoteReference"/>
        </w:rPr>
        <w:footnoteRef/>
      </w:r>
      <w:r w:rsidR="00CB24DB">
        <w:tab/>
      </w:r>
      <w:r>
        <w:rPr>
          <w:rFonts w:eastAsiaTheme="minorEastAsia" w:hint="eastAsia"/>
        </w:rPr>
        <w:t>AB</w:t>
      </w:r>
      <w:r w:rsidR="001C0682">
        <w:rPr>
          <w:rFonts w:eastAsiaTheme="minorEastAsia"/>
        </w:rPr>
        <w:t xml:space="preserve"> pp</w:t>
      </w:r>
      <w:r w:rsidR="00CB24DB">
        <w:rPr>
          <w:rFonts w:eastAsiaTheme="minorEastAsia"/>
        </w:rPr>
        <w:t xml:space="preserve"> </w:t>
      </w:r>
      <w:r>
        <w:rPr>
          <w:rFonts w:eastAsiaTheme="minorEastAsia" w:hint="eastAsia"/>
        </w:rPr>
        <w:t>15</w:t>
      </w:r>
      <w:r>
        <w:rPr>
          <w:rFonts w:eastAsiaTheme="minorEastAsia"/>
        </w:rPr>
        <w:t>-16</w:t>
      </w:r>
      <w:r>
        <w:rPr>
          <w:rFonts w:eastAsiaTheme="minorEastAsia" w:hint="eastAsia"/>
        </w:rPr>
        <w:t>, paragraph 2.</w:t>
      </w:r>
    </w:p>
  </w:footnote>
  <w:footnote w:id="45">
    <w:p w:rsidR="00834B00" w:rsidRPr="00834B00" w:rsidRDefault="00834B00">
      <w:pPr>
        <w:pStyle w:val="FootnoteText"/>
        <w:rPr>
          <w:rFonts w:eastAsiaTheme="minorEastAsia"/>
        </w:rPr>
      </w:pPr>
      <w:r>
        <w:rPr>
          <w:rStyle w:val="FootnoteReference"/>
        </w:rPr>
        <w:footnoteRef/>
      </w:r>
      <w:r w:rsidR="00CB24DB">
        <w:tab/>
      </w:r>
      <w:r>
        <w:rPr>
          <w:rFonts w:eastAsiaTheme="minorEastAsia" w:hint="eastAsia"/>
        </w:rPr>
        <w:t>AB</w:t>
      </w:r>
      <w:r w:rsidR="00CB24DB">
        <w:rPr>
          <w:rFonts w:eastAsiaTheme="minorEastAsia"/>
        </w:rPr>
        <w:t xml:space="preserve"> </w:t>
      </w:r>
      <w:r w:rsidR="001C0682">
        <w:rPr>
          <w:rFonts w:eastAsiaTheme="minorEastAsia"/>
        </w:rPr>
        <w:t xml:space="preserve">p </w:t>
      </w:r>
      <w:r>
        <w:rPr>
          <w:rFonts w:eastAsiaTheme="minorEastAsia" w:hint="eastAsia"/>
        </w:rPr>
        <w:t>61</w:t>
      </w:r>
      <w:r w:rsidR="006858F1">
        <w:rPr>
          <w:rFonts w:eastAsiaTheme="minorEastAsia"/>
        </w:rPr>
        <w:t>I-S</w:t>
      </w:r>
      <w:r>
        <w:rPr>
          <w:rFonts w:eastAsiaTheme="minorEastAsia" w:hint="eastAsia"/>
        </w:rPr>
        <w:t>, paragraphs 189-191.</w:t>
      </w:r>
    </w:p>
  </w:footnote>
  <w:footnote w:id="46">
    <w:p w:rsidR="00B76E3F" w:rsidRPr="00B76E3F" w:rsidRDefault="00B76E3F">
      <w:pPr>
        <w:pStyle w:val="FootnoteText"/>
        <w:rPr>
          <w:rFonts w:eastAsiaTheme="minorEastAsia"/>
        </w:rPr>
      </w:pPr>
      <w:r>
        <w:rPr>
          <w:rStyle w:val="FootnoteReference"/>
        </w:rPr>
        <w:footnoteRef/>
      </w:r>
      <w:r w:rsidR="00CB24DB">
        <w:tab/>
      </w:r>
      <w:r>
        <w:rPr>
          <w:rFonts w:eastAsiaTheme="minorEastAsia"/>
        </w:rPr>
        <w:t>AB</w:t>
      </w:r>
      <w:r w:rsidR="00CB24DB">
        <w:rPr>
          <w:rFonts w:eastAsiaTheme="minorEastAsia"/>
        </w:rPr>
        <w:t xml:space="preserve"> </w:t>
      </w:r>
      <w:r w:rsidR="001C0682">
        <w:rPr>
          <w:rFonts w:eastAsiaTheme="minorEastAsia"/>
        </w:rPr>
        <w:t xml:space="preserve">p </w:t>
      </w:r>
      <w:r>
        <w:rPr>
          <w:rFonts w:eastAsiaTheme="minorEastAsia"/>
        </w:rPr>
        <w:t>83</w:t>
      </w:r>
      <w:r w:rsidR="001C0682">
        <w:rPr>
          <w:rFonts w:eastAsiaTheme="minorEastAsia"/>
        </w:rPr>
        <w:t>K-M</w:t>
      </w:r>
      <w:r>
        <w:rPr>
          <w:rFonts w:eastAsiaTheme="minorEastAsia"/>
        </w:rPr>
        <w:t>, paragraph 273.</w:t>
      </w:r>
    </w:p>
  </w:footnote>
  <w:footnote w:id="47">
    <w:p w:rsidR="00B76E3F" w:rsidRPr="00B76E3F" w:rsidRDefault="00B76E3F">
      <w:pPr>
        <w:pStyle w:val="FootnoteText"/>
        <w:rPr>
          <w:rFonts w:eastAsiaTheme="minorEastAsia"/>
        </w:rPr>
      </w:pPr>
      <w:r>
        <w:rPr>
          <w:rStyle w:val="FootnoteReference"/>
        </w:rPr>
        <w:footnoteRef/>
      </w:r>
      <w:r w:rsidR="00CB24DB">
        <w:tab/>
      </w:r>
      <w:r>
        <w:rPr>
          <w:rFonts w:eastAsiaTheme="minorEastAsia" w:hint="eastAsia"/>
        </w:rPr>
        <w:t>AB</w:t>
      </w:r>
      <w:r w:rsidR="00CB24DB">
        <w:rPr>
          <w:rFonts w:eastAsiaTheme="minorEastAsia"/>
        </w:rPr>
        <w:t xml:space="preserve"> </w:t>
      </w:r>
      <w:r w:rsidR="001C0682">
        <w:rPr>
          <w:rFonts w:eastAsiaTheme="minorEastAsia"/>
        </w:rPr>
        <w:t xml:space="preserve">p </w:t>
      </w:r>
      <w:r>
        <w:rPr>
          <w:rFonts w:eastAsiaTheme="minorEastAsia" w:hint="eastAsia"/>
        </w:rPr>
        <w:t>83</w:t>
      </w:r>
      <w:r w:rsidR="001C0682">
        <w:rPr>
          <w:rFonts w:eastAsiaTheme="minorEastAsia"/>
        </w:rPr>
        <w:t>C-G</w:t>
      </w:r>
      <w:r>
        <w:rPr>
          <w:rFonts w:eastAsiaTheme="minorEastAsia" w:hint="eastAsia"/>
        </w:rPr>
        <w:t>, paragraph 271</w:t>
      </w:r>
      <w:r w:rsidR="00CB24DB">
        <w:rPr>
          <w:rFonts w:eastAsiaTheme="minorEastAsia"/>
        </w:rPr>
        <w:t>.</w:t>
      </w:r>
    </w:p>
  </w:footnote>
  <w:footnote w:id="48">
    <w:p w:rsidR="0079245E" w:rsidRPr="0079245E" w:rsidRDefault="0079245E">
      <w:pPr>
        <w:pStyle w:val="FootnoteText"/>
        <w:rPr>
          <w:rFonts w:eastAsiaTheme="minorEastAsia"/>
        </w:rPr>
      </w:pPr>
      <w:r>
        <w:rPr>
          <w:rStyle w:val="FootnoteReference"/>
        </w:rPr>
        <w:footnoteRef/>
      </w:r>
      <w:r w:rsidR="00CB24DB">
        <w:tab/>
      </w:r>
      <w:r>
        <w:rPr>
          <w:rFonts w:eastAsiaTheme="minorEastAsia"/>
        </w:rPr>
        <w:t>S</w:t>
      </w:r>
      <w:r>
        <w:rPr>
          <w:rFonts w:eastAsiaTheme="minorEastAsia" w:hint="eastAsia"/>
        </w:rPr>
        <w:t xml:space="preserve">ections </w:t>
      </w:r>
      <w:r w:rsidR="00CB24DB">
        <w:rPr>
          <w:rFonts w:eastAsiaTheme="minorEastAsia"/>
        </w:rPr>
        <w:t>83 and 96(1) of Cap 548.</w:t>
      </w:r>
    </w:p>
  </w:footnote>
  <w:footnote w:id="49">
    <w:p w:rsidR="00B76E3F" w:rsidRPr="00B76E3F" w:rsidRDefault="00B76E3F">
      <w:pPr>
        <w:pStyle w:val="FootnoteText"/>
        <w:rPr>
          <w:rFonts w:eastAsiaTheme="minorEastAsia"/>
        </w:rPr>
      </w:pPr>
      <w:r>
        <w:rPr>
          <w:rStyle w:val="FootnoteReference"/>
        </w:rPr>
        <w:footnoteRef/>
      </w:r>
      <w:r w:rsidR="00CB24DB">
        <w:rPr>
          <w:rFonts w:eastAsiaTheme="minorEastAsia"/>
        </w:rPr>
        <w:tab/>
      </w:r>
      <w:r>
        <w:rPr>
          <w:rFonts w:eastAsiaTheme="minorEastAsia" w:hint="eastAsia"/>
        </w:rPr>
        <w:t>AB</w:t>
      </w:r>
      <w:r w:rsidR="001C0682">
        <w:rPr>
          <w:rFonts w:eastAsiaTheme="minorEastAsia"/>
        </w:rPr>
        <w:t xml:space="preserve"> p</w:t>
      </w:r>
      <w:r w:rsidR="00CB24DB">
        <w:rPr>
          <w:rFonts w:eastAsiaTheme="minorEastAsia"/>
        </w:rPr>
        <w:t xml:space="preserve"> </w:t>
      </w:r>
      <w:r>
        <w:rPr>
          <w:rFonts w:eastAsiaTheme="minorEastAsia" w:hint="eastAsia"/>
        </w:rPr>
        <w:t>83</w:t>
      </w:r>
      <w:r w:rsidR="001C0682">
        <w:rPr>
          <w:rFonts w:eastAsiaTheme="minorEastAsia"/>
        </w:rPr>
        <w:t>H-J</w:t>
      </w:r>
      <w:r>
        <w:rPr>
          <w:rFonts w:eastAsiaTheme="minorEastAsia" w:hint="eastAsia"/>
        </w:rPr>
        <w:t>, paragraph 272.</w:t>
      </w:r>
    </w:p>
  </w:footnote>
  <w:footnote w:id="50">
    <w:p w:rsidR="0079245E" w:rsidRPr="0079245E" w:rsidRDefault="0079245E">
      <w:pPr>
        <w:pStyle w:val="FootnoteText"/>
        <w:rPr>
          <w:rFonts w:eastAsiaTheme="minorEastAsia"/>
        </w:rPr>
      </w:pPr>
      <w:r>
        <w:rPr>
          <w:rStyle w:val="FootnoteReference"/>
        </w:rPr>
        <w:footnoteRef/>
      </w:r>
      <w:r w:rsidR="00CB24DB">
        <w:tab/>
      </w:r>
      <w:r>
        <w:rPr>
          <w:rFonts w:eastAsiaTheme="minorEastAsia" w:hint="eastAsia"/>
        </w:rPr>
        <w:t>AB</w:t>
      </w:r>
      <w:r w:rsidR="00CB24DB">
        <w:rPr>
          <w:rFonts w:eastAsiaTheme="minorEastAsia"/>
        </w:rPr>
        <w:t xml:space="preserve"> </w:t>
      </w:r>
      <w:r w:rsidR="001C0682">
        <w:rPr>
          <w:rFonts w:eastAsiaTheme="minorEastAsia"/>
        </w:rPr>
        <w:t xml:space="preserve">pp </w:t>
      </w:r>
      <w:r w:rsidR="00B76E3F">
        <w:rPr>
          <w:rFonts w:eastAsiaTheme="minorEastAsia"/>
        </w:rPr>
        <w:t>83</w:t>
      </w:r>
      <w:r w:rsidR="00B05E1C">
        <w:rPr>
          <w:rFonts w:eastAsiaTheme="minorEastAsia"/>
        </w:rPr>
        <w:t>Q</w:t>
      </w:r>
      <w:r w:rsidR="00B76E3F">
        <w:rPr>
          <w:rFonts w:eastAsiaTheme="minorEastAsia"/>
        </w:rPr>
        <w:t>-84</w:t>
      </w:r>
      <w:r w:rsidR="00B05E1C">
        <w:rPr>
          <w:rFonts w:eastAsiaTheme="minorEastAsia"/>
        </w:rPr>
        <w:t>D</w:t>
      </w:r>
      <w:r w:rsidR="00B76E3F">
        <w:rPr>
          <w:rFonts w:eastAsiaTheme="minorEastAsia"/>
        </w:rPr>
        <w:t>, paragraphs 275-276.</w:t>
      </w:r>
    </w:p>
  </w:footnote>
  <w:footnote w:id="51">
    <w:p w:rsidR="003D50E3" w:rsidRPr="003D50E3" w:rsidRDefault="003D50E3">
      <w:pPr>
        <w:pStyle w:val="FootnoteText"/>
        <w:rPr>
          <w:rFonts w:eastAsiaTheme="minorEastAsia"/>
        </w:rPr>
      </w:pPr>
      <w:r>
        <w:rPr>
          <w:rStyle w:val="FootnoteReference"/>
        </w:rPr>
        <w:footnoteRef/>
      </w:r>
      <w:r w:rsidR="00DA78E7">
        <w:tab/>
      </w:r>
      <w:r w:rsidR="000E67C3">
        <w:rPr>
          <w:rFonts w:eastAsiaTheme="minorEastAsia" w:hint="eastAsia"/>
        </w:rPr>
        <w:t>AB</w:t>
      </w:r>
      <w:r w:rsidR="00DA78E7">
        <w:rPr>
          <w:rFonts w:eastAsiaTheme="minorEastAsia"/>
        </w:rPr>
        <w:t xml:space="preserve"> </w:t>
      </w:r>
      <w:r w:rsidR="00B05E1C">
        <w:rPr>
          <w:rFonts w:eastAsiaTheme="minorEastAsia"/>
        </w:rPr>
        <w:t xml:space="preserve">p </w:t>
      </w:r>
      <w:r w:rsidR="000E67C3">
        <w:rPr>
          <w:rFonts w:eastAsiaTheme="minorEastAsia" w:hint="eastAsia"/>
        </w:rPr>
        <w:t>79G-J, paragraph 254.</w:t>
      </w:r>
    </w:p>
  </w:footnote>
  <w:footnote w:id="52">
    <w:p w:rsidR="00D12CD3" w:rsidRPr="00C2601E" w:rsidRDefault="00D12CD3" w:rsidP="00D12CD3">
      <w:pPr>
        <w:pStyle w:val="FootnoteText"/>
        <w:rPr>
          <w:rFonts w:eastAsiaTheme="minorEastAsia"/>
        </w:rPr>
      </w:pPr>
      <w:r>
        <w:rPr>
          <w:rStyle w:val="FootnoteReference"/>
        </w:rPr>
        <w:footnoteRef/>
      </w:r>
      <w:r>
        <w:tab/>
      </w:r>
      <w:r>
        <w:rPr>
          <w:rFonts w:eastAsiaTheme="minorEastAsia" w:hint="eastAsia"/>
        </w:rPr>
        <w:t>AB</w:t>
      </w:r>
      <w:r>
        <w:rPr>
          <w:rFonts w:eastAsiaTheme="minorEastAsia"/>
        </w:rPr>
        <w:t xml:space="preserve"> </w:t>
      </w:r>
      <w:r w:rsidR="00B05E1C">
        <w:rPr>
          <w:rFonts w:eastAsiaTheme="minorEastAsia"/>
        </w:rPr>
        <w:t xml:space="preserve">p </w:t>
      </w:r>
      <w:r>
        <w:rPr>
          <w:rFonts w:eastAsiaTheme="minorEastAsia" w:hint="eastAsia"/>
        </w:rPr>
        <w:t>103P-R, paragraph 21.</w:t>
      </w:r>
    </w:p>
  </w:footnote>
  <w:footnote w:id="53">
    <w:p w:rsidR="00D12CD3" w:rsidRPr="00221871" w:rsidRDefault="00D12CD3" w:rsidP="00D12CD3">
      <w:pPr>
        <w:pStyle w:val="FootnoteText"/>
        <w:rPr>
          <w:rFonts w:eastAsiaTheme="minorEastAsia"/>
        </w:rPr>
      </w:pPr>
      <w:r>
        <w:rPr>
          <w:rStyle w:val="FootnoteReference"/>
        </w:rPr>
        <w:footnoteRef/>
      </w:r>
      <w:r>
        <w:tab/>
      </w:r>
      <w:r>
        <w:rPr>
          <w:rFonts w:eastAsiaTheme="minorEastAsia" w:hint="eastAsia"/>
        </w:rPr>
        <w:t>AB</w:t>
      </w:r>
      <w:r>
        <w:rPr>
          <w:rFonts w:eastAsiaTheme="minorEastAsia"/>
        </w:rPr>
        <w:t xml:space="preserve"> </w:t>
      </w:r>
      <w:r w:rsidR="00B05E1C">
        <w:rPr>
          <w:rFonts w:eastAsiaTheme="minorEastAsia"/>
        </w:rPr>
        <w:t xml:space="preserve">p </w:t>
      </w:r>
      <w:r>
        <w:rPr>
          <w:rFonts w:eastAsiaTheme="minorEastAsia" w:hint="eastAsia"/>
        </w:rPr>
        <w:t>112B-G, paragraphs 50-51.</w:t>
      </w:r>
    </w:p>
  </w:footnote>
  <w:footnote w:id="54">
    <w:p w:rsidR="00D12CD3" w:rsidRPr="00221871" w:rsidRDefault="00D12CD3" w:rsidP="00D12CD3">
      <w:pPr>
        <w:pStyle w:val="FootnoteText"/>
        <w:rPr>
          <w:rFonts w:eastAsiaTheme="minorEastAsia"/>
        </w:rPr>
      </w:pPr>
      <w:r>
        <w:rPr>
          <w:rStyle w:val="FootnoteReference"/>
        </w:rPr>
        <w:footnoteRef/>
      </w:r>
      <w:r>
        <w:tab/>
      </w:r>
      <w:r>
        <w:rPr>
          <w:rFonts w:eastAsiaTheme="minorEastAsia" w:hint="eastAsia"/>
        </w:rPr>
        <w:t>AB</w:t>
      </w:r>
      <w:r>
        <w:rPr>
          <w:rFonts w:eastAsiaTheme="minorEastAsia"/>
        </w:rPr>
        <w:t xml:space="preserve"> </w:t>
      </w:r>
      <w:r w:rsidR="00B05E1C">
        <w:rPr>
          <w:rFonts w:eastAsiaTheme="minorEastAsia"/>
        </w:rPr>
        <w:t xml:space="preserve">p </w:t>
      </w:r>
      <w:r>
        <w:rPr>
          <w:rFonts w:eastAsiaTheme="minorEastAsia" w:hint="eastAsia"/>
        </w:rPr>
        <w:t>112H-L, paragraph 52.</w:t>
      </w:r>
    </w:p>
  </w:footnote>
  <w:footnote w:id="55">
    <w:p w:rsidR="00D12CD3" w:rsidRPr="00221871" w:rsidRDefault="00D12CD3" w:rsidP="00D12CD3">
      <w:pPr>
        <w:pStyle w:val="FootnoteText"/>
        <w:rPr>
          <w:rFonts w:eastAsiaTheme="minorEastAsia"/>
        </w:rPr>
      </w:pPr>
      <w:r>
        <w:rPr>
          <w:rStyle w:val="FootnoteReference"/>
        </w:rPr>
        <w:footnoteRef/>
      </w:r>
      <w:r>
        <w:tab/>
      </w:r>
      <w:r>
        <w:rPr>
          <w:rFonts w:eastAsiaTheme="minorEastAsia" w:hint="eastAsia"/>
        </w:rPr>
        <w:t>AB</w:t>
      </w:r>
      <w:r>
        <w:rPr>
          <w:rFonts w:eastAsiaTheme="minorEastAsia"/>
        </w:rPr>
        <w:t xml:space="preserve"> </w:t>
      </w:r>
      <w:r w:rsidR="00B05E1C">
        <w:rPr>
          <w:rFonts w:eastAsiaTheme="minorEastAsia"/>
        </w:rPr>
        <w:t xml:space="preserve">p </w:t>
      </w:r>
      <w:r>
        <w:rPr>
          <w:rFonts w:eastAsiaTheme="minorEastAsia" w:hint="eastAsia"/>
        </w:rPr>
        <w:t>113D-G, paragraph 55.</w:t>
      </w:r>
    </w:p>
  </w:footnote>
  <w:footnote w:id="56">
    <w:p w:rsidR="00D12CD3" w:rsidRPr="00221871" w:rsidRDefault="00D12CD3" w:rsidP="00D12CD3">
      <w:pPr>
        <w:pStyle w:val="FootnoteText"/>
        <w:rPr>
          <w:rFonts w:eastAsiaTheme="minorEastAsia"/>
        </w:rPr>
      </w:pPr>
      <w:r>
        <w:rPr>
          <w:rStyle w:val="FootnoteReference"/>
        </w:rPr>
        <w:footnoteRef/>
      </w:r>
      <w:r>
        <w:tab/>
      </w:r>
      <w:r>
        <w:rPr>
          <w:rFonts w:eastAsiaTheme="minorEastAsia" w:hint="eastAsia"/>
        </w:rPr>
        <w:t>AB</w:t>
      </w:r>
      <w:r>
        <w:rPr>
          <w:rFonts w:eastAsiaTheme="minorEastAsia"/>
        </w:rPr>
        <w:t xml:space="preserve"> </w:t>
      </w:r>
      <w:r w:rsidR="00B05E1C">
        <w:rPr>
          <w:rFonts w:eastAsiaTheme="minorEastAsia"/>
        </w:rPr>
        <w:t xml:space="preserve">p </w:t>
      </w:r>
      <w:r>
        <w:rPr>
          <w:rFonts w:eastAsiaTheme="minorEastAsia" w:hint="eastAsia"/>
        </w:rPr>
        <w:t>113</w:t>
      </w:r>
      <w:r>
        <w:rPr>
          <w:rFonts w:eastAsiaTheme="minorEastAsia"/>
        </w:rPr>
        <w:t>H</w:t>
      </w:r>
      <w:r>
        <w:rPr>
          <w:rFonts w:eastAsiaTheme="minorEastAsia" w:hint="eastAsia"/>
        </w:rPr>
        <w:t>-N, paragraph</w:t>
      </w:r>
      <w:r>
        <w:rPr>
          <w:rFonts w:eastAsiaTheme="minorEastAsia"/>
        </w:rPr>
        <w:t>s</w:t>
      </w:r>
      <w:r>
        <w:rPr>
          <w:rFonts w:eastAsiaTheme="minorEastAsia" w:hint="eastAsia"/>
        </w:rPr>
        <w:t xml:space="preserve"> </w:t>
      </w:r>
      <w:r>
        <w:rPr>
          <w:rFonts w:eastAsiaTheme="minorEastAsia"/>
        </w:rPr>
        <w:t>56-</w:t>
      </w:r>
      <w:r>
        <w:rPr>
          <w:rFonts w:eastAsiaTheme="minorEastAsia" w:hint="eastAsia"/>
        </w:rPr>
        <w:t>57.</w:t>
      </w:r>
    </w:p>
  </w:footnote>
  <w:footnote w:id="57">
    <w:p w:rsidR="00D12CD3" w:rsidRPr="0074410B" w:rsidRDefault="00D12CD3" w:rsidP="00D12CD3">
      <w:pPr>
        <w:pStyle w:val="FootnoteText"/>
        <w:rPr>
          <w:lang w:val="en-US"/>
        </w:rPr>
      </w:pPr>
      <w:r>
        <w:rPr>
          <w:rStyle w:val="FootnoteReference"/>
        </w:rPr>
        <w:footnoteRef/>
      </w:r>
      <w:r>
        <w:tab/>
      </w:r>
      <w:r w:rsidR="00B04D99">
        <w:t xml:space="preserve">For example, </w:t>
      </w:r>
      <w:r w:rsidR="006E13DB" w:rsidRPr="006E13DB">
        <w:rPr>
          <w:i/>
        </w:rPr>
        <w:t>Attorney-General’s Reference No 68 of 2009 (Mark Simon Turner)</w:t>
      </w:r>
      <w:r w:rsidR="006E13DB">
        <w:t xml:space="preserve"> [2010] 1 Cr App R (S) 684; </w:t>
      </w:r>
      <w:r w:rsidR="005E1891" w:rsidRPr="005E1891">
        <w:rPr>
          <w:i/>
        </w:rPr>
        <w:t>HKSAR v Hui Si Yan Rafael</w:t>
      </w:r>
      <w:r w:rsidR="005E1891">
        <w:t xml:space="preserve"> (</w:t>
      </w:r>
      <w:proofErr w:type="spellStart"/>
      <w:r w:rsidR="005E1891">
        <w:t>unrep</w:t>
      </w:r>
      <w:proofErr w:type="spellEnd"/>
      <w:r w:rsidR="005E1891">
        <w:t xml:space="preserve">., HCCC 98/2013, 23 December 2014) (Counts 1 and 6); and </w:t>
      </w:r>
      <w:r w:rsidRPr="0074410B">
        <w:rPr>
          <w:i/>
          <w:lang w:val="en-US"/>
        </w:rPr>
        <w:t>HKSAR v Tsang Yam</w:t>
      </w:r>
      <w:r>
        <w:rPr>
          <w:i/>
          <w:lang w:val="en-US"/>
        </w:rPr>
        <w:t xml:space="preserve"> </w:t>
      </w:r>
      <w:proofErr w:type="spellStart"/>
      <w:r w:rsidRPr="0074410B">
        <w:rPr>
          <w:i/>
          <w:lang w:val="en-US"/>
        </w:rPr>
        <w:t>Kuen</w:t>
      </w:r>
      <w:proofErr w:type="spellEnd"/>
      <w:r w:rsidRPr="0074410B">
        <w:rPr>
          <w:i/>
          <w:lang w:val="en-US"/>
        </w:rPr>
        <w:t xml:space="preserve"> Donald</w:t>
      </w:r>
      <w:r>
        <w:rPr>
          <w:lang w:val="en-US"/>
        </w:rPr>
        <w:t xml:space="preserve"> </w:t>
      </w:r>
      <w:r w:rsidR="006E13DB">
        <w:rPr>
          <w:lang w:val="en-US"/>
        </w:rPr>
        <w:t>(</w:t>
      </w:r>
      <w:proofErr w:type="spellStart"/>
      <w:r w:rsidR="006E13DB">
        <w:rPr>
          <w:lang w:val="en-US"/>
        </w:rPr>
        <w:t>unrep</w:t>
      </w:r>
      <w:proofErr w:type="spellEnd"/>
      <w:r w:rsidR="006E13DB">
        <w:rPr>
          <w:lang w:val="en-US"/>
        </w:rPr>
        <w:t xml:space="preserve">., </w:t>
      </w:r>
      <w:r>
        <w:rPr>
          <w:lang w:val="en-US"/>
        </w:rPr>
        <w:t>HCCC 484/2015, 22 February 2017</w:t>
      </w:r>
      <w:r w:rsidR="006E13DB">
        <w:rPr>
          <w:lang w:val="en-US"/>
        </w:rPr>
        <w:t>)</w:t>
      </w:r>
      <w:r w:rsidR="004E3789">
        <w:rPr>
          <w:lang w:val="en-US"/>
        </w:rPr>
        <w:t xml:space="preserve"> (Count 2)</w:t>
      </w:r>
      <w:r w:rsidR="006E13DB">
        <w:rPr>
          <w:lang w:val="en-US"/>
        </w:rPr>
        <w:t xml:space="preserve">.  It should be noted, however that the appellant’s sentence is the latter case was subsequently reduced on appeal: see </w:t>
      </w:r>
      <w:r w:rsidR="006E13DB" w:rsidRPr="008C2213">
        <w:rPr>
          <w:i/>
          <w:lang w:val="en-US"/>
        </w:rPr>
        <w:t xml:space="preserve">HKSAR v Tsang Yam </w:t>
      </w:r>
      <w:proofErr w:type="spellStart"/>
      <w:r w:rsidR="006E13DB" w:rsidRPr="008C2213">
        <w:rPr>
          <w:i/>
          <w:lang w:val="en-US"/>
        </w:rPr>
        <w:t>Kuen</w:t>
      </w:r>
      <w:proofErr w:type="spellEnd"/>
      <w:r w:rsidR="006E13DB" w:rsidRPr="008C2213">
        <w:rPr>
          <w:i/>
          <w:lang w:val="en-US"/>
        </w:rPr>
        <w:t xml:space="preserve"> Donald</w:t>
      </w:r>
      <w:r w:rsidR="008C2213">
        <w:rPr>
          <w:lang w:val="en-US"/>
        </w:rPr>
        <w:t xml:space="preserve"> [2018] 3 HKLRD 564.</w:t>
      </w:r>
    </w:p>
  </w:footnote>
  <w:footnote w:id="58">
    <w:p w:rsidR="00D14263" w:rsidRPr="00D14263" w:rsidRDefault="00D14263">
      <w:pPr>
        <w:pStyle w:val="FootnoteText"/>
        <w:rPr>
          <w:rFonts w:eastAsiaTheme="minorEastAsia"/>
        </w:rPr>
      </w:pPr>
      <w:r>
        <w:rPr>
          <w:rStyle w:val="FootnoteReference"/>
        </w:rPr>
        <w:footnoteRef/>
      </w:r>
      <w:r w:rsidR="00F91772">
        <w:tab/>
      </w:r>
      <w:r w:rsidRPr="00D14263">
        <w:rPr>
          <w:rFonts w:eastAsiaTheme="minorEastAsia" w:hint="eastAsia"/>
          <w:i/>
        </w:rPr>
        <w:t xml:space="preserve">Sin </w:t>
      </w:r>
      <w:proofErr w:type="spellStart"/>
      <w:r w:rsidRPr="00D14263">
        <w:rPr>
          <w:rFonts w:eastAsiaTheme="minorEastAsia" w:hint="eastAsia"/>
          <w:i/>
        </w:rPr>
        <w:t>Kam</w:t>
      </w:r>
      <w:proofErr w:type="spellEnd"/>
      <w:r w:rsidRPr="00D14263">
        <w:rPr>
          <w:rFonts w:eastAsiaTheme="minorEastAsia" w:hint="eastAsia"/>
          <w:i/>
        </w:rPr>
        <w:t xml:space="preserve"> </w:t>
      </w:r>
      <w:proofErr w:type="spellStart"/>
      <w:r w:rsidRPr="00D14263">
        <w:rPr>
          <w:rFonts w:eastAsiaTheme="minorEastAsia" w:hint="eastAsia"/>
          <w:i/>
        </w:rPr>
        <w:t>Wah</w:t>
      </w:r>
      <w:proofErr w:type="spellEnd"/>
      <w:r w:rsidRPr="00D14263">
        <w:rPr>
          <w:rFonts w:eastAsiaTheme="minorEastAsia" w:hint="eastAsia"/>
          <w:i/>
        </w:rPr>
        <w:t xml:space="preserve"> v HKSAR</w:t>
      </w:r>
      <w:r>
        <w:rPr>
          <w:rFonts w:eastAsiaTheme="minorEastAsia" w:hint="eastAsia"/>
        </w:rPr>
        <w:t xml:space="preserve"> (2005) 8 HKCFAR 192.</w:t>
      </w:r>
    </w:p>
  </w:footnote>
  <w:footnote w:id="59">
    <w:p w:rsidR="00D14263" w:rsidRPr="00D14263" w:rsidRDefault="00D14263">
      <w:pPr>
        <w:pStyle w:val="FootnoteText"/>
        <w:rPr>
          <w:rFonts w:eastAsiaTheme="minorEastAsia"/>
        </w:rPr>
      </w:pPr>
      <w:r>
        <w:rPr>
          <w:rStyle w:val="FootnoteReference"/>
        </w:rPr>
        <w:footnoteRef/>
      </w:r>
      <w:r w:rsidR="00F91772">
        <w:tab/>
      </w:r>
      <w:r w:rsidRPr="00D14263">
        <w:rPr>
          <w:i/>
        </w:rPr>
        <w:t>Ibid.</w:t>
      </w:r>
      <w:r>
        <w:t>, at paragraph 45.</w:t>
      </w:r>
    </w:p>
  </w:footnote>
  <w:footnote w:id="60">
    <w:p w:rsidR="00CA1A37" w:rsidRPr="00CA1A37" w:rsidRDefault="00CA1A37">
      <w:pPr>
        <w:pStyle w:val="FootnoteText"/>
        <w:rPr>
          <w:rFonts w:eastAsiaTheme="minorEastAsia"/>
        </w:rPr>
      </w:pPr>
      <w:r>
        <w:rPr>
          <w:rStyle w:val="FootnoteReference"/>
        </w:rPr>
        <w:footnoteRef/>
      </w:r>
      <w:r w:rsidR="00CB24DB">
        <w:tab/>
      </w:r>
      <w:r>
        <w:rPr>
          <w:rFonts w:eastAsiaTheme="minorEastAsia" w:hint="eastAsia"/>
        </w:rPr>
        <w:t>AB</w:t>
      </w:r>
      <w:r w:rsidR="00CB24DB">
        <w:rPr>
          <w:rFonts w:eastAsiaTheme="minorEastAsia"/>
        </w:rPr>
        <w:t xml:space="preserve"> </w:t>
      </w:r>
      <w:r w:rsidR="00B05E1C">
        <w:rPr>
          <w:rFonts w:eastAsiaTheme="minorEastAsia"/>
        </w:rPr>
        <w:t xml:space="preserve">p </w:t>
      </w:r>
      <w:r>
        <w:rPr>
          <w:rFonts w:eastAsiaTheme="minorEastAsia" w:hint="eastAsia"/>
        </w:rPr>
        <w:t>113L-N, paragraph 57.</w:t>
      </w:r>
    </w:p>
  </w:footnote>
  <w:footnote w:id="61">
    <w:p w:rsidR="00CA1A37" w:rsidRPr="00CA1A37" w:rsidRDefault="00CA1A37">
      <w:pPr>
        <w:pStyle w:val="FootnoteText"/>
        <w:rPr>
          <w:rFonts w:eastAsiaTheme="minorEastAsia"/>
        </w:rPr>
      </w:pPr>
      <w:r>
        <w:rPr>
          <w:rStyle w:val="FootnoteReference"/>
        </w:rPr>
        <w:footnoteRef/>
      </w:r>
      <w:r w:rsidR="00CB24DB">
        <w:tab/>
      </w:r>
      <w:r>
        <w:rPr>
          <w:rFonts w:eastAsiaTheme="minorEastAsia" w:hint="eastAsia"/>
        </w:rPr>
        <w:t>AB</w:t>
      </w:r>
      <w:r w:rsidR="00B05E1C">
        <w:rPr>
          <w:rFonts w:eastAsiaTheme="minorEastAsia"/>
        </w:rPr>
        <w:t xml:space="preserve"> p</w:t>
      </w:r>
      <w:r w:rsidR="00CB24DB">
        <w:rPr>
          <w:rFonts w:eastAsiaTheme="minorEastAsia"/>
        </w:rPr>
        <w:t xml:space="preserve"> </w:t>
      </w:r>
      <w:r>
        <w:rPr>
          <w:rFonts w:eastAsiaTheme="minorEastAsia" w:hint="eastAsia"/>
        </w:rPr>
        <w:t xml:space="preserve">113H-I, </w:t>
      </w:r>
      <w:r>
        <w:rPr>
          <w:rFonts w:eastAsiaTheme="minorEastAsia"/>
        </w:rPr>
        <w:t>paragraph</w:t>
      </w:r>
      <w:r>
        <w:rPr>
          <w:rFonts w:eastAsiaTheme="minorEastAsia" w:hint="eastAsia"/>
        </w:rPr>
        <w:t xml:space="preserve"> </w:t>
      </w:r>
      <w:r>
        <w:rPr>
          <w:rFonts w:eastAsiaTheme="minorEastAsia"/>
        </w:rPr>
        <w:t>56.</w:t>
      </w:r>
    </w:p>
  </w:footnote>
  <w:footnote w:id="62">
    <w:p w:rsidR="00370C89" w:rsidRPr="00370C89" w:rsidRDefault="00370C89">
      <w:pPr>
        <w:pStyle w:val="FootnoteText"/>
        <w:rPr>
          <w:rFonts w:eastAsiaTheme="minorEastAsia"/>
        </w:rPr>
      </w:pPr>
      <w:r>
        <w:rPr>
          <w:rStyle w:val="FootnoteReference"/>
        </w:rPr>
        <w:footnoteRef/>
      </w:r>
      <w:r w:rsidR="00CB24DB">
        <w:tab/>
      </w:r>
      <w:r>
        <w:rPr>
          <w:rFonts w:eastAsiaTheme="minorEastAsia" w:hint="eastAsia"/>
        </w:rPr>
        <w:t>Reasons for Decision on bail pending appeal</w:t>
      </w:r>
      <w:r>
        <w:rPr>
          <w:rFonts w:eastAsiaTheme="minorEastAsia"/>
        </w:rPr>
        <w:t xml:space="preserve"> by </w:t>
      </w:r>
      <w:proofErr w:type="spellStart"/>
      <w:r>
        <w:rPr>
          <w:rFonts w:eastAsiaTheme="minorEastAsia"/>
        </w:rPr>
        <w:t>McWalters</w:t>
      </w:r>
      <w:proofErr w:type="spellEnd"/>
      <w:r>
        <w:rPr>
          <w:rFonts w:eastAsiaTheme="minorEastAsia"/>
        </w:rPr>
        <w:t xml:space="preserve"> JA</w:t>
      </w:r>
      <w:r>
        <w:rPr>
          <w:rFonts w:eastAsiaTheme="minorEastAsia" w:hint="eastAsia"/>
        </w:rPr>
        <w:t xml:space="preserve"> (</w:t>
      </w:r>
      <w:proofErr w:type="spellStart"/>
      <w:r w:rsidR="00AE5E68">
        <w:rPr>
          <w:rFonts w:eastAsiaTheme="minorEastAsia"/>
        </w:rPr>
        <w:t>unrep</w:t>
      </w:r>
      <w:proofErr w:type="spellEnd"/>
      <w:r w:rsidR="00AE5E68">
        <w:rPr>
          <w:rFonts w:eastAsiaTheme="minorEastAsia"/>
        </w:rPr>
        <w:t xml:space="preserve">., CACC 186/2016, </w:t>
      </w:r>
      <w:r>
        <w:rPr>
          <w:rFonts w:eastAsiaTheme="minorEastAsia" w:hint="eastAsia"/>
        </w:rPr>
        <w:t xml:space="preserve">21 </w:t>
      </w:r>
      <w:r w:rsidR="001C74A4">
        <w:rPr>
          <w:rFonts w:eastAsiaTheme="minorEastAsia"/>
        </w:rPr>
        <w:t>‍</w:t>
      </w:r>
      <w:r>
        <w:rPr>
          <w:rFonts w:eastAsiaTheme="minorEastAsia" w:hint="eastAsia"/>
        </w:rPr>
        <w:t>November 2016), at 20E-F.</w:t>
      </w:r>
    </w:p>
  </w:footnote>
  <w:footnote w:id="63">
    <w:p w:rsidR="00370C89" w:rsidRPr="00370C89" w:rsidRDefault="00370C89">
      <w:pPr>
        <w:pStyle w:val="FootnoteText"/>
        <w:rPr>
          <w:rFonts w:eastAsiaTheme="minorEastAsia"/>
        </w:rPr>
      </w:pPr>
      <w:r>
        <w:rPr>
          <w:rStyle w:val="FootnoteReference"/>
        </w:rPr>
        <w:footnoteRef/>
      </w:r>
      <w:r w:rsidR="00CB24DB">
        <w:tab/>
      </w:r>
      <w:r w:rsidRPr="00CB24DB">
        <w:rPr>
          <w:rFonts w:eastAsiaTheme="minorEastAsia"/>
          <w:i/>
        </w:rPr>
        <w:t>I</w:t>
      </w:r>
      <w:r w:rsidRPr="00CB24DB">
        <w:rPr>
          <w:rFonts w:eastAsiaTheme="minorEastAsia" w:hint="eastAsia"/>
          <w:i/>
        </w:rPr>
        <w:t>bid</w:t>
      </w:r>
      <w:r>
        <w:rPr>
          <w:rFonts w:eastAsiaTheme="minorEastAsia" w:hint="eastAsia"/>
        </w:rPr>
        <w:t>.</w:t>
      </w:r>
      <w:r>
        <w:rPr>
          <w:rFonts w:eastAsiaTheme="minorEastAsia"/>
        </w:rPr>
        <w:t>, at 20F-I.</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64F" w:rsidRDefault="0070564F">
    <w:pPr>
      <w:jc w:val="center"/>
      <w:rPr>
        <w:b w:val="0"/>
      </w:rPr>
    </w:pPr>
    <w:r>
      <w:rPr>
        <w:b w:val="0"/>
        <w:noProof/>
        <w:lang w:val="en-US"/>
      </w:rPr>
      <mc:AlternateContent>
        <mc:Choice Requires="wps">
          <w:drawing>
            <wp:anchor distT="0" distB="0" distL="114300" distR="114300" simplePos="0" relativeHeight="251655168" behindDoc="0" locked="0" layoutInCell="1" allowOverlap="1">
              <wp:simplePos x="0" y="0"/>
              <wp:positionH relativeFrom="column">
                <wp:posOffset>-900430</wp:posOffset>
              </wp:positionH>
              <wp:positionV relativeFrom="paragraph">
                <wp:posOffset>10160</wp:posOffset>
              </wp:positionV>
              <wp:extent cx="421640" cy="9962515"/>
              <wp:effectExtent l="4445" t="635" r="254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 cy="9962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564F" w:rsidRDefault="0070564F">
                          <w:r>
                            <w:rPr>
                              <w:rFonts w:hint="eastAsia"/>
                            </w:rPr>
                            <w:t>A</w:t>
                          </w:r>
                        </w:p>
                        <w:p w:rsidR="0070564F" w:rsidRDefault="0070564F">
                          <w:pPr>
                            <w:rPr>
                              <w:sz w:val="10"/>
                            </w:rPr>
                          </w:pPr>
                        </w:p>
                        <w:p w:rsidR="0070564F" w:rsidRDefault="0070564F">
                          <w:pPr>
                            <w:rPr>
                              <w:sz w:val="16"/>
                            </w:rPr>
                          </w:pPr>
                        </w:p>
                        <w:p w:rsidR="0070564F" w:rsidRDefault="0070564F">
                          <w:pPr>
                            <w:rPr>
                              <w:sz w:val="16"/>
                            </w:rPr>
                          </w:pPr>
                        </w:p>
                        <w:p w:rsidR="0070564F" w:rsidRDefault="0070564F">
                          <w:r>
                            <w:rPr>
                              <w:rFonts w:hint="eastAsia"/>
                            </w:rPr>
                            <w:t>B</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C</w:t>
                          </w:r>
                        </w:p>
                        <w:p w:rsidR="0070564F" w:rsidRDefault="0070564F">
                          <w:pPr>
                            <w:rPr>
                              <w:sz w:val="10"/>
                            </w:rPr>
                          </w:pPr>
                        </w:p>
                        <w:p w:rsidR="0070564F" w:rsidRDefault="0070564F">
                          <w:pPr>
                            <w:rPr>
                              <w:sz w:val="16"/>
                            </w:rPr>
                          </w:pPr>
                        </w:p>
                        <w:p w:rsidR="0070564F" w:rsidRDefault="0070564F">
                          <w:pPr>
                            <w:rPr>
                              <w:sz w:val="16"/>
                            </w:rPr>
                          </w:pPr>
                        </w:p>
                        <w:p w:rsidR="0070564F" w:rsidRDefault="0070564F">
                          <w:r>
                            <w:rPr>
                              <w:rFonts w:hint="eastAsia"/>
                            </w:rPr>
                            <w:t>D</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E</w:t>
                          </w:r>
                        </w:p>
                        <w:p w:rsidR="0070564F" w:rsidRDefault="0070564F">
                          <w:pPr>
                            <w:rPr>
                              <w:sz w:val="10"/>
                            </w:rPr>
                          </w:pPr>
                        </w:p>
                        <w:p w:rsidR="0070564F" w:rsidRDefault="0070564F">
                          <w:pPr>
                            <w:rPr>
                              <w:sz w:val="16"/>
                            </w:rPr>
                          </w:pPr>
                        </w:p>
                        <w:p w:rsidR="0070564F" w:rsidRDefault="0070564F">
                          <w:pPr>
                            <w:rPr>
                              <w:sz w:val="16"/>
                            </w:rPr>
                          </w:pPr>
                        </w:p>
                        <w:p w:rsidR="0070564F" w:rsidRDefault="0070564F">
                          <w:r>
                            <w:rPr>
                              <w:rFonts w:hint="eastAsia"/>
                            </w:rPr>
                            <w:t>F</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G</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H</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I</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J</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K</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L</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M</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N</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O</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P</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Q</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R</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S</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T</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U</w:t>
                          </w:r>
                        </w:p>
                        <w:p w:rsidR="0070564F" w:rsidRDefault="0070564F">
                          <w:pPr>
                            <w:rPr>
                              <w:sz w:val="10"/>
                            </w:rPr>
                          </w:pPr>
                        </w:p>
                        <w:p w:rsidR="0070564F" w:rsidRDefault="0070564F">
                          <w:pPr>
                            <w:rPr>
                              <w:sz w:val="16"/>
                            </w:rPr>
                          </w:pPr>
                        </w:p>
                        <w:p w:rsidR="0070564F" w:rsidRDefault="0070564F">
                          <w:pPr>
                            <w:rPr>
                              <w:sz w:val="16"/>
                            </w:rPr>
                          </w:pPr>
                        </w:p>
                        <w:p w:rsidR="0070564F" w:rsidRDefault="0070564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70.9pt;margin-top:.8pt;width:33.2pt;height:78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" stroked="f">
              <v:textbox>
                <w:txbxContent>
                  <w:p w:rsidR="008957E0" w:rsidRDefault="000A04AA">
                    <w:r>
                      <w:rPr>
                        <w:rFonts w:hint="eastAsia"/>
                      </w:rPr>
                      <w:t>A</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B</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C</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D</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E</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F</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G</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H</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I</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J</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K</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L</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M</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N</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O</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P</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Q</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R</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S</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T</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U</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V</w:t>
                    </w:r>
                  </w:p>
                </w:txbxContent>
              </v:textbox>
            </v:shape>
          </w:pict>
        </mc:Fallback>
      </mc:AlternateContent>
    </w:r>
    <w:r>
      <w:rPr>
        <w:b w:val="0"/>
        <w:noProof/>
        <w:lang w:val="en-US"/>
      </w:rPr>
      <mc:AlternateContent>
        <mc:Choice Requires="wps">
          <w:drawing>
            <wp:anchor distT="0" distB="0" distL="114300" distR="114300" simplePos="0" relativeHeight="251656192" behindDoc="0" locked="0" layoutInCell="1" allowOverlap="1">
              <wp:simplePos x="0" y="0"/>
              <wp:positionH relativeFrom="column">
                <wp:posOffset>5901690</wp:posOffset>
              </wp:positionH>
              <wp:positionV relativeFrom="paragraph">
                <wp:posOffset>10160</wp:posOffset>
              </wp:positionV>
              <wp:extent cx="414020" cy="10212070"/>
              <wp:effectExtent l="0" t="63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212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564F" w:rsidRDefault="0070564F">
                          <w:r>
                            <w:rPr>
                              <w:rFonts w:hint="eastAsia"/>
                            </w:rPr>
                            <w:t>A</w:t>
                          </w:r>
                        </w:p>
                        <w:p w:rsidR="0070564F" w:rsidRDefault="0070564F">
                          <w:pPr>
                            <w:rPr>
                              <w:sz w:val="10"/>
                            </w:rPr>
                          </w:pPr>
                        </w:p>
                        <w:p w:rsidR="0070564F" w:rsidRDefault="0070564F">
                          <w:pPr>
                            <w:rPr>
                              <w:sz w:val="16"/>
                            </w:rPr>
                          </w:pPr>
                        </w:p>
                        <w:p w:rsidR="0070564F" w:rsidRDefault="0070564F">
                          <w:pPr>
                            <w:rPr>
                              <w:sz w:val="16"/>
                            </w:rPr>
                          </w:pPr>
                        </w:p>
                        <w:p w:rsidR="0070564F" w:rsidRDefault="0070564F">
                          <w:r>
                            <w:rPr>
                              <w:rFonts w:hint="eastAsia"/>
                            </w:rPr>
                            <w:t>B</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C</w:t>
                          </w:r>
                        </w:p>
                        <w:p w:rsidR="0070564F" w:rsidRDefault="0070564F">
                          <w:pPr>
                            <w:rPr>
                              <w:sz w:val="10"/>
                            </w:rPr>
                          </w:pPr>
                        </w:p>
                        <w:p w:rsidR="0070564F" w:rsidRDefault="0070564F">
                          <w:pPr>
                            <w:rPr>
                              <w:sz w:val="16"/>
                            </w:rPr>
                          </w:pPr>
                        </w:p>
                        <w:p w:rsidR="0070564F" w:rsidRDefault="0070564F">
                          <w:pPr>
                            <w:rPr>
                              <w:sz w:val="16"/>
                            </w:rPr>
                          </w:pPr>
                        </w:p>
                        <w:p w:rsidR="0070564F" w:rsidRDefault="0070564F">
                          <w:r>
                            <w:rPr>
                              <w:rFonts w:hint="eastAsia"/>
                            </w:rPr>
                            <w:t>D</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E</w:t>
                          </w:r>
                        </w:p>
                        <w:p w:rsidR="0070564F" w:rsidRDefault="0070564F">
                          <w:pPr>
                            <w:rPr>
                              <w:sz w:val="10"/>
                            </w:rPr>
                          </w:pPr>
                        </w:p>
                        <w:p w:rsidR="0070564F" w:rsidRDefault="0070564F">
                          <w:pPr>
                            <w:rPr>
                              <w:sz w:val="16"/>
                            </w:rPr>
                          </w:pPr>
                        </w:p>
                        <w:p w:rsidR="0070564F" w:rsidRDefault="0070564F">
                          <w:pPr>
                            <w:rPr>
                              <w:sz w:val="16"/>
                            </w:rPr>
                          </w:pPr>
                        </w:p>
                        <w:p w:rsidR="0070564F" w:rsidRDefault="0070564F">
                          <w:r>
                            <w:rPr>
                              <w:rFonts w:hint="eastAsia"/>
                            </w:rPr>
                            <w:t>F</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G</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H</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I</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J</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K</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L</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M</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N</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O</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P</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Q</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R</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S</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T</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U</w:t>
                          </w:r>
                        </w:p>
                        <w:p w:rsidR="0070564F" w:rsidRDefault="0070564F">
                          <w:pPr>
                            <w:rPr>
                              <w:sz w:val="10"/>
                            </w:rPr>
                          </w:pPr>
                        </w:p>
                        <w:p w:rsidR="0070564F" w:rsidRDefault="0070564F">
                          <w:pPr>
                            <w:rPr>
                              <w:sz w:val="16"/>
                            </w:rPr>
                          </w:pPr>
                        </w:p>
                        <w:p w:rsidR="0070564F" w:rsidRDefault="0070564F">
                          <w:pPr>
                            <w:rPr>
                              <w:sz w:val="16"/>
                            </w:rPr>
                          </w:pPr>
                        </w:p>
                        <w:p w:rsidR="0070564F" w:rsidRDefault="0070564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464.7pt;margin-top:.8pt;width:32.6pt;height:804.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" stroked="f">
              <v:textbox>
                <w:txbxContent>
                  <w:p w:rsidR="008957E0" w:rsidRDefault="000A04AA">
                    <w:r>
                      <w:rPr>
                        <w:rFonts w:hint="eastAsia"/>
                      </w:rPr>
                      <w:t>A</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B</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C</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D</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E</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F</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G</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H</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I</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J</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K</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L</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M</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N</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O</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P</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Q</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R</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S</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T</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U</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V</w:t>
                    </w:r>
                  </w:p>
                </w:txbxContent>
              </v:textbox>
            </v:shape>
          </w:pict>
        </mc:Fallback>
      </mc:AlternateContent>
    </w:r>
    <w:r>
      <w:rPr>
        <w:b w:val="0"/>
        <w:noProof/>
        <w:lang w:val="en-US"/>
      </w:rPr>
      <mc:AlternateContent>
        <mc:Choice Requires="wps">
          <w:drawing>
            <wp:anchor distT="0" distB="0" distL="114300" distR="114300" simplePos="0" relativeHeight="251657216" behindDoc="0" locked="0" layoutInCell="1" allowOverlap="1">
              <wp:simplePos x="0" y="0"/>
              <wp:positionH relativeFrom="column">
                <wp:posOffset>-609600</wp:posOffset>
              </wp:positionH>
              <wp:positionV relativeFrom="paragraph">
                <wp:posOffset>-342900</wp:posOffset>
              </wp:positionV>
              <wp:extent cx="495300" cy="297180"/>
              <wp:effectExtent l="0"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564F" w:rsidRDefault="0070564F">
                          <w:pPr>
                            <w:rPr>
                              <w:rFonts w:eastAsia="黑体"/>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48pt;margin-top:-27pt;width:39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iOhAIAABU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" stroked="f">
              <v:textbox>
                <w:txbxContent>
                  <w:p w:rsidR="008957E0" w:rsidRDefault="008957E0">
                    <w:pPr>
                      <w:rPr>
                        <w:rFonts w:eastAsia="黑体"/>
                        <w:sz w:val="18"/>
                      </w:rPr>
                    </w:pPr>
                  </w:p>
                </w:txbxContent>
              </v:textbox>
            </v:shape>
          </w:pict>
        </mc:Fallback>
      </mc:AlternateContent>
    </w:r>
    <w:r>
      <w:rPr>
        <w:rStyle w:val="PageNumber"/>
        <w:rFonts w:hint="eastAsia"/>
        <w:b w:val="0"/>
      </w:rPr>
      <w:t>-</w:t>
    </w:r>
    <w:r>
      <w:rPr>
        <w:rStyle w:val="PageNumber"/>
        <w:b w:val="0"/>
      </w:rPr>
      <w:t xml:space="preserve">  </w:t>
    </w:r>
    <w:r>
      <w:rPr>
        <w:rStyle w:val="PageNumber"/>
        <w:b w:val="0"/>
      </w:rPr>
      <w:fldChar w:fldCharType="begin"/>
    </w:r>
    <w:r>
      <w:rPr>
        <w:rStyle w:val="PageNumber"/>
        <w:b w:val="0"/>
      </w:rPr>
      <w:instrText xml:space="preserve"> PAGE </w:instrText>
    </w:r>
    <w:r>
      <w:rPr>
        <w:rStyle w:val="PageNumber"/>
        <w:b w:val="0"/>
      </w:rPr>
      <w:fldChar w:fldCharType="separate"/>
    </w:r>
    <w:r w:rsidR="0094077F">
      <w:rPr>
        <w:rStyle w:val="PageNumber"/>
        <w:b w:val="0"/>
        <w:noProof/>
      </w:rPr>
      <w:t>21</w:t>
    </w:r>
    <w:r>
      <w:rPr>
        <w:rStyle w:val="PageNumber"/>
        <w:b w:val="0"/>
      </w:rPr>
      <w:fldChar w:fldCharType="end"/>
    </w:r>
    <w:r>
      <w:rPr>
        <w:rStyle w:val="PageNumber"/>
        <w:b w:val="0"/>
      </w:rPr>
      <w:t xml:space="preserve">  </w:t>
    </w:r>
    <w:r>
      <w:rPr>
        <w:rStyle w:val="PageNumber"/>
        <w:rFonts w:hint="eastAsia"/>
        <w:b w:val="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64F" w:rsidRDefault="0070564F">
    <w:r>
      <w:rPr>
        <w:noProof/>
        <w:lang w:val="en-US"/>
      </w:rPr>
      <mc:AlternateContent>
        <mc:Choice Requires="wps">
          <w:drawing>
            <wp:anchor distT="0" distB="0" distL="114300" distR="114300" simplePos="0" relativeHeight="251660288" behindDoc="0" locked="0" layoutInCell="1" allowOverlap="1">
              <wp:simplePos x="0" y="0"/>
              <wp:positionH relativeFrom="column">
                <wp:posOffset>5922645</wp:posOffset>
              </wp:positionH>
              <wp:positionV relativeFrom="paragraph">
                <wp:posOffset>0</wp:posOffset>
              </wp:positionV>
              <wp:extent cx="414020" cy="1009967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564F" w:rsidRDefault="0070564F">
                          <w:r>
                            <w:rPr>
                              <w:rFonts w:hint="eastAsia"/>
                            </w:rPr>
                            <w:t>A</w:t>
                          </w:r>
                        </w:p>
                        <w:p w:rsidR="0070564F" w:rsidRDefault="0070564F">
                          <w:pPr>
                            <w:rPr>
                              <w:sz w:val="10"/>
                            </w:rPr>
                          </w:pPr>
                        </w:p>
                        <w:p w:rsidR="0070564F" w:rsidRDefault="0070564F">
                          <w:pPr>
                            <w:rPr>
                              <w:sz w:val="16"/>
                            </w:rPr>
                          </w:pPr>
                        </w:p>
                        <w:p w:rsidR="0070564F" w:rsidRDefault="0070564F">
                          <w:pPr>
                            <w:rPr>
                              <w:sz w:val="16"/>
                            </w:rPr>
                          </w:pPr>
                        </w:p>
                        <w:p w:rsidR="0070564F" w:rsidRDefault="0070564F">
                          <w:r>
                            <w:rPr>
                              <w:rFonts w:hint="eastAsia"/>
                            </w:rPr>
                            <w:t>B</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C</w:t>
                          </w:r>
                        </w:p>
                        <w:p w:rsidR="0070564F" w:rsidRDefault="0070564F">
                          <w:pPr>
                            <w:rPr>
                              <w:sz w:val="10"/>
                            </w:rPr>
                          </w:pPr>
                        </w:p>
                        <w:p w:rsidR="0070564F" w:rsidRDefault="0070564F">
                          <w:pPr>
                            <w:rPr>
                              <w:sz w:val="16"/>
                            </w:rPr>
                          </w:pPr>
                        </w:p>
                        <w:p w:rsidR="0070564F" w:rsidRDefault="0070564F">
                          <w:pPr>
                            <w:rPr>
                              <w:sz w:val="16"/>
                            </w:rPr>
                          </w:pPr>
                        </w:p>
                        <w:p w:rsidR="0070564F" w:rsidRDefault="0070564F">
                          <w:r>
                            <w:rPr>
                              <w:rFonts w:hint="eastAsia"/>
                            </w:rPr>
                            <w:t>D</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E</w:t>
                          </w:r>
                        </w:p>
                        <w:p w:rsidR="0070564F" w:rsidRDefault="0070564F">
                          <w:pPr>
                            <w:rPr>
                              <w:sz w:val="10"/>
                            </w:rPr>
                          </w:pPr>
                        </w:p>
                        <w:p w:rsidR="0070564F" w:rsidRDefault="0070564F">
                          <w:pPr>
                            <w:rPr>
                              <w:sz w:val="16"/>
                            </w:rPr>
                          </w:pPr>
                        </w:p>
                        <w:p w:rsidR="0070564F" w:rsidRDefault="0070564F">
                          <w:pPr>
                            <w:rPr>
                              <w:sz w:val="16"/>
                            </w:rPr>
                          </w:pPr>
                        </w:p>
                        <w:p w:rsidR="0070564F" w:rsidRDefault="0070564F">
                          <w:r>
                            <w:rPr>
                              <w:rFonts w:hint="eastAsia"/>
                            </w:rPr>
                            <w:t>F</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G</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H</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I</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J</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K</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L</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M</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N</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O</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P</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Q</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R</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S</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T</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U</w:t>
                          </w:r>
                        </w:p>
                        <w:p w:rsidR="0070564F" w:rsidRDefault="0070564F">
                          <w:pPr>
                            <w:rPr>
                              <w:sz w:val="10"/>
                            </w:rPr>
                          </w:pPr>
                        </w:p>
                        <w:p w:rsidR="0070564F" w:rsidRDefault="0070564F">
                          <w:pPr>
                            <w:rPr>
                              <w:sz w:val="16"/>
                            </w:rPr>
                          </w:pPr>
                        </w:p>
                        <w:p w:rsidR="0070564F" w:rsidRDefault="0070564F">
                          <w:pPr>
                            <w:rPr>
                              <w:sz w:val="16"/>
                            </w:rPr>
                          </w:pPr>
                        </w:p>
                        <w:p w:rsidR="0070564F" w:rsidRDefault="0070564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0" type="#_x0000_t202" style="position:absolute;left:0;text-align:left;margin-left:466.35pt;margin-top:0;width:32.6pt;height:79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" stroked="f">
              <v:textbox>
                <w:txbxContent>
                  <w:p w:rsidR="008957E0" w:rsidRDefault="000A04AA">
                    <w:r>
                      <w:rPr>
                        <w:rFonts w:hint="eastAsia"/>
                      </w:rPr>
                      <w:t>A</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B</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C</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D</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E</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F</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G</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H</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I</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J</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K</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L</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M</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N</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O</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P</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Q</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R</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S</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T</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U</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V</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-893445</wp:posOffset>
              </wp:positionH>
              <wp:positionV relativeFrom="paragraph">
                <wp:posOffset>0</wp:posOffset>
              </wp:positionV>
              <wp:extent cx="419100" cy="10097135"/>
              <wp:effectExtent l="1905" t="0" r="0" b="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009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564F" w:rsidRDefault="0070564F">
                          <w:r>
                            <w:rPr>
                              <w:rFonts w:hint="eastAsia"/>
                            </w:rPr>
                            <w:t>A</w:t>
                          </w:r>
                        </w:p>
                        <w:p w:rsidR="0070564F" w:rsidRDefault="0070564F">
                          <w:pPr>
                            <w:rPr>
                              <w:sz w:val="10"/>
                            </w:rPr>
                          </w:pPr>
                        </w:p>
                        <w:p w:rsidR="0070564F" w:rsidRDefault="0070564F">
                          <w:pPr>
                            <w:rPr>
                              <w:sz w:val="16"/>
                            </w:rPr>
                          </w:pPr>
                        </w:p>
                        <w:p w:rsidR="0070564F" w:rsidRDefault="0070564F">
                          <w:pPr>
                            <w:rPr>
                              <w:sz w:val="16"/>
                            </w:rPr>
                          </w:pPr>
                        </w:p>
                        <w:p w:rsidR="0070564F" w:rsidRDefault="0070564F">
                          <w:r>
                            <w:rPr>
                              <w:rFonts w:hint="eastAsia"/>
                            </w:rPr>
                            <w:t>B</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C</w:t>
                          </w:r>
                        </w:p>
                        <w:p w:rsidR="0070564F" w:rsidRDefault="0070564F">
                          <w:pPr>
                            <w:rPr>
                              <w:sz w:val="10"/>
                            </w:rPr>
                          </w:pPr>
                        </w:p>
                        <w:p w:rsidR="0070564F" w:rsidRDefault="0070564F">
                          <w:pPr>
                            <w:rPr>
                              <w:sz w:val="16"/>
                            </w:rPr>
                          </w:pPr>
                        </w:p>
                        <w:p w:rsidR="0070564F" w:rsidRDefault="0070564F">
                          <w:pPr>
                            <w:rPr>
                              <w:sz w:val="16"/>
                            </w:rPr>
                          </w:pPr>
                        </w:p>
                        <w:p w:rsidR="0070564F" w:rsidRDefault="0070564F">
                          <w:r>
                            <w:rPr>
                              <w:rFonts w:hint="eastAsia"/>
                            </w:rPr>
                            <w:t>D</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E</w:t>
                          </w:r>
                        </w:p>
                        <w:p w:rsidR="0070564F" w:rsidRDefault="0070564F">
                          <w:pPr>
                            <w:rPr>
                              <w:sz w:val="10"/>
                            </w:rPr>
                          </w:pPr>
                        </w:p>
                        <w:p w:rsidR="0070564F" w:rsidRDefault="0070564F">
                          <w:pPr>
                            <w:rPr>
                              <w:sz w:val="16"/>
                            </w:rPr>
                          </w:pPr>
                        </w:p>
                        <w:p w:rsidR="0070564F" w:rsidRDefault="0070564F">
                          <w:pPr>
                            <w:rPr>
                              <w:sz w:val="16"/>
                            </w:rPr>
                          </w:pPr>
                        </w:p>
                        <w:p w:rsidR="0070564F" w:rsidRDefault="0070564F">
                          <w:r>
                            <w:rPr>
                              <w:rFonts w:hint="eastAsia"/>
                            </w:rPr>
                            <w:t>F</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G</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H</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I</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J</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K</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L</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M</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N</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O</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P</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Q</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R</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S</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T</w:t>
                          </w:r>
                        </w:p>
                        <w:p w:rsidR="0070564F" w:rsidRDefault="0070564F">
                          <w:pPr>
                            <w:rPr>
                              <w:sz w:val="10"/>
                            </w:rPr>
                          </w:pPr>
                        </w:p>
                        <w:p w:rsidR="0070564F" w:rsidRDefault="0070564F">
                          <w:pPr>
                            <w:rPr>
                              <w:sz w:val="16"/>
                            </w:rPr>
                          </w:pPr>
                        </w:p>
                        <w:p w:rsidR="0070564F" w:rsidRDefault="0070564F">
                          <w:pPr>
                            <w:rPr>
                              <w:sz w:val="16"/>
                            </w:rPr>
                          </w:pPr>
                        </w:p>
                        <w:p w:rsidR="0070564F" w:rsidRDefault="0070564F">
                          <w:pPr>
                            <w:rPr>
                              <w:sz w:val="16"/>
                            </w:rPr>
                          </w:pPr>
                          <w:r>
                            <w:rPr>
                              <w:rFonts w:hint="eastAsia"/>
                            </w:rPr>
                            <w:t>U</w:t>
                          </w:r>
                        </w:p>
                        <w:p w:rsidR="0070564F" w:rsidRDefault="0070564F">
                          <w:pPr>
                            <w:rPr>
                              <w:sz w:val="10"/>
                            </w:rPr>
                          </w:pPr>
                        </w:p>
                        <w:p w:rsidR="0070564F" w:rsidRDefault="0070564F">
                          <w:pPr>
                            <w:rPr>
                              <w:sz w:val="16"/>
                            </w:rPr>
                          </w:pPr>
                        </w:p>
                        <w:p w:rsidR="0070564F" w:rsidRDefault="0070564F">
                          <w:pPr>
                            <w:rPr>
                              <w:sz w:val="16"/>
                            </w:rPr>
                          </w:pPr>
                        </w:p>
                        <w:p w:rsidR="0070564F" w:rsidRDefault="0070564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70.35pt;margin-top:0;width:33pt;height:79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" stroked="f">
              <v:textbox>
                <w:txbxContent>
                  <w:p w:rsidR="008957E0" w:rsidRDefault="000A04AA">
                    <w:r>
                      <w:rPr>
                        <w:rFonts w:hint="eastAsia"/>
                      </w:rPr>
                      <w:t>A</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B</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C</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D</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E</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F</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G</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H</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I</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J</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K</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L</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M</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N</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O</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P</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Q</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R</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S</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T</w:t>
                    </w:r>
                  </w:p>
                  <w:p w:rsidR="008957E0" w:rsidRDefault="008957E0">
                    <w:pPr>
                      <w:rPr>
                        <w:sz w:val="10"/>
                      </w:rPr>
                    </w:pPr>
                  </w:p>
                  <w:p w:rsidR="008957E0" w:rsidRDefault="008957E0">
                    <w:pPr>
                      <w:rPr>
                        <w:sz w:val="16"/>
                      </w:rPr>
                    </w:pPr>
                  </w:p>
                  <w:p w:rsidR="008957E0" w:rsidRDefault="008957E0">
                    <w:pPr>
                      <w:rPr>
                        <w:sz w:val="16"/>
                      </w:rPr>
                    </w:pPr>
                  </w:p>
                  <w:p w:rsidR="008957E0" w:rsidRDefault="000A04AA">
                    <w:pPr>
                      <w:rPr>
                        <w:sz w:val="16"/>
                      </w:rPr>
                    </w:pPr>
                    <w:r>
                      <w:rPr>
                        <w:rFonts w:hint="eastAsia"/>
                      </w:rPr>
                      <w:t>U</w:t>
                    </w:r>
                  </w:p>
                  <w:p w:rsidR="008957E0" w:rsidRDefault="008957E0">
                    <w:pPr>
                      <w:rPr>
                        <w:sz w:val="10"/>
                      </w:rPr>
                    </w:pPr>
                  </w:p>
                  <w:p w:rsidR="008957E0" w:rsidRDefault="008957E0">
                    <w:pPr>
                      <w:rPr>
                        <w:sz w:val="16"/>
                      </w:rPr>
                    </w:pPr>
                  </w:p>
                  <w:p w:rsidR="008957E0" w:rsidRDefault="008957E0">
                    <w:pPr>
                      <w:rPr>
                        <w:sz w:val="16"/>
                      </w:rPr>
                    </w:pPr>
                  </w:p>
                  <w:p w:rsidR="008957E0" w:rsidRDefault="000A04AA">
                    <w:r>
                      <w:rPr>
                        <w:rFonts w:hint="eastAsia"/>
                      </w:rPr>
                      <w:t>V</w:t>
                    </w:r>
                  </w:p>
                </w:txbxContent>
              </v:textbox>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-609600</wp:posOffset>
              </wp:positionH>
              <wp:positionV relativeFrom="paragraph">
                <wp:posOffset>-342900</wp:posOffset>
              </wp:positionV>
              <wp:extent cx="457200" cy="34290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564F" w:rsidRDefault="0070564F">
                          <w:pPr>
                            <w:rPr>
                              <w:rFonts w:eastAsia="黑体"/>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left:0;text-align:left;margin-left:-48pt;margin-top:-27pt;width:36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" stroked="f">
              <v:textbox>
                <w:txbxContent>
                  <w:p w:rsidR="008957E0" w:rsidRDefault="008957E0">
                    <w:pPr>
                      <w:rPr>
                        <w:rFonts w:eastAsia="黑体"/>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1CF477D8"/>
    <w:multiLevelType w:val="hybridMultilevel"/>
    <w:tmpl w:val="22FA1F16"/>
    <w:lvl w:ilvl="0" w:tplc="B24EDC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3" w15:restartNumberingAfterBreak="0">
    <w:nsid w:val="554C12A3"/>
    <w:multiLevelType w:val="hybridMultilevel"/>
    <w:tmpl w:val="584A9830"/>
    <w:lvl w:ilvl="0" w:tplc="761C8194">
      <w:start w:val="1"/>
      <w:numFmt w:val="decimal"/>
      <w:lvlText w:val="%1.        "/>
      <w:lvlJc w:val="left"/>
      <w:pPr>
        <w:tabs>
          <w:tab w:val="num" w:pos="108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7A050D"/>
    <w:multiLevelType w:val="singleLevel"/>
    <w:tmpl w:val="7CA8BD86"/>
    <w:lvl w:ilvl="0">
      <w:start w:val="1"/>
      <w:numFmt w:val="decimal"/>
      <w:lvlText w:val="%1."/>
      <w:lvlJc w:val="left"/>
      <w:pPr>
        <w:tabs>
          <w:tab w:val="num" w:pos="360"/>
        </w:tabs>
        <w:ind w:left="0" w:firstLine="0"/>
      </w:pPr>
      <w:rPr>
        <w:rFonts w:hint="eastAsia"/>
      </w:rPr>
    </w:lvl>
  </w:abstractNum>
  <w:abstractNum w:abstractNumId="5" w15:restartNumberingAfterBreak="0">
    <w:nsid w:val="60A43652"/>
    <w:multiLevelType w:val="singleLevel"/>
    <w:tmpl w:val="5254F0C4"/>
    <w:lvl w:ilvl="0">
      <w:start w:val="1"/>
      <w:numFmt w:val="lowerLetter"/>
      <w:lvlText w:val="(%1)"/>
      <w:lvlJc w:val="left"/>
      <w:pPr>
        <w:tabs>
          <w:tab w:val="num" w:pos="2160"/>
        </w:tabs>
        <w:ind w:left="2160" w:hanging="720"/>
      </w:pPr>
      <w:rPr>
        <w:rFonts w:hint="eastAsia"/>
      </w:rPr>
    </w:lvl>
  </w:abstractNum>
  <w:abstractNum w:abstractNumId="6" w15:restartNumberingAfterBreak="0">
    <w:nsid w:val="65466AAE"/>
    <w:multiLevelType w:val="multilevel"/>
    <w:tmpl w:val="D084006E"/>
    <w:lvl w:ilvl="0">
      <w:start w:val="1"/>
      <w:numFmt w:val="decimal"/>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7" w15:restartNumberingAfterBreak="0">
    <w:nsid w:val="6D522A80"/>
    <w:multiLevelType w:val="hybridMultilevel"/>
    <w:tmpl w:val="639CCA40"/>
    <w:lvl w:ilvl="0" w:tplc="9360565A">
      <w:start w:val="1"/>
      <w:numFmt w:val="decimal"/>
      <w:lvlText w:val="%1."/>
      <w:lvlJc w:val="left"/>
      <w:pPr>
        <w:ind w:left="1637" w:hanging="360"/>
      </w:pPr>
      <w:rPr>
        <w:rFonts w:ascii="t" w:hAnsi="t" w:hint="default"/>
        <w:b w:val="0"/>
        <w:i w:val="0"/>
        <w:sz w:val="28"/>
        <w:szCs w:val="28"/>
      </w:rPr>
    </w:lvl>
    <w:lvl w:ilvl="1" w:tplc="91F0219C">
      <w:start w:val="1"/>
      <w:numFmt w:val="lowerLetter"/>
      <w:lvlText w:val="(%2)"/>
      <w:lvlJc w:val="left"/>
      <w:pPr>
        <w:tabs>
          <w:tab w:val="num" w:pos="1440"/>
        </w:tabs>
        <w:ind w:left="1440" w:hanging="360"/>
      </w:pPr>
      <w:rPr>
        <w:rFonts w:hint="default"/>
      </w:rPr>
    </w:lvl>
    <w:lvl w:ilvl="2" w:tplc="04090019">
      <w:start w:val="1"/>
      <w:numFmt w:val="lowerLetter"/>
      <w:lvlText w:val="%3."/>
      <w:lvlJc w:val="lef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BA11F97"/>
    <w:multiLevelType w:val="hybridMultilevel"/>
    <w:tmpl w:val="0A4A3CF8"/>
    <w:lvl w:ilvl="0" w:tplc="5EE600B0">
      <w:start w:val="1"/>
      <w:numFmt w:val="decimal"/>
      <w:lvlText w:val="%1."/>
      <w:lvlJc w:val="left"/>
      <w:pPr>
        <w:ind w:left="720" w:hanging="360"/>
      </w:pPr>
      <w:rPr>
        <w:rFonts w:hint="default"/>
        <w:i w:val="0"/>
        <w:color w:val="auto"/>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2"/>
  </w:num>
  <w:num w:numId="4">
    <w:abstractNumId w:val="0"/>
  </w:num>
  <w:num w:numId="5">
    <w:abstractNumId w:val="5"/>
  </w:num>
  <w:num w:numId="6">
    <w:abstractNumId w:val="3"/>
  </w:num>
  <w:num w:numId="7">
    <w:abstractNumId w:val="6"/>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432"/>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C488EC3-4212-40A4-A40E-E6D1B01ECCE7}"/>
    <w:docVar w:name="dgnword-eventsink" w:val="165690036576"/>
  </w:docVars>
  <w:rsids>
    <w:rsidRoot w:val="00E30B91"/>
    <w:rsid w:val="000119FD"/>
    <w:rsid w:val="00013116"/>
    <w:rsid w:val="0003226A"/>
    <w:rsid w:val="000427E0"/>
    <w:rsid w:val="000439B4"/>
    <w:rsid w:val="00044414"/>
    <w:rsid w:val="00045517"/>
    <w:rsid w:val="0005063B"/>
    <w:rsid w:val="0005348A"/>
    <w:rsid w:val="00054BD5"/>
    <w:rsid w:val="00056B3C"/>
    <w:rsid w:val="00061B8B"/>
    <w:rsid w:val="00063C2F"/>
    <w:rsid w:val="000812DC"/>
    <w:rsid w:val="000854BB"/>
    <w:rsid w:val="0008678A"/>
    <w:rsid w:val="000879C0"/>
    <w:rsid w:val="00091890"/>
    <w:rsid w:val="000946D5"/>
    <w:rsid w:val="000A04AA"/>
    <w:rsid w:val="000A2C95"/>
    <w:rsid w:val="000A5C46"/>
    <w:rsid w:val="000B2301"/>
    <w:rsid w:val="000B4E57"/>
    <w:rsid w:val="000B76A4"/>
    <w:rsid w:val="000C3D79"/>
    <w:rsid w:val="000C3E3A"/>
    <w:rsid w:val="000C56C1"/>
    <w:rsid w:val="000C574F"/>
    <w:rsid w:val="000D1754"/>
    <w:rsid w:val="000D2096"/>
    <w:rsid w:val="000D3773"/>
    <w:rsid w:val="000E0E0D"/>
    <w:rsid w:val="000E67C3"/>
    <w:rsid w:val="000E74AE"/>
    <w:rsid w:val="000F5CF5"/>
    <w:rsid w:val="000F68D1"/>
    <w:rsid w:val="00112D25"/>
    <w:rsid w:val="001168B7"/>
    <w:rsid w:val="00123A42"/>
    <w:rsid w:val="00125EAA"/>
    <w:rsid w:val="0012604B"/>
    <w:rsid w:val="00134A59"/>
    <w:rsid w:val="00135449"/>
    <w:rsid w:val="00135935"/>
    <w:rsid w:val="00137A04"/>
    <w:rsid w:val="0014655B"/>
    <w:rsid w:val="001533AD"/>
    <w:rsid w:val="00153C29"/>
    <w:rsid w:val="00161C38"/>
    <w:rsid w:val="00165D1B"/>
    <w:rsid w:val="00170343"/>
    <w:rsid w:val="001774AC"/>
    <w:rsid w:val="00177CDE"/>
    <w:rsid w:val="00184E62"/>
    <w:rsid w:val="00190406"/>
    <w:rsid w:val="00190EE0"/>
    <w:rsid w:val="001970C0"/>
    <w:rsid w:val="001A1846"/>
    <w:rsid w:val="001A2709"/>
    <w:rsid w:val="001A2EF6"/>
    <w:rsid w:val="001A3B65"/>
    <w:rsid w:val="001A71B1"/>
    <w:rsid w:val="001B53D5"/>
    <w:rsid w:val="001C0682"/>
    <w:rsid w:val="001C0BF3"/>
    <w:rsid w:val="001C3D8B"/>
    <w:rsid w:val="001C74A4"/>
    <w:rsid w:val="001D0982"/>
    <w:rsid w:val="001D2186"/>
    <w:rsid w:val="001E5D13"/>
    <w:rsid w:val="001E6480"/>
    <w:rsid w:val="001E7E83"/>
    <w:rsid w:val="001F5C91"/>
    <w:rsid w:val="001F6B07"/>
    <w:rsid w:val="0020266A"/>
    <w:rsid w:val="002033D8"/>
    <w:rsid w:val="002079FF"/>
    <w:rsid w:val="00212016"/>
    <w:rsid w:val="00213AF8"/>
    <w:rsid w:val="00221871"/>
    <w:rsid w:val="002338E5"/>
    <w:rsid w:val="0023462E"/>
    <w:rsid w:val="00237DF9"/>
    <w:rsid w:val="0024014F"/>
    <w:rsid w:val="002422B6"/>
    <w:rsid w:val="0024471F"/>
    <w:rsid w:val="002566E8"/>
    <w:rsid w:val="002676CE"/>
    <w:rsid w:val="00276346"/>
    <w:rsid w:val="00290F32"/>
    <w:rsid w:val="002943F2"/>
    <w:rsid w:val="002A3A69"/>
    <w:rsid w:val="002A5F31"/>
    <w:rsid w:val="002B4E1A"/>
    <w:rsid w:val="002B4FBF"/>
    <w:rsid w:val="002B54CF"/>
    <w:rsid w:val="002C4A8A"/>
    <w:rsid w:val="002D0AC3"/>
    <w:rsid w:val="002D1E5F"/>
    <w:rsid w:val="002D51F2"/>
    <w:rsid w:val="002D62F0"/>
    <w:rsid w:val="002F074D"/>
    <w:rsid w:val="002F109C"/>
    <w:rsid w:val="002F7583"/>
    <w:rsid w:val="002F75CB"/>
    <w:rsid w:val="002F7FC4"/>
    <w:rsid w:val="00305417"/>
    <w:rsid w:val="00311243"/>
    <w:rsid w:val="003160C6"/>
    <w:rsid w:val="00320A3F"/>
    <w:rsid w:val="00322F76"/>
    <w:rsid w:val="003310B8"/>
    <w:rsid w:val="003339D1"/>
    <w:rsid w:val="0034463C"/>
    <w:rsid w:val="0035353E"/>
    <w:rsid w:val="003543F6"/>
    <w:rsid w:val="00360A16"/>
    <w:rsid w:val="003656AA"/>
    <w:rsid w:val="00370C89"/>
    <w:rsid w:val="00372EBA"/>
    <w:rsid w:val="00373539"/>
    <w:rsid w:val="0038353F"/>
    <w:rsid w:val="00386212"/>
    <w:rsid w:val="003974C8"/>
    <w:rsid w:val="003A4717"/>
    <w:rsid w:val="003A54BD"/>
    <w:rsid w:val="003A6452"/>
    <w:rsid w:val="003A6D94"/>
    <w:rsid w:val="003C291A"/>
    <w:rsid w:val="003D125E"/>
    <w:rsid w:val="003D50E3"/>
    <w:rsid w:val="003E1D13"/>
    <w:rsid w:val="003E6A1B"/>
    <w:rsid w:val="003E7C3A"/>
    <w:rsid w:val="003F5825"/>
    <w:rsid w:val="00400660"/>
    <w:rsid w:val="0040551C"/>
    <w:rsid w:val="004100A1"/>
    <w:rsid w:val="00410AE0"/>
    <w:rsid w:val="00410C8B"/>
    <w:rsid w:val="00412F8C"/>
    <w:rsid w:val="00415B12"/>
    <w:rsid w:val="0042367B"/>
    <w:rsid w:val="00424624"/>
    <w:rsid w:val="00426232"/>
    <w:rsid w:val="00436C3E"/>
    <w:rsid w:val="00440A96"/>
    <w:rsid w:val="0044482F"/>
    <w:rsid w:val="00444DE1"/>
    <w:rsid w:val="00444E08"/>
    <w:rsid w:val="00445266"/>
    <w:rsid w:val="004455F5"/>
    <w:rsid w:val="00454E9B"/>
    <w:rsid w:val="00456986"/>
    <w:rsid w:val="0046275A"/>
    <w:rsid w:val="0048523B"/>
    <w:rsid w:val="00485E4A"/>
    <w:rsid w:val="00486027"/>
    <w:rsid w:val="0049226C"/>
    <w:rsid w:val="00493820"/>
    <w:rsid w:val="00493A05"/>
    <w:rsid w:val="00497EEE"/>
    <w:rsid w:val="004A2F3B"/>
    <w:rsid w:val="004B19E6"/>
    <w:rsid w:val="004B6C00"/>
    <w:rsid w:val="004B741B"/>
    <w:rsid w:val="004C6764"/>
    <w:rsid w:val="004D0447"/>
    <w:rsid w:val="004D0EEC"/>
    <w:rsid w:val="004D3434"/>
    <w:rsid w:val="004E2AF3"/>
    <w:rsid w:val="004E3789"/>
    <w:rsid w:val="004E3F74"/>
    <w:rsid w:val="004E5D03"/>
    <w:rsid w:val="004F6C36"/>
    <w:rsid w:val="005009EB"/>
    <w:rsid w:val="00501A1C"/>
    <w:rsid w:val="005041D0"/>
    <w:rsid w:val="00521A2A"/>
    <w:rsid w:val="00522E66"/>
    <w:rsid w:val="00524030"/>
    <w:rsid w:val="00527292"/>
    <w:rsid w:val="00544D2A"/>
    <w:rsid w:val="0054758A"/>
    <w:rsid w:val="00550C3A"/>
    <w:rsid w:val="00552FD1"/>
    <w:rsid w:val="0055673D"/>
    <w:rsid w:val="00557CD1"/>
    <w:rsid w:val="00561433"/>
    <w:rsid w:val="005621E9"/>
    <w:rsid w:val="0056479A"/>
    <w:rsid w:val="00572D91"/>
    <w:rsid w:val="0057483B"/>
    <w:rsid w:val="00574C62"/>
    <w:rsid w:val="00576C33"/>
    <w:rsid w:val="0058035D"/>
    <w:rsid w:val="0058166D"/>
    <w:rsid w:val="00583C85"/>
    <w:rsid w:val="0059159A"/>
    <w:rsid w:val="005934D0"/>
    <w:rsid w:val="005A2A70"/>
    <w:rsid w:val="005A5065"/>
    <w:rsid w:val="005A68C9"/>
    <w:rsid w:val="005C1198"/>
    <w:rsid w:val="005C2E6E"/>
    <w:rsid w:val="005D02D1"/>
    <w:rsid w:val="005D4419"/>
    <w:rsid w:val="005E1891"/>
    <w:rsid w:val="005E2E33"/>
    <w:rsid w:val="005E40EC"/>
    <w:rsid w:val="005E5E54"/>
    <w:rsid w:val="005F257C"/>
    <w:rsid w:val="005F3728"/>
    <w:rsid w:val="005F4641"/>
    <w:rsid w:val="00603913"/>
    <w:rsid w:val="00605E01"/>
    <w:rsid w:val="00611EF7"/>
    <w:rsid w:val="00613A9D"/>
    <w:rsid w:val="00620209"/>
    <w:rsid w:val="00621FFD"/>
    <w:rsid w:val="00624AF2"/>
    <w:rsid w:val="0063050A"/>
    <w:rsid w:val="00631737"/>
    <w:rsid w:val="00633EEA"/>
    <w:rsid w:val="006349BB"/>
    <w:rsid w:val="00643456"/>
    <w:rsid w:val="00643F7F"/>
    <w:rsid w:val="0064484E"/>
    <w:rsid w:val="006505DD"/>
    <w:rsid w:val="00663634"/>
    <w:rsid w:val="00666E6F"/>
    <w:rsid w:val="00667FCF"/>
    <w:rsid w:val="00670370"/>
    <w:rsid w:val="00676DF8"/>
    <w:rsid w:val="0067721A"/>
    <w:rsid w:val="006858F1"/>
    <w:rsid w:val="00685CB6"/>
    <w:rsid w:val="00687C64"/>
    <w:rsid w:val="0069089A"/>
    <w:rsid w:val="006C4304"/>
    <w:rsid w:val="006D79A7"/>
    <w:rsid w:val="006E13DB"/>
    <w:rsid w:val="006E18B8"/>
    <w:rsid w:val="006F1B28"/>
    <w:rsid w:val="006F1D22"/>
    <w:rsid w:val="006F27DD"/>
    <w:rsid w:val="006F2B54"/>
    <w:rsid w:val="006F48A5"/>
    <w:rsid w:val="006F4C7E"/>
    <w:rsid w:val="0070564F"/>
    <w:rsid w:val="007103B8"/>
    <w:rsid w:val="00710A00"/>
    <w:rsid w:val="00716318"/>
    <w:rsid w:val="007226B8"/>
    <w:rsid w:val="007238EB"/>
    <w:rsid w:val="00723ADA"/>
    <w:rsid w:val="007268C3"/>
    <w:rsid w:val="00733BA7"/>
    <w:rsid w:val="00736B5A"/>
    <w:rsid w:val="007439B5"/>
    <w:rsid w:val="00743EE3"/>
    <w:rsid w:val="00744AD3"/>
    <w:rsid w:val="00746D8C"/>
    <w:rsid w:val="00750FCD"/>
    <w:rsid w:val="00756534"/>
    <w:rsid w:val="00765C2E"/>
    <w:rsid w:val="007804B2"/>
    <w:rsid w:val="00790593"/>
    <w:rsid w:val="0079245E"/>
    <w:rsid w:val="00792743"/>
    <w:rsid w:val="00793A41"/>
    <w:rsid w:val="007A46FA"/>
    <w:rsid w:val="007A51F4"/>
    <w:rsid w:val="007B0103"/>
    <w:rsid w:val="007B116A"/>
    <w:rsid w:val="007B2EDC"/>
    <w:rsid w:val="007C2AF5"/>
    <w:rsid w:val="007E1ED4"/>
    <w:rsid w:val="007E2A2B"/>
    <w:rsid w:val="007E2EA6"/>
    <w:rsid w:val="007E5F1E"/>
    <w:rsid w:val="007E67A3"/>
    <w:rsid w:val="007E6F04"/>
    <w:rsid w:val="007F0111"/>
    <w:rsid w:val="007F025D"/>
    <w:rsid w:val="007F46E5"/>
    <w:rsid w:val="007F6F64"/>
    <w:rsid w:val="00811830"/>
    <w:rsid w:val="008119B7"/>
    <w:rsid w:val="008163E2"/>
    <w:rsid w:val="00817ABD"/>
    <w:rsid w:val="00817F9E"/>
    <w:rsid w:val="00820506"/>
    <w:rsid w:val="008315FF"/>
    <w:rsid w:val="00834B00"/>
    <w:rsid w:val="00834D4A"/>
    <w:rsid w:val="00836564"/>
    <w:rsid w:val="00836D15"/>
    <w:rsid w:val="00842B74"/>
    <w:rsid w:val="0085276E"/>
    <w:rsid w:val="00861473"/>
    <w:rsid w:val="00862A7E"/>
    <w:rsid w:val="0086540E"/>
    <w:rsid w:val="00872193"/>
    <w:rsid w:val="00881D39"/>
    <w:rsid w:val="008830F8"/>
    <w:rsid w:val="00887631"/>
    <w:rsid w:val="00887A55"/>
    <w:rsid w:val="00891C34"/>
    <w:rsid w:val="0089381D"/>
    <w:rsid w:val="008957E0"/>
    <w:rsid w:val="008A091F"/>
    <w:rsid w:val="008B72B1"/>
    <w:rsid w:val="008C2213"/>
    <w:rsid w:val="008D1AC2"/>
    <w:rsid w:val="008E071D"/>
    <w:rsid w:val="008F0387"/>
    <w:rsid w:val="008F128E"/>
    <w:rsid w:val="008F1849"/>
    <w:rsid w:val="008F6FA9"/>
    <w:rsid w:val="00904612"/>
    <w:rsid w:val="00905548"/>
    <w:rsid w:val="00907C61"/>
    <w:rsid w:val="009103C3"/>
    <w:rsid w:val="00917743"/>
    <w:rsid w:val="00930F3F"/>
    <w:rsid w:val="0094077F"/>
    <w:rsid w:val="00963E6D"/>
    <w:rsid w:val="00967218"/>
    <w:rsid w:val="00990C8D"/>
    <w:rsid w:val="0099169E"/>
    <w:rsid w:val="009939D0"/>
    <w:rsid w:val="00997CAA"/>
    <w:rsid w:val="009A060D"/>
    <w:rsid w:val="009B3174"/>
    <w:rsid w:val="009B524A"/>
    <w:rsid w:val="009B77A2"/>
    <w:rsid w:val="009D513E"/>
    <w:rsid w:val="009E5464"/>
    <w:rsid w:val="009E629B"/>
    <w:rsid w:val="009F65D3"/>
    <w:rsid w:val="00A04807"/>
    <w:rsid w:val="00A04F2E"/>
    <w:rsid w:val="00A05D17"/>
    <w:rsid w:val="00A07F3D"/>
    <w:rsid w:val="00A31549"/>
    <w:rsid w:val="00A665D3"/>
    <w:rsid w:val="00A67298"/>
    <w:rsid w:val="00A75456"/>
    <w:rsid w:val="00A7634E"/>
    <w:rsid w:val="00A7670F"/>
    <w:rsid w:val="00A8588C"/>
    <w:rsid w:val="00A867E8"/>
    <w:rsid w:val="00A9615B"/>
    <w:rsid w:val="00AA33C6"/>
    <w:rsid w:val="00AA37D4"/>
    <w:rsid w:val="00AA3928"/>
    <w:rsid w:val="00AB1FD8"/>
    <w:rsid w:val="00AB25EA"/>
    <w:rsid w:val="00AB3C21"/>
    <w:rsid w:val="00AB68C8"/>
    <w:rsid w:val="00AC6933"/>
    <w:rsid w:val="00AE03A6"/>
    <w:rsid w:val="00AE54D6"/>
    <w:rsid w:val="00AE5E68"/>
    <w:rsid w:val="00AF028D"/>
    <w:rsid w:val="00AF1F1D"/>
    <w:rsid w:val="00AF52B2"/>
    <w:rsid w:val="00AF5552"/>
    <w:rsid w:val="00AF5ED4"/>
    <w:rsid w:val="00AF652A"/>
    <w:rsid w:val="00B04D99"/>
    <w:rsid w:val="00B05E1C"/>
    <w:rsid w:val="00B06F73"/>
    <w:rsid w:val="00B073D2"/>
    <w:rsid w:val="00B11721"/>
    <w:rsid w:val="00B12455"/>
    <w:rsid w:val="00B12C60"/>
    <w:rsid w:val="00B164BE"/>
    <w:rsid w:val="00B164FD"/>
    <w:rsid w:val="00B2341C"/>
    <w:rsid w:val="00B26C1B"/>
    <w:rsid w:val="00B27C72"/>
    <w:rsid w:val="00B30DBA"/>
    <w:rsid w:val="00B32FD7"/>
    <w:rsid w:val="00B360A9"/>
    <w:rsid w:val="00B451F1"/>
    <w:rsid w:val="00B50649"/>
    <w:rsid w:val="00B50B1F"/>
    <w:rsid w:val="00B520FD"/>
    <w:rsid w:val="00B76E3F"/>
    <w:rsid w:val="00B82E89"/>
    <w:rsid w:val="00B83965"/>
    <w:rsid w:val="00B84776"/>
    <w:rsid w:val="00B904F3"/>
    <w:rsid w:val="00B96616"/>
    <w:rsid w:val="00BA29E5"/>
    <w:rsid w:val="00BA5969"/>
    <w:rsid w:val="00BA6A88"/>
    <w:rsid w:val="00BB0F6D"/>
    <w:rsid w:val="00BB71E9"/>
    <w:rsid w:val="00BC268A"/>
    <w:rsid w:val="00BC5597"/>
    <w:rsid w:val="00BD0E21"/>
    <w:rsid w:val="00BD13E9"/>
    <w:rsid w:val="00BD3B25"/>
    <w:rsid w:val="00BE1F24"/>
    <w:rsid w:val="00BE3E47"/>
    <w:rsid w:val="00BF379A"/>
    <w:rsid w:val="00C00DAF"/>
    <w:rsid w:val="00C00E49"/>
    <w:rsid w:val="00C0354A"/>
    <w:rsid w:val="00C12D46"/>
    <w:rsid w:val="00C16037"/>
    <w:rsid w:val="00C24188"/>
    <w:rsid w:val="00C2601E"/>
    <w:rsid w:val="00C27E9D"/>
    <w:rsid w:val="00C3254A"/>
    <w:rsid w:val="00C32A02"/>
    <w:rsid w:val="00C3388A"/>
    <w:rsid w:val="00C359F0"/>
    <w:rsid w:val="00C36042"/>
    <w:rsid w:val="00C465DB"/>
    <w:rsid w:val="00C473DD"/>
    <w:rsid w:val="00C5108F"/>
    <w:rsid w:val="00C61B9B"/>
    <w:rsid w:val="00C63A09"/>
    <w:rsid w:val="00C64D2B"/>
    <w:rsid w:val="00C67FEF"/>
    <w:rsid w:val="00C747CC"/>
    <w:rsid w:val="00C74DED"/>
    <w:rsid w:val="00C915EE"/>
    <w:rsid w:val="00C96C75"/>
    <w:rsid w:val="00CA1A37"/>
    <w:rsid w:val="00CA3973"/>
    <w:rsid w:val="00CB24DB"/>
    <w:rsid w:val="00CC0D41"/>
    <w:rsid w:val="00CC616D"/>
    <w:rsid w:val="00CD1AE7"/>
    <w:rsid w:val="00CD33A9"/>
    <w:rsid w:val="00CD71C1"/>
    <w:rsid w:val="00CD7D6E"/>
    <w:rsid w:val="00CE1D3F"/>
    <w:rsid w:val="00CE313B"/>
    <w:rsid w:val="00CE4C8A"/>
    <w:rsid w:val="00CE6DC1"/>
    <w:rsid w:val="00CF2775"/>
    <w:rsid w:val="00CF3EAC"/>
    <w:rsid w:val="00CF6D86"/>
    <w:rsid w:val="00CF70A9"/>
    <w:rsid w:val="00D04A9D"/>
    <w:rsid w:val="00D05794"/>
    <w:rsid w:val="00D115E5"/>
    <w:rsid w:val="00D12CD3"/>
    <w:rsid w:val="00D139F5"/>
    <w:rsid w:val="00D14263"/>
    <w:rsid w:val="00D14BB4"/>
    <w:rsid w:val="00D171C6"/>
    <w:rsid w:val="00D36A93"/>
    <w:rsid w:val="00D37138"/>
    <w:rsid w:val="00D454A2"/>
    <w:rsid w:val="00D502F7"/>
    <w:rsid w:val="00D647E9"/>
    <w:rsid w:val="00D65BF2"/>
    <w:rsid w:val="00D65E45"/>
    <w:rsid w:val="00D80976"/>
    <w:rsid w:val="00D84062"/>
    <w:rsid w:val="00D943BC"/>
    <w:rsid w:val="00D97F23"/>
    <w:rsid w:val="00DA1348"/>
    <w:rsid w:val="00DA68D1"/>
    <w:rsid w:val="00DA78E7"/>
    <w:rsid w:val="00DB2691"/>
    <w:rsid w:val="00DB4096"/>
    <w:rsid w:val="00DB7965"/>
    <w:rsid w:val="00DB7DC3"/>
    <w:rsid w:val="00DC17CA"/>
    <w:rsid w:val="00DC5B13"/>
    <w:rsid w:val="00DD4913"/>
    <w:rsid w:val="00DE131B"/>
    <w:rsid w:val="00DE5986"/>
    <w:rsid w:val="00E124C7"/>
    <w:rsid w:val="00E1565A"/>
    <w:rsid w:val="00E20872"/>
    <w:rsid w:val="00E25558"/>
    <w:rsid w:val="00E30B91"/>
    <w:rsid w:val="00E31061"/>
    <w:rsid w:val="00E32FD2"/>
    <w:rsid w:val="00E36895"/>
    <w:rsid w:val="00E41B30"/>
    <w:rsid w:val="00E47747"/>
    <w:rsid w:val="00E54FE0"/>
    <w:rsid w:val="00E5591F"/>
    <w:rsid w:val="00E600C4"/>
    <w:rsid w:val="00E614FF"/>
    <w:rsid w:val="00E63EEE"/>
    <w:rsid w:val="00E655EF"/>
    <w:rsid w:val="00E66DD8"/>
    <w:rsid w:val="00E74B2E"/>
    <w:rsid w:val="00E817DE"/>
    <w:rsid w:val="00E85BF1"/>
    <w:rsid w:val="00E92AC7"/>
    <w:rsid w:val="00EB576F"/>
    <w:rsid w:val="00EB6F09"/>
    <w:rsid w:val="00EC25A3"/>
    <w:rsid w:val="00EC7891"/>
    <w:rsid w:val="00ED39B3"/>
    <w:rsid w:val="00ED6810"/>
    <w:rsid w:val="00EE3AD7"/>
    <w:rsid w:val="00EF04A6"/>
    <w:rsid w:val="00EF14C6"/>
    <w:rsid w:val="00F056E4"/>
    <w:rsid w:val="00F17FE0"/>
    <w:rsid w:val="00F20A7D"/>
    <w:rsid w:val="00F2265A"/>
    <w:rsid w:val="00F33D07"/>
    <w:rsid w:val="00F35A15"/>
    <w:rsid w:val="00F37A10"/>
    <w:rsid w:val="00F477F0"/>
    <w:rsid w:val="00F56F15"/>
    <w:rsid w:val="00F60C0E"/>
    <w:rsid w:val="00F61088"/>
    <w:rsid w:val="00F6299F"/>
    <w:rsid w:val="00F717CC"/>
    <w:rsid w:val="00F8156F"/>
    <w:rsid w:val="00F86169"/>
    <w:rsid w:val="00F861BC"/>
    <w:rsid w:val="00F9028E"/>
    <w:rsid w:val="00F90445"/>
    <w:rsid w:val="00F91772"/>
    <w:rsid w:val="00FA0C9E"/>
    <w:rsid w:val="00FA1844"/>
    <w:rsid w:val="00FA3EEF"/>
    <w:rsid w:val="00FC121E"/>
    <w:rsid w:val="00FD174F"/>
    <w:rsid w:val="00FD46AB"/>
    <w:rsid w:val="00FD62E4"/>
    <w:rsid w:val="00FD70FD"/>
    <w:rsid w:val="00FE3A50"/>
    <w:rsid w:val="00FE7312"/>
    <w:rsid w:val="00FF4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58AEB0-1CBD-40A7-BA2A-8EEF1EB2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346"/>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rsid w:val="008957E0"/>
    <w:pPr>
      <w:keepNext/>
      <w:spacing w:after="120"/>
      <w:jc w:val="center"/>
      <w:outlineLvl w:val="0"/>
    </w:pPr>
    <w:rPr>
      <w:rFonts w:eastAsia="宋体"/>
    </w:rPr>
  </w:style>
  <w:style w:type="paragraph" w:styleId="Heading2">
    <w:name w:val="heading 2"/>
    <w:basedOn w:val="Normal"/>
    <w:next w:val="NormalIndent"/>
    <w:qFormat/>
    <w:rsid w:val="008957E0"/>
    <w:pPr>
      <w:keepNext/>
      <w:tabs>
        <w:tab w:val="left" w:pos="1440"/>
        <w:tab w:val="left" w:pos="2160"/>
      </w:tabs>
      <w:spacing w:line="600" w:lineRule="auto"/>
      <w:outlineLvl w:val="1"/>
    </w:pPr>
    <w:rPr>
      <w:rFonts w:eastAsia="宋体"/>
      <w:b w:val="0"/>
      <w:i/>
    </w:rPr>
  </w:style>
  <w:style w:type="paragraph" w:styleId="Heading3">
    <w:name w:val="heading 3"/>
    <w:basedOn w:val="Normal"/>
    <w:next w:val="NormalIndent"/>
    <w:qFormat/>
    <w:rsid w:val="008957E0"/>
    <w:pPr>
      <w:keepNext/>
      <w:tabs>
        <w:tab w:val="left" w:pos="1440"/>
        <w:tab w:val="left" w:pos="2160"/>
      </w:tabs>
      <w:spacing w:line="600" w:lineRule="auto"/>
      <w:outlineLvl w:val="2"/>
    </w:pPr>
    <w:rPr>
      <w:rFonts w:eastAsia="宋体"/>
      <w:b w:val="0"/>
      <w:u w:val="single"/>
    </w:rPr>
  </w:style>
  <w:style w:type="paragraph" w:styleId="Heading4">
    <w:name w:val="heading 4"/>
    <w:basedOn w:val="Normal"/>
    <w:next w:val="NormalIndent"/>
    <w:qFormat/>
    <w:rsid w:val="008957E0"/>
    <w:pPr>
      <w:keepNext/>
      <w:tabs>
        <w:tab w:val="left" w:pos="720"/>
      </w:tabs>
      <w:jc w:val="right"/>
      <w:outlineLvl w:val="3"/>
    </w:pPr>
    <w:rPr>
      <w:rFonts w:eastAsia="宋体"/>
      <w:b w:val="0"/>
    </w:rPr>
  </w:style>
  <w:style w:type="paragraph" w:styleId="Heading5">
    <w:name w:val="heading 5"/>
    <w:basedOn w:val="Normal"/>
    <w:next w:val="NormalIndent"/>
    <w:qFormat/>
    <w:rsid w:val="008957E0"/>
    <w:pPr>
      <w:keepNext/>
      <w:tabs>
        <w:tab w:val="left" w:pos="720"/>
      </w:tabs>
      <w:jc w:val="left"/>
      <w:outlineLvl w:val="4"/>
    </w:pPr>
    <w:rPr>
      <w:rFonts w:eastAsia="宋体"/>
      <w:b w:val="0"/>
    </w:rPr>
  </w:style>
  <w:style w:type="paragraph" w:styleId="Heading6">
    <w:name w:val="heading 6"/>
    <w:basedOn w:val="Normal"/>
    <w:next w:val="Normal"/>
    <w:qFormat/>
    <w:rsid w:val="008957E0"/>
    <w:pPr>
      <w:keepNext/>
      <w:outlineLvl w:val="5"/>
    </w:pPr>
    <w:rPr>
      <w:b w:val="0"/>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8957E0"/>
    <w:pPr>
      <w:tabs>
        <w:tab w:val="center" w:pos="4153"/>
        <w:tab w:val="right" w:pos="8306"/>
      </w:tabs>
    </w:pPr>
  </w:style>
  <w:style w:type="paragraph" w:styleId="Header">
    <w:name w:val="header"/>
    <w:basedOn w:val="Normal"/>
    <w:semiHidden/>
    <w:rsid w:val="008957E0"/>
    <w:pPr>
      <w:jc w:val="center"/>
    </w:pPr>
    <w:rPr>
      <w:b w:val="0"/>
      <w:sz w:val="24"/>
    </w:rPr>
  </w:style>
  <w:style w:type="paragraph" w:styleId="NormalIndent">
    <w:name w:val="Normal Indent"/>
    <w:basedOn w:val="Normal"/>
    <w:next w:val="Normal"/>
    <w:semiHidden/>
    <w:rsid w:val="008957E0"/>
    <w:pPr>
      <w:widowControl w:val="0"/>
      <w:textAlignment w:val="top"/>
    </w:pPr>
    <w:rPr>
      <w:rFonts w:eastAsia="PMingLiU"/>
    </w:rPr>
  </w:style>
  <w:style w:type="paragraph" w:customStyle="1" w:styleId="normal1">
    <w:name w:val="normal1"/>
    <w:basedOn w:val="Normal"/>
    <w:rsid w:val="008957E0"/>
    <w:pPr>
      <w:tabs>
        <w:tab w:val="left" w:pos="1411"/>
      </w:tabs>
      <w:jc w:val="center"/>
    </w:pPr>
    <w:rPr>
      <w:b w:val="0"/>
      <w:sz w:val="28"/>
    </w:rPr>
  </w:style>
  <w:style w:type="paragraph" w:customStyle="1" w:styleId="normal2">
    <w:name w:val="normal2"/>
    <w:rsid w:val="008957E0"/>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rsid w:val="008957E0"/>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rsid w:val="008957E0"/>
    <w:pPr>
      <w:spacing w:after="240"/>
      <w:jc w:val="right"/>
    </w:pPr>
    <w:rPr>
      <w:caps/>
    </w:rPr>
  </w:style>
  <w:style w:type="paragraph" w:customStyle="1" w:styleId="ar-draft">
    <w:name w:val="ar-draft"/>
    <w:basedOn w:val="Normal"/>
    <w:rsid w:val="00CD1AE7"/>
    <w:pPr>
      <w:numPr>
        <w:numId w:val="4"/>
      </w:numPr>
      <w:tabs>
        <w:tab w:val="clear" w:pos="360"/>
        <w:tab w:val="left" w:pos="1440"/>
      </w:tabs>
      <w:kinsoku/>
      <w:overflowPunct/>
      <w:autoSpaceDE/>
      <w:autoSpaceDN/>
      <w:adjustRightInd/>
      <w:spacing w:before="360" w:line="360" w:lineRule="auto"/>
    </w:pPr>
    <w:rPr>
      <w:b w:val="0"/>
      <w:snapToGrid/>
      <w:sz w:val="28"/>
    </w:rPr>
  </w:style>
  <w:style w:type="character" w:styleId="PageNumber">
    <w:name w:val="page number"/>
    <w:semiHidden/>
    <w:rsid w:val="008957E0"/>
    <w:rPr>
      <w:rFonts w:ascii="Times New Roman" w:hAnsi="Times New Roman"/>
      <w:color w:val="auto"/>
      <w:sz w:val="24"/>
      <w:szCs w:val="24"/>
      <w:u w:val="none"/>
      <w:lang w:val="en-GB"/>
    </w:rPr>
  </w:style>
  <w:style w:type="paragraph" w:customStyle="1" w:styleId="j-draft">
    <w:name w:val="j-draft"/>
    <w:basedOn w:val="Normal"/>
    <w:rsid w:val="008957E0"/>
    <w:pPr>
      <w:numPr>
        <w:numId w:val="3"/>
      </w:numPr>
      <w:tabs>
        <w:tab w:val="clear" w:pos="360"/>
        <w:tab w:val="left" w:pos="1440"/>
      </w:tabs>
      <w:spacing w:after="360" w:line="360" w:lineRule="auto"/>
    </w:pPr>
    <w:rPr>
      <w:b w:val="0"/>
      <w:sz w:val="28"/>
    </w:rPr>
  </w:style>
  <w:style w:type="paragraph" w:customStyle="1" w:styleId="j-heading">
    <w:name w:val="j-heading"/>
    <w:basedOn w:val="Heading4"/>
    <w:next w:val="j-draft"/>
    <w:rsid w:val="008957E0"/>
    <w:pPr>
      <w:tabs>
        <w:tab w:val="clear" w:pos="720"/>
      </w:tabs>
      <w:spacing w:before="600" w:line="600" w:lineRule="auto"/>
      <w:jc w:val="left"/>
    </w:pPr>
    <w:rPr>
      <w:i/>
      <w:sz w:val="28"/>
    </w:rPr>
  </w:style>
  <w:style w:type="paragraph" w:customStyle="1" w:styleId="j-quotation">
    <w:name w:val="j-quotation"/>
    <w:next w:val="BodyText"/>
    <w:rsid w:val="008957E0"/>
    <w:pPr>
      <w:tabs>
        <w:tab w:val="left" w:pos="720"/>
        <w:tab w:val="left" w:pos="1440"/>
      </w:tabs>
      <w:kinsoku w:val="0"/>
      <w:overflowPunct w:val="0"/>
      <w:autoSpaceDE w:val="0"/>
      <w:autoSpaceDN w:val="0"/>
      <w:adjustRightInd w:val="0"/>
      <w:snapToGrid w:val="0"/>
      <w:spacing w:after="240"/>
      <w:ind w:left="1440" w:right="720"/>
      <w:jc w:val="both"/>
    </w:pPr>
    <w:rPr>
      <w:sz w:val="24"/>
      <w:lang w:val="en-GB" w:eastAsia="en-US"/>
    </w:rPr>
  </w:style>
  <w:style w:type="paragraph" w:styleId="BodyText">
    <w:name w:val="Body Text"/>
    <w:basedOn w:val="j-draft"/>
    <w:next w:val="j-draft"/>
    <w:semiHidden/>
    <w:rsid w:val="008957E0"/>
    <w:pPr>
      <w:numPr>
        <w:numId w:val="0"/>
      </w:numPr>
      <w:tabs>
        <w:tab w:val="clear" w:pos="1440"/>
      </w:tabs>
    </w:pPr>
  </w:style>
  <w:style w:type="paragraph" w:customStyle="1" w:styleId="ar-hang-quo">
    <w:name w:val="ar-hang-quo"/>
    <w:basedOn w:val="Normal"/>
    <w:next w:val="ar-draft"/>
    <w:rsid w:val="008957E0"/>
    <w:pPr>
      <w:tabs>
        <w:tab w:val="left" w:pos="1440"/>
        <w:tab w:val="center" w:pos="4320"/>
        <w:tab w:val="right" w:pos="9072"/>
      </w:tabs>
      <w:kinsoku/>
      <w:overflowPunct/>
      <w:autoSpaceDE/>
      <w:autoSpaceDN/>
      <w:adjustRightInd/>
      <w:spacing w:before="240"/>
      <w:ind w:left="2160" w:right="720" w:hanging="720"/>
      <w:jc w:val="left"/>
    </w:pPr>
    <w:rPr>
      <w:b w:val="0"/>
      <w:snapToGrid/>
      <w:sz w:val="24"/>
    </w:rPr>
  </w:style>
  <w:style w:type="paragraph" w:customStyle="1" w:styleId="ar-heading1">
    <w:name w:val="ar-heading1"/>
    <w:basedOn w:val="Normal"/>
    <w:rsid w:val="008957E0"/>
    <w:pPr>
      <w:keepNext/>
      <w:tabs>
        <w:tab w:val="left" w:pos="1440"/>
        <w:tab w:val="center" w:pos="4320"/>
        <w:tab w:val="right" w:pos="9072"/>
      </w:tabs>
      <w:kinsoku/>
      <w:overflowPunct/>
      <w:autoSpaceDE/>
      <w:autoSpaceDN/>
      <w:adjustRightInd/>
      <w:spacing w:before="360" w:line="360" w:lineRule="auto"/>
      <w:jc w:val="left"/>
    </w:pPr>
    <w:rPr>
      <w:b w:val="0"/>
      <w:i/>
      <w:snapToGrid/>
      <w:sz w:val="28"/>
    </w:rPr>
  </w:style>
  <w:style w:type="paragraph" w:customStyle="1" w:styleId="J-BodyText">
    <w:name w:val="J-Body Text"/>
    <w:basedOn w:val="Normal"/>
    <w:next w:val="Normal"/>
    <w:rsid w:val="008957E0"/>
    <w:pPr>
      <w:keepNext/>
      <w:widowControl w:val="0"/>
      <w:spacing w:after="240"/>
      <w:ind w:left="720" w:hanging="720"/>
      <w:textAlignment w:val="baseline"/>
    </w:pPr>
    <w:rPr>
      <w:rFonts w:eastAsia="PMingLiU"/>
      <w:b w:val="0"/>
      <w:sz w:val="28"/>
    </w:rPr>
  </w:style>
  <w:style w:type="paragraph" w:customStyle="1" w:styleId="ar-quotation">
    <w:name w:val="ar-quotation"/>
    <w:basedOn w:val="Normal"/>
    <w:rsid w:val="00CD1AE7"/>
    <w:pPr>
      <w:tabs>
        <w:tab w:val="left" w:pos="1440"/>
        <w:tab w:val="left" w:pos="2160"/>
      </w:tabs>
      <w:kinsoku/>
      <w:overflowPunct/>
      <w:autoSpaceDE/>
      <w:autoSpaceDN/>
      <w:adjustRightInd/>
      <w:spacing w:before="240"/>
      <w:ind w:left="1440" w:right="720"/>
    </w:pPr>
    <w:rPr>
      <w:b w:val="0"/>
      <w:snapToGrid/>
      <w:sz w:val="24"/>
    </w:rPr>
  </w:style>
  <w:style w:type="paragraph" w:customStyle="1" w:styleId="ar-subheading">
    <w:name w:val="ar-subheading"/>
    <w:basedOn w:val="Normal"/>
    <w:rsid w:val="008957E0"/>
    <w:pPr>
      <w:tabs>
        <w:tab w:val="left" w:pos="1440"/>
        <w:tab w:val="center" w:pos="4320"/>
        <w:tab w:val="right" w:pos="9072"/>
      </w:tabs>
      <w:kinsoku/>
      <w:overflowPunct/>
      <w:autoSpaceDE/>
      <w:autoSpaceDN/>
      <w:adjustRightInd/>
      <w:spacing w:before="360" w:line="360" w:lineRule="auto"/>
      <w:ind w:left="720"/>
      <w:jc w:val="left"/>
    </w:pPr>
    <w:rPr>
      <w:b w:val="0"/>
      <w:i/>
      <w:snapToGrid/>
      <w:sz w:val="28"/>
    </w:rPr>
  </w:style>
  <w:style w:type="paragraph" w:customStyle="1" w:styleId="sh">
    <w:name w:val="sh"/>
    <w:basedOn w:val="Normal"/>
    <w:rsid w:val="008957E0"/>
    <w:pPr>
      <w:tabs>
        <w:tab w:val="left" w:pos="720"/>
        <w:tab w:val="left" w:pos="1440"/>
        <w:tab w:val="center" w:pos="4320"/>
        <w:tab w:val="right" w:pos="9072"/>
      </w:tabs>
      <w:kinsoku/>
      <w:overflowPunct/>
      <w:autoSpaceDE/>
      <w:autoSpaceDN/>
      <w:adjustRightInd/>
      <w:snapToGrid/>
      <w:jc w:val="left"/>
    </w:pPr>
    <w:rPr>
      <w:rFonts w:eastAsia="宋体"/>
      <w:b w:val="0"/>
      <w:snapToGrid/>
      <w:sz w:val="28"/>
      <w:lang w:val="en-US"/>
    </w:rPr>
  </w:style>
  <w:style w:type="paragraph" w:styleId="NormalWeb">
    <w:name w:val="Normal (Web)"/>
    <w:basedOn w:val="Normal"/>
    <w:semiHidden/>
    <w:rsid w:val="008957E0"/>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styleId="BalloonText">
    <w:name w:val="Balloon Text"/>
    <w:basedOn w:val="Normal"/>
    <w:link w:val="BalloonTextChar"/>
    <w:uiPriority w:val="99"/>
    <w:semiHidden/>
    <w:unhideWhenUsed/>
    <w:rsid w:val="00137A04"/>
    <w:rPr>
      <w:rFonts w:ascii="Tahoma" w:hAnsi="Tahoma" w:cs="Tahoma"/>
      <w:sz w:val="16"/>
      <w:szCs w:val="16"/>
    </w:rPr>
  </w:style>
  <w:style w:type="character" w:customStyle="1" w:styleId="BalloonTextChar">
    <w:name w:val="Balloon Text Char"/>
    <w:link w:val="BalloonText"/>
    <w:uiPriority w:val="99"/>
    <w:semiHidden/>
    <w:rsid w:val="00137A04"/>
    <w:rPr>
      <w:rFonts w:ascii="Tahoma" w:eastAsia="MingLiU" w:hAnsi="Tahoma" w:cs="Tahoma"/>
      <w:b/>
      <w:snapToGrid w:val="0"/>
      <w:sz w:val="16"/>
      <w:szCs w:val="16"/>
      <w:lang w:val="en-GB"/>
    </w:rPr>
  </w:style>
  <w:style w:type="paragraph" w:styleId="FootnoteText">
    <w:name w:val="footnote text"/>
    <w:basedOn w:val="Normal"/>
    <w:link w:val="FootnoteTextChar"/>
    <w:unhideWhenUsed/>
    <w:rsid w:val="00C24188"/>
    <w:pPr>
      <w:tabs>
        <w:tab w:val="left" w:pos="274"/>
      </w:tabs>
      <w:jc w:val="left"/>
    </w:pPr>
    <w:rPr>
      <w:b w:val="0"/>
    </w:rPr>
  </w:style>
  <w:style w:type="character" w:customStyle="1" w:styleId="FootnoteTextChar">
    <w:name w:val="Footnote Text Char"/>
    <w:link w:val="FootnoteText"/>
    <w:rsid w:val="00C24188"/>
    <w:rPr>
      <w:rFonts w:eastAsia="MingLiU"/>
      <w:snapToGrid w:val="0"/>
      <w:lang w:val="en-GB"/>
    </w:rPr>
  </w:style>
  <w:style w:type="character" w:styleId="FootnoteReference">
    <w:name w:val="footnote reference"/>
    <w:unhideWhenUsed/>
    <w:rsid w:val="008D1AC2"/>
    <w:rPr>
      <w:vertAlign w:val="superscript"/>
    </w:rPr>
  </w:style>
  <w:style w:type="paragraph" w:customStyle="1" w:styleId="Final">
    <w:name w:val="Final"/>
    <w:basedOn w:val="Normal"/>
    <w:rsid w:val="0057483B"/>
    <w:pPr>
      <w:tabs>
        <w:tab w:val="left" w:pos="1440"/>
        <w:tab w:val="center" w:pos="4320"/>
        <w:tab w:val="right" w:pos="9072"/>
      </w:tabs>
      <w:kinsoku/>
      <w:overflowPunct/>
      <w:autoSpaceDE/>
      <w:autoSpaceDN/>
      <w:adjustRightInd/>
      <w:spacing w:line="360" w:lineRule="auto"/>
      <w:jc w:val="left"/>
    </w:pPr>
    <w:rPr>
      <w:rFonts w:eastAsia="宋体"/>
      <w:b w:val="0"/>
      <w:snapToGrid/>
      <w:sz w:val="28"/>
    </w:rPr>
  </w:style>
  <w:style w:type="paragraph" w:customStyle="1" w:styleId="H-1">
    <w:name w:val="H-1"/>
    <w:basedOn w:val="Normal"/>
    <w:rsid w:val="0057483B"/>
    <w:pPr>
      <w:keepNext/>
      <w:tabs>
        <w:tab w:val="left" w:pos="1440"/>
        <w:tab w:val="center" w:pos="3946"/>
        <w:tab w:val="center" w:pos="4234"/>
        <w:tab w:val="right" w:pos="8453"/>
      </w:tabs>
      <w:kinsoku/>
      <w:overflowPunct/>
      <w:autoSpaceDE/>
      <w:autoSpaceDN/>
      <w:adjustRightInd/>
      <w:spacing w:before="360"/>
    </w:pPr>
    <w:rPr>
      <w:rFonts w:eastAsia="宋体"/>
      <w:b w:val="0"/>
      <w:i/>
      <w:snapToGrid/>
      <w:kern w:val="2"/>
      <w:sz w:val="28"/>
    </w:rPr>
  </w:style>
  <w:style w:type="paragraph" w:customStyle="1" w:styleId="Quotation">
    <w:name w:val="Quotation"/>
    <w:basedOn w:val="Normal"/>
    <w:rsid w:val="0034463C"/>
    <w:pPr>
      <w:tabs>
        <w:tab w:val="left" w:pos="1440"/>
        <w:tab w:val="left" w:pos="2016"/>
        <w:tab w:val="left" w:pos="2448"/>
        <w:tab w:val="center" w:pos="3946"/>
        <w:tab w:val="right" w:pos="8453"/>
      </w:tabs>
      <w:kinsoku/>
      <w:overflowPunct/>
      <w:autoSpaceDE/>
      <w:autoSpaceDN/>
      <w:adjustRightInd/>
      <w:spacing w:before="160" w:after="80"/>
      <w:ind w:left="1440" w:right="720"/>
    </w:pPr>
    <w:rPr>
      <w:rFonts w:eastAsia="宋体"/>
      <w:b w:val="0"/>
      <w:snapToGrid/>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275053">
      <w:bodyDiv w:val="1"/>
      <w:marLeft w:val="0"/>
      <w:marRight w:val="0"/>
      <w:marTop w:val="0"/>
      <w:marBottom w:val="0"/>
      <w:divBdr>
        <w:top w:val="none" w:sz="0" w:space="0" w:color="auto"/>
        <w:left w:val="none" w:sz="0" w:space="0" w:color="auto"/>
        <w:bottom w:val="none" w:sz="0" w:space="0" w:color="auto"/>
        <w:right w:val="none" w:sz="0" w:space="0" w:color="auto"/>
      </w:divBdr>
      <w:divsChild>
        <w:div w:id="2130928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77CCE-85DF-4139-9243-0699A5C3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6544</Words>
  <Characters>37304</Characters>
  <Application>Microsoft Office Word</Application>
  <DocSecurity>0</DocSecurity>
  <Lines>310</Lines>
  <Paragraphs>87</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ABC Final</vt:lpstr>
      <vt:lpstr>ABC Final</vt:lpstr>
    </vt:vector>
  </TitlesOfParts>
  <Company>Judiciary</Company>
  <LinksUpToDate>false</LinksUpToDate>
  <CharactersWithSpaces>43761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Final</dc:title>
  <dc:subject/>
  <dc:creator>Judiciary</dc:creator>
  <cp:keywords/>
  <cp:lastModifiedBy>Windows User</cp:lastModifiedBy>
  <cp:revision>2</cp:revision>
  <cp:lastPrinted>2018-11-09T06:45:00Z</cp:lastPrinted>
  <dcterms:created xsi:type="dcterms:W3CDTF">2018-11-30T04:46:00Z</dcterms:created>
  <dcterms:modified xsi:type="dcterms:W3CDTF">2018-11-30T04:46:00Z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