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D5" w:rsidRDefault="00ED68D5" w:rsidP="00ED68D5">
      <w:pPr>
        <w:tabs>
          <w:tab w:val="clear" w:pos="4320"/>
          <w:tab w:val="clear" w:pos="9072"/>
        </w:tabs>
        <w:jc w:val="right"/>
        <w:rPr>
          <w:szCs w:val="28"/>
        </w:rPr>
      </w:pPr>
      <w:r w:rsidRPr="0014040B">
        <w:rPr>
          <w:szCs w:val="28"/>
        </w:rPr>
        <w:t xml:space="preserve">CACC </w:t>
      </w:r>
      <w:r w:rsidR="00A6736B">
        <w:rPr>
          <w:rFonts w:hint="eastAsia"/>
          <w:szCs w:val="28"/>
        </w:rPr>
        <w:t>299</w:t>
      </w:r>
      <w:r w:rsidRPr="0014040B">
        <w:rPr>
          <w:szCs w:val="28"/>
        </w:rPr>
        <w:t>/20</w:t>
      </w:r>
      <w:r w:rsidR="00A6736B">
        <w:rPr>
          <w:rFonts w:hint="eastAsia"/>
          <w:szCs w:val="28"/>
        </w:rPr>
        <w:t>14</w:t>
      </w:r>
    </w:p>
    <w:p w:rsidR="00ED68D5" w:rsidRPr="0014040B" w:rsidRDefault="00ED68D5" w:rsidP="00ED68D5">
      <w:pPr>
        <w:tabs>
          <w:tab w:val="clear" w:pos="4320"/>
          <w:tab w:val="clear" w:pos="9072"/>
        </w:tabs>
        <w:jc w:val="right"/>
        <w:rPr>
          <w:szCs w:val="28"/>
        </w:rPr>
      </w:pPr>
    </w:p>
    <w:p w:rsidR="00ED68D5" w:rsidRPr="00465F27" w:rsidRDefault="00ED68D5" w:rsidP="00ED68D5">
      <w:pPr>
        <w:tabs>
          <w:tab w:val="clear" w:pos="4320"/>
          <w:tab w:val="clear" w:pos="9072"/>
        </w:tabs>
        <w:rPr>
          <w:szCs w:val="28"/>
        </w:rPr>
      </w:pPr>
    </w:p>
    <w:p w:rsidR="00ED68D5" w:rsidRPr="00465F27" w:rsidRDefault="00ED68D5" w:rsidP="00ED68D5">
      <w:pPr>
        <w:tabs>
          <w:tab w:val="clear" w:pos="4320"/>
          <w:tab w:val="clear" w:pos="9072"/>
        </w:tabs>
        <w:spacing w:line="360" w:lineRule="auto"/>
        <w:jc w:val="center"/>
        <w:rPr>
          <w:b/>
          <w:szCs w:val="28"/>
        </w:rPr>
      </w:pPr>
      <w:r w:rsidRPr="00465F27">
        <w:rPr>
          <w:b/>
          <w:szCs w:val="28"/>
        </w:rPr>
        <w:t>IN THE HIGH COURT OF THE</w:t>
      </w:r>
    </w:p>
    <w:p w:rsidR="00ED68D5" w:rsidRPr="00465F27" w:rsidRDefault="00ED68D5" w:rsidP="00ED68D5">
      <w:pPr>
        <w:pStyle w:val="Heading1"/>
        <w:tabs>
          <w:tab w:val="clear" w:pos="4320"/>
          <w:tab w:val="clear" w:pos="9072"/>
        </w:tabs>
        <w:spacing w:line="360" w:lineRule="auto"/>
        <w:jc w:val="center"/>
        <w:rPr>
          <w:b/>
          <w:i w:val="0"/>
          <w:szCs w:val="28"/>
        </w:rPr>
      </w:pPr>
      <w:r w:rsidRPr="00465F27">
        <w:rPr>
          <w:b/>
          <w:i w:val="0"/>
          <w:szCs w:val="28"/>
        </w:rPr>
        <w:t>HONG KONG SPECIAL ADMINISTRATIVE REGION</w:t>
      </w:r>
    </w:p>
    <w:p w:rsidR="00ED68D5" w:rsidRPr="00465F27" w:rsidRDefault="00ED68D5" w:rsidP="00ED68D5">
      <w:pPr>
        <w:pStyle w:val="Heading1"/>
        <w:tabs>
          <w:tab w:val="clear" w:pos="4320"/>
          <w:tab w:val="clear" w:pos="9072"/>
        </w:tabs>
        <w:spacing w:line="360" w:lineRule="auto"/>
        <w:jc w:val="center"/>
        <w:rPr>
          <w:b/>
          <w:i w:val="0"/>
          <w:szCs w:val="28"/>
        </w:rPr>
      </w:pPr>
      <w:r w:rsidRPr="00465F27">
        <w:rPr>
          <w:b/>
          <w:i w:val="0"/>
          <w:szCs w:val="28"/>
        </w:rPr>
        <w:t>COURT OF APPEAL</w:t>
      </w:r>
    </w:p>
    <w:p w:rsidR="00ED68D5" w:rsidRPr="0014040B" w:rsidRDefault="00ED68D5" w:rsidP="00ED68D5">
      <w:pPr>
        <w:tabs>
          <w:tab w:val="clear" w:pos="4320"/>
          <w:tab w:val="clear" w:pos="9072"/>
        </w:tabs>
        <w:spacing w:line="360" w:lineRule="auto"/>
        <w:jc w:val="center"/>
        <w:rPr>
          <w:szCs w:val="28"/>
        </w:rPr>
      </w:pPr>
      <w:proofErr w:type="gramStart"/>
      <w:r w:rsidRPr="0014040B">
        <w:rPr>
          <w:szCs w:val="28"/>
        </w:rPr>
        <w:t>CRIMINAL APPEAL NO</w:t>
      </w:r>
      <w:r>
        <w:rPr>
          <w:rFonts w:hint="eastAsia"/>
          <w:szCs w:val="28"/>
        </w:rPr>
        <w:t>.</w:t>
      </w:r>
      <w:proofErr w:type="gramEnd"/>
      <w:r w:rsidRPr="0014040B">
        <w:rPr>
          <w:szCs w:val="28"/>
        </w:rPr>
        <w:t xml:space="preserve"> </w:t>
      </w:r>
      <w:r w:rsidR="0020025C">
        <w:rPr>
          <w:rFonts w:hint="eastAsia"/>
          <w:szCs w:val="28"/>
        </w:rPr>
        <w:t>299</w:t>
      </w:r>
      <w:r w:rsidRPr="0014040B">
        <w:rPr>
          <w:rFonts w:eastAsia="PMingLiU"/>
          <w:lang w:eastAsia="zh-TW"/>
        </w:rPr>
        <w:t xml:space="preserve"> </w:t>
      </w:r>
      <w:r w:rsidRPr="0014040B">
        <w:rPr>
          <w:rFonts w:hint="eastAsia"/>
        </w:rPr>
        <w:t>OF 20</w:t>
      </w:r>
      <w:r w:rsidR="00A6736B">
        <w:rPr>
          <w:rFonts w:hint="eastAsia"/>
        </w:rPr>
        <w:t>14</w:t>
      </w:r>
    </w:p>
    <w:p w:rsidR="00ED68D5" w:rsidRPr="0014040B" w:rsidRDefault="00A6736B" w:rsidP="00ED68D5">
      <w:pPr>
        <w:tabs>
          <w:tab w:val="clear" w:pos="4320"/>
          <w:tab w:val="clear" w:pos="9072"/>
        </w:tabs>
        <w:snapToGrid/>
        <w:spacing w:line="360" w:lineRule="auto"/>
        <w:jc w:val="center"/>
      </w:pPr>
      <w:r>
        <w:rPr>
          <w:szCs w:val="28"/>
        </w:rPr>
        <w:t xml:space="preserve">(ON APPEAL FROM </w:t>
      </w:r>
      <w:r w:rsidR="00ED68D5" w:rsidRPr="0014040B">
        <w:rPr>
          <w:rFonts w:hint="eastAsia"/>
        </w:rPr>
        <w:t xml:space="preserve">DCCC </w:t>
      </w:r>
      <w:r w:rsidR="000D371B" w:rsidRPr="0014040B">
        <w:rPr>
          <w:szCs w:val="28"/>
        </w:rPr>
        <w:t>NO</w:t>
      </w:r>
      <w:r w:rsidR="000D371B">
        <w:rPr>
          <w:rFonts w:hint="eastAsia"/>
          <w:szCs w:val="28"/>
        </w:rPr>
        <w:t>.</w:t>
      </w:r>
      <w:r>
        <w:rPr>
          <w:rFonts w:hint="eastAsia"/>
          <w:szCs w:val="28"/>
        </w:rPr>
        <w:t xml:space="preserve"> 1022</w:t>
      </w:r>
      <w:r w:rsidR="000D371B">
        <w:rPr>
          <w:rFonts w:eastAsia="PMingLiU"/>
          <w:lang w:eastAsia="zh-TW"/>
        </w:rPr>
        <w:t xml:space="preserve"> </w:t>
      </w:r>
      <w:r w:rsidR="00ED68D5" w:rsidRPr="0014040B">
        <w:rPr>
          <w:rFonts w:hint="eastAsia"/>
        </w:rPr>
        <w:t>OF 20</w:t>
      </w:r>
      <w:r>
        <w:rPr>
          <w:rFonts w:hint="eastAsia"/>
        </w:rPr>
        <w:t>12</w:t>
      </w:r>
      <w:r w:rsidR="00ED68D5" w:rsidRPr="0014040B">
        <w:rPr>
          <w:rFonts w:hint="eastAsia"/>
        </w:rPr>
        <w:t>)</w:t>
      </w:r>
    </w:p>
    <w:p w:rsidR="00ED68D5" w:rsidRPr="00465F27" w:rsidRDefault="00ED68D5" w:rsidP="00ED68D5">
      <w:pPr>
        <w:jc w:val="center"/>
        <w:rPr>
          <w:szCs w:val="28"/>
        </w:rPr>
      </w:pPr>
      <w:r w:rsidRPr="00465F27">
        <w:rPr>
          <w:szCs w:val="28"/>
        </w:rPr>
        <w:t>____________</w:t>
      </w:r>
    </w:p>
    <w:p w:rsidR="00ED68D5" w:rsidRPr="00465F27" w:rsidRDefault="00ED68D5" w:rsidP="00ED68D5">
      <w:pPr>
        <w:tabs>
          <w:tab w:val="clear" w:pos="4320"/>
          <w:tab w:val="clear" w:pos="9072"/>
        </w:tabs>
        <w:spacing w:line="240" w:lineRule="atLeast"/>
        <w:rPr>
          <w:szCs w:val="28"/>
        </w:rPr>
      </w:pPr>
    </w:p>
    <w:p w:rsidR="00ED68D5" w:rsidRPr="00465F27" w:rsidRDefault="00ED68D5" w:rsidP="00ED68D5">
      <w:pPr>
        <w:spacing w:line="240" w:lineRule="atLeast"/>
        <w:rPr>
          <w:szCs w:val="28"/>
        </w:rPr>
      </w:pPr>
      <w:r w:rsidRPr="00465F27">
        <w:rPr>
          <w:szCs w:val="28"/>
        </w:rPr>
        <w:t>BETWEEN</w:t>
      </w:r>
    </w:p>
    <w:p w:rsidR="00ED68D5" w:rsidRPr="00465F27" w:rsidRDefault="00ED68D5" w:rsidP="00ED68D5">
      <w:pPr>
        <w:spacing w:line="240" w:lineRule="atLeast"/>
        <w:rPr>
          <w:szCs w:val="28"/>
        </w:rPr>
      </w:pPr>
    </w:p>
    <w:tbl>
      <w:tblPr>
        <w:tblW w:w="6750" w:type="dxa"/>
        <w:tblInd w:w="2088" w:type="dxa"/>
        <w:tblLook w:val="04A0"/>
      </w:tblPr>
      <w:tblGrid>
        <w:gridCol w:w="4590"/>
        <w:gridCol w:w="2160"/>
      </w:tblGrid>
      <w:tr w:rsidR="00ED68D5" w:rsidRPr="00465F27" w:rsidTr="009A1860">
        <w:tc>
          <w:tcPr>
            <w:tcW w:w="4590" w:type="dxa"/>
          </w:tcPr>
          <w:p w:rsidR="00ED68D5" w:rsidRPr="00465F27" w:rsidRDefault="00ED68D5" w:rsidP="009A1860">
            <w:pPr>
              <w:tabs>
                <w:tab w:val="clear" w:pos="4320"/>
                <w:tab w:val="left" w:pos="851"/>
                <w:tab w:val="right" w:pos="8504"/>
              </w:tabs>
              <w:ind w:left="-18" w:right="162" w:firstLine="18"/>
              <w:jc w:val="center"/>
              <w:rPr>
                <w:szCs w:val="28"/>
              </w:rPr>
            </w:pPr>
            <w:r w:rsidRPr="00465F27">
              <w:rPr>
                <w:szCs w:val="28"/>
              </w:rPr>
              <w:t>HKSAR</w:t>
            </w:r>
          </w:p>
          <w:p w:rsidR="00ED68D5" w:rsidRPr="00465F27" w:rsidRDefault="00ED68D5" w:rsidP="009A1860">
            <w:pPr>
              <w:tabs>
                <w:tab w:val="clear" w:pos="4320"/>
              </w:tabs>
              <w:spacing w:line="240" w:lineRule="atLeast"/>
              <w:ind w:left="-18" w:firstLine="18"/>
              <w:jc w:val="center"/>
              <w:rPr>
                <w:szCs w:val="28"/>
              </w:rPr>
            </w:pPr>
          </w:p>
        </w:tc>
        <w:tc>
          <w:tcPr>
            <w:tcW w:w="2160" w:type="dxa"/>
          </w:tcPr>
          <w:p w:rsidR="00ED68D5" w:rsidRPr="00465F27" w:rsidRDefault="00ED68D5" w:rsidP="009A1860">
            <w:pPr>
              <w:tabs>
                <w:tab w:val="clear" w:pos="1440"/>
                <w:tab w:val="clear" w:pos="4320"/>
              </w:tabs>
              <w:spacing w:line="240" w:lineRule="atLeast"/>
              <w:jc w:val="right"/>
              <w:rPr>
                <w:szCs w:val="28"/>
              </w:rPr>
            </w:pPr>
            <w:r w:rsidRPr="00465F27">
              <w:rPr>
                <w:szCs w:val="28"/>
              </w:rPr>
              <w:t>Respondent</w:t>
            </w:r>
          </w:p>
        </w:tc>
      </w:tr>
      <w:tr w:rsidR="00ED68D5" w:rsidRPr="00465F27" w:rsidTr="00A6736B">
        <w:trPr>
          <w:trHeight w:val="585"/>
        </w:trPr>
        <w:tc>
          <w:tcPr>
            <w:tcW w:w="4590" w:type="dxa"/>
          </w:tcPr>
          <w:p w:rsidR="00ED68D5" w:rsidRPr="00465F27" w:rsidRDefault="00ED68D5" w:rsidP="009A1860">
            <w:pPr>
              <w:tabs>
                <w:tab w:val="clear" w:pos="4320"/>
                <w:tab w:val="left" w:pos="851"/>
                <w:tab w:val="right" w:pos="8504"/>
              </w:tabs>
              <w:ind w:left="-18" w:right="162" w:firstLine="18"/>
              <w:jc w:val="center"/>
              <w:rPr>
                <w:szCs w:val="28"/>
              </w:rPr>
            </w:pPr>
            <w:r>
              <w:rPr>
                <w:szCs w:val="28"/>
              </w:rPr>
              <w:t>and</w:t>
            </w:r>
          </w:p>
        </w:tc>
        <w:tc>
          <w:tcPr>
            <w:tcW w:w="2160" w:type="dxa"/>
          </w:tcPr>
          <w:p w:rsidR="00ED68D5" w:rsidRPr="00465F27" w:rsidRDefault="00ED68D5" w:rsidP="009A1860">
            <w:pPr>
              <w:tabs>
                <w:tab w:val="clear" w:pos="1440"/>
                <w:tab w:val="clear" w:pos="4320"/>
              </w:tabs>
              <w:spacing w:line="240" w:lineRule="atLeast"/>
              <w:jc w:val="right"/>
              <w:rPr>
                <w:szCs w:val="28"/>
              </w:rPr>
            </w:pPr>
          </w:p>
        </w:tc>
      </w:tr>
      <w:tr w:rsidR="00ED68D5" w:rsidRPr="00465F27" w:rsidTr="00A6736B">
        <w:trPr>
          <w:trHeight w:val="630"/>
        </w:trPr>
        <w:tc>
          <w:tcPr>
            <w:tcW w:w="4590" w:type="dxa"/>
          </w:tcPr>
          <w:p w:rsidR="00ED68D5" w:rsidRPr="00465F27" w:rsidRDefault="00A6736B" w:rsidP="00A6736B">
            <w:pPr>
              <w:ind w:left="2160" w:hanging="2160"/>
              <w:jc w:val="center"/>
              <w:rPr>
                <w:szCs w:val="28"/>
              </w:rPr>
            </w:pPr>
            <w:r>
              <w:rPr>
                <w:rFonts w:hint="eastAsia"/>
              </w:rPr>
              <w:t>WU WING KIT (</w:t>
            </w:r>
            <w:r>
              <w:rPr>
                <w:rFonts w:hint="eastAsia"/>
              </w:rPr>
              <w:t>胡永傑</w:t>
            </w:r>
            <w:r>
              <w:rPr>
                <w:rFonts w:hint="eastAsia"/>
              </w:rPr>
              <w:t>)</w:t>
            </w:r>
          </w:p>
        </w:tc>
        <w:tc>
          <w:tcPr>
            <w:tcW w:w="2160" w:type="dxa"/>
          </w:tcPr>
          <w:p w:rsidR="00ED68D5" w:rsidRPr="00465F27" w:rsidRDefault="00ED68D5" w:rsidP="00A6736B">
            <w:pPr>
              <w:tabs>
                <w:tab w:val="clear" w:pos="1440"/>
                <w:tab w:val="clear" w:pos="4320"/>
              </w:tabs>
              <w:spacing w:line="240" w:lineRule="atLeast"/>
              <w:jc w:val="right"/>
              <w:rPr>
                <w:szCs w:val="28"/>
              </w:rPr>
            </w:pPr>
            <w:r>
              <w:rPr>
                <w:szCs w:val="28"/>
              </w:rPr>
              <w:t>1</w:t>
            </w:r>
            <w:r w:rsidRPr="00F10B45">
              <w:rPr>
                <w:szCs w:val="28"/>
                <w:vertAlign w:val="superscript"/>
              </w:rPr>
              <w:t>st</w:t>
            </w:r>
            <w:r>
              <w:rPr>
                <w:szCs w:val="28"/>
              </w:rPr>
              <w:t xml:space="preserve"> App</w:t>
            </w:r>
            <w:r w:rsidR="00A6736B">
              <w:rPr>
                <w:rFonts w:hint="eastAsia"/>
                <w:szCs w:val="28"/>
              </w:rPr>
              <w:t>ellant</w:t>
            </w:r>
          </w:p>
        </w:tc>
      </w:tr>
      <w:tr w:rsidR="00ED68D5" w:rsidRPr="00465F27" w:rsidTr="009A1860">
        <w:tc>
          <w:tcPr>
            <w:tcW w:w="4590" w:type="dxa"/>
          </w:tcPr>
          <w:p w:rsidR="00A6736B" w:rsidRPr="009532A6" w:rsidRDefault="00B00AA8" w:rsidP="00A6736B">
            <w:pPr>
              <w:ind w:left="2160" w:hanging="2160"/>
              <w:jc w:val="center"/>
            </w:pPr>
            <w:r>
              <w:rPr>
                <w:rFonts w:hint="eastAsia"/>
              </w:rPr>
              <w:t>YE FAN</w:t>
            </w:r>
            <w:r>
              <w:t>G</w:t>
            </w:r>
            <w:r w:rsidR="00A6736B">
              <w:rPr>
                <w:rFonts w:hint="eastAsia"/>
              </w:rPr>
              <w:t xml:space="preserve"> (</w:t>
            </w:r>
            <w:r w:rsidR="00A6736B">
              <w:rPr>
                <w:rFonts w:hint="eastAsia"/>
              </w:rPr>
              <w:t>叶芳</w:t>
            </w:r>
            <w:r w:rsidR="00A6736B">
              <w:rPr>
                <w:rFonts w:hint="eastAsia"/>
              </w:rPr>
              <w:t>)</w:t>
            </w:r>
          </w:p>
          <w:p w:rsidR="00ED68D5" w:rsidRPr="00465F27" w:rsidRDefault="00ED68D5" w:rsidP="00A6736B">
            <w:pPr>
              <w:tabs>
                <w:tab w:val="clear" w:pos="4320"/>
                <w:tab w:val="left" w:pos="851"/>
                <w:tab w:val="right" w:pos="8504"/>
              </w:tabs>
              <w:ind w:left="-18" w:right="162" w:firstLine="18"/>
              <w:jc w:val="center"/>
              <w:rPr>
                <w:szCs w:val="28"/>
              </w:rPr>
            </w:pPr>
          </w:p>
        </w:tc>
        <w:tc>
          <w:tcPr>
            <w:tcW w:w="2160" w:type="dxa"/>
          </w:tcPr>
          <w:p w:rsidR="00ED68D5" w:rsidRPr="00465F27" w:rsidRDefault="00ED68D5" w:rsidP="00A6736B">
            <w:pPr>
              <w:tabs>
                <w:tab w:val="clear" w:pos="1440"/>
                <w:tab w:val="clear" w:pos="4320"/>
              </w:tabs>
              <w:spacing w:line="240" w:lineRule="atLeast"/>
              <w:jc w:val="right"/>
              <w:rPr>
                <w:szCs w:val="28"/>
              </w:rPr>
            </w:pPr>
            <w:r>
              <w:rPr>
                <w:szCs w:val="28"/>
              </w:rPr>
              <w:t>2</w:t>
            </w:r>
            <w:r w:rsidRPr="00F10B45">
              <w:rPr>
                <w:szCs w:val="28"/>
                <w:vertAlign w:val="superscript"/>
              </w:rPr>
              <w:t>nd</w:t>
            </w:r>
            <w:r>
              <w:rPr>
                <w:szCs w:val="28"/>
              </w:rPr>
              <w:t xml:space="preserve"> App</w:t>
            </w:r>
            <w:r w:rsidR="00A6736B">
              <w:rPr>
                <w:rFonts w:hint="eastAsia"/>
                <w:szCs w:val="28"/>
              </w:rPr>
              <w:t>ellant</w:t>
            </w:r>
          </w:p>
        </w:tc>
      </w:tr>
    </w:tbl>
    <w:p w:rsidR="00ED68D5" w:rsidRPr="00465F27" w:rsidRDefault="00ED68D5" w:rsidP="00ED68D5">
      <w:pPr>
        <w:jc w:val="center"/>
        <w:rPr>
          <w:szCs w:val="28"/>
        </w:rPr>
      </w:pPr>
      <w:r w:rsidRPr="00465F27">
        <w:rPr>
          <w:szCs w:val="28"/>
        </w:rPr>
        <w:t>____________</w:t>
      </w:r>
    </w:p>
    <w:p w:rsidR="00ED68D5" w:rsidRDefault="00ED68D5" w:rsidP="00ED68D5">
      <w:pPr>
        <w:tabs>
          <w:tab w:val="clear" w:pos="4320"/>
          <w:tab w:val="clear" w:pos="9072"/>
        </w:tabs>
        <w:rPr>
          <w:szCs w:val="28"/>
        </w:rPr>
      </w:pPr>
    </w:p>
    <w:p w:rsidR="00723FFA" w:rsidRPr="00117AB6" w:rsidRDefault="00723FFA" w:rsidP="00723FFA">
      <w:pPr>
        <w:spacing w:line="560" w:lineRule="exact"/>
        <w:rPr>
          <w:szCs w:val="28"/>
        </w:rPr>
      </w:pPr>
      <w:proofErr w:type="gramStart"/>
      <w:r w:rsidRPr="00117AB6">
        <w:rPr>
          <w:szCs w:val="28"/>
        </w:rPr>
        <w:t>Before</w:t>
      </w:r>
      <w:r>
        <w:rPr>
          <w:szCs w:val="28"/>
        </w:rPr>
        <w:t xml:space="preserve"> </w:t>
      </w:r>
      <w:r w:rsidRPr="00117AB6">
        <w:rPr>
          <w:szCs w:val="28"/>
        </w:rPr>
        <w:t>:</w:t>
      </w:r>
      <w:proofErr w:type="gramEnd"/>
      <w:r w:rsidRPr="00117AB6">
        <w:rPr>
          <w:szCs w:val="28"/>
        </w:rPr>
        <w:t xml:space="preserve"> Hon </w:t>
      </w:r>
      <w:proofErr w:type="spellStart"/>
      <w:r w:rsidRPr="00117AB6">
        <w:rPr>
          <w:szCs w:val="28"/>
        </w:rPr>
        <w:t>Lunn</w:t>
      </w:r>
      <w:proofErr w:type="spellEnd"/>
      <w:r>
        <w:rPr>
          <w:szCs w:val="28"/>
        </w:rPr>
        <w:t xml:space="preserve"> VP</w:t>
      </w:r>
      <w:r w:rsidRPr="00117AB6">
        <w:rPr>
          <w:szCs w:val="28"/>
        </w:rPr>
        <w:t xml:space="preserve">, </w:t>
      </w:r>
      <w:proofErr w:type="spellStart"/>
      <w:r w:rsidRPr="00117AB6">
        <w:rPr>
          <w:szCs w:val="28"/>
        </w:rPr>
        <w:t>Macrae</w:t>
      </w:r>
      <w:proofErr w:type="spellEnd"/>
      <w:r w:rsidRPr="00117AB6">
        <w:rPr>
          <w:szCs w:val="28"/>
        </w:rPr>
        <w:t xml:space="preserve"> and </w:t>
      </w:r>
      <w:proofErr w:type="spellStart"/>
      <w:r w:rsidRPr="00117AB6">
        <w:rPr>
          <w:szCs w:val="28"/>
        </w:rPr>
        <w:t>McWalters</w:t>
      </w:r>
      <w:proofErr w:type="spellEnd"/>
      <w:r w:rsidRPr="00117AB6">
        <w:rPr>
          <w:szCs w:val="28"/>
        </w:rPr>
        <w:t xml:space="preserve"> </w:t>
      </w:r>
      <w:r>
        <w:rPr>
          <w:rFonts w:hint="eastAsia"/>
          <w:szCs w:val="28"/>
        </w:rPr>
        <w:t>J</w:t>
      </w:r>
      <w:r>
        <w:rPr>
          <w:szCs w:val="28"/>
        </w:rPr>
        <w:t>J</w:t>
      </w:r>
      <w:r w:rsidRPr="00117AB6">
        <w:rPr>
          <w:szCs w:val="28"/>
        </w:rPr>
        <w:t>A in Court</w:t>
      </w:r>
    </w:p>
    <w:p w:rsidR="00ED68D5" w:rsidRDefault="00ED68D5" w:rsidP="00ED68D5">
      <w:pPr>
        <w:snapToGrid/>
        <w:spacing w:line="500" w:lineRule="exact"/>
        <w:rPr>
          <w:kern w:val="28"/>
        </w:rPr>
      </w:pPr>
      <w:r w:rsidRPr="0014040B">
        <w:rPr>
          <w:kern w:val="28"/>
        </w:rPr>
        <w:t>Date</w:t>
      </w:r>
      <w:r w:rsidR="005B3293">
        <w:rPr>
          <w:kern w:val="28"/>
        </w:rPr>
        <w:t xml:space="preserve"> </w:t>
      </w:r>
      <w:r w:rsidRPr="0014040B">
        <w:rPr>
          <w:kern w:val="28"/>
        </w:rPr>
        <w:t xml:space="preserve">of </w:t>
      </w:r>
      <w:proofErr w:type="gramStart"/>
      <w:r w:rsidRPr="0014040B">
        <w:rPr>
          <w:kern w:val="28"/>
        </w:rPr>
        <w:t>Hearing</w:t>
      </w:r>
      <w:r w:rsidRPr="0014040B">
        <w:rPr>
          <w:rFonts w:eastAsia="PMingLiU" w:hint="eastAsia"/>
          <w:kern w:val="28"/>
          <w:lang w:eastAsia="zh-TW"/>
        </w:rPr>
        <w:t xml:space="preserve"> </w:t>
      </w:r>
      <w:r w:rsidRPr="0014040B">
        <w:rPr>
          <w:rFonts w:hint="eastAsia"/>
          <w:kern w:val="28"/>
        </w:rPr>
        <w:t>:</w:t>
      </w:r>
      <w:proofErr w:type="gramEnd"/>
      <w:r w:rsidRPr="0014040B">
        <w:rPr>
          <w:rFonts w:eastAsia="PMingLiU" w:hint="eastAsia"/>
          <w:kern w:val="28"/>
          <w:lang w:eastAsia="zh-TW"/>
        </w:rPr>
        <w:t xml:space="preserve"> </w:t>
      </w:r>
      <w:r w:rsidR="007F1516">
        <w:rPr>
          <w:rFonts w:eastAsia="PMingLiU"/>
          <w:kern w:val="28"/>
          <w:lang w:eastAsia="zh-TW"/>
        </w:rPr>
        <w:t>1</w:t>
      </w:r>
      <w:r w:rsidR="00A6736B">
        <w:rPr>
          <w:rFonts w:hint="eastAsia"/>
          <w:kern w:val="28"/>
        </w:rPr>
        <w:t>2</w:t>
      </w:r>
      <w:r w:rsidR="007F1516">
        <w:rPr>
          <w:kern w:val="28"/>
        </w:rPr>
        <w:t>,</w:t>
      </w:r>
      <w:r w:rsidR="00A6736B">
        <w:rPr>
          <w:rFonts w:hint="eastAsia"/>
          <w:kern w:val="28"/>
        </w:rPr>
        <w:t xml:space="preserve"> 13</w:t>
      </w:r>
      <w:r w:rsidR="007F1516">
        <w:rPr>
          <w:kern w:val="28"/>
        </w:rPr>
        <w:t xml:space="preserve"> and 28</w:t>
      </w:r>
      <w:r w:rsidR="00A6736B">
        <w:rPr>
          <w:rFonts w:hint="eastAsia"/>
          <w:kern w:val="28"/>
        </w:rPr>
        <w:t xml:space="preserve"> Januar</w:t>
      </w:r>
      <w:r w:rsidR="00A85BF0">
        <w:rPr>
          <w:rFonts w:hint="eastAsia"/>
          <w:kern w:val="28"/>
        </w:rPr>
        <w:t>y</w:t>
      </w:r>
      <w:r w:rsidR="00A6736B">
        <w:rPr>
          <w:rFonts w:hint="eastAsia"/>
          <w:kern w:val="28"/>
        </w:rPr>
        <w:t xml:space="preserve"> </w:t>
      </w:r>
      <w:r w:rsidRPr="0014040B">
        <w:rPr>
          <w:rFonts w:hint="eastAsia"/>
          <w:kern w:val="28"/>
        </w:rPr>
        <w:t>20</w:t>
      </w:r>
      <w:r>
        <w:rPr>
          <w:kern w:val="28"/>
        </w:rPr>
        <w:t>1</w:t>
      </w:r>
      <w:r w:rsidR="00A6736B">
        <w:rPr>
          <w:rFonts w:hint="eastAsia"/>
          <w:kern w:val="28"/>
        </w:rPr>
        <w:t>6</w:t>
      </w:r>
    </w:p>
    <w:p w:rsidR="00ED68D5" w:rsidRPr="00A6736B" w:rsidRDefault="00ED68D5" w:rsidP="00ED68D5">
      <w:pPr>
        <w:tabs>
          <w:tab w:val="clear" w:pos="4320"/>
        </w:tabs>
        <w:snapToGrid/>
        <w:spacing w:line="500" w:lineRule="exact"/>
        <w:rPr>
          <w:kern w:val="28"/>
        </w:rPr>
      </w:pPr>
      <w:r w:rsidRPr="0014040B">
        <w:rPr>
          <w:kern w:val="28"/>
        </w:rPr>
        <w:t xml:space="preserve">Date of </w:t>
      </w:r>
      <w:proofErr w:type="gramStart"/>
      <w:r w:rsidRPr="0014040B">
        <w:rPr>
          <w:kern w:val="28"/>
        </w:rPr>
        <w:t>Judgment</w:t>
      </w:r>
      <w:r w:rsidRPr="0014040B">
        <w:rPr>
          <w:rFonts w:eastAsia="PMingLiU" w:hint="eastAsia"/>
          <w:kern w:val="28"/>
          <w:lang w:eastAsia="zh-TW"/>
        </w:rPr>
        <w:t xml:space="preserve"> </w:t>
      </w:r>
      <w:r w:rsidRPr="0014040B">
        <w:rPr>
          <w:kern w:val="28"/>
        </w:rPr>
        <w:t>:</w:t>
      </w:r>
      <w:proofErr w:type="gramEnd"/>
      <w:r w:rsidRPr="0014040B">
        <w:rPr>
          <w:rFonts w:eastAsia="PMingLiU" w:hint="eastAsia"/>
          <w:kern w:val="28"/>
          <w:lang w:eastAsia="zh-TW"/>
        </w:rPr>
        <w:t xml:space="preserve"> </w:t>
      </w:r>
      <w:r w:rsidR="009B38D9">
        <w:rPr>
          <w:rFonts w:eastAsia="PMingLiU"/>
          <w:kern w:val="28"/>
          <w:lang w:eastAsia="zh-TW"/>
        </w:rPr>
        <w:t xml:space="preserve">26 </w:t>
      </w:r>
      <w:r w:rsidR="007F1516">
        <w:rPr>
          <w:kern w:val="28"/>
        </w:rPr>
        <w:t>May</w:t>
      </w:r>
      <w:r w:rsidR="00A6736B">
        <w:rPr>
          <w:rFonts w:hint="eastAsia"/>
          <w:kern w:val="28"/>
        </w:rPr>
        <w:t xml:space="preserve"> </w:t>
      </w:r>
      <w:r w:rsidRPr="0014040B">
        <w:rPr>
          <w:rFonts w:eastAsia="PMingLiU"/>
          <w:kern w:val="28"/>
          <w:lang w:eastAsia="zh-TW"/>
        </w:rPr>
        <w:t>20</w:t>
      </w:r>
      <w:r>
        <w:rPr>
          <w:rFonts w:eastAsia="PMingLiU"/>
          <w:kern w:val="28"/>
          <w:lang w:eastAsia="zh-TW"/>
        </w:rPr>
        <w:t>1</w:t>
      </w:r>
      <w:r w:rsidR="00A6736B">
        <w:rPr>
          <w:rFonts w:hint="eastAsia"/>
          <w:kern w:val="28"/>
        </w:rPr>
        <w:t>6</w:t>
      </w:r>
    </w:p>
    <w:p w:rsidR="007065F9" w:rsidRDefault="007065F9" w:rsidP="00ED68D5">
      <w:pPr>
        <w:tabs>
          <w:tab w:val="clear" w:pos="4320"/>
          <w:tab w:val="clear" w:pos="9072"/>
          <w:tab w:val="left" w:pos="1276"/>
          <w:tab w:val="left" w:pos="2415"/>
        </w:tabs>
        <w:spacing w:line="360" w:lineRule="auto"/>
        <w:rPr>
          <w:szCs w:val="28"/>
          <w:lang w:val="en-US"/>
        </w:rPr>
      </w:pPr>
    </w:p>
    <w:p w:rsidR="00ED68D5" w:rsidRDefault="00ED68D5" w:rsidP="007065F9">
      <w:pPr>
        <w:tabs>
          <w:tab w:val="clear" w:pos="4320"/>
          <w:tab w:val="clear" w:pos="9072"/>
          <w:tab w:val="left" w:pos="1276"/>
          <w:tab w:val="left" w:pos="2415"/>
        </w:tabs>
        <w:adjustRightInd w:val="0"/>
        <w:spacing w:line="200" w:lineRule="exact"/>
        <w:ind w:left="1454" w:right="907" w:hanging="187"/>
        <w:jc w:val="both"/>
        <w:rPr>
          <w:szCs w:val="28"/>
          <w:lang w:val="en-US"/>
        </w:rPr>
      </w:pPr>
    </w:p>
    <w:tbl>
      <w:tblPr>
        <w:tblW w:w="8568" w:type="dxa"/>
        <w:tblLayout w:type="fixed"/>
        <w:tblLook w:val="0000"/>
      </w:tblPr>
      <w:tblGrid>
        <w:gridCol w:w="3258"/>
        <w:gridCol w:w="2340"/>
        <w:gridCol w:w="2970"/>
      </w:tblGrid>
      <w:tr w:rsidR="00ED68D5" w:rsidRPr="0014040B" w:rsidTr="009A1860">
        <w:tc>
          <w:tcPr>
            <w:tcW w:w="3258" w:type="dxa"/>
          </w:tcPr>
          <w:p w:rsidR="00ED68D5" w:rsidRPr="0014040B" w:rsidRDefault="00ED68D5" w:rsidP="009A1860">
            <w:pPr>
              <w:spacing w:line="140" w:lineRule="exact"/>
              <w:ind w:firstLine="252"/>
            </w:pPr>
          </w:p>
        </w:tc>
        <w:tc>
          <w:tcPr>
            <w:tcW w:w="2340" w:type="dxa"/>
            <w:tcBorders>
              <w:top w:val="single" w:sz="4" w:space="0" w:color="auto"/>
            </w:tcBorders>
          </w:tcPr>
          <w:p w:rsidR="00ED68D5" w:rsidRPr="0014040B" w:rsidRDefault="00ED68D5" w:rsidP="009A1860">
            <w:pPr>
              <w:pStyle w:val="Heading1"/>
              <w:tabs>
                <w:tab w:val="clear" w:pos="1440"/>
                <w:tab w:val="clear" w:pos="4320"/>
                <w:tab w:val="clear" w:pos="9072"/>
              </w:tabs>
              <w:adjustRightInd w:val="0"/>
              <w:spacing w:line="140" w:lineRule="exact"/>
              <w:ind w:firstLine="252"/>
              <w:rPr>
                <w:i w:val="0"/>
                <w:szCs w:val="28"/>
              </w:rPr>
            </w:pPr>
          </w:p>
        </w:tc>
        <w:tc>
          <w:tcPr>
            <w:tcW w:w="2970" w:type="dxa"/>
          </w:tcPr>
          <w:p w:rsidR="00ED68D5" w:rsidRPr="0014040B" w:rsidRDefault="00ED68D5" w:rsidP="009A1860">
            <w:pPr>
              <w:tabs>
                <w:tab w:val="clear" w:pos="1440"/>
                <w:tab w:val="clear" w:pos="4320"/>
                <w:tab w:val="clear" w:pos="9072"/>
              </w:tabs>
              <w:spacing w:line="140" w:lineRule="exact"/>
            </w:pPr>
          </w:p>
        </w:tc>
      </w:tr>
      <w:tr w:rsidR="00ED68D5" w:rsidRPr="0014040B" w:rsidTr="009A1860">
        <w:tc>
          <w:tcPr>
            <w:tcW w:w="3258" w:type="dxa"/>
          </w:tcPr>
          <w:p w:rsidR="00ED68D5" w:rsidRPr="0014040B" w:rsidRDefault="00ED68D5" w:rsidP="009A1860">
            <w:pPr>
              <w:ind w:firstLine="252"/>
            </w:pPr>
          </w:p>
        </w:tc>
        <w:tc>
          <w:tcPr>
            <w:tcW w:w="2340" w:type="dxa"/>
          </w:tcPr>
          <w:p w:rsidR="00ED68D5" w:rsidRPr="00176E8B" w:rsidRDefault="00ED68D5" w:rsidP="009A1860">
            <w:pPr>
              <w:pStyle w:val="Heading1"/>
              <w:tabs>
                <w:tab w:val="clear" w:pos="1440"/>
                <w:tab w:val="clear" w:pos="4320"/>
                <w:tab w:val="clear" w:pos="9072"/>
              </w:tabs>
              <w:adjustRightInd w:val="0"/>
              <w:spacing w:line="300" w:lineRule="atLeast"/>
              <w:ind w:left="72"/>
              <w:rPr>
                <w:i w:val="0"/>
              </w:rPr>
            </w:pPr>
            <w:r w:rsidRPr="0014040B">
              <w:rPr>
                <w:i w:val="0"/>
                <w:szCs w:val="28"/>
              </w:rPr>
              <w:t>J U D G M E N T</w:t>
            </w:r>
          </w:p>
        </w:tc>
        <w:tc>
          <w:tcPr>
            <w:tcW w:w="2970" w:type="dxa"/>
          </w:tcPr>
          <w:p w:rsidR="00ED68D5" w:rsidRPr="0014040B" w:rsidRDefault="00ED68D5" w:rsidP="009A1860">
            <w:pPr>
              <w:tabs>
                <w:tab w:val="clear" w:pos="1440"/>
                <w:tab w:val="clear" w:pos="4320"/>
                <w:tab w:val="clear" w:pos="9072"/>
              </w:tabs>
              <w:spacing w:line="300" w:lineRule="atLeast"/>
            </w:pPr>
          </w:p>
        </w:tc>
      </w:tr>
      <w:tr w:rsidR="00ED68D5" w:rsidRPr="0014040B" w:rsidTr="009A1860">
        <w:tc>
          <w:tcPr>
            <w:tcW w:w="3258" w:type="dxa"/>
          </w:tcPr>
          <w:p w:rsidR="00ED68D5" w:rsidRPr="0014040B" w:rsidRDefault="00ED68D5" w:rsidP="009A1860">
            <w:pPr>
              <w:spacing w:line="80" w:lineRule="exact"/>
              <w:ind w:firstLine="252"/>
            </w:pPr>
          </w:p>
        </w:tc>
        <w:tc>
          <w:tcPr>
            <w:tcW w:w="2340" w:type="dxa"/>
          </w:tcPr>
          <w:p w:rsidR="00ED68D5" w:rsidRPr="0014040B" w:rsidRDefault="00ED68D5" w:rsidP="009A1860">
            <w:pPr>
              <w:pStyle w:val="Heading1"/>
              <w:tabs>
                <w:tab w:val="clear" w:pos="1440"/>
                <w:tab w:val="clear" w:pos="4320"/>
                <w:tab w:val="clear" w:pos="9072"/>
              </w:tabs>
              <w:adjustRightInd w:val="0"/>
              <w:spacing w:line="80" w:lineRule="exact"/>
              <w:ind w:left="72"/>
              <w:rPr>
                <w:i w:val="0"/>
                <w:szCs w:val="28"/>
              </w:rPr>
            </w:pPr>
          </w:p>
        </w:tc>
        <w:tc>
          <w:tcPr>
            <w:tcW w:w="2970" w:type="dxa"/>
          </w:tcPr>
          <w:p w:rsidR="00ED68D5" w:rsidRPr="0014040B" w:rsidRDefault="00ED68D5" w:rsidP="009A1860">
            <w:pPr>
              <w:tabs>
                <w:tab w:val="clear" w:pos="1440"/>
                <w:tab w:val="clear" w:pos="4320"/>
                <w:tab w:val="clear" w:pos="9072"/>
              </w:tabs>
              <w:spacing w:line="80" w:lineRule="exact"/>
            </w:pPr>
          </w:p>
        </w:tc>
      </w:tr>
      <w:tr w:rsidR="00ED68D5" w:rsidRPr="0014040B" w:rsidTr="009A1860">
        <w:tc>
          <w:tcPr>
            <w:tcW w:w="3258" w:type="dxa"/>
          </w:tcPr>
          <w:p w:rsidR="00ED68D5" w:rsidRPr="0014040B" w:rsidRDefault="00ED68D5" w:rsidP="009A1860">
            <w:pPr>
              <w:spacing w:line="100" w:lineRule="exact"/>
              <w:ind w:firstLine="252"/>
            </w:pPr>
          </w:p>
        </w:tc>
        <w:tc>
          <w:tcPr>
            <w:tcW w:w="2340" w:type="dxa"/>
            <w:tcBorders>
              <w:bottom w:val="single" w:sz="4" w:space="0" w:color="auto"/>
            </w:tcBorders>
          </w:tcPr>
          <w:p w:rsidR="00ED68D5" w:rsidRPr="0014040B" w:rsidRDefault="00ED68D5" w:rsidP="009A1860">
            <w:pPr>
              <w:pStyle w:val="Heading1"/>
              <w:tabs>
                <w:tab w:val="clear" w:pos="1440"/>
                <w:tab w:val="clear" w:pos="4320"/>
                <w:tab w:val="clear" w:pos="9072"/>
              </w:tabs>
              <w:adjustRightInd w:val="0"/>
              <w:spacing w:line="100" w:lineRule="exact"/>
              <w:ind w:left="72"/>
              <w:rPr>
                <w:i w:val="0"/>
                <w:szCs w:val="28"/>
              </w:rPr>
            </w:pPr>
          </w:p>
        </w:tc>
        <w:tc>
          <w:tcPr>
            <w:tcW w:w="2970" w:type="dxa"/>
          </w:tcPr>
          <w:p w:rsidR="00ED68D5" w:rsidRPr="0014040B" w:rsidRDefault="00ED68D5" w:rsidP="009A1860">
            <w:pPr>
              <w:tabs>
                <w:tab w:val="clear" w:pos="1440"/>
                <w:tab w:val="clear" w:pos="4320"/>
                <w:tab w:val="clear" w:pos="9072"/>
              </w:tabs>
              <w:spacing w:line="100" w:lineRule="exact"/>
            </w:pPr>
          </w:p>
        </w:tc>
      </w:tr>
    </w:tbl>
    <w:p w:rsidR="00ED68D5" w:rsidRPr="0014040B" w:rsidRDefault="00ED68D5" w:rsidP="00ED68D5"/>
    <w:p w:rsidR="00AF7E55" w:rsidRDefault="00AF7E55" w:rsidP="002218EB">
      <w:pPr>
        <w:spacing w:line="360" w:lineRule="auto"/>
      </w:pPr>
    </w:p>
    <w:p w:rsidR="00ED68D5" w:rsidRPr="0014040B" w:rsidRDefault="008231EE" w:rsidP="002218EB">
      <w:pPr>
        <w:spacing w:line="360" w:lineRule="auto"/>
        <w:rPr>
          <w:lang w:val="en-US"/>
        </w:rPr>
      </w:pPr>
      <w:r>
        <w:t xml:space="preserve">Hon </w:t>
      </w:r>
      <w:proofErr w:type="spellStart"/>
      <w:r>
        <w:t>Lunn</w:t>
      </w:r>
      <w:proofErr w:type="spellEnd"/>
      <w:r>
        <w:t xml:space="preserve"> VP</w:t>
      </w:r>
      <w:r w:rsidR="00ED68D5" w:rsidRPr="0014040B">
        <w:t xml:space="preserve"> </w:t>
      </w:r>
      <w:r w:rsidR="00AE0A20">
        <w:rPr>
          <w:szCs w:val="28"/>
        </w:rPr>
        <w:t>(giving the Judgment of the Court</w:t>
      </w:r>
      <w:proofErr w:type="gramStart"/>
      <w:r w:rsidR="00AE0A20">
        <w:rPr>
          <w:szCs w:val="28"/>
        </w:rPr>
        <w:t>)</w:t>
      </w:r>
      <w:r w:rsidR="002218EB">
        <w:rPr>
          <w:szCs w:val="28"/>
        </w:rPr>
        <w:t> </w:t>
      </w:r>
      <w:r w:rsidR="00ED68D5" w:rsidRPr="0014040B">
        <w:rPr>
          <w:lang w:val="en-US"/>
        </w:rPr>
        <w:t>:</w:t>
      </w:r>
      <w:proofErr w:type="gramEnd"/>
    </w:p>
    <w:p w:rsidR="00D076B3" w:rsidRPr="00CB1453" w:rsidRDefault="00EE098B" w:rsidP="00C1277C">
      <w:pPr>
        <w:tabs>
          <w:tab w:val="clear" w:pos="4320"/>
          <w:tab w:val="clear" w:pos="9072"/>
        </w:tabs>
        <w:autoSpaceDE w:val="0"/>
        <w:autoSpaceDN w:val="0"/>
        <w:adjustRightInd w:val="0"/>
        <w:snapToGrid/>
        <w:spacing w:before="360" w:line="360" w:lineRule="auto"/>
        <w:ind w:right="29"/>
        <w:jc w:val="both"/>
        <w:rPr>
          <w:rFonts w:eastAsia="Times New Roman"/>
        </w:rPr>
      </w:pPr>
      <w:r>
        <w:fldChar w:fldCharType="begin"/>
      </w:r>
      <w:r w:rsidR="00C1277C">
        <w:instrText xml:space="preserve"> AUTONUMOUT  </w:instrText>
      </w:r>
      <w:r>
        <w:fldChar w:fldCharType="end"/>
      </w:r>
      <w:r w:rsidR="00C1277C">
        <w:tab/>
      </w:r>
      <w:r w:rsidR="00D076B3">
        <w:t>Without any notice to the Court, at the outset of the hear</w:t>
      </w:r>
      <w:r w:rsidR="009B38D9">
        <w:t xml:space="preserve">ing of the appeals, Mr </w:t>
      </w:r>
      <w:proofErr w:type="spellStart"/>
      <w:r w:rsidR="009B38D9">
        <w:t>Caplan</w:t>
      </w:r>
      <w:proofErr w:type="spellEnd"/>
      <w:r w:rsidR="009B38D9">
        <w:t>, Q</w:t>
      </w:r>
      <w:r w:rsidR="00D076B3">
        <w:t xml:space="preserve">C for the respondent, applied to the Court </w:t>
      </w:r>
      <w:r w:rsidR="00D076B3">
        <w:lastRenderedPageBreak/>
        <w:t xml:space="preserve">for an order directing the media not to publish any description of these proceedings until the conclusion of the ongoing criminal trial in the Court of First Instance before </w:t>
      </w:r>
      <w:proofErr w:type="spellStart"/>
      <w:r w:rsidR="00D076B3">
        <w:t>Anthea</w:t>
      </w:r>
      <w:proofErr w:type="spellEnd"/>
      <w:r w:rsidR="00D076B3">
        <w:t xml:space="preserve"> Pang J and a jury in HCCC 83/2014.</w:t>
      </w:r>
      <w:r w:rsidR="00D076B3">
        <w:rPr>
          <w:rStyle w:val="FootnoteReference"/>
        </w:rPr>
        <w:footnoteReference w:id="1"/>
      </w:r>
      <w:r w:rsidR="00D076B3">
        <w:t xml:space="preserve"> </w:t>
      </w:r>
      <w:r w:rsidR="000D71C7" w:rsidRPr="000818C9">
        <w:rPr>
          <w:rFonts w:eastAsia="PMingLiU" w:hint="eastAsia"/>
          <w:lang w:eastAsia="zh-TW"/>
        </w:rPr>
        <w:t xml:space="preserve"> </w:t>
      </w:r>
      <w:r w:rsidR="00D076B3">
        <w:t xml:space="preserve">He indicated that the application was </w:t>
      </w:r>
      <w:r w:rsidR="00D076B3" w:rsidRPr="00286238">
        <w:t>made</w:t>
      </w:r>
      <w:r w:rsidR="00D076B3">
        <w:t xml:space="preserve"> at the behest of all counsel, including Ms </w:t>
      </w:r>
      <w:proofErr w:type="spellStart"/>
      <w:r w:rsidR="00D076B3">
        <w:t>Draycott</w:t>
      </w:r>
      <w:proofErr w:type="spellEnd"/>
      <w:r w:rsidR="00D076B3">
        <w:t xml:space="preserve"> SC who appeared for the prosecution, in that trial. </w:t>
      </w:r>
      <w:r w:rsidR="000D71C7" w:rsidRPr="000818C9">
        <w:rPr>
          <w:rFonts w:eastAsia="PMingLiU" w:hint="eastAsia"/>
          <w:lang w:eastAsia="zh-TW"/>
        </w:rPr>
        <w:t xml:space="preserve"> </w:t>
      </w:r>
      <w:r w:rsidR="00D076B3">
        <w:t xml:space="preserve">Mr </w:t>
      </w:r>
      <w:proofErr w:type="spellStart"/>
      <w:r w:rsidR="00D076B3">
        <w:t>Caplan</w:t>
      </w:r>
      <w:proofErr w:type="spellEnd"/>
      <w:r w:rsidR="00D076B3">
        <w:t xml:space="preserve"> explained that, for his own part, he had become involved in the determination to make the application only recently. </w:t>
      </w:r>
      <w:r w:rsidR="000D71C7" w:rsidRPr="000818C9">
        <w:rPr>
          <w:rFonts w:eastAsia="PMingLiU" w:hint="eastAsia"/>
          <w:lang w:eastAsia="zh-TW"/>
        </w:rPr>
        <w:t xml:space="preserve"> </w:t>
      </w:r>
      <w:r w:rsidR="00D076B3">
        <w:t>On 12 January 2016, the Court ordered the issue of a general written ‘Warning’ against the publication of any material that might prejudice the ongoing trial.</w:t>
      </w:r>
      <w:r w:rsidR="000D71C7" w:rsidRPr="000818C9">
        <w:rPr>
          <w:rFonts w:eastAsia="PMingLiU" w:hint="eastAsia"/>
          <w:lang w:eastAsia="zh-TW"/>
        </w:rPr>
        <w:t xml:space="preserve"> </w:t>
      </w:r>
      <w:r w:rsidR="00D076B3">
        <w:t xml:space="preserve"> On 28 January 2016, the Court made an Order prohibiting publication of these proceedings until the </w:t>
      </w:r>
      <w:r w:rsidR="000D71C7">
        <w:t>conclusion of the trial in HCCC</w:t>
      </w:r>
      <w:r w:rsidR="000D71C7">
        <w:rPr>
          <w:lang w:val="en-US"/>
        </w:rPr>
        <w:t> </w:t>
      </w:r>
      <w:r w:rsidR="00D076B3">
        <w:t>83/2014.</w:t>
      </w:r>
      <w:r w:rsidR="00D076B3">
        <w:rPr>
          <w:rStyle w:val="FootnoteReference"/>
        </w:rPr>
        <w:footnoteReference w:id="2"/>
      </w:r>
      <w:r w:rsidR="00D076B3">
        <w:t xml:space="preserve"> </w:t>
      </w:r>
      <w:r w:rsidR="000D71C7" w:rsidRPr="000818C9">
        <w:rPr>
          <w:rFonts w:eastAsia="PMingLiU" w:hint="eastAsia"/>
          <w:lang w:eastAsia="zh-TW"/>
        </w:rPr>
        <w:t xml:space="preserve"> </w:t>
      </w:r>
      <w:r w:rsidR="00D076B3">
        <w:t>The ‘Warning’ and the Order were</w:t>
      </w:r>
      <w:r w:rsidR="00D076B3">
        <w:rPr>
          <w:rFonts w:eastAsia="Times New Roman"/>
        </w:rPr>
        <w:t xml:space="preserve"> posted on the doors of the court and on the </w:t>
      </w:r>
      <w:proofErr w:type="spellStart"/>
      <w:r w:rsidR="00D076B3">
        <w:rPr>
          <w:rFonts w:eastAsia="Times New Roman"/>
        </w:rPr>
        <w:t>noticeboard</w:t>
      </w:r>
      <w:proofErr w:type="spellEnd"/>
      <w:r w:rsidR="00D076B3">
        <w:rPr>
          <w:rFonts w:eastAsia="Times New Roman"/>
        </w:rPr>
        <w:t xml:space="preserve"> in the Press Room in this building. </w:t>
      </w:r>
      <w:r w:rsidR="000D71C7" w:rsidRPr="000818C9">
        <w:rPr>
          <w:rFonts w:eastAsia="PMingLiU" w:hint="eastAsia"/>
          <w:lang w:eastAsia="zh-TW"/>
        </w:rPr>
        <w:t xml:space="preserve"> </w:t>
      </w:r>
      <w:r w:rsidR="00D076B3">
        <w:rPr>
          <w:rFonts w:eastAsia="Times New Roman"/>
        </w:rPr>
        <w:t>The Court received no request by the media to make representations to the Court.</w:t>
      </w:r>
      <w:r w:rsidR="000D71C7" w:rsidRPr="000818C9">
        <w:rPr>
          <w:rFonts w:eastAsia="PMingLiU" w:hint="eastAsia"/>
          <w:lang w:eastAsia="zh-TW"/>
        </w:rPr>
        <w:t xml:space="preserve"> </w:t>
      </w:r>
      <w:r w:rsidR="00D076B3">
        <w:rPr>
          <w:rFonts w:eastAsia="Times New Roman"/>
        </w:rPr>
        <w:t xml:space="preserve"> </w:t>
      </w:r>
      <w:proofErr w:type="gramStart"/>
      <w:r w:rsidR="00D076B3">
        <w:t>On the conclusion of that trial on 29 April 2016</w:t>
      </w:r>
      <w:r w:rsidR="009B38D9">
        <w:t>,</w:t>
      </w:r>
      <w:r w:rsidR="00D076B3">
        <w:t xml:space="preserve"> that order expired.</w:t>
      </w:r>
      <w:proofErr w:type="gramEnd"/>
    </w:p>
    <w:p w:rsidR="00C1277C" w:rsidRDefault="00EE098B" w:rsidP="00C1277C">
      <w:pPr>
        <w:tabs>
          <w:tab w:val="clear" w:pos="4320"/>
          <w:tab w:val="clear" w:pos="9072"/>
        </w:tabs>
        <w:autoSpaceDE w:val="0"/>
        <w:autoSpaceDN w:val="0"/>
        <w:adjustRightInd w:val="0"/>
        <w:snapToGrid/>
        <w:spacing w:before="360" w:line="360" w:lineRule="auto"/>
        <w:ind w:right="29"/>
        <w:jc w:val="both"/>
      </w:pPr>
      <w:r>
        <w:lastRenderedPageBreak/>
        <w:fldChar w:fldCharType="begin"/>
      </w:r>
      <w:r w:rsidR="00C1277C">
        <w:instrText xml:space="preserve"> AUTONUMOUT  </w:instrText>
      </w:r>
      <w:r>
        <w:fldChar w:fldCharType="end"/>
      </w:r>
      <w:r w:rsidR="00C1277C">
        <w:tab/>
      </w:r>
      <w:r w:rsidR="000D71C7">
        <w:t>The 1</w:t>
      </w:r>
      <w:r w:rsidR="000D71C7" w:rsidRPr="000D71C7">
        <w:rPr>
          <w:vertAlign w:val="superscript"/>
        </w:rPr>
        <w:t>st</w:t>
      </w:r>
      <w:r w:rsidR="000D71C7">
        <w:rPr>
          <w:lang w:val="en-US"/>
        </w:rPr>
        <w:t> </w:t>
      </w:r>
      <w:r w:rsidR="00D076B3">
        <w:t>accused in that trial, Jack Chen, is the hu</w:t>
      </w:r>
      <w:r w:rsidR="000D71C7">
        <w:t>sband of the 2</w:t>
      </w:r>
      <w:r w:rsidR="000D71C7" w:rsidRPr="000D71C7">
        <w:rPr>
          <w:vertAlign w:val="superscript"/>
        </w:rPr>
        <w:t>nd</w:t>
      </w:r>
      <w:r w:rsidR="000D71C7">
        <w:rPr>
          <w:lang w:val="en-US"/>
        </w:rPr>
        <w:t> </w:t>
      </w:r>
      <w:r w:rsidR="00D076B3">
        <w:t xml:space="preserve">appellant, Ye Fang. </w:t>
      </w:r>
      <w:r w:rsidR="000D71C7" w:rsidRPr="000818C9">
        <w:rPr>
          <w:rFonts w:eastAsia="PMingLiU" w:hint="eastAsia"/>
          <w:lang w:eastAsia="zh-TW"/>
        </w:rPr>
        <w:t xml:space="preserve"> </w:t>
      </w:r>
      <w:r w:rsidR="000D71C7">
        <w:t>Mr</w:t>
      </w:r>
      <w:r w:rsidR="000D71C7" w:rsidRPr="000E6243">
        <w:rPr>
          <w:w w:val="150"/>
          <w:lang w:val="en-US"/>
        </w:rPr>
        <w:t> </w:t>
      </w:r>
      <w:proofErr w:type="spellStart"/>
      <w:r w:rsidR="00D076B3">
        <w:t>Caplan</w:t>
      </w:r>
      <w:proofErr w:type="spellEnd"/>
      <w:r w:rsidR="00D076B3">
        <w:t xml:space="preserve"> submitted that the prejudice to the integrity of the ongoing trial lay in not only a common factual background but also in the fact that some of the</w:t>
      </w:r>
      <w:r w:rsidR="000D71C7">
        <w:t xml:space="preserve"> monies it was alleged by Count</w:t>
      </w:r>
      <w:r w:rsidR="000D71C7">
        <w:rPr>
          <w:lang w:val="en-US"/>
        </w:rPr>
        <w:t> </w:t>
      </w:r>
      <w:r w:rsidR="00D076B3">
        <w:t>3 that Jack Chen had dealt with, knowing or having reasonable grounds to believe that they were the proceeds of an indictable offence, were monies t</w:t>
      </w:r>
      <w:r w:rsidR="000D71C7">
        <w:t>hat it was alleged that the 1</w:t>
      </w:r>
      <w:r w:rsidR="000D71C7" w:rsidRPr="000D71C7">
        <w:rPr>
          <w:vertAlign w:val="superscript"/>
        </w:rPr>
        <w:t>st</w:t>
      </w:r>
      <w:r w:rsidR="000D71C7" w:rsidRPr="000818C9">
        <w:rPr>
          <w:rFonts w:eastAsia="PMingLiU" w:hint="eastAsia"/>
          <w:lang w:eastAsia="zh-TW"/>
        </w:rPr>
        <w:t xml:space="preserve"> </w:t>
      </w:r>
      <w:r w:rsidR="000D71C7">
        <w:t>and 2</w:t>
      </w:r>
      <w:r w:rsidR="000D71C7" w:rsidRPr="000D71C7">
        <w:rPr>
          <w:vertAlign w:val="superscript"/>
        </w:rPr>
        <w:t>nd</w:t>
      </w:r>
      <w:r w:rsidR="000D71C7" w:rsidRPr="000818C9">
        <w:rPr>
          <w:rFonts w:eastAsia="PMingLiU" w:hint="eastAsia"/>
          <w:lang w:eastAsia="zh-TW"/>
        </w:rPr>
        <w:t xml:space="preserve"> </w:t>
      </w:r>
      <w:r w:rsidR="00D076B3">
        <w:t>appellant</w:t>
      </w:r>
      <w:r w:rsidR="00B00AA8">
        <w:t>s</w:t>
      </w:r>
      <w:r w:rsidR="00D076B3">
        <w:t xml:space="preserve"> had also dealt with in Counts 1 and 2 respectively. </w:t>
      </w:r>
    </w:p>
    <w:p w:rsidR="00C1277C" w:rsidRDefault="00D076B3" w:rsidP="00C1277C">
      <w:pPr>
        <w:tabs>
          <w:tab w:val="clear" w:pos="4320"/>
          <w:tab w:val="clear" w:pos="9072"/>
        </w:tabs>
        <w:autoSpaceDE w:val="0"/>
        <w:autoSpaceDN w:val="0"/>
        <w:adjustRightInd w:val="0"/>
        <w:snapToGrid/>
        <w:spacing w:before="360" w:line="360" w:lineRule="auto"/>
        <w:ind w:right="29"/>
        <w:jc w:val="both"/>
      </w:pPr>
      <w:r w:rsidRPr="007A7A04">
        <w:rPr>
          <w:i/>
        </w:rPr>
        <w:t>CACC 299/2014</w:t>
      </w:r>
    </w:p>
    <w:p w:rsidR="00C1277C" w:rsidRDefault="00EE098B" w:rsidP="00C1277C">
      <w:pPr>
        <w:tabs>
          <w:tab w:val="clear" w:pos="4320"/>
          <w:tab w:val="clear" w:pos="9072"/>
        </w:tabs>
        <w:autoSpaceDE w:val="0"/>
        <w:autoSpaceDN w:val="0"/>
        <w:adjustRightInd w:val="0"/>
        <w:snapToGrid/>
        <w:spacing w:before="360" w:line="360" w:lineRule="auto"/>
        <w:ind w:right="29"/>
        <w:jc w:val="both"/>
      </w:pPr>
      <w:r>
        <w:fldChar w:fldCharType="begin"/>
      </w:r>
      <w:r w:rsidR="00C1277C">
        <w:instrText xml:space="preserve"> AUTONUMOUT  </w:instrText>
      </w:r>
      <w:r>
        <w:fldChar w:fldCharType="end"/>
      </w:r>
      <w:r w:rsidR="00C1277C">
        <w:tab/>
      </w:r>
      <w:r w:rsidR="00D076B3">
        <w:t xml:space="preserve">By Count 1, it was alleged that </w:t>
      </w:r>
      <w:r w:rsidR="000D71C7">
        <w:t>on 11 and 12 March 2010 the 1</w:t>
      </w:r>
      <w:r w:rsidR="000D71C7" w:rsidRPr="000D71C7">
        <w:rPr>
          <w:vertAlign w:val="superscript"/>
        </w:rPr>
        <w:t>st</w:t>
      </w:r>
      <w:r w:rsidR="000D71C7" w:rsidRPr="000E6243">
        <w:rPr>
          <w:w w:val="150"/>
          <w:lang w:val="en-US"/>
        </w:rPr>
        <w:t> </w:t>
      </w:r>
      <w:r w:rsidR="000D71C7">
        <w:t>appellant had dealt with $68.95</w:t>
      </w:r>
      <w:r w:rsidR="000D71C7" w:rsidRPr="00F67EF4">
        <w:rPr>
          <w:w w:val="200"/>
          <w:lang w:val="en-US"/>
        </w:rPr>
        <w:t> </w:t>
      </w:r>
      <w:r w:rsidR="00D076B3">
        <w:t xml:space="preserve">million received into the Client Account of Fred Kan &amp; Co (“FKC”) from </w:t>
      </w:r>
      <w:proofErr w:type="spellStart"/>
      <w:r w:rsidR="00D076B3">
        <w:t>Goldmate</w:t>
      </w:r>
      <w:proofErr w:type="spellEnd"/>
      <w:r w:rsidR="00D076B3">
        <w:t xml:space="preserve"> Securities (“</w:t>
      </w:r>
      <w:proofErr w:type="spellStart"/>
      <w:r w:rsidR="00D076B3">
        <w:t>Goldmate</w:t>
      </w:r>
      <w:proofErr w:type="spellEnd"/>
      <w:r w:rsidR="00D076B3">
        <w:t>”),</w:t>
      </w:r>
      <w:r w:rsidR="00D076B3" w:rsidRPr="00286238">
        <w:t xml:space="preserve"> </w:t>
      </w:r>
      <w:r w:rsidR="00D076B3">
        <w:t xml:space="preserve">knowing or having reasonable grounds to believe that the monies were the proceeds of an indictable offence. </w:t>
      </w:r>
      <w:r w:rsidR="000D71C7" w:rsidRPr="000818C9">
        <w:rPr>
          <w:rFonts w:eastAsia="PMingLiU" w:hint="eastAsia"/>
          <w:lang w:eastAsia="zh-TW"/>
        </w:rPr>
        <w:t xml:space="preserve"> </w:t>
      </w:r>
      <w:r w:rsidR="000D71C7">
        <w:t>By Count</w:t>
      </w:r>
      <w:r w:rsidR="000D71C7" w:rsidRPr="00B00AA8">
        <w:rPr>
          <w:snapToGrid w:val="0"/>
          <w:spacing w:val="20"/>
          <w:w w:val="200"/>
          <w:sz w:val="24"/>
          <w:lang w:val="en-US"/>
        </w:rPr>
        <w:t> </w:t>
      </w:r>
      <w:r w:rsidR="00D076B3">
        <w:t>2, as particularised by the prosecution in its openi</w:t>
      </w:r>
      <w:r w:rsidR="000D71C7">
        <w:t>ng, it was alleged that the 2</w:t>
      </w:r>
      <w:r w:rsidR="000D71C7" w:rsidRPr="000D71C7">
        <w:rPr>
          <w:vertAlign w:val="superscript"/>
        </w:rPr>
        <w:t>nd</w:t>
      </w:r>
      <w:r w:rsidR="000D71C7" w:rsidRPr="00F67EF4">
        <w:rPr>
          <w:w w:val="150"/>
          <w:lang w:val="en-US"/>
        </w:rPr>
        <w:t> </w:t>
      </w:r>
      <w:r w:rsidR="00D076B3">
        <w:t>appellant had dealt with those monies when they were transferred from the Client Account of</w:t>
      </w:r>
      <w:r w:rsidR="00D076B3" w:rsidRPr="00286238">
        <w:t xml:space="preserve"> </w:t>
      </w:r>
      <w:r w:rsidR="00D076B3">
        <w:t>FKC to her own bank account on 12 March 2010.</w:t>
      </w:r>
    </w:p>
    <w:p w:rsidR="00C1277C" w:rsidRDefault="00D076B3" w:rsidP="00C1277C">
      <w:pPr>
        <w:tabs>
          <w:tab w:val="clear" w:pos="4320"/>
          <w:tab w:val="clear" w:pos="9072"/>
        </w:tabs>
        <w:autoSpaceDE w:val="0"/>
        <w:autoSpaceDN w:val="0"/>
        <w:adjustRightInd w:val="0"/>
        <w:snapToGrid/>
        <w:spacing w:before="360" w:line="360" w:lineRule="auto"/>
        <w:ind w:right="29"/>
        <w:jc w:val="both"/>
      </w:pPr>
      <w:r w:rsidRPr="007A7A04">
        <w:rPr>
          <w:i/>
        </w:rPr>
        <w:t>HCCC 83/2014</w:t>
      </w:r>
    </w:p>
    <w:p w:rsidR="00C1277C" w:rsidRDefault="00EE098B" w:rsidP="00C1277C">
      <w:pPr>
        <w:tabs>
          <w:tab w:val="clear" w:pos="4320"/>
          <w:tab w:val="clear" w:pos="9072"/>
        </w:tabs>
        <w:autoSpaceDE w:val="0"/>
        <w:autoSpaceDN w:val="0"/>
        <w:adjustRightInd w:val="0"/>
        <w:snapToGrid/>
        <w:spacing w:before="360" w:line="360" w:lineRule="auto"/>
        <w:ind w:right="29"/>
        <w:jc w:val="both"/>
      </w:pPr>
      <w:r>
        <w:fldChar w:fldCharType="begin"/>
      </w:r>
      <w:r w:rsidR="00C1277C">
        <w:instrText xml:space="preserve"> AUTONUMOUT  </w:instrText>
      </w:r>
      <w:r>
        <w:fldChar w:fldCharType="end"/>
      </w:r>
      <w:r w:rsidR="00C1277C">
        <w:tab/>
      </w:r>
      <w:r w:rsidR="00D076B3">
        <w:t>By Co</w:t>
      </w:r>
      <w:r w:rsidR="000D71C7">
        <w:t>unt 3 of the indictment in HCCC</w:t>
      </w:r>
      <w:r w:rsidR="000D71C7" w:rsidRPr="00B00AA8">
        <w:rPr>
          <w:snapToGrid w:val="0"/>
          <w:spacing w:val="20"/>
          <w:w w:val="200"/>
          <w:sz w:val="24"/>
          <w:lang w:val="en-US"/>
        </w:rPr>
        <w:t> </w:t>
      </w:r>
      <w:r w:rsidR="00D076B3">
        <w:t xml:space="preserve">83/2014, as particularised </w:t>
      </w:r>
      <w:r w:rsidR="00D076B3" w:rsidRPr="007A7A04">
        <w:t>by</w:t>
      </w:r>
      <w:r w:rsidR="00D076B3">
        <w:t xml:space="preserve"> the prosecution in its opening, it is alleged</w:t>
      </w:r>
      <w:r w:rsidR="00D076B3" w:rsidRPr="004B0D7E">
        <w:rPr>
          <w:i/>
        </w:rPr>
        <w:t>,</w:t>
      </w:r>
      <w:r w:rsidR="000D71C7">
        <w:t xml:space="preserve"> that Jack</w:t>
      </w:r>
      <w:r w:rsidR="000D71C7">
        <w:rPr>
          <w:lang w:val="en-US"/>
        </w:rPr>
        <w:t> </w:t>
      </w:r>
      <w:r w:rsidR="00D076B3">
        <w:t>Ch</w:t>
      </w:r>
      <w:r w:rsidR="000D71C7">
        <w:t>en had dealt with more than $85</w:t>
      </w:r>
      <w:r w:rsidR="000D71C7">
        <w:rPr>
          <w:lang w:val="en-US"/>
        </w:rPr>
        <w:t> </w:t>
      </w:r>
      <w:r w:rsidR="00D076B3">
        <w:t>million in the period 2 March to 13 July 2010, including the same $68.95</w:t>
      </w:r>
      <w:r w:rsidR="000D71C7">
        <w:rPr>
          <w:lang w:val="en-US"/>
        </w:rPr>
        <w:t> </w:t>
      </w:r>
      <w:r w:rsidR="00D076B3">
        <w:t xml:space="preserve">million on its receipt into the bank account of </w:t>
      </w:r>
      <w:proofErr w:type="spellStart"/>
      <w:r w:rsidR="00D076B3">
        <w:t>Goldmate</w:t>
      </w:r>
      <w:proofErr w:type="spellEnd"/>
      <w:r w:rsidR="00D076B3">
        <w:t xml:space="preserve"> on 2 March 2010, knowing or having </w:t>
      </w:r>
      <w:r w:rsidR="00D076B3">
        <w:lastRenderedPageBreak/>
        <w:t>reasonable grounds to believe that the monies were the proceeds of an indictable offence.</w:t>
      </w:r>
    </w:p>
    <w:p w:rsidR="00C1277C" w:rsidRDefault="00EE098B" w:rsidP="00C1277C">
      <w:pPr>
        <w:tabs>
          <w:tab w:val="clear" w:pos="4320"/>
          <w:tab w:val="clear" w:pos="9072"/>
        </w:tabs>
        <w:autoSpaceDE w:val="0"/>
        <w:autoSpaceDN w:val="0"/>
        <w:adjustRightInd w:val="0"/>
        <w:snapToGrid/>
        <w:spacing w:before="360" w:line="360" w:lineRule="auto"/>
        <w:ind w:right="29"/>
        <w:jc w:val="both"/>
      </w:pPr>
      <w:r>
        <w:fldChar w:fldCharType="begin"/>
      </w:r>
      <w:r w:rsidR="00C1277C">
        <w:instrText xml:space="preserve"> AUTONUMOUT  </w:instrText>
      </w:r>
      <w:r>
        <w:fldChar w:fldCharType="end"/>
      </w:r>
      <w:r w:rsidR="00C1277C">
        <w:tab/>
      </w:r>
      <w:r w:rsidR="00D076B3">
        <w:t>By Count 1, it is alleged that</w:t>
      </w:r>
      <w:r w:rsidR="00D076B3" w:rsidRPr="00780AC2">
        <w:t xml:space="preserve"> </w:t>
      </w:r>
      <w:r w:rsidR="000D71C7">
        <w:t>Jack</w:t>
      </w:r>
      <w:r w:rsidR="000D71C7" w:rsidRPr="000641AA">
        <w:rPr>
          <w:snapToGrid w:val="0"/>
          <w:spacing w:val="20"/>
          <w:w w:val="200"/>
          <w:sz w:val="24"/>
          <w:lang w:val="en-US"/>
        </w:rPr>
        <w:t> </w:t>
      </w:r>
      <w:r w:rsidR="000D71C7">
        <w:t>Chen together with May</w:t>
      </w:r>
      <w:r w:rsidR="000D71C7" w:rsidRPr="000641AA">
        <w:rPr>
          <w:snapToGrid w:val="0"/>
          <w:spacing w:val="20"/>
          <w:w w:val="200"/>
          <w:sz w:val="24"/>
          <w:lang w:val="en-US"/>
        </w:rPr>
        <w:t> </w:t>
      </w:r>
      <w:r w:rsidR="00D076B3">
        <w:t>Wang and Eric Yee conspired together to defraud the Stock Exchange of Hong Kong by multiple acts, including making false representations in respect of the</w:t>
      </w:r>
      <w:r w:rsidR="00D076B3" w:rsidRPr="00780AC2">
        <w:t xml:space="preserve"> </w:t>
      </w:r>
      <w:r w:rsidR="00D076B3">
        <w:t xml:space="preserve">acquisition of the entire share capital of UBNZ Limited by China Jin </w:t>
      </w:r>
      <w:proofErr w:type="spellStart"/>
      <w:r w:rsidR="00D076B3">
        <w:t>Hui</w:t>
      </w:r>
      <w:proofErr w:type="spellEnd"/>
      <w:r w:rsidR="00D076B3">
        <w:t xml:space="preserve"> Mining Corporation Limited (CJHM), causing th</w:t>
      </w:r>
      <w:r w:rsidR="000D71C7">
        <w:t>e Stock Exchange of Hong Kong (</w:t>
      </w:r>
      <w:r w:rsidR="00D076B3">
        <w:t>SEHK) to allow CJHM to publish the Announcement dated 4 June 2009 and a Circular dated 8 September 2009 in relation to the acquisition.</w:t>
      </w:r>
    </w:p>
    <w:p w:rsidR="00C1277C" w:rsidRDefault="00EE098B" w:rsidP="00C1277C">
      <w:pPr>
        <w:tabs>
          <w:tab w:val="clear" w:pos="4320"/>
          <w:tab w:val="clear" w:pos="9072"/>
        </w:tabs>
        <w:autoSpaceDE w:val="0"/>
        <w:autoSpaceDN w:val="0"/>
        <w:adjustRightInd w:val="0"/>
        <w:snapToGrid/>
        <w:spacing w:before="360" w:line="360" w:lineRule="auto"/>
        <w:ind w:right="29"/>
        <w:jc w:val="both"/>
      </w:pPr>
      <w:r>
        <w:fldChar w:fldCharType="begin"/>
      </w:r>
      <w:r w:rsidR="00C1277C">
        <w:instrText xml:space="preserve"> AUTONUMOUT  </w:instrText>
      </w:r>
      <w:r>
        <w:fldChar w:fldCharType="end"/>
      </w:r>
      <w:r w:rsidR="00C1277C">
        <w:tab/>
      </w:r>
      <w:r w:rsidR="00D076B3">
        <w:t xml:space="preserve">By Count 2, it is alleged that, on and between 7 May and 19 July 2010, Jack Chen, May Wang and Eric Yee conspired together to defraud CJHM, and its existing shareholders, </w:t>
      </w:r>
      <w:r w:rsidR="00D076B3" w:rsidRPr="006F3796">
        <w:rPr>
          <w:i/>
        </w:rPr>
        <w:t>inter alia</w:t>
      </w:r>
      <w:r w:rsidR="00D076B3">
        <w:t>, by causing those shareholders to approve the acquisition of the entire share capital of UBNZ Limited and CJHM to issue and release convertible notes for the payment of the acquisition.</w:t>
      </w:r>
      <w:r w:rsidR="000D71C7" w:rsidRPr="000818C9">
        <w:rPr>
          <w:rFonts w:eastAsia="PMingLiU" w:hint="eastAsia"/>
          <w:lang w:eastAsia="zh-TW"/>
        </w:rPr>
        <w:t xml:space="preserve"> </w:t>
      </w:r>
      <w:r w:rsidR="00D076B3">
        <w:t xml:space="preserve"> Ther</w:t>
      </w:r>
      <w:r w:rsidR="000D71C7">
        <w:t>e is no dispute that the $68.95</w:t>
      </w:r>
      <w:r w:rsidR="000D71C7">
        <w:rPr>
          <w:lang w:val="en-US"/>
        </w:rPr>
        <w:t> </w:t>
      </w:r>
      <w:r w:rsidR="00D076B3">
        <w:t xml:space="preserve">million remitted in sequence to </w:t>
      </w:r>
      <w:proofErr w:type="spellStart"/>
      <w:r w:rsidR="00D076B3">
        <w:t>Goldmate</w:t>
      </w:r>
      <w:proofErr w:type="spellEnd"/>
      <w:r w:rsidR="00D076B3">
        <w:t>,</w:t>
      </w:r>
      <w:r w:rsidR="00D076B3" w:rsidRPr="00780AC2">
        <w:t xml:space="preserve"> </w:t>
      </w:r>
      <w:r w:rsidR="00D076B3">
        <w:t xml:space="preserve">the Client Account of FKC </w:t>
      </w:r>
      <w:r w:rsidR="000D71C7">
        <w:t>and the bank account of the 2</w:t>
      </w:r>
      <w:r w:rsidR="000D71C7" w:rsidRPr="000D71C7">
        <w:rPr>
          <w:vertAlign w:val="superscript"/>
        </w:rPr>
        <w:t>nd</w:t>
      </w:r>
      <w:r w:rsidR="000D71C7">
        <w:rPr>
          <w:lang w:val="en-US"/>
        </w:rPr>
        <w:t> </w:t>
      </w:r>
      <w:r w:rsidR="00D076B3">
        <w:t>appellant had its provenance in the proceeds of the convertible notes issue.</w:t>
      </w:r>
    </w:p>
    <w:p w:rsidR="00C1277C" w:rsidRDefault="00D076B3" w:rsidP="00C1277C">
      <w:pPr>
        <w:tabs>
          <w:tab w:val="clear" w:pos="4320"/>
          <w:tab w:val="clear" w:pos="9072"/>
        </w:tabs>
        <w:autoSpaceDE w:val="0"/>
        <w:autoSpaceDN w:val="0"/>
        <w:adjustRightInd w:val="0"/>
        <w:snapToGrid/>
        <w:spacing w:before="360" w:line="360" w:lineRule="auto"/>
        <w:ind w:right="29"/>
        <w:jc w:val="both"/>
      </w:pPr>
      <w:r w:rsidRPr="00797402">
        <w:rPr>
          <w:i/>
        </w:rPr>
        <w:t>The power to make the order</w:t>
      </w:r>
    </w:p>
    <w:p w:rsidR="009B2DD7" w:rsidRDefault="00EE098B" w:rsidP="009B2DD7">
      <w:pPr>
        <w:tabs>
          <w:tab w:val="clear" w:pos="4320"/>
          <w:tab w:val="clear" w:pos="9072"/>
        </w:tabs>
        <w:autoSpaceDE w:val="0"/>
        <w:autoSpaceDN w:val="0"/>
        <w:adjustRightInd w:val="0"/>
        <w:snapToGrid/>
        <w:spacing w:before="360" w:line="360" w:lineRule="auto"/>
        <w:ind w:right="29"/>
        <w:jc w:val="both"/>
      </w:pPr>
      <w:r>
        <w:fldChar w:fldCharType="begin"/>
      </w:r>
      <w:r w:rsidR="00C1277C">
        <w:instrText xml:space="preserve"> AUTONUMOUT  </w:instrText>
      </w:r>
      <w:r>
        <w:fldChar w:fldCharType="end"/>
      </w:r>
      <w:r w:rsidR="00C1277C">
        <w:tab/>
      </w:r>
      <w:r w:rsidR="00D076B3">
        <w:t xml:space="preserve">In support of the application, Mr </w:t>
      </w:r>
      <w:proofErr w:type="spellStart"/>
      <w:r w:rsidR="00D076B3">
        <w:t>Caplan</w:t>
      </w:r>
      <w:proofErr w:type="spellEnd"/>
      <w:r w:rsidR="00D076B3">
        <w:t xml:space="preserve"> referred the Court to </w:t>
      </w:r>
      <w:proofErr w:type="spellStart"/>
      <w:r w:rsidR="00D076B3" w:rsidRPr="006F3796">
        <w:rPr>
          <w:i/>
        </w:rPr>
        <w:t>Archbold</w:t>
      </w:r>
      <w:proofErr w:type="spellEnd"/>
      <w:r w:rsidR="00D076B3" w:rsidRPr="006F3796">
        <w:rPr>
          <w:i/>
        </w:rPr>
        <w:t xml:space="preserve"> (Hong Kong)</w:t>
      </w:r>
      <w:r w:rsidR="00D076B3">
        <w:t>.</w:t>
      </w:r>
      <w:r w:rsidR="000D71C7" w:rsidRPr="000818C9">
        <w:rPr>
          <w:rFonts w:eastAsia="PMingLiU" w:hint="eastAsia"/>
          <w:lang w:eastAsia="zh-TW"/>
        </w:rPr>
        <w:t xml:space="preserve"> </w:t>
      </w:r>
      <w:r w:rsidR="00D076B3">
        <w:t xml:space="preserve"> There, it is asserted that:</w:t>
      </w:r>
      <w:r w:rsidR="00D076B3">
        <w:rPr>
          <w:rStyle w:val="FootnoteReference"/>
        </w:rPr>
        <w:footnoteReference w:id="3"/>
      </w:r>
    </w:p>
    <w:p w:rsidR="009B2DD7" w:rsidRDefault="009B2DD7" w:rsidP="009B2DD7">
      <w:pPr>
        <w:tabs>
          <w:tab w:val="clear" w:pos="4320"/>
          <w:tab w:val="clear" w:pos="9072"/>
          <w:tab w:val="left" w:pos="1267"/>
        </w:tabs>
        <w:spacing w:before="240"/>
        <w:ind w:left="1454" w:right="749" w:hanging="187"/>
        <w:jc w:val="both"/>
        <w:rPr>
          <w:sz w:val="24"/>
          <w:szCs w:val="24"/>
        </w:rPr>
      </w:pPr>
      <w:r>
        <w:rPr>
          <w:sz w:val="24"/>
          <w:szCs w:val="24"/>
        </w:rPr>
        <w:lastRenderedPageBreak/>
        <w:t>“</w:t>
      </w:r>
      <w:r>
        <w:rPr>
          <w:sz w:val="24"/>
          <w:szCs w:val="24"/>
        </w:rPr>
        <w:tab/>
      </w:r>
      <w:r w:rsidR="00D076B3" w:rsidRPr="009B2DD7">
        <w:rPr>
          <w:sz w:val="24"/>
          <w:szCs w:val="24"/>
        </w:rPr>
        <w:t>A court may order the publication of the reporting to be postponed until after a certain date if the immediate reporting would entail a substantial risk of prejudice to the administration of justice either in the proceedings concerned or in other pending or imminent proceedings.</w:t>
      </w:r>
      <w:r w:rsidR="000D71C7" w:rsidRPr="000818C9">
        <w:rPr>
          <w:rFonts w:eastAsia="PMingLiU" w:hint="eastAsia"/>
          <w:sz w:val="24"/>
          <w:szCs w:val="24"/>
          <w:lang w:eastAsia="zh-TW"/>
        </w:rPr>
        <w:t xml:space="preserve"> </w:t>
      </w:r>
      <w:r w:rsidR="00D076B3" w:rsidRPr="009B2DD7">
        <w:rPr>
          <w:sz w:val="24"/>
          <w:szCs w:val="24"/>
        </w:rPr>
        <w:t xml:space="preserve"> Although the courts have power to suspend publication, in whole or in part, such a restriction on reporting, albeit temporary, is to be treated in a like manner to the court’s power to sit in camera, as an aspect of the general power to prevent publicity only in exceptional circumstances... The burden of establishing such exceptional circumstances lies upon those seeking an order restricting the fundamental principle of publicity: </w:t>
      </w:r>
      <w:r w:rsidR="000D71C7">
        <w:rPr>
          <w:i/>
          <w:sz w:val="24"/>
          <w:szCs w:val="24"/>
        </w:rPr>
        <w:t>R</w:t>
      </w:r>
      <w:r w:rsidR="000D71C7">
        <w:rPr>
          <w:i/>
          <w:sz w:val="24"/>
          <w:szCs w:val="24"/>
          <w:lang w:val="en-US"/>
        </w:rPr>
        <w:t> </w:t>
      </w:r>
      <w:r w:rsidR="00D076B3" w:rsidRPr="009B2DD7">
        <w:rPr>
          <w:i/>
          <w:sz w:val="24"/>
          <w:szCs w:val="24"/>
        </w:rPr>
        <w:t xml:space="preserve">v Mohamed </w:t>
      </w:r>
      <w:proofErr w:type="spellStart"/>
      <w:r w:rsidR="00D076B3" w:rsidRPr="009B2DD7">
        <w:rPr>
          <w:i/>
          <w:sz w:val="24"/>
          <w:szCs w:val="24"/>
        </w:rPr>
        <w:t>Hashin</w:t>
      </w:r>
      <w:proofErr w:type="spellEnd"/>
      <w:r w:rsidR="00D076B3" w:rsidRPr="009B2DD7">
        <w:rPr>
          <w:sz w:val="24"/>
          <w:szCs w:val="24"/>
        </w:rPr>
        <w:t xml:space="preserve"> </w:t>
      </w:r>
      <w:proofErr w:type="spellStart"/>
      <w:r w:rsidR="00D076B3" w:rsidRPr="009B2DD7">
        <w:rPr>
          <w:i/>
          <w:sz w:val="24"/>
          <w:szCs w:val="24"/>
        </w:rPr>
        <w:t>Shamsudin</w:t>
      </w:r>
      <w:proofErr w:type="spellEnd"/>
      <w:r w:rsidR="00D076B3" w:rsidRPr="009B2DD7">
        <w:rPr>
          <w:sz w:val="24"/>
          <w:szCs w:val="24"/>
        </w:rPr>
        <w:t xml:space="preserve"> [1987] HKLR 254. </w:t>
      </w:r>
      <w:r w:rsidR="000D71C7" w:rsidRPr="000818C9">
        <w:rPr>
          <w:rFonts w:eastAsia="PMingLiU" w:hint="eastAsia"/>
          <w:sz w:val="24"/>
          <w:szCs w:val="24"/>
          <w:lang w:eastAsia="zh-TW"/>
        </w:rPr>
        <w:t xml:space="preserve"> </w:t>
      </w:r>
      <w:r w:rsidR="00D076B3" w:rsidRPr="009B2DD7">
        <w:rPr>
          <w:sz w:val="24"/>
          <w:szCs w:val="24"/>
        </w:rPr>
        <w:t>The cases noted in this paragraph are decided before the advent of the Bill of Rights and the Basic Law and should (be) viewed in the light of the rights to freedom of the press guaranteed therein.</w:t>
      </w:r>
      <w:r>
        <w:rPr>
          <w:sz w:val="24"/>
          <w:szCs w:val="24"/>
        </w:rPr>
        <w:t>”</w:t>
      </w:r>
    </w:p>
    <w:p w:rsidR="009B2DD7" w:rsidRDefault="009B2DD7" w:rsidP="009B2DD7">
      <w:pPr>
        <w:tabs>
          <w:tab w:val="clear" w:pos="4320"/>
          <w:tab w:val="clear" w:pos="9072"/>
          <w:tab w:val="left" w:pos="1267"/>
        </w:tabs>
        <w:adjustRightInd w:val="0"/>
        <w:spacing w:line="200" w:lineRule="exact"/>
        <w:ind w:left="1454" w:right="907" w:hanging="187"/>
        <w:jc w:val="both"/>
        <w:rPr>
          <w:sz w:val="24"/>
          <w:szCs w:val="24"/>
        </w:rPr>
      </w:pPr>
    </w:p>
    <w:p w:rsidR="009B2DD7" w:rsidRDefault="00EE098B" w:rsidP="00B00AA8">
      <w:pPr>
        <w:tabs>
          <w:tab w:val="clear" w:pos="4320"/>
          <w:tab w:val="clear" w:pos="9072"/>
        </w:tabs>
        <w:autoSpaceDE w:val="0"/>
        <w:autoSpaceDN w:val="0"/>
        <w:adjustRightInd w:val="0"/>
        <w:snapToGrid/>
        <w:spacing w:before="360" w:line="360" w:lineRule="auto"/>
        <w:ind w:right="29"/>
        <w:jc w:val="both"/>
      </w:pPr>
      <w:r>
        <w:rPr>
          <w:sz w:val="24"/>
          <w:szCs w:val="24"/>
        </w:rPr>
        <w:fldChar w:fldCharType="begin"/>
      </w:r>
      <w:r w:rsidR="009B2DD7">
        <w:rPr>
          <w:sz w:val="24"/>
          <w:szCs w:val="24"/>
        </w:rPr>
        <w:instrText xml:space="preserve"> AUTONUMOUT  </w:instrText>
      </w:r>
      <w:r>
        <w:rPr>
          <w:sz w:val="24"/>
          <w:szCs w:val="24"/>
        </w:rPr>
        <w:fldChar w:fldCharType="end"/>
      </w:r>
      <w:r w:rsidR="009B2DD7">
        <w:rPr>
          <w:sz w:val="24"/>
          <w:szCs w:val="24"/>
        </w:rPr>
        <w:tab/>
      </w:r>
      <w:r w:rsidR="00D076B3" w:rsidRPr="00AD30CA">
        <w:t>In</w:t>
      </w:r>
      <w:r w:rsidR="00D076B3">
        <w:rPr>
          <w:i/>
        </w:rPr>
        <w:t xml:space="preserve"> </w:t>
      </w:r>
      <w:r w:rsidR="00D076B3" w:rsidRPr="007678E7">
        <w:rPr>
          <w:i/>
        </w:rPr>
        <w:t xml:space="preserve">R v Mohamed </w:t>
      </w:r>
      <w:proofErr w:type="spellStart"/>
      <w:r w:rsidR="00D076B3" w:rsidRPr="007678E7">
        <w:rPr>
          <w:i/>
        </w:rPr>
        <w:t>Hashin</w:t>
      </w:r>
      <w:proofErr w:type="spellEnd"/>
      <w:r w:rsidR="00D076B3" w:rsidRPr="007678E7">
        <w:t xml:space="preserve"> </w:t>
      </w:r>
      <w:proofErr w:type="spellStart"/>
      <w:r w:rsidR="00D076B3" w:rsidRPr="007678E7">
        <w:rPr>
          <w:i/>
        </w:rPr>
        <w:t>Shamsudin</w:t>
      </w:r>
      <w:proofErr w:type="spellEnd"/>
      <w:r w:rsidR="00D076B3">
        <w:rPr>
          <w:i/>
        </w:rPr>
        <w:t>,</w:t>
      </w:r>
      <w:r w:rsidR="00D076B3">
        <w:rPr>
          <w:rStyle w:val="FootnoteReference"/>
        </w:rPr>
        <w:footnoteReference w:id="4"/>
      </w:r>
      <w:r w:rsidR="000D71C7">
        <w:t xml:space="preserve"> Roberts</w:t>
      </w:r>
      <w:r w:rsidR="000D71C7">
        <w:rPr>
          <w:lang w:val="en-US"/>
        </w:rPr>
        <w:t> </w:t>
      </w:r>
      <w:r w:rsidR="00D076B3">
        <w:t>CJ, sitting as a single judge, refused an application made by the Attorney General for the imposition of restrictions on the reporting by the press of the proceedings, in which</w:t>
      </w:r>
      <w:r w:rsidR="00D076B3" w:rsidRPr="000D09DA">
        <w:rPr>
          <w:i/>
        </w:rPr>
        <w:t xml:space="preserve"> </w:t>
      </w:r>
      <w:proofErr w:type="spellStart"/>
      <w:r w:rsidR="00D076B3" w:rsidRPr="007678E7">
        <w:rPr>
          <w:i/>
        </w:rPr>
        <w:t>Shamsudin</w:t>
      </w:r>
      <w:proofErr w:type="spellEnd"/>
      <w:r w:rsidR="00D076B3">
        <w:t xml:space="preserve"> was to plead guilty to an indictment containing four counts. </w:t>
      </w:r>
      <w:r w:rsidR="000D71C7" w:rsidRPr="000818C9">
        <w:rPr>
          <w:rFonts w:eastAsia="PMingLiU" w:hint="eastAsia"/>
          <w:lang w:eastAsia="zh-TW"/>
        </w:rPr>
        <w:t xml:space="preserve"> </w:t>
      </w:r>
      <w:r w:rsidR="00D076B3">
        <w:t xml:space="preserve">Persons who were defendants in the ongoing jury trial, which became known as the </w:t>
      </w:r>
      <w:proofErr w:type="spellStart"/>
      <w:r w:rsidR="00D076B3" w:rsidRPr="00AD30CA">
        <w:rPr>
          <w:i/>
        </w:rPr>
        <w:t>Carrian</w:t>
      </w:r>
      <w:proofErr w:type="spellEnd"/>
      <w:r w:rsidR="00D076B3">
        <w:t xml:space="preserve"> trial, were stipulated as parties in counts on the indictment which</w:t>
      </w:r>
      <w:r w:rsidR="00D076B3" w:rsidRPr="000D09DA">
        <w:rPr>
          <w:i/>
        </w:rPr>
        <w:t xml:space="preserve"> </w:t>
      </w:r>
      <w:proofErr w:type="spellStart"/>
      <w:r w:rsidR="00D076B3" w:rsidRPr="007678E7">
        <w:rPr>
          <w:i/>
        </w:rPr>
        <w:t>Shamsudin</w:t>
      </w:r>
      <w:proofErr w:type="spellEnd"/>
      <w:r w:rsidR="00D076B3">
        <w:rPr>
          <w:i/>
        </w:rPr>
        <w:t xml:space="preserve"> </w:t>
      </w:r>
      <w:r w:rsidR="00D076B3" w:rsidRPr="000D09DA">
        <w:t>faced</w:t>
      </w:r>
      <w:r w:rsidR="00D076B3">
        <w:t xml:space="preserve">. </w:t>
      </w:r>
      <w:r w:rsidR="000D71C7" w:rsidRPr="000818C9">
        <w:rPr>
          <w:rFonts w:eastAsia="PMingLiU" w:hint="eastAsia"/>
          <w:lang w:eastAsia="zh-TW"/>
        </w:rPr>
        <w:t xml:space="preserve"> </w:t>
      </w:r>
      <w:r w:rsidR="00D076B3">
        <w:t xml:space="preserve">At the time of the application the </w:t>
      </w:r>
      <w:proofErr w:type="spellStart"/>
      <w:r w:rsidR="00D076B3" w:rsidRPr="003E4CC3">
        <w:rPr>
          <w:i/>
        </w:rPr>
        <w:t>Carrian</w:t>
      </w:r>
      <w:proofErr w:type="spellEnd"/>
      <w:r w:rsidR="000D71C7">
        <w:t xml:space="preserve"> trial had been underway for 11</w:t>
      </w:r>
      <w:r w:rsidR="000D71C7">
        <w:rPr>
          <w:lang w:val="en-US"/>
        </w:rPr>
        <w:t> </w:t>
      </w:r>
      <w:r w:rsidR="00D076B3">
        <w:t xml:space="preserve">months. </w:t>
      </w:r>
      <w:r w:rsidR="000D71C7" w:rsidRPr="000818C9">
        <w:rPr>
          <w:rFonts w:eastAsia="PMingLiU" w:hint="eastAsia"/>
          <w:lang w:eastAsia="zh-TW"/>
        </w:rPr>
        <w:t xml:space="preserve"> </w:t>
      </w:r>
      <w:r w:rsidR="00D076B3">
        <w:t xml:space="preserve">Having noted that the authorities to which he had been referred, on the issue of the power of the court to make an order that the publication of </w:t>
      </w:r>
      <w:r w:rsidR="000D71C7">
        <w:t xml:space="preserve">proceedings be postponed, were </w:t>
      </w:r>
      <w:r w:rsidR="000D71C7" w:rsidRPr="000818C9">
        <w:rPr>
          <w:rFonts w:eastAsia="PMingLiU"/>
          <w:lang w:eastAsia="zh-TW"/>
        </w:rPr>
        <w:t>“</w:t>
      </w:r>
      <w:r w:rsidR="000D71C7">
        <w:t>sparse</w:t>
      </w:r>
      <w:r w:rsidR="000D71C7" w:rsidRPr="000818C9">
        <w:rPr>
          <w:rFonts w:eastAsia="PMingLiU"/>
          <w:lang w:eastAsia="zh-TW"/>
        </w:rPr>
        <w:t>”</w:t>
      </w:r>
      <w:r w:rsidR="000D71C7">
        <w:t xml:space="preserve">, in determining that </w:t>
      </w:r>
      <w:r w:rsidR="000D71C7" w:rsidRPr="000818C9">
        <w:rPr>
          <w:rFonts w:eastAsia="PMingLiU"/>
          <w:lang w:eastAsia="zh-TW"/>
        </w:rPr>
        <w:t>“</w:t>
      </w:r>
      <w:r w:rsidR="00D076B3">
        <w:t>… a power at common law to postpone reporting a par</w:t>
      </w:r>
      <w:r w:rsidR="000D71C7">
        <w:t>t of proceedings seems to exist</w:t>
      </w:r>
      <w:r w:rsidR="000D71C7" w:rsidRPr="000818C9">
        <w:rPr>
          <w:rFonts w:eastAsia="PMingLiU"/>
          <w:lang w:eastAsia="zh-TW"/>
        </w:rPr>
        <w:t>”</w:t>
      </w:r>
      <w:r w:rsidR="000D71C7">
        <w:t xml:space="preserve"> Roberts</w:t>
      </w:r>
      <w:r w:rsidR="000D71C7">
        <w:rPr>
          <w:lang w:val="en-US"/>
        </w:rPr>
        <w:t> </w:t>
      </w:r>
      <w:r w:rsidR="00D076B3">
        <w:t>CJ said that he relied</w:t>
      </w:r>
      <w:r w:rsidR="000D71C7">
        <w:t xml:space="preserve"> on the judgment of Lord</w:t>
      </w:r>
      <w:r w:rsidR="000D71C7">
        <w:rPr>
          <w:lang w:val="en-US"/>
        </w:rPr>
        <w:t> </w:t>
      </w:r>
      <w:r w:rsidR="00D076B3">
        <w:t xml:space="preserve">Denning </w:t>
      </w:r>
      <w:r w:rsidR="00D076B3">
        <w:lastRenderedPageBreak/>
        <w:t xml:space="preserve">in </w:t>
      </w:r>
      <w:r w:rsidR="000D71C7">
        <w:rPr>
          <w:i/>
        </w:rPr>
        <w:t>R</w:t>
      </w:r>
      <w:r w:rsidR="000D71C7">
        <w:rPr>
          <w:i/>
          <w:lang w:val="en-US"/>
        </w:rPr>
        <w:t> </w:t>
      </w:r>
      <w:r w:rsidR="00D076B3" w:rsidRPr="0082287E">
        <w:rPr>
          <w:i/>
        </w:rPr>
        <w:t>v Horsham Justices</w:t>
      </w:r>
      <w:r w:rsidR="00D076B3">
        <w:rPr>
          <w:i/>
        </w:rPr>
        <w:t xml:space="preserve">, ex p. </w:t>
      </w:r>
      <w:proofErr w:type="spellStart"/>
      <w:proofErr w:type="gramStart"/>
      <w:r w:rsidR="00D076B3">
        <w:rPr>
          <w:i/>
        </w:rPr>
        <w:t>Farquharson</w:t>
      </w:r>
      <w:proofErr w:type="spellEnd"/>
      <w:r w:rsidR="000D71C7">
        <w:rPr>
          <w:lang w:val="en-US"/>
        </w:rPr>
        <w:t> </w:t>
      </w:r>
      <w:proofErr w:type="gramEnd"/>
      <w:r w:rsidR="00D076B3" w:rsidRPr="000D71C7">
        <w:rPr>
          <w:rStyle w:val="FootnoteReference"/>
        </w:rPr>
        <w:footnoteReference w:id="5"/>
      </w:r>
      <w:r w:rsidR="00D076B3">
        <w:t xml:space="preserve">. </w:t>
      </w:r>
      <w:r w:rsidR="000D71C7" w:rsidRPr="000818C9">
        <w:rPr>
          <w:rFonts w:eastAsia="PMingLiU" w:hint="eastAsia"/>
          <w:lang w:eastAsia="zh-TW"/>
        </w:rPr>
        <w:t xml:space="preserve"> </w:t>
      </w:r>
      <w:r w:rsidR="000D71C7">
        <w:t>There, Lord</w:t>
      </w:r>
      <w:r w:rsidR="000D71C7">
        <w:rPr>
          <w:lang w:val="en-US"/>
        </w:rPr>
        <w:t> </w:t>
      </w:r>
      <w:r w:rsidR="00D076B3">
        <w:t xml:space="preserve">Denning had relied on a finding to that effect in </w:t>
      </w:r>
      <w:r w:rsidR="00D076B3" w:rsidRPr="000D09DA">
        <w:rPr>
          <w:i/>
        </w:rPr>
        <w:t>R</w:t>
      </w:r>
      <w:r w:rsidR="000D71C7">
        <w:rPr>
          <w:i/>
          <w:lang w:val="en-US"/>
        </w:rPr>
        <w:t> </w:t>
      </w:r>
      <w:r w:rsidR="00D076B3" w:rsidRPr="000D09DA">
        <w:rPr>
          <w:i/>
        </w:rPr>
        <w:t>v Clement</w:t>
      </w:r>
      <w:r w:rsidR="00D076B3">
        <w:t xml:space="preserve"> in stating:</w:t>
      </w:r>
      <w:r w:rsidR="00D076B3">
        <w:rPr>
          <w:rStyle w:val="FootnoteReference"/>
        </w:rPr>
        <w:footnoteReference w:id="6"/>
      </w:r>
    </w:p>
    <w:p w:rsidR="00BF2908" w:rsidRDefault="009B2DD7" w:rsidP="009B2DD7">
      <w:pPr>
        <w:tabs>
          <w:tab w:val="clear" w:pos="4320"/>
          <w:tab w:val="clear" w:pos="9072"/>
          <w:tab w:val="left" w:pos="1267"/>
        </w:tabs>
        <w:spacing w:before="240"/>
        <w:ind w:left="1454" w:right="749" w:hanging="187"/>
        <w:jc w:val="both"/>
        <w:rPr>
          <w:sz w:val="24"/>
          <w:szCs w:val="24"/>
        </w:rPr>
      </w:pPr>
      <w:r w:rsidRPr="009B2DD7">
        <w:rPr>
          <w:sz w:val="24"/>
        </w:rPr>
        <w:t>“</w:t>
      </w:r>
      <w:r w:rsidRPr="009B2DD7">
        <w:rPr>
          <w:sz w:val="24"/>
        </w:rPr>
        <w:tab/>
      </w:r>
      <w:r w:rsidR="00D076B3" w:rsidRPr="009B2DD7">
        <w:rPr>
          <w:sz w:val="24"/>
          <w:szCs w:val="24"/>
        </w:rPr>
        <w:t xml:space="preserve">It has long been settled that courts have the power to make an order postponing publication (but not prohibiting) if the postponement is necessary for the furtherance of justice in proceedings which are pending or imminent. </w:t>
      </w:r>
      <w:r w:rsidR="000D71C7" w:rsidRPr="000818C9">
        <w:rPr>
          <w:rFonts w:eastAsia="PMingLiU" w:hint="eastAsia"/>
          <w:sz w:val="24"/>
          <w:szCs w:val="24"/>
          <w:lang w:eastAsia="zh-TW"/>
        </w:rPr>
        <w:t xml:space="preserve"> </w:t>
      </w:r>
      <w:r w:rsidR="00D076B3" w:rsidRPr="009B2DD7">
        <w:rPr>
          <w:sz w:val="24"/>
          <w:szCs w:val="24"/>
        </w:rPr>
        <w:t xml:space="preserve">It was so held in </w:t>
      </w:r>
      <w:r w:rsidR="00D076B3" w:rsidRPr="009B2DD7">
        <w:rPr>
          <w:i/>
          <w:sz w:val="24"/>
          <w:szCs w:val="24"/>
        </w:rPr>
        <w:t xml:space="preserve">Rex </w:t>
      </w:r>
      <w:proofErr w:type="gramStart"/>
      <w:r w:rsidR="00D076B3" w:rsidRPr="009B2DD7">
        <w:rPr>
          <w:i/>
          <w:sz w:val="24"/>
          <w:szCs w:val="24"/>
        </w:rPr>
        <w:t>v</w:t>
      </w:r>
      <w:proofErr w:type="gramEnd"/>
      <w:r w:rsidR="00D076B3" w:rsidRPr="009B2DD7">
        <w:rPr>
          <w:i/>
          <w:sz w:val="24"/>
          <w:szCs w:val="24"/>
        </w:rPr>
        <w:t xml:space="preserve"> Clement </w:t>
      </w:r>
      <w:r w:rsidR="00D076B3" w:rsidRPr="009B2DD7">
        <w:rPr>
          <w:sz w:val="24"/>
          <w:szCs w:val="24"/>
        </w:rPr>
        <w:t xml:space="preserve">(1821) 4 B &amp; </w:t>
      </w:r>
      <w:proofErr w:type="spellStart"/>
      <w:r w:rsidR="00D076B3" w:rsidRPr="009B2DD7">
        <w:rPr>
          <w:sz w:val="24"/>
          <w:szCs w:val="24"/>
        </w:rPr>
        <w:t>Ald</w:t>
      </w:r>
      <w:proofErr w:type="spellEnd"/>
      <w:r w:rsidR="00D076B3" w:rsidRPr="009B2DD7">
        <w:rPr>
          <w:sz w:val="24"/>
          <w:szCs w:val="24"/>
        </w:rPr>
        <w:t xml:space="preserve"> 218 which was approved by the House of Lords in </w:t>
      </w:r>
      <w:r w:rsidR="00D076B3" w:rsidRPr="009B2DD7">
        <w:rPr>
          <w:i/>
          <w:sz w:val="24"/>
          <w:szCs w:val="24"/>
        </w:rPr>
        <w:t>Scott v Scott</w:t>
      </w:r>
      <w:r w:rsidRPr="009B2DD7">
        <w:rPr>
          <w:sz w:val="24"/>
          <w:szCs w:val="24"/>
        </w:rPr>
        <w:t xml:space="preserve"> [1913] AC 417, 438, 453.”</w:t>
      </w:r>
    </w:p>
    <w:p w:rsidR="009B2DD7" w:rsidRDefault="009B2DD7" w:rsidP="00BF2908">
      <w:pPr>
        <w:tabs>
          <w:tab w:val="clear" w:pos="4320"/>
          <w:tab w:val="clear" w:pos="9072"/>
          <w:tab w:val="left" w:pos="1267"/>
        </w:tabs>
        <w:adjustRightInd w:val="0"/>
        <w:spacing w:line="200" w:lineRule="exact"/>
        <w:ind w:left="1454" w:right="907" w:hanging="187"/>
        <w:jc w:val="both"/>
        <w:rPr>
          <w:sz w:val="24"/>
          <w:szCs w:val="24"/>
        </w:rPr>
      </w:pPr>
    </w:p>
    <w:p w:rsidR="009B2DD7" w:rsidRDefault="00EE098B" w:rsidP="00FA3958">
      <w:pPr>
        <w:tabs>
          <w:tab w:val="clear" w:pos="4320"/>
          <w:tab w:val="clear" w:pos="9072"/>
        </w:tabs>
        <w:autoSpaceDE w:val="0"/>
        <w:autoSpaceDN w:val="0"/>
        <w:adjustRightInd w:val="0"/>
        <w:snapToGrid/>
        <w:spacing w:before="360" w:line="360" w:lineRule="auto"/>
        <w:ind w:right="29"/>
        <w:jc w:val="both"/>
      </w:pPr>
      <w:r>
        <w:fldChar w:fldCharType="begin"/>
      </w:r>
      <w:r w:rsidR="009B2DD7">
        <w:instrText xml:space="preserve"> AUTONUMOUT  </w:instrText>
      </w:r>
      <w:r>
        <w:fldChar w:fldCharType="end"/>
      </w:r>
      <w:r w:rsidR="009B2DD7">
        <w:tab/>
      </w:r>
      <w:r w:rsidR="00D076B3" w:rsidRPr="00BE00D9">
        <w:t>Notwithstand</w:t>
      </w:r>
      <w:r w:rsidR="00D076B3">
        <w:t>ing his determination that the C</w:t>
      </w:r>
      <w:r w:rsidR="00D076B3" w:rsidRPr="00BE00D9">
        <w:t>ourt had power to make an order postponing reporting a part of pr</w:t>
      </w:r>
      <w:r w:rsidR="000D71C7">
        <w:t>oceedings, nevertheless Roberts</w:t>
      </w:r>
      <w:r w:rsidR="000D71C7" w:rsidRPr="00BF2908">
        <w:rPr>
          <w:snapToGrid w:val="0"/>
          <w:spacing w:val="20"/>
          <w:w w:val="200"/>
          <w:sz w:val="24"/>
          <w:lang w:val="en-US"/>
        </w:rPr>
        <w:t> </w:t>
      </w:r>
      <w:r w:rsidR="00D076B3" w:rsidRPr="00BE00D9">
        <w:t xml:space="preserve">CJ went on to decline to make such an order. </w:t>
      </w:r>
      <w:r w:rsidR="000D71C7" w:rsidRPr="000818C9">
        <w:rPr>
          <w:rFonts w:eastAsia="PMingLiU" w:hint="eastAsia"/>
          <w:lang w:eastAsia="zh-TW"/>
        </w:rPr>
        <w:t xml:space="preserve"> </w:t>
      </w:r>
      <w:r w:rsidR="00D076B3">
        <w:t>Of</w:t>
      </w:r>
      <w:r w:rsidR="00D076B3" w:rsidRPr="00BE00D9">
        <w:t xml:space="preserve"> the</w:t>
      </w:r>
      <w:r w:rsidR="00D076B3">
        <w:t xml:space="preserve"> circumstances relevant to that</w:t>
      </w:r>
      <w:r w:rsidR="00D076B3" w:rsidRPr="00BE00D9">
        <w:t xml:space="preserve"> determination</w:t>
      </w:r>
      <w:r w:rsidR="00D076B3">
        <w:t>,</w:t>
      </w:r>
      <w:r w:rsidR="00D076B3" w:rsidRPr="00BE00D9">
        <w:t xml:space="preserve"> he said:</w:t>
      </w:r>
      <w:r w:rsidR="00D076B3" w:rsidRPr="00BE00D9">
        <w:rPr>
          <w:rStyle w:val="FootnoteReference"/>
        </w:rPr>
        <w:footnoteReference w:id="7"/>
      </w:r>
    </w:p>
    <w:p w:rsidR="00BF2908" w:rsidRDefault="009B2DD7" w:rsidP="009B2DD7">
      <w:pPr>
        <w:tabs>
          <w:tab w:val="clear" w:pos="4320"/>
          <w:tab w:val="clear" w:pos="9072"/>
          <w:tab w:val="left" w:pos="1267"/>
        </w:tabs>
        <w:spacing w:before="240"/>
        <w:ind w:left="1454" w:right="749" w:hanging="187"/>
        <w:jc w:val="both"/>
        <w:rPr>
          <w:sz w:val="24"/>
          <w:szCs w:val="24"/>
        </w:rPr>
      </w:pPr>
      <w:r>
        <w:rPr>
          <w:sz w:val="24"/>
          <w:szCs w:val="24"/>
        </w:rPr>
        <w:t>“</w:t>
      </w:r>
      <w:r>
        <w:rPr>
          <w:sz w:val="24"/>
          <w:szCs w:val="24"/>
        </w:rPr>
        <w:tab/>
      </w:r>
      <w:r w:rsidR="00D076B3" w:rsidRPr="009B2DD7">
        <w:rPr>
          <w:sz w:val="24"/>
          <w:szCs w:val="24"/>
        </w:rPr>
        <w:t xml:space="preserve">An important consideration is that the public interest is best served by a full and accurate reporting of open criminal trials. </w:t>
      </w:r>
      <w:r w:rsidR="000D71C7" w:rsidRPr="000818C9">
        <w:rPr>
          <w:rFonts w:eastAsia="PMingLiU" w:hint="eastAsia"/>
          <w:sz w:val="24"/>
          <w:szCs w:val="24"/>
          <w:lang w:eastAsia="zh-TW"/>
        </w:rPr>
        <w:t xml:space="preserve"> </w:t>
      </w:r>
      <w:r w:rsidR="00D076B3" w:rsidRPr="009B2DD7">
        <w:rPr>
          <w:sz w:val="24"/>
          <w:szCs w:val="24"/>
        </w:rPr>
        <w:t>In Hong Kong circumstances, it is vital that such fundamental safeguards should not be lightly eroded at (a) time when they are be</w:t>
      </w:r>
      <w:r>
        <w:rPr>
          <w:sz w:val="24"/>
          <w:szCs w:val="24"/>
        </w:rPr>
        <w:t>coming steadily more important.”</w:t>
      </w:r>
    </w:p>
    <w:p w:rsidR="009B2DD7" w:rsidRDefault="009B2DD7" w:rsidP="00BF2908">
      <w:pPr>
        <w:tabs>
          <w:tab w:val="clear" w:pos="4320"/>
          <w:tab w:val="clear" w:pos="9072"/>
          <w:tab w:val="left" w:pos="1267"/>
        </w:tabs>
        <w:adjustRightInd w:val="0"/>
        <w:spacing w:line="200" w:lineRule="exact"/>
        <w:ind w:left="1454" w:right="907" w:hanging="187"/>
        <w:jc w:val="both"/>
        <w:rPr>
          <w:sz w:val="24"/>
          <w:szCs w:val="24"/>
        </w:rPr>
      </w:pPr>
    </w:p>
    <w:p w:rsidR="00B00AA8" w:rsidRDefault="00EE098B" w:rsidP="00FA3958">
      <w:pPr>
        <w:tabs>
          <w:tab w:val="clear" w:pos="4320"/>
          <w:tab w:val="clear" w:pos="9072"/>
        </w:tabs>
        <w:autoSpaceDE w:val="0"/>
        <w:autoSpaceDN w:val="0"/>
        <w:adjustRightInd w:val="0"/>
        <w:snapToGrid/>
        <w:spacing w:before="360" w:line="360" w:lineRule="auto"/>
        <w:ind w:right="29"/>
        <w:jc w:val="both"/>
      </w:pPr>
      <w:r w:rsidRPr="008E29A6">
        <w:rPr>
          <w:szCs w:val="28"/>
        </w:rPr>
        <w:fldChar w:fldCharType="begin"/>
      </w:r>
      <w:r w:rsidR="009B2DD7" w:rsidRPr="008E29A6">
        <w:rPr>
          <w:szCs w:val="28"/>
        </w:rPr>
        <w:instrText xml:space="preserve"> AUTONUMOUT  </w:instrText>
      </w:r>
      <w:r w:rsidRPr="008E29A6">
        <w:rPr>
          <w:szCs w:val="28"/>
        </w:rPr>
        <w:fldChar w:fldCharType="end"/>
      </w:r>
      <w:r w:rsidR="009B2DD7" w:rsidRPr="008E29A6">
        <w:rPr>
          <w:szCs w:val="28"/>
        </w:rPr>
        <w:tab/>
      </w:r>
      <w:r w:rsidR="009B38D9">
        <w:t>This</w:t>
      </w:r>
      <w:r w:rsidR="00D076B3">
        <w:t xml:space="preserve"> Court having drawn the attention of counsel to the judgment of the Privy Council in </w:t>
      </w:r>
      <w:r w:rsidR="00D076B3" w:rsidRPr="007516FD">
        <w:rPr>
          <w:i/>
        </w:rPr>
        <w:t>Independent</w:t>
      </w:r>
      <w:r w:rsidR="00D076B3" w:rsidRPr="004169E4">
        <w:rPr>
          <w:i/>
        </w:rPr>
        <w:t xml:space="preserve"> </w:t>
      </w:r>
      <w:r w:rsidR="00D076B3" w:rsidRPr="00B57074">
        <w:rPr>
          <w:i/>
        </w:rPr>
        <w:t>Publishing Company Ltd v</w:t>
      </w:r>
      <w:r w:rsidR="008A3982">
        <w:rPr>
          <w:i/>
        </w:rPr>
        <w:t xml:space="preserve"> A-G of</w:t>
      </w:r>
      <w:r w:rsidR="00D076B3" w:rsidRPr="00B57074">
        <w:rPr>
          <w:i/>
        </w:rPr>
        <w:t xml:space="preserve"> Trinidad and Tobago and</w:t>
      </w:r>
      <w:r w:rsidR="00D076B3">
        <w:t xml:space="preserve"> </w:t>
      </w:r>
      <w:r w:rsidR="00D076B3" w:rsidRPr="00B57074">
        <w:rPr>
          <w:i/>
        </w:rPr>
        <w:t>Another</w:t>
      </w:r>
      <w:r w:rsidR="000D71C7">
        <w:rPr>
          <w:i/>
          <w:lang w:val="en-US"/>
        </w:rPr>
        <w:t> </w:t>
      </w:r>
      <w:r w:rsidR="00D076B3" w:rsidRPr="000D71C7">
        <w:rPr>
          <w:rStyle w:val="FootnoteReference"/>
        </w:rPr>
        <w:footnoteReference w:id="8"/>
      </w:r>
      <w:r w:rsidR="00D076B3">
        <w:t>, and the fact that it had b</w:t>
      </w:r>
      <w:r w:rsidR="000D71C7">
        <w:t>een cited with approval by Lord</w:t>
      </w:r>
      <w:r w:rsidR="000D71C7" w:rsidRPr="00065BED">
        <w:rPr>
          <w:snapToGrid w:val="0"/>
          <w:spacing w:val="20"/>
          <w:w w:val="200"/>
          <w:sz w:val="24"/>
          <w:lang w:val="en-US"/>
        </w:rPr>
        <w:t> </w:t>
      </w:r>
      <w:r w:rsidR="00D076B3">
        <w:t>Brown in his judgment in the House of Lords in</w:t>
      </w:r>
      <w:r w:rsidR="00D076B3">
        <w:rPr>
          <w:i/>
        </w:rPr>
        <w:t xml:space="preserve"> </w:t>
      </w:r>
      <w:r w:rsidR="000D71C7">
        <w:t>the</w:t>
      </w:r>
      <w:r w:rsidR="00D076B3" w:rsidRPr="007516FD">
        <w:rPr>
          <w:i/>
        </w:rPr>
        <w:t xml:space="preserve"> At</w:t>
      </w:r>
      <w:r w:rsidR="000D71C7">
        <w:rPr>
          <w:i/>
        </w:rPr>
        <w:t>torney General</w:t>
      </w:r>
      <w:r w:rsidR="000D71C7" w:rsidRPr="000818C9">
        <w:rPr>
          <w:rFonts w:eastAsia="PMingLiU"/>
          <w:i/>
          <w:lang w:eastAsia="zh-TW"/>
        </w:rPr>
        <w:t>’</w:t>
      </w:r>
      <w:r w:rsidR="00D076B3">
        <w:rPr>
          <w:i/>
        </w:rPr>
        <w:t xml:space="preserve">s Reference (No 3 </w:t>
      </w:r>
      <w:r w:rsidR="00D076B3" w:rsidRPr="00A85F30">
        <w:rPr>
          <w:i/>
        </w:rPr>
        <w:t>of 1999)</w:t>
      </w:r>
      <w:r w:rsidR="00D076B3" w:rsidRPr="00B6780B">
        <w:rPr>
          <w:i/>
        </w:rPr>
        <w:t xml:space="preserve"> </w:t>
      </w:r>
      <w:r w:rsidR="00D076B3">
        <w:rPr>
          <w:i/>
        </w:rPr>
        <w:t>R</w:t>
      </w:r>
      <w:r w:rsidR="00D076B3" w:rsidRPr="007516FD">
        <w:rPr>
          <w:i/>
        </w:rPr>
        <w:t>e British Broadcasting Corporation</w:t>
      </w:r>
      <w:r w:rsidR="000D71C7" w:rsidRPr="00065BED">
        <w:rPr>
          <w:i/>
          <w:w w:val="33"/>
          <w:lang w:val="en-US"/>
        </w:rPr>
        <w:t> </w:t>
      </w:r>
      <w:r w:rsidR="00D076B3" w:rsidRPr="00065BED">
        <w:rPr>
          <w:rStyle w:val="FootnoteReference"/>
          <w:w w:val="33"/>
        </w:rPr>
        <w:t xml:space="preserve"> </w:t>
      </w:r>
      <w:r w:rsidR="00D076B3">
        <w:rPr>
          <w:rStyle w:val="FootnoteReference"/>
        </w:rPr>
        <w:footnoteReference w:id="9"/>
      </w:r>
      <w:r w:rsidR="00D076B3">
        <w:rPr>
          <w:i/>
        </w:rPr>
        <w:t>,</w:t>
      </w:r>
      <w:r w:rsidR="00D076B3">
        <w:t xml:space="preserve"> Mr</w:t>
      </w:r>
      <w:r w:rsidR="000D71C7">
        <w:rPr>
          <w:lang w:val="en-US"/>
        </w:rPr>
        <w:t> </w:t>
      </w:r>
      <w:proofErr w:type="spellStart"/>
      <w:r w:rsidR="00D076B3">
        <w:t>Caplan</w:t>
      </w:r>
      <w:proofErr w:type="spellEnd"/>
      <w:r w:rsidR="00D076B3">
        <w:t xml:space="preserve"> indicated that he withdrew his </w:t>
      </w:r>
      <w:r w:rsidR="00D076B3">
        <w:lastRenderedPageBreak/>
        <w:t xml:space="preserve">application for a non-publication order in respect of these proceedings until the </w:t>
      </w:r>
      <w:r w:rsidR="000D71C7">
        <w:t>conclusion of the trial in HCCC</w:t>
      </w:r>
      <w:r w:rsidR="00065BED">
        <w:rPr>
          <w:lang w:val="en-US"/>
        </w:rPr>
        <w:t> </w:t>
      </w:r>
      <w:r w:rsidR="00D076B3">
        <w:t xml:space="preserve">83/2014. </w:t>
      </w:r>
      <w:r w:rsidR="00065BED">
        <w:rPr>
          <w:rFonts w:hint="eastAsia"/>
        </w:rPr>
        <w:t xml:space="preserve"> </w:t>
      </w:r>
      <w:r w:rsidR="00D076B3">
        <w:t xml:space="preserve">Rather, he sought the issue of a warning to the media of the kind envisaged in the judgment of Lord Brown in </w:t>
      </w:r>
      <w:r w:rsidR="00D076B3" w:rsidRPr="008823AD">
        <w:rPr>
          <w:i/>
        </w:rPr>
        <w:t>Independent Publishing Company Ltd</w:t>
      </w:r>
      <w:r w:rsidR="00D076B3">
        <w:t>.</w:t>
      </w:r>
      <w:r w:rsidR="00D076B3">
        <w:rPr>
          <w:rStyle w:val="FootnoteReference"/>
        </w:rPr>
        <w:footnoteReference w:id="10"/>
      </w:r>
    </w:p>
    <w:p w:rsidR="00AF7E55" w:rsidRDefault="00EE098B" w:rsidP="00FA3958">
      <w:pPr>
        <w:tabs>
          <w:tab w:val="clear" w:pos="4320"/>
          <w:tab w:val="clear" w:pos="9072"/>
        </w:tabs>
        <w:autoSpaceDE w:val="0"/>
        <w:autoSpaceDN w:val="0"/>
        <w:adjustRightInd w:val="0"/>
        <w:snapToGrid/>
        <w:spacing w:before="360" w:line="360" w:lineRule="auto"/>
        <w:ind w:right="29"/>
        <w:jc w:val="both"/>
      </w:pPr>
      <w:r w:rsidRPr="00FA3958">
        <w:rPr>
          <w:szCs w:val="28"/>
        </w:rPr>
        <w:fldChar w:fldCharType="begin"/>
      </w:r>
      <w:r w:rsidR="00AF7E55" w:rsidRPr="00FA3958">
        <w:rPr>
          <w:szCs w:val="28"/>
        </w:rPr>
        <w:instrText xml:space="preserve"> AUTONUMOUT  </w:instrText>
      </w:r>
      <w:r w:rsidRPr="00FA3958">
        <w:rPr>
          <w:szCs w:val="28"/>
        </w:rPr>
        <w:fldChar w:fldCharType="end"/>
      </w:r>
      <w:r w:rsidR="00AF7E55">
        <w:rPr>
          <w:sz w:val="24"/>
        </w:rPr>
        <w:tab/>
      </w:r>
      <w:r w:rsidR="009B38D9">
        <w:t>For his part,</w:t>
      </w:r>
      <w:r w:rsidR="00D076B3">
        <w:t xml:space="preserve"> Mr Owen QC submitted that such an order was insufficient. </w:t>
      </w:r>
      <w:r w:rsidR="000D71C7" w:rsidRPr="000818C9">
        <w:rPr>
          <w:rFonts w:eastAsia="PMingLiU" w:hint="eastAsia"/>
          <w:lang w:eastAsia="zh-TW"/>
        </w:rPr>
        <w:t xml:space="preserve"> </w:t>
      </w:r>
      <w:r w:rsidR="00D076B3">
        <w:t>He sought the issue of a non-publication order.</w:t>
      </w:r>
      <w:r w:rsidR="000D71C7" w:rsidRPr="000818C9">
        <w:rPr>
          <w:rFonts w:eastAsia="PMingLiU" w:hint="eastAsia"/>
          <w:lang w:eastAsia="zh-TW"/>
        </w:rPr>
        <w:t xml:space="preserve"> </w:t>
      </w:r>
      <w:r w:rsidR="00D076B3">
        <w:t xml:space="preserve"> He suggested that it would be extraordinary if this Court had no power under the Hong Kong Bill of Rights Ordinance to protect a right to a fair trial. </w:t>
      </w:r>
      <w:r w:rsidR="000D71C7" w:rsidRPr="000818C9">
        <w:rPr>
          <w:rFonts w:eastAsia="PMingLiU" w:hint="eastAsia"/>
          <w:lang w:eastAsia="zh-TW"/>
        </w:rPr>
        <w:t xml:space="preserve"> </w:t>
      </w:r>
      <w:r w:rsidR="00D076B3">
        <w:t xml:space="preserve">Then, at </w:t>
      </w:r>
      <w:r w:rsidR="000D71C7">
        <w:t>the invitation of the Court, Mr</w:t>
      </w:r>
      <w:r w:rsidR="000D71C7">
        <w:rPr>
          <w:lang w:val="en-US"/>
        </w:rPr>
        <w:t> </w:t>
      </w:r>
      <w:r w:rsidR="00D076B3">
        <w:t>Fitzgerald QC, who represented</w:t>
      </w:r>
      <w:r w:rsidR="000D71C7">
        <w:t xml:space="preserve"> Jack</w:t>
      </w:r>
      <w:r w:rsidR="000D71C7" w:rsidRPr="00065BED">
        <w:rPr>
          <w:snapToGrid w:val="0"/>
          <w:spacing w:val="20"/>
          <w:w w:val="200"/>
          <w:sz w:val="24"/>
          <w:lang w:val="en-US"/>
        </w:rPr>
        <w:t> </w:t>
      </w:r>
      <w:r w:rsidR="000D71C7">
        <w:t>Chen in the trial in HCCC</w:t>
      </w:r>
      <w:r w:rsidR="000D71C7" w:rsidRPr="00B00AA8">
        <w:rPr>
          <w:snapToGrid w:val="0"/>
          <w:spacing w:val="20"/>
          <w:w w:val="200"/>
          <w:sz w:val="24"/>
          <w:lang w:val="en-US"/>
        </w:rPr>
        <w:t> </w:t>
      </w:r>
      <w:r w:rsidR="00D076B3">
        <w:t xml:space="preserve">83/2014, addressed the Court. </w:t>
      </w:r>
      <w:r w:rsidR="000D71C7" w:rsidRPr="000818C9">
        <w:rPr>
          <w:rFonts w:eastAsia="PMingLiU" w:hint="eastAsia"/>
          <w:lang w:eastAsia="zh-TW"/>
        </w:rPr>
        <w:t xml:space="preserve"> </w:t>
      </w:r>
      <w:r w:rsidR="00D076B3">
        <w:t>He</w:t>
      </w:r>
      <w:r w:rsidR="000D71C7">
        <w:t xml:space="preserve"> informed the Court that he, Mr</w:t>
      </w:r>
      <w:r w:rsidR="000D71C7" w:rsidRPr="00065BED">
        <w:rPr>
          <w:snapToGrid w:val="0"/>
          <w:spacing w:val="20"/>
          <w:w w:val="250"/>
          <w:sz w:val="24"/>
          <w:lang w:val="en-US"/>
        </w:rPr>
        <w:t> </w:t>
      </w:r>
      <w:r w:rsidR="000D71C7">
        <w:t>Harris SC and Mr</w:t>
      </w:r>
      <w:r w:rsidR="000D71C7" w:rsidRPr="00065BED">
        <w:rPr>
          <w:w w:val="240"/>
          <w:lang w:val="en-US"/>
        </w:rPr>
        <w:t> </w:t>
      </w:r>
      <w:proofErr w:type="spellStart"/>
      <w:r w:rsidR="000D71C7">
        <w:t>Khosa</w:t>
      </w:r>
      <w:proofErr w:type="spellEnd"/>
      <w:r w:rsidR="000D71C7">
        <w:t>, who represented the 2</w:t>
      </w:r>
      <w:r w:rsidR="000D71C7" w:rsidRPr="000D71C7">
        <w:rPr>
          <w:vertAlign w:val="superscript"/>
        </w:rPr>
        <w:t>nd</w:t>
      </w:r>
      <w:r w:rsidR="000D71C7" w:rsidRPr="000818C9">
        <w:rPr>
          <w:rFonts w:eastAsia="PMingLiU" w:hint="eastAsia"/>
          <w:lang w:eastAsia="zh-TW"/>
        </w:rPr>
        <w:t xml:space="preserve"> </w:t>
      </w:r>
      <w:r w:rsidR="000D71C7">
        <w:t>and 3</w:t>
      </w:r>
      <w:r w:rsidR="000D71C7" w:rsidRPr="000D71C7">
        <w:rPr>
          <w:vertAlign w:val="superscript"/>
        </w:rPr>
        <w:t>rd</w:t>
      </w:r>
      <w:r w:rsidR="000D71C7" w:rsidRPr="000818C9">
        <w:rPr>
          <w:rFonts w:eastAsia="PMingLiU" w:hint="eastAsia"/>
          <w:lang w:eastAsia="zh-TW"/>
        </w:rPr>
        <w:t xml:space="preserve"> </w:t>
      </w:r>
      <w:r w:rsidR="00D076B3">
        <w:t xml:space="preserve">defendants at their trial and were also present in court, wished to submit to the Court that a non-publication order ought to be made by the Court. </w:t>
      </w:r>
      <w:r w:rsidR="000D71C7" w:rsidRPr="000818C9">
        <w:rPr>
          <w:rFonts w:eastAsia="PMingLiU" w:hint="eastAsia"/>
          <w:lang w:eastAsia="zh-TW"/>
        </w:rPr>
        <w:t xml:space="preserve"> </w:t>
      </w:r>
      <w:r w:rsidR="00D076B3">
        <w:t xml:space="preserve">In those circumstances, the Court adjourned the hearing of the application until 13 January 2016, so that counsel could research the law and provide the Court with written submissions. </w:t>
      </w:r>
      <w:r w:rsidR="000D71C7" w:rsidRPr="000818C9">
        <w:rPr>
          <w:rFonts w:eastAsia="PMingLiU" w:hint="eastAsia"/>
          <w:lang w:eastAsia="zh-TW"/>
        </w:rPr>
        <w:t xml:space="preserve"> </w:t>
      </w:r>
      <w:r w:rsidR="00D076B3">
        <w:t>But, before doing so the Court ordered the issue of a general written ‘Warning’</w:t>
      </w:r>
      <w:r w:rsidR="000D71C7">
        <w:rPr>
          <w:lang w:val="en-US"/>
        </w:rPr>
        <w:t> </w:t>
      </w:r>
      <w:r w:rsidR="00796C63">
        <w:rPr>
          <w:rStyle w:val="FootnoteReference"/>
        </w:rPr>
        <w:footnoteReference w:id="11"/>
      </w:r>
      <w:r w:rsidR="00D076B3">
        <w:t xml:space="preserve"> against the publication of any material that might prejudice the ongoing trial.</w:t>
      </w:r>
    </w:p>
    <w:p w:rsidR="00AF7E55" w:rsidRDefault="00EE098B" w:rsidP="00FA3958">
      <w:pPr>
        <w:tabs>
          <w:tab w:val="clear" w:pos="4320"/>
          <w:tab w:val="clear" w:pos="9072"/>
        </w:tabs>
        <w:autoSpaceDE w:val="0"/>
        <w:autoSpaceDN w:val="0"/>
        <w:adjustRightInd w:val="0"/>
        <w:snapToGrid/>
        <w:spacing w:before="360" w:line="360" w:lineRule="auto"/>
        <w:ind w:right="29"/>
        <w:jc w:val="both"/>
      </w:pPr>
      <w:r>
        <w:lastRenderedPageBreak/>
        <w:fldChar w:fldCharType="begin"/>
      </w:r>
      <w:r w:rsidR="00AF7E55">
        <w:instrText xml:space="preserve"> AUTONUMOUT  </w:instrText>
      </w:r>
      <w:r>
        <w:fldChar w:fldCharType="end"/>
      </w:r>
      <w:r w:rsidR="00AF7E55">
        <w:tab/>
      </w:r>
      <w:r w:rsidR="00D076B3">
        <w:t>At the hearing on 13 J</w:t>
      </w:r>
      <w:r w:rsidR="000D71C7">
        <w:t>anuary 2016, Mr</w:t>
      </w:r>
      <w:r w:rsidR="000D71C7">
        <w:rPr>
          <w:lang w:val="en-US"/>
        </w:rPr>
        <w:t> </w:t>
      </w:r>
      <w:r w:rsidR="00D076B3">
        <w:t>Fitzgerald, on behalf of all counsel representi</w:t>
      </w:r>
      <w:r w:rsidR="000D71C7">
        <w:t>ng the three defendants in HCCC</w:t>
      </w:r>
      <w:r w:rsidR="000D71C7" w:rsidRPr="00FE57D4">
        <w:rPr>
          <w:snapToGrid w:val="0"/>
          <w:spacing w:val="20"/>
          <w:w w:val="200"/>
          <w:sz w:val="24"/>
          <w:lang w:val="en-US"/>
        </w:rPr>
        <w:t> </w:t>
      </w:r>
      <w:r w:rsidR="00D076B3">
        <w:t xml:space="preserve">83/2014, submitted that the general written ‘Warning’ published by the order of the Court was insufficient to protect the rights of the three defendants in their trial. </w:t>
      </w:r>
      <w:r w:rsidR="000D71C7" w:rsidRPr="000818C9">
        <w:rPr>
          <w:rFonts w:eastAsia="PMingLiU" w:hint="eastAsia"/>
          <w:lang w:eastAsia="zh-TW"/>
        </w:rPr>
        <w:t xml:space="preserve"> </w:t>
      </w:r>
      <w:r w:rsidR="00D076B3">
        <w:t>An order of the Court prohibiting publication of any and all aspects of this hearing was what was required.</w:t>
      </w:r>
    </w:p>
    <w:p w:rsidR="00AF7E55" w:rsidRDefault="00EE098B" w:rsidP="00FA3958">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 xml:space="preserve">Counsel for the defendants in the ongoing trial conceded in their initial joint written submissions that the </w:t>
      </w:r>
      <w:r w:rsidR="00D076B3" w:rsidRPr="007516FD">
        <w:rPr>
          <w:i/>
        </w:rPr>
        <w:t>Independent Publishing Company</w:t>
      </w:r>
      <w:r w:rsidR="000D71C7">
        <w:t xml:space="preserve"> case </w:t>
      </w:r>
      <w:r w:rsidR="000D71C7" w:rsidRPr="000818C9">
        <w:rPr>
          <w:rFonts w:eastAsia="PMingLiU"/>
          <w:lang w:eastAsia="zh-TW"/>
        </w:rPr>
        <w:t>“</w:t>
      </w:r>
      <w:r w:rsidR="00D076B3">
        <w:t xml:space="preserve">is a powerful authority as to the current state </w:t>
      </w:r>
      <w:r w:rsidR="000D71C7">
        <w:t>of the common law in Hong Kong.</w:t>
      </w:r>
      <w:r w:rsidR="000D71C7" w:rsidRPr="000818C9">
        <w:rPr>
          <w:rFonts w:eastAsia="PMingLiU"/>
          <w:lang w:eastAsia="zh-TW"/>
        </w:rPr>
        <w:t>”</w:t>
      </w:r>
      <w:r w:rsidR="000D71C7" w:rsidRPr="000818C9">
        <w:rPr>
          <w:rFonts w:eastAsia="PMingLiU" w:hint="eastAsia"/>
          <w:lang w:eastAsia="zh-TW"/>
        </w:rPr>
        <w:t xml:space="preserve"> </w:t>
      </w:r>
      <w:r w:rsidR="00D076B3">
        <w:t xml:space="preserve"> Ho</w:t>
      </w:r>
      <w:r w:rsidR="000D71C7">
        <w:t xml:space="preserve">wever, they submitted that the </w:t>
      </w:r>
      <w:r w:rsidR="000D71C7" w:rsidRPr="000818C9">
        <w:rPr>
          <w:rFonts w:eastAsia="PMingLiU"/>
          <w:lang w:eastAsia="zh-TW"/>
        </w:rPr>
        <w:t>“</w:t>
      </w:r>
      <w:r w:rsidR="00D076B3">
        <w:t>…human rights position of defendants in parallel proceedings</w:t>
      </w:r>
      <w:r w:rsidR="000D71C7" w:rsidRPr="000818C9">
        <w:rPr>
          <w:rFonts w:eastAsia="PMingLiU"/>
          <w:lang w:eastAsia="zh-TW"/>
        </w:rPr>
        <w:t>”</w:t>
      </w:r>
      <w:r w:rsidR="00D076B3">
        <w:t xml:space="preserve"> was not at issue in the </w:t>
      </w:r>
      <w:r w:rsidR="00D076B3" w:rsidRPr="00AD30CA">
        <w:rPr>
          <w:i/>
        </w:rPr>
        <w:t xml:space="preserve">Independent Publishing Company </w:t>
      </w:r>
      <w:r w:rsidR="00D076B3">
        <w:t xml:space="preserve">case. </w:t>
      </w:r>
      <w:r w:rsidR="000D71C7" w:rsidRPr="000818C9">
        <w:rPr>
          <w:rFonts w:eastAsia="PMingLiU" w:hint="eastAsia"/>
          <w:lang w:eastAsia="zh-TW"/>
        </w:rPr>
        <w:t xml:space="preserve"> </w:t>
      </w:r>
      <w:r w:rsidR="00D076B3">
        <w:t>They contended that the only fundamental rights that were engaged were those of journalists who had been convicted in reliance on a mistaken understanding of the common law.</w:t>
      </w:r>
    </w:p>
    <w:p w:rsidR="00AF7E55" w:rsidRDefault="00EE098B" w:rsidP="00FA3958">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It was submitted that where fundamental human rights are engag</w:t>
      </w:r>
      <w:r w:rsidR="000D71C7">
        <w:t xml:space="preserve">ed </w:t>
      </w:r>
      <w:r w:rsidR="000D71C7" w:rsidRPr="000818C9">
        <w:rPr>
          <w:rFonts w:eastAsia="PMingLiU"/>
          <w:lang w:eastAsia="zh-TW"/>
        </w:rPr>
        <w:t>“</w:t>
      </w:r>
      <w:r w:rsidR="00D076B3">
        <w:t xml:space="preserve">…the common law has to be read, and if necessary, extended in the light of the requirements of the Bill of Rights Ordinance.” </w:t>
      </w:r>
      <w:r w:rsidR="000D71C7" w:rsidRPr="000818C9">
        <w:rPr>
          <w:rFonts w:eastAsia="PMingLiU" w:hint="eastAsia"/>
          <w:lang w:eastAsia="zh-TW"/>
        </w:rPr>
        <w:t xml:space="preserve"> </w:t>
      </w:r>
      <w:r w:rsidR="00D076B3">
        <w:t>That was particularly so when the State had a positive duty to protect the fundamental right to a fair trial.</w:t>
      </w:r>
      <w:r w:rsidR="00D076B3">
        <w:rPr>
          <w:rStyle w:val="FootnoteReference"/>
        </w:rPr>
        <w:footnoteReference w:id="12"/>
      </w:r>
      <w:r w:rsidR="00D076B3">
        <w:t xml:space="preserve"> </w:t>
      </w:r>
      <w:r w:rsidR="000D71C7" w:rsidRPr="000818C9">
        <w:rPr>
          <w:rFonts w:eastAsia="PMingLiU" w:hint="eastAsia"/>
          <w:lang w:eastAsia="zh-TW"/>
        </w:rPr>
        <w:t xml:space="preserve"> </w:t>
      </w:r>
      <w:r w:rsidR="00D076B3">
        <w:t xml:space="preserve">It was submitted that the guarantee of </w:t>
      </w:r>
      <w:r w:rsidR="00D076B3">
        <w:lastRenderedPageBreak/>
        <w:t>the right to a fai</w:t>
      </w:r>
      <w:r w:rsidR="000D71C7">
        <w:t>r trial provided for by Article</w:t>
      </w:r>
      <w:r w:rsidR="000D71C7">
        <w:rPr>
          <w:lang w:val="en-US"/>
        </w:rPr>
        <w:t> </w:t>
      </w:r>
      <w:r w:rsidR="00D076B3">
        <w:t>87 of the Basic Law</w:t>
      </w:r>
      <w:r w:rsidR="00E233A0">
        <w:rPr>
          <w:lang w:val="en-US"/>
        </w:rPr>
        <w:t> </w:t>
      </w:r>
      <w:r w:rsidR="00D076B3">
        <w:rPr>
          <w:rStyle w:val="FootnoteReference"/>
        </w:rPr>
        <w:footnoteReference w:id="13"/>
      </w:r>
      <w:r w:rsidR="00D076B3">
        <w:t xml:space="preserve"> and Article 10 of the Hong Kong Bill of Rights Ordinance</w:t>
      </w:r>
      <w:r w:rsidR="008608C2">
        <w:rPr>
          <w:lang w:val="en-US"/>
        </w:rPr>
        <w:t> </w:t>
      </w:r>
      <w:r w:rsidR="00D076B3">
        <w:rPr>
          <w:rStyle w:val="FootnoteReference"/>
        </w:rPr>
        <w:footnoteReference w:id="14"/>
      </w:r>
      <w:r w:rsidR="00D076B3">
        <w:t xml:space="preserve"> imposed a positive duty on the courts to </w:t>
      </w:r>
      <w:r w:rsidR="000D71C7" w:rsidRPr="000818C9">
        <w:rPr>
          <w:rFonts w:eastAsia="PMingLiU"/>
          <w:lang w:eastAsia="zh-TW"/>
        </w:rPr>
        <w:t>“</w:t>
      </w:r>
      <w:r w:rsidR="00D076B3">
        <w:t>promote and protect the right to a fair trial</w:t>
      </w:r>
      <w:r w:rsidR="000D71C7" w:rsidRPr="000818C9">
        <w:rPr>
          <w:rFonts w:eastAsia="PMingLiU"/>
          <w:lang w:eastAsia="zh-TW"/>
        </w:rPr>
        <w:t>”</w:t>
      </w:r>
      <w:r w:rsidR="00D076B3">
        <w:t xml:space="preserve"> so that, </w:t>
      </w:r>
      <w:r w:rsidR="000D71C7" w:rsidRPr="000818C9">
        <w:rPr>
          <w:rFonts w:eastAsia="PMingLiU"/>
          <w:lang w:eastAsia="zh-TW"/>
        </w:rPr>
        <w:t>“</w:t>
      </w:r>
      <w:r w:rsidR="00D076B3">
        <w:t>the inherent powers of the Court of Appeal should be interpreted and, if necessary, extended so as to give effect to that positive duty to prote</w:t>
      </w:r>
      <w:r w:rsidR="000D71C7">
        <w:t>ct the rights of a fair trial.</w:t>
      </w:r>
      <w:r w:rsidR="000D71C7" w:rsidRPr="000818C9">
        <w:rPr>
          <w:rFonts w:eastAsia="PMingLiU"/>
          <w:lang w:eastAsia="zh-TW"/>
        </w:rPr>
        <w:t>”</w:t>
      </w:r>
      <w:r w:rsidR="000D71C7" w:rsidRPr="000818C9">
        <w:rPr>
          <w:rFonts w:eastAsia="PMingLiU" w:hint="eastAsia"/>
          <w:lang w:eastAsia="zh-TW"/>
        </w:rPr>
        <w:t xml:space="preserve"> </w:t>
      </w:r>
      <w:r w:rsidR="00D076B3">
        <w:t xml:space="preserve"> Accordingly, this Court had jurisdiction to make a non-publication order. </w:t>
      </w:r>
      <w:r w:rsidR="000D71C7" w:rsidRPr="000818C9">
        <w:rPr>
          <w:rFonts w:eastAsia="PMingLiU" w:hint="eastAsia"/>
          <w:lang w:eastAsia="zh-TW"/>
        </w:rPr>
        <w:t xml:space="preserve"> </w:t>
      </w:r>
      <w:r w:rsidR="00D076B3">
        <w:t>The warning issued to the media was insufficient to protect the integrity of the trial of the defendants.</w:t>
      </w:r>
    </w:p>
    <w:p w:rsidR="00AF7E55" w:rsidRDefault="00EE098B" w:rsidP="00FA3958">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 xml:space="preserve">For his part, Mr </w:t>
      </w:r>
      <w:proofErr w:type="spellStart"/>
      <w:r w:rsidR="00D076B3">
        <w:t>Caplan</w:t>
      </w:r>
      <w:proofErr w:type="spellEnd"/>
      <w:r w:rsidR="00D076B3">
        <w:t xml:space="preserve"> confirmed that it was the joint position of the prosecution and t</w:t>
      </w:r>
      <w:r w:rsidR="000D71C7">
        <w:t>he defence in the trial in HCCC</w:t>
      </w:r>
      <w:r w:rsidR="000D71C7">
        <w:rPr>
          <w:lang w:val="en-US"/>
        </w:rPr>
        <w:t> </w:t>
      </w:r>
      <w:r w:rsidR="00D076B3">
        <w:t xml:space="preserve">83/2014 that there was a real risk of prejudice to the integrity of a fair trial in that case, if there was publication of the matters it was anticipated would be canvassed in the hearing of this appeal. </w:t>
      </w:r>
      <w:r w:rsidR="000D71C7" w:rsidRPr="000818C9">
        <w:rPr>
          <w:rFonts w:eastAsia="PMingLiU" w:hint="eastAsia"/>
          <w:lang w:eastAsia="zh-TW"/>
        </w:rPr>
        <w:t xml:space="preserve"> </w:t>
      </w:r>
      <w:r w:rsidR="00D076B3">
        <w:t xml:space="preserve">He suggested that there were four options available to this Court: </w:t>
      </w:r>
    </w:p>
    <w:p w:rsidR="00AF7E55" w:rsidRDefault="00D076B3" w:rsidP="007065F9">
      <w:pPr>
        <w:numPr>
          <w:ilvl w:val="0"/>
          <w:numId w:val="35"/>
        </w:numPr>
        <w:tabs>
          <w:tab w:val="clear" w:pos="4320"/>
          <w:tab w:val="clear" w:pos="9072"/>
        </w:tabs>
        <w:autoSpaceDE w:val="0"/>
        <w:autoSpaceDN w:val="0"/>
        <w:adjustRightInd w:val="0"/>
        <w:snapToGrid/>
        <w:spacing w:before="240" w:line="360" w:lineRule="auto"/>
        <w:ind w:left="2362" w:right="29" w:hanging="1642"/>
        <w:jc w:val="both"/>
      </w:pPr>
      <w:r>
        <w:t xml:space="preserve">to continue the </w:t>
      </w:r>
      <w:r w:rsidR="00AF7E55">
        <w:t xml:space="preserve">‘Warning’ issued by the Court; </w:t>
      </w:r>
    </w:p>
    <w:p w:rsidR="00AF7E55" w:rsidRDefault="00D076B3" w:rsidP="007065F9">
      <w:pPr>
        <w:numPr>
          <w:ilvl w:val="0"/>
          <w:numId w:val="35"/>
        </w:numPr>
        <w:tabs>
          <w:tab w:val="clear" w:pos="4320"/>
          <w:tab w:val="clear" w:pos="9072"/>
        </w:tabs>
        <w:autoSpaceDE w:val="0"/>
        <w:autoSpaceDN w:val="0"/>
        <w:adjustRightInd w:val="0"/>
        <w:snapToGrid/>
        <w:spacing w:before="240" w:line="360" w:lineRule="auto"/>
        <w:ind w:left="2362" w:right="29" w:hanging="1642"/>
        <w:jc w:val="both"/>
      </w:pPr>
      <w:r w:rsidRPr="002A4F63">
        <w:t>to make the requested order;</w:t>
      </w:r>
    </w:p>
    <w:p w:rsidR="00AF7E55" w:rsidRDefault="00D076B3" w:rsidP="007065F9">
      <w:pPr>
        <w:numPr>
          <w:ilvl w:val="0"/>
          <w:numId w:val="35"/>
        </w:numPr>
        <w:tabs>
          <w:tab w:val="clear" w:pos="4320"/>
          <w:tab w:val="clear" w:pos="9072"/>
        </w:tabs>
        <w:autoSpaceDE w:val="0"/>
        <w:autoSpaceDN w:val="0"/>
        <w:adjustRightInd w:val="0"/>
        <w:snapToGrid/>
        <w:spacing w:before="240" w:line="360" w:lineRule="auto"/>
        <w:ind w:left="2362" w:right="29" w:hanging="1642"/>
        <w:jc w:val="both"/>
      </w:pPr>
      <w:r w:rsidRPr="002A4F63">
        <w:lastRenderedPageBreak/>
        <w:t xml:space="preserve">to hold the hearing of the appeal </w:t>
      </w:r>
      <w:r w:rsidRPr="00AF7E55">
        <w:rPr>
          <w:i/>
        </w:rPr>
        <w:t>in camera</w:t>
      </w:r>
      <w:r w:rsidRPr="002A4F63">
        <w:t xml:space="preserve">; and </w:t>
      </w:r>
    </w:p>
    <w:p w:rsidR="00AF7E55" w:rsidRDefault="00D076B3" w:rsidP="007065F9">
      <w:pPr>
        <w:numPr>
          <w:ilvl w:val="0"/>
          <w:numId w:val="35"/>
        </w:numPr>
        <w:tabs>
          <w:tab w:val="clear" w:pos="4320"/>
          <w:tab w:val="clear" w:pos="9072"/>
        </w:tabs>
        <w:autoSpaceDE w:val="0"/>
        <w:autoSpaceDN w:val="0"/>
        <w:adjustRightInd w:val="0"/>
        <w:snapToGrid/>
        <w:spacing w:before="240" w:line="360" w:lineRule="auto"/>
        <w:ind w:left="2362" w:right="29" w:hanging="1642"/>
        <w:jc w:val="both"/>
      </w:pPr>
      <w:proofErr w:type="gramStart"/>
      <w:r w:rsidRPr="002A4F63">
        <w:t>to</w:t>
      </w:r>
      <w:proofErr w:type="gramEnd"/>
      <w:r w:rsidRPr="002A4F63">
        <w:t xml:space="preserve"> g</w:t>
      </w:r>
      <w:r w:rsidR="000D71C7">
        <w:t>rant an injunction in the Court</w:t>
      </w:r>
      <w:r w:rsidR="000D71C7" w:rsidRPr="000818C9">
        <w:rPr>
          <w:rFonts w:eastAsia="PMingLiU"/>
          <w:lang w:eastAsia="zh-TW"/>
        </w:rPr>
        <w:t>’</w:t>
      </w:r>
      <w:r w:rsidRPr="002A4F63">
        <w:t xml:space="preserve">s inherent power. </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 xml:space="preserve">Mr </w:t>
      </w:r>
      <w:proofErr w:type="spellStart"/>
      <w:r w:rsidR="00D076B3">
        <w:t>Caplan</w:t>
      </w:r>
      <w:proofErr w:type="spellEnd"/>
      <w:r w:rsidR="00D076B3">
        <w:t xml:space="preserve"> suggested</w:t>
      </w:r>
      <w:r w:rsidR="00D076B3" w:rsidRPr="002A4F63">
        <w:t xml:space="preserve"> that in fact the fourth option was not available</w:t>
      </w:r>
      <w:r w:rsidR="00D076B3">
        <w:t xml:space="preserve"> because there was no threatened</w:t>
      </w:r>
      <w:r w:rsidR="00D076B3" w:rsidRPr="002A4F63">
        <w:t xml:space="preserve"> contempt, merely the possibility that it might occur. </w:t>
      </w:r>
      <w:r w:rsidR="000D71C7" w:rsidRPr="000818C9">
        <w:rPr>
          <w:rFonts w:eastAsia="PMingLiU" w:hint="eastAsia"/>
          <w:lang w:eastAsia="zh-TW"/>
        </w:rPr>
        <w:t xml:space="preserve"> </w:t>
      </w:r>
      <w:r w:rsidR="00D076B3" w:rsidRPr="002A4F63">
        <w:t xml:space="preserve">The third </w:t>
      </w:r>
      <w:r w:rsidR="00D076B3">
        <w:t xml:space="preserve">option was not realistic. </w:t>
      </w:r>
      <w:r w:rsidR="000D71C7" w:rsidRPr="000818C9">
        <w:rPr>
          <w:rFonts w:eastAsia="PMingLiU" w:hint="eastAsia"/>
          <w:lang w:eastAsia="zh-TW"/>
        </w:rPr>
        <w:t xml:space="preserve"> </w:t>
      </w:r>
      <w:r w:rsidR="00D076B3">
        <w:t>He contended that the issuing of the ‘W</w:t>
      </w:r>
      <w:r w:rsidR="00D076B3" w:rsidRPr="002A4F63">
        <w:t>arning</w:t>
      </w:r>
      <w:r w:rsidR="00D076B3">
        <w:t>’</w:t>
      </w:r>
      <w:r w:rsidR="00D076B3" w:rsidRPr="002A4F63">
        <w:t xml:space="preserve"> was sufficient. </w:t>
      </w:r>
      <w:r w:rsidR="000D71C7" w:rsidRPr="000818C9">
        <w:rPr>
          <w:rFonts w:eastAsia="PMingLiU" w:hint="eastAsia"/>
          <w:lang w:eastAsia="zh-TW"/>
        </w:rPr>
        <w:t xml:space="preserve"> </w:t>
      </w:r>
      <w:r w:rsidR="00D076B3" w:rsidRPr="002A4F63">
        <w:t xml:space="preserve">There was no need to issue an order. </w:t>
      </w:r>
      <w:r w:rsidR="000D71C7" w:rsidRPr="000818C9">
        <w:rPr>
          <w:rFonts w:eastAsia="PMingLiU" w:hint="eastAsia"/>
          <w:lang w:eastAsia="zh-TW"/>
        </w:rPr>
        <w:t xml:space="preserve"> </w:t>
      </w:r>
      <w:r w:rsidR="00D076B3" w:rsidRPr="002A4F63">
        <w:t xml:space="preserve">The available sanctions for breach of the order and contempt of court were the same. </w:t>
      </w:r>
      <w:r w:rsidR="000D71C7" w:rsidRPr="000818C9">
        <w:rPr>
          <w:rFonts w:eastAsia="PMingLiU" w:hint="eastAsia"/>
          <w:lang w:eastAsia="zh-TW"/>
        </w:rPr>
        <w:t xml:space="preserve"> </w:t>
      </w:r>
      <w:r w:rsidR="00D076B3" w:rsidRPr="002A4F63">
        <w:t>Nevertheless, he conceded specifically that the Court had power to make the order.</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However, notwithstanding the fact that, in the limited time available, counsel for the three defendan</w:t>
      </w:r>
      <w:r w:rsidR="000D71C7">
        <w:t>ts in HCCC</w:t>
      </w:r>
      <w:r w:rsidR="000D71C7">
        <w:rPr>
          <w:lang w:val="en-US"/>
        </w:rPr>
        <w:t> </w:t>
      </w:r>
      <w:r w:rsidR="00D076B3">
        <w:t xml:space="preserve">83/2014 and counsel for the respondent in the instant appeal provided the Court with short written submissions and additional authorities, the Court adjourned the hearing of the application to 28 January 2014, so that the Court could receive fuller submissions on the issue of whether or not this Court had power to make the requested order. </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In their very thorough</w:t>
      </w:r>
      <w:r w:rsidR="009B38D9">
        <w:t xml:space="preserve"> and</w:t>
      </w:r>
      <w:r w:rsidR="00AF7E55">
        <w:t xml:space="preserve"> helpful written submissions Mr</w:t>
      </w:r>
      <w:r w:rsidR="00AF7E55" w:rsidRPr="00B55ACD">
        <w:rPr>
          <w:w w:val="150"/>
        </w:rPr>
        <w:t> </w:t>
      </w:r>
      <w:r w:rsidR="00D076B3">
        <w:t xml:space="preserve">McCoy SC, for the prosecution and </w:t>
      </w:r>
      <w:r w:rsidR="000D71C7">
        <w:t>Mr</w:t>
      </w:r>
      <w:r w:rsidR="000D71C7" w:rsidRPr="00B55ACD">
        <w:rPr>
          <w:w w:val="150"/>
        </w:rPr>
        <w:t> </w:t>
      </w:r>
      <w:r w:rsidR="000D71C7">
        <w:t>Fitzgerald, Mr</w:t>
      </w:r>
      <w:r w:rsidR="000D71C7" w:rsidRPr="00B55ACD">
        <w:rPr>
          <w:w w:val="150"/>
        </w:rPr>
        <w:t> </w:t>
      </w:r>
      <w:r w:rsidR="00AF7E55">
        <w:t>Harris and Mr </w:t>
      </w:r>
      <w:proofErr w:type="spellStart"/>
      <w:r w:rsidR="00D076B3">
        <w:t>Khosa</w:t>
      </w:r>
      <w:proofErr w:type="spellEnd"/>
      <w:r w:rsidR="00D076B3">
        <w:t xml:space="preserve">, for the </w:t>
      </w:r>
      <w:r w:rsidR="000D71C7">
        <w:t>three</w:t>
      </w:r>
      <w:r w:rsidR="00D076B3">
        <w:t xml:space="preserve"> defen</w:t>
      </w:r>
      <w:r w:rsidR="000D71C7">
        <w:t>dants on trial in HCCC 83/2014, drew the court’</w:t>
      </w:r>
      <w:r w:rsidR="00D076B3">
        <w:t xml:space="preserve">s attention to the conflict arising from judgments in other common law jurisdictions as to whether or not the common law provided for a power to make the requested order. </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Mr</w:t>
      </w:r>
      <w:r w:rsidR="00D076B3" w:rsidRPr="00B55ACD">
        <w:t xml:space="preserve"> </w:t>
      </w:r>
      <w:r w:rsidR="00D076B3">
        <w:t xml:space="preserve">McCoy submitted that, in the result, whether or not the common law in Hong Kong confers the power on a court is of academic </w:t>
      </w:r>
      <w:r w:rsidR="00D076B3">
        <w:lastRenderedPageBreak/>
        <w:t>interest only, given that such a power is made available by the Basic Law and the Hong Kong Bill of Rights Ordinance.</w:t>
      </w:r>
      <w:r w:rsidR="000D71C7">
        <w:t xml:space="preserve"> </w:t>
      </w:r>
      <w:r w:rsidR="00D076B3">
        <w:t xml:space="preserve"> In those circumstances, there was no need for this Court to determine whether or not such a power exists at common law, and thereby determine whether or not </w:t>
      </w:r>
      <w:r w:rsidR="000D71C7">
        <w:t>the earlier judgment of Roberts</w:t>
      </w:r>
      <w:r w:rsidR="000D71C7" w:rsidRPr="00A33246">
        <w:rPr>
          <w:snapToGrid w:val="0"/>
          <w:spacing w:val="20"/>
          <w:w w:val="200"/>
          <w:sz w:val="24"/>
        </w:rPr>
        <w:t> </w:t>
      </w:r>
      <w:r w:rsidR="00D076B3">
        <w:t xml:space="preserve">CJ in </w:t>
      </w:r>
      <w:proofErr w:type="spellStart"/>
      <w:r w:rsidR="00D076B3" w:rsidRPr="004627B2">
        <w:rPr>
          <w:i/>
        </w:rPr>
        <w:t>Shamsudin</w:t>
      </w:r>
      <w:proofErr w:type="spellEnd"/>
      <w:r w:rsidR="00D076B3">
        <w:t xml:space="preserve"> should be overruled. </w:t>
      </w:r>
      <w:r w:rsidR="000D71C7">
        <w:t xml:space="preserve"> </w:t>
      </w:r>
      <w:r w:rsidR="00D076B3">
        <w:t>Although</w:t>
      </w:r>
      <w:r w:rsidR="000D71C7">
        <w:t xml:space="preserve"> in his written submissions, Mr </w:t>
      </w:r>
      <w:r w:rsidR="00D076B3">
        <w:t>McCoy submitted that it was not appropriate for the Court to make the order sought, given his contention that the ‘Warning’ issued by the Court was an adequate remedy, at the hearing he confirmed that, in compliance with his recent instructions, he conceded that it was appropriate for the Court to make such an order.</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For his part, Mr</w:t>
      </w:r>
      <w:r w:rsidR="00D076B3" w:rsidRPr="00B55ACD">
        <w:rPr>
          <w:w w:val="120"/>
        </w:rPr>
        <w:t xml:space="preserve"> </w:t>
      </w:r>
      <w:r w:rsidR="00D076B3">
        <w:t xml:space="preserve">Fitzgerald submitted that the general consensus of authorities from various countries was that the common law does provide an inherent jurisdiction to grant orders postponing publication of material prejudicial to a fair trial. </w:t>
      </w:r>
      <w:r w:rsidR="000D71C7">
        <w:t xml:space="preserve"> </w:t>
      </w:r>
      <w:r w:rsidR="00D076B3">
        <w:t xml:space="preserve">But in </w:t>
      </w:r>
      <w:r w:rsidR="000D71C7">
        <w:t>any event, he submitted that Mr </w:t>
      </w:r>
      <w:r w:rsidR="00D076B3">
        <w:t>McCoy was correct to concede that such a power was to be found in the Basic Law and the Hong Kong Bill of Rights Ordinance.</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 xml:space="preserve">In </w:t>
      </w:r>
      <w:proofErr w:type="spellStart"/>
      <w:r w:rsidR="00D076B3" w:rsidRPr="00565F2D">
        <w:rPr>
          <w:i/>
        </w:rPr>
        <w:t>Seimer</w:t>
      </w:r>
      <w:proofErr w:type="spellEnd"/>
      <w:r w:rsidR="00D076B3" w:rsidRPr="00565F2D">
        <w:rPr>
          <w:i/>
        </w:rPr>
        <w:t xml:space="preserve"> v Solicitor </w:t>
      </w:r>
      <w:proofErr w:type="gramStart"/>
      <w:r w:rsidR="00D076B3" w:rsidRPr="00565F2D">
        <w:rPr>
          <w:i/>
        </w:rPr>
        <w:t>General</w:t>
      </w:r>
      <w:r w:rsidR="000D71C7">
        <w:t> </w:t>
      </w:r>
      <w:proofErr w:type="gramEnd"/>
      <w:r w:rsidR="00D076B3" w:rsidRPr="000D71C7">
        <w:rPr>
          <w:rStyle w:val="FootnoteReference"/>
        </w:rPr>
        <w:footnoteReference w:id="15"/>
      </w:r>
      <w:r w:rsidR="00723BF9">
        <w:t>, the Supreme Court of New</w:t>
      </w:r>
      <w:r w:rsidR="00723BF9">
        <w:rPr>
          <w:lang w:val="en-US"/>
        </w:rPr>
        <w:t> </w:t>
      </w:r>
      <w:r w:rsidR="00D076B3">
        <w:t>Zealand concluded that there was an inherent common law power in New</w:t>
      </w:r>
      <w:r w:rsidR="000D71C7">
        <w:t xml:space="preserve"> Zealand for a judge to make a “suppression order”</w:t>
      </w:r>
      <w:r w:rsidR="00D076B3">
        <w:t xml:space="preserve"> of temporary duration, prohibiting publication of a pre-trial ruling to protect the third trial rights of the defendants.</w:t>
      </w:r>
      <w:r w:rsidR="00D076B3">
        <w:rPr>
          <w:rStyle w:val="FootnoteReference"/>
        </w:rPr>
        <w:footnoteReference w:id="16"/>
      </w:r>
      <w:r w:rsidR="00D076B3">
        <w:t xml:space="preserve"> </w:t>
      </w:r>
      <w:r w:rsidR="000D71C7">
        <w:t xml:space="preserve"> </w:t>
      </w:r>
      <w:r w:rsidR="00D076B3">
        <w:t xml:space="preserve">In doing so, the Court declined to follow the Privy Council in </w:t>
      </w:r>
      <w:r w:rsidR="00D076B3" w:rsidRPr="00565F2D">
        <w:rPr>
          <w:i/>
        </w:rPr>
        <w:t>Independent Publishing</w:t>
      </w:r>
      <w:r w:rsidR="00D076B3">
        <w:t xml:space="preserve">. </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lastRenderedPageBreak/>
        <w:fldChar w:fldCharType="begin"/>
      </w:r>
      <w:r w:rsidR="00AF7E55">
        <w:instrText xml:space="preserve"> AUTONUMOUT  </w:instrText>
      </w:r>
      <w:r>
        <w:fldChar w:fldCharType="end"/>
      </w:r>
      <w:r w:rsidR="00AF7E55">
        <w:tab/>
      </w:r>
      <w:r w:rsidR="00D076B3">
        <w:t xml:space="preserve">In his judgment in the High Court of Australia in </w:t>
      </w:r>
      <w:r w:rsidR="00D076B3" w:rsidRPr="005C73B4">
        <w:rPr>
          <w:i/>
        </w:rPr>
        <w:t xml:space="preserve">Hogan v </w:t>
      </w:r>
      <w:proofErr w:type="spellStart"/>
      <w:proofErr w:type="gramStart"/>
      <w:r w:rsidR="00D076B3" w:rsidRPr="005C73B4">
        <w:rPr>
          <w:i/>
        </w:rPr>
        <w:t>Hinch</w:t>
      </w:r>
      <w:proofErr w:type="spellEnd"/>
      <w:r w:rsidR="000D71C7">
        <w:t> </w:t>
      </w:r>
      <w:proofErr w:type="gramEnd"/>
      <w:r w:rsidR="00D076B3" w:rsidRPr="000D71C7">
        <w:rPr>
          <w:rStyle w:val="FootnoteReference"/>
        </w:rPr>
        <w:footnoteReference w:id="17"/>
      </w:r>
      <w:r w:rsidR="000D71C7">
        <w:t>, French</w:t>
      </w:r>
      <w:r w:rsidR="000D71C7" w:rsidRPr="00D74D71">
        <w:rPr>
          <w:snapToGrid w:val="0"/>
          <w:spacing w:val="20"/>
          <w:w w:val="150"/>
          <w:sz w:val="24"/>
        </w:rPr>
        <w:t> </w:t>
      </w:r>
      <w:r w:rsidR="00D076B3">
        <w:t>CJ expressed the view that in Australia there was a limited common law power, in limited circumstances, to restrict the publication of proce</w:t>
      </w:r>
      <w:r w:rsidR="00A33246">
        <w:t>edings conducted in open court.</w:t>
      </w:r>
      <w:r w:rsidR="00D076B3">
        <w:rPr>
          <w:rStyle w:val="FootnoteReference"/>
        </w:rPr>
        <w:footnoteReference w:id="18"/>
      </w:r>
      <w:r w:rsidR="000D71C7">
        <w:t xml:space="preserve">  </w:t>
      </w:r>
      <w:r w:rsidR="00D076B3">
        <w:t>The other members of the Court determined it was unnecessary to accept that there was such a power.</w:t>
      </w:r>
      <w:r w:rsidR="00D076B3">
        <w:rPr>
          <w:rStyle w:val="FootnoteReference"/>
        </w:rPr>
        <w:footnoteReference w:id="19"/>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 xml:space="preserve">In </w:t>
      </w:r>
      <w:proofErr w:type="spellStart"/>
      <w:r w:rsidR="00D076B3">
        <w:rPr>
          <w:i/>
        </w:rPr>
        <w:t>Dagenais</w:t>
      </w:r>
      <w:proofErr w:type="spellEnd"/>
      <w:r w:rsidR="00D076B3">
        <w:rPr>
          <w:i/>
        </w:rPr>
        <w:t xml:space="preserve"> v Canadian B</w:t>
      </w:r>
      <w:r w:rsidR="00D076B3" w:rsidRPr="00336FC9">
        <w:rPr>
          <w:i/>
        </w:rPr>
        <w:t xml:space="preserve">roadcasting </w:t>
      </w:r>
      <w:proofErr w:type="gramStart"/>
      <w:r w:rsidR="00D076B3" w:rsidRPr="00336FC9">
        <w:rPr>
          <w:i/>
        </w:rPr>
        <w:t>Corporation</w:t>
      </w:r>
      <w:r w:rsidR="000D71C7">
        <w:t> </w:t>
      </w:r>
      <w:proofErr w:type="gramEnd"/>
      <w:r w:rsidR="00D076B3" w:rsidRPr="000D71C7">
        <w:rPr>
          <w:rStyle w:val="FootnoteReference"/>
        </w:rPr>
        <w:footnoteReference w:id="20"/>
      </w:r>
      <w:r w:rsidR="00D076B3">
        <w:t>, the Supreme Court of Canada held that there was a common law power to ban publication, if there was a real and substantial risk of interference with the right of a fair trial.</w:t>
      </w:r>
      <w:r w:rsidR="000D71C7">
        <w:t xml:space="preserve"> </w:t>
      </w:r>
      <w:r w:rsidR="00D076B3">
        <w:t xml:space="preserve"> In light of the Canadian Charter of Rights, it determined that the approach to the making of such orders was to be reformulated, having regard to necessity and proportionality tests.</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 xml:space="preserve">In </w:t>
      </w:r>
      <w:r w:rsidR="00D076B3" w:rsidRPr="00C15579">
        <w:rPr>
          <w:i/>
        </w:rPr>
        <w:t xml:space="preserve">Sahara India Real Estate v Securities &amp; Exchange Board of </w:t>
      </w:r>
      <w:proofErr w:type="gramStart"/>
      <w:r w:rsidR="00D076B3" w:rsidRPr="00C15579">
        <w:rPr>
          <w:i/>
        </w:rPr>
        <w:t>India</w:t>
      </w:r>
      <w:r w:rsidR="000D71C7">
        <w:t> </w:t>
      </w:r>
      <w:proofErr w:type="gramEnd"/>
      <w:r w:rsidR="00D076B3" w:rsidRPr="000D71C7">
        <w:rPr>
          <w:rStyle w:val="FootnoteReference"/>
        </w:rPr>
        <w:footnoteReference w:id="21"/>
      </w:r>
      <w:r w:rsidR="00D076B3">
        <w:t xml:space="preserve">, the Supreme Court of India reviewed the approach of the courts in the above jurisdictions and that of the United States of America. </w:t>
      </w:r>
      <w:r w:rsidR="000D71C7">
        <w:t xml:space="preserve"> </w:t>
      </w:r>
      <w:r w:rsidR="00D076B3">
        <w:t xml:space="preserve">In doing so, it noted that the judgment of the Privy Council in </w:t>
      </w:r>
      <w:r w:rsidR="00D076B3" w:rsidRPr="00454B3E">
        <w:rPr>
          <w:i/>
        </w:rPr>
        <w:t>Independent Publishing</w:t>
      </w:r>
      <w:r w:rsidR="00D076B3">
        <w:t xml:space="preserve"> had been doubted in the Cou</w:t>
      </w:r>
      <w:r w:rsidR="00E233A0">
        <w:t>rt of Appeal of New</w:t>
      </w:r>
      <w:r w:rsidR="00E233A0">
        <w:rPr>
          <w:lang w:val="en-US"/>
        </w:rPr>
        <w:t> </w:t>
      </w:r>
      <w:r w:rsidR="00D076B3">
        <w:t xml:space="preserve">Zealand in </w:t>
      </w:r>
      <w:r w:rsidR="00D076B3" w:rsidRPr="00454B3E">
        <w:rPr>
          <w:i/>
        </w:rPr>
        <w:t>Vincent v Solicitor General</w:t>
      </w:r>
      <w:r w:rsidR="00D076B3">
        <w:t>.</w:t>
      </w:r>
      <w:r w:rsidR="00D076B3">
        <w:rPr>
          <w:rStyle w:val="FootnoteReference"/>
        </w:rPr>
        <w:footnoteReference w:id="22"/>
      </w:r>
      <w:r w:rsidR="00D076B3">
        <w:t xml:space="preserve"> </w:t>
      </w:r>
      <w:r w:rsidR="000D71C7">
        <w:t xml:space="preserve"> </w:t>
      </w:r>
      <w:r w:rsidR="00D076B3">
        <w:t xml:space="preserve">In the result, noting that it was bound by its decision </w:t>
      </w:r>
      <w:r w:rsidR="00D076B3" w:rsidRPr="00A77ECD">
        <w:t>in</w:t>
      </w:r>
      <w:r w:rsidR="00D076B3" w:rsidRPr="00A77ECD">
        <w:rPr>
          <w:i/>
        </w:rPr>
        <w:t xml:space="preserve"> </w:t>
      </w:r>
      <w:proofErr w:type="spellStart"/>
      <w:r w:rsidR="00D076B3" w:rsidRPr="00A77ECD">
        <w:rPr>
          <w:i/>
        </w:rPr>
        <w:t>Mirajkar</w:t>
      </w:r>
      <w:proofErr w:type="spellEnd"/>
      <w:r w:rsidR="00D076B3" w:rsidRPr="00A77ECD">
        <w:rPr>
          <w:i/>
        </w:rPr>
        <w:t xml:space="preserve"> v State of </w:t>
      </w:r>
      <w:proofErr w:type="gramStart"/>
      <w:r w:rsidR="00D076B3" w:rsidRPr="00A77ECD">
        <w:rPr>
          <w:i/>
        </w:rPr>
        <w:t>Maharashtra</w:t>
      </w:r>
      <w:r w:rsidR="000D71C7">
        <w:rPr>
          <w:i/>
        </w:rPr>
        <w:t> </w:t>
      </w:r>
      <w:proofErr w:type="gramEnd"/>
      <w:r w:rsidR="00D076B3" w:rsidRPr="000D71C7">
        <w:rPr>
          <w:rStyle w:val="FootnoteReference"/>
        </w:rPr>
        <w:footnoteReference w:id="23"/>
      </w:r>
      <w:r w:rsidR="00D076B3">
        <w:t xml:space="preserve">, the </w:t>
      </w:r>
      <w:r w:rsidR="00D076B3">
        <w:lastRenderedPageBreak/>
        <w:t>Court determined that there was an inherent power to prohibit publication of court</w:t>
      </w:r>
      <w:r w:rsidR="00D076B3" w:rsidRPr="00692E98">
        <w:t xml:space="preserve"> proceedings </w:t>
      </w:r>
      <w:r w:rsidR="00D076B3">
        <w:t>of the evidence of the witness.</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 xml:space="preserve">In </w:t>
      </w:r>
      <w:r w:rsidR="00D076B3" w:rsidRPr="00056867">
        <w:rPr>
          <w:i/>
        </w:rPr>
        <w:t>A v British Broadcasting Corporation</w:t>
      </w:r>
      <w:r w:rsidR="000D71C7">
        <w:rPr>
          <w:i/>
        </w:rPr>
        <w:t> </w:t>
      </w:r>
      <w:r w:rsidR="00D076B3" w:rsidRPr="000D71C7">
        <w:rPr>
          <w:rStyle w:val="FootnoteReference"/>
        </w:rPr>
        <w:footnoteReference w:id="24"/>
      </w:r>
      <w:r w:rsidR="00D076B3">
        <w:t xml:space="preserve"> the Supreme Court of the United Kingdom was concerned with the issue of whether it was lawful for a court to direct, as the lower courts had done, that the claimant in proceedings contesting the lawfulness of his proposed deportation be identified by his initials only and to prohibit the publication of information that would allow the claimant to be identified.</w:t>
      </w:r>
    </w:p>
    <w:p w:rsidR="00AF7E55" w:rsidRDefault="00EE098B" w:rsidP="00AF7E55">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In dismissing the appeal of the BBC, in his judgment, with whic</w:t>
      </w:r>
      <w:r w:rsidR="000D71C7">
        <w:t>h the other judges agreed, Lord </w:t>
      </w:r>
      <w:r w:rsidR="00D076B3">
        <w:t>Reed said that</w:t>
      </w:r>
      <w:r w:rsidR="00D076B3" w:rsidRPr="00DE4FBE">
        <w:t xml:space="preserve"> </w:t>
      </w:r>
      <w:r w:rsidR="00D076B3">
        <w:t>there was a power at common law, subject to statutory provisions, to make exceptions to the principle of open justice.</w:t>
      </w:r>
      <w:r w:rsidR="000D71C7">
        <w:t xml:space="preserve"> </w:t>
      </w:r>
      <w:r w:rsidR="00D076B3">
        <w:t xml:space="preserve"> Furthermore, the European Convention for the Protection of Human Rights and Fundamental Freedoms provided for a hierarchy of rights, so that where there is a conflict b</w:t>
      </w:r>
      <w:r w:rsidR="000D71C7">
        <w:t>etween the rights of the media “</w:t>
      </w:r>
      <w:r w:rsidR="00D076B3">
        <w:t>under article 10 and an unqualified right of some other party, such as the rights guaranteed by articles 2, 3 and 6.1, there can be no derogat</w:t>
      </w:r>
      <w:r w:rsidR="00AF7E55">
        <w:t>ion from the latter.” </w:t>
      </w:r>
      <w:r w:rsidR="00D076B3">
        <w:rPr>
          <w:rStyle w:val="FootnoteReference"/>
        </w:rPr>
        <w:footnoteReference w:id="25"/>
      </w:r>
    </w:p>
    <w:p w:rsidR="00AF7E55" w:rsidRDefault="00D076B3" w:rsidP="00AF7E55">
      <w:pPr>
        <w:tabs>
          <w:tab w:val="clear" w:pos="4320"/>
          <w:tab w:val="clear" w:pos="9072"/>
        </w:tabs>
        <w:autoSpaceDE w:val="0"/>
        <w:autoSpaceDN w:val="0"/>
        <w:adjustRightInd w:val="0"/>
        <w:snapToGrid/>
        <w:spacing w:before="360" w:line="360" w:lineRule="auto"/>
        <w:ind w:right="29"/>
        <w:jc w:val="both"/>
        <w:rPr>
          <w:i/>
        </w:rPr>
      </w:pPr>
      <w:r w:rsidRPr="002A4F63">
        <w:rPr>
          <w:i/>
        </w:rPr>
        <w:t>A consideration of the submissions</w:t>
      </w:r>
    </w:p>
    <w:p w:rsidR="00D076B3" w:rsidRDefault="00EE098B" w:rsidP="00AF7E55">
      <w:pPr>
        <w:tabs>
          <w:tab w:val="clear" w:pos="4320"/>
          <w:tab w:val="clear" w:pos="9072"/>
        </w:tabs>
        <w:autoSpaceDE w:val="0"/>
        <w:autoSpaceDN w:val="0"/>
        <w:adjustRightInd w:val="0"/>
        <w:snapToGrid/>
        <w:spacing w:before="360" w:line="360" w:lineRule="auto"/>
        <w:ind w:right="29"/>
        <w:jc w:val="both"/>
      </w:pPr>
      <w:r w:rsidRPr="00AF7E55">
        <w:fldChar w:fldCharType="begin"/>
      </w:r>
      <w:r w:rsidR="00AF7E55" w:rsidRPr="00AF7E55">
        <w:instrText xml:space="preserve"> AUTONUMOUT  </w:instrText>
      </w:r>
      <w:r w:rsidRPr="00AF7E55">
        <w:fldChar w:fldCharType="end"/>
      </w:r>
      <w:r w:rsidR="00AF7E55" w:rsidRPr="00AF7E55">
        <w:tab/>
      </w:r>
      <w:r w:rsidR="00D076B3">
        <w:t xml:space="preserve">In </w:t>
      </w:r>
      <w:r w:rsidR="00D076B3" w:rsidRPr="00B57074">
        <w:rPr>
          <w:i/>
        </w:rPr>
        <w:t xml:space="preserve">Independent Publishing Company Ltd </w:t>
      </w:r>
      <w:r w:rsidR="00D076B3">
        <w:t>one of the issues addr</w:t>
      </w:r>
      <w:r w:rsidR="00AF7E55">
        <w:t>essed by the Privy Council was: </w:t>
      </w:r>
      <w:r w:rsidR="00D076B3">
        <w:rPr>
          <w:rStyle w:val="FootnoteReference"/>
        </w:rPr>
        <w:footnoteReference w:id="26"/>
      </w:r>
    </w:p>
    <w:p w:rsidR="00AF7E55" w:rsidRDefault="00EE098B" w:rsidP="00AF7E55">
      <w:pPr>
        <w:tabs>
          <w:tab w:val="left" w:pos="1267"/>
        </w:tabs>
        <w:spacing w:before="240"/>
        <w:ind w:left="1454" w:right="749" w:hanging="187"/>
        <w:jc w:val="both"/>
        <w:rPr>
          <w:sz w:val="24"/>
          <w:szCs w:val="24"/>
        </w:rPr>
      </w:pPr>
      <w:r>
        <w:rPr>
          <w:noProof/>
          <w:sz w:val="24"/>
          <w:szCs w:val="24"/>
          <w:lang w:val="en-US" w:eastAsia="zh-TW"/>
        </w:rPr>
        <w:lastRenderedPageBreak/>
        <w:pict>
          <v:shapetype id="_x0000_t202" coordsize="21600,21600" o:spt="202" path="m,l,21600r21600,l21600,xe">
            <v:stroke joinstyle="miter"/>
            <v:path gradientshapeok="t" o:connecttype="rect"/>
          </v:shapetype>
          <v:shape id="_x0000_s1030" type="#_x0000_t202" style="position:absolute;left:0;text-align:left;margin-left:414pt;margin-top:9.6pt;width:65.1pt;height:24.75pt;z-index:251655680" filled="f" stroked="f">
            <v:textbox>
              <w:txbxContent>
                <w:p w:rsidR="00FF5444" w:rsidRPr="008A3982" w:rsidRDefault="00FF5444" w:rsidP="008A3982"/>
              </w:txbxContent>
            </v:textbox>
          </v:shape>
        </w:pict>
      </w:r>
      <w:r w:rsidR="00AF7E55">
        <w:rPr>
          <w:sz w:val="24"/>
          <w:szCs w:val="24"/>
        </w:rPr>
        <w:t>“</w:t>
      </w:r>
      <w:r w:rsidR="00AF7E55">
        <w:rPr>
          <w:sz w:val="24"/>
          <w:szCs w:val="24"/>
        </w:rPr>
        <w:tab/>
      </w:r>
      <w:r w:rsidR="00D076B3" w:rsidRPr="00AF7E55">
        <w:rPr>
          <w:sz w:val="24"/>
          <w:szCs w:val="24"/>
        </w:rPr>
        <w:t>Is there a power at common law to order the publication of a report on</w:t>
      </w:r>
      <w:r w:rsidR="008A3982">
        <w:rPr>
          <w:sz w:val="24"/>
          <w:szCs w:val="24"/>
        </w:rPr>
        <w:t xml:space="preserve"> p</w:t>
      </w:r>
      <w:r w:rsidR="00D076B3" w:rsidRPr="00AF7E55">
        <w:rPr>
          <w:sz w:val="24"/>
          <w:szCs w:val="24"/>
        </w:rPr>
        <w:t>roceedings to</w:t>
      </w:r>
      <w:r w:rsidR="00AF7E55">
        <w:rPr>
          <w:sz w:val="24"/>
          <w:szCs w:val="24"/>
        </w:rPr>
        <w:t xml:space="preserve"> be postponed?”</w:t>
      </w:r>
    </w:p>
    <w:p w:rsidR="00AF7E55" w:rsidRPr="000D71C7" w:rsidRDefault="00AF7E55" w:rsidP="00AF7E55">
      <w:pPr>
        <w:tabs>
          <w:tab w:val="clear" w:pos="4320"/>
          <w:tab w:val="clear" w:pos="9072"/>
          <w:tab w:val="left" w:pos="1267"/>
        </w:tabs>
        <w:adjustRightInd w:val="0"/>
        <w:spacing w:line="200" w:lineRule="exact"/>
        <w:ind w:left="1454" w:right="907" w:hanging="187"/>
        <w:jc w:val="both"/>
        <w:rPr>
          <w:sz w:val="24"/>
          <w:szCs w:val="24"/>
        </w:rPr>
      </w:pPr>
    </w:p>
    <w:p w:rsidR="00AF7E55" w:rsidRDefault="00EE098B" w:rsidP="0020268D">
      <w:pPr>
        <w:tabs>
          <w:tab w:val="clear" w:pos="4320"/>
          <w:tab w:val="clear" w:pos="9072"/>
        </w:tabs>
        <w:autoSpaceDE w:val="0"/>
        <w:autoSpaceDN w:val="0"/>
        <w:adjustRightInd w:val="0"/>
        <w:snapToGrid/>
        <w:spacing w:before="360" w:line="360" w:lineRule="auto"/>
        <w:ind w:right="29"/>
        <w:jc w:val="both"/>
      </w:pPr>
      <w:r>
        <w:rPr>
          <w:noProof/>
          <w:lang w:val="en-US"/>
        </w:rPr>
        <w:pict>
          <v:shape id="_x0000_s1031" type="#_x0000_t202" style="position:absolute;left:0;text-align:left;margin-left:438.15pt;margin-top:111.5pt;width:62.15pt;height:21.9pt;z-index:251656704" filled="f" stroked="f">
            <v:textbox>
              <w:txbxContent>
                <w:p w:rsidR="00FF5444" w:rsidRPr="006E2569" w:rsidRDefault="00FF5444" w:rsidP="006E2569">
                  <w:pPr>
                    <w:rPr>
                      <w:snapToGrid w:val="0"/>
                      <w:spacing w:val="-20"/>
                    </w:rPr>
                  </w:pPr>
                  <w:r>
                    <w:rPr>
                      <w:snapToGrid w:val="0"/>
                      <w:spacing w:val="-20"/>
                    </w:rPr>
                    <w:t xml:space="preserve">  </w:t>
                  </w:r>
                </w:p>
              </w:txbxContent>
            </v:textbox>
          </v:shape>
        </w:pict>
      </w:r>
      <w:r w:rsidRPr="00AF7E55">
        <w:rPr>
          <w:szCs w:val="28"/>
        </w:rPr>
        <w:fldChar w:fldCharType="begin"/>
      </w:r>
      <w:r w:rsidR="00AF7E55" w:rsidRPr="00AF7E55">
        <w:rPr>
          <w:szCs w:val="28"/>
        </w:rPr>
        <w:instrText xml:space="preserve"> AUTONUMOUT  </w:instrText>
      </w:r>
      <w:r w:rsidRPr="00AF7E55">
        <w:rPr>
          <w:szCs w:val="28"/>
        </w:rPr>
        <w:fldChar w:fldCharType="end"/>
      </w:r>
      <w:r w:rsidR="00AF7E55" w:rsidRPr="00AF7E55">
        <w:rPr>
          <w:szCs w:val="28"/>
        </w:rPr>
        <w:tab/>
      </w:r>
      <w:r w:rsidR="00D076B3">
        <w:t>On 10 June 199</w:t>
      </w:r>
      <w:r w:rsidR="00AD23D9">
        <w:t xml:space="preserve">6, the </w:t>
      </w:r>
      <w:r w:rsidR="00AD23D9">
        <w:rPr>
          <w:lang w:val="en-US"/>
        </w:rPr>
        <w:t xml:space="preserve">first </w:t>
      </w:r>
      <w:r w:rsidR="00D076B3">
        <w:t xml:space="preserve">day of the trial of nine defendants for the brutal murder of four members of a family, the judge was told by counsel in Chambers that an agreement had been reached that one of the defendants would plead guilty to four counts of murder, in return for which </w:t>
      </w:r>
      <w:r w:rsidR="008A3982">
        <w:t>the mandatory death penalty</w:t>
      </w:r>
      <w:r w:rsidR="00D076B3">
        <w:t xml:space="preserve"> would be commuted by a presidential pardon to one of Life imprisonment, on condition that he gave evidence for the prosecution at the trial of the other defendants. </w:t>
      </w:r>
    </w:p>
    <w:p w:rsidR="00D03D66" w:rsidRDefault="00EE098B" w:rsidP="00D03D66">
      <w:pPr>
        <w:tabs>
          <w:tab w:val="clear" w:pos="4320"/>
          <w:tab w:val="clear" w:pos="9072"/>
        </w:tabs>
        <w:autoSpaceDE w:val="0"/>
        <w:autoSpaceDN w:val="0"/>
        <w:adjustRightInd w:val="0"/>
        <w:snapToGrid/>
        <w:spacing w:before="360" w:line="360" w:lineRule="auto"/>
        <w:ind w:right="29"/>
        <w:jc w:val="both"/>
      </w:pPr>
      <w:r>
        <w:fldChar w:fldCharType="begin"/>
      </w:r>
      <w:r w:rsidR="00AF7E55">
        <w:instrText xml:space="preserve"> AUTONUMOUT  </w:instrText>
      </w:r>
      <w:r>
        <w:fldChar w:fldCharType="end"/>
      </w:r>
      <w:r w:rsidR="00AF7E55">
        <w:tab/>
      </w:r>
      <w:r w:rsidR="00D076B3">
        <w:t>At the application of the prosecution and the defence in open court, the judge made a non-publication order that none of those matters could be reported.</w:t>
      </w:r>
      <w:r w:rsidR="000D71C7">
        <w:t xml:space="preserve"> </w:t>
      </w:r>
      <w:r w:rsidR="00D076B3">
        <w:t xml:space="preserve"> The effect of the order was that the media was restrained from reporting the circumstances</w:t>
      </w:r>
      <w:r w:rsidR="00D076B3">
        <w:rPr>
          <w:b/>
        </w:rPr>
        <w:t xml:space="preserve"> </w:t>
      </w:r>
      <w:r w:rsidR="00D076B3" w:rsidRPr="007A6750">
        <w:t>of</w:t>
      </w:r>
      <w:r w:rsidR="00D076B3">
        <w:t xml:space="preserve"> that defendant’s plea of guilty and the sentence imposed on him by the court.</w:t>
      </w:r>
      <w:r w:rsidR="000D71C7">
        <w:t xml:space="preserve"> </w:t>
      </w:r>
      <w:r w:rsidR="00D076B3">
        <w:t xml:space="preserve"> Prior to those developments, in prospect of the trial, there had been unremitting prejudicial publicity. </w:t>
      </w:r>
      <w:r w:rsidR="000D71C7">
        <w:t xml:space="preserve"> </w:t>
      </w:r>
      <w:r w:rsidR="00D076B3">
        <w:t xml:space="preserve">Then, on 14 June 1996, the judge made a second order restraining the media from reporting contempt proceedings, which had occurred that day, arising from a breach of the first order. </w:t>
      </w:r>
      <w:r w:rsidR="000D71C7">
        <w:t xml:space="preserve"> </w:t>
      </w:r>
      <w:r w:rsidR="00D076B3">
        <w:t>Those procee</w:t>
      </w:r>
      <w:r w:rsidR="008A3982">
        <w:t>dings concerned two journalists</w:t>
      </w:r>
      <w:r w:rsidR="00D076B3">
        <w:t xml:space="preserve"> who published reports on 14 June 1996</w:t>
      </w:r>
      <w:r w:rsidR="008A3982">
        <w:t>,</w:t>
      </w:r>
      <w:r w:rsidR="00D076B3">
        <w:t xml:space="preserve"> from which the developments in the trial could be inferred.</w:t>
      </w:r>
      <w:r w:rsidR="000D71C7">
        <w:t xml:space="preserve"> </w:t>
      </w:r>
      <w:r w:rsidR="00D076B3">
        <w:t xml:space="preserve"> One of the journalists was fined and the other sentenced to 14 days</w:t>
      </w:r>
      <w:r w:rsidR="00BC4C66">
        <w:t>’</w:t>
      </w:r>
      <w:r w:rsidR="00D076B3">
        <w:t xml:space="preserve"> imprisonment.</w:t>
      </w:r>
    </w:p>
    <w:p w:rsidR="00D03D66" w:rsidRDefault="00EE098B" w:rsidP="00D03D66">
      <w:pPr>
        <w:tabs>
          <w:tab w:val="clear" w:pos="4320"/>
          <w:tab w:val="clear" w:pos="9072"/>
        </w:tabs>
        <w:autoSpaceDE w:val="0"/>
        <w:autoSpaceDN w:val="0"/>
        <w:adjustRightInd w:val="0"/>
        <w:snapToGrid/>
        <w:spacing w:before="360" w:line="360" w:lineRule="auto"/>
        <w:ind w:right="29"/>
        <w:jc w:val="both"/>
      </w:pPr>
      <w:r>
        <w:fldChar w:fldCharType="begin"/>
      </w:r>
      <w:r w:rsidR="00D03D66">
        <w:instrText xml:space="preserve"> AUTONUMOUT  </w:instrText>
      </w:r>
      <w:r>
        <w:fldChar w:fldCharType="end"/>
      </w:r>
      <w:r w:rsidR="00D03D66">
        <w:tab/>
      </w:r>
      <w:r w:rsidR="00D076B3">
        <w:t>The Independent Publishing Company Ltd, publishers of a weekly journal, issued a notice of motio</w:t>
      </w:r>
      <w:r w:rsidR="00BC4C66">
        <w:t>n seeking redress under section </w:t>
      </w:r>
      <w:r w:rsidR="000D71C7">
        <w:t>14</w:t>
      </w:r>
      <w:r w:rsidR="00D076B3">
        <w:t xml:space="preserve">(1) of the Constitution of Trinidad and Tobago contending that the judge had no power to make the order and that the order infringed </w:t>
      </w:r>
      <w:r w:rsidR="00D076B3">
        <w:lastRenderedPageBreak/>
        <w:t xml:space="preserve">their rights of freedom of speech and freedom of the press. </w:t>
      </w:r>
      <w:r w:rsidR="000D71C7">
        <w:t xml:space="preserve"> </w:t>
      </w:r>
      <w:r w:rsidR="00D076B3">
        <w:t xml:space="preserve">For their part, the two journalists appealed their convictions and sentences on the basis that they were not to be deprived of their liberty except by due process of law. </w:t>
      </w:r>
      <w:r w:rsidR="000D71C7">
        <w:t xml:space="preserve"> </w:t>
      </w:r>
      <w:r w:rsidR="00D076B3">
        <w:t>The Court of Appeal of Trinidad and Tobago held that the judge had an inherent jurisdiction to make the order.</w:t>
      </w:r>
    </w:p>
    <w:p w:rsidR="00D03D66" w:rsidRDefault="00EE098B" w:rsidP="00D03D66">
      <w:pPr>
        <w:tabs>
          <w:tab w:val="clear" w:pos="4320"/>
          <w:tab w:val="clear" w:pos="9072"/>
        </w:tabs>
        <w:autoSpaceDE w:val="0"/>
        <w:autoSpaceDN w:val="0"/>
        <w:adjustRightInd w:val="0"/>
        <w:snapToGrid/>
        <w:spacing w:before="360" w:line="360" w:lineRule="auto"/>
        <w:ind w:right="29"/>
        <w:jc w:val="both"/>
      </w:pPr>
      <w:r>
        <w:fldChar w:fldCharType="begin"/>
      </w:r>
      <w:r w:rsidR="00D03D66">
        <w:instrText xml:space="preserve"> AUTONUMOUT  </w:instrText>
      </w:r>
      <w:r>
        <w:fldChar w:fldCharType="end"/>
      </w:r>
      <w:r w:rsidR="00D03D66">
        <w:tab/>
      </w:r>
      <w:r w:rsidR="00D076B3">
        <w:t xml:space="preserve">In the judgment of the Privy Council, Lord Brown of Eaton-under-Heywood conducted an extensive review of the authorities in the United Kingdom, Australia, New Zealand and Canada. </w:t>
      </w:r>
      <w:r w:rsidR="00D03D66">
        <w:t xml:space="preserve"> </w:t>
      </w:r>
      <w:r w:rsidR="00D076B3">
        <w:t>He said:</w:t>
      </w:r>
      <w:r w:rsidR="00D076B3">
        <w:rPr>
          <w:rStyle w:val="FootnoteReference"/>
        </w:rPr>
        <w:footnoteReference w:id="27"/>
      </w:r>
      <w:bookmarkStart w:id="0" w:name="order29"/>
    </w:p>
    <w:p w:rsidR="00774863" w:rsidRDefault="00D03D66" w:rsidP="00D03D66">
      <w:pPr>
        <w:tabs>
          <w:tab w:val="clear" w:pos="4320"/>
          <w:tab w:val="clear" w:pos="9072"/>
          <w:tab w:val="left" w:pos="1267"/>
        </w:tabs>
        <w:spacing w:before="240"/>
        <w:ind w:left="1454" w:right="749" w:hanging="187"/>
        <w:jc w:val="both"/>
        <w:rPr>
          <w:rFonts w:eastAsia="Times New Roman"/>
          <w:sz w:val="24"/>
          <w:szCs w:val="24"/>
        </w:rPr>
      </w:pPr>
      <w:r>
        <w:rPr>
          <w:rFonts w:eastAsia="Times New Roman"/>
          <w:sz w:val="24"/>
          <w:szCs w:val="24"/>
        </w:rPr>
        <w:t>“</w:t>
      </w:r>
      <w:r>
        <w:rPr>
          <w:rFonts w:eastAsia="Times New Roman"/>
          <w:sz w:val="24"/>
          <w:szCs w:val="24"/>
        </w:rPr>
        <w:tab/>
      </w:r>
      <w:r w:rsidR="00D076B3" w:rsidRPr="00D03D66">
        <w:rPr>
          <w:rFonts w:eastAsia="Times New Roman"/>
          <w:sz w:val="24"/>
          <w:szCs w:val="24"/>
        </w:rPr>
        <w:t xml:space="preserve">The contention that the Court has power at common law to postpone press reporting of all or part of the proceedings rests almost entirely on </w:t>
      </w:r>
      <w:r w:rsidR="00D076B3" w:rsidRPr="00D03D66">
        <w:rPr>
          <w:rFonts w:eastAsia="Times New Roman"/>
          <w:i/>
          <w:iCs/>
          <w:sz w:val="24"/>
          <w:szCs w:val="24"/>
        </w:rPr>
        <w:t xml:space="preserve">Clement, </w:t>
      </w:r>
      <w:r w:rsidR="00D076B3" w:rsidRPr="00D03D66">
        <w:rPr>
          <w:rFonts w:eastAsia="Times New Roman"/>
          <w:sz w:val="24"/>
          <w:szCs w:val="24"/>
        </w:rPr>
        <w:t xml:space="preserve">a contempt case arising out of the trial for high treason of those involved in the Cato Street Conspiracy in 1820. </w:t>
      </w:r>
      <w:bookmarkEnd w:id="0"/>
      <w:r>
        <w:rPr>
          <w:rFonts w:eastAsia="Times New Roman"/>
          <w:sz w:val="24"/>
          <w:szCs w:val="24"/>
        </w:rPr>
        <w:t>”</w:t>
      </w:r>
      <w:bookmarkStart w:id="1" w:name="order30"/>
    </w:p>
    <w:p w:rsidR="007065F9" w:rsidRDefault="007065F9" w:rsidP="00774863">
      <w:pPr>
        <w:tabs>
          <w:tab w:val="clear" w:pos="4320"/>
          <w:tab w:val="clear" w:pos="9072"/>
          <w:tab w:val="left" w:pos="1267"/>
        </w:tabs>
        <w:adjustRightInd w:val="0"/>
        <w:spacing w:line="200" w:lineRule="exact"/>
        <w:ind w:left="1454" w:right="907" w:hanging="187"/>
        <w:jc w:val="both"/>
        <w:rPr>
          <w:rFonts w:eastAsia="Times New Roman"/>
          <w:sz w:val="24"/>
          <w:szCs w:val="24"/>
        </w:rPr>
      </w:pPr>
    </w:p>
    <w:p w:rsidR="00D076B3" w:rsidRPr="0073027F" w:rsidRDefault="00EE098B" w:rsidP="00774863">
      <w:pPr>
        <w:tabs>
          <w:tab w:val="clear" w:pos="4320"/>
          <w:tab w:val="clear" w:pos="9072"/>
        </w:tabs>
        <w:autoSpaceDE w:val="0"/>
        <w:autoSpaceDN w:val="0"/>
        <w:adjustRightInd w:val="0"/>
        <w:snapToGrid/>
        <w:spacing w:before="360" w:line="360" w:lineRule="auto"/>
        <w:ind w:right="29"/>
        <w:jc w:val="both"/>
        <w:rPr>
          <w:rFonts w:eastAsia="Times New Roman"/>
        </w:rPr>
      </w:pPr>
      <w:r>
        <w:rPr>
          <w:rFonts w:eastAsia="Times New Roman"/>
          <w:szCs w:val="28"/>
        </w:rPr>
        <w:fldChar w:fldCharType="begin"/>
      </w:r>
      <w:r w:rsidR="00774863">
        <w:rPr>
          <w:rFonts w:eastAsia="Times New Roman"/>
          <w:szCs w:val="28"/>
        </w:rPr>
        <w:instrText xml:space="preserve"> AUTONUMOUT  </w:instrText>
      </w:r>
      <w:r>
        <w:rPr>
          <w:rFonts w:eastAsia="Times New Roman"/>
          <w:szCs w:val="28"/>
        </w:rPr>
        <w:fldChar w:fldCharType="end"/>
      </w:r>
      <w:r w:rsidR="00774863">
        <w:rPr>
          <w:rFonts w:eastAsia="Times New Roman"/>
          <w:szCs w:val="28"/>
        </w:rPr>
        <w:tab/>
      </w:r>
      <w:r w:rsidR="00D076B3" w:rsidRPr="0073027F">
        <w:rPr>
          <w:rFonts w:eastAsia="Times New Roman"/>
        </w:rPr>
        <w:t>Of the circumstances</w:t>
      </w:r>
      <w:r w:rsidR="00D076B3">
        <w:rPr>
          <w:rFonts w:eastAsia="Times New Roman"/>
        </w:rPr>
        <w:t xml:space="preserve"> </w:t>
      </w:r>
      <w:r w:rsidR="00D076B3" w:rsidRPr="0073027F">
        <w:rPr>
          <w:rFonts w:eastAsia="Times New Roman"/>
        </w:rPr>
        <w:t>of that case, he went on to say:</w:t>
      </w:r>
      <w:r w:rsidR="00D076B3">
        <w:rPr>
          <w:rStyle w:val="FootnoteReference"/>
          <w:rFonts w:eastAsia="Times New Roman"/>
        </w:rPr>
        <w:footnoteReference w:id="28"/>
      </w:r>
    </w:p>
    <w:p w:rsidR="00D076B3" w:rsidRPr="00D03D66" w:rsidRDefault="00B00AA8" w:rsidP="00B00AA8">
      <w:pPr>
        <w:tabs>
          <w:tab w:val="clear" w:pos="4320"/>
          <w:tab w:val="clear" w:pos="9072"/>
          <w:tab w:val="left" w:pos="1260"/>
        </w:tabs>
        <w:spacing w:before="240"/>
        <w:ind w:left="1454" w:right="749" w:hanging="194"/>
        <w:jc w:val="both"/>
        <w:rPr>
          <w:rFonts w:eastAsia="Times New Roman"/>
          <w:sz w:val="24"/>
          <w:szCs w:val="24"/>
        </w:rPr>
      </w:pPr>
      <w:r>
        <w:rPr>
          <w:rFonts w:eastAsia="Times New Roman"/>
          <w:sz w:val="24"/>
          <w:szCs w:val="24"/>
        </w:rPr>
        <w:t>“</w:t>
      </w:r>
      <w:r>
        <w:rPr>
          <w:rFonts w:eastAsia="Times New Roman"/>
          <w:sz w:val="24"/>
          <w:szCs w:val="24"/>
        </w:rPr>
        <w:tab/>
      </w:r>
      <w:r w:rsidR="00D076B3" w:rsidRPr="00D03D66">
        <w:rPr>
          <w:rFonts w:eastAsia="Times New Roman"/>
          <w:sz w:val="24"/>
          <w:szCs w:val="24"/>
        </w:rPr>
        <w:t>Clement was the editor of the</w:t>
      </w:r>
      <w:r w:rsidR="000D71C7">
        <w:rPr>
          <w:rFonts w:eastAsia="Times New Roman"/>
          <w:sz w:val="24"/>
          <w:szCs w:val="24"/>
        </w:rPr>
        <w:t xml:space="preserve"> only newspaper to breach that “</w:t>
      </w:r>
      <w:r w:rsidR="00D076B3" w:rsidRPr="00D03D66">
        <w:rPr>
          <w:rFonts w:eastAsia="Times New Roman"/>
          <w:sz w:val="24"/>
          <w:szCs w:val="24"/>
        </w:rPr>
        <w:t>injunct</w:t>
      </w:r>
      <w:r w:rsidR="000D71C7">
        <w:rPr>
          <w:rFonts w:eastAsia="Times New Roman"/>
          <w:sz w:val="24"/>
          <w:szCs w:val="24"/>
        </w:rPr>
        <w:t>ion”</w:t>
      </w:r>
      <w:r w:rsidR="00D076B3" w:rsidRPr="00D03D66">
        <w:rPr>
          <w:rFonts w:eastAsia="Times New Roman"/>
          <w:sz w:val="24"/>
          <w:szCs w:val="24"/>
        </w:rPr>
        <w:t xml:space="preserve">. </w:t>
      </w:r>
      <w:r w:rsidR="000D71C7">
        <w:rPr>
          <w:rFonts w:eastAsia="Times New Roman"/>
          <w:sz w:val="24"/>
          <w:szCs w:val="24"/>
        </w:rPr>
        <w:t xml:space="preserve"> </w:t>
      </w:r>
      <w:r w:rsidR="00D076B3" w:rsidRPr="00D03D66">
        <w:rPr>
          <w:rFonts w:eastAsia="Times New Roman"/>
          <w:sz w:val="24"/>
          <w:szCs w:val="24"/>
        </w:rPr>
        <w:t xml:space="preserve">At the conclusion of the criminal trials he was fined £500. </w:t>
      </w:r>
      <w:r w:rsidR="000D71C7">
        <w:rPr>
          <w:rFonts w:eastAsia="Times New Roman"/>
          <w:sz w:val="24"/>
          <w:szCs w:val="24"/>
        </w:rPr>
        <w:t xml:space="preserve"> </w:t>
      </w:r>
      <w:r w:rsidR="00D076B3" w:rsidRPr="00D03D66">
        <w:rPr>
          <w:rFonts w:eastAsia="Times New Roman"/>
          <w:sz w:val="24"/>
          <w:szCs w:val="24"/>
        </w:rPr>
        <w:t>He then failed succes</w:t>
      </w:r>
      <w:r w:rsidR="000D71C7">
        <w:rPr>
          <w:rFonts w:eastAsia="Times New Roman"/>
          <w:sz w:val="24"/>
          <w:szCs w:val="24"/>
        </w:rPr>
        <w:t>sively before the Court of King’</w:t>
      </w:r>
      <w:r w:rsidR="00D076B3" w:rsidRPr="00D03D66">
        <w:rPr>
          <w:rFonts w:eastAsia="Times New Roman"/>
          <w:sz w:val="24"/>
          <w:szCs w:val="24"/>
        </w:rPr>
        <w:t>s Bench in his challenge to the legality of the fine (</w:t>
      </w:r>
      <w:r w:rsidR="000D71C7">
        <w:rPr>
          <w:rFonts w:eastAsia="Times New Roman"/>
          <w:i/>
          <w:iCs/>
          <w:sz w:val="24"/>
          <w:szCs w:val="24"/>
        </w:rPr>
        <w:t>R </w:t>
      </w:r>
      <w:r w:rsidR="00E233A0">
        <w:rPr>
          <w:rFonts w:eastAsia="Times New Roman"/>
          <w:i/>
          <w:iCs/>
          <w:sz w:val="24"/>
          <w:szCs w:val="24"/>
        </w:rPr>
        <w:t>v</w:t>
      </w:r>
      <w:r w:rsidR="00E233A0">
        <w:rPr>
          <w:rFonts w:eastAsia="Times New Roman"/>
          <w:i/>
          <w:iCs/>
          <w:sz w:val="24"/>
          <w:szCs w:val="24"/>
          <w:lang w:val="en-US"/>
        </w:rPr>
        <w:t> </w:t>
      </w:r>
      <w:r w:rsidR="00D076B3" w:rsidRPr="00D03D66">
        <w:rPr>
          <w:rFonts w:eastAsia="Times New Roman"/>
          <w:i/>
          <w:iCs/>
          <w:sz w:val="24"/>
          <w:szCs w:val="24"/>
        </w:rPr>
        <w:t>Clement</w:t>
      </w:r>
      <w:r w:rsidR="00D076B3" w:rsidRPr="00D03D66">
        <w:rPr>
          <w:rFonts w:eastAsia="Times New Roman"/>
          <w:sz w:val="24"/>
          <w:szCs w:val="24"/>
        </w:rPr>
        <w:t xml:space="preserve"> (1821) 4 B &amp; </w:t>
      </w:r>
      <w:proofErr w:type="spellStart"/>
      <w:r w:rsidR="00D076B3" w:rsidRPr="00D03D66">
        <w:rPr>
          <w:rFonts w:eastAsia="Times New Roman"/>
          <w:sz w:val="24"/>
          <w:szCs w:val="24"/>
        </w:rPr>
        <w:t>Ald</w:t>
      </w:r>
      <w:proofErr w:type="spellEnd"/>
      <w:r w:rsidR="00D076B3" w:rsidRPr="00D03D66">
        <w:rPr>
          <w:rFonts w:eastAsia="Times New Roman"/>
          <w:sz w:val="24"/>
          <w:szCs w:val="24"/>
        </w:rPr>
        <w:t xml:space="preserve"> 218) and before the Court of Exchequer in his application to be discharged from the fine (</w:t>
      </w:r>
      <w:r w:rsidR="00E233A0">
        <w:rPr>
          <w:rFonts w:eastAsia="Times New Roman"/>
          <w:i/>
          <w:iCs/>
          <w:sz w:val="24"/>
          <w:szCs w:val="24"/>
        </w:rPr>
        <w:t>In</w:t>
      </w:r>
      <w:r w:rsidR="00E233A0">
        <w:rPr>
          <w:rFonts w:eastAsia="Times New Roman"/>
          <w:i/>
          <w:iCs/>
          <w:sz w:val="24"/>
          <w:szCs w:val="24"/>
          <w:lang w:val="en-US"/>
        </w:rPr>
        <w:t> </w:t>
      </w:r>
      <w:r w:rsidR="00D076B3" w:rsidRPr="00D03D66">
        <w:rPr>
          <w:rFonts w:eastAsia="Times New Roman"/>
          <w:i/>
          <w:iCs/>
          <w:sz w:val="24"/>
          <w:szCs w:val="24"/>
        </w:rPr>
        <w:t>re Clement</w:t>
      </w:r>
      <w:r w:rsidR="00D076B3" w:rsidRPr="00D03D66">
        <w:rPr>
          <w:rFonts w:eastAsia="Times New Roman"/>
          <w:sz w:val="24"/>
          <w:szCs w:val="24"/>
        </w:rPr>
        <w:t xml:space="preserve"> (1822) 11 Price 68). </w:t>
      </w:r>
      <w:r w:rsidR="000D71C7">
        <w:rPr>
          <w:rFonts w:eastAsia="Times New Roman"/>
          <w:sz w:val="24"/>
          <w:szCs w:val="24"/>
        </w:rPr>
        <w:t xml:space="preserve"> </w:t>
      </w:r>
      <w:r w:rsidR="00D076B3" w:rsidRPr="00D03D66">
        <w:rPr>
          <w:rFonts w:eastAsia="Times New Roman"/>
          <w:sz w:val="24"/>
          <w:szCs w:val="24"/>
        </w:rPr>
        <w:t xml:space="preserve">Each conspirator having elected to be tried separately, Abbott LCJ had indicated that no reports of the trials should be published until all were concluded. </w:t>
      </w:r>
      <w:r w:rsidR="000D71C7">
        <w:rPr>
          <w:rFonts w:eastAsia="Times New Roman"/>
          <w:sz w:val="24"/>
          <w:szCs w:val="24"/>
        </w:rPr>
        <w:t xml:space="preserve"> Gurney’</w:t>
      </w:r>
      <w:r w:rsidR="00D076B3" w:rsidRPr="00D03D66">
        <w:rPr>
          <w:rFonts w:eastAsia="Times New Roman"/>
          <w:sz w:val="24"/>
          <w:szCs w:val="24"/>
        </w:rPr>
        <w:t>s account of the treason trials, vol. 1 p.46,</w:t>
      </w:r>
      <w:r w:rsidR="000D71C7">
        <w:rPr>
          <w:rFonts w:eastAsia="Times New Roman"/>
          <w:sz w:val="24"/>
          <w:szCs w:val="24"/>
        </w:rPr>
        <w:t xml:space="preserve"> records the Lord Chief Justice’</w:t>
      </w:r>
      <w:r w:rsidR="00D076B3" w:rsidRPr="00D03D66">
        <w:rPr>
          <w:rFonts w:eastAsia="Times New Roman"/>
          <w:sz w:val="24"/>
          <w:szCs w:val="24"/>
        </w:rPr>
        <w:t xml:space="preserve">s direction as follows: </w:t>
      </w:r>
      <w:bookmarkEnd w:id="1"/>
    </w:p>
    <w:p w:rsidR="00D076B3" w:rsidRPr="00D03D66" w:rsidRDefault="00D03D66" w:rsidP="00D03D66">
      <w:pPr>
        <w:tabs>
          <w:tab w:val="clear" w:pos="1440"/>
          <w:tab w:val="clear" w:pos="4320"/>
          <w:tab w:val="clear" w:pos="9072"/>
          <w:tab w:val="left" w:pos="1980"/>
        </w:tabs>
        <w:spacing w:before="240"/>
        <w:ind w:left="1980" w:right="749"/>
        <w:jc w:val="both"/>
        <w:rPr>
          <w:rFonts w:eastAsia="Times New Roman"/>
          <w:sz w:val="24"/>
          <w:szCs w:val="24"/>
        </w:rPr>
      </w:pPr>
      <w:r>
        <w:rPr>
          <w:rFonts w:eastAsia="Times New Roman"/>
          <w:sz w:val="24"/>
          <w:szCs w:val="24"/>
        </w:rPr>
        <w:t>“</w:t>
      </w:r>
      <w:r w:rsidR="00D076B3" w:rsidRPr="00D03D66">
        <w:rPr>
          <w:rFonts w:eastAsia="Times New Roman"/>
          <w:sz w:val="24"/>
          <w:szCs w:val="24"/>
        </w:rPr>
        <w:t>As there are several persons charged by this indictment whose trials may come on one after another, the Court thinks it necessary, for the furtherance of justice, strictly to prohibit the publication of the proceedings on this or any other trial, until all the trials shall be gone through.</w:t>
      </w:r>
      <w:r w:rsidR="000D71C7">
        <w:rPr>
          <w:rFonts w:eastAsia="Times New Roman"/>
          <w:sz w:val="24"/>
          <w:szCs w:val="24"/>
        </w:rPr>
        <w:t xml:space="preserve"> </w:t>
      </w:r>
      <w:r w:rsidR="00D076B3" w:rsidRPr="00D03D66">
        <w:rPr>
          <w:rFonts w:eastAsia="Times New Roman"/>
          <w:sz w:val="24"/>
          <w:szCs w:val="24"/>
        </w:rPr>
        <w:t xml:space="preserve"> It is </w:t>
      </w:r>
      <w:r w:rsidR="00D076B3" w:rsidRPr="00D03D66">
        <w:rPr>
          <w:rFonts w:eastAsia="Times New Roman"/>
          <w:sz w:val="24"/>
          <w:szCs w:val="24"/>
        </w:rPr>
        <w:lastRenderedPageBreak/>
        <w:t>highly necessary, for the purposes of justice, that the public mind, or the minds of those who may be to serve on trials hereafter, may not be influenced by publications of anything which takes place on the present trial; we hope all person</w:t>
      </w:r>
      <w:r>
        <w:rPr>
          <w:rFonts w:eastAsia="Times New Roman"/>
          <w:sz w:val="24"/>
          <w:szCs w:val="24"/>
        </w:rPr>
        <w:t>s will observe this injunction.”</w:t>
      </w:r>
    </w:p>
    <w:p w:rsidR="00D076B3" w:rsidRPr="00D03D66" w:rsidRDefault="00D076B3" w:rsidP="004A5CA0">
      <w:pPr>
        <w:tabs>
          <w:tab w:val="clear" w:pos="4320"/>
          <w:tab w:val="clear" w:pos="9072"/>
        </w:tabs>
        <w:spacing w:before="240"/>
        <w:ind w:left="1454" w:right="749" w:hanging="36"/>
        <w:jc w:val="both"/>
        <w:rPr>
          <w:rFonts w:eastAsia="Times New Roman"/>
          <w:sz w:val="24"/>
          <w:szCs w:val="24"/>
        </w:rPr>
      </w:pPr>
      <w:bookmarkStart w:id="2" w:name="order31"/>
      <w:r w:rsidRPr="00D03D66">
        <w:rPr>
          <w:rFonts w:eastAsia="Times New Roman"/>
          <w:sz w:val="24"/>
          <w:szCs w:val="24"/>
        </w:rPr>
        <w:t xml:space="preserve">Fining Clement in his absence, Abbott CJ is recorded by Gurney (vol. 2, p.654) as having said: </w:t>
      </w:r>
      <w:bookmarkEnd w:id="2"/>
    </w:p>
    <w:p w:rsidR="00E91F98" w:rsidRDefault="00E91F98" w:rsidP="00E91F98">
      <w:pPr>
        <w:tabs>
          <w:tab w:val="clear" w:pos="1440"/>
          <w:tab w:val="clear" w:pos="4320"/>
          <w:tab w:val="clear" w:pos="9072"/>
          <w:tab w:val="left" w:pos="1980"/>
        </w:tabs>
        <w:spacing w:before="240"/>
        <w:ind w:left="1980" w:right="749"/>
        <w:jc w:val="both"/>
        <w:rPr>
          <w:rFonts w:eastAsia="Times New Roman"/>
          <w:sz w:val="24"/>
          <w:szCs w:val="24"/>
        </w:rPr>
      </w:pPr>
      <w:r>
        <w:rPr>
          <w:rFonts w:eastAsia="Times New Roman"/>
          <w:sz w:val="24"/>
          <w:szCs w:val="24"/>
        </w:rPr>
        <w:t>“</w:t>
      </w:r>
      <w:r w:rsidR="00D076B3" w:rsidRPr="00D03D66">
        <w:rPr>
          <w:rFonts w:eastAsia="Times New Roman"/>
          <w:sz w:val="24"/>
          <w:szCs w:val="24"/>
        </w:rPr>
        <w:t>No person can rationally doubt that the publication which has been complained of, manifestly tended to obstruct the course of public justice ... The mischievous tendency of such publications cannot, as I have already said, be doubted by any mind; the Court thought it right before the first trial was begun, to express in the strongest terms its opinion as to the impropriety of any such publication, and to admonish those who were concerned in the publication of the daily or weekly papers to abstain from s</w:t>
      </w:r>
      <w:r>
        <w:rPr>
          <w:rFonts w:eastAsia="Times New Roman"/>
          <w:sz w:val="24"/>
          <w:szCs w:val="24"/>
        </w:rPr>
        <w:t>uch insertion ...”</w:t>
      </w:r>
    </w:p>
    <w:p w:rsidR="000D71C7" w:rsidRDefault="000D71C7" w:rsidP="000D71C7">
      <w:pPr>
        <w:tabs>
          <w:tab w:val="clear" w:pos="1440"/>
          <w:tab w:val="clear" w:pos="4320"/>
          <w:tab w:val="clear" w:pos="9072"/>
          <w:tab w:val="left" w:pos="1980"/>
        </w:tabs>
        <w:spacing w:line="200" w:lineRule="exact"/>
        <w:ind w:left="1979" w:right="748"/>
        <w:jc w:val="both"/>
        <w:rPr>
          <w:rFonts w:eastAsia="Times New Roman"/>
          <w:sz w:val="24"/>
          <w:szCs w:val="24"/>
        </w:rPr>
      </w:pPr>
    </w:p>
    <w:p w:rsidR="00E91F98" w:rsidRDefault="00EE098B" w:rsidP="00E91F98">
      <w:pPr>
        <w:tabs>
          <w:tab w:val="clear" w:pos="4320"/>
          <w:tab w:val="clear" w:pos="9072"/>
        </w:tabs>
        <w:autoSpaceDE w:val="0"/>
        <w:autoSpaceDN w:val="0"/>
        <w:adjustRightInd w:val="0"/>
        <w:snapToGrid/>
        <w:spacing w:before="360" w:line="360" w:lineRule="auto"/>
        <w:ind w:right="29"/>
        <w:jc w:val="both"/>
        <w:rPr>
          <w:rFonts w:eastAsia="Times New Roman"/>
        </w:rPr>
      </w:pPr>
      <w:r w:rsidRPr="004A5CA0">
        <w:rPr>
          <w:rFonts w:eastAsia="Times New Roman"/>
          <w:szCs w:val="28"/>
        </w:rPr>
        <w:fldChar w:fldCharType="begin"/>
      </w:r>
      <w:r w:rsidR="00E91F98" w:rsidRPr="004A5CA0">
        <w:rPr>
          <w:rFonts w:eastAsia="Times New Roman"/>
          <w:szCs w:val="28"/>
        </w:rPr>
        <w:instrText xml:space="preserve"> AUTONUMOUT  </w:instrText>
      </w:r>
      <w:r w:rsidRPr="004A5CA0">
        <w:rPr>
          <w:rFonts w:eastAsia="Times New Roman"/>
          <w:szCs w:val="28"/>
        </w:rPr>
        <w:fldChar w:fldCharType="end"/>
      </w:r>
      <w:r w:rsidR="00E91F98" w:rsidRPr="004A5CA0">
        <w:rPr>
          <w:rFonts w:eastAsia="Times New Roman"/>
          <w:szCs w:val="28"/>
        </w:rPr>
        <w:tab/>
      </w:r>
      <w:r w:rsidR="00D076B3" w:rsidRPr="00465F1F">
        <w:rPr>
          <w:rFonts w:eastAsia="Times New Roman"/>
        </w:rPr>
        <w:t>Lord Brown went on to</w:t>
      </w:r>
      <w:r w:rsidR="00D076B3">
        <w:rPr>
          <w:rFonts w:eastAsia="Times New Roman"/>
        </w:rPr>
        <w:t xml:space="preserve"> note that section 4(2) of the C</w:t>
      </w:r>
      <w:r w:rsidR="00D076B3" w:rsidRPr="00465F1F">
        <w:rPr>
          <w:rFonts w:eastAsia="Times New Roman"/>
        </w:rPr>
        <w:t>ontempt of Court Act, 1981 provided that in respect of legal proceedings held in public:</w:t>
      </w:r>
      <w:r w:rsidR="00D076B3">
        <w:rPr>
          <w:rStyle w:val="FootnoteReference"/>
          <w:rFonts w:eastAsia="Times New Roman"/>
        </w:rPr>
        <w:footnoteReference w:id="29"/>
      </w:r>
    </w:p>
    <w:p w:rsidR="00967EE6" w:rsidRDefault="00D076B3" w:rsidP="00D615A4">
      <w:pPr>
        <w:tabs>
          <w:tab w:val="clear" w:pos="4320"/>
          <w:tab w:val="clear" w:pos="9072"/>
          <w:tab w:val="left" w:pos="1267"/>
        </w:tabs>
        <w:spacing w:before="240"/>
        <w:ind w:left="1454" w:right="749" w:hanging="187"/>
        <w:jc w:val="both"/>
        <w:rPr>
          <w:rFonts w:eastAsia="Times New Roman"/>
          <w:sz w:val="24"/>
          <w:szCs w:val="24"/>
        </w:rPr>
      </w:pPr>
      <w:r w:rsidRPr="00D615A4">
        <w:rPr>
          <w:rFonts w:eastAsia="Times New Roman"/>
          <w:sz w:val="24"/>
          <w:szCs w:val="24"/>
        </w:rPr>
        <w:t>“</w:t>
      </w:r>
      <w:r w:rsidR="00BC4C66">
        <w:rPr>
          <w:rFonts w:eastAsia="Times New Roman"/>
          <w:sz w:val="24"/>
          <w:szCs w:val="24"/>
        </w:rPr>
        <w:tab/>
      </w:r>
      <w:r w:rsidRPr="00D615A4">
        <w:rPr>
          <w:rFonts w:eastAsia="Times New Roman"/>
          <w:sz w:val="24"/>
          <w:szCs w:val="24"/>
        </w:rPr>
        <w:t>…the court may, where it appears to be necessary for avoiding a substantial risk of prejudice to the administration of justice in those proceedings, or in any other proceedings pending or imminent, order that the publication of any report of the proceedings, or any part of the proceedings, be postponed for such period as Court thinks necessary for that purpose.”</w:t>
      </w:r>
    </w:p>
    <w:p w:rsidR="00D615A4" w:rsidRDefault="00D615A4" w:rsidP="00967EE6">
      <w:pPr>
        <w:tabs>
          <w:tab w:val="clear" w:pos="4320"/>
          <w:tab w:val="clear" w:pos="9072"/>
          <w:tab w:val="left" w:pos="1267"/>
        </w:tabs>
        <w:adjustRightInd w:val="0"/>
        <w:spacing w:line="200" w:lineRule="exact"/>
        <w:ind w:left="1454" w:right="907" w:hanging="187"/>
        <w:jc w:val="both"/>
        <w:rPr>
          <w:rFonts w:eastAsia="Times New Roman"/>
          <w:sz w:val="24"/>
          <w:szCs w:val="24"/>
        </w:rPr>
      </w:pPr>
    </w:p>
    <w:p w:rsidR="00500B23" w:rsidRDefault="00EE098B" w:rsidP="00500B23">
      <w:pPr>
        <w:tabs>
          <w:tab w:val="clear" w:pos="4320"/>
          <w:tab w:val="clear" w:pos="9072"/>
        </w:tabs>
        <w:autoSpaceDE w:val="0"/>
        <w:autoSpaceDN w:val="0"/>
        <w:adjustRightInd w:val="0"/>
        <w:snapToGrid/>
        <w:spacing w:before="360" w:line="360" w:lineRule="auto"/>
        <w:ind w:right="29"/>
        <w:jc w:val="both"/>
        <w:rPr>
          <w:rFonts w:eastAsia="Times New Roman"/>
        </w:rPr>
      </w:pPr>
      <w:r w:rsidRPr="007E2BCD">
        <w:rPr>
          <w:rFonts w:eastAsia="Times New Roman"/>
          <w:szCs w:val="28"/>
        </w:rPr>
        <w:fldChar w:fldCharType="begin"/>
      </w:r>
      <w:r w:rsidR="00D615A4" w:rsidRPr="007E2BCD">
        <w:rPr>
          <w:rFonts w:eastAsia="Times New Roman"/>
          <w:szCs w:val="28"/>
        </w:rPr>
        <w:instrText xml:space="preserve"> AUTONUMOUT  </w:instrText>
      </w:r>
      <w:r w:rsidRPr="007E2BCD">
        <w:rPr>
          <w:rFonts w:eastAsia="Times New Roman"/>
          <w:szCs w:val="28"/>
        </w:rPr>
        <w:fldChar w:fldCharType="end"/>
      </w:r>
      <w:r w:rsidR="00D615A4">
        <w:rPr>
          <w:rFonts w:eastAsia="Times New Roman"/>
          <w:sz w:val="24"/>
          <w:szCs w:val="24"/>
        </w:rPr>
        <w:tab/>
      </w:r>
      <w:r w:rsidR="00D076B3">
        <w:rPr>
          <w:rFonts w:eastAsia="Times New Roman"/>
        </w:rPr>
        <w:t xml:space="preserve">Lord Brown noted that provision had been considered in the judgment of the Court of Appeal of England and Wales in </w:t>
      </w:r>
      <w:r w:rsidR="00D076B3" w:rsidRPr="00073D83">
        <w:rPr>
          <w:rFonts w:eastAsia="Times New Roman"/>
          <w:i/>
        </w:rPr>
        <w:t xml:space="preserve">R v Horsham Justices, Ex p </w:t>
      </w:r>
      <w:proofErr w:type="spellStart"/>
      <w:proofErr w:type="gramStart"/>
      <w:r w:rsidR="00D076B3" w:rsidRPr="00073D83">
        <w:rPr>
          <w:rFonts w:eastAsia="Times New Roman"/>
          <w:i/>
        </w:rPr>
        <w:t>Farquharson</w:t>
      </w:r>
      <w:proofErr w:type="spellEnd"/>
      <w:r w:rsidR="004A5CA0">
        <w:rPr>
          <w:rFonts w:eastAsia="Times New Roman"/>
        </w:rPr>
        <w:t> </w:t>
      </w:r>
      <w:proofErr w:type="gramEnd"/>
      <w:r w:rsidR="00D076B3" w:rsidRPr="004A5CA0">
        <w:rPr>
          <w:rStyle w:val="FootnoteReference"/>
          <w:rFonts w:eastAsia="Times New Roman"/>
        </w:rPr>
        <w:footnoteReference w:id="30"/>
      </w:r>
      <w:r w:rsidR="00D076B3">
        <w:rPr>
          <w:rFonts w:eastAsia="Times New Roman"/>
          <w:i/>
        </w:rPr>
        <w:t>.</w:t>
      </w:r>
      <w:r w:rsidR="004A5CA0">
        <w:rPr>
          <w:rFonts w:eastAsia="Times New Roman"/>
          <w:i/>
        </w:rPr>
        <w:t xml:space="preserve"> </w:t>
      </w:r>
      <w:r w:rsidR="00D076B3">
        <w:rPr>
          <w:rFonts w:eastAsia="Times New Roman"/>
        </w:rPr>
        <w:t xml:space="preserve"> The Court of Appeal dismissed an appeal from an order of the Divisional Court, which had quashed the order of the just</w:t>
      </w:r>
      <w:r w:rsidR="004A5CA0">
        <w:rPr>
          <w:rFonts w:eastAsia="Times New Roman"/>
        </w:rPr>
        <w:t>ices in committal proceedings, “</w:t>
      </w:r>
      <w:r w:rsidR="00D076B3">
        <w:rPr>
          <w:rFonts w:eastAsia="Times New Roman"/>
        </w:rPr>
        <w:t xml:space="preserve">prohibiting reporting of any part of the </w:t>
      </w:r>
      <w:r w:rsidR="00D076B3">
        <w:rPr>
          <w:rFonts w:eastAsia="Times New Roman"/>
        </w:rPr>
        <w:lastRenderedPageBreak/>
        <w:t>proceedings until the commencement of any trial herein</w:t>
      </w:r>
      <w:r w:rsidR="004A5CA0">
        <w:rPr>
          <w:rFonts w:eastAsia="Times New Roman"/>
        </w:rPr>
        <w:t xml:space="preserve">” </w:t>
      </w:r>
      <w:r w:rsidR="00D076B3">
        <w:rPr>
          <w:rFonts w:eastAsia="Times New Roman"/>
        </w:rPr>
        <w:t xml:space="preserve">and remitted the matter for the justices to consider whether an order should be made prohibiting publication of all or any part of the committal proceedings. </w:t>
      </w:r>
    </w:p>
    <w:p w:rsidR="00500B23" w:rsidRDefault="00EE098B" w:rsidP="00500B23">
      <w:pPr>
        <w:tabs>
          <w:tab w:val="clear" w:pos="4320"/>
          <w:tab w:val="clear" w:pos="9072"/>
        </w:tabs>
        <w:autoSpaceDE w:val="0"/>
        <w:autoSpaceDN w:val="0"/>
        <w:adjustRightInd w:val="0"/>
        <w:snapToGrid/>
        <w:spacing w:before="360" w:line="360" w:lineRule="auto"/>
        <w:ind w:right="29"/>
        <w:jc w:val="both"/>
        <w:rPr>
          <w:rFonts w:eastAsia="Times New Roman"/>
        </w:rPr>
      </w:pPr>
      <w:r>
        <w:rPr>
          <w:rFonts w:eastAsia="Times New Roman"/>
        </w:rPr>
        <w:fldChar w:fldCharType="begin"/>
      </w:r>
      <w:r w:rsidR="00500B23">
        <w:rPr>
          <w:rFonts w:eastAsia="Times New Roman"/>
        </w:rPr>
        <w:instrText xml:space="preserve"> AUTONUMOUT  </w:instrText>
      </w:r>
      <w:r>
        <w:rPr>
          <w:rFonts w:eastAsia="Times New Roman"/>
        </w:rPr>
        <w:fldChar w:fldCharType="end"/>
      </w:r>
      <w:r w:rsidR="00500B23">
        <w:rPr>
          <w:rFonts w:eastAsia="Times New Roman"/>
        </w:rPr>
        <w:tab/>
        <w:t xml:space="preserve">Shaw and </w:t>
      </w:r>
      <w:proofErr w:type="spellStart"/>
      <w:r w:rsidR="00500B23">
        <w:rPr>
          <w:rFonts w:eastAsia="Times New Roman"/>
        </w:rPr>
        <w:t>A</w:t>
      </w:r>
      <w:r w:rsidR="009B38D9">
        <w:rPr>
          <w:rFonts w:eastAsia="Times New Roman"/>
        </w:rPr>
        <w:t>c</w:t>
      </w:r>
      <w:r w:rsidR="00500B23">
        <w:rPr>
          <w:rFonts w:eastAsia="Times New Roman"/>
        </w:rPr>
        <w:t>kner</w:t>
      </w:r>
      <w:proofErr w:type="spellEnd"/>
      <w:r w:rsidR="00500B23">
        <w:rPr>
          <w:rFonts w:eastAsia="Times New Roman"/>
        </w:rPr>
        <w:t xml:space="preserve"> </w:t>
      </w:r>
      <w:r w:rsidR="00D076B3">
        <w:rPr>
          <w:rFonts w:eastAsia="Times New Roman"/>
        </w:rPr>
        <w:t>LJJs held that publication in contravention of a postpo</w:t>
      </w:r>
      <w:r w:rsidR="004A5CA0">
        <w:rPr>
          <w:rFonts w:eastAsia="Times New Roman"/>
        </w:rPr>
        <w:t>nement order made un</w:t>
      </w:r>
      <w:r w:rsidR="00967EE6">
        <w:rPr>
          <w:rFonts w:eastAsia="Times New Roman"/>
        </w:rPr>
        <w:t>der section </w:t>
      </w:r>
      <w:r w:rsidR="00D076B3">
        <w:rPr>
          <w:rFonts w:eastAsia="Times New Roman"/>
        </w:rPr>
        <w:t>4(2) of the Contempt of Court Act,</w:t>
      </w:r>
      <w:r w:rsidR="00D076B3" w:rsidRPr="00465F1F">
        <w:rPr>
          <w:rFonts w:eastAsia="Times New Roman"/>
        </w:rPr>
        <w:t xml:space="preserve"> </w:t>
      </w:r>
      <w:r w:rsidR="00D076B3">
        <w:rPr>
          <w:rFonts w:eastAsia="Times New Roman"/>
        </w:rPr>
        <w:t xml:space="preserve">of which the publisher was </w:t>
      </w:r>
      <w:r w:rsidR="004A5CA0">
        <w:rPr>
          <w:rFonts w:eastAsia="Times New Roman"/>
        </w:rPr>
        <w:t>aware</w:t>
      </w:r>
      <w:r w:rsidR="00D076B3">
        <w:rPr>
          <w:rFonts w:eastAsia="Times New Roman"/>
        </w:rPr>
        <w:t>,</w:t>
      </w:r>
      <w:r w:rsidR="004A5CA0">
        <w:rPr>
          <w:rFonts w:eastAsia="Times New Roman"/>
        </w:rPr>
        <w:t xml:space="preserve"> </w:t>
      </w:r>
      <w:r w:rsidR="00D076B3">
        <w:rPr>
          <w:rFonts w:eastAsia="Times New Roman"/>
        </w:rPr>
        <w:t>was a contempt of c</w:t>
      </w:r>
      <w:r w:rsidR="00967EE6">
        <w:rPr>
          <w:rFonts w:eastAsia="Times New Roman"/>
        </w:rPr>
        <w:t>ourt, notwithstanding section </w:t>
      </w:r>
      <w:r w:rsidR="004A5CA0">
        <w:rPr>
          <w:rFonts w:eastAsia="Times New Roman"/>
        </w:rPr>
        <w:t>6</w:t>
      </w:r>
      <w:r w:rsidR="00D076B3">
        <w:rPr>
          <w:rFonts w:eastAsia="Times New Roman"/>
        </w:rPr>
        <w:t>(b) which does not prevent such a publication from amounting to contempt where there is no such liability at common law.</w:t>
      </w:r>
      <w:r w:rsidR="004A5CA0">
        <w:rPr>
          <w:rFonts w:eastAsia="Times New Roman"/>
        </w:rPr>
        <w:t xml:space="preserve"> </w:t>
      </w:r>
      <w:r w:rsidR="00D076B3">
        <w:rPr>
          <w:rFonts w:eastAsia="Times New Roman"/>
        </w:rPr>
        <w:t xml:space="preserve"> However, Lord Denning had taken a different view.</w:t>
      </w:r>
      <w:r w:rsidR="004A5CA0">
        <w:rPr>
          <w:rFonts w:eastAsia="Times New Roman"/>
        </w:rPr>
        <w:t xml:space="preserve"> </w:t>
      </w:r>
      <w:r w:rsidR="00D076B3">
        <w:rPr>
          <w:rFonts w:eastAsia="Times New Roman"/>
        </w:rPr>
        <w:t xml:space="preserve"> In the course of his judgment he had made the statement, referred to ear</w:t>
      </w:r>
      <w:r w:rsidR="00967EE6">
        <w:rPr>
          <w:rFonts w:eastAsia="Times New Roman"/>
        </w:rPr>
        <w:t>lier in the judgment of Roberts </w:t>
      </w:r>
      <w:r w:rsidR="00D076B3">
        <w:rPr>
          <w:rFonts w:eastAsia="Times New Roman"/>
        </w:rPr>
        <w:t xml:space="preserve">CJ in </w:t>
      </w:r>
      <w:proofErr w:type="spellStart"/>
      <w:r w:rsidR="00D076B3" w:rsidRPr="00CD2892">
        <w:rPr>
          <w:rFonts w:eastAsia="Times New Roman"/>
          <w:i/>
        </w:rPr>
        <w:t>Shamsudin</w:t>
      </w:r>
      <w:proofErr w:type="spellEnd"/>
      <w:r w:rsidR="00D076B3" w:rsidRPr="004A5CA0">
        <w:rPr>
          <w:rFonts w:eastAsia="Times New Roman"/>
        </w:rPr>
        <w:t>,</w:t>
      </w:r>
      <w:r w:rsidR="00D076B3">
        <w:rPr>
          <w:rFonts w:eastAsia="Times New Roman"/>
        </w:rPr>
        <w:t xml:space="preserve"> that,</w:t>
      </w:r>
      <w:r w:rsidR="00500B23">
        <w:rPr>
          <w:rFonts w:eastAsia="Times New Roman"/>
        </w:rPr>
        <w:t xml:space="preserve"> “</w:t>
      </w:r>
      <w:r w:rsidR="00D076B3">
        <w:rPr>
          <w:rFonts w:eastAsia="Times New Roman"/>
        </w:rPr>
        <w:t>…it has long been settled that the courts have power to make an</w:t>
      </w:r>
      <w:r w:rsidR="004A5CA0">
        <w:rPr>
          <w:rFonts w:eastAsia="Times New Roman"/>
        </w:rPr>
        <w:t xml:space="preserve"> order postponing publication (</w:t>
      </w:r>
      <w:r w:rsidR="00D076B3">
        <w:rPr>
          <w:rFonts w:eastAsia="Times New Roman"/>
        </w:rPr>
        <w:t>but not prohibiting it) if the postponement is necessary for the furtherance of justice in proceedings which are pending or imminent.</w:t>
      </w:r>
      <w:r w:rsidR="004A5CA0">
        <w:rPr>
          <w:rFonts w:eastAsia="Times New Roman"/>
        </w:rPr>
        <w:t xml:space="preserve"> </w:t>
      </w:r>
      <w:r w:rsidR="00D076B3">
        <w:rPr>
          <w:rFonts w:eastAsia="Times New Roman"/>
        </w:rPr>
        <w:t xml:space="preserve"> It was so held in </w:t>
      </w:r>
      <w:r w:rsidR="004A5CA0">
        <w:rPr>
          <w:rFonts w:eastAsia="Times New Roman"/>
          <w:i/>
        </w:rPr>
        <w:t>R </w:t>
      </w:r>
      <w:r w:rsidR="00D076B3" w:rsidRPr="00CD2892">
        <w:rPr>
          <w:rFonts w:eastAsia="Times New Roman"/>
          <w:i/>
        </w:rPr>
        <w:t>v Clement</w:t>
      </w:r>
      <w:r w:rsidR="00500B23">
        <w:rPr>
          <w:rFonts w:eastAsia="Times New Roman"/>
        </w:rPr>
        <w:t>…”</w:t>
      </w:r>
    </w:p>
    <w:p w:rsidR="00D076B3" w:rsidRDefault="00EE098B" w:rsidP="00500B23">
      <w:pPr>
        <w:tabs>
          <w:tab w:val="clear" w:pos="4320"/>
          <w:tab w:val="clear" w:pos="9072"/>
        </w:tabs>
        <w:autoSpaceDE w:val="0"/>
        <w:autoSpaceDN w:val="0"/>
        <w:adjustRightInd w:val="0"/>
        <w:snapToGrid/>
        <w:spacing w:before="360" w:line="360" w:lineRule="auto"/>
        <w:ind w:right="29"/>
        <w:jc w:val="both"/>
        <w:rPr>
          <w:rFonts w:eastAsia="Times New Roman"/>
        </w:rPr>
      </w:pPr>
      <w:r>
        <w:rPr>
          <w:rFonts w:eastAsia="Times New Roman"/>
        </w:rPr>
        <w:fldChar w:fldCharType="begin"/>
      </w:r>
      <w:r w:rsidR="00500B23">
        <w:rPr>
          <w:rFonts w:eastAsia="Times New Roman"/>
        </w:rPr>
        <w:instrText xml:space="preserve"> AUTONUMOUT  </w:instrText>
      </w:r>
      <w:r>
        <w:rPr>
          <w:rFonts w:eastAsia="Times New Roman"/>
        </w:rPr>
        <w:fldChar w:fldCharType="end"/>
      </w:r>
      <w:r w:rsidR="00500B23">
        <w:rPr>
          <w:rFonts w:eastAsia="Times New Roman"/>
        </w:rPr>
        <w:tab/>
      </w:r>
      <w:r w:rsidR="00D076B3">
        <w:rPr>
          <w:rFonts w:eastAsia="Times New Roman"/>
        </w:rPr>
        <w:t>Lord Denning went on to say:</w:t>
      </w:r>
      <w:r w:rsidR="00500B23">
        <w:rPr>
          <w:rFonts w:eastAsia="Times New Roman"/>
        </w:rPr>
        <w:t> </w:t>
      </w:r>
      <w:r w:rsidR="00D076B3">
        <w:rPr>
          <w:rStyle w:val="FootnoteReference"/>
          <w:rFonts w:eastAsia="Times New Roman"/>
        </w:rPr>
        <w:footnoteReference w:id="31"/>
      </w:r>
    </w:p>
    <w:p w:rsidR="00500B23" w:rsidRDefault="00500B23" w:rsidP="00500B23">
      <w:pPr>
        <w:pStyle w:val="para"/>
        <w:numPr>
          <w:ilvl w:val="0"/>
          <w:numId w:val="0"/>
        </w:numPr>
        <w:tabs>
          <w:tab w:val="left" w:pos="567"/>
          <w:tab w:val="num" w:pos="709"/>
          <w:tab w:val="left" w:pos="851"/>
          <w:tab w:val="left" w:pos="1134"/>
          <w:tab w:val="left" w:pos="1267"/>
        </w:tabs>
        <w:spacing w:before="240" w:line="240" w:lineRule="auto"/>
        <w:ind w:left="1454" w:right="749" w:hanging="187"/>
        <w:rPr>
          <w:rStyle w:val="case0"/>
          <w:sz w:val="24"/>
          <w:szCs w:val="24"/>
        </w:rPr>
      </w:pPr>
      <w:r>
        <w:rPr>
          <w:rStyle w:val="case0"/>
          <w:sz w:val="24"/>
          <w:szCs w:val="24"/>
        </w:rPr>
        <w:t>“</w:t>
      </w:r>
      <w:r>
        <w:rPr>
          <w:rStyle w:val="case0"/>
          <w:sz w:val="24"/>
          <w:szCs w:val="24"/>
        </w:rPr>
        <w:tab/>
      </w:r>
      <w:r w:rsidR="00D076B3" w:rsidRPr="00500B23">
        <w:rPr>
          <w:rStyle w:val="case0"/>
          <w:sz w:val="24"/>
          <w:szCs w:val="24"/>
        </w:rPr>
        <w:t>Yet another instance at common law may arise when two men are jointly indicted but tried separately.  Then it may be necessary to make an order postponing publication, as in [</w:t>
      </w:r>
      <w:r w:rsidR="00D076B3" w:rsidRPr="00500B23">
        <w:rPr>
          <w:rStyle w:val="case"/>
          <w:sz w:val="24"/>
          <w:szCs w:val="24"/>
        </w:rPr>
        <w:t>Clement</w:t>
      </w:r>
      <w:r w:rsidR="00D076B3" w:rsidRPr="00500B23">
        <w:rPr>
          <w:rStyle w:val="case0"/>
          <w:sz w:val="24"/>
          <w:szCs w:val="24"/>
        </w:rPr>
        <w:t>].  Similarly, when there is another case going on at the same time, such as happened in 1974 in [</w:t>
      </w:r>
      <w:r w:rsidR="00D076B3" w:rsidRPr="004A5CA0">
        <w:rPr>
          <w:rStyle w:val="case"/>
          <w:iCs w:val="0"/>
          <w:sz w:val="24"/>
          <w:szCs w:val="24"/>
        </w:rPr>
        <w:t xml:space="preserve">R v </w:t>
      </w:r>
      <w:proofErr w:type="spellStart"/>
      <w:r w:rsidR="00D076B3" w:rsidRPr="004A5CA0">
        <w:rPr>
          <w:rStyle w:val="case"/>
          <w:iCs w:val="0"/>
          <w:sz w:val="24"/>
          <w:szCs w:val="24"/>
        </w:rPr>
        <w:t>Poulson</w:t>
      </w:r>
      <w:proofErr w:type="spellEnd"/>
      <w:r w:rsidR="00D076B3" w:rsidRPr="00500B23">
        <w:rPr>
          <w:rStyle w:val="case"/>
          <w:i w:val="0"/>
          <w:iCs w:val="0"/>
          <w:sz w:val="24"/>
          <w:szCs w:val="24"/>
        </w:rPr>
        <w:t xml:space="preserve"> 2 January 1974</w:t>
      </w:r>
      <w:r w:rsidR="004A5CA0">
        <w:rPr>
          <w:rStyle w:val="case0"/>
          <w:sz w:val="24"/>
          <w:szCs w:val="24"/>
        </w:rPr>
        <w:t>], Waller </w:t>
      </w:r>
      <w:r w:rsidR="00D076B3" w:rsidRPr="00500B23">
        <w:rPr>
          <w:rStyle w:val="case0"/>
          <w:sz w:val="24"/>
          <w:szCs w:val="24"/>
        </w:rPr>
        <w:t>J gave a warning in open court that certain items of evidence given at the trial should not be published because of the risk</w:t>
      </w:r>
      <w:r w:rsidR="00D076B3" w:rsidRPr="00CD2892">
        <w:rPr>
          <w:rStyle w:val="case0"/>
          <w:sz w:val="24"/>
          <w:szCs w:val="24"/>
        </w:rPr>
        <w:t xml:space="preserve"> of causing prejudice to other criminal proceedings which had already begun.”</w:t>
      </w:r>
    </w:p>
    <w:p w:rsidR="00500B23" w:rsidRDefault="00500B23" w:rsidP="00500B23">
      <w:pPr>
        <w:pStyle w:val="para"/>
        <w:numPr>
          <w:ilvl w:val="0"/>
          <w:numId w:val="0"/>
        </w:numPr>
        <w:tabs>
          <w:tab w:val="left" w:pos="567"/>
          <w:tab w:val="num" w:pos="709"/>
          <w:tab w:val="left" w:pos="851"/>
          <w:tab w:val="left" w:pos="1134"/>
          <w:tab w:val="left" w:pos="1267"/>
        </w:tabs>
        <w:adjustRightInd w:val="0"/>
        <w:spacing w:before="0" w:line="200" w:lineRule="exact"/>
        <w:ind w:left="1454" w:right="907" w:hanging="187"/>
        <w:rPr>
          <w:rStyle w:val="case0"/>
          <w:sz w:val="24"/>
          <w:szCs w:val="24"/>
        </w:rPr>
      </w:pPr>
    </w:p>
    <w:p w:rsidR="00D076B3" w:rsidRDefault="00EE098B" w:rsidP="00500B23">
      <w:pPr>
        <w:pStyle w:val="para"/>
        <w:numPr>
          <w:ilvl w:val="0"/>
          <w:numId w:val="0"/>
        </w:numPr>
        <w:tabs>
          <w:tab w:val="left" w:pos="1440"/>
        </w:tabs>
        <w:autoSpaceDE w:val="0"/>
        <w:autoSpaceDN w:val="0"/>
        <w:adjustRightInd w:val="0"/>
        <w:snapToGrid/>
        <w:spacing w:before="360"/>
        <w:ind w:right="29"/>
        <w:rPr>
          <w:rFonts w:eastAsia="Times New Roman"/>
        </w:rPr>
      </w:pPr>
      <w:r w:rsidRPr="00554B53">
        <w:rPr>
          <w:rStyle w:val="case0"/>
          <w:szCs w:val="28"/>
        </w:rPr>
        <w:fldChar w:fldCharType="begin"/>
      </w:r>
      <w:r w:rsidR="00500B23" w:rsidRPr="00554B53">
        <w:rPr>
          <w:rStyle w:val="case0"/>
          <w:szCs w:val="28"/>
        </w:rPr>
        <w:instrText xml:space="preserve"> AUTONUMOUT  </w:instrText>
      </w:r>
      <w:r w:rsidRPr="00554B53">
        <w:rPr>
          <w:rStyle w:val="case0"/>
          <w:szCs w:val="28"/>
        </w:rPr>
        <w:fldChar w:fldCharType="end"/>
      </w:r>
      <w:r w:rsidR="00500B23" w:rsidRPr="00554B53">
        <w:rPr>
          <w:rStyle w:val="case0"/>
          <w:szCs w:val="28"/>
        </w:rPr>
        <w:tab/>
      </w:r>
      <w:r w:rsidR="00D076B3">
        <w:rPr>
          <w:rFonts w:eastAsia="Times New Roman"/>
        </w:rPr>
        <w:t>Of the former statement of Lord Denning, Lord Brown said:</w:t>
      </w:r>
      <w:r w:rsidR="00D076B3">
        <w:rPr>
          <w:rStyle w:val="FootnoteReference"/>
          <w:rFonts w:eastAsia="Times New Roman"/>
        </w:rPr>
        <w:footnoteReference w:id="32"/>
      </w:r>
    </w:p>
    <w:p w:rsidR="00500B23" w:rsidRDefault="00500B23" w:rsidP="00500B23">
      <w:pPr>
        <w:pStyle w:val="para"/>
        <w:numPr>
          <w:ilvl w:val="0"/>
          <w:numId w:val="0"/>
        </w:numPr>
        <w:tabs>
          <w:tab w:val="left" w:pos="1260"/>
        </w:tabs>
        <w:spacing w:before="240" w:line="240" w:lineRule="auto"/>
        <w:ind w:left="1440" w:right="749" w:hanging="173"/>
        <w:rPr>
          <w:rStyle w:val="case0"/>
          <w:sz w:val="24"/>
          <w:szCs w:val="24"/>
        </w:rPr>
      </w:pPr>
      <w:r>
        <w:rPr>
          <w:rFonts w:eastAsia="Times New Roman"/>
          <w:sz w:val="24"/>
          <w:szCs w:val="24"/>
        </w:rPr>
        <w:lastRenderedPageBreak/>
        <w:t>“</w:t>
      </w:r>
      <w:r>
        <w:rPr>
          <w:rFonts w:eastAsia="Times New Roman"/>
          <w:sz w:val="24"/>
          <w:szCs w:val="24"/>
        </w:rPr>
        <w:tab/>
      </w:r>
      <w:r w:rsidR="00D076B3" w:rsidRPr="00500B23">
        <w:rPr>
          <w:rStyle w:val="case0"/>
          <w:sz w:val="24"/>
          <w:szCs w:val="24"/>
        </w:rPr>
        <w:t xml:space="preserve">There are, however, a number of difficulties in the argument.  In the first place Lord Denning MR’s statement is mere assertion.  Secondly, on any </w:t>
      </w:r>
      <w:r w:rsidR="004A5CA0">
        <w:rPr>
          <w:rStyle w:val="case0"/>
          <w:sz w:val="24"/>
          <w:szCs w:val="24"/>
        </w:rPr>
        <w:t>view, it goes too far.  As Lord </w:t>
      </w:r>
      <w:r w:rsidR="00D076B3" w:rsidRPr="00500B23">
        <w:rPr>
          <w:rStyle w:val="case0"/>
          <w:sz w:val="24"/>
          <w:szCs w:val="24"/>
        </w:rPr>
        <w:t xml:space="preserve">Atkinson pointed out in </w:t>
      </w:r>
      <w:r w:rsidR="00D076B3" w:rsidRPr="00500B23">
        <w:rPr>
          <w:rStyle w:val="case"/>
          <w:sz w:val="24"/>
          <w:szCs w:val="24"/>
        </w:rPr>
        <w:t>Scott v Scott,</w:t>
      </w:r>
      <w:r w:rsidR="00D076B3" w:rsidRPr="00500B23">
        <w:rPr>
          <w:rStyle w:val="case0"/>
          <w:sz w:val="24"/>
          <w:szCs w:val="24"/>
        </w:rPr>
        <w:t xml:space="preserve"> </w:t>
      </w:r>
      <w:r w:rsidR="00D076B3" w:rsidRPr="00500B23">
        <w:rPr>
          <w:rStyle w:val="case"/>
          <w:sz w:val="24"/>
          <w:szCs w:val="24"/>
        </w:rPr>
        <w:t>Clement</w:t>
      </w:r>
      <w:r w:rsidR="00D076B3" w:rsidRPr="00500B23">
        <w:rPr>
          <w:rStyle w:val="case0"/>
          <w:sz w:val="24"/>
          <w:szCs w:val="24"/>
        </w:rPr>
        <w:t xml:space="preserve"> is certainly no authority for an order postponing publication beyond the end of the actual proceedings before the Court (the several trials in </w:t>
      </w:r>
      <w:r w:rsidR="00D076B3" w:rsidRPr="00500B23">
        <w:rPr>
          <w:rStyle w:val="case"/>
          <w:sz w:val="24"/>
          <w:szCs w:val="24"/>
        </w:rPr>
        <w:t>Clement</w:t>
      </w:r>
      <w:r w:rsidR="00D076B3" w:rsidRPr="00500B23">
        <w:rPr>
          <w:rStyle w:val="case0"/>
          <w:sz w:val="24"/>
          <w:szCs w:val="24"/>
        </w:rPr>
        <w:t xml:space="preserve"> constituting a single proceeding).  There was never, therefore, power at common law to make an order enforcing the warning (if such it was) in </w:t>
      </w:r>
      <w:proofErr w:type="spellStart"/>
      <w:r w:rsidR="00D076B3" w:rsidRPr="00500B23">
        <w:rPr>
          <w:rStyle w:val="case"/>
          <w:sz w:val="24"/>
          <w:szCs w:val="24"/>
        </w:rPr>
        <w:t>Poulson</w:t>
      </w:r>
      <w:proofErr w:type="spellEnd"/>
      <w:r w:rsidR="00D076B3" w:rsidRPr="00500B23">
        <w:rPr>
          <w:rStyle w:val="case"/>
          <w:sz w:val="24"/>
          <w:szCs w:val="24"/>
        </w:rPr>
        <w:t xml:space="preserve"> </w:t>
      </w:r>
      <w:r w:rsidR="00D076B3" w:rsidRPr="00500B23">
        <w:rPr>
          <w:rStyle w:val="case"/>
          <w:i w:val="0"/>
          <w:iCs w:val="0"/>
          <w:sz w:val="24"/>
          <w:szCs w:val="24"/>
        </w:rPr>
        <w:t xml:space="preserve">- nor, indeed, power to have postponed the reporting of committal proceedings as in </w:t>
      </w:r>
      <w:r w:rsidR="00D076B3" w:rsidRPr="00500B23">
        <w:rPr>
          <w:rStyle w:val="case"/>
          <w:sz w:val="24"/>
          <w:szCs w:val="24"/>
        </w:rPr>
        <w:t>Horsham Justices</w:t>
      </w:r>
      <w:r w:rsidR="00D076B3" w:rsidRPr="00500B23">
        <w:rPr>
          <w:rStyle w:val="case0"/>
          <w:sz w:val="24"/>
          <w:szCs w:val="24"/>
        </w:rPr>
        <w:t xml:space="preserve"> itself.  Thirdly, it is wrong to regard cases involving a trial within a trial or witness identity order, as Lord Denning appeared to do, as instances of the court having a common law power actually to direct non-publication by the press - </w:t>
      </w:r>
      <w:r w:rsidR="00D076B3" w:rsidRPr="00500B23">
        <w:rPr>
          <w:rStyle w:val="case0"/>
          <w:i/>
          <w:iCs/>
          <w:sz w:val="24"/>
          <w:szCs w:val="24"/>
        </w:rPr>
        <w:t>the Socialist Worker</w:t>
      </w:r>
      <w:r w:rsidR="00D076B3" w:rsidRPr="00500B23">
        <w:rPr>
          <w:rStyle w:val="case0"/>
          <w:sz w:val="24"/>
          <w:szCs w:val="24"/>
        </w:rPr>
        <w:t xml:space="preserve"> and </w:t>
      </w:r>
      <w:r w:rsidR="00D076B3" w:rsidRPr="00500B23">
        <w:rPr>
          <w:rStyle w:val="case0"/>
          <w:i/>
          <w:iCs/>
          <w:sz w:val="24"/>
          <w:szCs w:val="24"/>
        </w:rPr>
        <w:t>the Leveller</w:t>
      </w:r>
      <w:r w:rsidR="00D076B3" w:rsidRPr="00500B23">
        <w:rPr>
          <w:rStyle w:val="case0"/>
          <w:sz w:val="24"/>
          <w:szCs w:val="24"/>
        </w:rPr>
        <w:t xml:space="preserve"> do not support such a view.</w:t>
      </w:r>
    </w:p>
    <w:p w:rsidR="00500B23" w:rsidRDefault="00D076B3" w:rsidP="00500B23">
      <w:pPr>
        <w:pStyle w:val="para"/>
        <w:numPr>
          <w:ilvl w:val="0"/>
          <w:numId w:val="0"/>
        </w:numPr>
        <w:spacing w:before="240" w:line="240" w:lineRule="auto"/>
        <w:ind w:left="1440" w:right="749"/>
        <w:rPr>
          <w:rStyle w:val="case0"/>
          <w:sz w:val="24"/>
          <w:szCs w:val="24"/>
        </w:rPr>
      </w:pPr>
      <w:r w:rsidRPr="00500B23">
        <w:rPr>
          <w:rStyle w:val="case0"/>
          <w:sz w:val="24"/>
          <w:szCs w:val="24"/>
        </w:rPr>
        <w:t>In short, section 4(2) must be regarded as having conferred on the court some power to make at least some postponement orders which it had no</w:t>
      </w:r>
      <w:r w:rsidR="00500B23">
        <w:rPr>
          <w:rStyle w:val="case0"/>
          <w:sz w:val="24"/>
          <w:szCs w:val="24"/>
        </w:rPr>
        <w:t>t previously been able to make.”</w:t>
      </w:r>
    </w:p>
    <w:p w:rsidR="004A5CA0" w:rsidRDefault="004A5CA0" w:rsidP="004A5CA0">
      <w:pPr>
        <w:pStyle w:val="para"/>
        <w:numPr>
          <w:ilvl w:val="0"/>
          <w:numId w:val="0"/>
        </w:numPr>
        <w:spacing w:before="0" w:line="200" w:lineRule="exact"/>
        <w:ind w:left="1440" w:right="748"/>
        <w:rPr>
          <w:rStyle w:val="case0"/>
          <w:sz w:val="24"/>
          <w:szCs w:val="24"/>
        </w:rPr>
      </w:pPr>
    </w:p>
    <w:p w:rsidR="00D076B3" w:rsidRDefault="00EE098B" w:rsidP="00500B23">
      <w:pPr>
        <w:pStyle w:val="para"/>
        <w:numPr>
          <w:ilvl w:val="0"/>
          <w:numId w:val="0"/>
        </w:numPr>
        <w:tabs>
          <w:tab w:val="left" w:pos="1440"/>
        </w:tabs>
        <w:autoSpaceDE w:val="0"/>
        <w:autoSpaceDN w:val="0"/>
        <w:adjustRightInd w:val="0"/>
        <w:snapToGrid/>
        <w:spacing w:before="360"/>
        <w:ind w:right="29"/>
        <w:rPr>
          <w:rFonts w:eastAsia="Times New Roman"/>
        </w:rPr>
      </w:pPr>
      <w:r w:rsidRPr="00500B23">
        <w:rPr>
          <w:rStyle w:val="case0"/>
          <w:szCs w:val="28"/>
        </w:rPr>
        <w:fldChar w:fldCharType="begin"/>
      </w:r>
      <w:r w:rsidR="00500B23" w:rsidRPr="00500B23">
        <w:rPr>
          <w:rStyle w:val="case0"/>
          <w:szCs w:val="28"/>
        </w:rPr>
        <w:instrText xml:space="preserve"> AUTONUMOUT  </w:instrText>
      </w:r>
      <w:r w:rsidRPr="00500B23">
        <w:rPr>
          <w:rStyle w:val="case0"/>
          <w:szCs w:val="28"/>
        </w:rPr>
        <w:fldChar w:fldCharType="end"/>
      </w:r>
      <w:r w:rsidR="00500B23" w:rsidRPr="00500B23">
        <w:rPr>
          <w:rStyle w:val="case0"/>
          <w:szCs w:val="28"/>
        </w:rPr>
        <w:tab/>
      </w:r>
      <w:r w:rsidR="00D076B3">
        <w:rPr>
          <w:rFonts w:eastAsia="Times New Roman"/>
        </w:rPr>
        <w:t>Then, Lord Brown determined:</w:t>
      </w:r>
      <w:r w:rsidR="00D076B3">
        <w:rPr>
          <w:rStyle w:val="FootnoteReference"/>
          <w:rFonts w:eastAsia="Times New Roman"/>
        </w:rPr>
        <w:footnoteReference w:id="33"/>
      </w:r>
    </w:p>
    <w:p w:rsidR="00967EE6" w:rsidRDefault="00F93AF9" w:rsidP="00151B98">
      <w:pPr>
        <w:pStyle w:val="para"/>
        <w:numPr>
          <w:ilvl w:val="0"/>
          <w:numId w:val="0"/>
        </w:numPr>
        <w:tabs>
          <w:tab w:val="left" w:pos="1267"/>
        </w:tabs>
        <w:spacing w:before="240" w:line="240" w:lineRule="auto"/>
        <w:ind w:left="1454" w:right="749" w:hanging="187"/>
        <w:rPr>
          <w:rStyle w:val="case0"/>
          <w:sz w:val="24"/>
          <w:szCs w:val="24"/>
        </w:rPr>
      </w:pPr>
      <w:r>
        <w:rPr>
          <w:rFonts w:eastAsia="Times New Roman"/>
          <w:sz w:val="24"/>
          <w:szCs w:val="24"/>
        </w:rPr>
        <w:t>“</w:t>
      </w:r>
      <w:r>
        <w:rPr>
          <w:rFonts w:eastAsia="Times New Roman"/>
          <w:sz w:val="24"/>
          <w:szCs w:val="24"/>
        </w:rPr>
        <w:tab/>
      </w:r>
      <w:r w:rsidR="00D076B3" w:rsidRPr="00F93AF9">
        <w:rPr>
          <w:rStyle w:val="case0"/>
          <w:sz w:val="24"/>
          <w:szCs w:val="24"/>
        </w:rPr>
        <w:t xml:space="preserve">…although Lord Denning MR’s endorsement of </w:t>
      </w:r>
      <w:r w:rsidR="00D076B3" w:rsidRPr="00F93AF9">
        <w:rPr>
          <w:rStyle w:val="case"/>
          <w:sz w:val="24"/>
          <w:szCs w:val="24"/>
        </w:rPr>
        <w:t>Clement</w:t>
      </w:r>
      <w:r w:rsidR="00D076B3" w:rsidRPr="00F93AF9">
        <w:rPr>
          <w:rStyle w:val="case0"/>
          <w:sz w:val="24"/>
          <w:szCs w:val="24"/>
        </w:rPr>
        <w:t xml:space="preserve"> in his minority judgment (see </w:t>
      </w:r>
      <w:proofErr w:type="spellStart"/>
      <w:r w:rsidR="00D076B3" w:rsidRPr="00F93AF9">
        <w:rPr>
          <w:rStyle w:val="case0"/>
          <w:sz w:val="24"/>
          <w:szCs w:val="24"/>
        </w:rPr>
        <w:t>para</w:t>
      </w:r>
      <w:proofErr w:type="spellEnd"/>
      <w:r w:rsidR="00D076B3" w:rsidRPr="00F93AF9">
        <w:rPr>
          <w:rStyle w:val="case0"/>
          <w:sz w:val="24"/>
          <w:szCs w:val="24"/>
        </w:rPr>
        <w:t xml:space="preserve"> 48 above) cannot be regarded as obiter having regard to his approach to sections 4(2) and 6(b) of the 1981 Act, it suffers from several weaknesses, as pointed out in </w:t>
      </w:r>
      <w:proofErr w:type="spellStart"/>
      <w:r w:rsidR="00D076B3" w:rsidRPr="00F93AF9">
        <w:rPr>
          <w:rStyle w:val="case0"/>
          <w:sz w:val="24"/>
          <w:szCs w:val="24"/>
        </w:rPr>
        <w:t>para</w:t>
      </w:r>
      <w:proofErr w:type="spellEnd"/>
      <w:r w:rsidR="00D076B3" w:rsidRPr="00F93AF9">
        <w:rPr>
          <w:rStyle w:val="case0"/>
          <w:sz w:val="24"/>
          <w:szCs w:val="24"/>
        </w:rPr>
        <w:t xml:space="preserve"> 50 above.  On the approach taken by the majority of the Court in that case, of course, it was not necessary to reach any view whether, before section 4(2) was enacted, there was power to make an order postponing publication (although, if there was, clearly it had not extended as far as the new statutory power).</w:t>
      </w:r>
      <w:r w:rsidR="00967EE6">
        <w:rPr>
          <w:rStyle w:val="case0"/>
          <w:sz w:val="24"/>
          <w:szCs w:val="24"/>
        </w:rPr>
        <w:t>”</w:t>
      </w:r>
    </w:p>
    <w:p w:rsidR="00151B98" w:rsidRDefault="00151B98" w:rsidP="00967EE6">
      <w:pPr>
        <w:pStyle w:val="para"/>
        <w:numPr>
          <w:ilvl w:val="0"/>
          <w:numId w:val="0"/>
        </w:numPr>
        <w:tabs>
          <w:tab w:val="left" w:pos="1267"/>
        </w:tabs>
        <w:adjustRightInd w:val="0"/>
        <w:spacing w:before="0" w:line="200" w:lineRule="exact"/>
        <w:ind w:left="1454" w:right="907" w:hanging="187"/>
        <w:rPr>
          <w:rStyle w:val="case0"/>
          <w:sz w:val="24"/>
          <w:szCs w:val="24"/>
        </w:rPr>
      </w:pPr>
    </w:p>
    <w:p w:rsidR="00151B98" w:rsidRDefault="00EE098B" w:rsidP="00151B98">
      <w:pPr>
        <w:pStyle w:val="para"/>
        <w:numPr>
          <w:ilvl w:val="0"/>
          <w:numId w:val="0"/>
        </w:numPr>
        <w:tabs>
          <w:tab w:val="left" w:pos="1440"/>
        </w:tabs>
        <w:autoSpaceDE w:val="0"/>
        <w:autoSpaceDN w:val="0"/>
        <w:adjustRightInd w:val="0"/>
        <w:snapToGrid/>
        <w:spacing w:before="360"/>
        <w:ind w:right="29"/>
        <w:rPr>
          <w:rStyle w:val="case0"/>
          <w:szCs w:val="28"/>
        </w:rPr>
      </w:pPr>
      <w:r w:rsidRPr="00E4041C">
        <w:rPr>
          <w:rStyle w:val="case0"/>
          <w:szCs w:val="28"/>
        </w:rPr>
        <w:fldChar w:fldCharType="begin"/>
      </w:r>
      <w:r w:rsidR="00151B98" w:rsidRPr="00E4041C">
        <w:rPr>
          <w:rStyle w:val="case0"/>
          <w:szCs w:val="28"/>
        </w:rPr>
        <w:instrText xml:space="preserve"> AUTONUMOUT  </w:instrText>
      </w:r>
      <w:r w:rsidRPr="00E4041C">
        <w:rPr>
          <w:rStyle w:val="case0"/>
          <w:szCs w:val="28"/>
        </w:rPr>
        <w:fldChar w:fldCharType="end"/>
      </w:r>
      <w:r w:rsidR="00151B98">
        <w:rPr>
          <w:rStyle w:val="case0"/>
          <w:sz w:val="24"/>
          <w:szCs w:val="24"/>
        </w:rPr>
        <w:tab/>
      </w:r>
      <w:r w:rsidR="00D076B3">
        <w:rPr>
          <w:rStyle w:val="case0"/>
          <w:szCs w:val="28"/>
        </w:rPr>
        <w:t xml:space="preserve">Having noted that his judgment in </w:t>
      </w:r>
      <w:r w:rsidR="004A5CA0">
        <w:rPr>
          <w:rStyle w:val="case0"/>
          <w:i/>
          <w:szCs w:val="28"/>
        </w:rPr>
        <w:t>John Fairfax &amp; Sons Ltd </w:t>
      </w:r>
      <w:r w:rsidR="00D076B3" w:rsidRPr="00755F49">
        <w:rPr>
          <w:rStyle w:val="case0"/>
          <w:i/>
          <w:szCs w:val="28"/>
        </w:rPr>
        <w:t>v Police Tribunal of New South Wales</w:t>
      </w:r>
      <w:r w:rsidR="004A5CA0">
        <w:rPr>
          <w:rStyle w:val="case0"/>
          <w:szCs w:val="28"/>
        </w:rPr>
        <w:t>, McHugh JA, had said, “</w:t>
      </w:r>
      <w:r w:rsidR="00D076B3">
        <w:rPr>
          <w:rStyle w:val="case0"/>
          <w:szCs w:val="28"/>
        </w:rPr>
        <w:t xml:space="preserve">I do not think that </w:t>
      </w:r>
      <w:r w:rsidR="00D076B3" w:rsidRPr="00755F49">
        <w:rPr>
          <w:rStyle w:val="case0"/>
          <w:i/>
          <w:szCs w:val="28"/>
        </w:rPr>
        <w:t>R v Clement</w:t>
      </w:r>
      <w:r w:rsidR="00D076B3">
        <w:rPr>
          <w:rStyle w:val="case0"/>
          <w:szCs w:val="28"/>
        </w:rPr>
        <w:t xml:space="preserve"> can be regarded as an authority for holding that an order made to preserve the purity of the administration of justice </w:t>
      </w:r>
      <w:r w:rsidR="00D076B3">
        <w:rPr>
          <w:rStyle w:val="case0"/>
          <w:szCs w:val="28"/>
        </w:rPr>
        <w:lastRenderedPageBreak/>
        <w:t xml:space="preserve">is </w:t>
      </w:r>
      <w:r w:rsidR="00D076B3" w:rsidRPr="00E06DDC">
        <w:rPr>
          <w:rStyle w:val="case0"/>
          <w:i/>
          <w:szCs w:val="28"/>
        </w:rPr>
        <w:t>ipso jure</w:t>
      </w:r>
      <w:r w:rsidR="00D076B3">
        <w:rPr>
          <w:rStyle w:val="case0"/>
          <w:szCs w:val="28"/>
        </w:rPr>
        <w:t xml:space="preserve"> binding on members </w:t>
      </w:r>
      <w:r w:rsidR="00D076B3" w:rsidRPr="00E06DDC">
        <w:rPr>
          <w:rStyle w:val="case0"/>
          <w:szCs w:val="28"/>
        </w:rPr>
        <w:t>of the</w:t>
      </w:r>
      <w:r w:rsidR="004A5CA0">
        <w:rPr>
          <w:rStyle w:val="case0"/>
          <w:szCs w:val="28"/>
        </w:rPr>
        <w:t xml:space="preserve"> public</w:t>
      </w:r>
      <w:proofErr w:type="gramStart"/>
      <w:r w:rsidR="004A5CA0">
        <w:rPr>
          <w:rStyle w:val="case0"/>
          <w:szCs w:val="28"/>
        </w:rPr>
        <w:t>” </w:t>
      </w:r>
      <w:proofErr w:type="gramEnd"/>
      <w:r w:rsidR="00D076B3">
        <w:rPr>
          <w:rStyle w:val="FootnoteReference"/>
          <w:szCs w:val="28"/>
        </w:rPr>
        <w:footnoteReference w:id="34"/>
      </w:r>
      <w:r w:rsidR="00D076B3">
        <w:rPr>
          <w:rStyle w:val="case0"/>
          <w:szCs w:val="28"/>
        </w:rPr>
        <w:t>, Lord Brown concluded that Clement:</w:t>
      </w:r>
      <w:r w:rsidR="00D076B3">
        <w:rPr>
          <w:rStyle w:val="FootnoteReference"/>
          <w:szCs w:val="28"/>
        </w:rPr>
        <w:footnoteReference w:id="35"/>
      </w:r>
    </w:p>
    <w:p w:rsidR="00967EE6" w:rsidRDefault="00151B98" w:rsidP="00151B98">
      <w:pPr>
        <w:pStyle w:val="para"/>
        <w:numPr>
          <w:ilvl w:val="0"/>
          <w:numId w:val="0"/>
        </w:numPr>
        <w:tabs>
          <w:tab w:val="left" w:pos="1267"/>
          <w:tab w:val="left" w:pos="1440"/>
        </w:tabs>
        <w:spacing w:before="240" w:line="240" w:lineRule="auto"/>
        <w:ind w:left="1454" w:right="749" w:hanging="187"/>
        <w:rPr>
          <w:rStyle w:val="case0"/>
          <w:sz w:val="24"/>
          <w:szCs w:val="24"/>
        </w:rPr>
      </w:pPr>
      <w:r>
        <w:rPr>
          <w:rStyle w:val="case0"/>
          <w:sz w:val="24"/>
          <w:szCs w:val="24"/>
        </w:rPr>
        <w:t>“</w:t>
      </w:r>
      <w:r>
        <w:rPr>
          <w:rStyle w:val="case0"/>
          <w:sz w:val="24"/>
          <w:szCs w:val="24"/>
        </w:rPr>
        <w:tab/>
      </w:r>
      <w:r w:rsidR="00D076B3" w:rsidRPr="00E06DDC">
        <w:rPr>
          <w:rStyle w:val="case0"/>
          <w:sz w:val="24"/>
          <w:szCs w:val="24"/>
        </w:rPr>
        <w:t>…provides to</w:t>
      </w:r>
      <w:r w:rsidR="00D076B3">
        <w:rPr>
          <w:rStyle w:val="case0"/>
          <w:sz w:val="24"/>
          <w:szCs w:val="24"/>
        </w:rPr>
        <w:t>o</w:t>
      </w:r>
      <w:r w:rsidR="00D076B3" w:rsidRPr="00E06DDC">
        <w:rPr>
          <w:rStyle w:val="case0"/>
          <w:sz w:val="24"/>
          <w:szCs w:val="24"/>
        </w:rPr>
        <w:t xml:space="preserve"> insecure a foundation on which to rest the existence of such an inherent power in the court today. </w:t>
      </w:r>
      <w:r w:rsidR="004A5CA0">
        <w:rPr>
          <w:rStyle w:val="case0"/>
          <w:sz w:val="24"/>
          <w:szCs w:val="24"/>
        </w:rPr>
        <w:t xml:space="preserve"> </w:t>
      </w:r>
      <w:r w:rsidR="00D076B3" w:rsidRPr="00E06DDC">
        <w:rPr>
          <w:rStyle w:val="case0"/>
          <w:sz w:val="24"/>
          <w:szCs w:val="24"/>
        </w:rPr>
        <w:t xml:space="preserve">The case had been heard at a fever-pitch. </w:t>
      </w:r>
      <w:r w:rsidR="004A5CA0">
        <w:rPr>
          <w:rStyle w:val="case0"/>
          <w:sz w:val="24"/>
          <w:szCs w:val="24"/>
        </w:rPr>
        <w:t xml:space="preserve"> </w:t>
      </w:r>
      <w:r w:rsidR="00D076B3" w:rsidRPr="00E06DDC">
        <w:rPr>
          <w:rStyle w:val="case0"/>
          <w:sz w:val="24"/>
          <w:szCs w:val="24"/>
        </w:rPr>
        <w:t xml:space="preserve">And, of course, in those days the rights of the press and of free expression counted for </w:t>
      </w:r>
      <w:r>
        <w:rPr>
          <w:rStyle w:val="case0"/>
          <w:sz w:val="24"/>
          <w:szCs w:val="24"/>
        </w:rPr>
        <w:t>rather less than they do today.”</w:t>
      </w:r>
    </w:p>
    <w:p w:rsidR="00151B98" w:rsidRDefault="00151B98" w:rsidP="00967EE6">
      <w:pPr>
        <w:pStyle w:val="para"/>
        <w:numPr>
          <w:ilvl w:val="0"/>
          <w:numId w:val="0"/>
        </w:numPr>
        <w:tabs>
          <w:tab w:val="left" w:pos="1267"/>
          <w:tab w:val="left" w:pos="1440"/>
        </w:tabs>
        <w:adjustRightInd w:val="0"/>
        <w:spacing w:before="0" w:line="200" w:lineRule="exact"/>
        <w:ind w:left="1454" w:right="907" w:hanging="187"/>
        <w:rPr>
          <w:rStyle w:val="case0"/>
          <w:sz w:val="24"/>
          <w:szCs w:val="24"/>
        </w:rPr>
      </w:pPr>
    </w:p>
    <w:p w:rsidR="00151B98" w:rsidRDefault="00EE098B" w:rsidP="004A5CA0">
      <w:pPr>
        <w:pStyle w:val="para"/>
        <w:numPr>
          <w:ilvl w:val="0"/>
          <w:numId w:val="0"/>
        </w:numPr>
        <w:tabs>
          <w:tab w:val="left" w:pos="1440"/>
        </w:tabs>
        <w:autoSpaceDE w:val="0"/>
        <w:autoSpaceDN w:val="0"/>
        <w:adjustRightInd w:val="0"/>
        <w:snapToGrid/>
        <w:spacing w:before="360"/>
        <w:ind w:right="29"/>
        <w:rPr>
          <w:rStyle w:val="case0"/>
          <w:szCs w:val="28"/>
        </w:rPr>
      </w:pPr>
      <w:r w:rsidRPr="00151B98">
        <w:rPr>
          <w:rStyle w:val="case0"/>
          <w:szCs w:val="28"/>
        </w:rPr>
        <w:fldChar w:fldCharType="begin"/>
      </w:r>
      <w:r w:rsidR="00151B98" w:rsidRPr="00151B98">
        <w:rPr>
          <w:rStyle w:val="case0"/>
          <w:szCs w:val="28"/>
        </w:rPr>
        <w:instrText xml:space="preserve"> AUTONUMOUT  </w:instrText>
      </w:r>
      <w:r w:rsidRPr="00151B98">
        <w:rPr>
          <w:rStyle w:val="case0"/>
          <w:szCs w:val="28"/>
        </w:rPr>
        <w:fldChar w:fldCharType="end"/>
      </w:r>
      <w:r w:rsidR="00151B98" w:rsidRPr="00151B98">
        <w:rPr>
          <w:rStyle w:val="case0"/>
          <w:szCs w:val="28"/>
        </w:rPr>
        <w:tab/>
      </w:r>
      <w:r w:rsidR="00D076B3">
        <w:rPr>
          <w:rStyle w:val="case0"/>
          <w:szCs w:val="28"/>
        </w:rPr>
        <w:t xml:space="preserve">In </w:t>
      </w:r>
      <w:r w:rsidR="00D076B3" w:rsidRPr="00EF4533">
        <w:rPr>
          <w:rStyle w:val="case0"/>
          <w:szCs w:val="28"/>
        </w:rPr>
        <w:t>the</w:t>
      </w:r>
      <w:r w:rsidR="00D076B3">
        <w:rPr>
          <w:rStyle w:val="case0"/>
          <w:szCs w:val="28"/>
        </w:rPr>
        <w:t xml:space="preserve"> result, Lord Brown said:</w:t>
      </w:r>
      <w:r w:rsidR="00D076B3">
        <w:rPr>
          <w:rStyle w:val="FootnoteReference"/>
          <w:szCs w:val="28"/>
        </w:rPr>
        <w:footnoteReference w:id="36"/>
      </w:r>
    </w:p>
    <w:p w:rsidR="00967EE6" w:rsidRDefault="00151B98" w:rsidP="00151B98">
      <w:pPr>
        <w:pStyle w:val="para"/>
        <w:numPr>
          <w:ilvl w:val="0"/>
          <w:numId w:val="0"/>
        </w:numPr>
        <w:tabs>
          <w:tab w:val="left" w:pos="1267"/>
          <w:tab w:val="left" w:pos="1440"/>
        </w:tabs>
        <w:spacing w:before="240" w:line="240" w:lineRule="auto"/>
        <w:ind w:left="1454" w:right="749" w:hanging="187"/>
        <w:rPr>
          <w:rStyle w:val="case0"/>
          <w:sz w:val="24"/>
          <w:szCs w:val="24"/>
        </w:rPr>
      </w:pPr>
      <w:r>
        <w:rPr>
          <w:rStyle w:val="case0"/>
          <w:sz w:val="24"/>
          <w:szCs w:val="24"/>
        </w:rPr>
        <w:t>“</w:t>
      </w:r>
      <w:r>
        <w:rPr>
          <w:rStyle w:val="case0"/>
          <w:sz w:val="24"/>
          <w:szCs w:val="24"/>
        </w:rPr>
        <w:tab/>
      </w:r>
      <w:r w:rsidR="00D076B3" w:rsidRPr="00E06DDC">
        <w:rPr>
          <w:rStyle w:val="case0"/>
          <w:sz w:val="24"/>
          <w:szCs w:val="24"/>
        </w:rPr>
        <w:t>Their Lordships likewise conclude that if the court is to have the power to make orders against</w:t>
      </w:r>
      <w:r w:rsidR="00D076B3">
        <w:rPr>
          <w:rStyle w:val="case0"/>
          <w:sz w:val="24"/>
          <w:szCs w:val="24"/>
        </w:rPr>
        <w:t xml:space="preserve"> the</w:t>
      </w:r>
      <w:r w:rsidR="00D076B3" w:rsidRPr="00E06DDC">
        <w:rPr>
          <w:rStyle w:val="case0"/>
          <w:sz w:val="24"/>
          <w:szCs w:val="24"/>
        </w:rPr>
        <w:t xml:space="preserve"> pu</w:t>
      </w:r>
      <w:r w:rsidR="00D076B3">
        <w:rPr>
          <w:rStyle w:val="case0"/>
          <w:sz w:val="24"/>
          <w:szCs w:val="24"/>
        </w:rPr>
        <w:t>blic at large it must be conferr</w:t>
      </w:r>
      <w:r w:rsidR="00D076B3" w:rsidRPr="00E06DDC">
        <w:rPr>
          <w:rStyle w:val="case0"/>
          <w:sz w:val="24"/>
          <w:szCs w:val="24"/>
        </w:rPr>
        <w:t>ed by legislation; it cannot be fou</w:t>
      </w:r>
      <w:r>
        <w:rPr>
          <w:rStyle w:val="case0"/>
          <w:sz w:val="24"/>
          <w:szCs w:val="24"/>
        </w:rPr>
        <w:t>nd in the common law.</w:t>
      </w:r>
      <w:r w:rsidR="004A5CA0">
        <w:rPr>
          <w:rStyle w:val="case0"/>
          <w:sz w:val="24"/>
          <w:szCs w:val="24"/>
        </w:rPr>
        <w:t>”</w:t>
      </w:r>
    </w:p>
    <w:p w:rsidR="00151B98" w:rsidRDefault="00151B98" w:rsidP="00967EE6">
      <w:pPr>
        <w:pStyle w:val="para"/>
        <w:numPr>
          <w:ilvl w:val="0"/>
          <w:numId w:val="0"/>
        </w:numPr>
        <w:tabs>
          <w:tab w:val="left" w:pos="1267"/>
          <w:tab w:val="left" w:pos="1440"/>
        </w:tabs>
        <w:adjustRightInd w:val="0"/>
        <w:spacing w:before="0" w:line="200" w:lineRule="exact"/>
        <w:ind w:left="1454" w:right="907" w:hanging="187"/>
        <w:rPr>
          <w:rStyle w:val="case0"/>
          <w:sz w:val="24"/>
          <w:szCs w:val="24"/>
        </w:rPr>
      </w:pPr>
    </w:p>
    <w:p w:rsidR="00151B98" w:rsidRDefault="00EE098B" w:rsidP="00151B98">
      <w:pPr>
        <w:pStyle w:val="para"/>
        <w:numPr>
          <w:ilvl w:val="0"/>
          <w:numId w:val="0"/>
        </w:numPr>
        <w:tabs>
          <w:tab w:val="left" w:pos="1440"/>
        </w:tabs>
        <w:autoSpaceDE w:val="0"/>
        <w:autoSpaceDN w:val="0"/>
        <w:adjustRightInd w:val="0"/>
        <w:snapToGrid/>
        <w:spacing w:before="360"/>
        <w:ind w:right="29"/>
        <w:rPr>
          <w:rFonts w:ascii="Times-Roman" w:hAnsi="Times-Roman" w:cs="Times-Roman"/>
        </w:rPr>
      </w:pPr>
      <w:r w:rsidRPr="00B00AA8">
        <w:rPr>
          <w:rStyle w:val="case0"/>
          <w:szCs w:val="28"/>
        </w:rPr>
        <w:fldChar w:fldCharType="begin"/>
      </w:r>
      <w:r w:rsidR="00151B98" w:rsidRPr="00B00AA8">
        <w:rPr>
          <w:rStyle w:val="case0"/>
          <w:szCs w:val="28"/>
        </w:rPr>
        <w:instrText xml:space="preserve"> AUTONUMOUT  </w:instrText>
      </w:r>
      <w:r w:rsidRPr="00B00AA8">
        <w:rPr>
          <w:rStyle w:val="case0"/>
          <w:szCs w:val="28"/>
        </w:rPr>
        <w:fldChar w:fldCharType="end"/>
      </w:r>
      <w:r w:rsidR="00151B98" w:rsidRPr="00B00AA8">
        <w:rPr>
          <w:rStyle w:val="case0"/>
          <w:szCs w:val="28"/>
        </w:rPr>
        <w:tab/>
      </w:r>
      <w:r w:rsidR="00D076B3" w:rsidRPr="00151B98">
        <w:rPr>
          <w:rFonts w:eastAsia="Times New Roman"/>
        </w:rPr>
        <w:t>In reaching that determination, no specific consideration was given by Lord Brown of whether or not a power in the court to make the orders was to be found in the duty of the court to protect the constitutional rights of defendants in a criminal trial,</w:t>
      </w:r>
      <w:r w:rsidR="004A5CA0">
        <w:rPr>
          <w:rFonts w:eastAsia="Times New Roman"/>
        </w:rPr>
        <w:t xml:space="preserve"> although he did advert to the “</w:t>
      </w:r>
      <w:r w:rsidR="00D076B3" w:rsidRPr="00151B98">
        <w:rPr>
          <w:rFonts w:eastAsia="Times New Roman"/>
        </w:rPr>
        <w:t>fundamental human rights and freedoms</w:t>
      </w:r>
      <w:r w:rsidR="004A5CA0">
        <w:rPr>
          <w:rFonts w:eastAsia="Times New Roman"/>
        </w:rPr>
        <w:t>” provided by section</w:t>
      </w:r>
      <w:r w:rsidR="004A5CA0" w:rsidRPr="00967EE6">
        <w:rPr>
          <w:snapToGrid w:val="0"/>
          <w:spacing w:val="20"/>
          <w:w w:val="200"/>
          <w:sz w:val="24"/>
        </w:rPr>
        <w:t> </w:t>
      </w:r>
      <w:r w:rsidR="00D076B3" w:rsidRPr="00151B98">
        <w:rPr>
          <w:rFonts w:eastAsia="Times New Roman"/>
        </w:rPr>
        <w:t xml:space="preserve">4 </w:t>
      </w:r>
      <w:r w:rsidR="00B00AA8">
        <w:rPr>
          <w:rFonts w:eastAsia="Times New Roman"/>
        </w:rPr>
        <w:t xml:space="preserve">of </w:t>
      </w:r>
      <w:r w:rsidR="00D076B3" w:rsidRPr="00151B98">
        <w:rPr>
          <w:rFonts w:eastAsia="Times New Roman"/>
        </w:rPr>
        <w:t>the Constitution of Trinidad and Tobago</w:t>
      </w:r>
      <w:r w:rsidR="004A5CA0">
        <w:rPr>
          <w:rFonts w:eastAsia="Times New Roman"/>
        </w:rPr>
        <w:t>, in particular the freedom of “</w:t>
      </w:r>
      <w:r w:rsidR="00D076B3" w:rsidRPr="00151B98">
        <w:rPr>
          <w:rFonts w:eastAsia="Times New Roman"/>
        </w:rPr>
        <w:t>thought and expression</w:t>
      </w:r>
      <w:r w:rsidR="004A5CA0">
        <w:rPr>
          <w:rFonts w:eastAsia="Times New Roman"/>
        </w:rPr>
        <w:t>” and “</w:t>
      </w:r>
      <w:r w:rsidR="00D076B3" w:rsidRPr="00151B98">
        <w:rPr>
          <w:rFonts w:eastAsia="Times New Roman"/>
        </w:rPr>
        <w:t>of the press</w:t>
      </w:r>
      <w:r w:rsidR="004A5CA0">
        <w:rPr>
          <w:rFonts w:eastAsia="Times New Roman"/>
        </w:rPr>
        <w:t xml:space="preserve">”. </w:t>
      </w:r>
      <w:r w:rsidR="00D076B3" w:rsidRPr="00151B98">
        <w:rPr>
          <w:rFonts w:eastAsia="Times New Roman"/>
        </w:rPr>
        <w:t xml:space="preserve"> The same section provides rights.</w:t>
      </w:r>
      <w:r w:rsidR="00D076B3">
        <w:rPr>
          <w:rStyle w:val="FootnoteReference"/>
          <w:rFonts w:eastAsia="Times New Roman"/>
        </w:rPr>
        <w:footnoteReference w:id="37"/>
      </w:r>
      <w:r w:rsidR="00D076B3" w:rsidRPr="00151B98">
        <w:rPr>
          <w:rFonts w:ascii="Times-Bold" w:hAnsi="Times-Bold" w:cs="Times-Bold"/>
          <w:b/>
          <w:bCs/>
          <w:szCs w:val="24"/>
        </w:rPr>
        <w:t xml:space="preserve"> </w:t>
      </w:r>
      <w:r w:rsidR="004A5CA0">
        <w:rPr>
          <w:rFonts w:ascii="Times-Bold" w:hAnsi="Times-Bold" w:cs="Times-Bold"/>
          <w:b/>
          <w:bCs/>
          <w:szCs w:val="24"/>
        </w:rPr>
        <w:t xml:space="preserve"> </w:t>
      </w:r>
      <w:r w:rsidR="004A5CA0">
        <w:rPr>
          <w:rFonts w:ascii="Times-Bold" w:hAnsi="Times-Bold" w:cs="Times-Bold"/>
          <w:bCs/>
        </w:rPr>
        <w:t>Section 5</w:t>
      </w:r>
      <w:r w:rsidR="00D076B3" w:rsidRPr="00151B98">
        <w:rPr>
          <w:rFonts w:ascii="Times-Bold" w:hAnsi="Times-Bold" w:cs="Times-Bold"/>
          <w:bCs/>
        </w:rPr>
        <w:t>(1)</w:t>
      </w:r>
      <w:r w:rsidR="00D076B3" w:rsidRPr="00151B98">
        <w:rPr>
          <w:rFonts w:ascii="Times-Roman" w:hAnsi="Times-Roman" w:cs="Times-Roman"/>
        </w:rPr>
        <w:t xml:space="preserve"> provides that, except as otherwise expressly provided, no law may abrogate, abridge or infringe those rights and freedoms.</w:t>
      </w:r>
      <w:r w:rsidR="004A5CA0">
        <w:rPr>
          <w:rFonts w:ascii="Times-Roman" w:hAnsi="Times-Roman" w:cs="Times-Roman"/>
        </w:rPr>
        <w:t xml:space="preserve">  </w:t>
      </w:r>
      <w:r w:rsidR="004A5CA0">
        <w:rPr>
          <w:rFonts w:ascii="Times-Roman" w:hAnsi="Times-Roman" w:cs="Times-Roman"/>
        </w:rPr>
        <w:lastRenderedPageBreak/>
        <w:t>Section</w:t>
      </w:r>
      <w:r w:rsidR="004A5CA0" w:rsidRPr="00967EE6">
        <w:rPr>
          <w:snapToGrid w:val="0"/>
          <w:spacing w:val="20"/>
          <w:w w:val="200"/>
          <w:sz w:val="24"/>
        </w:rPr>
        <w:t> </w:t>
      </w:r>
      <w:r w:rsidR="004A5CA0">
        <w:rPr>
          <w:rFonts w:ascii="Times-Roman" w:hAnsi="Times-Roman" w:cs="Times-Roman"/>
        </w:rPr>
        <w:t>5</w:t>
      </w:r>
      <w:r w:rsidR="00D076B3" w:rsidRPr="00151B98">
        <w:rPr>
          <w:rFonts w:ascii="Times-Roman" w:hAnsi="Times-Roman" w:cs="Times-Roman"/>
        </w:rPr>
        <w:t>(2) provides, inter-alia, that Parliament may not deprive a person of specified rights.</w:t>
      </w:r>
      <w:r w:rsidR="00D076B3">
        <w:rPr>
          <w:rStyle w:val="FootnoteReference"/>
          <w:rFonts w:ascii="Times-Roman" w:hAnsi="Times-Roman" w:cs="Times-Roman"/>
        </w:rPr>
        <w:footnoteReference w:id="38"/>
      </w:r>
    </w:p>
    <w:p w:rsidR="00151B98" w:rsidRDefault="00EE098B" w:rsidP="00151B98">
      <w:pPr>
        <w:pStyle w:val="para"/>
        <w:numPr>
          <w:ilvl w:val="0"/>
          <w:numId w:val="0"/>
        </w:numPr>
        <w:tabs>
          <w:tab w:val="left" w:pos="1440"/>
        </w:tabs>
        <w:autoSpaceDE w:val="0"/>
        <w:autoSpaceDN w:val="0"/>
        <w:adjustRightInd w:val="0"/>
        <w:snapToGrid/>
        <w:spacing w:before="360"/>
        <w:ind w:right="29"/>
        <w:rPr>
          <w:rFonts w:eastAsia="Times New Roman"/>
        </w:rPr>
      </w:pPr>
      <w:r>
        <w:rPr>
          <w:rFonts w:ascii="Times-Roman" w:hAnsi="Times-Roman" w:cs="Times-Roman"/>
        </w:rPr>
        <w:fldChar w:fldCharType="begin"/>
      </w:r>
      <w:r w:rsidR="00151B98">
        <w:rPr>
          <w:rFonts w:ascii="Times-Roman" w:hAnsi="Times-Roman" w:cs="Times-Roman"/>
        </w:rPr>
        <w:instrText xml:space="preserve"> AUTONUMOUT  </w:instrText>
      </w:r>
      <w:r>
        <w:rPr>
          <w:rFonts w:ascii="Times-Roman" w:hAnsi="Times-Roman" w:cs="Times-Roman"/>
        </w:rPr>
        <w:fldChar w:fldCharType="end"/>
      </w:r>
      <w:r w:rsidR="00151B98">
        <w:rPr>
          <w:rFonts w:ascii="Times-Roman" w:hAnsi="Times-Roman" w:cs="Times-Roman"/>
        </w:rPr>
        <w:tab/>
      </w:r>
      <w:r w:rsidR="00D076B3">
        <w:rPr>
          <w:rFonts w:eastAsia="Times New Roman"/>
        </w:rPr>
        <w:t>In determining that the publication of the material would in any event have been a contempt of court,</w:t>
      </w:r>
      <w:r w:rsidR="00967EE6">
        <w:rPr>
          <w:rFonts w:eastAsia="Times New Roman"/>
        </w:rPr>
        <w:t xml:space="preserve"> his Lordship noted that the 10 </w:t>
      </w:r>
      <w:r w:rsidR="00D076B3">
        <w:rPr>
          <w:rFonts w:eastAsia="Times New Roman"/>
        </w:rPr>
        <w:t xml:space="preserve">June 1996 order had </w:t>
      </w:r>
      <w:r w:rsidR="004A5CA0">
        <w:rPr>
          <w:rFonts w:eastAsia="Times New Roman"/>
        </w:rPr>
        <w:t>been sought by defence counsel “</w:t>
      </w:r>
      <w:r w:rsidR="00D076B3">
        <w:rPr>
          <w:rFonts w:eastAsia="Times New Roman"/>
        </w:rPr>
        <w:t>principally lest Morris at trial</w:t>
      </w:r>
      <w:r w:rsidR="004A5CA0">
        <w:rPr>
          <w:rFonts w:eastAsia="Times New Roman"/>
        </w:rPr>
        <w:t xml:space="preserve"> was not to come up to proof ”</w:t>
      </w:r>
      <w:r w:rsidR="00D076B3">
        <w:rPr>
          <w:rFonts w:eastAsia="Times New Roman"/>
        </w:rPr>
        <w:t xml:space="preserve">. </w:t>
      </w:r>
      <w:r w:rsidR="004A5CA0">
        <w:rPr>
          <w:rFonts w:eastAsia="Times New Roman"/>
        </w:rPr>
        <w:t xml:space="preserve"> </w:t>
      </w:r>
      <w:r w:rsidR="00D076B3">
        <w:rPr>
          <w:rFonts w:eastAsia="Times New Roman"/>
        </w:rPr>
        <w:t>Although his Lordship rejected that as an insufficient risk of prejudice to the trial, he went on to conclude that the anticipated difficulties i</w:t>
      </w:r>
      <w:r w:rsidR="004A5CA0">
        <w:rPr>
          <w:rFonts w:eastAsia="Times New Roman"/>
        </w:rPr>
        <w:t>n empanelling an unbiased jury “</w:t>
      </w:r>
      <w:r w:rsidR="00D076B3">
        <w:rPr>
          <w:rFonts w:eastAsia="Times New Roman"/>
        </w:rPr>
        <w:t>…would have become more acute still had the media being free to publish a dramatic turn of events</w:t>
      </w:r>
      <w:r w:rsidR="004A5CA0">
        <w:rPr>
          <w:rFonts w:eastAsia="Times New Roman"/>
        </w:rPr>
        <w:t>”</w:t>
      </w:r>
      <w:r w:rsidR="00D076B3">
        <w:rPr>
          <w:rFonts w:eastAsia="Times New Roman"/>
        </w:rPr>
        <w:t xml:space="preserve"> and the publication of </w:t>
      </w:r>
      <w:r w:rsidR="004A5CA0">
        <w:rPr>
          <w:rFonts w:eastAsia="Times New Roman"/>
        </w:rPr>
        <w:t>the developments in the trial, “</w:t>
      </w:r>
      <w:r w:rsidR="00D076B3">
        <w:rPr>
          <w:rFonts w:eastAsia="Times New Roman"/>
        </w:rPr>
        <w:t>…wou</w:t>
      </w:r>
      <w:r w:rsidR="00151B98">
        <w:rPr>
          <w:rFonts w:eastAsia="Times New Roman"/>
        </w:rPr>
        <w:t>ld have constituted a contempt.”</w:t>
      </w:r>
    </w:p>
    <w:p w:rsidR="00D076B3" w:rsidRPr="00E06DDC" w:rsidRDefault="00EE098B" w:rsidP="00151B98">
      <w:pPr>
        <w:pStyle w:val="para"/>
        <w:numPr>
          <w:ilvl w:val="0"/>
          <w:numId w:val="0"/>
        </w:numPr>
        <w:tabs>
          <w:tab w:val="left" w:pos="1440"/>
        </w:tabs>
        <w:autoSpaceDE w:val="0"/>
        <w:autoSpaceDN w:val="0"/>
        <w:adjustRightInd w:val="0"/>
        <w:snapToGrid/>
        <w:spacing w:before="360"/>
        <w:ind w:right="29"/>
        <w:rPr>
          <w:rFonts w:eastAsia="Times New Roman"/>
        </w:rPr>
      </w:pPr>
      <w:r>
        <w:rPr>
          <w:rFonts w:eastAsia="Times New Roman"/>
        </w:rPr>
        <w:fldChar w:fldCharType="begin"/>
      </w:r>
      <w:r w:rsidR="00151B98">
        <w:rPr>
          <w:rFonts w:eastAsia="Times New Roman"/>
        </w:rPr>
        <w:instrText xml:space="preserve"> AUTONUMOUT  </w:instrText>
      </w:r>
      <w:r>
        <w:rPr>
          <w:rFonts w:eastAsia="Times New Roman"/>
        </w:rPr>
        <w:fldChar w:fldCharType="end"/>
      </w:r>
      <w:r w:rsidR="00151B98">
        <w:rPr>
          <w:rFonts w:eastAsia="Times New Roman"/>
        </w:rPr>
        <w:tab/>
      </w:r>
      <w:r w:rsidR="00D076B3">
        <w:rPr>
          <w:rFonts w:eastAsia="Times New Roman"/>
        </w:rPr>
        <w:t>Finally, Lord Brown suggested that it might be appropriate for the court to issue a warning that publication of material might constitute a contempt of court</w:t>
      </w:r>
      <w:r w:rsidR="00D076B3" w:rsidRPr="00E06DDC">
        <w:rPr>
          <w:rFonts w:eastAsia="Times New Roman"/>
        </w:rPr>
        <w:t>:</w:t>
      </w:r>
      <w:r w:rsidR="00D076B3">
        <w:rPr>
          <w:rStyle w:val="FootnoteReference"/>
          <w:rFonts w:eastAsia="Times New Roman"/>
        </w:rPr>
        <w:footnoteReference w:id="39"/>
      </w:r>
    </w:p>
    <w:p w:rsidR="00967EE6" w:rsidRDefault="00151B98" w:rsidP="00151B98">
      <w:pPr>
        <w:pStyle w:val="para"/>
        <w:numPr>
          <w:ilvl w:val="0"/>
          <w:numId w:val="0"/>
        </w:numPr>
        <w:tabs>
          <w:tab w:val="left" w:pos="1260"/>
          <w:tab w:val="left" w:pos="1440"/>
        </w:tabs>
        <w:spacing w:before="240" w:line="240" w:lineRule="auto"/>
        <w:ind w:left="1440" w:right="749" w:hanging="173"/>
        <w:rPr>
          <w:rStyle w:val="case0"/>
          <w:sz w:val="24"/>
          <w:szCs w:val="24"/>
        </w:rPr>
      </w:pPr>
      <w:r>
        <w:rPr>
          <w:rFonts w:eastAsia="Times New Roman"/>
          <w:sz w:val="24"/>
          <w:szCs w:val="24"/>
        </w:rPr>
        <w:t>“</w:t>
      </w:r>
      <w:r>
        <w:rPr>
          <w:rFonts w:eastAsia="Times New Roman"/>
          <w:sz w:val="24"/>
          <w:szCs w:val="24"/>
        </w:rPr>
        <w:tab/>
      </w:r>
      <w:r w:rsidR="00D076B3" w:rsidRPr="00151B98">
        <w:rPr>
          <w:rStyle w:val="case0"/>
          <w:sz w:val="24"/>
          <w:szCs w:val="24"/>
        </w:rPr>
        <w:t xml:space="preserve">Even without legislation, however, it remains open to the court (and is generally desirable, as indicated by Lord Edmund Davies in </w:t>
      </w:r>
      <w:r w:rsidR="00D076B3" w:rsidRPr="00151B98">
        <w:rPr>
          <w:rStyle w:val="case"/>
          <w:sz w:val="24"/>
          <w:szCs w:val="24"/>
        </w:rPr>
        <w:t xml:space="preserve">the Leveller - </w:t>
      </w:r>
      <w:r w:rsidR="00D076B3" w:rsidRPr="00151B98">
        <w:rPr>
          <w:rStyle w:val="case0"/>
          <w:sz w:val="24"/>
          <w:szCs w:val="24"/>
        </w:rPr>
        <w:t xml:space="preserve">see </w:t>
      </w:r>
      <w:proofErr w:type="spellStart"/>
      <w:r w:rsidR="00D076B3" w:rsidRPr="00151B98">
        <w:rPr>
          <w:rStyle w:val="case0"/>
          <w:sz w:val="24"/>
          <w:szCs w:val="24"/>
        </w:rPr>
        <w:t>para</w:t>
      </w:r>
      <w:proofErr w:type="spellEnd"/>
      <w:r w:rsidR="00D076B3" w:rsidRPr="00151B98">
        <w:rPr>
          <w:rStyle w:val="case0"/>
          <w:sz w:val="24"/>
          <w:szCs w:val="24"/>
        </w:rPr>
        <w:t xml:space="preserve"> 42 above) to explain its concern and warn the press that they would be at risk of contempt proceedings were they to publish the matter in question.  Such a warning would make it both less likely that </w:t>
      </w:r>
      <w:proofErr w:type="gramStart"/>
      <w:r w:rsidR="00D076B3" w:rsidRPr="00151B98">
        <w:rPr>
          <w:rStyle w:val="case0"/>
          <w:sz w:val="24"/>
          <w:szCs w:val="24"/>
        </w:rPr>
        <w:t>a contempt</w:t>
      </w:r>
      <w:proofErr w:type="gramEnd"/>
      <w:r w:rsidR="00D076B3" w:rsidRPr="00151B98">
        <w:rPr>
          <w:rStyle w:val="case0"/>
          <w:sz w:val="24"/>
          <w:szCs w:val="24"/>
        </w:rPr>
        <w:t xml:space="preserve"> would be committed and easier to punish if it were.</w:t>
      </w:r>
      <w:r>
        <w:rPr>
          <w:rStyle w:val="case0"/>
          <w:sz w:val="24"/>
          <w:szCs w:val="24"/>
        </w:rPr>
        <w:t>”</w:t>
      </w:r>
      <w:r w:rsidR="00D076B3" w:rsidRPr="00151B98">
        <w:rPr>
          <w:rStyle w:val="case0"/>
          <w:sz w:val="24"/>
          <w:szCs w:val="24"/>
        </w:rPr>
        <w:t xml:space="preserve">  </w:t>
      </w:r>
    </w:p>
    <w:p w:rsidR="00151B98" w:rsidRDefault="00151B98" w:rsidP="00967EE6">
      <w:pPr>
        <w:pStyle w:val="para"/>
        <w:numPr>
          <w:ilvl w:val="0"/>
          <w:numId w:val="0"/>
        </w:numPr>
        <w:tabs>
          <w:tab w:val="left" w:pos="1260"/>
          <w:tab w:val="left" w:pos="1440"/>
        </w:tabs>
        <w:adjustRightInd w:val="0"/>
        <w:spacing w:before="0" w:line="200" w:lineRule="exact"/>
        <w:ind w:left="1454" w:right="907" w:hanging="187"/>
        <w:rPr>
          <w:rStyle w:val="case0"/>
          <w:sz w:val="24"/>
          <w:szCs w:val="24"/>
        </w:rPr>
      </w:pPr>
    </w:p>
    <w:p w:rsidR="00D076B3" w:rsidRPr="00151B98" w:rsidRDefault="00EE098B" w:rsidP="004A5CA0">
      <w:pPr>
        <w:pStyle w:val="para"/>
        <w:numPr>
          <w:ilvl w:val="0"/>
          <w:numId w:val="0"/>
        </w:numPr>
        <w:tabs>
          <w:tab w:val="left" w:pos="1440"/>
        </w:tabs>
        <w:autoSpaceDE w:val="0"/>
        <w:autoSpaceDN w:val="0"/>
        <w:adjustRightInd w:val="0"/>
        <w:snapToGrid/>
        <w:spacing w:before="360"/>
        <w:ind w:right="29"/>
        <w:rPr>
          <w:rStyle w:val="case0"/>
          <w:sz w:val="24"/>
          <w:szCs w:val="24"/>
        </w:rPr>
      </w:pPr>
      <w:r w:rsidRPr="00E4041C">
        <w:rPr>
          <w:rStyle w:val="case0"/>
          <w:szCs w:val="28"/>
        </w:rPr>
        <w:lastRenderedPageBreak/>
        <w:fldChar w:fldCharType="begin"/>
      </w:r>
      <w:r w:rsidR="00151B98" w:rsidRPr="00E4041C">
        <w:rPr>
          <w:rStyle w:val="case0"/>
          <w:szCs w:val="28"/>
        </w:rPr>
        <w:instrText xml:space="preserve"> AUTONUMOUT  </w:instrText>
      </w:r>
      <w:r w:rsidRPr="00E4041C">
        <w:rPr>
          <w:rStyle w:val="case0"/>
          <w:szCs w:val="28"/>
        </w:rPr>
        <w:fldChar w:fldCharType="end"/>
      </w:r>
      <w:r w:rsidR="00151B98">
        <w:rPr>
          <w:rStyle w:val="case0"/>
          <w:sz w:val="24"/>
          <w:szCs w:val="24"/>
        </w:rPr>
        <w:tab/>
      </w:r>
      <w:r w:rsidR="00D076B3" w:rsidRPr="00151B98">
        <w:rPr>
          <w:rStyle w:val="case0"/>
          <w:szCs w:val="28"/>
        </w:rPr>
        <w:t xml:space="preserve">Lord Brown noted that in his judgment in the House of Lords in </w:t>
      </w:r>
      <w:r w:rsidR="00D076B3" w:rsidRPr="00151B98">
        <w:rPr>
          <w:rStyle w:val="case0"/>
          <w:i/>
          <w:szCs w:val="28"/>
        </w:rPr>
        <w:t xml:space="preserve">Attorney General v Leveller Magazine </w:t>
      </w:r>
      <w:proofErr w:type="gramStart"/>
      <w:r w:rsidR="00D076B3" w:rsidRPr="00151B98">
        <w:rPr>
          <w:rStyle w:val="case0"/>
          <w:i/>
          <w:szCs w:val="28"/>
        </w:rPr>
        <w:t>Ltd</w:t>
      </w:r>
      <w:r w:rsidR="004A5CA0">
        <w:rPr>
          <w:rStyle w:val="case0"/>
          <w:i/>
          <w:szCs w:val="28"/>
        </w:rPr>
        <w:t> </w:t>
      </w:r>
      <w:proofErr w:type="gramEnd"/>
      <w:r w:rsidR="00D076B3" w:rsidRPr="004A5CA0">
        <w:rPr>
          <w:rStyle w:val="FootnoteReference"/>
          <w:szCs w:val="28"/>
        </w:rPr>
        <w:footnoteReference w:id="40"/>
      </w:r>
      <w:r w:rsidR="00D076B3" w:rsidRPr="00151B98">
        <w:rPr>
          <w:rStyle w:val="case0"/>
          <w:szCs w:val="28"/>
        </w:rPr>
        <w:t>, Lord Edmund Davies said:</w:t>
      </w:r>
      <w:r w:rsidR="00D076B3">
        <w:rPr>
          <w:rStyle w:val="FootnoteReference"/>
          <w:szCs w:val="28"/>
        </w:rPr>
        <w:footnoteReference w:id="41"/>
      </w:r>
    </w:p>
    <w:p w:rsidR="00151B98" w:rsidRDefault="00151B98" w:rsidP="00151B98">
      <w:pPr>
        <w:pStyle w:val="para"/>
        <w:numPr>
          <w:ilvl w:val="0"/>
          <w:numId w:val="0"/>
        </w:numPr>
        <w:tabs>
          <w:tab w:val="left" w:pos="1260"/>
        </w:tabs>
        <w:spacing w:before="240" w:line="240" w:lineRule="auto"/>
        <w:ind w:left="1440" w:right="749" w:hanging="173"/>
        <w:rPr>
          <w:rStyle w:val="case0"/>
          <w:sz w:val="24"/>
          <w:szCs w:val="24"/>
        </w:rPr>
      </w:pPr>
      <w:r>
        <w:rPr>
          <w:rStyle w:val="case0"/>
          <w:sz w:val="24"/>
          <w:szCs w:val="24"/>
        </w:rPr>
        <w:t>“</w:t>
      </w:r>
      <w:r>
        <w:rPr>
          <w:rStyle w:val="case0"/>
          <w:sz w:val="24"/>
          <w:szCs w:val="24"/>
        </w:rPr>
        <w:tab/>
      </w:r>
      <w:r w:rsidR="00D076B3" w:rsidRPr="00151B98">
        <w:rPr>
          <w:rStyle w:val="case0"/>
          <w:sz w:val="24"/>
          <w:szCs w:val="24"/>
        </w:rPr>
        <w:t>After considerable reflection I have come to the conclusion that a court has no power to pronounce to the public at large such a prohibition against publication that all disobedience to it would autom</w:t>
      </w:r>
      <w:r w:rsidR="009B38D9">
        <w:rPr>
          <w:rStyle w:val="case0"/>
          <w:sz w:val="24"/>
          <w:szCs w:val="24"/>
        </w:rPr>
        <w:t xml:space="preserve">atically constitute </w:t>
      </w:r>
      <w:proofErr w:type="gramStart"/>
      <w:r w:rsidR="009B38D9">
        <w:rPr>
          <w:rStyle w:val="case0"/>
          <w:sz w:val="24"/>
          <w:szCs w:val="24"/>
        </w:rPr>
        <w:t>a contempt</w:t>
      </w:r>
      <w:proofErr w:type="gramEnd"/>
      <w:r w:rsidR="009B38D9">
        <w:rPr>
          <w:rStyle w:val="case0"/>
          <w:sz w:val="24"/>
          <w:szCs w:val="24"/>
        </w:rPr>
        <w:t>…</w:t>
      </w:r>
      <w:r w:rsidR="00D076B3" w:rsidRPr="00151B98">
        <w:rPr>
          <w:rStyle w:val="case0"/>
          <w:sz w:val="24"/>
          <w:szCs w:val="24"/>
        </w:rPr>
        <w:t xml:space="preserve">  </w:t>
      </w:r>
    </w:p>
    <w:p w:rsidR="00151B98" w:rsidRDefault="00151B98" w:rsidP="00151B98">
      <w:pPr>
        <w:pStyle w:val="para"/>
        <w:numPr>
          <w:ilvl w:val="0"/>
          <w:numId w:val="0"/>
        </w:numPr>
        <w:tabs>
          <w:tab w:val="left" w:pos="1260"/>
        </w:tabs>
        <w:spacing w:before="240" w:line="240" w:lineRule="auto"/>
        <w:ind w:left="1440" w:right="749" w:hanging="173"/>
        <w:rPr>
          <w:rStyle w:val="case0"/>
          <w:sz w:val="24"/>
          <w:szCs w:val="24"/>
        </w:rPr>
      </w:pPr>
      <w:r>
        <w:rPr>
          <w:rStyle w:val="case0"/>
          <w:sz w:val="24"/>
          <w:szCs w:val="24"/>
        </w:rPr>
        <w:tab/>
      </w:r>
      <w:r w:rsidR="00D076B3" w:rsidRPr="00151B98">
        <w:rPr>
          <w:rStyle w:val="case0"/>
          <w:sz w:val="24"/>
          <w:szCs w:val="24"/>
        </w:rPr>
        <w:t xml:space="preserve">For [contempt] to arise something more than disobedience of the court’s direction needs to be established.  That something more is that the publication must be of such a nature as to threaten the administration of justice either in the particular case in relation to which the prohibition was pronounced or in relation to cases which may be brought in the future. ... [T]he press and others could, as I believe, be helped were a court when sitting in public to draw express attention to any procedural decisions it had come to and implemented during the hearing, to explain that they were aimed at ensuring that due and fair administration of justice and </w:t>
      </w:r>
      <w:r w:rsidR="00D076B3" w:rsidRPr="00151B98">
        <w:rPr>
          <w:rStyle w:val="case0"/>
          <w:i/>
          <w:sz w:val="24"/>
          <w:szCs w:val="24"/>
        </w:rPr>
        <w:t xml:space="preserve">to indicate that any who by publishing material or otherwise acting in a manner calculated to prejudice that aim would run the risk of contempt proceedings being instituted against them. </w:t>
      </w:r>
      <w:r w:rsidR="00D076B3" w:rsidRPr="00151B98">
        <w:rPr>
          <w:rStyle w:val="case0"/>
          <w:sz w:val="24"/>
          <w:szCs w:val="24"/>
        </w:rPr>
        <w:t xml:space="preserve"> Farther than that, in my judgment, the court cannot go.”</w:t>
      </w:r>
      <w:r>
        <w:rPr>
          <w:rStyle w:val="case0"/>
          <w:sz w:val="24"/>
          <w:szCs w:val="24"/>
        </w:rPr>
        <w:t xml:space="preserve"> </w:t>
      </w:r>
      <w:r w:rsidR="00D076B3" w:rsidRPr="00151B98">
        <w:rPr>
          <w:rStyle w:val="case0"/>
          <w:sz w:val="24"/>
          <w:szCs w:val="24"/>
        </w:rPr>
        <w:t xml:space="preserve"> [Italics added.]</w:t>
      </w:r>
    </w:p>
    <w:p w:rsidR="00151B98" w:rsidRDefault="00151B98" w:rsidP="00151B98">
      <w:pPr>
        <w:pStyle w:val="para"/>
        <w:numPr>
          <w:ilvl w:val="0"/>
          <w:numId w:val="0"/>
        </w:numPr>
        <w:tabs>
          <w:tab w:val="left" w:pos="1260"/>
        </w:tabs>
        <w:adjustRightInd w:val="0"/>
        <w:spacing w:before="0" w:line="200" w:lineRule="exact"/>
        <w:ind w:left="1454" w:right="907" w:hanging="187"/>
        <w:rPr>
          <w:rStyle w:val="case0"/>
          <w:sz w:val="24"/>
          <w:szCs w:val="24"/>
        </w:rPr>
      </w:pPr>
    </w:p>
    <w:p w:rsidR="00D076B3" w:rsidRDefault="00EE098B" w:rsidP="00FA3958">
      <w:pPr>
        <w:pStyle w:val="para"/>
        <w:numPr>
          <w:ilvl w:val="0"/>
          <w:numId w:val="0"/>
        </w:numPr>
        <w:tabs>
          <w:tab w:val="left" w:pos="1440"/>
        </w:tabs>
        <w:autoSpaceDE w:val="0"/>
        <w:autoSpaceDN w:val="0"/>
        <w:adjustRightInd w:val="0"/>
        <w:snapToGrid/>
        <w:spacing w:before="360"/>
        <w:ind w:right="29"/>
        <w:rPr>
          <w:rStyle w:val="case0"/>
          <w:szCs w:val="28"/>
        </w:rPr>
      </w:pPr>
      <w:r w:rsidRPr="00151B98">
        <w:rPr>
          <w:rStyle w:val="case0"/>
          <w:szCs w:val="28"/>
        </w:rPr>
        <w:fldChar w:fldCharType="begin"/>
      </w:r>
      <w:r w:rsidR="00151B98" w:rsidRPr="00151B98">
        <w:rPr>
          <w:rStyle w:val="case0"/>
          <w:szCs w:val="28"/>
        </w:rPr>
        <w:instrText xml:space="preserve"> AUTONUMOUT  </w:instrText>
      </w:r>
      <w:r w:rsidRPr="00151B98">
        <w:rPr>
          <w:rStyle w:val="case0"/>
          <w:szCs w:val="28"/>
        </w:rPr>
        <w:fldChar w:fldCharType="end"/>
      </w:r>
      <w:r w:rsidR="00151B98" w:rsidRPr="00151B98">
        <w:rPr>
          <w:rStyle w:val="case0"/>
          <w:szCs w:val="28"/>
        </w:rPr>
        <w:tab/>
      </w:r>
      <w:r w:rsidR="00D076B3">
        <w:rPr>
          <w:rStyle w:val="case0"/>
          <w:szCs w:val="28"/>
        </w:rPr>
        <w:t>In Hong Kong there is no statutory provision similar to the Contempt of Court Act, 1981, notwithstanding the fact that a powerfully constituted Law Reform Commission, including the then Attorney General and the Chief Justice, recommended the implementation of such legislation in December 1986.</w:t>
      </w:r>
      <w:r w:rsidR="004A5CA0">
        <w:rPr>
          <w:rStyle w:val="case0"/>
          <w:szCs w:val="28"/>
        </w:rPr>
        <w:t xml:space="preserve"> </w:t>
      </w:r>
      <w:r w:rsidR="00D076B3">
        <w:rPr>
          <w:rStyle w:val="case0"/>
          <w:szCs w:val="28"/>
        </w:rPr>
        <w:t xml:space="preserve"> It is to be noted that the Commission said:</w:t>
      </w:r>
      <w:r w:rsidR="00D076B3">
        <w:rPr>
          <w:rStyle w:val="FootnoteReference"/>
          <w:szCs w:val="28"/>
        </w:rPr>
        <w:footnoteReference w:id="42"/>
      </w:r>
    </w:p>
    <w:p w:rsidR="00967EE6" w:rsidRDefault="00151B98" w:rsidP="00FA3958">
      <w:pPr>
        <w:pStyle w:val="para"/>
        <w:numPr>
          <w:ilvl w:val="0"/>
          <w:numId w:val="0"/>
        </w:numPr>
        <w:tabs>
          <w:tab w:val="left" w:pos="1267"/>
          <w:tab w:val="left" w:pos="1440"/>
        </w:tabs>
        <w:spacing w:before="240" w:line="240" w:lineRule="auto"/>
        <w:ind w:left="1454" w:right="749" w:hanging="187"/>
        <w:rPr>
          <w:rStyle w:val="case0"/>
          <w:sz w:val="24"/>
          <w:szCs w:val="24"/>
        </w:rPr>
      </w:pPr>
      <w:r>
        <w:rPr>
          <w:rStyle w:val="case0"/>
          <w:sz w:val="24"/>
          <w:szCs w:val="24"/>
        </w:rPr>
        <w:t>“</w:t>
      </w:r>
      <w:r>
        <w:rPr>
          <w:rStyle w:val="case0"/>
          <w:sz w:val="24"/>
          <w:szCs w:val="24"/>
        </w:rPr>
        <w:tab/>
      </w:r>
      <w:r w:rsidR="00D076B3" w:rsidRPr="00151B98">
        <w:rPr>
          <w:rStyle w:val="case0"/>
          <w:sz w:val="24"/>
          <w:szCs w:val="24"/>
        </w:rPr>
        <w:t>We also think that the common law power of the courts to postpone publication</w:t>
      </w:r>
      <w:r w:rsidR="008A3982">
        <w:rPr>
          <w:rStyle w:val="case0"/>
          <w:sz w:val="24"/>
          <w:szCs w:val="24"/>
        </w:rPr>
        <w:t xml:space="preserve"> of the</w:t>
      </w:r>
      <w:r w:rsidR="00D076B3" w:rsidRPr="00151B98">
        <w:rPr>
          <w:rStyle w:val="case0"/>
          <w:sz w:val="24"/>
          <w:szCs w:val="24"/>
        </w:rPr>
        <w:t xml:space="preserve"> proceeding</w:t>
      </w:r>
      <w:r w:rsidR="008A3982">
        <w:rPr>
          <w:rStyle w:val="case0"/>
          <w:sz w:val="24"/>
          <w:szCs w:val="24"/>
        </w:rPr>
        <w:t>s</w:t>
      </w:r>
      <w:r w:rsidR="00D076B3" w:rsidRPr="00151B98">
        <w:rPr>
          <w:rStyle w:val="case0"/>
          <w:sz w:val="24"/>
          <w:szCs w:val="24"/>
        </w:rPr>
        <w:t xml:space="preserve"> </w:t>
      </w:r>
      <w:r w:rsidR="00D076B3" w:rsidRPr="00151B98">
        <w:rPr>
          <w:rStyle w:val="case0"/>
          <w:i/>
          <w:sz w:val="24"/>
          <w:szCs w:val="24"/>
        </w:rPr>
        <w:t>should be confirmed</w:t>
      </w:r>
      <w:r w:rsidR="00D076B3" w:rsidRPr="00151B98">
        <w:rPr>
          <w:rStyle w:val="case0"/>
          <w:sz w:val="24"/>
          <w:szCs w:val="24"/>
        </w:rPr>
        <w:t xml:space="preserve">. We therefore recommend that there should be specific </w:t>
      </w:r>
      <w:r w:rsidR="00D076B3" w:rsidRPr="00151B98">
        <w:rPr>
          <w:rStyle w:val="case0"/>
          <w:sz w:val="24"/>
          <w:szCs w:val="24"/>
        </w:rPr>
        <w:lastRenderedPageBreak/>
        <w:t>provisions on the lines of section 4(2) of the UK Act</w:t>
      </w:r>
      <w:r>
        <w:rPr>
          <w:rStyle w:val="case0"/>
          <w:sz w:val="24"/>
          <w:szCs w:val="24"/>
        </w:rPr>
        <w:t>…”</w:t>
      </w:r>
      <w:r w:rsidR="00D076B3" w:rsidRPr="00151B98">
        <w:rPr>
          <w:rStyle w:val="case0"/>
          <w:sz w:val="24"/>
          <w:szCs w:val="24"/>
        </w:rPr>
        <w:t xml:space="preserve">  [Italics added.]</w:t>
      </w:r>
    </w:p>
    <w:p w:rsidR="00151B98" w:rsidRDefault="00151B98" w:rsidP="00967EE6">
      <w:pPr>
        <w:pStyle w:val="para"/>
        <w:numPr>
          <w:ilvl w:val="0"/>
          <w:numId w:val="0"/>
        </w:numPr>
        <w:tabs>
          <w:tab w:val="left" w:pos="567"/>
          <w:tab w:val="left" w:pos="851"/>
          <w:tab w:val="left" w:pos="1134"/>
          <w:tab w:val="left" w:pos="1267"/>
        </w:tabs>
        <w:adjustRightInd w:val="0"/>
        <w:spacing w:before="0" w:line="200" w:lineRule="exact"/>
        <w:ind w:left="1454" w:right="907" w:hanging="187"/>
        <w:rPr>
          <w:rStyle w:val="case0"/>
          <w:sz w:val="24"/>
          <w:szCs w:val="24"/>
        </w:rPr>
      </w:pPr>
    </w:p>
    <w:p w:rsidR="00151B98" w:rsidRDefault="00EE098B" w:rsidP="00151B98">
      <w:pPr>
        <w:pStyle w:val="para"/>
        <w:numPr>
          <w:ilvl w:val="0"/>
          <w:numId w:val="0"/>
        </w:numPr>
        <w:tabs>
          <w:tab w:val="left" w:pos="1440"/>
        </w:tabs>
        <w:autoSpaceDE w:val="0"/>
        <w:autoSpaceDN w:val="0"/>
        <w:adjustRightInd w:val="0"/>
        <w:snapToGrid/>
        <w:spacing w:before="360"/>
        <w:ind w:right="29"/>
        <w:rPr>
          <w:rFonts w:eastAsia="Times New Roman"/>
        </w:rPr>
      </w:pPr>
      <w:r w:rsidRPr="00151B98">
        <w:rPr>
          <w:rStyle w:val="case0"/>
          <w:szCs w:val="28"/>
        </w:rPr>
        <w:fldChar w:fldCharType="begin"/>
      </w:r>
      <w:r w:rsidR="00151B98" w:rsidRPr="00151B98">
        <w:rPr>
          <w:rStyle w:val="case0"/>
          <w:szCs w:val="28"/>
        </w:rPr>
        <w:instrText xml:space="preserve"> AUTONUMOUT  </w:instrText>
      </w:r>
      <w:r w:rsidRPr="00151B98">
        <w:rPr>
          <w:rStyle w:val="case0"/>
          <w:szCs w:val="28"/>
        </w:rPr>
        <w:fldChar w:fldCharType="end"/>
      </w:r>
      <w:r w:rsidR="00151B98" w:rsidRPr="00151B98">
        <w:rPr>
          <w:rStyle w:val="case0"/>
          <w:szCs w:val="28"/>
        </w:rPr>
        <w:tab/>
      </w:r>
      <w:r w:rsidR="00D076B3">
        <w:rPr>
          <w:rFonts w:eastAsia="Times New Roman"/>
        </w:rPr>
        <w:t>The Judicial Proceedings (Regula</w:t>
      </w:r>
      <w:r w:rsidR="007A5758">
        <w:rPr>
          <w:rFonts w:eastAsia="Times New Roman"/>
        </w:rPr>
        <w:t>tion of Reports) Ordinance, Cap </w:t>
      </w:r>
      <w:r w:rsidR="00D076B3">
        <w:rPr>
          <w:rFonts w:eastAsia="Times New Roman"/>
        </w:rPr>
        <w:t xml:space="preserve">287 is not relevant to the issue of whether or not there is a power in the courts to make an order postponing publication of a report of the proceedings in a criminal case. </w:t>
      </w:r>
      <w:r w:rsidR="004A5CA0">
        <w:rPr>
          <w:rFonts w:eastAsia="Times New Roman"/>
        </w:rPr>
        <w:t xml:space="preserve"> </w:t>
      </w:r>
      <w:r w:rsidR="00D076B3">
        <w:rPr>
          <w:rFonts w:eastAsia="Times New Roman"/>
        </w:rPr>
        <w:t>It follows that in Hong Kong there is no statutory power to make such an order.</w:t>
      </w:r>
    </w:p>
    <w:p w:rsidR="00151B98" w:rsidRDefault="00EE098B" w:rsidP="00151B98">
      <w:pPr>
        <w:pStyle w:val="para"/>
        <w:numPr>
          <w:ilvl w:val="0"/>
          <w:numId w:val="0"/>
        </w:numPr>
        <w:tabs>
          <w:tab w:val="left" w:pos="1440"/>
        </w:tabs>
        <w:autoSpaceDE w:val="0"/>
        <w:autoSpaceDN w:val="0"/>
        <w:adjustRightInd w:val="0"/>
        <w:snapToGrid/>
        <w:spacing w:before="360"/>
        <w:ind w:right="29"/>
      </w:pPr>
      <w:r>
        <w:rPr>
          <w:rFonts w:eastAsia="Times New Roman"/>
        </w:rPr>
        <w:fldChar w:fldCharType="begin"/>
      </w:r>
      <w:r w:rsidR="00151B98">
        <w:rPr>
          <w:rFonts w:eastAsia="Times New Roman"/>
        </w:rPr>
        <w:instrText xml:space="preserve"> AUTONUMOUT  </w:instrText>
      </w:r>
      <w:r>
        <w:rPr>
          <w:rFonts w:eastAsia="Times New Roman"/>
        </w:rPr>
        <w:fldChar w:fldCharType="end"/>
      </w:r>
      <w:r w:rsidR="00151B98">
        <w:rPr>
          <w:rFonts w:eastAsia="Times New Roman"/>
        </w:rPr>
        <w:tab/>
      </w:r>
      <w:r w:rsidR="00D076B3">
        <w:t xml:space="preserve">In the </w:t>
      </w:r>
      <w:r w:rsidR="00D076B3" w:rsidRPr="00EF5198">
        <w:rPr>
          <w:i/>
        </w:rPr>
        <w:t>Attorney General’s Reference (No 3 1999)</w:t>
      </w:r>
      <w:r w:rsidR="00D076B3">
        <w:rPr>
          <w:i/>
        </w:rPr>
        <w:t xml:space="preserve"> Re British Broadcasting Corporation</w:t>
      </w:r>
      <w:r w:rsidR="004A5CA0">
        <w:t> </w:t>
      </w:r>
      <w:r w:rsidR="00D076B3">
        <w:rPr>
          <w:rStyle w:val="FootnoteReference"/>
        </w:rPr>
        <w:footnoteReference w:id="43"/>
      </w:r>
      <w:r w:rsidR="00D076B3">
        <w:t xml:space="preserve"> the House of Lords was concerned with an application by the British Broadcasting Corporation that the House </w:t>
      </w:r>
      <w:r w:rsidR="00C21B7D">
        <w:t xml:space="preserve">of Lords </w:t>
      </w:r>
      <w:r w:rsidR="00D076B3">
        <w:t>lift an order, made by the Appeal Committee on 23 October 2000, that no mention was to be made in any publication or broadcast of proceedings resulting from a referral by the Attorney General of a point of law, which was likely to lead to the identification of a defendant acquitted at trial.</w:t>
      </w:r>
      <w:r w:rsidR="004A5CA0">
        <w:t xml:space="preserve"> </w:t>
      </w:r>
      <w:r w:rsidR="00D076B3">
        <w:t xml:space="preserve"> He had been acquitted on the direction of the judge that DNA evidence connecting him with the crime was inadmissible.</w:t>
      </w:r>
      <w:r w:rsidR="004A5CA0">
        <w:t xml:space="preserve"> </w:t>
      </w:r>
      <w:r w:rsidR="00D076B3">
        <w:t xml:space="preserve"> On 14 December 2000, the House of Lords determined that the evidence was not inadmissible and could have been admitted at the discretion of the judge. </w:t>
      </w:r>
      <w:r w:rsidR="004A5CA0">
        <w:t xml:space="preserve"> </w:t>
      </w:r>
      <w:r w:rsidR="00D076B3">
        <w:t>Subsequently, the Criminal Justice Act, 2005 made provision for the re-trial of persons acquitted of specific serious offences, if the Court of Appeal was satisfied that there was new and compelling evidence available and the re-trial would be in the interests of justice.</w:t>
      </w:r>
      <w:r w:rsidR="004A5CA0">
        <w:t xml:space="preserve"> </w:t>
      </w:r>
      <w:r w:rsidR="00D076B3">
        <w:t xml:space="preserve"> The BBC wished to broadcast a programme in which the identity of the acquitted defendant would be revealed. </w:t>
      </w:r>
      <w:r w:rsidR="004A5CA0">
        <w:t xml:space="preserve"> </w:t>
      </w:r>
      <w:r w:rsidR="00D076B3">
        <w:t>The House of Lords ordered the order to be discharged.</w:t>
      </w:r>
    </w:p>
    <w:p w:rsidR="00151B98" w:rsidRDefault="00EE098B" w:rsidP="00151B98">
      <w:pPr>
        <w:pStyle w:val="para"/>
        <w:numPr>
          <w:ilvl w:val="0"/>
          <w:numId w:val="0"/>
        </w:numPr>
        <w:tabs>
          <w:tab w:val="left" w:pos="1440"/>
        </w:tabs>
        <w:autoSpaceDE w:val="0"/>
        <w:autoSpaceDN w:val="0"/>
        <w:adjustRightInd w:val="0"/>
        <w:snapToGrid/>
        <w:spacing w:before="360"/>
        <w:ind w:right="29"/>
      </w:pPr>
      <w:r>
        <w:lastRenderedPageBreak/>
        <w:fldChar w:fldCharType="begin"/>
      </w:r>
      <w:r w:rsidR="00151B98">
        <w:instrText xml:space="preserve"> AUTONUMOUT  </w:instrText>
      </w:r>
      <w:r>
        <w:fldChar w:fldCharType="end"/>
      </w:r>
      <w:r w:rsidR="00151B98">
        <w:tab/>
      </w:r>
      <w:r w:rsidR="00D076B3">
        <w:t>In the judgment of Lord Brown of Eaton-under-Heywood, with whom the other judges agreed, the validity of the power to make non-publication orders</w:t>
      </w:r>
      <w:r w:rsidR="00D076B3" w:rsidRPr="00692E98">
        <w:t xml:space="preserve"> </w:t>
      </w:r>
      <w:r w:rsidR="00D076B3" w:rsidRPr="00DE3045">
        <w:rPr>
          <w:i/>
        </w:rPr>
        <w:t xml:space="preserve">contra </w:t>
      </w:r>
      <w:proofErr w:type="spellStart"/>
      <w:r w:rsidR="00D076B3" w:rsidRPr="00DE3045">
        <w:rPr>
          <w:i/>
        </w:rPr>
        <w:t>mundum</w:t>
      </w:r>
      <w:proofErr w:type="spellEnd"/>
      <w:r w:rsidR="00D076B3" w:rsidRPr="00692E98">
        <w:t xml:space="preserve"> </w:t>
      </w:r>
      <w:r w:rsidR="00D076B3">
        <w:t>in respect of open court proceedings, pursuant to the Criminal Appeal (Reference of Points of Law) Rules 1973, was doubted.</w:t>
      </w:r>
      <w:r w:rsidR="00D076B3">
        <w:rPr>
          <w:rStyle w:val="FootnoteReference"/>
        </w:rPr>
        <w:footnoteReference w:id="44"/>
      </w:r>
      <w:r w:rsidR="004A5CA0">
        <w:t xml:space="preserve"> </w:t>
      </w:r>
      <w:r w:rsidR="00D076B3">
        <w:t xml:space="preserve"> In that context, Lord Brown cited with approval</w:t>
      </w:r>
      <w:r w:rsidR="007A5758">
        <w:t> </w:t>
      </w:r>
      <w:r w:rsidR="00D076B3">
        <w:rPr>
          <w:rStyle w:val="FootnoteReference"/>
        </w:rPr>
        <w:footnoteReference w:id="45"/>
      </w:r>
      <w:r w:rsidR="00D076B3">
        <w:t xml:space="preserve"> the conclusion reached by the Judicial Committee of the Privy Council in </w:t>
      </w:r>
      <w:r w:rsidR="00D076B3" w:rsidRPr="00DE3045">
        <w:rPr>
          <w:i/>
        </w:rPr>
        <w:t>Independent Publishing Company Ltd</w:t>
      </w:r>
      <w:r w:rsidR="00D076B3">
        <w:rPr>
          <w:i/>
        </w:rPr>
        <w:t xml:space="preserve"> v A-G of Trinidad and Tobago</w:t>
      </w:r>
      <w:r w:rsidR="00D076B3">
        <w:t>, namely that:</w:t>
      </w:r>
    </w:p>
    <w:p w:rsidR="007A5758" w:rsidRDefault="00151B98" w:rsidP="004A5CA0">
      <w:pPr>
        <w:pStyle w:val="para"/>
        <w:numPr>
          <w:ilvl w:val="0"/>
          <w:numId w:val="0"/>
        </w:numPr>
        <w:tabs>
          <w:tab w:val="left" w:pos="1267"/>
          <w:tab w:val="left" w:pos="1440"/>
        </w:tabs>
        <w:spacing w:before="240" w:line="240" w:lineRule="auto"/>
        <w:ind w:left="1454" w:right="749" w:hanging="178"/>
        <w:rPr>
          <w:rFonts w:eastAsia="Times New Roman"/>
          <w:sz w:val="24"/>
          <w:szCs w:val="24"/>
        </w:rPr>
      </w:pPr>
      <w:r>
        <w:rPr>
          <w:sz w:val="24"/>
        </w:rPr>
        <w:t>“</w:t>
      </w:r>
      <w:r>
        <w:rPr>
          <w:sz w:val="24"/>
        </w:rPr>
        <w:tab/>
      </w:r>
      <w:r w:rsidR="00D076B3" w:rsidRPr="00151B98">
        <w:rPr>
          <w:rFonts w:eastAsia="Times New Roman"/>
          <w:sz w:val="24"/>
          <w:szCs w:val="24"/>
        </w:rPr>
        <w:t>… if the court is to have the power to make orders against the public at large it must be conferred by legislation; it can</w:t>
      </w:r>
      <w:r>
        <w:rPr>
          <w:rFonts w:eastAsia="Times New Roman"/>
          <w:sz w:val="24"/>
          <w:szCs w:val="24"/>
        </w:rPr>
        <w:t>not be found in the common law.”</w:t>
      </w:r>
    </w:p>
    <w:p w:rsidR="00151B98" w:rsidRDefault="00151B98" w:rsidP="007A5758">
      <w:pPr>
        <w:pStyle w:val="para"/>
        <w:numPr>
          <w:ilvl w:val="0"/>
          <w:numId w:val="0"/>
        </w:numPr>
        <w:tabs>
          <w:tab w:val="left" w:pos="1267"/>
          <w:tab w:val="left" w:pos="1440"/>
        </w:tabs>
        <w:adjustRightInd w:val="0"/>
        <w:spacing w:before="0" w:line="200" w:lineRule="exact"/>
        <w:ind w:left="1454" w:right="907" w:hanging="187"/>
        <w:rPr>
          <w:rFonts w:eastAsia="Times New Roman"/>
          <w:sz w:val="24"/>
          <w:szCs w:val="24"/>
        </w:rPr>
      </w:pPr>
    </w:p>
    <w:p w:rsidR="00151B98" w:rsidRDefault="00EE098B" w:rsidP="00151B98">
      <w:pPr>
        <w:pStyle w:val="para"/>
        <w:numPr>
          <w:ilvl w:val="0"/>
          <w:numId w:val="0"/>
        </w:numPr>
        <w:tabs>
          <w:tab w:val="left" w:pos="1440"/>
        </w:tabs>
        <w:autoSpaceDE w:val="0"/>
        <w:autoSpaceDN w:val="0"/>
        <w:adjustRightInd w:val="0"/>
        <w:snapToGrid/>
        <w:spacing w:before="360"/>
        <w:ind w:right="29"/>
      </w:pPr>
      <w:r w:rsidRPr="00151B98">
        <w:rPr>
          <w:rFonts w:eastAsia="Times New Roman"/>
          <w:szCs w:val="28"/>
        </w:rPr>
        <w:fldChar w:fldCharType="begin"/>
      </w:r>
      <w:r w:rsidR="00151B98" w:rsidRPr="00151B98">
        <w:rPr>
          <w:rFonts w:eastAsia="Times New Roman"/>
          <w:szCs w:val="28"/>
        </w:rPr>
        <w:instrText xml:space="preserve"> AUTONUMOUT  </w:instrText>
      </w:r>
      <w:r w:rsidRPr="00151B98">
        <w:rPr>
          <w:rFonts w:eastAsia="Times New Roman"/>
          <w:szCs w:val="28"/>
        </w:rPr>
        <w:fldChar w:fldCharType="end"/>
      </w:r>
      <w:r w:rsidR="00151B98" w:rsidRPr="00151B98">
        <w:rPr>
          <w:rFonts w:eastAsia="Times New Roman"/>
          <w:szCs w:val="28"/>
        </w:rPr>
        <w:tab/>
      </w:r>
      <w:r w:rsidR="00D076B3">
        <w:t>In the result, Lord Brown determined that the issues of the validity of the sub-legislation and of the ambit of the inhe</w:t>
      </w:r>
      <w:r w:rsidR="004A5CA0">
        <w:t>rent powers of the court were, “in the end unimportant”</w:t>
      </w:r>
      <w:r w:rsidR="00D076B3">
        <w:t xml:space="preserve"> because the issue was to be determined by application of the Human Rights Act, 1998.</w:t>
      </w:r>
      <w:r w:rsidR="004A5CA0">
        <w:t xml:space="preserve"> </w:t>
      </w:r>
      <w:r w:rsidR="00D076B3">
        <w:t xml:space="preserve"> In that context, he cited</w:t>
      </w:r>
      <w:r w:rsidR="004A5CA0">
        <w:t> </w:t>
      </w:r>
      <w:r w:rsidR="00D076B3">
        <w:rPr>
          <w:rStyle w:val="FootnoteReference"/>
        </w:rPr>
        <w:footnoteReference w:id="46"/>
      </w:r>
      <w:r w:rsidR="00D076B3">
        <w:t xml:space="preserve"> with approval the judgment of Lord </w:t>
      </w:r>
      <w:proofErr w:type="spellStart"/>
      <w:r w:rsidR="00D076B3">
        <w:t>Steyn</w:t>
      </w:r>
      <w:proofErr w:type="spellEnd"/>
      <w:r w:rsidR="00D076B3">
        <w:t xml:space="preserve"> in the House of Lords in </w:t>
      </w:r>
      <w:r w:rsidR="00D076B3" w:rsidRPr="000B3FD6">
        <w:rPr>
          <w:i/>
        </w:rPr>
        <w:t>Re S (a child) (</w:t>
      </w:r>
      <w:r w:rsidR="00D076B3">
        <w:rPr>
          <w:i/>
        </w:rPr>
        <w:t>Identification: Restrictions on P</w:t>
      </w:r>
      <w:r w:rsidR="00D076B3" w:rsidRPr="000B3FD6">
        <w:rPr>
          <w:i/>
        </w:rPr>
        <w:t>ublication</w:t>
      </w:r>
      <w:proofErr w:type="gramStart"/>
      <w:r w:rsidR="00D076B3" w:rsidRPr="000B3FD6">
        <w:rPr>
          <w:i/>
        </w:rPr>
        <w:t>)</w:t>
      </w:r>
      <w:r w:rsidR="004A5CA0">
        <w:rPr>
          <w:i/>
        </w:rPr>
        <w:t> </w:t>
      </w:r>
      <w:proofErr w:type="gramEnd"/>
      <w:r w:rsidR="00D076B3" w:rsidRPr="00151B98">
        <w:rPr>
          <w:rStyle w:val="FootnoteReference"/>
        </w:rPr>
        <w:footnoteReference w:id="47"/>
      </w:r>
      <w:r w:rsidR="00D076B3">
        <w:t>:</w:t>
      </w:r>
    </w:p>
    <w:p w:rsidR="007A5758" w:rsidRDefault="00151B98" w:rsidP="00151B98">
      <w:pPr>
        <w:pStyle w:val="para"/>
        <w:numPr>
          <w:ilvl w:val="0"/>
          <w:numId w:val="0"/>
        </w:numPr>
        <w:tabs>
          <w:tab w:val="left" w:pos="1267"/>
          <w:tab w:val="left" w:pos="1440"/>
        </w:tabs>
        <w:spacing w:before="240" w:line="240" w:lineRule="auto"/>
        <w:ind w:left="1454" w:right="749" w:hanging="187"/>
        <w:rPr>
          <w:sz w:val="24"/>
          <w:szCs w:val="24"/>
        </w:rPr>
      </w:pPr>
      <w:r w:rsidRPr="00151B98">
        <w:rPr>
          <w:sz w:val="24"/>
        </w:rPr>
        <w:t>“</w:t>
      </w:r>
      <w:r>
        <w:rPr>
          <w:sz w:val="24"/>
        </w:rPr>
        <w:tab/>
      </w:r>
      <w:r w:rsidR="00D076B3" w:rsidRPr="00151B98">
        <w:rPr>
          <w:sz w:val="24"/>
          <w:szCs w:val="24"/>
        </w:rPr>
        <w:t>The House unanimously takes the view that since the 1998 Act came into force in October 2000, the earlier case law about the existence and scope of inherent jurisdiction need not be considered in this case or in similar cases.</w:t>
      </w:r>
      <w:r w:rsidR="004A5CA0">
        <w:rPr>
          <w:sz w:val="24"/>
          <w:szCs w:val="24"/>
        </w:rPr>
        <w:t xml:space="preserve"> </w:t>
      </w:r>
      <w:r w:rsidR="00D076B3" w:rsidRPr="00151B98">
        <w:rPr>
          <w:sz w:val="24"/>
          <w:szCs w:val="24"/>
        </w:rPr>
        <w:t xml:space="preserve"> The foundation of the jurisdiction to restrain publicity in a case such as the present is now derived from convention rights under the </w:t>
      </w:r>
      <w:r w:rsidR="00D076B3" w:rsidRPr="00151B98">
        <w:rPr>
          <w:sz w:val="24"/>
          <w:szCs w:val="24"/>
        </w:rPr>
        <w:lastRenderedPageBreak/>
        <w:t>convention.</w:t>
      </w:r>
      <w:r w:rsidR="004A5CA0">
        <w:rPr>
          <w:sz w:val="24"/>
          <w:szCs w:val="24"/>
        </w:rPr>
        <w:t xml:space="preserve"> </w:t>
      </w:r>
      <w:r w:rsidR="00D076B3" w:rsidRPr="00151B98">
        <w:rPr>
          <w:sz w:val="24"/>
          <w:szCs w:val="24"/>
        </w:rPr>
        <w:t xml:space="preserve"> This is the simple and dir</w:t>
      </w:r>
      <w:r>
        <w:rPr>
          <w:sz w:val="24"/>
          <w:szCs w:val="24"/>
        </w:rPr>
        <w:t>ect way to approach such cases.”</w:t>
      </w:r>
    </w:p>
    <w:p w:rsidR="007A5758" w:rsidRDefault="007A5758" w:rsidP="007A5758">
      <w:pPr>
        <w:pStyle w:val="para"/>
        <w:numPr>
          <w:ilvl w:val="0"/>
          <w:numId w:val="0"/>
        </w:numPr>
        <w:tabs>
          <w:tab w:val="left" w:pos="1267"/>
          <w:tab w:val="left" w:pos="1440"/>
        </w:tabs>
        <w:adjustRightInd w:val="0"/>
        <w:spacing w:before="0" w:line="200" w:lineRule="exact"/>
        <w:ind w:left="1454" w:right="907" w:hanging="187"/>
        <w:rPr>
          <w:sz w:val="24"/>
          <w:szCs w:val="24"/>
        </w:rPr>
      </w:pPr>
    </w:p>
    <w:p w:rsidR="00151B98" w:rsidRDefault="00EE098B" w:rsidP="007065F9">
      <w:pPr>
        <w:pStyle w:val="para"/>
        <w:numPr>
          <w:ilvl w:val="0"/>
          <w:numId w:val="0"/>
        </w:numPr>
        <w:tabs>
          <w:tab w:val="left" w:pos="1440"/>
        </w:tabs>
        <w:autoSpaceDE w:val="0"/>
        <w:autoSpaceDN w:val="0"/>
        <w:adjustRightInd w:val="0"/>
        <w:snapToGrid/>
        <w:spacing w:before="360"/>
        <w:ind w:right="29"/>
      </w:pPr>
      <w:r w:rsidRPr="00151B98">
        <w:rPr>
          <w:szCs w:val="28"/>
        </w:rPr>
        <w:fldChar w:fldCharType="begin"/>
      </w:r>
      <w:r w:rsidR="00151B98" w:rsidRPr="00151B98">
        <w:rPr>
          <w:szCs w:val="28"/>
        </w:rPr>
        <w:instrText xml:space="preserve"> AUTONUMOUT  </w:instrText>
      </w:r>
      <w:r w:rsidRPr="00151B98">
        <w:rPr>
          <w:szCs w:val="28"/>
        </w:rPr>
        <w:fldChar w:fldCharType="end"/>
      </w:r>
      <w:r w:rsidR="00151B98">
        <w:rPr>
          <w:sz w:val="24"/>
          <w:szCs w:val="24"/>
        </w:rPr>
        <w:tab/>
      </w:r>
      <w:r w:rsidR="00D076B3">
        <w:t>In his judgment in</w:t>
      </w:r>
      <w:r w:rsidR="00D076B3" w:rsidRPr="000421EE">
        <w:rPr>
          <w:i/>
        </w:rPr>
        <w:t xml:space="preserve"> </w:t>
      </w:r>
      <w:r w:rsidR="00D076B3" w:rsidRPr="00056867">
        <w:rPr>
          <w:i/>
        </w:rPr>
        <w:t>A v British Broadcasting Corporation</w:t>
      </w:r>
      <w:r w:rsidR="00D076B3">
        <w:rPr>
          <w:i/>
        </w:rPr>
        <w:t>,</w:t>
      </w:r>
      <w:r w:rsidR="00D076B3">
        <w:t xml:space="preserve"> Lord Reed said that in Scotland, subject to any statutory provision, the common law power to make exceptions to the principle of open justice in the interest of justice had been recognized in </w:t>
      </w:r>
      <w:r w:rsidR="00D076B3" w:rsidRPr="00DE4FBE">
        <w:rPr>
          <w:i/>
        </w:rPr>
        <w:t xml:space="preserve">Sloan v </w:t>
      </w:r>
      <w:proofErr w:type="gramStart"/>
      <w:r w:rsidR="00D076B3" w:rsidRPr="00DE4FBE">
        <w:rPr>
          <w:i/>
        </w:rPr>
        <w:t>B</w:t>
      </w:r>
      <w:r w:rsidR="004A5CA0">
        <w:rPr>
          <w:i/>
        </w:rPr>
        <w:t> </w:t>
      </w:r>
      <w:proofErr w:type="gramEnd"/>
      <w:r w:rsidR="00D076B3" w:rsidRPr="004A5CA0">
        <w:rPr>
          <w:rStyle w:val="FootnoteReference"/>
        </w:rPr>
        <w:footnoteReference w:id="48"/>
      </w:r>
      <w:r w:rsidR="00D076B3">
        <w:t xml:space="preserve">. </w:t>
      </w:r>
      <w:r w:rsidR="004A5CA0">
        <w:t xml:space="preserve"> </w:t>
      </w:r>
      <w:r w:rsidR="00D076B3">
        <w:t>He noted that the courts had established various exceptions to the principle of open justice by</w:t>
      </w:r>
      <w:r w:rsidR="004A5CA0">
        <w:t> </w:t>
      </w:r>
      <w:r w:rsidR="00D076B3">
        <w:rPr>
          <w:rStyle w:val="FootnoteReference"/>
        </w:rPr>
        <w:footnoteReference w:id="49"/>
      </w:r>
      <w:r w:rsidR="00D076B3">
        <w:t>: permitting the identity of the applicants to be withheld from public disclosure</w:t>
      </w:r>
      <w:r w:rsidR="004A5CA0">
        <w:t> </w:t>
      </w:r>
      <w:r w:rsidR="00D076B3">
        <w:rPr>
          <w:rStyle w:val="FootnoteReference"/>
        </w:rPr>
        <w:footnoteReference w:id="50"/>
      </w:r>
      <w:r w:rsidR="00D076B3">
        <w:t>; allowing undercover police officers to give evidence behind screens without public disclosure of their identities to avoid jeopardising their effectiveness in future investigations; permitting a prisoner serving a sentence for sexual offences to bring proceedings without disclosing his identity publicly because of the danger to the safety of the prisoner and the nature of his offending became known to his fellow prisoners</w:t>
      </w:r>
      <w:r w:rsidR="004A5CA0">
        <w:t> </w:t>
      </w:r>
      <w:r w:rsidR="00D076B3">
        <w:rPr>
          <w:rStyle w:val="FootnoteReference"/>
        </w:rPr>
        <w:footnoteReference w:id="51"/>
      </w:r>
      <w:r w:rsidR="00D076B3">
        <w:t>; having regard to the consequences to her mental health and her willingness to testify, ordering that there had been no publication of the identity of a female witness in criminal proceedings in which the defendant was charged with having recklessly infected her with HIV</w:t>
      </w:r>
      <w:r w:rsidR="004A5CA0">
        <w:t> </w:t>
      </w:r>
      <w:r w:rsidR="00D076B3">
        <w:rPr>
          <w:rStyle w:val="FootnoteReference"/>
        </w:rPr>
        <w:footnoteReference w:id="52"/>
      </w:r>
      <w:r w:rsidR="00D076B3">
        <w:t>.</w:t>
      </w:r>
    </w:p>
    <w:p w:rsidR="00D076B3" w:rsidRPr="00151B98" w:rsidRDefault="00EE098B" w:rsidP="004A5CA0">
      <w:pPr>
        <w:pStyle w:val="para"/>
        <w:numPr>
          <w:ilvl w:val="0"/>
          <w:numId w:val="0"/>
        </w:numPr>
        <w:tabs>
          <w:tab w:val="left" w:pos="1440"/>
        </w:tabs>
        <w:autoSpaceDE w:val="0"/>
        <w:autoSpaceDN w:val="0"/>
        <w:adjustRightInd w:val="0"/>
        <w:snapToGrid/>
        <w:spacing w:before="360"/>
        <w:ind w:right="29"/>
        <w:rPr>
          <w:rFonts w:eastAsia="Times New Roman"/>
          <w:sz w:val="24"/>
        </w:rPr>
      </w:pPr>
      <w:r>
        <w:fldChar w:fldCharType="begin"/>
      </w:r>
      <w:r w:rsidR="00151B98">
        <w:instrText xml:space="preserve"> AUTONUMOUT  </w:instrText>
      </w:r>
      <w:r>
        <w:fldChar w:fldCharType="end"/>
      </w:r>
      <w:r w:rsidR="00151B98">
        <w:tab/>
      </w:r>
      <w:r w:rsidR="00D076B3">
        <w:t>Lord Reed concluded that:</w:t>
      </w:r>
      <w:r w:rsidR="00D076B3">
        <w:rPr>
          <w:rStyle w:val="FootnoteReference"/>
        </w:rPr>
        <w:footnoteReference w:id="53"/>
      </w:r>
    </w:p>
    <w:p w:rsidR="007A5758" w:rsidRDefault="00EE098B" w:rsidP="00151B98">
      <w:pPr>
        <w:tabs>
          <w:tab w:val="clear" w:pos="4320"/>
          <w:tab w:val="clear" w:pos="9072"/>
        </w:tabs>
        <w:spacing w:before="240"/>
        <w:ind w:left="1440" w:right="749" w:hanging="173"/>
        <w:jc w:val="both"/>
        <w:rPr>
          <w:sz w:val="24"/>
          <w:szCs w:val="24"/>
        </w:rPr>
      </w:pPr>
      <w:r>
        <w:rPr>
          <w:noProof/>
          <w:sz w:val="24"/>
          <w:szCs w:val="24"/>
          <w:lang w:val="en-US"/>
        </w:rPr>
        <w:pict>
          <v:shape id="_x0000_s1033" type="#_x0000_t202" style="position:absolute;left:0;text-align:left;margin-left:414.05pt;margin-top:57.75pt;width:62.15pt;height:21.9pt;z-index:251657728" filled="f" stroked="f">
            <v:textbox>
              <w:txbxContent>
                <w:p w:rsidR="00FF5444" w:rsidRPr="008A3982" w:rsidRDefault="00FF5444" w:rsidP="008A3982"/>
              </w:txbxContent>
            </v:textbox>
          </v:shape>
        </w:pict>
      </w:r>
      <w:r w:rsidR="00151B98">
        <w:rPr>
          <w:szCs w:val="24"/>
        </w:rPr>
        <w:t>“</w:t>
      </w:r>
      <w:r w:rsidR="00151B98">
        <w:rPr>
          <w:szCs w:val="24"/>
        </w:rPr>
        <w:tab/>
      </w:r>
      <w:r w:rsidR="00D076B3" w:rsidRPr="00151B98">
        <w:rPr>
          <w:sz w:val="24"/>
          <w:szCs w:val="24"/>
        </w:rPr>
        <w:t xml:space="preserve">… in this area as in others the common law is capable of development. </w:t>
      </w:r>
      <w:r w:rsidR="004A5CA0">
        <w:rPr>
          <w:sz w:val="24"/>
          <w:szCs w:val="24"/>
        </w:rPr>
        <w:t xml:space="preserve"> </w:t>
      </w:r>
      <w:r w:rsidR="00D076B3" w:rsidRPr="00151B98">
        <w:rPr>
          <w:sz w:val="24"/>
          <w:szCs w:val="24"/>
        </w:rPr>
        <w:t xml:space="preserve">The application of the principle of open justice </w:t>
      </w:r>
      <w:r w:rsidR="00D076B3" w:rsidRPr="00151B98">
        <w:rPr>
          <w:sz w:val="24"/>
          <w:szCs w:val="24"/>
        </w:rPr>
        <w:lastRenderedPageBreak/>
        <w:t>may change in response to changes in society and in the administration of justice.</w:t>
      </w:r>
      <w:r w:rsidR="004A5CA0">
        <w:rPr>
          <w:sz w:val="24"/>
          <w:szCs w:val="24"/>
        </w:rPr>
        <w:t xml:space="preserve"> </w:t>
      </w:r>
      <w:r w:rsidR="00D076B3" w:rsidRPr="00151B98">
        <w:rPr>
          <w:sz w:val="24"/>
          <w:szCs w:val="24"/>
        </w:rPr>
        <w:t xml:space="preserve"> It can also develop having regard to the approach adopted in other common law countries, some of which have constitutional texts containing guarantees comparable to the Convention rights, while in others the appr</w:t>
      </w:r>
      <w:r w:rsidR="004A5CA0">
        <w:rPr>
          <w:sz w:val="24"/>
          <w:szCs w:val="24"/>
        </w:rPr>
        <w:t>oach adopted reflects the Court’</w:t>
      </w:r>
      <w:r w:rsidR="00D076B3" w:rsidRPr="00151B98">
        <w:rPr>
          <w:sz w:val="24"/>
          <w:szCs w:val="24"/>
        </w:rPr>
        <w:t xml:space="preserve">s view </w:t>
      </w:r>
      <w:r w:rsidR="00151B98">
        <w:rPr>
          <w:sz w:val="24"/>
          <w:szCs w:val="24"/>
        </w:rPr>
        <w:t>of the requirements of justice.”</w:t>
      </w:r>
    </w:p>
    <w:p w:rsidR="00151B98" w:rsidRDefault="00151B98" w:rsidP="007A5758">
      <w:pPr>
        <w:tabs>
          <w:tab w:val="clear" w:pos="4320"/>
          <w:tab w:val="clear" w:pos="9072"/>
        </w:tabs>
        <w:adjustRightInd w:val="0"/>
        <w:spacing w:line="200" w:lineRule="exact"/>
        <w:ind w:left="1454" w:right="907" w:hanging="187"/>
        <w:jc w:val="both"/>
        <w:rPr>
          <w:sz w:val="24"/>
          <w:szCs w:val="24"/>
        </w:rPr>
      </w:pPr>
    </w:p>
    <w:p w:rsidR="00151B98" w:rsidRDefault="00EE098B" w:rsidP="00151B98">
      <w:pPr>
        <w:tabs>
          <w:tab w:val="clear" w:pos="4320"/>
          <w:tab w:val="clear" w:pos="9072"/>
        </w:tabs>
        <w:autoSpaceDE w:val="0"/>
        <w:autoSpaceDN w:val="0"/>
        <w:adjustRightInd w:val="0"/>
        <w:snapToGrid/>
        <w:spacing w:before="360" w:line="360" w:lineRule="auto"/>
        <w:ind w:right="29"/>
        <w:jc w:val="both"/>
      </w:pPr>
      <w:r w:rsidRPr="00151B98">
        <w:rPr>
          <w:szCs w:val="28"/>
        </w:rPr>
        <w:fldChar w:fldCharType="begin"/>
      </w:r>
      <w:r w:rsidR="00151B98" w:rsidRPr="00151B98">
        <w:rPr>
          <w:szCs w:val="28"/>
        </w:rPr>
        <w:instrText xml:space="preserve"> AUTONUMOUT  </w:instrText>
      </w:r>
      <w:r w:rsidRPr="00151B98">
        <w:rPr>
          <w:szCs w:val="28"/>
        </w:rPr>
        <w:fldChar w:fldCharType="end"/>
      </w:r>
      <w:r w:rsidR="00151B98" w:rsidRPr="00151B98">
        <w:rPr>
          <w:szCs w:val="28"/>
        </w:rPr>
        <w:tab/>
      </w:r>
      <w:r w:rsidR="00D076B3">
        <w:t>Of the competing rights enjoyed pursuant to the European Convention for the Protection of Human Rights and Fundamental Freedoms Lord Reed noted:</w:t>
      </w:r>
      <w:r w:rsidR="00D076B3">
        <w:rPr>
          <w:rStyle w:val="FootnoteReference"/>
        </w:rPr>
        <w:footnoteReference w:id="54"/>
      </w:r>
    </w:p>
    <w:p w:rsidR="007A5758" w:rsidRDefault="00151B98" w:rsidP="00151B98">
      <w:pPr>
        <w:tabs>
          <w:tab w:val="clear" w:pos="4320"/>
          <w:tab w:val="clear" w:pos="9072"/>
          <w:tab w:val="left" w:pos="1267"/>
        </w:tabs>
        <w:spacing w:before="240"/>
        <w:ind w:left="1454" w:right="749" w:hanging="187"/>
        <w:jc w:val="both"/>
        <w:rPr>
          <w:sz w:val="24"/>
          <w:szCs w:val="24"/>
        </w:rPr>
      </w:pPr>
      <w:r>
        <w:rPr>
          <w:sz w:val="24"/>
          <w:szCs w:val="24"/>
        </w:rPr>
        <w:t>“</w:t>
      </w:r>
      <w:r>
        <w:rPr>
          <w:sz w:val="24"/>
          <w:szCs w:val="24"/>
        </w:rPr>
        <w:tab/>
      </w:r>
      <w:r w:rsidR="00D076B3" w:rsidRPr="00151B98">
        <w:rPr>
          <w:sz w:val="24"/>
          <w:szCs w:val="24"/>
        </w:rPr>
        <w:t xml:space="preserve">… </w:t>
      </w:r>
      <w:proofErr w:type="gramStart"/>
      <w:r w:rsidR="00D076B3" w:rsidRPr="00151B98">
        <w:rPr>
          <w:sz w:val="24"/>
          <w:szCs w:val="24"/>
        </w:rPr>
        <w:t>the</w:t>
      </w:r>
      <w:proofErr w:type="gramEnd"/>
      <w:r w:rsidR="00D076B3" w:rsidRPr="00151B98">
        <w:rPr>
          <w:sz w:val="24"/>
          <w:szCs w:val="24"/>
        </w:rPr>
        <w:t xml:space="preserve"> principle of open justice is</w:t>
      </w:r>
      <w:r w:rsidR="00C414C9">
        <w:rPr>
          <w:sz w:val="24"/>
          <w:szCs w:val="24"/>
        </w:rPr>
        <w:t xml:space="preserve"> expressly protected by article </w:t>
      </w:r>
      <w:r w:rsidR="00D076B3" w:rsidRPr="00151B98">
        <w:rPr>
          <w:sz w:val="24"/>
          <w:szCs w:val="24"/>
        </w:rPr>
        <w:t xml:space="preserve">6.1, which provides that in the determination of his civil rights and obligations or of any criminal charge against him, everyone is entitled to a public hearing. </w:t>
      </w:r>
      <w:r w:rsidR="004A5CA0">
        <w:rPr>
          <w:sz w:val="24"/>
          <w:szCs w:val="24"/>
        </w:rPr>
        <w:t xml:space="preserve"> </w:t>
      </w:r>
      <w:r w:rsidR="00D076B3" w:rsidRPr="00151B98">
        <w:rPr>
          <w:sz w:val="24"/>
          <w:szCs w:val="24"/>
        </w:rPr>
        <w:t>Article 6.1 also provides that judgmen</w:t>
      </w:r>
      <w:r>
        <w:rPr>
          <w:sz w:val="24"/>
          <w:szCs w:val="24"/>
        </w:rPr>
        <w:t>t shall be pronounced publicly.”</w:t>
      </w:r>
    </w:p>
    <w:p w:rsidR="00151B98" w:rsidRDefault="00151B98" w:rsidP="007A5758">
      <w:pPr>
        <w:tabs>
          <w:tab w:val="clear" w:pos="4320"/>
          <w:tab w:val="clear" w:pos="9072"/>
          <w:tab w:val="left" w:pos="1267"/>
        </w:tabs>
        <w:adjustRightInd w:val="0"/>
        <w:spacing w:line="200" w:lineRule="exact"/>
        <w:ind w:left="1454" w:right="907" w:hanging="187"/>
        <w:jc w:val="both"/>
        <w:rPr>
          <w:sz w:val="24"/>
          <w:szCs w:val="24"/>
        </w:rPr>
      </w:pPr>
    </w:p>
    <w:p w:rsidR="00D076B3" w:rsidRPr="00151B98" w:rsidRDefault="00EE098B" w:rsidP="00151B98">
      <w:pPr>
        <w:tabs>
          <w:tab w:val="clear" w:pos="4320"/>
          <w:tab w:val="clear" w:pos="9072"/>
        </w:tabs>
        <w:autoSpaceDE w:val="0"/>
        <w:autoSpaceDN w:val="0"/>
        <w:adjustRightInd w:val="0"/>
        <w:snapToGrid/>
        <w:spacing w:before="360" w:line="360" w:lineRule="auto"/>
        <w:ind w:right="29"/>
        <w:jc w:val="both"/>
        <w:rPr>
          <w:sz w:val="24"/>
          <w:szCs w:val="24"/>
        </w:rPr>
      </w:pPr>
      <w:r w:rsidRPr="00E4041C">
        <w:rPr>
          <w:szCs w:val="28"/>
        </w:rPr>
        <w:fldChar w:fldCharType="begin"/>
      </w:r>
      <w:r w:rsidR="00151B98" w:rsidRPr="00E4041C">
        <w:rPr>
          <w:szCs w:val="28"/>
        </w:rPr>
        <w:instrText xml:space="preserve"> AUTONUMOUT  </w:instrText>
      </w:r>
      <w:r w:rsidRPr="00E4041C">
        <w:rPr>
          <w:szCs w:val="28"/>
        </w:rPr>
        <w:fldChar w:fldCharType="end"/>
      </w:r>
      <w:r w:rsidR="00151B98" w:rsidRPr="00E4041C">
        <w:rPr>
          <w:szCs w:val="28"/>
        </w:rPr>
        <w:tab/>
      </w:r>
      <w:r w:rsidR="00D076B3" w:rsidRPr="003E0F38">
        <w:t>However, he noted that it was subject to qualifications:</w:t>
      </w:r>
      <w:r w:rsidR="00D076B3">
        <w:rPr>
          <w:rStyle w:val="FootnoteReference"/>
        </w:rPr>
        <w:footnoteReference w:id="55"/>
      </w:r>
    </w:p>
    <w:p w:rsidR="00151B98" w:rsidRDefault="00151B98" w:rsidP="00151B98">
      <w:pPr>
        <w:tabs>
          <w:tab w:val="clear" w:pos="4320"/>
          <w:tab w:val="clear" w:pos="9072"/>
          <w:tab w:val="left" w:pos="1267"/>
        </w:tabs>
        <w:spacing w:before="240"/>
        <w:ind w:left="1454" w:right="749" w:hanging="187"/>
        <w:jc w:val="both"/>
        <w:rPr>
          <w:sz w:val="24"/>
          <w:szCs w:val="24"/>
        </w:rPr>
      </w:pPr>
      <w:r>
        <w:rPr>
          <w:szCs w:val="24"/>
        </w:rPr>
        <w:t>“</w:t>
      </w:r>
      <w:r>
        <w:rPr>
          <w:szCs w:val="24"/>
        </w:rPr>
        <w:tab/>
      </w:r>
      <w:r w:rsidR="00D076B3" w:rsidRPr="00151B98">
        <w:rPr>
          <w:sz w:val="24"/>
          <w:szCs w:val="24"/>
        </w:rPr>
        <w:t>the press and public may be excluded from all or part of the trial in the interests of morals, public order or national security in a democratic society, where the interests of juveniles or the protection of the private life of the parties so require, or to the extent strictly necessary in the opinion of the court in special circumstances where publicity would prej</w:t>
      </w:r>
      <w:r>
        <w:rPr>
          <w:sz w:val="24"/>
          <w:szCs w:val="24"/>
        </w:rPr>
        <w:t>udice the interests of justice.”</w:t>
      </w:r>
    </w:p>
    <w:p w:rsidR="00151B98" w:rsidRDefault="00151B98" w:rsidP="00151B98">
      <w:pPr>
        <w:tabs>
          <w:tab w:val="clear" w:pos="4320"/>
          <w:tab w:val="clear" w:pos="9072"/>
          <w:tab w:val="left" w:pos="1267"/>
        </w:tabs>
        <w:adjustRightInd w:val="0"/>
        <w:spacing w:line="200" w:lineRule="exact"/>
        <w:ind w:left="1454" w:right="907" w:hanging="187"/>
        <w:jc w:val="both"/>
        <w:rPr>
          <w:sz w:val="24"/>
          <w:szCs w:val="24"/>
        </w:rPr>
      </w:pPr>
    </w:p>
    <w:p w:rsidR="00D076B3" w:rsidRPr="00151B98" w:rsidRDefault="00EE098B" w:rsidP="004A5CA0">
      <w:pPr>
        <w:tabs>
          <w:tab w:val="clear" w:pos="4320"/>
          <w:tab w:val="clear" w:pos="9072"/>
        </w:tabs>
        <w:autoSpaceDE w:val="0"/>
        <w:autoSpaceDN w:val="0"/>
        <w:adjustRightInd w:val="0"/>
        <w:snapToGrid/>
        <w:spacing w:before="360" w:line="360" w:lineRule="auto"/>
        <w:ind w:right="29"/>
        <w:jc w:val="both"/>
        <w:rPr>
          <w:sz w:val="24"/>
          <w:szCs w:val="24"/>
        </w:rPr>
      </w:pPr>
      <w:r w:rsidRPr="00E4041C">
        <w:rPr>
          <w:szCs w:val="28"/>
        </w:rPr>
        <w:fldChar w:fldCharType="begin"/>
      </w:r>
      <w:r w:rsidR="00151B98" w:rsidRPr="00E4041C">
        <w:rPr>
          <w:szCs w:val="28"/>
        </w:rPr>
        <w:instrText xml:space="preserve"> AUTONUMOUT  </w:instrText>
      </w:r>
      <w:r w:rsidRPr="00E4041C">
        <w:rPr>
          <w:szCs w:val="28"/>
        </w:rPr>
        <w:fldChar w:fldCharType="end"/>
      </w:r>
      <w:r w:rsidR="00151B98" w:rsidRPr="00E4041C">
        <w:rPr>
          <w:szCs w:val="28"/>
        </w:rPr>
        <w:tab/>
      </w:r>
      <w:r w:rsidR="00D076B3" w:rsidRPr="003E0F38">
        <w:t>Of the need to strike a balance in the exercise of competing rights, he said:</w:t>
      </w:r>
      <w:r w:rsidR="00D076B3">
        <w:rPr>
          <w:rStyle w:val="FootnoteReference"/>
        </w:rPr>
        <w:footnoteReference w:id="56"/>
      </w:r>
    </w:p>
    <w:p w:rsidR="007A5758" w:rsidRDefault="00151B98" w:rsidP="00151B98">
      <w:pPr>
        <w:tabs>
          <w:tab w:val="clear" w:pos="4320"/>
          <w:tab w:val="clear" w:pos="9072"/>
          <w:tab w:val="left" w:pos="1267"/>
        </w:tabs>
        <w:spacing w:before="240"/>
        <w:ind w:left="1454" w:right="749" w:hanging="187"/>
        <w:jc w:val="both"/>
        <w:rPr>
          <w:sz w:val="24"/>
          <w:szCs w:val="24"/>
        </w:rPr>
      </w:pPr>
      <w:r>
        <w:rPr>
          <w:szCs w:val="24"/>
        </w:rPr>
        <w:t>“</w:t>
      </w:r>
      <w:r>
        <w:rPr>
          <w:szCs w:val="24"/>
        </w:rPr>
        <w:tab/>
      </w:r>
      <w:r w:rsidR="00D076B3" w:rsidRPr="00151B98">
        <w:rPr>
          <w:sz w:val="24"/>
          <w:szCs w:val="24"/>
        </w:rPr>
        <w:t xml:space="preserve">Where there is a conflict between the right of the media to report legal proceedings and the rights of litigants or others under a guarantee which is itself qualified, such as article 8, a balance must be struck, so as to ensure that any restriction upon the rights of the media, on the one hand, or of the </w:t>
      </w:r>
      <w:r w:rsidR="00D076B3" w:rsidRPr="00151B98">
        <w:rPr>
          <w:sz w:val="24"/>
          <w:szCs w:val="24"/>
        </w:rPr>
        <w:lastRenderedPageBreak/>
        <w:t xml:space="preserve">litigants or third parties, on the other hand, is proportionate in the circumstances. </w:t>
      </w:r>
      <w:r w:rsidR="00884E2E">
        <w:rPr>
          <w:sz w:val="24"/>
          <w:szCs w:val="24"/>
        </w:rPr>
        <w:t xml:space="preserve"> </w:t>
      </w:r>
      <w:r w:rsidR="00D076B3" w:rsidRPr="00151B98">
        <w:rPr>
          <w:sz w:val="24"/>
          <w:szCs w:val="24"/>
        </w:rPr>
        <w:t xml:space="preserve">The approach which should be adopted was considered in detail by Lord </w:t>
      </w:r>
      <w:proofErr w:type="spellStart"/>
      <w:r w:rsidR="00D076B3" w:rsidRPr="00151B98">
        <w:rPr>
          <w:sz w:val="24"/>
          <w:szCs w:val="24"/>
        </w:rPr>
        <w:t>Steyn</w:t>
      </w:r>
      <w:proofErr w:type="spellEnd"/>
      <w:r w:rsidR="00D076B3" w:rsidRPr="00151B98">
        <w:rPr>
          <w:sz w:val="24"/>
          <w:szCs w:val="24"/>
        </w:rPr>
        <w:t xml:space="preserve"> in </w:t>
      </w:r>
      <w:proofErr w:type="spellStart"/>
      <w:r w:rsidR="00D076B3" w:rsidRPr="00151B98">
        <w:rPr>
          <w:i/>
          <w:iCs/>
          <w:sz w:val="24"/>
          <w:szCs w:val="24"/>
        </w:rPr>
        <w:t>In</w:t>
      </w:r>
      <w:proofErr w:type="spellEnd"/>
      <w:r w:rsidR="00D076B3" w:rsidRPr="00151B98">
        <w:rPr>
          <w:i/>
          <w:iCs/>
          <w:sz w:val="24"/>
          <w:szCs w:val="24"/>
        </w:rPr>
        <w:t xml:space="preserve"> re S (A Child) (Identification: Restrictions on Publication) </w:t>
      </w:r>
      <w:hyperlink r:id="rId8" w:tooltip="Link to BAILII version" w:history="1">
        <w:r w:rsidR="00D076B3" w:rsidRPr="009B38D9">
          <w:rPr>
            <w:rStyle w:val="Hyperlink"/>
            <w:color w:val="auto"/>
            <w:sz w:val="24"/>
            <w:szCs w:val="24"/>
          </w:rPr>
          <w:t>[2004] UKHL 47</w:t>
        </w:r>
      </w:hyperlink>
      <w:r w:rsidR="00D076B3" w:rsidRPr="009B38D9">
        <w:rPr>
          <w:sz w:val="24"/>
          <w:szCs w:val="24"/>
        </w:rPr>
        <w:t xml:space="preserve">; </w:t>
      </w:r>
      <w:hyperlink r:id="rId9" w:tooltip="Link to BAILII version" w:history="1">
        <w:r w:rsidR="00D076B3" w:rsidRPr="009B38D9">
          <w:rPr>
            <w:rStyle w:val="Hyperlink"/>
            <w:color w:val="auto"/>
            <w:sz w:val="24"/>
            <w:szCs w:val="24"/>
          </w:rPr>
          <w:t>[2005] 1 AC 593</w:t>
        </w:r>
      </w:hyperlink>
      <w:r w:rsidR="00D076B3" w:rsidRPr="00151B98">
        <w:rPr>
          <w:sz w:val="24"/>
          <w:szCs w:val="24"/>
        </w:rPr>
        <w:t xml:space="preserve">, and by Lord Rodger in </w:t>
      </w:r>
      <w:proofErr w:type="spellStart"/>
      <w:r w:rsidR="00D076B3" w:rsidRPr="00151B98">
        <w:rPr>
          <w:i/>
          <w:iCs/>
          <w:sz w:val="24"/>
          <w:szCs w:val="24"/>
        </w:rPr>
        <w:t>In</w:t>
      </w:r>
      <w:proofErr w:type="spellEnd"/>
      <w:r w:rsidR="00D076B3" w:rsidRPr="00151B98">
        <w:rPr>
          <w:i/>
          <w:iCs/>
          <w:sz w:val="24"/>
          <w:szCs w:val="24"/>
        </w:rPr>
        <w:t xml:space="preserve"> re Guardian News and Media Ltd </w:t>
      </w:r>
      <w:hyperlink r:id="rId10" w:tooltip="Link to BAILII version" w:history="1">
        <w:r w:rsidR="00D076B3" w:rsidRPr="009B38D9">
          <w:rPr>
            <w:rStyle w:val="Hyperlink"/>
            <w:color w:val="auto"/>
            <w:sz w:val="24"/>
            <w:szCs w:val="24"/>
          </w:rPr>
          <w:t>[2010] UKSC 1</w:t>
        </w:r>
      </w:hyperlink>
      <w:r w:rsidR="00D076B3" w:rsidRPr="009B38D9">
        <w:rPr>
          <w:sz w:val="24"/>
          <w:szCs w:val="24"/>
        </w:rPr>
        <w:t xml:space="preserve">; </w:t>
      </w:r>
      <w:hyperlink r:id="rId11" w:tooltip="Link to BAILII version" w:history="1">
        <w:r w:rsidR="00D076B3" w:rsidRPr="009B38D9">
          <w:rPr>
            <w:rStyle w:val="Hyperlink"/>
            <w:color w:val="auto"/>
            <w:sz w:val="24"/>
            <w:szCs w:val="24"/>
          </w:rPr>
          <w:t>[2010] 2 AC 697</w:t>
        </w:r>
      </w:hyperlink>
      <w:r w:rsidR="00884E2E">
        <w:rPr>
          <w:sz w:val="24"/>
          <w:szCs w:val="24"/>
        </w:rPr>
        <w:t>.</w:t>
      </w:r>
      <w:r>
        <w:rPr>
          <w:sz w:val="24"/>
          <w:szCs w:val="24"/>
        </w:rPr>
        <w:t>”</w:t>
      </w:r>
    </w:p>
    <w:p w:rsidR="00151B98" w:rsidRDefault="00151B98" w:rsidP="007A5758">
      <w:pPr>
        <w:tabs>
          <w:tab w:val="clear" w:pos="4320"/>
          <w:tab w:val="clear" w:pos="9072"/>
          <w:tab w:val="left" w:pos="1267"/>
        </w:tabs>
        <w:adjustRightInd w:val="0"/>
        <w:spacing w:line="200" w:lineRule="exact"/>
        <w:ind w:left="1454" w:right="907" w:hanging="187"/>
        <w:jc w:val="both"/>
        <w:rPr>
          <w:sz w:val="24"/>
          <w:szCs w:val="24"/>
        </w:rPr>
      </w:pPr>
    </w:p>
    <w:p w:rsidR="00D076B3" w:rsidRPr="003E0F38" w:rsidRDefault="00EE098B" w:rsidP="00151B98">
      <w:pPr>
        <w:tabs>
          <w:tab w:val="clear" w:pos="4320"/>
          <w:tab w:val="clear" w:pos="9072"/>
        </w:tabs>
        <w:autoSpaceDE w:val="0"/>
        <w:autoSpaceDN w:val="0"/>
        <w:adjustRightInd w:val="0"/>
        <w:snapToGrid/>
        <w:spacing w:before="360" w:line="360" w:lineRule="auto"/>
        <w:ind w:right="29"/>
        <w:jc w:val="both"/>
      </w:pPr>
      <w:r>
        <w:fldChar w:fldCharType="begin"/>
      </w:r>
      <w:r w:rsidR="00151B98">
        <w:instrText xml:space="preserve"> AUTONUMOUT  </w:instrText>
      </w:r>
      <w:r>
        <w:fldChar w:fldCharType="end"/>
      </w:r>
      <w:r w:rsidR="00151B98">
        <w:tab/>
      </w:r>
      <w:r w:rsidR="00D076B3" w:rsidRPr="003E0F38">
        <w:t>Nevertheless, of the hierarchy of rights he said:</w:t>
      </w:r>
      <w:r w:rsidR="00D076B3">
        <w:rPr>
          <w:rStyle w:val="FootnoteReference"/>
        </w:rPr>
        <w:footnoteReference w:id="57"/>
      </w:r>
    </w:p>
    <w:p w:rsidR="007A5758" w:rsidRDefault="00151B98" w:rsidP="00151B98">
      <w:pPr>
        <w:tabs>
          <w:tab w:val="clear" w:pos="4320"/>
          <w:tab w:val="clear" w:pos="9072"/>
          <w:tab w:val="left" w:pos="1267"/>
        </w:tabs>
        <w:spacing w:before="240"/>
        <w:ind w:left="1454" w:right="749" w:hanging="187"/>
        <w:jc w:val="both"/>
        <w:rPr>
          <w:sz w:val="24"/>
          <w:szCs w:val="24"/>
        </w:rPr>
      </w:pPr>
      <w:r>
        <w:rPr>
          <w:sz w:val="24"/>
          <w:szCs w:val="24"/>
        </w:rPr>
        <w:t>“</w:t>
      </w:r>
      <w:r>
        <w:rPr>
          <w:sz w:val="24"/>
          <w:szCs w:val="24"/>
        </w:rPr>
        <w:tab/>
      </w:r>
      <w:r w:rsidR="00D076B3" w:rsidRPr="00151B98">
        <w:rPr>
          <w:sz w:val="24"/>
          <w:szCs w:val="24"/>
        </w:rPr>
        <w:t>Where th</w:t>
      </w:r>
      <w:r w:rsidR="00884E2E">
        <w:rPr>
          <w:sz w:val="24"/>
          <w:szCs w:val="24"/>
        </w:rPr>
        <w:t>e conflict is between the media’</w:t>
      </w:r>
      <w:r w:rsidR="00C414C9">
        <w:rPr>
          <w:sz w:val="24"/>
          <w:szCs w:val="24"/>
        </w:rPr>
        <w:t>s rights under article </w:t>
      </w:r>
      <w:r w:rsidR="00D076B3" w:rsidRPr="00151B98">
        <w:rPr>
          <w:sz w:val="24"/>
          <w:szCs w:val="24"/>
        </w:rPr>
        <w:t xml:space="preserve">10 and an unqualified right of some other party, such as the rights guaranteed by articles 2, 3 and 6.1, there can be </w:t>
      </w:r>
      <w:r>
        <w:rPr>
          <w:sz w:val="24"/>
          <w:szCs w:val="24"/>
        </w:rPr>
        <w:t>no derogation from the latter.”</w:t>
      </w:r>
    </w:p>
    <w:p w:rsidR="00151B98" w:rsidRDefault="00151B98" w:rsidP="007A5758">
      <w:pPr>
        <w:tabs>
          <w:tab w:val="clear" w:pos="4320"/>
          <w:tab w:val="clear" w:pos="9072"/>
          <w:tab w:val="left" w:pos="1267"/>
        </w:tabs>
        <w:adjustRightInd w:val="0"/>
        <w:spacing w:line="200" w:lineRule="exact"/>
        <w:ind w:left="1454" w:right="907" w:hanging="187"/>
        <w:jc w:val="both"/>
        <w:rPr>
          <w:sz w:val="24"/>
          <w:szCs w:val="24"/>
        </w:rPr>
      </w:pPr>
    </w:p>
    <w:p w:rsidR="00D076B3" w:rsidRPr="009F5B4E" w:rsidRDefault="00EE098B" w:rsidP="00151B98">
      <w:pPr>
        <w:pStyle w:val="JDINumber"/>
        <w:numPr>
          <w:ilvl w:val="0"/>
          <w:numId w:val="0"/>
        </w:numPr>
        <w:tabs>
          <w:tab w:val="left" w:pos="1440"/>
        </w:tabs>
        <w:autoSpaceDE w:val="0"/>
        <w:autoSpaceDN w:val="0"/>
        <w:adjustRightInd w:val="0"/>
        <w:ind w:right="29"/>
        <w:rPr>
          <w:sz w:val="28"/>
          <w:szCs w:val="28"/>
          <w:lang w:val="en-GB"/>
        </w:rPr>
      </w:pPr>
      <w:r>
        <w:rPr>
          <w:sz w:val="28"/>
          <w:szCs w:val="28"/>
          <w:lang w:val="en-GB"/>
        </w:rPr>
        <w:fldChar w:fldCharType="begin"/>
      </w:r>
      <w:r w:rsidR="00151B98">
        <w:rPr>
          <w:sz w:val="28"/>
          <w:szCs w:val="28"/>
          <w:lang w:val="en-GB"/>
        </w:rPr>
        <w:instrText xml:space="preserve"> AUTONUMOUT  </w:instrText>
      </w:r>
      <w:r>
        <w:rPr>
          <w:sz w:val="28"/>
          <w:szCs w:val="28"/>
          <w:lang w:val="en-GB"/>
        </w:rPr>
        <w:fldChar w:fldCharType="end"/>
      </w:r>
      <w:r w:rsidR="00151B98">
        <w:rPr>
          <w:sz w:val="28"/>
          <w:szCs w:val="28"/>
          <w:lang w:val="en-GB"/>
        </w:rPr>
        <w:tab/>
      </w:r>
      <w:r w:rsidR="00D076B3" w:rsidRPr="009F5B4E">
        <w:rPr>
          <w:sz w:val="28"/>
          <w:szCs w:val="28"/>
          <w:lang w:val="en-GB"/>
        </w:rPr>
        <w:t>In the judgment of the majority</w:t>
      </w:r>
      <w:r w:rsidR="00884E2E">
        <w:rPr>
          <w:sz w:val="28"/>
          <w:szCs w:val="28"/>
          <w:lang w:val="en-GB"/>
        </w:rPr>
        <w:t> </w:t>
      </w:r>
      <w:r w:rsidR="00D076B3">
        <w:rPr>
          <w:rStyle w:val="FootnoteReference"/>
          <w:sz w:val="28"/>
          <w:szCs w:val="28"/>
        </w:rPr>
        <w:footnoteReference w:id="58"/>
      </w:r>
      <w:r w:rsidR="00D076B3" w:rsidRPr="009F5B4E">
        <w:rPr>
          <w:sz w:val="28"/>
          <w:szCs w:val="28"/>
          <w:lang w:val="en-GB"/>
        </w:rPr>
        <w:t xml:space="preserve"> in the Supreme Court of New Zealand in </w:t>
      </w:r>
      <w:proofErr w:type="spellStart"/>
      <w:r w:rsidR="00D076B3" w:rsidRPr="009F5B4E">
        <w:rPr>
          <w:i/>
          <w:sz w:val="28"/>
          <w:szCs w:val="28"/>
          <w:lang w:val="en-GB"/>
        </w:rPr>
        <w:t>Seimer</w:t>
      </w:r>
      <w:proofErr w:type="spellEnd"/>
      <w:r w:rsidR="00D076B3" w:rsidRPr="009F5B4E">
        <w:rPr>
          <w:sz w:val="28"/>
          <w:szCs w:val="28"/>
          <w:lang w:val="en-GB"/>
        </w:rPr>
        <w:t xml:space="preserve"> the issue of whether or not the</w:t>
      </w:r>
      <w:r w:rsidR="00D076B3">
        <w:rPr>
          <w:sz w:val="28"/>
          <w:szCs w:val="28"/>
          <w:lang w:val="en-GB"/>
        </w:rPr>
        <w:t xml:space="preserve"> courts of</w:t>
      </w:r>
      <w:r w:rsidR="00C414C9">
        <w:rPr>
          <w:sz w:val="28"/>
          <w:szCs w:val="28"/>
          <w:lang w:val="en-GB"/>
        </w:rPr>
        <w:t xml:space="preserve"> New</w:t>
      </w:r>
      <w:r w:rsidR="00C414C9" w:rsidRPr="00E43DEA">
        <w:rPr>
          <w:rFonts w:eastAsia="宋体"/>
          <w:snapToGrid w:val="0"/>
          <w:spacing w:val="20"/>
          <w:w w:val="200"/>
          <w:kern w:val="0"/>
          <w:szCs w:val="28"/>
          <w:lang w:val="en-GB"/>
        </w:rPr>
        <w:t> </w:t>
      </w:r>
      <w:r w:rsidR="00D076B3" w:rsidRPr="009F5B4E">
        <w:rPr>
          <w:sz w:val="28"/>
          <w:szCs w:val="28"/>
          <w:lang w:val="en-GB"/>
        </w:rPr>
        <w:t>Zealand had an inherent power to prohibit publication of information relating to proceedings was addressed:</w:t>
      </w:r>
      <w:r w:rsidR="00D076B3">
        <w:rPr>
          <w:rStyle w:val="FootnoteReference"/>
          <w:sz w:val="28"/>
          <w:szCs w:val="28"/>
        </w:rPr>
        <w:footnoteReference w:id="59"/>
      </w:r>
    </w:p>
    <w:p w:rsidR="0046553C" w:rsidRDefault="00151B98" w:rsidP="0046553C">
      <w:pPr>
        <w:pStyle w:val="JDINumber"/>
        <w:numPr>
          <w:ilvl w:val="0"/>
          <w:numId w:val="0"/>
        </w:numPr>
        <w:tabs>
          <w:tab w:val="left" w:pos="1267"/>
        </w:tabs>
        <w:snapToGrid w:val="0"/>
        <w:spacing w:before="240" w:line="240" w:lineRule="auto"/>
        <w:ind w:left="1454" w:right="749" w:hanging="187"/>
      </w:pPr>
      <w:r>
        <w:rPr>
          <w:lang w:val="en-GB"/>
        </w:rPr>
        <w:t>“</w:t>
      </w:r>
      <w:r>
        <w:rPr>
          <w:lang w:val="en-GB"/>
        </w:rPr>
        <w:tab/>
      </w:r>
      <w:r w:rsidR="00D076B3" w:rsidRPr="00151B98">
        <w:t xml:space="preserve">The leading New Zealand cases are the Court of Appeal’s judgments in </w:t>
      </w:r>
      <w:r w:rsidR="00D076B3" w:rsidRPr="00151B98">
        <w:rPr>
          <w:i/>
        </w:rPr>
        <w:t>Taylor</w:t>
      </w:r>
      <w:bookmarkStart w:id="3" w:name="_Ref356986645"/>
      <w:r w:rsidR="00884E2E">
        <w:rPr>
          <w:i/>
        </w:rPr>
        <w:t> </w:t>
      </w:r>
      <w:r w:rsidR="00D076B3" w:rsidRPr="00151B98">
        <w:rPr>
          <w:rStyle w:val="FootnoteReference"/>
        </w:rPr>
        <w:footnoteReference w:id="60"/>
      </w:r>
      <w:bookmarkEnd w:id="3"/>
      <w:r w:rsidR="00D076B3" w:rsidRPr="00151B98">
        <w:t xml:space="preserve"> and </w:t>
      </w:r>
      <w:r w:rsidR="00D076B3" w:rsidRPr="00151B98">
        <w:rPr>
          <w:i/>
        </w:rPr>
        <w:t>Broadcasting Corporation of New Zealand v Attorney-General</w:t>
      </w:r>
      <w:r w:rsidR="00D076B3" w:rsidRPr="00151B98">
        <w:t>.</w:t>
      </w:r>
      <w:bookmarkStart w:id="4" w:name="_Ref356986147"/>
      <w:r w:rsidR="00D076B3" w:rsidRPr="00151B98">
        <w:rPr>
          <w:rStyle w:val="FootnoteReference"/>
        </w:rPr>
        <w:footnoteReference w:id="61"/>
      </w:r>
      <w:bookmarkEnd w:id="4"/>
      <w:r w:rsidR="00D076B3" w:rsidRPr="00151B98">
        <w:t xml:space="preserve">  They, together with the early English case </w:t>
      </w:r>
      <w:r w:rsidR="00D076B3" w:rsidRPr="00151B98">
        <w:rPr>
          <w:i/>
        </w:rPr>
        <w:t>R v Clement</w:t>
      </w:r>
      <w:proofErr w:type="gramStart"/>
      <w:r w:rsidR="00D076B3" w:rsidRPr="00151B98">
        <w:t>,</w:t>
      </w:r>
      <w:bookmarkStart w:id="5" w:name="_Ref357670850"/>
      <w:proofErr w:type="gramEnd"/>
      <w:r w:rsidR="00D076B3" w:rsidRPr="00151B98">
        <w:rPr>
          <w:rStyle w:val="FootnoteReference"/>
        </w:rPr>
        <w:footnoteReference w:id="62"/>
      </w:r>
      <w:bookmarkEnd w:id="5"/>
      <w:r w:rsidR="00884E2E">
        <w:t>(</w:t>
      </w:r>
      <w:r w:rsidR="00D076B3" w:rsidRPr="00151B98">
        <w:t xml:space="preserve">also relevant is the sequel, </w:t>
      </w:r>
      <w:r w:rsidR="00D076B3" w:rsidRPr="00151B98">
        <w:rPr>
          <w:i/>
        </w:rPr>
        <w:t>In Re Clement</w:t>
      </w:r>
      <w:r w:rsidR="00D076B3" w:rsidRPr="00151B98">
        <w:t xml:space="preserve"> (1822)</w:t>
      </w:r>
      <w:r w:rsidR="00884E2E">
        <w:t> </w:t>
      </w:r>
      <w:r w:rsidR="00D076B3" w:rsidRPr="00151B98">
        <w:rPr>
          <w:rStyle w:val="FootnoteReference"/>
        </w:rPr>
        <w:footnoteReference w:id="63"/>
      </w:r>
      <w:r w:rsidR="008A3982">
        <w:t xml:space="preserve"> 11 Price 68, 147 ER 404 (</w:t>
      </w:r>
      <w:proofErr w:type="spellStart"/>
      <w:r w:rsidR="008A3982">
        <w:t>Exch</w:t>
      </w:r>
      <w:proofErr w:type="spellEnd"/>
      <w:r w:rsidR="008A3982">
        <w:t>)</w:t>
      </w:r>
      <w:r w:rsidR="00D076B3" w:rsidRPr="00151B98">
        <w:t xml:space="preserve"> we will refer to both cases as ‘</w:t>
      </w:r>
      <w:r w:rsidR="00D076B3" w:rsidRPr="00151B98">
        <w:rPr>
          <w:i/>
        </w:rPr>
        <w:t>Clement</w:t>
      </w:r>
      <w:r w:rsidR="00D076B3" w:rsidRPr="00884E2E">
        <w:t>’</w:t>
      </w:r>
      <w:r w:rsidR="00D076B3" w:rsidRPr="00151B98">
        <w:rPr>
          <w:i/>
        </w:rPr>
        <w:t>)</w:t>
      </w:r>
      <w:r w:rsidR="00D076B3" w:rsidRPr="00151B98">
        <w:t>, support the existence of an inherent power to make non-party suppression orders.”</w:t>
      </w:r>
    </w:p>
    <w:p w:rsidR="007A5758" w:rsidRDefault="007A5758" w:rsidP="0046553C">
      <w:pPr>
        <w:pStyle w:val="JDINumber"/>
        <w:numPr>
          <w:ilvl w:val="0"/>
          <w:numId w:val="0"/>
        </w:numPr>
        <w:tabs>
          <w:tab w:val="left" w:pos="1267"/>
        </w:tabs>
        <w:adjustRightInd w:val="0"/>
        <w:snapToGrid w:val="0"/>
        <w:spacing w:before="0" w:line="200" w:lineRule="exact"/>
        <w:ind w:left="1454" w:right="907" w:hanging="187"/>
      </w:pPr>
    </w:p>
    <w:p w:rsidR="00D076B3" w:rsidRDefault="00EE098B" w:rsidP="00151B98">
      <w:pPr>
        <w:tabs>
          <w:tab w:val="clear" w:pos="4320"/>
          <w:tab w:val="clear" w:pos="9072"/>
        </w:tabs>
        <w:autoSpaceDE w:val="0"/>
        <w:autoSpaceDN w:val="0"/>
        <w:adjustRightInd w:val="0"/>
        <w:snapToGrid/>
        <w:spacing w:before="360" w:line="360" w:lineRule="auto"/>
        <w:ind w:right="29"/>
        <w:jc w:val="both"/>
        <w:rPr>
          <w:rFonts w:eastAsia="Times New Roman"/>
          <w:lang w:val="en-NZ"/>
        </w:rPr>
      </w:pPr>
      <w:r>
        <w:rPr>
          <w:rFonts w:eastAsia="Times New Roman"/>
          <w:lang w:val="en-NZ"/>
        </w:rPr>
        <w:fldChar w:fldCharType="begin"/>
      </w:r>
      <w:r w:rsidR="00151B98">
        <w:rPr>
          <w:rFonts w:eastAsia="Times New Roman"/>
          <w:lang w:val="en-NZ"/>
        </w:rPr>
        <w:instrText xml:space="preserve"> AUTONUMOUT  </w:instrText>
      </w:r>
      <w:r>
        <w:rPr>
          <w:rFonts w:eastAsia="Times New Roman"/>
          <w:lang w:val="en-NZ"/>
        </w:rPr>
        <w:fldChar w:fldCharType="end"/>
      </w:r>
      <w:r w:rsidR="00151B98">
        <w:rPr>
          <w:rFonts w:eastAsia="Times New Roman"/>
          <w:lang w:val="en-NZ"/>
        </w:rPr>
        <w:tab/>
      </w:r>
      <w:r w:rsidR="00D076B3">
        <w:rPr>
          <w:rFonts w:eastAsia="Times New Roman"/>
          <w:lang w:val="en-NZ"/>
        </w:rPr>
        <w:t xml:space="preserve">Of the judgments in </w:t>
      </w:r>
      <w:r w:rsidR="00D076B3" w:rsidRPr="000421EE">
        <w:rPr>
          <w:rFonts w:eastAsia="Times New Roman"/>
          <w:i/>
          <w:lang w:val="en-NZ"/>
        </w:rPr>
        <w:t>Clement</w:t>
      </w:r>
      <w:r w:rsidR="00D076B3">
        <w:rPr>
          <w:rFonts w:eastAsia="Times New Roman"/>
          <w:lang w:val="en-NZ"/>
        </w:rPr>
        <w:t>, the majority said:</w:t>
      </w:r>
      <w:r w:rsidR="00D076B3">
        <w:rPr>
          <w:rStyle w:val="FootnoteReference"/>
          <w:rFonts w:eastAsia="Times New Roman"/>
          <w:lang w:val="en-NZ"/>
        </w:rPr>
        <w:footnoteReference w:id="64"/>
      </w:r>
    </w:p>
    <w:p w:rsidR="00884E2E" w:rsidRDefault="00884E2E" w:rsidP="00C414C9">
      <w:pPr>
        <w:tabs>
          <w:tab w:val="clear" w:pos="4320"/>
          <w:tab w:val="clear" w:pos="9072"/>
          <w:tab w:val="left" w:pos="1267"/>
          <w:tab w:val="left" w:pos="2160"/>
        </w:tabs>
        <w:spacing w:before="240"/>
        <w:ind w:left="1454" w:right="749" w:hanging="187"/>
        <w:jc w:val="both"/>
        <w:rPr>
          <w:sz w:val="24"/>
        </w:rPr>
      </w:pPr>
      <w:bookmarkStart w:id="6" w:name="_Ref357075628"/>
      <w:r>
        <w:rPr>
          <w:rFonts w:eastAsia="Times New Roman"/>
          <w:sz w:val="24"/>
          <w:lang w:val="en-NZ"/>
        </w:rPr>
        <w:lastRenderedPageBreak/>
        <w:t>“</w:t>
      </w:r>
      <w:r>
        <w:rPr>
          <w:rFonts w:eastAsia="Times New Roman"/>
          <w:sz w:val="24"/>
          <w:lang w:val="en-NZ"/>
        </w:rPr>
        <w:tab/>
      </w:r>
      <w:r w:rsidR="00C414C9">
        <w:rPr>
          <w:rFonts w:eastAsia="Times New Roman"/>
          <w:sz w:val="24"/>
          <w:lang w:val="en-NZ"/>
        </w:rPr>
        <w:tab/>
      </w:r>
      <w:r w:rsidR="00C414C9">
        <w:rPr>
          <w:rFonts w:eastAsia="Times New Roman"/>
          <w:sz w:val="24"/>
          <w:lang w:val="en-NZ"/>
        </w:rPr>
        <w:tab/>
      </w:r>
      <w:r w:rsidR="00C414C9">
        <w:rPr>
          <w:rFonts w:eastAsia="Times New Roman"/>
          <w:sz w:val="24"/>
          <w:lang w:val="en-NZ"/>
        </w:rPr>
        <w:tab/>
      </w:r>
      <w:r w:rsidR="00D076B3" w:rsidRPr="00151B98">
        <w:rPr>
          <w:i/>
          <w:sz w:val="24"/>
        </w:rPr>
        <w:t xml:space="preserve">Clement </w:t>
      </w:r>
      <w:r w:rsidR="00D076B3" w:rsidRPr="00151B98">
        <w:rPr>
          <w:sz w:val="24"/>
        </w:rPr>
        <w:t>involved circumstances where publicity had the potential to threaten the administration of justice</w:t>
      </w:r>
      <w:r w:rsidR="00D076B3" w:rsidRPr="00151B98">
        <w:rPr>
          <w:sz w:val="24"/>
          <w:lang w:eastAsia="ar-SA"/>
        </w:rPr>
        <w:t xml:space="preserve"> by jeopardising fair trial rights.  </w:t>
      </w:r>
      <w:r w:rsidR="00D076B3" w:rsidRPr="00151B98">
        <w:rPr>
          <w:sz w:val="24"/>
        </w:rPr>
        <w:t xml:space="preserve">It was a sequel to the prosecution at the </w:t>
      </w:r>
      <w:proofErr w:type="spellStart"/>
      <w:r w:rsidR="00D076B3" w:rsidRPr="00151B98">
        <w:rPr>
          <w:sz w:val="24"/>
        </w:rPr>
        <w:t>Clerkenwell</w:t>
      </w:r>
      <w:proofErr w:type="spellEnd"/>
      <w:r w:rsidR="00D076B3" w:rsidRPr="00151B98">
        <w:rPr>
          <w:sz w:val="24"/>
        </w:rPr>
        <w:t xml:space="preserve"> Sessions House of a number of defendants for treason arising out of the Cato Street conspiracy.  The Judges (including Abbott CJ, Dallas CJ, Richards CB, and Richardson and Best JJ) directed that each defendant was to be tried separately but with the trials to follow each other in quick succession.  At the commence</w:t>
      </w:r>
      <w:r>
        <w:rPr>
          <w:sz w:val="24"/>
        </w:rPr>
        <w:t>ment of the first trial, Abbott </w:t>
      </w:r>
      <w:r w:rsidR="00D076B3" w:rsidRPr="00151B98">
        <w:rPr>
          <w:sz w:val="24"/>
        </w:rPr>
        <w:t xml:space="preserve">CJ (speaking for </w:t>
      </w:r>
      <w:proofErr w:type="gramStart"/>
      <w:r w:rsidR="00D076B3" w:rsidRPr="00151B98">
        <w:rPr>
          <w:sz w:val="24"/>
        </w:rPr>
        <w:t>himself</w:t>
      </w:r>
      <w:proofErr w:type="gramEnd"/>
      <w:r w:rsidR="00D076B3" w:rsidRPr="00151B98">
        <w:rPr>
          <w:sz w:val="24"/>
        </w:rPr>
        <w:t xml:space="preserve"> and the other judges) directed that no reports of any trial should be published until all trials were concluded.  The direction was, he explained, necessary in the furtherance of justice, to protect the others remaining to be tried.  In defiance of this order, Clement, who was the editor of a newspaper, published reports of the first two trials.  He was prosecuted for contempt and fined.  His challenge to his conviction and attempt to be discharged from the fine were later dismissed in the Courts of King’s Bench and Exchequer.</w:t>
      </w:r>
      <w:bookmarkEnd w:id="6"/>
      <w:r w:rsidR="00D076B3" w:rsidRPr="00151B98">
        <w:rPr>
          <w:sz w:val="24"/>
        </w:rPr>
        <w:t xml:space="preserve"> </w:t>
      </w:r>
      <w:bookmarkStart w:id="7" w:name="_Ref357075629"/>
    </w:p>
    <w:p w:rsidR="007A5758" w:rsidRDefault="00C414C9" w:rsidP="00C414C9">
      <w:pPr>
        <w:tabs>
          <w:tab w:val="clear" w:pos="4320"/>
          <w:tab w:val="left" w:pos="2160"/>
        </w:tabs>
        <w:spacing w:before="240"/>
        <w:ind w:left="1454" w:right="749" w:hanging="36"/>
        <w:jc w:val="both"/>
        <w:rPr>
          <w:sz w:val="24"/>
          <w:szCs w:val="24"/>
        </w:rPr>
      </w:pPr>
      <w:r>
        <w:rPr>
          <w:sz w:val="24"/>
          <w:szCs w:val="24"/>
        </w:rPr>
        <w:tab/>
      </w:r>
      <w:r>
        <w:rPr>
          <w:sz w:val="24"/>
          <w:szCs w:val="24"/>
        </w:rPr>
        <w:tab/>
      </w:r>
      <w:r>
        <w:rPr>
          <w:sz w:val="24"/>
          <w:szCs w:val="24"/>
        </w:rPr>
        <w:tab/>
      </w:r>
      <w:r w:rsidR="00D076B3" w:rsidRPr="00884E2E">
        <w:rPr>
          <w:sz w:val="24"/>
          <w:szCs w:val="24"/>
        </w:rPr>
        <w:t xml:space="preserve">We see this as an important case.  It is perfectly clear that the Judges at the </w:t>
      </w:r>
      <w:proofErr w:type="spellStart"/>
      <w:r w:rsidR="00D076B3" w:rsidRPr="00884E2E">
        <w:rPr>
          <w:sz w:val="24"/>
          <w:szCs w:val="24"/>
        </w:rPr>
        <w:t>Clerkenwell</w:t>
      </w:r>
      <w:proofErr w:type="spellEnd"/>
      <w:r w:rsidR="00D076B3" w:rsidRPr="00884E2E">
        <w:rPr>
          <w:sz w:val="24"/>
          <w:szCs w:val="24"/>
        </w:rPr>
        <w:t xml:space="preserve"> Sessions House had made an order and not merely given a warning. </w:t>
      </w:r>
      <w:r w:rsidR="0051554B">
        <w:rPr>
          <w:sz w:val="24"/>
          <w:szCs w:val="24"/>
        </w:rPr>
        <w:t xml:space="preserve"> </w:t>
      </w:r>
      <w:r w:rsidR="00D076B3" w:rsidRPr="00884E2E">
        <w:rPr>
          <w:sz w:val="24"/>
          <w:szCs w:val="24"/>
        </w:rPr>
        <w:t>(It has sometimes been suggested that the case can be explained on the basis that only a warning was given and that Clement was found guilty of contempt not on the basis of breach of the order but rather because his conduct prejudiced the administration of justice.)  Indeed the substance of the direction was recorded as an “order of prohibition” and entered in the records of the Court.</w:t>
      </w:r>
      <w:r w:rsidR="00D076B3" w:rsidRPr="00884E2E">
        <w:rPr>
          <w:rStyle w:val="FootnoteReference"/>
          <w:sz w:val="24"/>
          <w:szCs w:val="24"/>
        </w:rPr>
        <w:footnoteReference w:id="65"/>
      </w:r>
      <w:r w:rsidR="00D076B3" w:rsidRPr="00884E2E">
        <w:rPr>
          <w:sz w:val="24"/>
          <w:szCs w:val="24"/>
        </w:rPr>
        <w:t xml:space="preserve">  The power to make such an order was not challenged by any of the Judges in either the Court of Kings Bench or the Court of Exchequer.  Including the trial Judges who were present when Abbott</w:t>
      </w:r>
      <w:r w:rsidR="0051554B">
        <w:rPr>
          <w:sz w:val="24"/>
          <w:szCs w:val="24"/>
        </w:rPr>
        <w:t> </w:t>
      </w:r>
      <w:r w:rsidR="00D076B3" w:rsidRPr="00884E2E">
        <w:rPr>
          <w:sz w:val="24"/>
          <w:szCs w:val="24"/>
        </w:rPr>
        <w:t xml:space="preserve">CJ pronounced the order, no less than ten of the then twelve common law Judges must have been of the view that there was an inherent power to make non-party suppression orders.  It is therefore a case of substantial authority.  We also note that the current edition of </w:t>
      </w:r>
      <w:proofErr w:type="spellStart"/>
      <w:r w:rsidR="00D076B3" w:rsidRPr="00884E2E">
        <w:rPr>
          <w:i/>
          <w:sz w:val="24"/>
          <w:szCs w:val="24"/>
        </w:rPr>
        <w:t>Arlidge</w:t>
      </w:r>
      <w:proofErr w:type="spellEnd"/>
      <w:r w:rsidR="00D076B3" w:rsidRPr="00884E2E">
        <w:rPr>
          <w:i/>
          <w:sz w:val="24"/>
          <w:szCs w:val="24"/>
        </w:rPr>
        <w:t xml:space="preserve">, </w:t>
      </w:r>
      <w:proofErr w:type="spellStart"/>
      <w:r w:rsidR="00D076B3" w:rsidRPr="00884E2E">
        <w:rPr>
          <w:i/>
          <w:sz w:val="24"/>
          <w:szCs w:val="24"/>
        </w:rPr>
        <w:t>Eady</w:t>
      </w:r>
      <w:proofErr w:type="spellEnd"/>
      <w:r w:rsidR="00D076B3" w:rsidRPr="00884E2E">
        <w:rPr>
          <w:i/>
          <w:sz w:val="24"/>
          <w:szCs w:val="24"/>
        </w:rPr>
        <w:t xml:space="preserve"> and Smith on</w:t>
      </w:r>
      <w:r w:rsidR="00D076B3" w:rsidRPr="00884E2E">
        <w:rPr>
          <w:sz w:val="24"/>
          <w:szCs w:val="24"/>
        </w:rPr>
        <w:t xml:space="preserve"> </w:t>
      </w:r>
      <w:r w:rsidR="00D076B3" w:rsidRPr="00884E2E">
        <w:rPr>
          <w:i/>
          <w:sz w:val="24"/>
          <w:szCs w:val="24"/>
        </w:rPr>
        <w:t>Contempt</w:t>
      </w:r>
      <w:r w:rsidR="00D076B3" w:rsidRPr="00884E2E">
        <w:rPr>
          <w:sz w:val="24"/>
          <w:szCs w:val="24"/>
        </w:rPr>
        <w:t xml:space="preserve"> records that, prior to the Privy Council’s decision in </w:t>
      </w:r>
      <w:r w:rsidR="00D076B3" w:rsidRPr="00884E2E">
        <w:rPr>
          <w:i/>
          <w:sz w:val="24"/>
          <w:szCs w:val="24"/>
        </w:rPr>
        <w:t>Independent Publishing</w:t>
      </w:r>
      <w:r w:rsidR="00D076B3" w:rsidRPr="00884E2E">
        <w:rPr>
          <w:sz w:val="24"/>
          <w:szCs w:val="24"/>
        </w:rPr>
        <w:t xml:space="preserve">, which we discuss below, </w:t>
      </w:r>
      <w:r w:rsidR="00D076B3" w:rsidRPr="00884E2E">
        <w:rPr>
          <w:i/>
          <w:sz w:val="24"/>
          <w:szCs w:val="24"/>
        </w:rPr>
        <w:t>Clement</w:t>
      </w:r>
      <w:r w:rsidR="00D076B3" w:rsidRPr="00884E2E">
        <w:rPr>
          <w:sz w:val="24"/>
          <w:szCs w:val="24"/>
        </w:rPr>
        <w:t xml:space="preserve"> was treated as authority in England that orders might be made in certain circumstances preventing information from being released to the public on either permanent or temporary bases.</w:t>
      </w:r>
      <w:bookmarkStart w:id="8" w:name="_Ref356996209"/>
      <w:r w:rsidR="00D076B3" w:rsidRPr="00884E2E">
        <w:rPr>
          <w:rStyle w:val="FootnoteReference"/>
          <w:sz w:val="24"/>
          <w:szCs w:val="24"/>
        </w:rPr>
        <w:footnoteReference w:id="66"/>
      </w:r>
      <w:bookmarkEnd w:id="7"/>
      <w:bookmarkEnd w:id="8"/>
      <w:r w:rsidR="00151B98" w:rsidRPr="00884E2E">
        <w:rPr>
          <w:sz w:val="24"/>
          <w:szCs w:val="24"/>
        </w:rPr>
        <w:t> ”</w:t>
      </w:r>
    </w:p>
    <w:p w:rsidR="00151B98" w:rsidRPr="00884E2E" w:rsidRDefault="00151B98" w:rsidP="007A5758">
      <w:pPr>
        <w:tabs>
          <w:tab w:val="clear" w:pos="4320"/>
          <w:tab w:val="left" w:pos="2160"/>
        </w:tabs>
        <w:adjustRightInd w:val="0"/>
        <w:spacing w:line="200" w:lineRule="exact"/>
        <w:ind w:left="1454" w:right="907" w:hanging="187"/>
        <w:jc w:val="both"/>
        <w:rPr>
          <w:sz w:val="24"/>
          <w:szCs w:val="24"/>
        </w:rPr>
      </w:pPr>
    </w:p>
    <w:p w:rsidR="00151B98" w:rsidRDefault="00EE098B" w:rsidP="00151B98">
      <w:pPr>
        <w:tabs>
          <w:tab w:val="clear" w:pos="4320"/>
          <w:tab w:val="clear" w:pos="9072"/>
        </w:tabs>
        <w:autoSpaceDE w:val="0"/>
        <w:autoSpaceDN w:val="0"/>
        <w:adjustRightInd w:val="0"/>
        <w:snapToGrid/>
        <w:spacing w:before="360" w:line="360" w:lineRule="auto"/>
        <w:ind w:right="29"/>
        <w:jc w:val="both"/>
        <w:rPr>
          <w:rFonts w:eastAsia="Times New Roman"/>
          <w:lang w:val="en-NZ"/>
        </w:rPr>
      </w:pPr>
      <w:r>
        <w:rPr>
          <w:rFonts w:eastAsia="Times New Roman"/>
          <w:lang w:val="en-NZ"/>
        </w:rPr>
        <w:lastRenderedPageBreak/>
        <w:fldChar w:fldCharType="begin"/>
      </w:r>
      <w:r w:rsidR="00151B98">
        <w:rPr>
          <w:rFonts w:eastAsia="Times New Roman"/>
          <w:lang w:val="en-NZ"/>
        </w:rPr>
        <w:instrText xml:space="preserve"> AUTONUMOUT  </w:instrText>
      </w:r>
      <w:r>
        <w:rPr>
          <w:rFonts w:eastAsia="Times New Roman"/>
          <w:lang w:val="en-NZ"/>
        </w:rPr>
        <w:fldChar w:fldCharType="end"/>
      </w:r>
      <w:r w:rsidR="00151B98">
        <w:rPr>
          <w:rFonts w:eastAsia="Times New Roman"/>
          <w:lang w:val="en-NZ"/>
        </w:rPr>
        <w:tab/>
      </w:r>
      <w:r w:rsidR="00D076B3">
        <w:rPr>
          <w:rFonts w:eastAsia="Times New Roman"/>
          <w:lang w:val="en-NZ"/>
        </w:rPr>
        <w:t xml:space="preserve">In </w:t>
      </w:r>
      <w:r w:rsidR="00D076B3" w:rsidRPr="00524FE3">
        <w:rPr>
          <w:rFonts w:eastAsia="Times New Roman"/>
          <w:i/>
          <w:lang w:val="en-NZ"/>
        </w:rPr>
        <w:t>Taylor v Attorney General</w:t>
      </w:r>
      <w:r w:rsidR="0051554B">
        <w:rPr>
          <w:rFonts w:eastAsia="Times New Roman"/>
          <w:lang w:val="en-NZ"/>
        </w:rPr>
        <w:t> </w:t>
      </w:r>
      <w:r w:rsidR="00D076B3">
        <w:rPr>
          <w:rStyle w:val="FootnoteReference"/>
          <w:rFonts w:eastAsia="Times New Roman"/>
          <w:lang w:val="en-NZ"/>
        </w:rPr>
        <w:footnoteReference w:id="67"/>
      </w:r>
      <w:r w:rsidR="00D076B3">
        <w:rPr>
          <w:rFonts w:eastAsia="Times New Roman"/>
          <w:lang w:val="en-NZ"/>
        </w:rPr>
        <w:t xml:space="preserve">and </w:t>
      </w:r>
      <w:r w:rsidR="00D076B3" w:rsidRPr="00524FE3">
        <w:rPr>
          <w:rFonts w:eastAsia="Times New Roman"/>
          <w:i/>
          <w:lang w:val="en-NZ"/>
        </w:rPr>
        <w:t>Broadcasting</w:t>
      </w:r>
      <w:r w:rsidR="00D076B3">
        <w:rPr>
          <w:rFonts w:eastAsia="Times New Roman"/>
          <w:lang w:val="en-NZ"/>
        </w:rPr>
        <w:t xml:space="preserve"> </w:t>
      </w:r>
      <w:r w:rsidR="00D076B3" w:rsidRPr="00524FE3">
        <w:rPr>
          <w:rFonts w:eastAsia="Times New Roman"/>
          <w:i/>
          <w:lang w:val="en-NZ"/>
        </w:rPr>
        <w:t>Corporation of New Zealand v Attorney General</w:t>
      </w:r>
      <w:r w:rsidR="0051554B">
        <w:rPr>
          <w:rFonts w:eastAsia="Times New Roman"/>
          <w:lang w:val="en-NZ"/>
        </w:rPr>
        <w:t> </w:t>
      </w:r>
      <w:r w:rsidR="00D076B3" w:rsidRPr="0051554B">
        <w:rPr>
          <w:rStyle w:val="FootnoteReference"/>
          <w:rFonts w:eastAsia="Times New Roman"/>
          <w:lang w:val="en-NZ"/>
        </w:rPr>
        <w:footnoteReference w:id="68"/>
      </w:r>
      <w:r w:rsidR="00D076B3">
        <w:rPr>
          <w:rFonts w:eastAsia="Times New Roman"/>
          <w:lang w:val="en-NZ"/>
        </w:rPr>
        <w:t xml:space="preserve"> the Court of Appeal of New Zealand was concerned with respectively a breach of an order, made by a judge at the outset of the trial prohibiting publication of anything that might lead to the identification of members of the security services, and proceedings arising from an order prohibiting publication and the exclusion of the public from proceedings in the sentencing of a defendant, who had cooperated with the police and whose sentence was discounted accordingly. </w:t>
      </w:r>
      <w:r w:rsidR="0051554B">
        <w:rPr>
          <w:rFonts w:eastAsia="Times New Roman"/>
          <w:lang w:val="en-NZ"/>
        </w:rPr>
        <w:t xml:space="preserve"> </w:t>
      </w:r>
      <w:r w:rsidR="00D076B3">
        <w:rPr>
          <w:rFonts w:eastAsia="Times New Roman"/>
          <w:lang w:val="en-NZ"/>
        </w:rPr>
        <w:t>In each case, the majority in the Court of Appeal accepted that the judge had an inherent power to make the order.</w:t>
      </w:r>
    </w:p>
    <w:p w:rsidR="00151B98" w:rsidRDefault="00EE098B" w:rsidP="00151B98">
      <w:pPr>
        <w:tabs>
          <w:tab w:val="clear" w:pos="4320"/>
          <w:tab w:val="clear" w:pos="9072"/>
        </w:tabs>
        <w:autoSpaceDE w:val="0"/>
        <w:autoSpaceDN w:val="0"/>
        <w:adjustRightInd w:val="0"/>
        <w:snapToGrid/>
        <w:spacing w:before="360" w:line="360" w:lineRule="auto"/>
        <w:ind w:right="29"/>
        <w:jc w:val="both"/>
        <w:rPr>
          <w:rFonts w:eastAsia="Times New Roman"/>
          <w:lang w:val="en-NZ"/>
        </w:rPr>
      </w:pPr>
      <w:r>
        <w:rPr>
          <w:rFonts w:eastAsia="Times New Roman"/>
          <w:lang w:val="en-NZ"/>
        </w:rPr>
        <w:fldChar w:fldCharType="begin"/>
      </w:r>
      <w:r w:rsidR="00151B98">
        <w:rPr>
          <w:rFonts w:eastAsia="Times New Roman"/>
          <w:lang w:val="en-NZ"/>
        </w:rPr>
        <w:instrText xml:space="preserve"> AUTONUMOUT  </w:instrText>
      </w:r>
      <w:r>
        <w:rPr>
          <w:rFonts w:eastAsia="Times New Roman"/>
          <w:lang w:val="en-NZ"/>
        </w:rPr>
        <w:fldChar w:fldCharType="end"/>
      </w:r>
      <w:r w:rsidR="00151B98">
        <w:rPr>
          <w:rFonts w:eastAsia="Times New Roman"/>
          <w:lang w:val="en-NZ"/>
        </w:rPr>
        <w:tab/>
      </w:r>
      <w:r w:rsidR="00D076B3">
        <w:rPr>
          <w:rFonts w:eastAsia="Times New Roman"/>
          <w:lang w:val="en-NZ"/>
        </w:rPr>
        <w:t xml:space="preserve">The majority went on to note that in the </w:t>
      </w:r>
      <w:r w:rsidR="00D076B3" w:rsidRPr="007C4BED">
        <w:rPr>
          <w:rFonts w:eastAsia="Times New Roman"/>
          <w:i/>
          <w:lang w:val="en-NZ"/>
        </w:rPr>
        <w:t>Attorney General v Leveller Magazine</w:t>
      </w:r>
      <w:r w:rsidR="00D076B3" w:rsidRPr="0051554B">
        <w:rPr>
          <w:rStyle w:val="FootnoteReference"/>
          <w:rFonts w:eastAsia="Times New Roman"/>
          <w:lang w:val="en-NZ"/>
        </w:rPr>
        <w:footnoteReference w:id="69"/>
      </w:r>
      <w:r w:rsidR="00D076B3" w:rsidRPr="007C4BED">
        <w:rPr>
          <w:rFonts w:eastAsia="Times New Roman"/>
          <w:i/>
          <w:lang w:val="en-NZ"/>
        </w:rPr>
        <w:t>,</w:t>
      </w:r>
      <w:r w:rsidR="00D076B3">
        <w:rPr>
          <w:rFonts w:eastAsia="Times New Roman"/>
          <w:lang w:val="en-NZ"/>
        </w:rPr>
        <w:t xml:space="preserve"> the House of Lords was concerned with similar issues to those arising in </w:t>
      </w:r>
      <w:r w:rsidR="00D076B3" w:rsidRPr="007C4BED">
        <w:rPr>
          <w:rFonts w:eastAsia="Times New Roman"/>
          <w:i/>
          <w:lang w:val="en-NZ"/>
        </w:rPr>
        <w:t>Taylor</w:t>
      </w:r>
      <w:r w:rsidR="00D076B3">
        <w:rPr>
          <w:rFonts w:eastAsia="Times New Roman"/>
          <w:lang w:val="en-NZ"/>
        </w:rPr>
        <w:t xml:space="preserve">, namely proceedings resulting from a breach of an order prohibiting the publication of information from which the identity of a witness with a security services background could be ascertained. </w:t>
      </w:r>
      <w:r w:rsidR="0051554B">
        <w:rPr>
          <w:rFonts w:eastAsia="Times New Roman"/>
          <w:lang w:val="en-NZ"/>
        </w:rPr>
        <w:t xml:space="preserve"> </w:t>
      </w:r>
      <w:r w:rsidR="00D076B3">
        <w:rPr>
          <w:rFonts w:eastAsia="Times New Roman"/>
          <w:lang w:val="en-NZ"/>
        </w:rPr>
        <w:t>The majority noted that, in allowing the appeal of the pu</w:t>
      </w:r>
      <w:r w:rsidR="0051554B">
        <w:rPr>
          <w:rFonts w:eastAsia="Times New Roman"/>
          <w:lang w:val="en-NZ"/>
        </w:rPr>
        <w:t xml:space="preserve">blisher, Viscount </w:t>
      </w:r>
      <w:proofErr w:type="spellStart"/>
      <w:r w:rsidR="0051554B">
        <w:rPr>
          <w:rFonts w:eastAsia="Times New Roman"/>
          <w:lang w:val="en-NZ"/>
        </w:rPr>
        <w:t>Dilhorne</w:t>
      </w:r>
      <w:proofErr w:type="spellEnd"/>
      <w:r w:rsidR="0051554B">
        <w:rPr>
          <w:rFonts w:eastAsia="Times New Roman"/>
          <w:lang w:val="en-NZ"/>
        </w:rPr>
        <w:t xml:space="preserve"> was “</w:t>
      </w:r>
      <w:r w:rsidR="00D076B3">
        <w:rPr>
          <w:rFonts w:eastAsia="Times New Roman"/>
          <w:lang w:val="en-NZ"/>
        </w:rPr>
        <w:t>unequivocally of the view</w:t>
      </w:r>
      <w:r w:rsidR="0051554B">
        <w:rPr>
          <w:rFonts w:eastAsia="Times New Roman"/>
          <w:lang w:val="en-NZ"/>
        </w:rPr>
        <w:t>”</w:t>
      </w:r>
      <w:r w:rsidR="00D076B3">
        <w:rPr>
          <w:rFonts w:eastAsia="Times New Roman"/>
          <w:lang w:val="en-NZ"/>
        </w:rPr>
        <w:t xml:space="preserve"> that the judgment in </w:t>
      </w:r>
      <w:r w:rsidR="00D076B3" w:rsidRPr="007C4BED">
        <w:rPr>
          <w:rFonts w:eastAsia="Times New Roman"/>
          <w:i/>
          <w:lang w:val="en-NZ"/>
        </w:rPr>
        <w:t>Taylo</w:t>
      </w:r>
      <w:r w:rsidR="00D076B3">
        <w:rPr>
          <w:rFonts w:eastAsia="Times New Roman"/>
          <w:lang w:val="en-NZ"/>
        </w:rPr>
        <w:t>r did not represent the law of England.</w:t>
      </w:r>
      <w:r w:rsidR="00D076B3">
        <w:rPr>
          <w:rStyle w:val="FootnoteReference"/>
          <w:rFonts w:eastAsia="Times New Roman"/>
          <w:lang w:val="en-NZ"/>
        </w:rPr>
        <w:footnoteReference w:id="70"/>
      </w:r>
    </w:p>
    <w:p w:rsidR="00D076B3" w:rsidRDefault="00EE098B" w:rsidP="00151B98">
      <w:pPr>
        <w:tabs>
          <w:tab w:val="clear" w:pos="4320"/>
          <w:tab w:val="clear" w:pos="9072"/>
        </w:tabs>
        <w:autoSpaceDE w:val="0"/>
        <w:autoSpaceDN w:val="0"/>
        <w:adjustRightInd w:val="0"/>
        <w:snapToGrid/>
        <w:spacing w:before="360" w:line="360" w:lineRule="auto"/>
        <w:ind w:right="29"/>
        <w:jc w:val="both"/>
        <w:rPr>
          <w:rFonts w:eastAsia="Times New Roman"/>
          <w:lang w:val="en-NZ"/>
        </w:rPr>
      </w:pPr>
      <w:r>
        <w:rPr>
          <w:rFonts w:eastAsia="Times New Roman"/>
          <w:lang w:val="en-NZ"/>
        </w:rPr>
        <w:fldChar w:fldCharType="begin"/>
      </w:r>
      <w:r w:rsidR="00151B98">
        <w:rPr>
          <w:rFonts w:eastAsia="Times New Roman"/>
          <w:lang w:val="en-NZ"/>
        </w:rPr>
        <w:instrText xml:space="preserve"> AUTONUMOUT  </w:instrText>
      </w:r>
      <w:r>
        <w:rPr>
          <w:rFonts w:eastAsia="Times New Roman"/>
          <w:lang w:val="en-NZ"/>
        </w:rPr>
        <w:fldChar w:fldCharType="end"/>
      </w:r>
      <w:r w:rsidR="00151B98">
        <w:rPr>
          <w:rFonts w:eastAsia="Times New Roman"/>
          <w:lang w:val="en-NZ"/>
        </w:rPr>
        <w:tab/>
      </w:r>
      <w:r w:rsidR="0051554B">
        <w:rPr>
          <w:rFonts w:eastAsia="Times New Roman"/>
          <w:lang w:val="en-NZ"/>
        </w:rPr>
        <w:t>Of the Privy Council’</w:t>
      </w:r>
      <w:r w:rsidR="00D076B3">
        <w:rPr>
          <w:rFonts w:eastAsia="Times New Roman"/>
          <w:lang w:val="en-NZ"/>
        </w:rPr>
        <w:t xml:space="preserve">s judgment in </w:t>
      </w:r>
      <w:r w:rsidR="00D076B3" w:rsidRPr="000E43CD">
        <w:rPr>
          <w:rFonts w:eastAsia="Times New Roman"/>
          <w:i/>
          <w:lang w:val="en-NZ"/>
        </w:rPr>
        <w:t>Independent Publishing</w:t>
      </w:r>
      <w:r w:rsidR="00D076B3">
        <w:rPr>
          <w:rFonts w:eastAsia="Times New Roman"/>
          <w:lang w:val="en-NZ"/>
        </w:rPr>
        <w:t>, the majority said:</w:t>
      </w:r>
      <w:r w:rsidR="00D076B3">
        <w:rPr>
          <w:rStyle w:val="FootnoteReference"/>
          <w:rFonts w:eastAsia="Times New Roman"/>
          <w:lang w:val="en-NZ"/>
        </w:rPr>
        <w:footnoteReference w:id="71"/>
      </w:r>
    </w:p>
    <w:p w:rsidR="007065F9" w:rsidRDefault="00151B98" w:rsidP="00151B98">
      <w:pPr>
        <w:pStyle w:val="JDINumber"/>
        <w:numPr>
          <w:ilvl w:val="0"/>
          <w:numId w:val="0"/>
        </w:numPr>
        <w:tabs>
          <w:tab w:val="left" w:pos="1267"/>
        </w:tabs>
        <w:snapToGrid w:val="0"/>
        <w:spacing w:before="240" w:line="240" w:lineRule="auto"/>
        <w:ind w:left="1454" w:right="749" w:hanging="187"/>
      </w:pPr>
      <w:r>
        <w:rPr>
          <w:rFonts w:eastAsia="Times New Roman"/>
        </w:rPr>
        <w:t>“</w:t>
      </w:r>
      <w:r>
        <w:rPr>
          <w:rFonts w:eastAsia="Times New Roman"/>
        </w:rPr>
        <w:tab/>
      </w:r>
      <w:r w:rsidR="00D076B3" w:rsidRPr="00151B98">
        <w:t xml:space="preserve">The common law position in England and Wales was extensively reviewed by the Privy Council (on appeal from </w:t>
      </w:r>
      <w:r w:rsidR="00D076B3" w:rsidRPr="00151B98">
        <w:lastRenderedPageBreak/>
        <w:t xml:space="preserve">Trinidad and Tobago) in </w:t>
      </w:r>
      <w:r w:rsidR="00D076B3" w:rsidRPr="00151B98">
        <w:rPr>
          <w:i/>
        </w:rPr>
        <w:t>Independent Publishing</w:t>
      </w:r>
      <w:r w:rsidR="00D076B3" w:rsidRPr="00151B98">
        <w:t xml:space="preserve">. </w:t>
      </w:r>
      <w:r w:rsidR="0051554B">
        <w:t xml:space="preserve"> </w:t>
      </w:r>
      <w:r w:rsidR="00D076B3" w:rsidRPr="00151B98">
        <w:t xml:space="preserve">The Privy Council judgment contains a survey of the cases, including </w:t>
      </w:r>
      <w:r w:rsidR="00D076B3" w:rsidRPr="00151B98">
        <w:rPr>
          <w:i/>
        </w:rPr>
        <w:t>Clement</w:t>
      </w:r>
      <w:r w:rsidR="00D076B3" w:rsidRPr="00151B98">
        <w:t xml:space="preserve">, </w:t>
      </w:r>
      <w:r w:rsidR="00D076B3" w:rsidRPr="00151B98">
        <w:rPr>
          <w:i/>
        </w:rPr>
        <w:t xml:space="preserve">Taylor </w:t>
      </w:r>
      <w:r w:rsidR="00D076B3" w:rsidRPr="00151B98">
        <w:t xml:space="preserve">and the Canadian and Australian authorities.  </w:t>
      </w:r>
      <w:r w:rsidR="00D076B3" w:rsidRPr="00151B98">
        <w:rPr>
          <w:i/>
        </w:rPr>
        <w:t>Clement</w:t>
      </w:r>
      <w:r w:rsidR="00D076B3" w:rsidRPr="00151B98">
        <w:t xml:space="preserve"> was in part explained on the basis that the prosecution was based not just on the breach of the order but also on the tendency of the publication to prevent or obstruct the course of justice.  Some doubt was expr</w:t>
      </w:r>
      <w:r w:rsidR="0051554B">
        <w:t>essed as to whether what Abbott </w:t>
      </w:r>
      <w:r w:rsidR="00D076B3" w:rsidRPr="00151B98">
        <w:t>CJ had said was in the nature of an order (as opposed to a warning). (</w:t>
      </w:r>
      <w:proofErr w:type="gramStart"/>
      <w:r w:rsidR="00D076B3" w:rsidRPr="00151B98">
        <w:t>at</w:t>
      </w:r>
      <w:proofErr w:type="gramEnd"/>
      <w:r w:rsidR="00D076B3" w:rsidRPr="00151B98">
        <w:t xml:space="preserve"> [32]–[36] and [50]).  </w:t>
      </w:r>
      <w:r w:rsidR="00B02A6A">
        <w:rPr>
          <w:rFonts w:hint="eastAsia"/>
          <w:lang w:eastAsia="zh-TW"/>
        </w:rPr>
        <w:t>(</w:t>
      </w:r>
      <w:r w:rsidR="00D076B3" w:rsidRPr="00151B98">
        <w:t>As is apparent, we think it clear that th</w:t>
      </w:r>
      <w:r w:rsidR="008A3982">
        <w:t xml:space="preserve">ere was an order, see </w:t>
      </w:r>
      <w:proofErr w:type="spellStart"/>
      <w:r w:rsidR="008A3982">
        <w:t>para</w:t>
      </w:r>
      <w:proofErr w:type="spellEnd"/>
      <w:r w:rsidR="008A3982">
        <w:t xml:space="preserve"> [116].)</w:t>
      </w:r>
      <w:r w:rsidR="00C414C9">
        <w:rPr>
          <w:rFonts w:eastAsia="宋体"/>
          <w:color w:val="FF0000"/>
          <w:kern w:val="0"/>
          <w:sz w:val="28"/>
          <w:vertAlign w:val="subscript"/>
        </w:rPr>
        <w:t xml:space="preserve"> </w:t>
      </w:r>
      <w:r w:rsidR="00B02A6A">
        <w:rPr>
          <w:rFonts w:eastAsia="新細明體" w:hint="eastAsia"/>
          <w:color w:val="FF0000"/>
          <w:kern w:val="0"/>
          <w:sz w:val="28"/>
          <w:vertAlign w:val="subscript"/>
          <w:lang w:eastAsia="zh-TW"/>
        </w:rPr>
        <w:t xml:space="preserve"> </w:t>
      </w:r>
      <w:r w:rsidR="00D076B3" w:rsidRPr="00151B98">
        <w:t xml:space="preserve">To the extent </w:t>
      </w:r>
      <w:r w:rsidR="00D076B3" w:rsidRPr="008A3982">
        <w:t xml:space="preserve">that </w:t>
      </w:r>
      <w:r w:rsidR="00D076B3" w:rsidRPr="008A3982">
        <w:rPr>
          <w:i/>
        </w:rPr>
        <w:t>Clement</w:t>
      </w:r>
      <w:r w:rsidR="00D076B3" w:rsidRPr="008A3982">
        <w:t xml:space="preserve"> was authority for the proposition that there is an i</w:t>
      </w:r>
      <w:r w:rsidR="00D076B3" w:rsidRPr="00151B98">
        <w:t xml:space="preserve">nherent power to make non-party suppression orders, it was overruled. </w:t>
      </w:r>
      <w:r w:rsidR="00D076B3" w:rsidRPr="00151B98">
        <w:rPr>
          <w:i/>
        </w:rPr>
        <w:t xml:space="preserve"> </w:t>
      </w:r>
      <w:proofErr w:type="spellStart"/>
      <w:r w:rsidR="00D076B3" w:rsidRPr="00151B98">
        <w:rPr>
          <w:i/>
        </w:rPr>
        <w:t>Dagenais</w:t>
      </w:r>
      <w:proofErr w:type="spellEnd"/>
      <w:r w:rsidR="00D076B3" w:rsidRPr="00151B98">
        <w:t xml:space="preserve"> was discounted on the basis that what was actually in issue in the case was an interlocutory injunction to prevent a contempt of court: at [57].  </w:t>
      </w:r>
      <w:r w:rsidR="00D076B3" w:rsidRPr="00151B98">
        <w:rPr>
          <w:i/>
        </w:rPr>
        <w:t>Taylor v A-G</w:t>
      </w:r>
      <w:r w:rsidR="00D076B3" w:rsidRPr="00151B98">
        <w:t xml:space="preserve"> was seen as wrongly decided.</w:t>
      </w:r>
      <w:r>
        <w:t>”</w:t>
      </w:r>
    </w:p>
    <w:p w:rsidR="00151B98" w:rsidRDefault="00EE098B" w:rsidP="007065F9">
      <w:pPr>
        <w:pStyle w:val="JDINumber"/>
        <w:numPr>
          <w:ilvl w:val="0"/>
          <w:numId w:val="0"/>
        </w:numPr>
        <w:tabs>
          <w:tab w:val="left" w:pos="1267"/>
        </w:tabs>
        <w:adjustRightInd w:val="0"/>
        <w:snapToGrid w:val="0"/>
        <w:spacing w:before="0" w:line="200" w:lineRule="exact"/>
        <w:ind w:left="1454" w:right="907" w:hanging="187"/>
      </w:pPr>
      <w:r w:rsidRPr="00EE098B">
        <w:rPr>
          <w:rFonts w:eastAsia="Times New Roman"/>
          <w:noProof/>
          <w:lang w:val="en-US" w:eastAsia="zh-CN"/>
        </w:rPr>
        <w:pict>
          <v:shape id="_x0000_s1035" type="#_x0000_t202" style="position:absolute;left:0;text-align:left;margin-left:409.45pt;margin-top:-98.7pt;width:62.15pt;height:21.9pt;z-index:251659776" filled="f" stroked="f">
            <v:textbox>
              <w:txbxContent>
                <w:p w:rsidR="00FF5444" w:rsidRPr="00C414C9" w:rsidRDefault="00FF5444" w:rsidP="00C414C9">
                  <w:pPr>
                    <w:rPr>
                      <w:snapToGrid w:val="0"/>
                      <w:spacing w:val="-20"/>
                    </w:rPr>
                  </w:pPr>
                  <w:r>
                    <w:rPr>
                      <w:snapToGrid w:val="0"/>
                      <w:spacing w:val="-20"/>
                    </w:rPr>
                    <w:t xml:space="preserve">  </w:t>
                  </w:r>
                </w:p>
              </w:txbxContent>
            </v:textbox>
          </v:shape>
        </w:pict>
      </w:r>
      <w:r w:rsidRPr="00EE098B">
        <w:rPr>
          <w:rFonts w:eastAsia="Times New Roman"/>
          <w:noProof/>
          <w:lang w:val="en-US"/>
        </w:rPr>
        <w:pict>
          <v:shape id="_x0000_s1034" type="#_x0000_t202" style="position:absolute;left:0;text-align:left;margin-left:407.15pt;margin-top:-118.85pt;width:64.45pt;height:23.6pt;z-index:251658752" filled="f" stroked="f">
            <v:textbox>
              <w:txbxContent>
                <w:p w:rsidR="00FF5444" w:rsidRPr="008A3982" w:rsidRDefault="00FF5444" w:rsidP="008A3982"/>
              </w:txbxContent>
            </v:textbox>
          </v:shape>
        </w:pict>
      </w:r>
    </w:p>
    <w:p w:rsidR="00D076B3" w:rsidRPr="00151B98" w:rsidRDefault="00EE098B" w:rsidP="003F7971">
      <w:pPr>
        <w:pStyle w:val="JDINumber"/>
        <w:numPr>
          <w:ilvl w:val="0"/>
          <w:numId w:val="0"/>
        </w:numPr>
        <w:tabs>
          <w:tab w:val="left" w:pos="1440"/>
        </w:tabs>
        <w:autoSpaceDE w:val="0"/>
        <w:autoSpaceDN w:val="0"/>
        <w:adjustRightInd w:val="0"/>
        <w:ind w:right="29"/>
        <w:rPr>
          <w:rFonts w:eastAsia="Times New Roman"/>
          <w:sz w:val="28"/>
          <w:szCs w:val="28"/>
        </w:rPr>
      </w:pPr>
      <w:r w:rsidRPr="00151B98">
        <w:rPr>
          <w:sz w:val="28"/>
          <w:szCs w:val="28"/>
        </w:rPr>
        <w:fldChar w:fldCharType="begin"/>
      </w:r>
      <w:r w:rsidR="00151B98" w:rsidRPr="00151B98">
        <w:rPr>
          <w:sz w:val="28"/>
          <w:szCs w:val="28"/>
        </w:rPr>
        <w:instrText xml:space="preserve"> AUTONUMOUT  </w:instrText>
      </w:r>
      <w:r w:rsidRPr="00151B98">
        <w:rPr>
          <w:sz w:val="28"/>
          <w:szCs w:val="28"/>
        </w:rPr>
        <w:fldChar w:fldCharType="end"/>
      </w:r>
      <w:r w:rsidR="00151B98" w:rsidRPr="00151B98">
        <w:rPr>
          <w:sz w:val="28"/>
          <w:szCs w:val="28"/>
        </w:rPr>
        <w:tab/>
      </w:r>
      <w:r w:rsidR="00D076B3" w:rsidRPr="00151B98">
        <w:rPr>
          <w:rFonts w:eastAsia="Times New Roman"/>
          <w:sz w:val="28"/>
          <w:szCs w:val="28"/>
        </w:rPr>
        <w:t>Nevertheless, the majority determined:</w:t>
      </w:r>
      <w:r w:rsidR="00D076B3" w:rsidRPr="00151B98">
        <w:rPr>
          <w:rStyle w:val="FootnoteReference"/>
          <w:rFonts w:eastAsia="Times New Roman"/>
          <w:sz w:val="28"/>
          <w:szCs w:val="28"/>
        </w:rPr>
        <w:footnoteReference w:id="72"/>
      </w:r>
    </w:p>
    <w:p w:rsidR="00151B98" w:rsidRDefault="00151B98" w:rsidP="00151B98">
      <w:pPr>
        <w:pStyle w:val="JDINumber"/>
        <w:numPr>
          <w:ilvl w:val="0"/>
          <w:numId w:val="0"/>
        </w:numPr>
        <w:tabs>
          <w:tab w:val="left" w:pos="1267"/>
        </w:tabs>
        <w:snapToGrid w:val="0"/>
        <w:spacing w:before="240" w:line="240" w:lineRule="auto"/>
        <w:ind w:left="1454" w:right="749" w:hanging="187"/>
      </w:pPr>
      <w:bookmarkStart w:id="9" w:name="_Ref360607709"/>
      <w:r>
        <w:rPr>
          <w:rFonts w:eastAsia="Times New Roman"/>
        </w:rPr>
        <w:t>“</w:t>
      </w:r>
      <w:r>
        <w:rPr>
          <w:rFonts w:eastAsia="Times New Roman"/>
        </w:rPr>
        <w:tab/>
      </w:r>
      <w:r w:rsidR="00D076B3" w:rsidRPr="00151B98">
        <w:t xml:space="preserve">We are not persuaded by </w:t>
      </w:r>
      <w:r w:rsidR="00D076B3" w:rsidRPr="00151B98">
        <w:rPr>
          <w:i/>
        </w:rPr>
        <w:t xml:space="preserve">Leveller </w:t>
      </w:r>
      <w:r w:rsidR="00D076B3" w:rsidRPr="00151B98">
        <w:t xml:space="preserve">or </w:t>
      </w:r>
      <w:r w:rsidR="00D076B3" w:rsidRPr="00151B98">
        <w:rPr>
          <w:i/>
        </w:rPr>
        <w:t xml:space="preserve">Independent Publishing </w:t>
      </w:r>
      <w:r w:rsidR="00D076B3" w:rsidRPr="00151B98">
        <w:t xml:space="preserve">that we should depart now from the established New Zealand approach.  In </w:t>
      </w:r>
      <w:r w:rsidR="00D076B3" w:rsidRPr="00151B98">
        <w:rPr>
          <w:i/>
        </w:rPr>
        <w:t>Broadcasting Corporation</w:t>
      </w:r>
      <w:r w:rsidR="00D076B3" w:rsidRPr="00151B98">
        <w:t>, the Court of Appeal followed</w:t>
      </w:r>
      <w:r w:rsidR="00D076B3" w:rsidRPr="00151B98">
        <w:rPr>
          <w:i/>
        </w:rPr>
        <w:t xml:space="preserve"> Taylor</w:t>
      </w:r>
      <w:r w:rsidR="00D076B3" w:rsidRPr="00151B98">
        <w:t>’s</w:t>
      </w:r>
      <w:r w:rsidR="00D076B3" w:rsidRPr="00151B98">
        <w:rPr>
          <w:i/>
        </w:rPr>
        <w:t xml:space="preserve"> c</w:t>
      </w:r>
      <w:r w:rsidR="00D076B3" w:rsidRPr="00151B98">
        <w:t xml:space="preserve">onception of the inherent powers, despite what was said in </w:t>
      </w:r>
      <w:r w:rsidR="00D076B3" w:rsidRPr="00151B98">
        <w:rPr>
          <w:i/>
        </w:rPr>
        <w:t>Leveller</w:t>
      </w:r>
      <w:r w:rsidR="00D076B3" w:rsidRPr="00151B98">
        <w:t xml:space="preserve">.  In </w:t>
      </w:r>
      <w:r w:rsidR="00D076B3" w:rsidRPr="00151B98">
        <w:rPr>
          <w:i/>
        </w:rPr>
        <w:t>Muir v Commissioner of Inland Revenue</w:t>
      </w:r>
      <w:r w:rsidR="00D076B3" w:rsidRPr="00151B98">
        <w:t>,</w:t>
      </w:r>
      <w:r w:rsidR="00D076B3" w:rsidRPr="00151B98">
        <w:rPr>
          <w:i/>
        </w:rPr>
        <w:t xml:space="preserve"> </w:t>
      </w:r>
      <w:r w:rsidR="00D076B3" w:rsidRPr="00151B98">
        <w:t xml:space="preserve">the Court of Appeal continued to follow </w:t>
      </w:r>
      <w:r w:rsidR="00D076B3" w:rsidRPr="00151B98">
        <w:rPr>
          <w:i/>
        </w:rPr>
        <w:t>Taylor</w:t>
      </w:r>
      <w:r w:rsidR="00D076B3" w:rsidRPr="00151B98">
        <w:t>,</w:t>
      </w:r>
      <w:r w:rsidR="00D076B3" w:rsidRPr="00151B98">
        <w:rPr>
          <w:i/>
        </w:rPr>
        <w:t xml:space="preserve"> </w:t>
      </w:r>
      <w:r w:rsidR="00D076B3" w:rsidRPr="00151B98">
        <w:t xml:space="preserve">despite </w:t>
      </w:r>
      <w:r w:rsidR="00D076B3" w:rsidRPr="00151B98">
        <w:rPr>
          <w:i/>
        </w:rPr>
        <w:t>Independent Publishing</w:t>
      </w:r>
      <w:r w:rsidR="00D076B3" w:rsidRPr="00151B98">
        <w:t>.</w:t>
      </w:r>
      <w:r w:rsidR="00D076B3" w:rsidRPr="00151B98">
        <w:rPr>
          <w:vertAlign w:val="superscript"/>
        </w:rPr>
        <w:footnoteReference w:id="73"/>
      </w:r>
      <w:r w:rsidR="00D076B3" w:rsidRPr="00151B98">
        <w:rPr>
          <w:i/>
        </w:rPr>
        <w:t xml:space="preserve">  </w:t>
      </w:r>
      <w:r w:rsidR="00D076B3" w:rsidRPr="00151B98">
        <w:t>In</w:t>
      </w:r>
      <w:r w:rsidR="00D076B3" w:rsidRPr="00151B98">
        <w:rPr>
          <w:i/>
        </w:rPr>
        <w:t xml:space="preserve"> </w:t>
      </w:r>
      <w:proofErr w:type="spellStart"/>
      <w:r w:rsidR="00D076B3" w:rsidRPr="00151B98">
        <w:rPr>
          <w:i/>
        </w:rPr>
        <w:t>Mafart</w:t>
      </w:r>
      <w:proofErr w:type="spellEnd"/>
      <w:r w:rsidR="00D076B3" w:rsidRPr="00151B98">
        <w:t xml:space="preserve"> </w:t>
      </w:r>
      <w:r w:rsidR="00D076B3" w:rsidRPr="00151B98">
        <w:rPr>
          <w:i/>
        </w:rPr>
        <w:t>v Television New Zealand Ltd</w:t>
      </w:r>
      <w:r w:rsidR="0051554B">
        <w:rPr>
          <w:i/>
        </w:rPr>
        <w:t> </w:t>
      </w:r>
      <w:r w:rsidR="00D076B3" w:rsidRPr="00151B98">
        <w:rPr>
          <w:rStyle w:val="FootnoteReference"/>
        </w:rPr>
        <w:footnoteReference w:id="74"/>
      </w:r>
      <w:r w:rsidR="0051554B">
        <w:t xml:space="preserve"> </w:t>
      </w:r>
      <w:r w:rsidR="00D076B3" w:rsidRPr="00151B98">
        <w:t xml:space="preserve">the majority judgment of this Court approved </w:t>
      </w:r>
      <w:r w:rsidR="00D076B3" w:rsidRPr="00151B98">
        <w:rPr>
          <w:i/>
        </w:rPr>
        <w:t>Taylo</w:t>
      </w:r>
      <w:r w:rsidR="00D076B3" w:rsidRPr="0051554B">
        <w:rPr>
          <w:i/>
        </w:rPr>
        <w:t>r</w:t>
      </w:r>
      <w:r w:rsidR="0051554B" w:rsidRPr="0051554B">
        <w:rPr>
          <w:i/>
        </w:rPr>
        <w:t xml:space="preserve"> v </w:t>
      </w:r>
      <w:r w:rsidR="00D076B3" w:rsidRPr="0051554B">
        <w:rPr>
          <w:i/>
        </w:rPr>
        <w:t>A-G</w:t>
      </w:r>
      <w:r w:rsidR="00D076B3" w:rsidRPr="00151B98">
        <w:t>’s</w:t>
      </w:r>
      <w:r w:rsidR="00D076B3" w:rsidRPr="00151B98">
        <w:rPr>
          <w:i/>
        </w:rPr>
        <w:t xml:space="preserve"> </w:t>
      </w:r>
      <w:r w:rsidR="00D076B3" w:rsidRPr="00151B98">
        <w:t>explanation of the inherent ancillary powers.</w:t>
      </w:r>
      <w:r w:rsidR="00D076B3" w:rsidRPr="00151B98">
        <w:rPr>
          <w:i/>
        </w:rPr>
        <w:t xml:space="preserve"> </w:t>
      </w:r>
      <w:r w:rsidR="00D076B3" w:rsidRPr="00151B98">
        <w:t xml:space="preserve">Furthermore, the New Zealand approach is consistent with </w:t>
      </w:r>
      <w:r w:rsidR="00D076B3" w:rsidRPr="00151B98">
        <w:rPr>
          <w:i/>
        </w:rPr>
        <w:t xml:space="preserve">Clement </w:t>
      </w:r>
      <w:r w:rsidR="00D076B3" w:rsidRPr="00151B98">
        <w:t xml:space="preserve">and </w:t>
      </w:r>
      <w:proofErr w:type="spellStart"/>
      <w:r w:rsidR="00D076B3" w:rsidRPr="00151B98">
        <w:rPr>
          <w:i/>
        </w:rPr>
        <w:t>Dagenais</w:t>
      </w:r>
      <w:proofErr w:type="spellEnd"/>
      <w:r w:rsidR="00D076B3" w:rsidRPr="00151B98">
        <w:t>.</w:t>
      </w:r>
      <w:r w:rsidR="00D076B3" w:rsidRPr="00151B98">
        <w:rPr>
          <w:i/>
        </w:rPr>
        <w:t xml:space="preserve">  </w:t>
      </w:r>
      <w:r w:rsidR="00D076B3" w:rsidRPr="00151B98">
        <w:t>Very importantly, since 1975, the New Zealand statutory regime has been developed against an assumption that the courts have inherent power to make non-party suppression orders.</w:t>
      </w:r>
      <w:bookmarkEnd w:id="9"/>
      <w:r>
        <w:t>”</w:t>
      </w:r>
    </w:p>
    <w:p w:rsidR="00D076B3" w:rsidRPr="00151B98" w:rsidRDefault="00D076B3" w:rsidP="00151B98">
      <w:pPr>
        <w:pStyle w:val="JDINumber"/>
        <w:numPr>
          <w:ilvl w:val="0"/>
          <w:numId w:val="0"/>
        </w:numPr>
        <w:tabs>
          <w:tab w:val="left" w:pos="1267"/>
        </w:tabs>
        <w:adjustRightInd w:val="0"/>
        <w:snapToGrid w:val="0"/>
        <w:spacing w:before="0" w:line="200" w:lineRule="exact"/>
        <w:ind w:left="1454" w:right="907" w:hanging="187"/>
      </w:pPr>
    </w:p>
    <w:p w:rsidR="00D076B3" w:rsidRDefault="00EE098B" w:rsidP="00151B98">
      <w:pPr>
        <w:tabs>
          <w:tab w:val="clear" w:pos="4320"/>
          <w:tab w:val="clear" w:pos="9072"/>
        </w:tabs>
        <w:autoSpaceDE w:val="0"/>
        <w:autoSpaceDN w:val="0"/>
        <w:adjustRightInd w:val="0"/>
        <w:snapToGrid/>
        <w:spacing w:before="360" w:line="360" w:lineRule="auto"/>
        <w:ind w:right="29"/>
        <w:jc w:val="both"/>
        <w:rPr>
          <w:rFonts w:eastAsia="Times New Roman"/>
          <w:lang w:val="en-NZ"/>
        </w:rPr>
      </w:pPr>
      <w:r>
        <w:rPr>
          <w:rFonts w:eastAsia="Times New Roman"/>
          <w:lang w:val="en-NZ"/>
        </w:rPr>
        <w:fldChar w:fldCharType="begin"/>
      </w:r>
      <w:r w:rsidR="00151B98">
        <w:rPr>
          <w:rFonts w:eastAsia="Times New Roman"/>
          <w:lang w:val="en-NZ"/>
        </w:rPr>
        <w:instrText xml:space="preserve"> AUTONUMOUT  </w:instrText>
      </w:r>
      <w:r>
        <w:rPr>
          <w:rFonts w:eastAsia="Times New Roman"/>
          <w:lang w:val="en-NZ"/>
        </w:rPr>
        <w:fldChar w:fldCharType="end"/>
      </w:r>
      <w:r w:rsidR="00151B98">
        <w:rPr>
          <w:rFonts w:eastAsia="Times New Roman"/>
          <w:lang w:val="en-NZ"/>
        </w:rPr>
        <w:tab/>
      </w:r>
      <w:r w:rsidR="00D076B3">
        <w:rPr>
          <w:rFonts w:eastAsia="Times New Roman"/>
          <w:lang w:val="en-NZ"/>
        </w:rPr>
        <w:t>In the result, the majority concluded:</w:t>
      </w:r>
      <w:r w:rsidR="00B743E9">
        <w:rPr>
          <w:rStyle w:val="FootnoteReference"/>
          <w:rFonts w:eastAsia="Times New Roman"/>
          <w:lang w:val="en-NZ"/>
        </w:rPr>
        <w:footnoteReference w:id="75"/>
      </w:r>
    </w:p>
    <w:p w:rsidR="00FD4208" w:rsidRDefault="00151B98" w:rsidP="00B02A6A">
      <w:pPr>
        <w:pStyle w:val="JDINumber"/>
        <w:numPr>
          <w:ilvl w:val="0"/>
          <w:numId w:val="0"/>
        </w:numPr>
        <w:tabs>
          <w:tab w:val="left" w:pos="1267"/>
        </w:tabs>
        <w:snapToGrid w:val="0"/>
        <w:spacing w:before="240" w:line="240" w:lineRule="auto"/>
        <w:ind w:left="1454" w:right="749" w:hanging="187"/>
      </w:pPr>
      <w:r>
        <w:rPr>
          <w:rFonts w:eastAsia="Times New Roman"/>
        </w:rPr>
        <w:lastRenderedPageBreak/>
        <w:t>“</w:t>
      </w:r>
      <w:r>
        <w:rPr>
          <w:rFonts w:eastAsia="Times New Roman"/>
        </w:rPr>
        <w:tab/>
      </w:r>
      <w:r w:rsidR="00D076B3" w:rsidRPr="00151B98">
        <w:t xml:space="preserve">Given the temporary nature of the order made in the present case, and the desirability of protecting fair trial rights, </w:t>
      </w:r>
      <w:r w:rsidR="00D076B3" w:rsidRPr="00151B98">
        <w:rPr>
          <w:i/>
        </w:rPr>
        <w:t>we consider that these factors mean that the rule and practice so far adopted by the New Zealand courts is appropriate</w:t>
      </w:r>
      <w:r w:rsidR="00D076B3" w:rsidRPr="00151B98">
        <w:t>.</w:t>
      </w:r>
      <w:r w:rsidR="00F6454C">
        <w:t xml:space="preserve">  </w:t>
      </w:r>
      <w:r w:rsidR="00D076B3" w:rsidRPr="00151B98">
        <w:t>(We disagree with</w:t>
      </w:r>
      <w:r w:rsidR="009B38D9">
        <w:t xml:space="preserve"> the</w:t>
      </w:r>
      <w:r w:rsidR="00D076B3" w:rsidRPr="00151B98">
        <w:t xml:space="preserve"> Chief Justice on this </w:t>
      </w:r>
      <w:proofErr w:type="gramStart"/>
      <w:r w:rsidR="00D076B3" w:rsidRPr="00151B98">
        <w:t>point,</w:t>
      </w:r>
      <w:proofErr w:type="gramEnd"/>
      <w:r w:rsidR="00D076B3" w:rsidRPr="00151B98">
        <w:t xml:space="preserve"> see </w:t>
      </w:r>
      <w:proofErr w:type="spellStart"/>
      <w:r w:rsidR="00D076B3" w:rsidRPr="00151B98">
        <w:t>para</w:t>
      </w:r>
      <w:proofErr w:type="spellEnd"/>
      <w:r w:rsidR="00D076B3" w:rsidRPr="00151B98">
        <w:t xml:space="preserve"> [46], above.)  A power to make such orders is necessary for the administration of justice and the protection of fair trial rights and, as we have explained, has not been excluded by statute.</w:t>
      </w:r>
      <w:r w:rsidR="00D076B3" w:rsidRPr="00151B98">
        <w:rPr>
          <w:b/>
        </w:rPr>
        <w:t xml:space="preserve">  </w:t>
      </w:r>
      <w:r w:rsidR="00D076B3" w:rsidRPr="00151B98">
        <w:t xml:space="preserve">Against that background, we do not propose to overrule </w:t>
      </w:r>
      <w:r w:rsidR="00D076B3" w:rsidRPr="00151B98">
        <w:rPr>
          <w:i/>
        </w:rPr>
        <w:t xml:space="preserve">Taylor v A-G </w:t>
      </w:r>
      <w:r w:rsidR="00D076B3" w:rsidRPr="00151B98">
        <w:t xml:space="preserve">and </w:t>
      </w:r>
      <w:r w:rsidR="00D076B3" w:rsidRPr="00151B98">
        <w:rPr>
          <w:i/>
        </w:rPr>
        <w:t>Broadcasting Corporation</w:t>
      </w:r>
      <w:r w:rsidR="00D076B3" w:rsidRPr="00151B98">
        <w:t>.</w:t>
      </w:r>
    </w:p>
    <w:p w:rsidR="007065F9" w:rsidRDefault="00D076B3" w:rsidP="00B02A6A">
      <w:pPr>
        <w:pStyle w:val="JDINumber"/>
        <w:numPr>
          <w:ilvl w:val="0"/>
          <w:numId w:val="0"/>
        </w:numPr>
        <w:tabs>
          <w:tab w:val="left" w:pos="1440"/>
        </w:tabs>
        <w:snapToGrid w:val="0"/>
        <w:spacing w:before="240" w:line="240" w:lineRule="auto"/>
        <w:ind w:left="1454" w:right="749" w:hanging="14"/>
      </w:pPr>
      <w:r w:rsidRPr="00151B98">
        <w:t>It follows that w</w:t>
      </w:r>
      <w:r w:rsidR="00F6454C">
        <w:t xml:space="preserve">e are satisfied that </w:t>
      </w:r>
      <w:proofErr w:type="spellStart"/>
      <w:r w:rsidR="00F6454C">
        <w:t>Winkelmann</w:t>
      </w:r>
      <w:proofErr w:type="spellEnd"/>
      <w:r w:rsidR="00F6454C">
        <w:t> </w:t>
      </w:r>
      <w:r w:rsidRPr="00151B98">
        <w:t>J had an inherent power to suppress publication of h</w:t>
      </w:r>
      <w:r w:rsidR="00F6454C">
        <w:t>er judgment of 9 December 2010.”</w:t>
      </w:r>
      <w:r w:rsidRPr="00151B98">
        <w:t xml:space="preserve">  [Italics added.]</w:t>
      </w:r>
    </w:p>
    <w:p w:rsidR="00FD4208" w:rsidRDefault="00FD4208" w:rsidP="007065F9">
      <w:pPr>
        <w:pStyle w:val="JDINumber"/>
        <w:numPr>
          <w:ilvl w:val="0"/>
          <w:numId w:val="0"/>
        </w:numPr>
        <w:tabs>
          <w:tab w:val="left" w:pos="1440"/>
        </w:tabs>
        <w:adjustRightInd w:val="0"/>
        <w:snapToGrid w:val="0"/>
        <w:spacing w:before="0" w:line="200" w:lineRule="exact"/>
        <w:ind w:left="1454" w:right="907" w:hanging="187"/>
      </w:pPr>
    </w:p>
    <w:p w:rsidR="00FD4208" w:rsidRDefault="00EE098B" w:rsidP="00FD4208">
      <w:pPr>
        <w:tabs>
          <w:tab w:val="clear" w:pos="4320"/>
          <w:tab w:val="clear" w:pos="9072"/>
        </w:tabs>
        <w:autoSpaceDE w:val="0"/>
        <w:autoSpaceDN w:val="0"/>
        <w:adjustRightInd w:val="0"/>
        <w:snapToGrid/>
        <w:spacing w:before="360" w:line="360" w:lineRule="auto"/>
        <w:ind w:right="29"/>
        <w:jc w:val="both"/>
        <w:rPr>
          <w:rFonts w:eastAsia="Times New Roman"/>
        </w:rPr>
      </w:pPr>
      <w:r>
        <w:rPr>
          <w:rFonts w:eastAsia="Times New Roman"/>
        </w:rPr>
        <w:fldChar w:fldCharType="begin"/>
      </w:r>
      <w:r w:rsidR="00FD4208">
        <w:rPr>
          <w:rFonts w:eastAsia="Times New Roman"/>
        </w:rPr>
        <w:instrText xml:space="preserve"> AUTONUMOUT  </w:instrText>
      </w:r>
      <w:r>
        <w:rPr>
          <w:rFonts w:eastAsia="Times New Roman"/>
        </w:rPr>
        <w:fldChar w:fldCharType="end"/>
      </w:r>
      <w:r w:rsidR="00FD4208">
        <w:rPr>
          <w:rFonts w:eastAsia="Times New Roman"/>
        </w:rPr>
        <w:tab/>
      </w:r>
      <w:r w:rsidR="00D076B3">
        <w:rPr>
          <w:rFonts w:eastAsia="Times New Roman"/>
        </w:rPr>
        <w:t xml:space="preserve">Whether or not the common law as developed in Hong Kong provides for an inherent power of the court to make an order for the temporary prohibition of publication of court proceedings is moot. </w:t>
      </w:r>
      <w:r w:rsidR="00F6454C">
        <w:rPr>
          <w:rFonts w:eastAsia="Times New Roman"/>
        </w:rPr>
        <w:t xml:space="preserve"> </w:t>
      </w:r>
      <w:r w:rsidR="00D076B3">
        <w:rPr>
          <w:rFonts w:eastAsia="Times New Roman"/>
        </w:rPr>
        <w:t>As noted earlier, Roberts</w:t>
      </w:r>
      <w:r w:rsidR="00F6454C">
        <w:rPr>
          <w:rFonts w:eastAsia="Times New Roman"/>
        </w:rPr>
        <w:t> </w:t>
      </w:r>
      <w:r w:rsidR="00D076B3">
        <w:rPr>
          <w:rFonts w:eastAsia="Times New Roman"/>
        </w:rPr>
        <w:t xml:space="preserve">CJ, sitting as a single judge, determined the power to exist. </w:t>
      </w:r>
      <w:r w:rsidR="00F6454C">
        <w:rPr>
          <w:rFonts w:eastAsia="Times New Roman"/>
        </w:rPr>
        <w:t xml:space="preserve"> </w:t>
      </w:r>
      <w:r w:rsidR="00D076B3">
        <w:rPr>
          <w:rFonts w:eastAsia="Times New Roman"/>
        </w:rPr>
        <w:t>Soon afterwards the report of the Law Reform Commission, of which both the then Chief Justice and Attorney General were members, recommende</w:t>
      </w:r>
      <w:r w:rsidR="00F6454C">
        <w:rPr>
          <w:rFonts w:eastAsia="Times New Roman"/>
        </w:rPr>
        <w:t>d that the power of the court, “</w:t>
      </w:r>
      <w:r w:rsidR="00D076B3">
        <w:rPr>
          <w:rFonts w:eastAsia="Times New Roman"/>
        </w:rPr>
        <w:t>be confirmed</w:t>
      </w:r>
      <w:r w:rsidR="00F6454C">
        <w:rPr>
          <w:rFonts w:eastAsia="Times New Roman"/>
        </w:rPr>
        <w:t>”</w:t>
      </w:r>
      <w:r w:rsidR="00D076B3">
        <w:rPr>
          <w:rFonts w:eastAsia="Times New Roman"/>
        </w:rPr>
        <w:t xml:space="preserve"> by legislation. </w:t>
      </w:r>
      <w:r w:rsidR="00F6454C">
        <w:rPr>
          <w:rFonts w:eastAsia="Times New Roman"/>
        </w:rPr>
        <w:t xml:space="preserve"> </w:t>
      </w:r>
      <w:r w:rsidR="00D076B3">
        <w:rPr>
          <w:rFonts w:eastAsia="Times New Roman"/>
        </w:rPr>
        <w:t xml:space="preserve">Clearly, it was assumed that the power did exist. </w:t>
      </w:r>
      <w:r w:rsidR="00F6454C">
        <w:rPr>
          <w:rFonts w:eastAsia="Times New Roman"/>
        </w:rPr>
        <w:t xml:space="preserve"> </w:t>
      </w:r>
      <w:r w:rsidR="00D076B3">
        <w:rPr>
          <w:rFonts w:eastAsia="Times New Roman"/>
        </w:rPr>
        <w:t xml:space="preserve">As to subsequent practice, two members of this Court, acting as trial judges, have each made such an order in the course of trials before a jury. </w:t>
      </w:r>
      <w:r w:rsidR="00F6454C">
        <w:rPr>
          <w:rFonts w:eastAsia="Times New Roman"/>
        </w:rPr>
        <w:t xml:space="preserve"> </w:t>
      </w:r>
      <w:r w:rsidR="00D076B3">
        <w:rPr>
          <w:rFonts w:eastAsia="Times New Roman"/>
        </w:rPr>
        <w:t>On the other hand, in contrast to New Zealand, there is no decision of this Court or a higher court confirming the existence of the power.</w:t>
      </w:r>
    </w:p>
    <w:p w:rsidR="00FD4208" w:rsidRDefault="00EE098B" w:rsidP="00FD4208">
      <w:pPr>
        <w:tabs>
          <w:tab w:val="clear" w:pos="4320"/>
          <w:tab w:val="clear" w:pos="9072"/>
        </w:tabs>
        <w:autoSpaceDE w:val="0"/>
        <w:autoSpaceDN w:val="0"/>
        <w:adjustRightInd w:val="0"/>
        <w:snapToGrid/>
        <w:spacing w:before="360" w:line="360" w:lineRule="auto"/>
        <w:ind w:right="29"/>
        <w:jc w:val="both"/>
        <w:rPr>
          <w:rFonts w:eastAsia="Times New Roman"/>
        </w:rPr>
      </w:pPr>
      <w:r>
        <w:rPr>
          <w:rFonts w:eastAsia="Times New Roman"/>
        </w:rPr>
        <w:fldChar w:fldCharType="begin"/>
      </w:r>
      <w:r w:rsidR="00FD4208">
        <w:rPr>
          <w:rFonts w:eastAsia="Times New Roman"/>
        </w:rPr>
        <w:instrText xml:space="preserve"> AUTONUMOUT  </w:instrText>
      </w:r>
      <w:r>
        <w:rPr>
          <w:rFonts w:eastAsia="Times New Roman"/>
        </w:rPr>
        <w:fldChar w:fldCharType="end"/>
      </w:r>
      <w:r w:rsidR="00FD4208">
        <w:rPr>
          <w:rFonts w:eastAsia="Times New Roman"/>
        </w:rPr>
        <w:tab/>
      </w:r>
      <w:r w:rsidR="00D076B3">
        <w:rPr>
          <w:rFonts w:eastAsia="Times New Roman"/>
        </w:rPr>
        <w:t xml:space="preserve">In the event, given that the parties are agreed, correctly in our judgment, that the Basic Law and the Bill of Rights Ordinance provide the Court with a power to make the order sought, it is not necessary for this Court to decide, notwithstanding the judgment of the Privy Council in </w:t>
      </w:r>
      <w:r w:rsidR="00D076B3" w:rsidRPr="006D38AB">
        <w:rPr>
          <w:rFonts w:eastAsia="Times New Roman"/>
          <w:i/>
        </w:rPr>
        <w:t>Independent Publishers</w:t>
      </w:r>
      <w:r w:rsidR="00D076B3">
        <w:rPr>
          <w:rFonts w:eastAsia="Times New Roman"/>
        </w:rPr>
        <w:t>, whether or not that power exists in the common law of Hong Kong.</w:t>
      </w:r>
    </w:p>
    <w:p w:rsidR="00FD4208" w:rsidRDefault="00D076B3" w:rsidP="00FD4208">
      <w:pPr>
        <w:tabs>
          <w:tab w:val="clear" w:pos="4320"/>
          <w:tab w:val="clear" w:pos="9072"/>
        </w:tabs>
        <w:autoSpaceDE w:val="0"/>
        <w:autoSpaceDN w:val="0"/>
        <w:adjustRightInd w:val="0"/>
        <w:snapToGrid/>
        <w:spacing w:before="360" w:line="360" w:lineRule="auto"/>
        <w:ind w:right="29"/>
        <w:jc w:val="both"/>
        <w:rPr>
          <w:rFonts w:eastAsia="Times New Roman"/>
          <w:i/>
        </w:rPr>
      </w:pPr>
      <w:r w:rsidRPr="00CF7576">
        <w:rPr>
          <w:rFonts w:eastAsia="Times New Roman"/>
          <w:i/>
        </w:rPr>
        <w:lastRenderedPageBreak/>
        <w:t>The Basic Law and the Hong Kong Bill of Rights Ordinance</w:t>
      </w:r>
    </w:p>
    <w:p w:rsidR="00D076B3" w:rsidRDefault="00EE098B" w:rsidP="00FD4208">
      <w:pPr>
        <w:tabs>
          <w:tab w:val="clear" w:pos="4320"/>
          <w:tab w:val="clear" w:pos="9072"/>
        </w:tabs>
        <w:autoSpaceDE w:val="0"/>
        <w:autoSpaceDN w:val="0"/>
        <w:adjustRightInd w:val="0"/>
        <w:snapToGrid/>
        <w:spacing w:before="360" w:line="360" w:lineRule="auto"/>
        <w:ind w:right="29"/>
        <w:jc w:val="both"/>
        <w:rPr>
          <w:rFonts w:eastAsia="Times New Roman"/>
        </w:rPr>
      </w:pPr>
      <w:r w:rsidRPr="00FD4208">
        <w:rPr>
          <w:rFonts w:eastAsia="Times New Roman"/>
        </w:rPr>
        <w:fldChar w:fldCharType="begin"/>
      </w:r>
      <w:r w:rsidR="00FD4208" w:rsidRPr="00FD4208">
        <w:rPr>
          <w:rFonts w:eastAsia="Times New Roman"/>
        </w:rPr>
        <w:instrText xml:space="preserve"> AUTONUMOUT  </w:instrText>
      </w:r>
      <w:r w:rsidRPr="00FD4208">
        <w:rPr>
          <w:rFonts w:eastAsia="Times New Roman"/>
        </w:rPr>
        <w:fldChar w:fldCharType="end"/>
      </w:r>
      <w:r w:rsidR="00FD4208" w:rsidRPr="00FD4208">
        <w:rPr>
          <w:rFonts w:eastAsia="Times New Roman"/>
        </w:rPr>
        <w:tab/>
      </w:r>
      <w:r w:rsidR="00D076B3" w:rsidRPr="00FD4208">
        <w:rPr>
          <w:rFonts w:eastAsia="Times New Roman"/>
        </w:rPr>
        <w:t>In</w:t>
      </w:r>
      <w:r w:rsidR="00D076B3">
        <w:rPr>
          <w:rFonts w:eastAsia="Times New Roman"/>
        </w:rPr>
        <w:t xml:space="preserve"> </w:t>
      </w:r>
      <w:r w:rsidR="00D076B3" w:rsidRPr="00AC6E6A">
        <w:rPr>
          <w:rFonts w:eastAsia="Times New Roman"/>
          <w:i/>
        </w:rPr>
        <w:t>TCWF and LKKS and STL and OIL</w:t>
      </w:r>
      <w:r w:rsidR="00F6454C">
        <w:rPr>
          <w:rFonts w:eastAsia="Times New Roman"/>
          <w:i/>
        </w:rPr>
        <w:t> </w:t>
      </w:r>
      <w:r w:rsidR="00D076B3" w:rsidRPr="00FD4208">
        <w:rPr>
          <w:rStyle w:val="FootnoteReference"/>
          <w:rFonts w:eastAsia="Times New Roman"/>
        </w:rPr>
        <w:footnoteReference w:id="76"/>
      </w:r>
      <w:r w:rsidR="00D076B3">
        <w:rPr>
          <w:rFonts w:eastAsia="Times New Roman"/>
        </w:rPr>
        <w:t xml:space="preserve"> this Court refused two summonses seeking that the hearing of an appeal be conducted in chambers (not open to the public). </w:t>
      </w:r>
      <w:r w:rsidR="00F6454C">
        <w:rPr>
          <w:rFonts w:eastAsia="Times New Roman"/>
        </w:rPr>
        <w:t xml:space="preserve"> </w:t>
      </w:r>
      <w:r w:rsidR="00D076B3">
        <w:rPr>
          <w:rFonts w:eastAsia="Times New Roman"/>
        </w:rPr>
        <w:t xml:space="preserve">In </w:t>
      </w:r>
      <w:r w:rsidR="00F6454C">
        <w:rPr>
          <w:rFonts w:eastAsia="Times New Roman"/>
        </w:rPr>
        <w:t>the judgment of this Court, Lam JA, as Lam </w:t>
      </w:r>
      <w:r w:rsidR="00D076B3">
        <w:rPr>
          <w:rFonts w:eastAsia="Times New Roman"/>
        </w:rPr>
        <w:t>VP was then, said:</w:t>
      </w:r>
      <w:r w:rsidR="00D076B3">
        <w:rPr>
          <w:rStyle w:val="FootnoteReference"/>
          <w:rFonts w:eastAsia="Times New Roman"/>
        </w:rPr>
        <w:footnoteReference w:id="77"/>
      </w:r>
    </w:p>
    <w:p w:rsidR="00D076B3" w:rsidRPr="00FD4208" w:rsidRDefault="00F6454C" w:rsidP="00FD4208">
      <w:pPr>
        <w:pStyle w:val="j-draft"/>
        <w:numPr>
          <w:ilvl w:val="0"/>
          <w:numId w:val="0"/>
        </w:numPr>
        <w:tabs>
          <w:tab w:val="left" w:pos="1267"/>
        </w:tabs>
        <w:kinsoku/>
        <w:overflowPunct/>
        <w:autoSpaceDE/>
        <w:autoSpaceDN/>
        <w:adjustRightInd/>
        <w:spacing w:before="240" w:line="240" w:lineRule="auto"/>
        <w:ind w:left="1454" w:right="749" w:hanging="187"/>
        <w:rPr>
          <w:sz w:val="24"/>
          <w:szCs w:val="24"/>
        </w:rPr>
      </w:pPr>
      <w:r>
        <w:rPr>
          <w:sz w:val="24"/>
          <w:szCs w:val="24"/>
        </w:rPr>
        <w:t>“</w:t>
      </w:r>
      <w:r>
        <w:rPr>
          <w:sz w:val="24"/>
          <w:szCs w:val="24"/>
        </w:rPr>
        <w:tab/>
      </w:r>
      <w:r w:rsidR="00D076B3" w:rsidRPr="00FD4208">
        <w:rPr>
          <w:sz w:val="24"/>
          <w:szCs w:val="24"/>
        </w:rPr>
        <w:t>The power of the court to restrict publication of information pertaining to hearings which are open to the public is well established.</w:t>
      </w:r>
      <w:r w:rsidR="00D076B3" w:rsidRPr="00FD4208">
        <w:rPr>
          <w:rFonts w:eastAsia="宋体"/>
          <w:sz w:val="24"/>
          <w:szCs w:val="24"/>
        </w:rPr>
        <w:t xml:space="preserve"> </w:t>
      </w:r>
      <w:r w:rsidR="00D076B3" w:rsidRPr="00FD4208">
        <w:rPr>
          <w:sz w:val="24"/>
          <w:szCs w:val="24"/>
        </w:rPr>
        <w:t xml:space="preserve"> In </w:t>
      </w:r>
      <w:r w:rsidR="00D076B3" w:rsidRPr="00FD4208">
        <w:rPr>
          <w:i/>
          <w:sz w:val="24"/>
          <w:szCs w:val="24"/>
        </w:rPr>
        <w:t>Re S</w:t>
      </w:r>
      <w:r w:rsidR="00D076B3" w:rsidRPr="00FD4208">
        <w:rPr>
          <w:sz w:val="24"/>
          <w:szCs w:val="24"/>
        </w:rPr>
        <w:t xml:space="preserve">, </w:t>
      </w:r>
      <w:proofErr w:type="gramStart"/>
      <w:r w:rsidR="00D076B3" w:rsidRPr="00FD4208">
        <w:rPr>
          <w:sz w:val="24"/>
          <w:szCs w:val="24"/>
        </w:rPr>
        <w:t>supra.,</w:t>
      </w:r>
      <w:proofErr w:type="gramEnd"/>
      <w:r w:rsidR="00D076B3" w:rsidRPr="00FD4208">
        <w:rPr>
          <w:sz w:val="24"/>
          <w:szCs w:val="24"/>
        </w:rPr>
        <w:t xml:space="preserve"> </w:t>
      </w:r>
      <w:proofErr w:type="spellStart"/>
      <w:r w:rsidR="00D076B3" w:rsidRPr="00FD4208">
        <w:rPr>
          <w:sz w:val="24"/>
          <w:szCs w:val="24"/>
        </w:rPr>
        <w:t>para</w:t>
      </w:r>
      <w:proofErr w:type="spellEnd"/>
      <w:r w:rsidR="00D076B3" w:rsidRPr="00FD4208">
        <w:rPr>
          <w:sz w:val="24"/>
          <w:szCs w:val="24"/>
        </w:rPr>
        <w:t xml:space="preserve"> 23, Lord </w:t>
      </w:r>
      <w:proofErr w:type="spellStart"/>
      <w:r w:rsidR="00D076B3" w:rsidRPr="00FD4208">
        <w:rPr>
          <w:sz w:val="24"/>
          <w:szCs w:val="24"/>
        </w:rPr>
        <w:t>Steyn</w:t>
      </w:r>
      <w:proofErr w:type="spellEnd"/>
      <w:r w:rsidR="00D076B3" w:rsidRPr="00FD4208">
        <w:rPr>
          <w:sz w:val="24"/>
          <w:szCs w:val="24"/>
        </w:rPr>
        <w:t xml:space="preserve"> said</w:t>
      </w:r>
      <w:r w:rsidR="00D076B3" w:rsidRPr="00FD4208">
        <w:rPr>
          <w:rFonts w:eastAsia="宋体"/>
          <w:sz w:val="24"/>
          <w:szCs w:val="24"/>
        </w:rPr>
        <w:t>:</w:t>
      </w:r>
    </w:p>
    <w:p w:rsidR="00D076B3" w:rsidRPr="00FD4208" w:rsidRDefault="00D076B3" w:rsidP="00FD4208">
      <w:pPr>
        <w:pStyle w:val="j-quotation"/>
        <w:tabs>
          <w:tab w:val="clear" w:pos="1440"/>
          <w:tab w:val="left" w:pos="1267"/>
          <w:tab w:val="left" w:pos="1980"/>
        </w:tabs>
        <w:kinsoku/>
        <w:overflowPunct/>
        <w:autoSpaceDE/>
        <w:autoSpaceDN/>
        <w:adjustRightInd/>
        <w:spacing w:before="240" w:after="0"/>
        <w:ind w:left="1980" w:right="749"/>
        <w:rPr>
          <w:iCs/>
          <w:szCs w:val="24"/>
        </w:rPr>
      </w:pPr>
      <w:r w:rsidRPr="00FD4208">
        <w:rPr>
          <w:szCs w:val="24"/>
        </w:rPr>
        <w:t>“</w:t>
      </w:r>
      <w:bookmarkStart w:id="10" w:name="para23"/>
      <w:r w:rsidRPr="00FD4208">
        <w:rPr>
          <w:szCs w:val="24"/>
        </w:rPr>
        <w:t xml:space="preserve">The House unanimously takes the view that since the 1998 Act came into force in October 2000, the earlier case law about the existence and scope of inherent jurisdiction need not be considered in this case or in similar cases. </w:t>
      </w:r>
      <w:r w:rsidRPr="00FD4208">
        <w:rPr>
          <w:szCs w:val="24"/>
          <w:lang w:eastAsia="zh-CN"/>
        </w:rPr>
        <w:t xml:space="preserve"> </w:t>
      </w:r>
      <w:r w:rsidRPr="00FD4208">
        <w:rPr>
          <w:szCs w:val="24"/>
        </w:rPr>
        <w:t xml:space="preserve">The foundation of the jurisdiction to restrain publicity in a case such as the present is now derived from convention rights under the ECHR.  This is the simple and direct way to approach such cases.  In this case the jurisdiction is not in doubt.  This is not to say that the case law on the inherent jurisdiction of the High Court is wholly irrelevant.  On the contrary, it may remain of some interest in regard to the ultimate balancing exercise to be carried out under the ECHR provisions. </w:t>
      </w:r>
      <w:r w:rsidRPr="00FD4208">
        <w:rPr>
          <w:szCs w:val="24"/>
          <w:lang w:eastAsia="zh-CN"/>
        </w:rPr>
        <w:t xml:space="preserve"> </w:t>
      </w:r>
      <w:r w:rsidRPr="00FD4208">
        <w:rPr>
          <w:szCs w:val="24"/>
        </w:rPr>
        <w:t xml:space="preserve">My noble and learned friend Lord Bingham of Cornhill invited the response of counsel to this approach.  Both expressed agreement with it.  I would affirm this approach. </w:t>
      </w:r>
      <w:r w:rsidRPr="00FD4208">
        <w:rPr>
          <w:szCs w:val="24"/>
          <w:lang w:eastAsia="zh-CN"/>
        </w:rPr>
        <w:t xml:space="preserve"> </w:t>
      </w:r>
      <w:r w:rsidRPr="00FD4208">
        <w:rPr>
          <w:szCs w:val="24"/>
        </w:rPr>
        <w:t xml:space="preserve">Before passing on I would observe on a historical note that a study of the case law revealed that the approach adopted in the past under the inherent jurisdiction was remarkably similar to that to be adopted under the ECHR.  Indeed the ECHR provisions were often cited even before it became part of our law in October 2000.  Nevertheless, it will in future be necessary, if earlier case law is cited, to bear in mind the new methodology required by the ECHR as explained in </w:t>
      </w:r>
      <w:r w:rsidRPr="00FD4208">
        <w:rPr>
          <w:i/>
          <w:iCs/>
          <w:szCs w:val="24"/>
        </w:rPr>
        <w:t>Campbell</w:t>
      </w:r>
      <w:r w:rsidRPr="00FD4208">
        <w:rPr>
          <w:i/>
          <w:iCs/>
          <w:szCs w:val="24"/>
          <w:lang w:eastAsia="zh-CN"/>
        </w:rPr>
        <w:t xml:space="preserve"> v MGN Ltd </w:t>
      </w:r>
      <w:r w:rsidRPr="00FD4208">
        <w:rPr>
          <w:iCs/>
          <w:szCs w:val="24"/>
          <w:lang w:eastAsia="zh-CN"/>
        </w:rPr>
        <w:t>[2004] 2 AC 457</w:t>
      </w:r>
      <w:r w:rsidRPr="00FD4208">
        <w:rPr>
          <w:i/>
          <w:iCs/>
          <w:szCs w:val="24"/>
        </w:rPr>
        <w:t>.</w:t>
      </w:r>
      <w:bookmarkEnd w:id="10"/>
      <w:r w:rsidRPr="00FD4208">
        <w:rPr>
          <w:iCs/>
          <w:szCs w:val="24"/>
        </w:rPr>
        <w:t>”</w:t>
      </w:r>
    </w:p>
    <w:p w:rsidR="007065F9" w:rsidRDefault="00D076B3" w:rsidP="00FD4208">
      <w:pPr>
        <w:pStyle w:val="j-draft"/>
        <w:numPr>
          <w:ilvl w:val="0"/>
          <w:numId w:val="0"/>
        </w:numPr>
        <w:kinsoku/>
        <w:overflowPunct/>
        <w:autoSpaceDE/>
        <w:autoSpaceDN/>
        <w:adjustRightInd/>
        <w:spacing w:before="240" w:line="240" w:lineRule="auto"/>
        <w:ind w:left="1454" w:right="749" w:hanging="14"/>
        <w:rPr>
          <w:sz w:val="24"/>
          <w:szCs w:val="24"/>
        </w:rPr>
      </w:pPr>
      <w:r w:rsidRPr="00FD4208">
        <w:rPr>
          <w:sz w:val="24"/>
          <w:szCs w:val="24"/>
        </w:rPr>
        <w:t>In the Hong Kong context, the power to restrain publicity is derived from the rights unde</w:t>
      </w:r>
      <w:r w:rsidR="00FD4208">
        <w:rPr>
          <w:sz w:val="24"/>
          <w:szCs w:val="24"/>
        </w:rPr>
        <w:t>r the Hong Kong Bill of Rights.”</w:t>
      </w:r>
    </w:p>
    <w:p w:rsidR="00FD4208" w:rsidRDefault="00FD4208" w:rsidP="007065F9">
      <w:pPr>
        <w:pStyle w:val="j-draft"/>
        <w:numPr>
          <w:ilvl w:val="0"/>
          <w:numId w:val="0"/>
        </w:numPr>
        <w:kinsoku/>
        <w:overflowPunct/>
        <w:autoSpaceDE/>
        <w:autoSpaceDN/>
        <w:spacing w:before="0" w:line="200" w:lineRule="exact"/>
        <w:ind w:left="1454" w:right="907" w:hanging="187"/>
        <w:rPr>
          <w:sz w:val="24"/>
          <w:szCs w:val="24"/>
        </w:rPr>
      </w:pPr>
    </w:p>
    <w:p w:rsidR="00D076B3" w:rsidRDefault="00EE098B" w:rsidP="00FD4208">
      <w:pPr>
        <w:tabs>
          <w:tab w:val="clear" w:pos="4320"/>
          <w:tab w:val="clear" w:pos="9072"/>
        </w:tabs>
        <w:autoSpaceDE w:val="0"/>
        <w:autoSpaceDN w:val="0"/>
        <w:adjustRightInd w:val="0"/>
        <w:snapToGrid/>
        <w:spacing w:before="360" w:line="360" w:lineRule="auto"/>
        <w:ind w:right="29"/>
        <w:jc w:val="both"/>
        <w:rPr>
          <w:rFonts w:eastAsia="Times New Roman"/>
        </w:rPr>
      </w:pPr>
      <w:r>
        <w:rPr>
          <w:rFonts w:eastAsia="Times New Roman"/>
        </w:rPr>
        <w:lastRenderedPageBreak/>
        <w:fldChar w:fldCharType="begin"/>
      </w:r>
      <w:r w:rsidR="00FD4208">
        <w:rPr>
          <w:rFonts w:eastAsia="Times New Roman"/>
        </w:rPr>
        <w:instrText xml:space="preserve"> AUTONUMOUT  </w:instrText>
      </w:r>
      <w:r>
        <w:rPr>
          <w:rFonts w:eastAsia="Times New Roman"/>
        </w:rPr>
        <w:fldChar w:fldCharType="end"/>
      </w:r>
      <w:r w:rsidR="00FD4208">
        <w:rPr>
          <w:rFonts w:eastAsia="Times New Roman"/>
        </w:rPr>
        <w:tab/>
      </w:r>
      <w:r w:rsidR="00D076B3">
        <w:rPr>
          <w:rFonts w:eastAsia="Times New Roman"/>
        </w:rPr>
        <w:t>Earlier in his judg</w:t>
      </w:r>
      <w:r w:rsidR="00D076B3" w:rsidRPr="00DD55FD">
        <w:rPr>
          <w:rFonts w:eastAsia="Times New Roman"/>
        </w:rPr>
        <w:t>ment</w:t>
      </w:r>
      <w:r w:rsidR="00D076B3">
        <w:rPr>
          <w:rStyle w:val="FootnoteReference"/>
          <w:rFonts w:eastAsia="Times New Roman"/>
        </w:rPr>
        <w:footnoteReference w:id="78"/>
      </w:r>
      <w:r w:rsidR="00D076B3">
        <w:rPr>
          <w:rFonts w:eastAsia="Times New Roman"/>
        </w:rPr>
        <w:t>, Lam J</w:t>
      </w:r>
      <w:r w:rsidR="00F6454C">
        <w:rPr>
          <w:rFonts w:eastAsia="Times New Roman"/>
        </w:rPr>
        <w:t>A noted the statement of Cheung </w:t>
      </w:r>
      <w:r w:rsidR="00D076B3">
        <w:rPr>
          <w:rFonts w:eastAsia="Times New Roman"/>
        </w:rPr>
        <w:t>CJHC in the judgment of this Court in</w:t>
      </w:r>
      <w:r w:rsidR="00D076B3" w:rsidRPr="00C7614A">
        <w:rPr>
          <w:i/>
        </w:rPr>
        <w:t xml:space="preserve"> </w:t>
      </w:r>
      <w:r w:rsidR="00D076B3">
        <w:rPr>
          <w:i/>
        </w:rPr>
        <w:t>Asia Television Ltd.</w:t>
      </w:r>
      <w:r w:rsidR="00D076B3" w:rsidRPr="00C7614A">
        <w:rPr>
          <w:i/>
        </w:rPr>
        <w:t xml:space="preserve"> v Communications </w:t>
      </w:r>
      <w:proofErr w:type="gramStart"/>
      <w:r w:rsidR="00D076B3" w:rsidRPr="00C7614A">
        <w:rPr>
          <w:i/>
        </w:rPr>
        <w:t>Authority</w:t>
      </w:r>
      <w:r w:rsidR="00F6454C">
        <w:rPr>
          <w:i/>
        </w:rPr>
        <w:t> </w:t>
      </w:r>
      <w:proofErr w:type="gramEnd"/>
      <w:r w:rsidR="00D076B3" w:rsidRPr="00F6454C">
        <w:rPr>
          <w:rStyle w:val="FootnoteReference"/>
        </w:rPr>
        <w:footnoteReference w:id="79"/>
      </w:r>
      <w:r w:rsidR="00F6454C">
        <w:rPr>
          <w:rFonts w:eastAsia="Times New Roman"/>
        </w:rPr>
        <w:t>, of which Lam </w:t>
      </w:r>
      <w:r w:rsidR="00D076B3">
        <w:rPr>
          <w:rFonts w:eastAsia="Times New Roman"/>
        </w:rPr>
        <w:t>JA was a member, in respect of the importance of the open administration of justice:</w:t>
      </w:r>
    </w:p>
    <w:p w:rsidR="007065F9" w:rsidRDefault="00D076B3" w:rsidP="00FD4208">
      <w:pPr>
        <w:tabs>
          <w:tab w:val="clear" w:pos="4320"/>
          <w:tab w:val="clear" w:pos="9072"/>
          <w:tab w:val="left" w:pos="1267"/>
        </w:tabs>
        <w:spacing w:before="240"/>
        <w:ind w:left="1454" w:right="749" w:hanging="187"/>
        <w:jc w:val="both"/>
        <w:rPr>
          <w:sz w:val="24"/>
        </w:rPr>
      </w:pPr>
      <w:r w:rsidRPr="00FD4208">
        <w:rPr>
          <w:sz w:val="24"/>
        </w:rPr>
        <w:t>“</w:t>
      </w:r>
      <w:r w:rsidR="00FD4208">
        <w:rPr>
          <w:sz w:val="24"/>
        </w:rPr>
        <w:tab/>
      </w:r>
      <w:r w:rsidRPr="00FD4208">
        <w:rPr>
          <w:sz w:val="24"/>
        </w:rPr>
        <w:t>… Open administration of justice is a fundamental principle of common law … It is of great importance, from the perspective of administration of justice, for a number of reasons.  The public nature of proceedings deters inappropriate behaviour on the part of the court.  It also maintains the public’s confidence in the administration of justice … It makes uninformed and inaccurate comment about proceedings less likely.”</w:t>
      </w:r>
    </w:p>
    <w:p w:rsidR="00FD4208" w:rsidRDefault="00FD4208" w:rsidP="007065F9">
      <w:pPr>
        <w:tabs>
          <w:tab w:val="clear" w:pos="4320"/>
          <w:tab w:val="clear" w:pos="9072"/>
          <w:tab w:val="left" w:pos="1267"/>
        </w:tabs>
        <w:adjustRightInd w:val="0"/>
        <w:spacing w:line="200" w:lineRule="exact"/>
        <w:ind w:left="1454" w:right="907" w:hanging="187"/>
        <w:jc w:val="both"/>
        <w:rPr>
          <w:sz w:val="24"/>
        </w:rPr>
      </w:pPr>
    </w:p>
    <w:p w:rsidR="00D076B3" w:rsidRDefault="00EE098B" w:rsidP="00FD4208">
      <w:pPr>
        <w:tabs>
          <w:tab w:val="clear" w:pos="4320"/>
          <w:tab w:val="clear" w:pos="9072"/>
        </w:tabs>
        <w:autoSpaceDE w:val="0"/>
        <w:autoSpaceDN w:val="0"/>
        <w:adjustRightInd w:val="0"/>
        <w:snapToGrid/>
        <w:spacing w:before="360" w:line="360" w:lineRule="auto"/>
        <w:ind w:right="29"/>
        <w:jc w:val="both"/>
        <w:rPr>
          <w:rFonts w:eastAsia="Times New Roman"/>
        </w:rPr>
      </w:pPr>
      <w:r>
        <w:rPr>
          <w:rFonts w:eastAsia="Times New Roman"/>
        </w:rPr>
        <w:fldChar w:fldCharType="begin"/>
      </w:r>
      <w:r w:rsidR="00FD4208">
        <w:rPr>
          <w:rFonts w:eastAsia="Times New Roman"/>
        </w:rPr>
        <w:instrText xml:space="preserve"> AUTONUMOUT  </w:instrText>
      </w:r>
      <w:r>
        <w:rPr>
          <w:rFonts w:eastAsia="Times New Roman"/>
        </w:rPr>
        <w:fldChar w:fldCharType="end"/>
      </w:r>
      <w:r w:rsidR="00FD4208">
        <w:rPr>
          <w:rFonts w:eastAsia="Times New Roman"/>
        </w:rPr>
        <w:tab/>
      </w:r>
      <w:r w:rsidR="00D076B3">
        <w:rPr>
          <w:rFonts w:eastAsia="Times New Roman"/>
        </w:rPr>
        <w:t>Cheung CJHC went on to say:</w:t>
      </w:r>
    </w:p>
    <w:p w:rsidR="00D076B3" w:rsidRPr="00FD4208" w:rsidRDefault="00FD4208" w:rsidP="00FD4208">
      <w:pPr>
        <w:tabs>
          <w:tab w:val="clear" w:pos="1440"/>
          <w:tab w:val="clear" w:pos="4320"/>
          <w:tab w:val="clear" w:pos="9072"/>
          <w:tab w:val="left" w:pos="1267"/>
          <w:tab w:val="left" w:pos="1425"/>
        </w:tabs>
        <w:spacing w:before="240"/>
        <w:ind w:left="1454" w:right="749" w:hanging="187"/>
        <w:jc w:val="both"/>
        <w:rPr>
          <w:sz w:val="24"/>
          <w:szCs w:val="24"/>
          <w:lang w:eastAsia="zh-HK"/>
        </w:rPr>
      </w:pPr>
      <w:r>
        <w:rPr>
          <w:rFonts w:eastAsia="Times New Roman"/>
          <w:sz w:val="24"/>
          <w:szCs w:val="24"/>
        </w:rPr>
        <w:t>“</w:t>
      </w:r>
      <w:r>
        <w:rPr>
          <w:rFonts w:eastAsia="Times New Roman"/>
          <w:sz w:val="24"/>
          <w:szCs w:val="24"/>
        </w:rPr>
        <w:tab/>
      </w:r>
      <w:r w:rsidR="00D076B3" w:rsidRPr="00FD4208">
        <w:rPr>
          <w:sz w:val="24"/>
          <w:szCs w:val="24"/>
        </w:rPr>
        <w:t>…</w:t>
      </w:r>
      <w:r w:rsidR="00D076B3" w:rsidRPr="00FD4208">
        <w:rPr>
          <w:sz w:val="24"/>
          <w:szCs w:val="24"/>
          <w:lang w:eastAsia="zh-HK"/>
        </w:rPr>
        <w:t xml:space="preserve">open justice is, from the perspective of proper administration of justice, just a means, albeit an important one, to an end, </w:t>
      </w:r>
      <w:r w:rsidR="00D076B3" w:rsidRPr="00FD4208">
        <w:rPr>
          <w:sz w:val="24"/>
          <w:szCs w:val="24"/>
        </w:rPr>
        <w:t>that is,</w:t>
      </w:r>
      <w:r w:rsidR="00D076B3" w:rsidRPr="00FD4208">
        <w:rPr>
          <w:sz w:val="24"/>
          <w:szCs w:val="24"/>
          <w:lang w:eastAsia="zh-HK"/>
        </w:rPr>
        <w:t xml:space="preserve"> the doing of justice between the parties concerned</w:t>
      </w:r>
      <w:r w:rsidR="00D076B3" w:rsidRPr="00FD4208">
        <w:rPr>
          <w:sz w:val="24"/>
          <w:szCs w:val="24"/>
        </w:rPr>
        <w:t xml:space="preserve">: </w:t>
      </w:r>
      <w:r w:rsidR="00D076B3" w:rsidRPr="00FD4208">
        <w:rPr>
          <w:i/>
          <w:sz w:val="24"/>
          <w:szCs w:val="24"/>
        </w:rPr>
        <w:t>Scott v Scott</w:t>
      </w:r>
      <w:r w:rsidR="00D076B3" w:rsidRPr="00FD4208">
        <w:rPr>
          <w:sz w:val="24"/>
          <w:szCs w:val="24"/>
        </w:rPr>
        <w:t xml:space="preserve">, at p 437; </w:t>
      </w:r>
      <w:r w:rsidR="00D076B3" w:rsidRPr="00FD4208">
        <w:rPr>
          <w:i/>
          <w:sz w:val="24"/>
          <w:szCs w:val="24"/>
        </w:rPr>
        <w:t>Ex parte New Cross Building Society</w:t>
      </w:r>
      <w:r w:rsidR="00D076B3" w:rsidRPr="00FD4208">
        <w:rPr>
          <w:sz w:val="24"/>
          <w:szCs w:val="24"/>
        </w:rPr>
        <w:t>, at p 235E</w:t>
      </w:r>
      <w:r w:rsidR="00D076B3" w:rsidRPr="00FD4208">
        <w:rPr>
          <w:sz w:val="24"/>
          <w:szCs w:val="24"/>
          <w:lang w:eastAsia="zh-HK"/>
        </w:rPr>
        <w:t xml:space="preserve">.  It therefore follows that where open administration of justice in a case would frustrate that ultimate aim of doing justice, it is a most important if not decisive consideration to take into account </w:t>
      </w:r>
      <w:r w:rsidR="00D076B3" w:rsidRPr="00FD4208">
        <w:rPr>
          <w:sz w:val="24"/>
          <w:szCs w:val="24"/>
        </w:rPr>
        <w:t>when</w:t>
      </w:r>
      <w:r w:rsidR="00D076B3" w:rsidRPr="00FD4208">
        <w:rPr>
          <w:sz w:val="24"/>
          <w:szCs w:val="24"/>
          <w:lang w:eastAsia="zh-HK"/>
        </w:rPr>
        <w:t xml:space="preserve"> balancing the relevant interests, rights and freedom</w:t>
      </w:r>
      <w:r w:rsidR="00D076B3" w:rsidRPr="00FD4208">
        <w:rPr>
          <w:sz w:val="24"/>
          <w:szCs w:val="24"/>
        </w:rPr>
        <w:t>s</w:t>
      </w:r>
      <w:r w:rsidR="00D076B3" w:rsidRPr="00FD4208">
        <w:rPr>
          <w:sz w:val="24"/>
          <w:szCs w:val="24"/>
          <w:lang w:eastAsia="zh-HK"/>
        </w:rPr>
        <w:t xml:space="preserve"> involved, </w:t>
      </w:r>
      <w:r w:rsidR="00D076B3" w:rsidRPr="00FD4208">
        <w:rPr>
          <w:sz w:val="24"/>
          <w:szCs w:val="24"/>
        </w:rPr>
        <w:t>t</w:t>
      </w:r>
      <w:r w:rsidR="00D076B3" w:rsidRPr="00FD4208">
        <w:rPr>
          <w:sz w:val="24"/>
          <w:szCs w:val="24"/>
          <w:lang w:eastAsia="zh-HK"/>
        </w:rPr>
        <w:t>o decide whether open justice should be restricted, and if so, by what means and to what extent.</w:t>
      </w:r>
    </w:p>
    <w:p w:rsidR="00D076B3" w:rsidRPr="00FD4208" w:rsidRDefault="00D076B3" w:rsidP="00FD4208">
      <w:pPr>
        <w:tabs>
          <w:tab w:val="clear" w:pos="1440"/>
          <w:tab w:val="clear" w:pos="4320"/>
          <w:tab w:val="clear" w:pos="9072"/>
          <w:tab w:val="left" w:pos="1267"/>
          <w:tab w:val="left" w:pos="1418"/>
        </w:tabs>
        <w:spacing w:before="240"/>
        <w:ind w:left="1454" w:right="749" w:hanging="14"/>
        <w:jc w:val="both"/>
        <w:rPr>
          <w:sz w:val="24"/>
          <w:szCs w:val="24"/>
          <w:lang w:eastAsia="zh-HK"/>
        </w:rPr>
      </w:pPr>
      <w:r w:rsidRPr="00FD4208">
        <w:rPr>
          <w:sz w:val="24"/>
          <w:szCs w:val="24"/>
        </w:rPr>
        <w:t>The case law has very often expressed this in terms of a requirement of “necessity”, that is,</w:t>
      </w:r>
      <w:r w:rsidRPr="00FD4208">
        <w:rPr>
          <w:sz w:val="24"/>
          <w:szCs w:val="24"/>
          <w:lang w:eastAsia="zh-HK"/>
        </w:rPr>
        <w:t xml:space="preserve"> </w:t>
      </w:r>
      <w:r w:rsidRPr="00FD4208">
        <w:rPr>
          <w:bCs/>
          <w:sz w:val="24"/>
          <w:szCs w:val="24"/>
        </w:rPr>
        <w:t>where justice would be frustrated if open administration of justice in a particular case is not restricted, then, to the extent necessary to prevent that from happening, there may be restriction on doing justice openly.</w:t>
      </w:r>
    </w:p>
    <w:p w:rsidR="007065F9" w:rsidRDefault="00D076B3" w:rsidP="00FD4208">
      <w:pPr>
        <w:tabs>
          <w:tab w:val="clear" w:pos="1440"/>
          <w:tab w:val="clear" w:pos="4320"/>
          <w:tab w:val="clear" w:pos="9072"/>
          <w:tab w:val="left" w:pos="1267"/>
          <w:tab w:val="left" w:pos="1418"/>
        </w:tabs>
        <w:spacing w:before="240"/>
        <w:ind w:left="1454" w:right="749" w:hanging="14"/>
        <w:jc w:val="both"/>
        <w:rPr>
          <w:bCs/>
          <w:sz w:val="24"/>
          <w:szCs w:val="24"/>
        </w:rPr>
      </w:pPr>
      <w:r w:rsidRPr="00FD4208">
        <w:rPr>
          <w:bCs/>
          <w:sz w:val="24"/>
          <w:szCs w:val="24"/>
        </w:rPr>
        <w:t>This requirement of “necessity” is founded on the common law, and has also found expression in article 10 of the Hong Kong Bill of Rights….  Article 10 of the Hong Kong Bill of Rights relevantly provides that the press and public may be excluded from a hearing “to the extent strictly necessary in the opinion of the court in special circumstances where publicity would preju</w:t>
      </w:r>
      <w:r w:rsidR="00FD4208">
        <w:rPr>
          <w:bCs/>
          <w:sz w:val="24"/>
          <w:szCs w:val="24"/>
        </w:rPr>
        <w:t>dice the interests of justice”.”</w:t>
      </w:r>
    </w:p>
    <w:p w:rsidR="00FD4208" w:rsidRDefault="00FD4208" w:rsidP="007065F9">
      <w:pPr>
        <w:tabs>
          <w:tab w:val="clear" w:pos="1440"/>
          <w:tab w:val="clear" w:pos="4320"/>
          <w:tab w:val="clear" w:pos="9072"/>
          <w:tab w:val="left" w:pos="1267"/>
          <w:tab w:val="left" w:pos="1418"/>
        </w:tabs>
        <w:adjustRightInd w:val="0"/>
        <w:spacing w:line="200" w:lineRule="exact"/>
        <w:ind w:left="1454" w:right="907" w:hanging="187"/>
        <w:jc w:val="both"/>
        <w:rPr>
          <w:bCs/>
          <w:sz w:val="24"/>
          <w:szCs w:val="24"/>
        </w:rPr>
      </w:pPr>
    </w:p>
    <w:p w:rsidR="00D076B3" w:rsidRDefault="00EE098B" w:rsidP="00FD4208">
      <w:pPr>
        <w:tabs>
          <w:tab w:val="clear" w:pos="1440"/>
          <w:tab w:val="clear" w:pos="4320"/>
          <w:tab w:val="clear" w:pos="9072"/>
          <w:tab w:val="left" w:pos="1418"/>
        </w:tabs>
        <w:autoSpaceDE w:val="0"/>
        <w:autoSpaceDN w:val="0"/>
        <w:adjustRightInd w:val="0"/>
        <w:snapToGrid/>
        <w:spacing w:before="360" w:line="360" w:lineRule="auto"/>
        <w:ind w:right="29"/>
        <w:jc w:val="both"/>
      </w:pPr>
      <w:r>
        <w:fldChar w:fldCharType="begin"/>
      </w:r>
      <w:r w:rsidR="00FD4208">
        <w:instrText xml:space="preserve"> AUTONUMOUT  </w:instrText>
      </w:r>
      <w:r>
        <w:fldChar w:fldCharType="end"/>
      </w:r>
      <w:r w:rsidR="00FD4208">
        <w:tab/>
      </w:r>
      <w:r w:rsidR="00D076B3">
        <w:t>Of the necessary balancing exercise, Cheung CJHC said:</w:t>
      </w:r>
    </w:p>
    <w:p w:rsidR="007065F9" w:rsidRDefault="00FD4208" w:rsidP="00FD4208">
      <w:pPr>
        <w:tabs>
          <w:tab w:val="clear" w:pos="1440"/>
          <w:tab w:val="clear" w:pos="4320"/>
          <w:tab w:val="clear" w:pos="9072"/>
          <w:tab w:val="left" w:pos="1267"/>
          <w:tab w:val="left" w:pos="1418"/>
        </w:tabs>
        <w:spacing w:before="240"/>
        <w:ind w:left="1454" w:right="749" w:hanging="187"/>
        <w:jc w:val="both"/>
        <w:rPr>
          <w:sz w:val="24"/>
          <w:szCs w:val="24"/>
        </w:rPr>
      </w:pPr>
      <w:r>
        <w:rPr>
          <w:sz w:val="24"/>
          <w:szCs w:val="24"/>
        </w:rPr>
        <w:t>“</w:t>
      </w:r>
      <w:r>
        <w:rPr>
          <w:sz w:val="24"/>
          <w:szCs w:val="24"/>
        </w:rPr>
        <w:tab/>
      </w:r>
      <w:r w:rsidR="00D076B3" w:rsidRPr="00FD4208">
        <w:rPr>
          <w:sz w:val="24"/>
          <w:szCs w:val="24"/>
        </w:rPr>
        <w:t>All t</w:t>
      </w:r>
      <w:r w:rsidR="00D076B3" w:rsidRPr="00FD4208">
        <w:rPr>
          <w:sz w:val="24"/>
          <w:szCs w:val="24"/>
          <w:lang w:eastAsia="zh-HK"/>
        </w:rPr>
        <w:t>his must be understood in terms of the balancing exercise described above given that different and sometimes competing interests, rights and freedom</w:t>
      </w:r>
      <w:r w:rsidR="00D076B3" w:rsidRPr="00FD4208">
        <w:rPr>
          <w:sz w:val="24"/>
          <w:szCs w:val="24"/>
        </w:rPr>
        <w:t>s</w:t>
      </w:r>
      <w:r w:rsidR="00D076B3" w:rsidRPr="00FD4208">
        <w:rPr>
          <w:sz w:val="24"/>
          <w:szCs w:val="24"/>
          <w:lang w:eastAsia="zh-HK"/>
        </w:rPr>
        <w:t xml:space="preserve"> are or may be at stake.</w:t>
      </w:r>
      <w:r w:rsidR="00D076B3" w:rsidRPr="00FD4208">
        <w:rPr>
          <w:sz w:val="24"/>
          <w:szCs w:val="24"/>
        </w:rPr>
        <w:t xml:space="preserve">  This is all the more so when quite often, one is concerned with a </w:t>
      </w:r>
      <w:r w:rsidR="00D076B3" w:rsidRPr="00FD4208">
        <w:rPr>
          <w:i/>
          <w:sz w:val="24"/>
          <w:szCs w:val="24"/>
        </w:rPr>
        <w:t>risk</w:t>
      </w:r>
      <w:r w:rsidR="00D076B3" w:rsidRPr="00FD4208">
        <w:rPr>
          <w:sz w:val="24"/>
          <w:szCs w:val="24"/>
        </w:rPr>
        <w:t xml:space="preserve"> that justice cannot be done (if it is to be administered openly), rather than a certainty that this will be so.  In that type of situation, the court’s task is to balance that risk (and other relevant interests etc) against other competing considerations and come up with an answer that best serves the situation at hand.</w:t>
      </w:r>
      <w:r>
        <w:rPr>
          <w:sz w:val="24"/>
          <w:szCs w:val="24"/>
        </w:rPr>
        <w:t>”</w:t>
      </w:r>
    </w:p>
    <w:p w:rsidR="00FD4208" w:rsidRDefault="00FD4208" w:rsidP="007065F9">
      <w:pPr>
        <w:tabs>
          <w:tab w:val="clear" w:pos="1440"/>
          <w:tab w:val="clear" w:pos="4320"/>
          <w:tab w:val="clear" w:pos="9072"/>
          <w:tab w:val="left" w:pos="1267"/>
          <w:tab w:val="left" w:pos="1418"/>
        </w:tabs>
        <w:adjustRightInd w:val="0"/>
        <w:spacing w:line="200" w:lineRule="exact"/>
        <w:ind w:left="1454" w:right="907" w:hanging="187"/>
        <w:jc w:val="both"/>
        <w:rPr>
          <w:sz w:val="24"/>
          <w:szCs w:val="24"/>
        </w:rPr>
      </w:pPr>
    </w:p>
    <w:p w:rsidR="00FD4208" w:rsidRDefault="00EE098B" w:rsidP="007065F9">
      <w:pPr>
        <w:tabs>
          <w:tab w:val="clear" w:pos="1440"/>
          <w:tab w:val="clear" w:pos="4320"/>
          <w:tab w:val="clear" w:pos="9072"/>
          <w:tab w:val="left" w:pos="1418"/>
        </w:tabs>
        <w:autoSpaceDE w:val="0"/>
        <w:autoSpaceDN w:val="0"/>
        <w:adjustRightInd w:val="0"/>
        <w:snapToGrid/>
        <w:spacing w:before="360" w:line="360" w:lineRule="auto"/>
        <w:ind w:right="29"/>
        <w:jc w:val="both"/>
        <w:rPr>
          <w:lang w:eastAsia="zh-HK"/>
        </w:rPr>
      </w:pPr>
      <w:r w:rsidRPr="00FD4208">
        <w:rPr>
          <w:szCs w:val="28"/>
        </w:rPr>
        <w:fldChar w:fldCharType="begin"/>
      </w:r>
      <w:r w:rsidR="00FD4208" w:rsidRPr="00FD4208">
        <w:rPr>
          <w:szCs w:val="28"/>
        </w:rPr>
        <w:instrText xml:space="preserve"> AUTONUMOUT  </w:instrText>
      </w:r>
      <w:r w:rsidRPr="00FD4208">
        <w:rPr>
          <w:szCs w:val="28"/>
        </w:rPr>
        <w:fldChar w:fldCharType="end"/>
      </w:r>
      <w:r w:rsidR="00FD4208" w:rsidRPr="00FD4208">
        <w:rPr>
          <w:szCs w:val="28"/>
        </w:rPr>
        <w:tab/>
      </w:r>
      <w:r w:rsidR="00FD4208">
        <w:rPr>
          <w:szCs w:val="28"/>
          <w:lang w:eastAsia="zh-HK"/>
        </w:rPr>
        <w:t>I</w:t>
      </w:r>
      <w:r w:rsidR="00D076B3" w:rsidRPr="00EC181D">
        <w:rPr>
          <w:lang w:eastAsia="zh-HK"/>
        </w:rPr>
        <w:t>n determining</w:t>
      </w:r>
      <w:r w:rsidR="00D076B3">
        <w:rPr>
          <w:lang w:eastAsia="zh-HK"/>
        </w:rPr>
        <w:t xml:space="preserve"> that</w:t>
      </w:r>
      <w:r w:rsidR="00D076B3" w:rsidRPr="00EC181D">
        <w:rPr>
          <w:lang w:eastAsia="zh-HK"/>
        </w:rPr>
        <w:t xml:space="preserve"> the appeal was to be heard in open court, notwithstanding</w:t>
      </w:r>
      <w:r w:rsidR="00D076B3">
        <w:rPr>
          <w:lang w:eastAsia="zh-HK"/>
        </w:rPr>
        <w:t xml:space="preserve"> the right of privacy</w:t>
      </w:r>
      <w:r w:rsidR="00F6454C">
        <w:rPr>
          <w:lang w:eastAsia="zh-HK"/>
        </w:rPr>
        <w:t xml:space="preserve"> of the parties, Lam </w:t>
      </w:r>
      <w:r w:rsidR="00FD4208">
        <w:rPr>
          <w:lang w:eastAsia="zh-HK"/>
        </w:rPr>
        <w:t>JA said, “</w:t>
      </w:r>
      <w:r w:rsidR="00D076B3" w:rsidRPr="00EC181D">
        <w:rPr>
          <w:lang w:eastAsia="zh-HK"/>
        </w:rPr>
        <w:t xml:space="preserve">The consequential interference with their Article 14 rights </w:t>
      </w:r>
      <w:r w:rsidR="00FD4208">
        <w:rPr>
          <w:lang w:eastAsia="zh-HK"/>
        </w:rPr>
        <w:t>is justified and proportionate.”</w:t>
      </w:r>
    </w:p>
    <w:p w:rsidR="00FD4208" w:rsidRDefault="00D076B3" w:rsidP="007065F9">
      <w:pPr>
        <w:tabs>
          <w:tab w:val="clear" w:pos="1440"/>
          <w:tab w:val="clear" w:pos="4320"/>
          <w:tab w:val="clear" w:pos="9072"/>
          <w:tab w:val="left" w:pos="1267"/>
          <w:tab w:val="left" w:pos="1418"/>
        </w:tabs>
        <w:autoSpaceDE w:val="0"/>
        <w:autoSpaceDN w:val="0"/>
        <w:adjustRightInd w:val="0"/>
        <w:snapToGrid/>
        <w:spacing w:before="360" w:line="360" w:lineRule="auto"/>
        <w:ind w:right="29"/>
        <w:jc w:val="both"/>
        <w:rPr>
          <w:i/>
          <w:lang w:eastAsia="zh-HK"/>
        </w:rPr>
      </w:pPr>
      <w:r w:rsidRPr="003061DB">
        <w:rPr>
          <w:i/>
          <w:lang w:eastAsia="zh-HK"/>
        </w:rPr>
        <w:t>Conclusion</w:t>
      </w:r>
    </w:p>
    <w:p w:rsidR="00D076B3" w:rsidRPr="00EC181D" w:rsidRDefault="00EE098B" w:rsidP="007065F9">
      <w:pPr>
        <w:tabs>
          <w:tab w:val="clear" w:pos="1440"/>
          <w:tab w:val="clear" w:pos="4320"/>
          <w:tab w:val="clear" w:pos="9072"/>
          <w:tab w:val="left" w:pos="1418"/>
        </w:tabs>
        <w:autoSpaceDE w:val="0"/>
        <w:autoSpaceDN w:val="0"/>
        <w:adjustRightInd w:val="0"/>
        <w:snapToGrid/>
        <w:spacing w:before="360" w:line="360" w:lineRule="auto"/>
        <w:ind w:right="29"/>
        <w:jc w:val="both"/>
        <w:rPr>
          <w:lang w:eastAsia="zh-HK"/>
        </w:rPr>
      </w:pPr>
      <w:r w:rsidRPr="00F6454C">
        <w:rPr>
          <w:lang w:eastAsia="zh-HK"/>
        </w:rPr>
        <w:fldChar w:fldCharType="begin"/>
      </w:r>
      <w:r w:rsidR="00FD4208" w:rsidRPr="00F6454C">
        <w:rPr>
          <w:lang w:eastAsia="zh-HK"/>
        </w:rPr>
        <w:instrText xml:space="preserve"> AUTONUMOUT  </w:instrText>
      </w:r>
      <w:r w:rsidRPr="00F6454C">
        <w:rPr>
          <w:lang w:eastAsia="zh-HK"/>
        </w:rPr>
        <w:fldChar w:fldCharType="end"/>
      </w:r>
      <w:r w:rsidR="00FD4208" w:rsidRPr="00F6454C">
        <w:rPr>
          <w:lang w:eastAsia="zh-HK"/>
        </w:rPr>
        <w:tab/>
      </w:r>
      <w:r w:rsidR="00D076B3">
        <w:rPr>
          <w:lang w:eastAsia="zh-HK"/>
        </w:rPr>
        <w:t>In the result, for the reasons set out above, we were satisfied that this Court has power, arising from the Basic Law and the Bill of Rights Ordinance, to protect the right to a fair trial of defendants in other proceedings, to make an order prohibiting temporarily the publicat</w:t>
      </w:r>
      <w:r w:rsidR="00DD5627">
        <w:rPr>
          <w:lang w:eastAsia="zh-HK"/>
        </w:rPr>
        <w:t>ion of any report of this Court’</w:t>
      </w:r>
      <w:r w:rsidR="00D076B3">
        <w:rPr>
          <w:lang w:eastAsia="zh-HK"/>
        </w:rPr>
        <w:t xml:space="preserve">s proceedings pending the </w:t>
      </w:r>
      <w:r w:rsidR="00DD5627">
        <w:rPr>
          <w:lang w:eastAsia="zh-HK"/>
        </w:rPr>
        <w:t>conclusion of the trial of HCCC </w:t>
      </w:r>
      <w:r w:rsidR="00D076B3">
        <w:rPr>
          <w:lang w:eastAsia="zh-HK"/>
        </w:rPr>
        <w:t>83/2014 or further order, which order we made on 28 January 2016.</w:t>
      </w:r>
    </w:p>
    <w:p w:rsidR="00597213" w:rsidRDefault="00597213" w:rsidP="00FA3958">
      <w:pPr>
        <w:tabs>
          <w:tab w:val="clear" w:pos="4320"/>
          <w:tab w:val="clear" w:pos="9072"/>
          <w:tab w:val="left" w:pos="1134"/>
        </w:tabs>
        <w:spacing w:before="120" w:after="120" w:line="360" w:lineRule="auto"/>
        <w:rPr>
          <w:szCs w:val="28"/>
        </w:rPr>
      </w:pPr>
    </w:p>
    <w:tbl>
      <w:tblPr>
        <w:tblW w:w="8478" w:type="dxa"/>
        <w:tblLook w:val="04A0"/>
      </w:tblPr>
      <w:tblGrid>
        <w:gridCol w:w="2808"/>
        <w:gridCol w:w="2800"/>
        <w:gridCol w:w="2870"/>
      </w:tblGrid>
      <w:tr w:rsidR="00723FFA" w:rsidRPr="0014040B" w:rsidTr="008778E8">
        <w:tc>
          <w:tcPr>
            <w:tcW w:w="2808" w:type="dxa"/>
            <w:hideMark/>
          </w:tcPr>
          <w:p w:rsidR="00723FFA" w:rsidRPr="0014040B" w:rsidRDefault="00723FFA" w:rsidP="009A1860">
            <w:pPr>
              <w:tabs>
                <w:tab w:val="clear" w:pos="4320"/>
                <w:tab w:val="clear" w:pos="9072"/>
              </w:tabs>
              <w:jc w:val="both"/>
            </w:pPr>
          </w:p>
          <w:p w:rsidR="00723FFA" w:rsidRPr="0014040B" w:rsidRDefault="00723FFA" w:rsidP="009A1860">
            <w:pPr>
              <w:tabs>
                <w:tab w:val="clear" w:pos="4320"/>
                <w:tab w:val="clear" w:pos="9072"/>
              </w:tabs>
              <w:jc w:val="both"/>
            </w:pPr>
          </w:p>
          <w:p w:rsidR="00723FFA" w:rsidRPr="0014040B" w:rsidRDefault="00723FFA" w:rsidP="009A1860">
            <w:pPr>
              <w:tabs>
                <w:tab w:val="clear" w:pos="4320"/>
                <w:tab w:val="clear" w:pos="9072"/>
              </w:tabs>
              <w:jc w:val="center"/>
            </w:pPr>
            <w:r w:rsidRPr="0014040B">
              <w:t>(</w:t>
            </w:r>
            <w:r w:rsidRPr="0014040B">
              <w:rPr>
                <w:lang w:val="en-US"/>
              </w:rPr>
              <w:t xml:space="preserve">Michael </w:t>
            </w:r>
            <w:proofErr w:type="spellStart"/>
            <w:r w:rsidRPr="0014040B">
              <w:rPr>
                <w:lang w:val="en-US"/>
              </w:rPr>
              <w:t>Lunn</w:t>
            </w:r>
            <w:proofErr w:type="spellEnd"/>
            <w:r w:rsidRPr="0014040B">
              <w:rPr>
                <w:lang w:val="en-US"/>
              </w:rPr>
              <w:t>)</w:t>
            </w:r>
          </w:p>
          <w:p w:rsidR="00723FFA" w:rsidRPr="0014040B" w:rsidRDefault="00695250" w:rsidP="009A1860">
            <w:pPr>
              <w:pStyle w:val="normal2"/>
              <w:tabs>
                <w:tab w:val="clear" w:pos="1411"/>
                <w:tab w:val="clear" w:pos="4320"/>
                <w:tab w:val="clear" w:pos="9072"/>
              </w:tabs>
              <w:overflowPunct/>
              <w:autoSpaceDE/>
              <w:spacing w:line="240" w:lineRule="auto"/>
              <w:rPr>
                <w:rFonts w:eastAsia="宋体"/>
                <w:caps w:val="0"/>
              </w:rPr>
            </w:pPr>
            <w:r>
              <w:rPr>
                <w:rFonts w:eastAsia="宋体"/>
                <w:caps w:val="0"/>
              </w:rPr>
              <w:t xml:space="preserve">Vice </w:t>
            </w:r>
            <w:r w:rsidR="00723FFA" w:rsidRPr="0014040B">
              <w:rPr>
                <w:rFonts w:eastAsia="宋体"/>
                <w:caps w:val="0"/>
              </w:rPr>
              <w:t>President</w:t>
            </w:r>
          </w:p>
        </w:tc>
        <w:tc>
          <w:tcPr>
            <w:tcW w:w="2800" w:type="dxa"/>
            <w:hideMark/>
          </w:tcPr>
          <w:p w:rsidR="00723FFA" w:rsidRPr="0014040B" w:rsidRDefault="00723FFA" w:rsidP="009A1860">
            <w:pPr>
              <w:pStyle w:val="normal2"/>
              <w:tabs>
                <w:tab w:val="clear" w:pos="1411"/>
                <w:tab w:val="clear" w:pos="4320"/>
                <w:tab w:val="clear" w:pos="9072"/>
              </w:tabs>
              <w:overflowPunct/>
              <w:autoSpaceDE/>
              <w:spacing w:line="240" w:lineRule="auto"/>
              <w:jc w:val="both"/>
              <w:rPr>
                <w:rFonts w:eastAsia="宋体"/>
                <w:caps w:val="0"/>
                <w:lang w:val="en-US"/>
              </w:rPr>
            </w:pPr>
          </w:p>
          <w:p w:rsidR="00723FFA" w:rsidRPr="0014040B" w:rsidRDefault="00723FFA" w:rsidP="009A1860">
            <w:pPr>
              <w:pStyle w:val="normal2"/>
              <w:tabs>
                <w:tab w:val="clear" w:pos="1411"/>
                <w:tab w:val="clear" w:pos="4320"/>
                <w:tab w:val="clear" w:pos="9072"/>
              </w:tabs>
              <w:overflowPunct/>
              <w:autoSpaceDE/>
              <w:spacing w:line="240" w:lineRule="auto"/>
              <w:jc w:val="both"/>
              <w:rPr>
                <w:rFonts w:eastAsia="宋体"/>
                <w:caps w:val="0"/>
                <w:lang w:val="en-US"/>
              </w:rPr>
            </w:pPr>
          </w:p>
          <w:p w:rsidR="00723FFA" w:rsidRPr="0014040B" w:rsidRDefault="00723FFA" w:rsidP="009A1860">
            <w:pPr>
              <w:pStyle w:val="normal2"/>
              <w:tabs>
                <w:tab w:val="clear" w:pos="1411"/>
                <w:tab w:val="clear" w:pos="4320"/>
                <w:tab w:val="clear" w:pos="9072"/>
              </w:tabs>
              <w:overflowPunct/>
              <w:autoSpaceDE/>
              <w:spacing w:line="240" w:lineRule="auto"/>
              <w:rPr>
                <w:rFonts w:eastAsia="宋体"/>
                <w:caps w:val="0"/>
                <w:lang w:val="en-US"/>
              </w:rPr>
            </w:pPr>
            <w:r w:rsidRPr="0014040B">
              <w:rPr>
                <w:rFonts w:eastAsia="宋体"/>
                <w:caps w:val="0"/>
                <w:lang w:val="en-US"/>
              </w:rPr>
              <w:t>(</w:t>
            </w:r>
            <w:r w:rsidRPr="005F0E9B">
              <w:rPr>
                <w:rFonts w:eastAsia="宋体"/>
                <w:caps w:val="0"/>
              </w:rPr>
              <w:t xml:space="preserve">Andrew </w:t>
            </w:r>
            <w:proofErr w:type="spellStart"/>
            <w:r w:rsidRPr="005F0E9B">
              <w:rPr>
                <w:rFonts w:eastAsia="宋体"/>
                <w:caps w:val="0"/>
              </w:rPr>
              <w:t>Macrae</w:t>
            </w:r>
            <w:proofErr w:type="spellEnd"/>
            <w:r>
              <w:rPr>
                <w:rFonts w:eastAsia="宋体" w:hint="eastAsia"/>
                <w:caps w:val="0"/>
              </w:rPr>
              <w:t>)</w:t>
            </w:r>
          </w:p>
          <w:p w:rsidR="00723FFA" w:rsidRPr="0014040B" w:rsidRDefault="00723FFA" w:rsidP="009A1860">
            <w:pPr>
              <w:pStyle w:val="normal2"/>
              <w:tabs>
                <w:tab w:val="clear" w:pos="1411"/>
                <w:tab w:val="clear" w:pos="4320"/>
                <w:tab w:val="clear" w:pos="9072"/>
              </w:tabs>
              <w:overflowPunct/>
              <w:autoSpaceDE/>
              <w:spacing w:line="240" w:lineRule="auto"/>
              <w:rPr>
                <w:rFonts w:eastAsia="宋体"/>
                <w:caps w:val="0"/>
                <w:lang w:val="en-US"/>
              </w:rPr>
            </w:pPr>
            <w:r w:rsidRPr="0014040B">
              <w:rPr>
                <w:rFonts w:eastAsia="宋体"/>
                <w:caps w:val="0"/>
                <w:lang w:val="en-US"/>
              </w:rPr>
              <w:t>Justice of Appeal</w:t>
            </w:r>
          </w:p>
          <w:p w:rsidR="00723FFA" w:rsidRPr="0014040B" w:rsidRDefault="00723FFA" w:rsidP="009A1860">
            <w:pPr>
              <w:pStyle w:val="normal2"/>
              <w:tabs>
                <w:tab w:val="clear" w:pos="1411"/>
                <w:tab w:val="clear" w:pos="4320"/>
                <w:tab w:val="clear" w:pos="9072"/>
              </w:tabs>
              <w:overflowPunct/>
              <w:autoSpaceDE/>
              <w:spacing w:line="240" w:lineRule="auto"/>
              <w:jc w:val="both"/>
              <w:rPr>
                <w:rFonts w:eastAsia="宋体"/>
                <w:caps w:val="0"/>
                <w:lang w:val="en-US"/>
              </w:rPr>
            </w:pPr>
            <w:r w:rsidRPr="0014040B">
              <w:rPr>
                <w:rFonts w:eastAsia="宋体"/>
                <w:caps w:val="0"/>
                <w:lang w:val="en-US"/>
              </w:rPr>
              <w:t xml:space="preserve">  </w:t>
            </w:r>
          </w:p>
        </w:tc>
        <w:tc>
          <w:tcPr>
            <w:tcW w:w="2870" w:type="dxa"/>
            <w:hideMark/>
          </w:tcPr>
          <w:p w:rsidR="00723FFA" w:rsidRPr="0014040B" w:rsidRDefault="00723FFA" w:rsidP="009A1860">
            <w:pPr>
              <w:pStyle w:val="normal2"/>
              <w:tabs>
                <w:tab w:val="clear" w:pos="1411"/>
                <w:tab w:val="clear" w:pos="4320"/>
                <w:tab w:val="clear" w:pos="9072"/>
              </w:tabs>
              <w:overflowPunct/>
              <w:autoSpaceDE/>
              <w:spacing w:line="240" w:lineRule="auto"/>
              <w:rPr>
                <w:rFonts w:eastAsia="宋体"/>
                <w:caps w:val="0"/>
                <w:lang w:val="en-US"/>
              </w:rPr>
            </w:pPr>
          </w:p>
          <w:p w:rsidR="00723FFA" w:rsidRPr="0014040B" w:rsidRDefault="00723FFA" w:rsidP="009A1860">
            <w:pPr>
              <w:pStyle w:val="normal2"/>
              <w:tabs>
                <w:tab w:val="clear" w:pos="1411"/>
                <w:tab w:val="clear" w:pos="4320"/>
                <w:tab w:val="clear" w:pos="9072"/>
              </w:tabs>
              <w:overflowPunct/>
              <w:autoSpaceDE/>
              <w:spacing w:line="240" w:lineRule="auto"/>
              <w:rPr>
                <w:rFonts w:eastAsia="宋体"/>
                <w:caps w:val="0"/>
                <w:lang w:val="en-US"/>
              </w:rPr>
            </w:pPr>
          </w:p>
          <w:p w:rsidR="00723FFA" w:rsidRPr="0014040B" w:rsidRDefault="00723FFA" w:rsidP="009A1860">
            <w:pPr>
              <w:pStyle w:val="normal2"/>
              <w:tabs>
                <w:tab w:val="clear" w:pos="1411"/>
                <w:tab w:val="clear" w:pos="4320"/>
              </w:tabs>
              <w:overflowPunct/>
              <w:autoSpaceDE/>
              <w:spacing w:line="240" w:lineRule="auto"/>
              <w:rPr>
                <w:rFonts w:eastAsia="宋体"/>
                <w:caps w:val="0"/>
                <w:lang w:val="en-US"/>
              </w:rPr>
            </w:pPr>
            <w:r w:rsidRPr="0014040B">
              <w:rPr>
                <w:rFonts w:eastAsia="宋体"/>
                <w:caps w:val="0"/>
                <w:lang w:val="en-US"/>
              </w:rPr>
              <w:t>(</w:t>
            </w:r>
            <w:r w:rsidRPr="008B7FF2">
              <w:rPr>
                <w:rFonts w:eastAsia="宋体"/>
                <w:caps w:val="0"/>
              </w:rPr>
              <w:t xml:space="preserve">Ian </w:t>
            </w:r>
            <w:proofErr w:type="spellStart"/>
            <w:r w:rsidRPr="008B7FF2">
              <w:rPr>
                <w:rFonts w:eastAsia="宋体"/>
                <w:caps w:val="0"/>
              </w:rPr>
              <w:t>McWa</w:t>
            </w:r>
            <w:r>
              <w:rPr>
                <w:rFonts w:eastAsia="宋体"/>
                <w:caps w:val="0"/>
              </w:rPr>
              <w:t>l</w:t>
            </w:r>
            <w:r w:rsidRPr="008B7FF2">
              <w:rPr>
                <w:rFonts w:eastAsia="宋体"/>
                <w:caps w:val="0"/>
              </w:rPr>
              <w:t>ters</w:t>
            </w:r>
            <w:proofErr w:type="spellEnd"/>
            <w:r w:rsidRPr="0014040B">
              <w:rPr>
                <w:rFonts w:eastAsia="宋体"/>
                <w:caps w:val="0"/>
                <w:lang w:val="en-US"/>
              </w:rPr>
              <w:t>)</w:t>
            </w:r>
          </w:p>
          <w:p w:rsidR="00723FFA" w:rsidRPr="0014040B" w:rsidRDefault="00723FFA" w:rsidP="009A1860">
            <w:pPr>
              <w:pStyle w:val="normal2"/>
              <w:tabs>
                <w:tab w:val="clear" w:pos="1411"/>
                <w:tab w:val="clear" w:pos="4320"/>
              </w:tabs>
              <w:overflowPunct/>
              <w:autoSpaceDE/>
              <w:spacing w:line="240" w:lineRule="auto"/>
              <w:rPr>
                <w:rFonts w:eastAsia="宋体"/>
                <w:caps w:val="0"/>
                <w:lang w:val="en-US"/>
              </w:rPr>
            </w:pPr>
            <w:r w:rsidRPr="0014040B">
              <w:rPr>
                <w:rFonts w:eastAsia="宋体"/>
                <w:caps w:val="0"/>
                <w:lang w:val="en-US"/>
              </w:rPr>
              <w:t>Justice of Appeal</w:t>
            </w:r>
          </w:p>
          <w:p w:rsidR="00723FFA" w:rsidRPr="0014040B" w:rsidRDefault="00723FFA" w:rsidP="009A1860">
            <w:pPr>
              <w:pStyle w:val="normal2"/>
              <w:tabs>
                <w:tab w:val="clear" w:pos="1411"/>
                <w:tab w:val="clear" w:pos="4320"/>
                <w:tab w:val="clear" w:pos="9072"/>
              </w:tabs>
              <w:overflowPunct/>
              <w:autoSpaceDE/>
              <w:spacing w:line="240" w:lineRule="auto"/>
              <w:rPr>
                <w:rFonts w:eastAsia="宋体"/>
                <w:caps w:val="0"/>
                <w:lang w:val="en-US"/>
              </w:rPr>
            </w:pPr>
          </w:p>
        </w:tc>
      </w:tr>
    </w:tbl>
    <w:p w:rsidR="00A33246" w:rsidRDefault="00A33246" w:rsidP="00A33246">
      <w:pPr>
        <w:tabs>
          <w:tab w:val="clear" w:pos="4320"/>
          <w:tab w:val="clear" w:pos="9072"/>
          <w:tab w:val="left" w:pos="540"/>
        </w:tabs>
        <w:autoSpaceDE w:val="0"/>
        <w:autoSpaceDN w:val="0"/>
        <w:adjustRightInd w:val="0"/>
        <w:snapToGrid/>
        <w:spacing w:before="360" w:line="360" w:lineRule="auto"/>
        <w:ind w:left="540" w:hanging="540"/>
        <w:jc w:val="both"/>
        <w:rPr>
          <w:color w:val="000000"/>
          <w:szCs w:val="28"/>
          <w:lang w:val="en-US"/>
        </w:rPr>
      </w:pPr>
      <w:proofErr w:type="spellStart"/>
      <w:r w:rsidRPr="00A33246">
        <w:rPr>
          <w:color w:val="000000"/>
          <w:szCs w:val="28"/>
          <w:lang w:val="en-US"/>
        </w:rPr>
        <w:lastRenderedPageBreak/>
        <w:t>Mr</w:t>
      </w:r>
      <w:proofErr w:type="spellEnd"/>
      <w:r w:rsidRPr="00A33246">
        <w:rPr>
          <w:color w:val="000000"/>
          <w:szCs w:val="28"/>
          <w:lang w:val="en-US"/>
        </w:rPr>
        <w:t xml:space="preserve"> Jonathan </w:t>
      </w:r>
      <w:proofErr w:type="spellStart"/>
      <w:r w:rsidRPr="00A33246">
        <w:rPr>
          <w:color w:val="000000"/>
          <w:szCs w:val="28"/>
          <w:lang w:val="en-US"/>
        </w:rPr>
        <w:t>Caplan</w:t>
      </w:r>
      <w:proofErr w:type="spellEnd"/>
      <w:r w:rsidRPr="00A33246">
        <w:rPr>
          <w:color w:val="000000"/>
          <w:szCs w:val="28"/>
          <w:lang w:val="en-US"/>
        </w:rPr>
        <w:t xml:space="preserve">, QC, </w:t>
      </w:r>
      <w:proofErr w:type="spellStart"/>
      <w:r w:rsidRPr="00A33246">
        <w:rPr>
          <w:color w:val="000000"/>
          <w:szCs w:val="28"/>
          <w:lang w:val="en-US"/>
        </w:rPr>
        <w:t>Mr</w:t>
      </w:r>
      <w:proofErr w:type="spellEnd"/>
      <w:r w:rsidRPr="00A33246">
        <w:rPr>
          <w:color w:val="000000"/>
          <w:szCs w:val="28"/>
          <w:lang w:val="en-US"/>
        </w:rPr>
        <w:t xml:space="preserve"> Neil Mitchell, </w:t>
      </w:r>
      <w:r w:rsidR="00E4041C">
        <w:rPr>
          <w:color w:val="000000"/>
          <w:szCs w:val="28"/>
          <w:lang w:val="en-US"/>
        </w:rPr>
        <w:t>c</w:t>
      </w:r>
      <w:r w:rsidR="00A80241">
        <w:rPr>
          <w:color w:val="000000"/>
          <w:szCs w:val="28"/>
          <w:lang w:val="en-US"/>
        </w:rPr>
        <w:t>ounsel on fiat, and Ms</w:t>
      </w:r>
      <w:r w:rsidR="00A80241" w:rsidRPr="00A80241">
        <w:rPr>
          <w:snapToGrid w:val="0"/>
          <w:spacing w:val="20"/>
          <w:w w:val="200"/>
          <w:sz w:val="24"/>
          <w:szCs w:val="28"/>
          <w:lang w:val="en-US"/>
        </w:rPr>
        <w:t> </w:t>
      </w:r>
      <w:proofErr w:type="spellStart"/>
      <w:r w:rsidRPr="00A33246">
        <w:rPr>
          <w:color w:val="000000"/>
          <w:szCs w:val="28"/>
          <w:lang w:val="en-US"/>
        </w:rPr>
        <w:t>Kasmine</w:t>
      </w:r>
      <w:proofErr w:type="spellEnd"/>
      <w:r w:rsidRPr="00A33246">
        <w:rPr>
          <w:color w:val="000000"/>
          <w:szCs w:val="28"/>
          <w:lang w:val="en-US"/>
        </w:rPr>
        <w:t xml:space="preserve"> </w:t>
      </w:r>
      <w:proofErr w:type="spellStart"/>
      <w:r w:rsidRPr="00A33246">
        <w:rPr>
          <w:color w:val="000000"/>
          <w:szCs w:val="28"/>
          <w:lang w:val="en-US"/>
        </w:rPr>
        <w:t>Hui</w:t>
      </w:r>
      <w:proofErr w:type="spellEnd"/>
      <w:r w:rsidRPr="00A33246">
        <w:rPr>
          <w:color w:val="000000"/>
          <w:szCs w:val="28"/>
          <w:lang w:val="en-US"/>
        </w:rPr>
        <w:t>, PP, of the Department of Justice, for the respondent</w:t>
      </w:r>
      <w:r w:rsidR="008A3982">
        <w:rPr>
          <w:color w:val="000000"/>
          <w:szCs w:val="28"/>
          <w:lang w:val="en-US"/>
        </w:rPr>
        <w:t xml:space="preserve"> on 12 and 13 January 2016.</w:t>
      </w:r>
    </w:p>
    <w:p w:rsidR="008A3982" w:rsidRPr="00A33246" w:rsidRDefault="008A3982" w:rsidP="008A3982">
      <w:pPr>
        <w:tabs>
          <w:tab w:val="clear" w:pos="4320"/>
          <w:tab w:val="clear" w:pos="9072"/>
          <w:tab w:val="left" w:pos="540"/>
        </w:tabs>
        <w:autoSpaceDE w:val="0"/>
        <w:autoSpaceDN w:val="0"/>
        <w:adjustRightInd w:val="0"/>
        <w:snapToGrid/>
        <w:spacing w:before="360" w:line="360" w:lineRule="auto"/>
        <w:ind w:left="540" w:hanging="540"/>
        <w:jc w:val="both"/>
        <w:rPr>
          <w:color w:val="000000"/>
          <w:szCs w:val="28"/>
          <w:lang w:val="en-US"/>
        </w:rPr>
      </w:pPr>
      <w:proofErr w:type="spellStart"/>
      <w:r w:rsidRPr="00A33246">
        <w:rPr>
          <w:color w:val="000000"/>
          <w:szCs w:val="28"/>
          <w:lang w:val="en-US"/>
        </w:rPr>
        <w:t>Mr</w:t>
      </w:r>
      <w:proofErr w:type="spellEnd"/>
      <w:r>
        <w:rPr>
          <w:color w:val="000000"/>
          <w:szCs w:val="28"/>
          <w:lang w:val="en-US"/>
        </w:rPr>
        <w:t xml:space="preserve"> Gerard McCoy</w:t>
      </w:r>
      <w:r>
        <w:rPr>
          <w:rFonts w:hint="eastAsia"/>
          <w:color w:val="000000"/>
          <w:szCs w:val="28"/>
          <w:lang w:val="en-US"/>
        </w:rPr>
        <w:t xml:space="preserve">, </w:t>
      </w:r>
      <w:r w:rsidR="00491A17">
        <w:rPr>
          <w:rFonts w:hint="eastAsia"/>
          <w:color w:val="000000"/>
          <w:szCs w:val="28"/>
          <w:lang w:val="en-US"/>
        </w:rPr>
        <w:t xml:space="preserve">SC, </w:t>
      </w:r>
      <w:proofErr w:type="spellStart"/>
      <w:r w:rsidRPr="00A33246">
        <w:rPr>
          <w:color w:val="000000"/>
          <w:szCs w:val="28"/>
          <w:lang w:val="en-US"/>
        </w:rPr>
        <w:t>Mr</w:t>
      </w:r>
      <w:proofErr w:type="spellEnd"/>
      <w:r w:rsidRPr="00A33246">
        <w:rPr>
          <w:color w:val="000000"/>
          <w:szCs w:val="28"/>
          <w:lang w:val="en-US"/>
        </w:rPr>
        <w:t xml:space="preserve"> Neil Mitchell, </w:t>
      </w:r>
      <w:r>
        <w:rPr>
          <w:color w:val="000000"/>
          <w:szCs w:val="28"/>
          <w:lang w:val="en-US"/>
        </w:rPr>
        <w:t>c</w:t>
      </w:r>
      <w:r w:rsidR="00A80241">
        <w:rPr>
          <w:color w:val="000000"/>
          <w:szCs w:val="28"/>
          <w:lang w:val="en-US"/>
        </w:rPr>
        <w:t>ounsel on fiat, and Ms</w:t>
      </w:r>
      <w:r w:rsidR="00A80241" w:rsidRPr="00A80241">
        <w:rPr>
          <w:snapToGrid w:val="0"/>
          <w:spacing w:val="20"/>
          <w:w w:val="250"/>
          <w:sz w:val="24"/>
          <w:szCs w:val="28"/>
          <w:lang w:val="en-US"/>
        </w:rPr>
        <w:t> </w:t>
      </w:r>
      <w:proofErr w:type="spellStart"/>
      <w:r w:rsidRPr="00A33246">
        <w:rPr>
          <w:color w:val="000000"/>
          <w:szCs w:val="28"/>
          <w:lang w:val="en-US"/>
        </w:rPr>
        <w:t>Kasmine</w:t>
      </w:r>
      <w:proofErr w:type="spellEnd"/>
      <w:r w:rsidRPr="00A33246">
        <w:rPr>
          <w:color w:val="000000"/>
          <w:szCs w:val="28"/>
          <w:lang w:val="en-US"/>
        </w:rPr>
        <w:t xml:space="preserve"> </w:t>
      </w:r>
      <w:proofErr w:type="spellStart"/>
      <w:r w:rsidRPr="00A33246">
        <w:rPr>
          <w:color w:val="000000"/>
          <w:szCs w:val="28"/>
          <w:lang w:val="en-US"/>
        </w:rPr>
        <w:t>Hui</w:t>
      </w:r>
      <w:proofErr w:type="spellEnd"/>
      <w:r w:rsidRPr="00A33246">
        <w:rPr>
          <w:color w:val="000000"/>
          <w:szCs w:val="28"/>
          <w:lang w:val="en-US"/>
        </w:rPr>
        <w:t>, PP, of the Department of Justice, for the respondent</w:t>
      </w:r>
      <w:r w:rsidRPr="008A3982">
        <w:rPr>
          <w:color w:val="000000"/>
          <w:szCs w:val="28"/>
          <w:lang w:val="en-US"/>
        </w:rPr>
        <w:t xml:space="preserve"> </w:t>
      </w:r>
      <w:r>
        <w:rPr>
          <w:color w:val="000000"/>
          <w:szCs w:val="28"/>
          <w:lang w:val="en-US"/>
        </w:rPr>
        <w:t>on 28 January 2016.</w:t>
      </w:r>
    </w:p>
    <w:p w:rsidR="00A33246" w:rsidRPr="00A33246" w:rsidRDefault="00A33246" w:rsidP="008A3982">
      <w:pPr>
        <w:tabs>
          <w:tab w:val="clear" w:pos="1440"/>
          <w:tab w:val="clear" w:pos="4320"/>
          <w:tab w:val="clear" w:pos="9072"/>
          <w:tab w:val="left" w:pos="540"/>
        </w:tabs>
        <w:autoSpaceDE w:val="0"/>
        <w:autoSpaceDN w:val="0"/>
        <w:adjustRightInd w:val="0"/>
        <w:snapToGrid/>
        <w:spacing w:before="360" w:line="360" w:lineRule="auto"/>
        <w:jc w:val="both"/>
        <w:rPr>
          <w:color w:val="000000"/>
          <w:szCs w:val="28"/>
          <w:lang w:val="en-US"/>
        </w:rPr>
      </w:pPr>
      <w:proofErr w:type="spellStart"/>
      <w:proofErr w:type="gramStart"/>
      <w:r w:rsidRPr="00A33246">
        <w:rPr>
          <w:color w:val="000000"/>
          <w:szCs w:val="28"/>
          <w:lang w:val="en-US"/>
        </w:rPr>
        <w:t>Mr</w:t>
      </w:r>
      <w:proofErr w:type="spellEnd"/>
      <w:r w:rsidRPr="00A33246">
        <w:rPr>
          <w:color w:val="000000"/>
          <w:szCs w:val="28"/>
          <w:lang w:val="en-US"/>
        </w:rPr>
        <w:t xml:space="preserve"> Michael </w:t>
      </w:r>
      <w:proofErr w:type="spellStart"/>
      <w:r w:rsidRPr="00A33246">
        <w:rPr>
          <w:color w:val="000000"/>
          <w:szCs w:val="28"/>
          <w:lang w:val="en-US"/>
        </w:rPr>
        <w:t>Blanchflower</w:t>
      </w:r>
      <w:proofErr w:type="spellEnd"/>
      <w:r w:rsidRPr="00A33246">
        <w:rPr>
          <w:color w:val="000000"/>
          <w:szCs w:val="28"/>
          <w:lang w:val="en-US"/>
        </w:rPr>
        <w:t>, SC and Ms Maggie Wong, instructed by Winston &amp; Strawn, for the 1</w:t>
      </w:r>
      <w:r w:rsidRPr="00A33246">
        <w:rPr>
          <w:color w:val="000000"/>
          <w:szCs w:val="28"/>
          <w:vertAlign w:val="superscript"/>
          <w:lang w:val="en-US"/>
        </w:rPr>
        <w:t>st</w:t>
      </w:r>
      <w:r w:rsidRPr="00A33246">
        <w:rPr>
          <w:color w:val="000000"/>
          <w:szCs w:val="28"/>
          <w:lang w:val="en-US"/>
        </w:rPr>
        <w:t xml:space="preserve"> appellant</w:t>
      </w:r>
      <w:r w:rsidR="008A3982">
        <w:rPr>
          <w:color w:val="000000"/>
          <w:szCs w:val="28"/>
          <w:lang w:val="en-US"/>
        </w:rPr>
        <w:t xml:space="preserve"> on</w:t>
      </w:r>
      <w:r w:rsidR="00A80241">
        <w:rPr>
          <w:rFonts w:eastAsia="新細明體" w:hint="eastAsia"/>
          <w:color w:val="000000"/>
          <w:szCs w:val="28"/>
          <w:lang w:val="en-US" w:eastAsia="zh-TW"/>
        </w:rPr>
        <w:t xml:space="preserve"> </w:t>
      </w:r>
      <w:r w:rsidR="008A3982">
        <w:rPr>
          <w:color w:val="000000"/>
          <w:szCs w:val="28"/>
          <w:lang w:val="en-US"/>
        </w:rPr>
        <w:t>12 and 13 January 2016.</w:t>
      </w:r>
      <w:proofErr w:type="gramEnd"/>
    </w:p>
    <w:p w:rsidR="00A33246" w:rsidRPr="00A33246" w:rsidRDefault="008A3982" w:rsidP="00A33246">
      <w:pPr>
        <w:tabs>
          <w:tab w:val="clear" w:pos="1440"/>
          <w:tab w:val="clear" w:pos="4320"/>
          <w:tab w:val="clear" w:pos="9072"/>
          <w:tab w:val="left" w:pos="540"/>
        </w:tabs>
        <w:autoSpaceDE w:val="0"/>
        <w:autoSpaceDN w:val="0"/>
        <w:adjustRightInd w:val="0"/>
        <w:snapToGrid/>
        <w:spacing w:before="360" w:line="360" w:lineRule="auto"/>
        <w:ind w:left="540" w:hanging="540"/>
        <w:jc w:val="both"/>
        <w:rPr>
          <w:color w:val="000000"/>
          <w:szCs w:val="28"/>
          <w:lang w:val="en-US"/>
        </w:rPr>
      </w:pPr>
      <w:proofErr w:type="spellStart"/>
      <w:r>
        <w:rPr>
          <w:color w:val="000000"/>
          <w:szCs w:val="28"/>
          <w:lang w:val="en-US"/>
        </w:rPr>
        <w:t>Mr</w:t>
      </w:r>
      <w:proofErr w:type="spellEnd"/>
      <w:r>
        <w:rPr>
          <w:color w:val="000000"/>
          <w:szCs w:val="28"/>
          <w:lang w:val="en-US"/>
        </w:rPr>
        <w:t xml:space="preserve"> Tim Owen, QC,</w:t>
      </w:r>
      <w:r w:rsidR="00A33246" w:rsidRPr="00A33246">
        <w:rPr>
          <w:color w:val="000000"/>
          <w:szCs w:val="28"/>
          <w:lang w:val="en-US"/>
        </w:rPr>
        <w:t xml:space="preserve"> </w:t>
      </w:r>
      <w:proofErr w:type="spellStart"/>
      <w:r w:rsidR="00A33246" w:rsidRPr="00A33246">
        <w:rPr>
          <w:color w:val="000000"/>
          <w:szCs w:val="28"/>
          <w:lang w:val="en-US"/>
        </w:rPr>
        <w:t>Mr</w:t>
      </w:r>
      <w:proofErr w:type="spellEnd"/>
      <w:r w:rsidR="00A33246" w:rsidRPr="00A33246">
        <w:rPr>
          <w:color w:val="000000"/>
          <w:szCs w:val="28"/>
          <w:lang w:val="en-US"/>
        </w:rPr>
        <w:t xml:space="preserve"> M. K. Wong, SC, </w:t>
      </w:r>
      <w:proofErr w:type="spellStart"/>
      <w:r w:rsidR="00A33246" w:rsidRPr="00A33246">
        <w:rPr>
          <w:color w:val="000000"/>
          <w:szCs w:val="28"/>
          <w:lang w:val="en-US"/>
        </w:rPr>
        <w:t>Mr</w:t>
      </w:r>
      <w:proofErr w:type="spellEnd"/>
      <w:r w:rsidR="00A33246" w:rsidRPr="00A33246">
        <w:rPr>
          <w:color w:val="000000"/>
          <w:szCs w:val="28"/>
          <w:lang w:val="en-US"/>
        </w:rPr>
        <w:t xml:space="preserve"> Eric Kwok, SC and </w:t>
      </w:r>
      <w:proofErr w:type="spellStart"/>
      <w:r w:rsidR="00A33246" w:rsidRPr="00A33246">
        <w:rPr>
          <w:color w:val="000000"/>
          <w:szCs w:val="28"/>
          <w:lang w:val="en-US"/>
        </w:rPr>
        <w:t>Mr</w:t>
      </w:r>
      <w:proofErr w:type="spellEnd"/>
      <w:r w:rsidR="00A80241" w:rsidRPr="00A80241">
        <w:rPr>
          <w:w w:val="150"/>
          <w:szCs w:val="28"/>
          <w:lang w:val="en-US"/>
        </w:rPr>
        <w:t> </w:t>
      </w:r>
      <w:r w:rsidR="00A33246" w:rsidRPr="00A33246">
        <w:rPr>
          <w:color w:val="000000"/>
          <w:szCs w:val="28"/>
          <w:lang w:val="en-US"/>
        </w:rPr>
        <w:t>Paul Wong, instructed by Hon &amp; Co, for the 2</w:t>
      </w:r>
      <w:r w:rsidR="00A33246" w:rsidRPr="00A33246">
        <w:rPr>
          <w:color w:val="000000"/>
          <w:szCs w:val="28"/>
          <w:vertAlign w:val="superscript"/>
          <w:lang w:val="en-US"/>
        </w:rPr>
        <w:t>nd</w:t>
      </w:r>
      <w:r w:rsidR="00A33246" w:rsidRPr="00A33246">
        <w:rPr>
          <w:color w:val="000000"/>
          <w:szCs w:val="28"/>
          <w:lang w:val="en-US"/>
        </w:rPr>
        <w:t xml:space="preserve"> appellant</w:t>
      </w:r>
      <w:r>
        <w:rPr>
          <w:color w:val="000000"/>
          <w:szCs w:val="28"/>
          <w:lang w:val="en-US"/>
        </w:rPr>
        <w:t xml:space="preserve"> on</w:t>
      </w:r>
      <w:r w:rsidR="00A80241">
        <w:rPr>
          <w:rFonts w:eastAsia="新細明體" w:hint="eastAsia"/>
          <w:color w:val="000000"/>
          <w:szCs w:val="28"/>
          <w:lang w:val="en-US" w:eastAsia="zh-TW"/>
        </w:rPr>
        <w:t xml:space="preserve"> </w:t>
      </w:r>
      <w:r>
        <w:rPr>
          <w:color w:val="000000"/>
          <w:szCs w:val="28"/>
          <w:lang w:val="en-US"/>
        </w:rPr>
        <w:t>12 and 13 January 2016.</w:t>
      </w:r>
    </w:p>
    <w:p w:rsidR="00FC050E" w:rsidRDefault="00A33246" w:rsidP="00FC050E">
      <w:pPr>
        <w:tabs>
          <w:tab w:val="clear" w:pos="1440"/>
          <w:tab w:val="clear" w:pos="4320"/>
          <w:tab w:val="clear" w:pos="9072"/>
          <w:tab w:val="left" w:pos="540"/>
        </w:tabs>
        <w:autoSpaceDE w:val="0"/>
        <w:autoSpaceDN w:val="0"/>
        <w:adjustRightInd w:val="0"/>
        <w:snapToGrid/>
        <w:spacing w:before="360" w:line="360" w:lineRule="auto"/>
        <w:ind w:left="540" w:hanging="540"/>
        <w:jc w:val="both"/>
        <w:rPr>
          <w:color w:val="000000"/>
          <w:szCs w:val="24"/>
          <w:lang w:val="en-US"/>
        </w:rPr>
      </w:pPr>
      <w:proofErr w:type="spellStart"/>
      <w:r w:rsidRPr="00A33246">
        <w:rPr>
          <w:color w:val="000000"/>
          <w:szCs w:val="24"/>
          <w:lang w:val="en-US"/>
        </w:rPr>
        <w:t>Mr</w:t>
      </w:r>
      <w:proofErr w:type="spellEnd"/>
      <w:r w:rsidRPr="00A33246">
        <w:rPr>
          <w:color w:val="000000"/>
          <w:szCs w:val="24"/>
          <w:lang w:val="en-US"/>
        </w:rPr>
        <w:t xml:space="preserve"> Edward Fitzgerald, QC, </w:t>
      </w:r>
      <w:proofErr w:type="spellStart"/>
      <w:r w:rsidRPr="00A33246">
        <w:rPr>
          <w:color w:val="000000"/>
          <w:szCs w:val="24"/>
          <w:lang w:val="en-US"/>
        </w:rPr>
        <w:t>Mr</w:t>
      </w:r>
      <w:proofErr w:type="spellEnd"/>
      <w:r w:rsidRPr="00A33246">
        <w:rPr>
          <w:color w:val="000000"/>
          <w:szCs w:val="24"/>
          <w:lang w:val="en-US"/>
        </w:rPr>
        <w:t xml:space="preserve"> Clive Grossman, SC and </w:t>
      </w:r>
      <w:proofErr w:type="spellStart"/>
      <w:r w:rsidRPr="00A33246">
        <w:rPr>
          <w:color w:val="000000"/>
          <w:szCs w:val="24"/>
          <w:lang w:val="en-US"/>
        </w:rPr>
        <w:t>Mr</w:t>
      </w:r>
      <w:proofErr w:type="spellEnd"/>
      <w:r>
        <w:rPr>
          <w:color w:val="000000"/>
          <w:szCs w:val="24"/>
          <w:lang w:val="en-US"/>
        </w:rPr>
        <w:t xml:space="preserve"> Benson </w:t>
      </w:r>
      <w:proofErr w:type="spellStart"/>
      <w:r>
        <w:rPr>
          <w:color w:val="000000"/>
          <w:szCs w:val="24"/>
          <w:lang w:val="en-US"/>
        </w:rPr>
        <w:t>Tsoi</w:t>
      </w:r>
      <w:proofErr w:type="spellEnd"/>
      <w:r>
        <w:rPr>
          <w:color w:val="000000"/>
          <w:szCs w:val="24"/>
          <w:lang w:val="en-US"/>
        </w:rPr>
        <w:t xml:space="preserve">, instructed by </w:t>
      </w:r>
      <w:proofErr w:type="spellStart"/>
      <w:r>
        <w:rPr>
          <w:color w:val="000000"/>
          <w:szCs w:val="24"/>
          <w:lang w:val="en-US"/>
        </w:rPr>
        <w:t>Boase</w:t>
      </w:r>
      <w:proofErr w:type="spellEnd"/>
      <w:r>
        <w:rPr>
          <w:color w:val="000000"/>
          <w:szCs w:val="24"/>
          <w:lang w:val="en-US"/>
        </w:rPr>
        <w:t>, Cohen &amp; Collins</w:t>
      </w:r>
      <w:r w:rsidR="00E4041C">
        <w:rPr>
          <w:color w:val="000000"/>
          <w:szCs w:val="24"/>
          <w:lang w:val="en-US"/>
        </w:rPr>
        <w:t>,</w:t>
      </w:r>
      <w:r>
        <w:rPr>
          <w:color w:val="000000"/>
          <w:szCs w:val="24"/>
          <w:lang w:val="en-US"/>
        </w:rPr>
        <w:t xml:space="preserve"> for </w:t>
      </w:r>
      <w:r w:rsidR="00E4041C">
        <w:rPr>
          <w:color w:val="000000"/>
          <w:szCs w:val="24"/>
          <w:lang w:val="en-US"/>
        </w:rPr>
        <w:t xml:space="preserve">the </w:t>
      </w:r>
      <w:r>
        <w:rPr>
          <w:color w:val="000000"/>
          <w:szCs w:val="24"/>
          <w:lang w:val="en-US"/>
        </w:rPr>
        <w:t>1</w:t>
      </w:r>
      <w:r w:rsidRPr="00A33246">
        <w:rPr>
          <w:color w:val="000000"/>
          <w:szCs w:val="24"/>
          <w:vertAlign w:val="superscript"/>
          <w:lang w:val="en-US"/>
        </w:rPr>
        <w:t>st</w:t>
      </w:r>
      <w:r>
        <w:rPr>
          <w:rFonts w:hint="eastAsia"/>
          <w:color w:val="000000"/>
          <w:szCs w:val="24"/>
          <w:lang w:val="en-US"/>
        </w:rPr>
        <w:t xml:space="preserve"> </w:t>
      </w:r>
      <w:r w:rsidRPr="00A33246">
        <w:rPr>
          <w:color w:val="000000"/>
          <w:szCs w:val="24"/>
          <w:lang w:val="en-US"/>
        </w:rPr>
        <w:t xml:space="preserve">Accused </w:t>
      </w:r>
      <w:r w:rsidR="008F741E">
        <w:rPr>
          <w:color w:val="000000"/>
          <w:szCs w:val="24"/>
          <w:lang w:val="en-US"/>
        </w:rPr>
        <w:t>of HCCC </w:t>
      </w:r>
      <w:r w:rsidRPr="00A33246">
        <w:rPr>
          <w:color w:val="000000"/>
          <w:szCs w:val="24"/>
          <w:lang w:val="en-US"/>
        </w:rPr>
        <w:t>83/2014</w:t>
      </w:r>
      <w:r w:rsidR="008A3982">
        <w:rPr>
          <w:color w:val="000000"/>
          <w:szCs w:val="24"/>
          <w:lang w:val="en-US"/>
        </w:rPr>
        <w:t xml:space="preserve"> </w:t>
      </w:r>
      <w:r w:rsidR="008A3982">
        <w:rPr>
          <w:color w:val="000000"/>
          <w:szCs w:val="28"/>
          <w:lang w:val="en-US"/>
        </w:rPr>
        <w:t>on 13</w:t>
      </w:r>
      <w:r w:rsidR="00DA4931">
        <w:rPr>
          <w:color w:val="000000"/>
          <w:szCs w:val="28"/>
          <w:lang w:val="en-US"/>
        </w:rPr>
        <w:t xml:space="preserve"> </w:t>
      </w:r>
      <w:r w:rsidR="008A3982">
        <w:rPr>
          <w:color w:val="000000"/>
          <w:szCs w:val="28"/>
          <w:lang w:val="en-US"/>
        </w:rPr>
        <w:t>and 28 January 2016.</w:t>
      </w:r>
    </w:p>
    <w:p w:rsidR="00FC050E" w:rsidRDefault="00A33246" w:rsidP="00FC050E">
      <w:pPr>
        <w:tabs>
          <w:tab w:val="clear" w:pos="1440"/>
          <w:tab w:val="clear" w:pos="4320"/>
          <w:tab w:val="clear" w:pos="9072"/>
          <w:tab w:val="left" w:pos="540"/>
        </w:tabs>
        <w:autoSpaceDE w:val="0"/>
        <w:autoSpaceDN w:val="0"/>
        <w:adjustRightInd w:val="0"/>
        <w:snapToGrid/>
        <w:spacing w:before="360" w:line="360" w:lineRule="auto"/>
        <w:ind w:left="540" w:hanging="540"/>
        <w:jc w:val="both"/>
        <w:rPr>
          <w:color w:val="000000"/>
          <w:szCs w:val="24"/>
          <w:lang w:val="en-US"/>
        </w:rPr>
      </w:pPr>
      <w:proofErr w:type="spellStart"/>
      <w:r w:rsidRPr="00A33246">
        <w:rPr>
          <w:color w:val="000000"/>
          <w:szCs w:val="24"/>
          <w:lang w:val="en-US"/>
        </w:rPr>
        <w:t>Mr</w:t>
      </w:r>
      <w:proofErr w:type="spellEnd"/>
      <w:r w:rsidRPr="00A33246">
        <w:rPr>
          <w:color w:val="000000"/>
          <w:szCs w:val="24"/>
          <w:lang w:val="en-US"/>
        </w:rPr>
        <w:t xml:space="preserve"> Graham Harris, SC, </w:t>
      </w:r>
      <w:proofErr w:type="spellStart"/>
      <w:r w:rsidRPr="00A33246">
        <w:rPr>
          <w:color w:val="000000"/>
          <w:szCs w:val="24"/>
          <w:lang w:val="en-US"/>
        </w:rPr>
        <w:t>Mr</w:t>
      </w:r>
      <w:proofErr w:type="spellEnd"/>
      <w:r w:rsidRPr="00A33246">
        <w:rPr>
          <w:color w:val="000000"/>
          <w:szCs w:val="24"/>
          <w:lang w:val="en-US"/>
        </w:rPr>
        <w:t xml:space="preserve"> Lee SW and </w:t>
      </w:r>
      <w:r w:rsidR="00FC050E">
        <w:rPr>
          <w:color w:val="000000"/>
          <w:szCs w:val="24"/>
          <w:lang w:val="en-US"/>
        </w:rPr>
        <w:t>Miss Emily Yu</w:t>
      </w:r>
      <w:r w:rsidR="00E4041C">
        <w:rPr>
          <w:color w:val="000000"/>
          <w:szCs w:val="24"/>
          <w:lang w:val="en-US"/>
        </w:rPr>
        <w:t>,</w:t>
      </w:r>
      <w:r w:rsidR="00FC050E">
        <w:rPr>
          <w:color w:val="000000"/>
          <w:szCs w:val="24"/>
          <w:lang w:val="en-US"/>
        </w:rPr>
        <w:t xml:space="preserve"> instructed by</w:t>
      </w:r>
      <w:r w:rsidR="00FC050E">
        <w:rPr>
          <w:rFonts w:hint="eastAsia"/>
          <w:color w:val="000000"/>
          <w:szCs w:val="24"/>
          <w:lang w:val="en-US"/>
        </w:rPr>
        <w:t xml:space="preserve"> </w:t>
      </w:r>
      <w:r w:rsidR="00FC050E">
        <w:rPr>
          <w:color w:val="000000"/>
          <w:szCs w:val="24"/>
          <w:lang w:val="en-US"/>
        </w:rPr>
        <w:t xml:space="preserve">Morley Chow </w:t>
      </w:r>
      <w:proofErr w:type="spellStart"/>
      <w:r w:rsidR="00FC050E">
        <w:rPr>
          <w:color w:val="000000"/>
          <w:szCs w:val="24"/>
          <w:lang w:val="en-US"/>
        </w:rPr>
        <w:t>Seto</w:t>
      </w:r>
      <w:proofErr w:type="spellEnd"/>
      <w:r w:rsidR="00E4041C">
        <w:rPr>
          <w:color w:val="000000"/>
          <w:szCs w:val="24"/>
          <w:lang w:val="en-US"/>
        </w:rPr>
        <w:t>,</w:t>
      </w:r>
      <w:r w:rsidR="00FC050E">
        <w:rPr>
          <w:color w:val="000000"/>
          <w:szCs w:val="24"/>
          <w:lang w:val="en-US"/>
        </w:rPr>
        <w:t xml:space="preserve"> for </w:t>
      </w:r>
      <w:r w:rsidR="00E4041C">
        <w:rPr>
          <w:color w:val="000000"/>
          <w:szCs w:val="24"/>
          <w:lang w:val="en-US"/>
        </w:rPr>
        <w:t xml:space="preserve">the </w:t>
      </w:r>
      <w:r w:rsidR="00FC050E">
        <w:rPr>
          <w:color w:val="000000"/>
          <w:szCs w:val="24"/>
          <w:lang w:val="en-US"/>
        </w:rPr>
        <w:t>2</w:t>
      </w:r>
      <w:r w:rsidR="00FC050E" w:rsidRPr="00FC050E">
        <w:rPr>
          <w:color w:val="000000"/>
          <w:szCs w:val="24"/>
          <w:vertAlign w:val="superscript"/>
          <w:lang w:val="en-US"/>
        </w:rPr>
        <w:t>nd</w:t>
      </w:r>
      <w:r w:rsidR="00FC050E">
        <w:rPr>
          <w:rFonts w:hint="eastAsia"/>
          <w:color w:val="000000"/>
          <w:szCs w:val="24"/>
          <w:lang w:val="en-US"/>
        </w:rPr>
        <w:t xml:space="preserve"> </w:t>
      </w:r>
      <w:r w:rsidRPr="00A33246">
        <w:rPr>
          <w:color w:val="000000"/>
          <w:szCs w:val="24"/>
          <w:lang w:val="en-US"/>
        </w:rPr>
        <w:t xml:space="preserve">Accused </w:t>
      </w:r>
      <w:r w:rsidR="00FC050E">
        <w:rPr>
          <w:color w:val="000000"/>
          <w:szCs w:val="24"/>
          <w:lang w:val="en-US"/>
        </w:rPr>
        <w:t>of HCCC 83/2014</w:t>
      </w:r>
      <w:r w:rsidR="008A3982" w:rsidRPr="008A3982">
        <w:rPr>
          <w:color w:val="000000"/>
          <w:szCs w:val="28"/>
          <w:lang w:val="en-US"/>
        </w:rPr>
        <w:t xml:space="preserve"> </w:t>
      </w:r>
      <w:r w:rsidR="008A3982">
        <w:rPr>
          <w:color w:val="000000"/>
          <w:szCs w:val="28"/>
          <w:lang w:val="en-US"/>
        </w:rPr>
        <w:t>on 13</w:t>
      </w:r>
      <w:r w:rsidR="00DA4931">
        <w:rPr>
          <w:color w:val="000000"/>
          <w:szCs w:val="28"/>
          <w:lang w:val="en-US"/>
        </w:rPr>
        <w:t xml:space="preserve"> </w:t>
      </w:r>
      <w:r w:rsidR="008A3982">
        <w:rPr>
          <w:color w:val="000000"/>
          <w:szCs w:val="28"/>
          <w:lang w:val="en-US"/>
        </w:rPr>
        <w:t>and 28 January 2016.</w:t>
      </w:r>
    </w:p>
    <w:p w:rsidR="00723FFA" w:rsidRPr="00124F38" w:rsidRDefault="00A33246" w:rsidP="00774863">
      <w:pPr>
        <w:tabs>
          <w:tab w:val="clear" w:pos="1440"/>
          <w:tab w:val="clear" w:pos="4320"/>
          <w:tab w:val="clear" w:pos="9072"/>
          <w:tab w:val="left" w:pos="540"/>
        </w:tabs>
        <w:autoSpaceDE w:val="0"/>
        <w:autoSpaceDN w:val="0"/>
        <w:adjustRightInd w:val="0"/>
        <w:snapToGrid/>
        <w:spacing w:before="360" w:line="360" w:lineRule="auto"/>
        <w:ind w:left="540" w:hanging="540"/>
        <w:jc w:val="both"/>
      </w:pPr>
      <w:proofErr w:type="spellStart"/>
      <w:r w:rsidRPr="00A33246">
        <w:rPr>
          <w:color w:val="000000"/>
          <w:szCs w:val="24"/>
          <w:lang w:val="en-US"/>
        </w:rPr>
        <w:t>M</w:t>
      </w:r>
      <w:r w:rsidR="00FC050E">
        <w:rPr>
          <w:color w:val="000000"/>
          <w:szCs w:val="24"/>
          <w:lang w:val="en-US"/>
        </w:rPr>
        <w:t>r</w:t>
      </w:r>
      <w:proofErr w:type="spellEnd"/>
      <w:r w:rsidR="00FC050E">
        <w:rPr>
          <w:color w:val="000000"/>
          <w:szCs w:val="24"/>
          <w:lang w:val="en-US"/>
        </w:rPr>
        <w:t xml:space="preserve"> David </w:t>
      </w:r>
      <w:proofErr w:type="spellStart"/>
      <w:r w:rsidR="00FC050E">
        <w:rPr>
          <w:color w:val="000000"/>
          <w:szCs w:val="24"/>
          <w:lang w:val="en-US"/>
        </w:rPr>
        <w:t>Khosa</w:t>
      </w:r>
      <w:proofErr w:type="spellEnd"/>
      <w:r w:rsidR="00E4041C">
        <w:rPr>
          <w:color w:val="000000"/>
          <w:szCs w:val="24"/>
          <w:lang w:val="en-US"/>
        </w:rPr>
        <w:t>,</w:t>
      </w:r>
      <w:r w:rsidR="00FC050E">
        <w:rPr>
          <w:color w:val="000000"/>
          <w:szCs w:val="24"/>
          <w:lang w:val="en-US"/>
        </w:rPr>
        <w:t xml:space="preserve"> instructed by </w:t>
      </w:r>
      <w:r w:rsidRPr="00A33246">
        <w:rPr>
          <w:color w:val="000000"/>
          <w:szCs w:val="24"/>
          <w:lang w:val="en-US"/>
        </w:rPr>
        <w:t>Hobson &amp; Ma, assigned by D</w:t>
      </w:r>
      <w:r w:rsidR="00FC050E">
        <w:rPr>
          <w:rFonts w:hint="eastAsia"/>
          <w:color w:val="000000"/>
          <w:szCs w:val="24"/>
          <w:lang w:val="en-US"/>
        </w:rPr>
        <w:t>irector of Legal Aid</w:t>
      </w:r>
      <w:r w:rsidR="00FC050E">
        <w:rPr>
          <w:color w:val="000000"/>
          <w:szCs w:val="24"/>
          <w:lang w:val="en-US"/>
        </w:rPr>
        <w:t xml:space="preserve">, for </w:t>
      </w:r>
      <w:r w:rsidR="00E4041C">
        <w:rPr>
          <w:color w:val="000000"/>
          <w:szCs w:val="24"/>
          <w:lang w:val="en-US"/>
        </w:rPr>
        <w:t xml:space="preserve">the </w:t>
      </w:r>
      <w:r w:rsidR="00FC050E">
        <w:rPr>
          <w:color w:val="000000"/>
          <w:szCs w:val="24"/>
          <w:lang w:val="en-US"/>
        </w:rPr>
        <w:t>3</w:t>
      </w:r>
      <w:r w:rsidR="00FC050E" w:rsidRPr="00FC050E">
        <w:rPr>
          <w:color w:val="000000"/>
          <w:szCs w:val="24"/>
          <w:vertAlign w:val="superscript"/>
          <w:lang w:val="en-US"/>
        </w:rPr>
        <w:t>rd</w:t>
      </w:r>
      <w:r w:rsidR="00FC050E">
        <w:rPr>
          <w:rFonts w:hint="eastAsia"/>
          <w:color w:val="000000"/>
          <w:szCs w:val="24"/>
          <w:lang w:val="en-US"/>
        </w:rPr>
        <w:t xml:space="preserve"> </w:t>
      </w:r>
      <w:r w:rsidRPr="00A33246">
        <w:rPr>
          <w:color w:val="000000"/>
          <w:szCs w:val="24"/>
          <w:lang w:val="en-US"/>
        </w:rPr>
        <w:t>Accused of HCCC 83/2014</w:t>
      </w:r>
      <w:r w:rsidR="008A3982" w:rsidRPr="008A3982">
        <w:rPr>
          <w:color w:val="000000"/>
          <w:szCs w:val="28"/>
          <w:lang w:val="en-US"/>
        </w:rPr>
        <w:t xml:space="preserve"> </w:t>
      </w:r>
      <w:r w:rsidR="008A3982">
        <w:rPr>
          <w:color w:val="000000"/>
          <w:szCs w:val="28"/>
          <w:lang w:val="en-US"/>
        </w:rPr>
        <w:t>on 13</w:t>
      </w:r>
      <w:r w:rsidR="00DA4931">
        <w:rPr>
          <w:color w:val="000000"/>
          <w:szCs w:val="28"/>
          <w:lang w:val="en-US"/>
        </w:rPr>
        <w:t xml:space="preserve"> </w:t>
      </w:r>
      <w:r w:rsidR="008A3982">
        <w:rPr>
          <w:color w:val="000000"/>
          <w:szCs w:val="28"/>
          <w:lang w:val="en-US"/>
        </w:rPr>
        <w:t>and 28 January 2016.</w:t>
      </w:r>
    </w:p>
    <w:sectPr w:rsidR="00723FFA" w:rsidRPr="00124F38" w:rsidSect="001D18B1">
      <w:headerReference w:type="default" r:id="rId12"/>
      <w:headerReference w:type="first" r:id="rId13"/>
      <w:footerReference w:type="first" r:id="rId14"/>
      <w:type w:val="continuous"/>
      <w:pgSz w:w="11906" w:h="16838" w:code="9"/>
      <w:pgMar w:top="1800" w:right="1800" w:bottom="1440" w:left="1800" w:header="1008" w:footer="1037"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DC3" w:rsidRDefault="00513DC3">
      <w:r>
        <w:separator/>
      </w:r>
    </w:p>
  </w:endnote>
  <w:endnote w:type="continuationSeparator" w:id="0">
    <w:p w:rsidR="00513DC3" w:rsidRDefault="00513D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
    <w:altName w:val="Arial Unicode MS"/>
    <w:charset w:val="88"/>
    <w:family w:val="modern"/>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新細明體">
    <w:altName w:val="Arial Unicode MS"/>
    <w:charset w:val="51"/>
    <w:family w:val="auto"/>
    <w:pitch w:val="variable"/>
    <w:sig w:usb0="00000000" w:usb1="00000000" w:usb2="01000408"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44" w:rsidRDefault="00FF5444" w:rsidP="000F48C2">
    <w:pPr>
      <w:pStyle w:val="Footer"/>
      <w:tabs>
        <w:tab w:val="clear" w:pos="4153"/>
        <w:tab w:val="clear" w:pos="4320"/>
        <w:tab w:val="clear"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DC3" w:rsidRDefault="00513DC3">
      <w:r>
        <w:separator/>
      </w:r>
    </w:p>
  </w:footnote>
  <w:footnote w:type="continuationSeparator" w:id="0">
    <w:p w:rsidR="00513DC3" w:rsidRDefault="00513DC3">
      <w:r>
        <w:continuationSeparator/>
      </w:r>
    </w:p>
  </w:footnote>
  <w:footnote w:id="1">
    <w:p w:rsidR="00FF5444" w:rsidRPr="00013153" w:rsidRDefault="00FF5444" w:rsidP="00B00AA8">
      <w:pPr>
        <w:pStyle w:val="FootnoteText"/>
        <w:keepNext/>
        <w:keepLines/>
        <w:tabs>
          <w:tab w:val="left" w:pos="360"/>
        </w:tabs>
        <w:snapToGrid w:val="0"/>
        <w:spacing w:before="120" w:after="0" w:line="240" w:lineRule="auto"/>
        <w:ind w:left="360" w:hanging="360"/>
        <w:contextualSpacing/>
        <w:jc w:val="both"/>
      </w:pPr>
      <w:r w:rsidRPr="00013153">
        <w:rPr>
          <w:rStyle w:val="FootnoteReference"/>
        </w:rPr>
        <w:footnoteRef/>
      </w:r>
      <w:r w:rsidRPr="00013153">
        <w:t xml:space="preserve"> </w:t>
      </w:r>
      <w:r w:rsidRPr="00013153">
        <w:tab/>
      </w:r>
      <w:proofErr w:type="gramStart"/>
      <w:r w:rsidRPr="00013153">
        <w:t>HCCC 83/2014</w:t>
      </w:r>
      <w:r>
        <w:t>.</w:t>
      </w:r>
      <w:proofErr w:type="gramEnd"/>
    </w:p>
    <w:p w:rsidR="00FF5444" w:rsidRPr="00013153" w:rsidRDefault="00FF5444" w:rsidP="00B00AA8">
      <w:pPr>
        <w:pStyle w:val="FootnoteText"/>
        <w:keepNext/>
        <w:keepLines/>
        <w:tabs>
          <w:tab w:val="left" w:pos="360"/>
        </w:tabs>
        <w:snapToGrid w:val="0"/>
        <w:spacing w:before="120" w:after="0" w:line="240" w:lineRule="auto"/>
        <w:ind w:left="360" w:hanging="360"/>
        <w:contextualSpacing/>
        <w:jc w:val="both"/>
      </w:pPr>
      <w:r>
        <w:t xml:space="preserve">   </w:t>
      </w:r>
      <w:r>
        <w:tab/>
        <w:t xml:space="preserve">HKSAR v </w:t>
      </w:r>
      <w:proofErr w:type="spellStart"/>
      <w:r w:rsidRPr="00013153">
        <w:t>Cheen</w:t>
      </w:r>
      <w:proofErr w:type="spellEnd"/>
      <w:r w:rsidRPr="00013153">
        <w:t xml:space="preserve"> Keen (alias Jack Chen) 1st accused</w:t>
      </w:r>
    </w:p>
    <w:p w:rsidR="00FF5444" w:rsidRPr="00013153" w:rsidRDefault="00FF5444" w:rsidP="00B00AA8">
      <w:pPr>
        <w:pStyle w:val="FootnoteText"/>
        <w:keepNext/>
        <w:keepLines/>
        <w:tabs>
          <w:tab w:val="left" w:pos="360"/>
          <w:tab w:val="left" w:pos="1260"/>
        </w:tabs>
        <w:snapToGrid w:val="0"/>
        <w:spacing w:before="120" w:after="0" w:line="240" w:lineRule="auto"/>
        <w:ind w:left="360" w:hanging="360"/>
        <w:contextualSpacing/>
        <w:jc w:val="both"/>
      </w:pPr>
      <w:r w:rsidRPr="00013153">
        <w:t xml:space="preserve">             </w:t>
      </w:r>
      <w:proofErr w:type="spellStart"/>
      <w:r w:rsidRPr="00013153">
        <w:t>Hao</w:t>
      </w:r>
      <w:proofErr w:type="spellEnd"/>
      <w:r w:rsidRPr="00013153">
        <w:t xml:space="preserve"> May (formerly known as Wang May Yan, alias May Wang) 2</w:t>
      </w:r>
      <w:r w:rsidRPr="00013153">
        <w:rPr>
          <w:vertAlign w:val="superscript"/>
        </w:rPr>
        <w:t>nd</w:t>
      </w:r>
      <w:r w:rsidRPr="00013153">
        <w:t xml:space="preserve"> Accused</w:t>
      </w:r>
    </w:p>
    <w:p w:rsidR="00FF5444" w:rsidRPr="00013153" w:rsidRDefault="00FF5444" w:rsidP="00B00AA8">
      <w:pPr>
        <w:pStyle w:val="FootnoteText"/>
        <w:keepNext/>
        <w:keepLines/>
        <w:tabs>
          <w:tab w:val="left" w:pos="360"/>
        </w:tabs>
        <w:snapToGrid w:val="0"/>
        <w:spacing w:before="120" w:after="0" w:line="240" w:lineRule="auto"/>
        <w:ind w:left="360" w:hanging="360"/>
        <w:contextualSpacing/>
        <w:jc w:val="both"/>
      </w:pPr>
      <w:r w:rsidRPr="00013153">
        <w:t xml:space="preserve">             Yee </w:t>
      </w:r>
      <w:proofErr w:type="spellStart"/>
      <w:r w:rsidRPr="00013153">
        <w:t>Wenjee</w:t>
      </w:r>
      <w:proofErr w:type="spellEnd"/>
      <w:r w:rsidRPr="00013153">
        <w:t xml:space="preserve"> (also known as Yu </w:t>
      </w:r>
      <w:proofErr w:type="spellStart"/>
      <w:r w:rsidRPr="00013153">
        <w:t>Wenjie</w:t>
      </w:r>
      <w:proofErr w:type="spellEnd"/>
      <w:r w:rsidRPr="00013153">
        <w:t>, alias Eric Yee) 3</w:t>
      </w:r>
      <w:r w:rsidRPr="00013153">
        <w:rPr>
          <w:vertAlign w:val="superscript"/>
        </w:rPr>
        <w:t>rd</w:t>
      </w:r>
      <w:r w:rsidRPr="00013153">
        <w:t xml:space="preserve"> Accused</w:t>
      </w:r>
    </w:p>
  </w:footnote>
  <w:footnote w:id="2">
    <w:p w:rsidR="00FF5444" w:rsidRPr="00013153" w:rsidRDefault="00FF5444" w:rsidP="00B00AA8">
      <w:pPr>
        <w:pStyle w:val="FootnoteText"/>
        <w:keepNext/>
        <w:keepLines/>
        <w:tabs>
          <w:tab w:val="left" w:pos="360"/>
        </w:tabs>
        <w:snapToGrid w:val="0"/>
        <w:spacing w:before="120" w:after="0" w:line="240" w:lineRule="auto"/>
        <w:ind w:left="360" w:hanging="360"/>
        <w:jc w:val="both"/>
        <w:rPr>
          <w:b/>
        </w:rPr>
      </w:pPr>
      <w:r w:rsidRPr="00013153">
        <w:rPr>
          <w:rStyle w:val="FootnoteReference"/>
        </w:rPr>
        <w:footnoteRef/>
      </w:r>
      <w:r w:rsidRPr="00013153">
        <w:t xml:space="preserve">                </w:t>
      </w:r>
      <w:r w:rsidRPr="00013153">
        <w:rPr>
          <w:b/>
        </w:rPr>
        <w:t>ORDER IN RELATION TO RESTRICTIONS ON REPORTING</w:t>
      </w:r>
    </w:p>
    <w:p w:rsidR="00FF5444" w:rsidRPr="00013153" w:rsidRDefault="00FF5444" w:rsidP="00B00AA8">
      <w:pPr>
        <w:pStyle w:val="FootnoteText"/>
        <w:keepNext/>
        <w:keepLines/>
        <w:tabs>
          <w:tab w:val="left" w:pos="360"/>
        </w:tabs>
        <w:snapToGrid w:val="0"/>
        <w:spacing w:before="120" w:after="0" w:line="240" w:lineRule="auto"/>
        <w:ind w:left="360"/>
        <w:jc w:val="both"/>
      </w:pPr>
      <w:r w:rsidRPr="00013153">
        <w:t>UPON being satisfied that the special circumstances exist and that it is strictly necessary for avoiding a substantial risk of prejudice to the administration of justice in the trial proceedings of HCCC 83/2014</w:t>
      </w:r>
    </w:p>
    <w:p w:rsidR="00FF5444" w:rsidRPr="00013153" w:rsidRDefault="00FF5444" w:rsidP="00B00AA8">
      <w:pPr>
        <w:pStyle w:val="FootnoteText"/>
        <w:keepNext/>
        <w:keepLines/>
        <w:tabs>
          <w:tab w:val="left" w:pos="1260"/>
        </w:tabs>
        <w:snapToGrid w:val="0"/>
        <w:spacing w:before="120" w:after="0" w:line="240" w:lineRule="auto"/>
        <w:ind w:left="720"/>
        <w:jc w:val="both"/>
      </w:pPr>
      <w:r>
        <w:tab/>
        <w:t xml:space="preserve">IT </w:t>
      </w:r>
      <w:r w:rsidRPr="00013153">
        <w:t>IS HEREBY ORDERED</w:t>
      </w:r>
    </w:p>
    <w:p w:rsidR="00FF5444" w:rsidRPr="00013153" w:rsidRDefault="00FF5444" w:rsidP="00B00AA8">
      <w:pPr>
        <w:pStyle w:val="FootnoteText"/>
        <w:keepNext/>
        <w:keepLines/>
        <w:numPr>
          <w:ilvl w:val="0"/>
          <w:numId w:val="34"/>
        </w:numPr>
        <w:tabs>
          <w:tab w:val="left" w:pos="1260"/>
        </w:tabs>
        <w:snapToGrid w:val="0"/>
        <w:spacing w:before="120" w:after="0" w:line="240" w:lineRule="auto"/>
        <w:ind w:left="1260" w:hanging="540"/>
        <w:jc w:val="both"/>
      </w:pPr>
      <w:r>
        <w:t>The publication (</w:t>
      </w:r>
      <w:r w:rsidRPr="00013153">
        <w:t>in any form) of any report of any matter in the CACC 299/2014 proceedings, including the names of the appellants, the offences involved and the fact of their convictions, be prohibited until the concl</w:t>
      </w:r>
      <w:r>
        <w:t>usion of the trial in HCCC</w:t>
      </w:r>
      <w:r w:rsidRPr="00013153">
        <w:t xml:space="preserve"> 83/2014 or further order.</w:t>
      </w:r>
    </w:p>
    <w:p w:rsidR="00FF5444" w:rsidRPr="00013153" w:rsidRDefault="00FF5444" w:rsidP="00B00AA8">
      <w:pPr>
        <w:pStyle w:val="FootnoteText"/>
        <w:keepNext/>
        <w:keepLines/>
        <w:numPr>
          <w:ilvl w:val="0"/>
          <w:numId w:val="34"/>
        </w:numPr>
        <w:tabs>
          <w:tab w:val="left" w:pos="1260"/>
        </w:tabs>
        <w:snapToGrid w:val="0"/>
        <w:spacing w:before="120" w:after="0" w:line="240" w:lineRule="auto"/>
        <w:ind w:left="1260" w:hanging="540"/>
        <w:jc w:val="both"/>
      </w:pPr>
      <w:r w:rsidRPr="00013153">
        <w:t>That the names of the appellants in CACC 299/2014 be redacted and replaced by "A" for the 1</w:t>
      </w:r>
      <w:r w:rsidRPr="00013153">
        <w:rPr>
          <w:vertAlign w:val="superscript"/>
        </w:rPr>
        <w:t>st</w:t>
      </w:r>
      <w:r w:rsidRPr="00013153">
        <w:t xml:space="preserve"> appellant and "B" for the 2nd appellant on any future court cause lists until the conclusion of the trial in HCCC 83/2014 or further order.</w:t>
      </w:r>
    </w:p>
    <w:p w:rsidR="00FF5444" w:rsidRPr="00013153" w:rsidRDefault="00FF5444" w:rsidP="00B00AA8">
      <w:pPr>
        <w:pStyle w:val="FootnoteText"/>
        <w:keepNext/>
        <w:keepLines/>
        <w:tabs>
          <w:tab w:val="left" w:pos="360"/>
        </w:tabs>
        <w:snapToGrid w:val="0"/>
        <w:spacing w:before="120" w:after="0" w:line="240" w:lineRule="auto"/>
        <w:ind w:left="360"/>
        <w:jc w:val="both"/>
      </w:pPr>
      <w:proofErr w:type="gramStart"/>
      <w:r w:rsidRPr="00013153">
        <w:t>AND TAKE FURTHER NOTICE that any person who disobeys this order may be held to be in contempt of court, and liable to imprisonment, a fine or both.</w:t>
      </w:r>
      <w:proofErr w:type="gramEnd"/>
    </w:p>
  </w:footnote>
  <w:footnote w:id="3">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ab/>
      </w:r>
      <w:proofErr w:type="spellStart"/>
      <w:r w:rsidRPr="00013153">
        <w:rPr>
          <w:i/>
        </w:rPr>
        <w:t>Archbold</w:t>
      </w:r>
      <w:proofErr w:type="spellEnd"/>
      <w:r w:rsidRPr="00013153">
        <w:rPr>
          <w:i/>
        </w:rPr>
        <w:t xml:space="preserve"> (Hong Kong)</w:t>
      </w:r>
      <w:r w:rsidRPr="00013153">
        <w:t xml:space="preserve"> 2016</w:t>
      </w:r>
      <w:r>
        <w:t xml:space="preserve"> </w:t>
      </w:r>
      <w:r w:rsidRPr="00013153">
        <w:t>-</w:t>
      </w:r>
      <w:r>
        <w:t xml:space="preserve"> </w:t>
      </w:r>
      <w:r w:rsidRPr="00013153">
        <w:t>Criminal Law, Pleadings Evidence &amp;</w:t>
      </w:r>
      <w:r>
        <w:t xml:space="preserve"> Practice: Chapter 4, paragraph </w:t>
      </w:r>
      <w:r w:rsidRPr="00013153">
        <w:t>11.</w:t>
      </w:r>
    </w:p>
  </w:footnote>
  <w:footnote w:id="4">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rsidRPr="00013153">
        <w:tab/>
      </w:r>
      <w:r w:rsidRPr="00013153">
        <w:rPr>
          <w:i/>
        </w:rPr>
        <w:t xml:space="preserve">R v Mohamed </w:t>
      </w:r>
      <w:proofErr w:type="spellStart"/>
      <w:r w:rsidRPr="00013153">
        <w:rPr>
          <w:i/>
        </w:rPr>
        <w:t>Hashin</w:t>
      </w:r>
      <w:proofErr w:type="spellEnd"/>
      <w:r w:rsidRPr="00013153">
        <w:t xml:space="preserve"> </w:t>
      </w:r>
      <w:proofErr w:type="spellStart"/>
      <w:r w:rsidRPr="00013153">
        <w:rPr>
          <w:i/>
        </w:rPr>
        <w:t>Shamsudin</w:t>
      </w:r>
      <w:proofErr w:type="spellEnd"/>
      <w:r w:rsidRPr="00013153">
        <w:t xml:space="preserve"> [1987] HKLR 254.</w:t>
      </w:r>
    </w:p>
  </w:footnote>
  <w:footnote w:id="5">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rsidRPr="00013153">
        <w:tab/>
      </w:r>
      <w:proofErr w:type="gramStart"/>
      <w:r w:rsidRPr="00013153">
        <w:rPr>
          <w:i/>
        </w:rPr>
        <w:t xml:space="preserve">R v Horsham Justices, ex p. </w:t>
      </w:r>
      <w:proofErr w:type="spellStart"/>
      <w:r w:rsidRPr="00013153">
        <w:rPr>
          <w:i/>
        </w:rPr>
        <w:t>Farquharson</w:t>
      </w:r>
      <w:proofErr w:type="spellEnd"/>
      <w:r w:rsidRPr="00013153">
        <w:rPr>
          <w:i/>
        </w:rPr>
        <w:t xml:space="preserve"> </w:t>
      </w:r>
      <w:r w:rsidRPr="00013153">
        <w:t>[1982]</w:t>
      </w:r>
      <w:r w:rsidRPr="00013153">
        <w:rPr>
          <w:i/>
        </w:rPr>
        <w:t xml:space="preserve"> </w:t>
      </w:r>
      <w:r w:rsidRPr="00013153">
        <w:t>1</w:t>
      </w:r>
      <w:r>
        <w:t xml:space="preserve"> </w:t>
      </w:r>
      <w:r w:rsidRPr="00013153">
        <w:t>QB 762.</w:t>
      </w:r>
      <w:proofErr w:type="gramEnd"/>
    </w:p>
  </w:footnote>
  <w:footnote w:id="6">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rsidRPr="00013153">
        <w:tab/>
      </w:r>
      <w:r w:rsidRPr="00013153">
        <w:rPr>
          <w:i/>
        </w:rPr>
        <w:t xml:space="preserve">R v Horsham Justices, ex p. </w:t>
      </w:r>
      <w:proofErr w:type="spellStart"/>
      <w:r w:rsidRPr="00013153">
        <w:rPr>
          <w:i/>
        </w:rPr>
        <w:t>Farquharson</w:t>
      </w:r>
      <w:proofErr w:type="spellEnd"/>
      <w:r w:rsidRPr="00013153">
        <w:t>, page 791 E-F.</w:t>
      </w:r>
    </w:p>
  </w:footnote>
  <w:footnote w:id="7">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ab/>
      </w:r>
      <w:r w:rsidRPr="00013153">
        <w:rPr>
          <w:i/>
        </w:rPr>
        <w:t xml:space="preserve">R v Mohamed </w:t>
      </w:r>
      <w:proofErr w:type="spellStart"/>
      <w:r w:rsidRPr="00013153">
        <w:rPr>
          <w:i/>
        </w:rPr>
        <w:t>Hashin</w:t>
      </w:r>
      <w:proofErr w:type="spellEnd"/>
      <w:r w:rsidRPr="00013153">
        <w:t xml:space="preserve"> </w:t>
      </w:r>
      <w:proofErr w:type="spellStart"/>
      <w:r w:rsidRPr="00013153">
        <w:rPr>
          <w:i/>
        </w:rPr>
        <w:t>Shamsudin</w:t>
      </w:r>
      <w:proofErr w:type="spellEnd"/>
      <w:r w:rsidRPr="00B00AA8">
        <w:t xml:space="preserve">, </w:t>
      </w:r>
      <w:r w:rsidRPr="00013153">
        <w:t>page 262 D-E.</w:t>
      </w:r>
    </w:p>
  </w:footnote>
  <w:footnote w:id="8">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ab/>
      </w:r>
      <w:proofErr w:type="gramStart"/>
      <w:r w:rsidRPr="00013153">
        <w:rPr>
          <w:i/>
        </w:rPr>
        <w:t>Independent Publishing Company Ltd v A-G of Trinidad and Tobago and</w:t>
      </w:r>
      <w:r w:rsidRPr="00013153">
        <w:t xml:space="preserve"> </w:t>
      </w:r>
      <w:r w:rsidRPr="00013153">
        <w:rPr>
          <w:i/>
        </w:rPr>
        <w:t>Another</w:t>
      </w:r>
      <w:r w:rsidRPr="00013153">
        <w:t xml:space="preserve"> [2005] 1 AC 190.</w:t>
      </w:r>
      <w:proofErr w:type="gramEnd"/>
    </w:p>
  </w:footnote>
  <w:footnote w:id="9">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ab/>
      </w:r>
      <w:r>
        <w:rPr>
          <w:i/>
        </w:rPr>
        <w:t>Attorney General’</w:t>
      </w:r>
      <w:r w:rsidRPr="00013153">
        <w:rPr>
          <w:i/>
        </w:rPr>
        <w:t xml:space="preserve">s Reference (No 3) of 1999 Re British Broadcasting Corporation </w:t>
      </w:r>
      <w:r w:rsidRPr="00013153">
        <w:t>[2010]</w:t>
      </w:r>
      <w:r>
        <w:t xml:space="preserve"> </w:t>
      </w:r>
      <w:r w:rsidRPr="00013153">
        <w:t>1 AC 145; at page 171</w:t>
      </w:r>
      <w:r>
        <w:t xml:space="preserve"> </w:t>
      </w:r>
      <w:r w:rsidRPr="00013153">
        <w:t>H</w:t>
      </w:r>
      <w:r>
        <w:t xml:space="preserve"> </w:t>
      </w:r>
      <w:r w:rsidRPr="00013153">
        <w:t>-</w:t>
      </w:r>
      <w:r>
        <w:t xml:space="preserve"> </w:t>
      </w:r>
      <w:r w:rsidRPr="00013153">
        <w:t>172 A, paragraph 51.</w:t>
      </w:r>
    </w:p>
  </w:footnote>
  <w:footnote w:id="10">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rPr>
          <w:i/>
        </w:rPr>
        <w:tab/>
        <w:t>Independent Publishing Company Ltd v A-G of Trinidad and Tobago and</w:t>
      </w:r>
      <w:r w:rsidRPr="00013153">
        <w:t xml:space="preserve"> </w:t>
      </w:r>
      <w:r w:rsidRPr="00013153">
        <w:rPr>
          <w:i/>
        </w:rPr>
        <w:t>Another</w:t>
      </w:r>
      <w:r w:rsidRPr="00013153">
        <w:t>; pages 216 G-H and 210 F-211B, paragraphs 68 and 42.</w:t>
      </w:r>
    </w:p>
  </w:footnote>
  <w:footnote w:id="11">
    <w:p w:rsidR="00FF5444" w:rsidRPr="00013153" w:rsidRDefault="00FF5444" w:rsidP="00B00AA8">
      <w:pPr>
        <w:keepNext/>
        <w:keepLines/>
        <w:tabs>
          <w:tab w:val="clear" w:pos="1440"/>
          <w:tab w:val="clear" w:pos="4320"/>
          <w:tab w:val="clear" w:pos="9072"/>
          <w:tab w:val="left" w:pos="360"/>
          <w:tab w:val="left" w:pos="6930"/>
        </w:tabs>
        <w:spacing w:before="120"/>
        <w:ind w:left="360" w:hanging="360"/>
        <w:jc w:val="both"/>
        <w:rPr>
          <w:sz w:val="20"/>
        </w:rPr>
      </w:pPr>
      <w:r w:rsidRPr="00013153">
        <w:rPr>
          <w:rStyle w:val="FootnoteReference"/>
          <w:sz w:val="20"/>
        </w:rPr>
        <w:footnoteRef/>
      </w:r>
      <w:r w:rsidRPr="00013153">
        <w:rPr>
          <w:sz w:val="20"/>
        </w:rPr>
        <w:t xml:space="preserve"> </w:t>
      </w:r>
      <w:r w:rsidRPr="00013153">
        <w:rPr>
          <w:sz w:val="20"/>
        </w:rPr>
        <w:tab/>
      </w:r>
      <w:r w:rsidRPr="00013153">
        <w:rPr>
          <w:sz w:val="20"/>
        </w:rPr>
        <w:tab/>
        <w:t>CACC 299/2014</w:t>
      </w:r>
    </w:p>
    <w:p w:rsidR="00FF5444" w:rsidRPr="00013153" w:rsidRDefault="00FF5444" w:rsidP="00B00AA8">
      <w:pPr>
        <w:keepNext/>
        <w:keepLines/>
        <w:tabs>
          <w:tab w:val="clear" w:pos="1440"/>
          <w:tab w:val="clear" w:pos="4320"/>
          <w:tab w:val="clear" w:pos="9072"/>
          <w:tab w:val="left" w:pos="360"/>
          <w:tab w:val="left" w:pos="6930"/>
        </w:tabs>
        <w:spacing w:before="120"/>
        <w:ind w:left="360" w:hanging="360"/>
        <w:jc w:val="center"/>
        <w:rPr>
          <w:b/>
          <w:sz w:val="20"/>
        </w:rPr>
      </w:pPr>
      <w:r w:rsidRPr="00013153">
        <w:rPr>
          <w:b/>
          <w:sz w:val="20"/>
        </w:rPr>
        <w:t>WARNING</w:t>
      </w:r>
    </w:p>
    <w:p w:rsidR="00FF5444" w:rsidRPr="00013153" w:rsidRDefault="00FF5444" w:rsidP="00B00AA8">
      <w:pPr>
        <w:keepNext/>
        <w:keepLines/>
        <w:tabs>
          <w:tab w:val="clear" w:pos="4320"/>
          <w:tab w:val="clear" w:pos="9072"/>
          <w:tab w:val="left" w:pos="360"/>
        </w:tabs>
        <w:spacing w:before="120"/>
        <w:ind w:left="360" w:hanging="360"/>
        <w:jc w:val="both"/>
        <w:rPr>
          <w:sz w:val="20"/>
        </w:rPr>
      </w:pPr>
      <w:r w:rsidRPr="00013153">
        <w:rPr>
          <w:sz w:val="20"/>
        </w:rPr>
        <w:tab/>
        <w:t xml:space="preserve">The media is warned that there is an ongoing criminal trial before a judge and jury in the Court of </w:t>
      </w:r>
      <w:r w:rsidRPr="00013153">
        <w:rPr>
          <w:rFonts w:hint="eastAsia"/>
          <w:sz w:val="20"/>
        </w:rPr>
        <w:t>First</w:t>
      </w:r>
      <w:r w:rsidRPr="00013153">
        <w:rPr>
          <w:sz w:val="20"/>
        </w:rPr>
        <w:t xml:space="preserve"> Instance, HCC</w:t>
      </w:r>
      <w:r w:rsidRPr="00013153">
        <w:rPr>
          <w:rFonts w:hint="eastAsia"/>
          <w:sz w:val="20"/>
        </w:rPr>
        <w:t>C</w:t>
      </w:r>
      <w:r w:rsidRPr="00013153">
        <w:rPr>
          <w:sz w:val="20"/>
        </w:rPr>
        <w:t xml:space="preserve"> 83/2014, which concerns several factual issues common to this appeal. A copy of the indictment in that case is attached. The integrity of that trial and the due and fair administration of justice is an aim that must be protected and preserved.</w:t>
      </w:r>
    </w:p>
    <w:p w:rsidR="00FF5444" w:rsidRPr="00013153" w:rsidRDefault="00FF5444" w:rsidP="00B00AA8">
      <w:pPr>
        <w:keepNext/>
        <w:keepLines/>
        <w:tabs>
          <w:tab w:val="left" w:pos="360"/>
        </w:tabs>
        <w:spacing w:before="120"/>
        <w:ind w:left="360" w:hanging="360"/>
        <w:jc w:val="both"/>
        <w:rPr>
          <w:sz w:val="20"/>
          <w:lang w:val="en-US"/>
        </w:rPr>
      </w:pPr>
      <w:r w:rsidRPr="00013153">
        <w:rPr>
          <w:sz w:val="20"/>
        </w:rPr>
        <w:tab/>
        <w:t>The media is warned of its legal duty not to publish anything which might create a substantial risk of prejudice to the fairness of that trial. Those that publish material or otherwise act in a manner calculated to prejudice that aim run the risk of contempt proceedings being instituted against them.</w:t>
      </w:r>
    </w:p>
  </w:footnote>
  <w:footnote w:id="12">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rsidRPr="00013153">
        <w:tab/>
        <w:t>See the judgment of Butler-</w:t>
      </w:r>
      <w:proofErr w:type="spellStart"/>
      <w:r w:rsidRPr="00013153">
        <w:t>Sloss</w:t>
      </w:r>
      <w:proofErr w:type="spellEnd"/>
      <w:r w:rsidRPr="00013153">
        <w:t xml:space="preserve"> P in the Family Division of the High Court of England and Wales in </w:t>
      </w:r>
      <w:proofErr w:type="spellStart"/>
      <w:r w:rsidRPr="00013153">
        <w:rPr>
          <w:i/>
        </w:rPr>
        <w:t>Venables</w:t>
      </w:r>
      <w:proofErr w:type="spellEnd"/>
      <w:r w:rsidRPr="00013153">
        <w:rPr>
          <w:i/>
        </w:rPr>
        <w:t xml:space="preserve"> v Newsgroups Newspapers Limited</w:t>
      </w:r>
      <w:r w:rsidRPr="00013153">
        <w:t xml:space="preserve"> [2001] </w:t>
      </w:r>
      <w:proofErr w:type="spellStart"/>
      <w:r w:rsidRPr="00013153">
        <w:t>Fam</w:t>
      </w:r>
      <w:proofErr w:type="spellEnd"/>
      <w:r w:rsidRPr="00013153">
        <w:t xml:space="preserve"> 430; at paragraphs 25 and 27, and paragraphs 98-100. In that case, given the positive duty of the court as a public authority to take steps to protect individuals from the criminal acts of others, the court granted an injunction </w:t>
      </w:r>
      <w:r w:rsidRPr="00013153">
        <w:rPr>
          <w:i/>
        </w:rPr>
        <w:t xml:space="preserve">contra </w:t>
      </w:r>
      <w:proofErr w:type="spellStart"/>
      <w:r w:rsidRPr="00013153">
        <w:rPr>
          <w:i/>
        </w:rPr>
        <w:t>mundem</w:t>
      </w:r>
      <w:proofErr w:type="spellEnd"/>
      <w:r w:rsidRPr="00013153">
        <w:rPr>
          <w:i/>
        </w:rPr>
        <w:t>.</w:t>
      </w:r>
    </w:p>
  </w:footnote>
  <w:footnote w:id="13">
    <w:p w:rsidR="00FF5444" w:rsidRPr="00013153" w:rsidRDefault="00FF5444" w:rsidP="00B00AA8">
      <w:pPr>
        <w:pStyle w:val="FootnoteText"/>
        <w:keepNext/>
        <w:keepLines/>
        <w:tabs>
          <w:tab w:val="left" w:pos="360"/>
        </w:tabs>
        <w:snapToGrid w:val="0"/>
        <w:spacing w:before="120" w:after="0" w:line="240" w:lineRule="auto"/>
        <w:ind w:left="360" w:hanging="360"/>
        <w:rPr>
          <w:b/>
          <w:bCs/>
        </w:rPr>
      </w:pPr>
      <w:r w:rsidRPr="00013153">
        <w:rPr>
          <w:rStyle w:val="FootnoteReference"/>
        </w:rPr>
        <w:footnoteRef/>
      </w:r>
      <w:r w:rsidRPr="00013153">
        <w:t xml:space="preserve">                                     </w:t>
      </w:r>
      <w:r w:rsidRPr="00013153">
        <w:rPr>
          <w:b/>
          <w:bCs/>
        </w:rPr>
        <w:t>Article 87</w:t>
      </w:r>
    </w:p>
    <w:p w:rsidR="00FF5444" w:rsidRPr="00013153" w:rsidRDefault="00FF5444" w:rsidP="00B00AA8">
      <w:pPr>
        <w:pStyle w:val="FootnoteText"/>
        <w:keepNext/>
        <w:keepLines/>
        <w:tabs>
          <w:tab w:val="left" w:pos="360"/>
        </w:tabs>
        <w:snapToGrid w:val="0"/>
        <w:spacing w:before="120" w:after="0" w:line="240" w:lineRule="auto"/>
        <w:ind w:left="360" w:hanging="360"/>
        <w:jc w:val="both"/>
      </w:pPr>
      <w:r w:rsidRPr="00013153">
        <w:tab/>
        <w:t>In criminal or civil proceedings in the Hong Kong Special Administrative Region, the principles previously applied in Hong Kong and the rights previously enjoyed by parties to proceedings shall be maintained.</w:t>
      </w:r>
    </w:p>
  </w:footnote>
  <w:footnote w:id="14">
    <w:p w:rsidR="00FF5444" w:rsidRPr="00013153" w:rsidRDefault="00FF5444" w:rsidP="00B00AA8">
      <w:pPr>
        <w:keepNext/>
        <w:keepLines/>
        <w:tabs>
          <w:tab w:val="clear" w:pos="1440"/>
          <w:tab w:val="clear" w:pos="4320"/>
          <w:tab w:val="clear" w:pos="9072"/>
          <w:tab w:val="left" w:pos="360"/>
          <w:tab w:val="left" w:pos="990"/>
          <w:tab w:val="left" w:pos="3780"/>
        </w:tabs>
        <w:spacing w:before="120"/>
        <w:ind w:left="360" w:hanging="360"/>
        <w:contextualSpacing/>
        <w:jc w:val="both"/>
        <w:rPr>
          <w:rFonts w:eastAsia="Times New Roman"/>
          <w:color w:val="000000"/>
          <w:sz w:val="20"/>
        </w:rPr>
      </w:pPr>
      <w:r w:rsidRPr="00013153">
        <w:rPr>
          <w:rStyle w:val="FootnoteReference"/>
          <w:sz w:val="20"/>
        </w:rPr>
        <w:footnoteRef/>
      </w:r>
      <w:r w:rsidRPr="00013153">
        <w:rPr>
          <w:sz w:val="20"/>
        </w:rPr>
        <w:t xml:space="preserve"> </w:t>
      </w:r>
      <w:r w:rsidRPr="00013153">
        <w:rPr>
          <w:sz w:val="20"/>
        </w:rPr>
        <w:tab/>
      </w:r>
      <w:r w:rsidRPr="00013153">
        <w:rPr>
          <w:sz w:val="20"/>
        </w:rPr>
        <w:tab/>
      </w:r>
      <w:r w:rsidRPr="00013153">
        <w:rPr>
          <w:sz w:val="20"/>
        </w:rPr>
        <w:tab/>
      </w:r>
      <w:hyperlink r:id="rId1" w:anchor="article" w:history="1">
        <w:r w:rsidRPr="00013153">
          <w:rPr>
            <w:rFonts w:eastAsia="Times New Roman"/>
            <w:b/>
            <w:sz w:val="20"/>
          </w:rPr>
          <w:t>Article</w:t>
        </w:r>
      </w:hyperlink>
      <w:r w:rsidRPr="00013153">
        <w:rPr>
          <w:rFonts w:eastAsia="Times New Roman"/>
          <w:b/>
          <w:color w:val="000000"/>
          <w:sz w:val="20"/>
        </w:rPr>
        <w:t xml:space="preserve"> 10</w:t>
      </w:r>
    </w:p>
    <w:p w:rsidR="00FF5444" w:rsidRPr="00013153" w:rsidRDefault="00FF5444" w:rsidP="00B00AA8">
      <w:pPr>
        <w:keepNext/>
        <w:keepLines/>
        <w:tabs>
          <w:tab w:val="clear" w:pos="1440"/>
          <w:tab w:val="clear" w:pos="4320"/>
          <w:tab w:val="clear" w:pos="9072"/>
          <w:tab w:val="left" w:pos="360"/>
          <w:tab w:val="left" w:pos="990"/>
        </w:tabs>
        <w:spacing w:before="120"/>
        <w:ind w:left="360" w:hanging="360"/>
        <w:contextualSpacing/>
        <w:jc w:val="center"/>
        <w:rPr>
          <w:rFonts w:eastAsia="Times New Roman"/>
          <w:color w:val="000000"/>
          <w:sz w:val="20"/>
        </w:rPr>
      </w:pPr>
      <w:r w:rsidRPr="00013153">
        <w:rPr>
          <w:rFonts w:eastAsia="Times New Roman"/>
          <w:color w:val="000000"/>
          <w:sz w:val="20"/>
        </w:rPr>
        <w:t>Equality before courts and right to fair and public hearing</w:t>
      </w:r>
    </w:p>
    <w:p w:rsidR="00FF5444" w:rsidRPr="00013153" w:rsidRDefault="00FF5444" w:rsidP="00B00AA8">
      <w:pPr>
        <w:pStyle w:val="FootnoteText"/>
        <w:keepNext/>
        <w:keepLines/>
        <w:tabs>
          <w:tab w:val="left" w:pos="360"/>
        </w:tabs>
        <w:snapToGrid w:val="0"/>
        <w:spacing w:before="120" w:after="0" w:line="240" w:lineRule="auto"/>
        <w:ind w:left="360" w:hanging="360"/>
        <w:jc w:val="both"/>
      </w:pPr>
      <w:r w:rsidRPr="00013153">
        <w:rPr>
          <w:rFonts w:eastAsia="Times New Roman"/>
          <w:color w:val="000000"/>
        </w:rPr>
        <w:tab/>
        <w:t>All persons shall be equal before the courts and tribunals. In the determination of any criminal charge against him, or of his rights and obligations in a suit at law, everyone shall be entitled to a fair and public hearing by a competent, independent and impartial tribunal established by law. The press and the public may be excluded from all or part of a trial for reasons of morals, public order (</w:t>
      </w:r>
      <w:proofErr w:type="spellStart"/>
      <w:r w:rsidRPr="00013153">
        <w:rPr>
          <w:rFonts w:eastAsia="Times New Roman"/>
          <w:color w:val="000000"/>
        </w:rPr>
        <w:t>ordre</w:t>
      </w:r>
      <w:proofErr w:type="spellEnd"/>
      <w:r w:rsidRPr="00013153">
        <w:rPr>
          <w:rFonts w:eastAsia="Times New Roman"/>
          <w:color w:val="000000"/>
        </w:rPr>
        <w:t xml:space="preserve"> public) or national security in a democratic society, or when the interest of the private lives of the parties so requires, or to the extent strictly necessary in the opinion of the court in special circumstances where publicity would prejudice the interests of justice; but any judgment rendered in a criminal case or in a suit at law shall be made public except where the interest of juvenile persons otherwise requires or the proceedings concern matrimonial disputes or the guardianship of children.</w:t>
      </w:r>
    </w:p>
  </w:footnote>
  <w:footnote w:id="15">
    <w:p w:rsidR="00FF5444" w:rsidRPr="00013153" w:rsidRDefault="00FF5444" w:rsidP="00B00AA8">
      <w:pPr>
        <w:tabs>
          <w:tab w:val="clear" w:pos="4320"/>
          <w:tab w:val="clear" w:pos="9072"/>
          <w:tab w:val="left" w:pos="360"/>
        </w:tabs>
        <w:spacing w:before="120"/>
        <w:ind w:left="360" w:hanging="360"/>
        <w:jc w:val="both"/>
        <w:rPr>
          <w:sz w:val="20"/>
        </w:rPr>
      </w:pPr>
      <w:r w:rsidRPr="00013153">
        <w:rPr>
          <w:rStyle w:val="FootnoteReference"/>
          <w:sz w:val="20"/>
        </w:rPr>
        <w:footnoteRef/>
      </w:r>
      <w:r w:rsidRPr="00013153">
        <w:rPr>
          <w:sz w:val="20"/>
        </w:rPr>
        <w:t xml:space="preserve"> </w:t>
      </w:r>
      <w:r w:rsidRPr="00013153">
        <w:rPr>
          <w:sz w:val="20"/>
        </w:rPr>
        <w:tab/>
      </w:r>
      <w:proofErr w:type="spellStart"/>
      <w:proofErr w:type="gramStart"/>
      <w:r w:rsidRPr="00013153">
        <w:rPr>
          <w:i/>
          <w:sz w:val="20"/>
        </w:rPr>
        <w:t>Seimer</w:t>
      </w:r>
      <w:proofErr w:type="spellEnd"/>
      <w:r w:rsidRPr="00013153">
        <w:rPr>
          <w:i/>
          <w:sz w:val="20"/>
        </w:rPr>
        <w:t xml:space="preserve"> v Solicitor General </w:t>
      </w:r>
      <w:r w:rsidRPr="00013153">
        <w:rPr>
          <w:sz w:val="20"/>
        </w:rPr>
        <w:t>[2014] 2 LRC 186.</w:t>
      </w:r>
      <w:proofErr w:type="gramEnd"/>
    </w:p>
  </w:footnote>
  <w:footnote w:id="16">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proofErr w:type="gramStart"/>
      <w:r w:rsidRPr="00013153">
        <w:rPr>
          <w:i/>
        </w:rPr>
        <w:t>Seimer</w:t>
      </w:r>
      <w:proofErr w:type="spellEnd"/>
      <w:r w:rsidRPr="00013153">
        <w:rPr>
          <w:i/>
        </w:rPr>
        <w:t xml:space="preserve"> v Solicitor General</w:t>
      </w:r>
      <w:r>
        <w:t>;</w:t>
      </w:r>
      <w:r w:rsidR="00B55ACD">
        <w:rPr>
          <w:rFonts w:hint="eastAsia"/>
        </w:rPr>
        <w:t xml:space="preserve"> </w:t>
      </w:r>
      <w:r>
        <w:t xml:space="preserve">pages </w:t>
      </w:r>
      <w:r w:rsidRPr="00013153">
        <w:t>246-7,</w:t>
      </w:r>
      <w:r w:rsidRPr="00013153">
        <w:rPr>
          <w:i/>
        </w:rPr>
        <w:t xml:space="preserve"> </w:t>
      </w:r>
      <w:r w:rsidRPr="00013153">
        <w:t>paragraphs 169-171.</w:t>
      </w:r>
      <w:proofErr w:type="gramEnd"/>
    </w:p>
  </w:footnote>
  <w:footnote w:id="17">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i/>
        </w:rPr>
        <w:t xml:space="preserve">Hogan v </w:t>
      </w:r>
      <w:proofErr w:type="spellStart"/>
      <w:r w:rsidRPr="00013153">
        <w:rPr>
          <w:i/>
        </w:rPr>
        <w:t>Hinch</w:t>
      </w:r>
      <w:proofErr w:type="spellEnd"/>
      <w:r w:rsidRPr="00013153">
        <w:rPr>
          <w:i/>
        </w:rPr>
        <w:t xml:space="preserve"> </w:t>
      </w:r>
      <w:r w:rsidRPr="00013153">
        <w:t>(2011) 243 CLR 506.</w:t>
      </w:r>
      <w:proofErr w:type="gramEnd"/>
    </w:p>
  </w:footnote>
  <w:footnote w:id="18">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 xml:space="preserve">Hogan v </w:t>
      </w:r>
      <w:proofErr w:type="spellStart"/>
      <w:r w:rsidRPr="00013153">
        <w:rPr>
          <w:i/>
        </w:rPr>
        <w:t>Hinch</w:t>
      </w:r>
      <w:proofErr w:type="spellEnd"/>
      <w:r w:rsidRPr="007065F9">
        <w:t xml:space="preserve">; </w:t>
      </w:r>
      <w:r w:rsidRPr="00013153">
        <w:t>page 534, paragraph 26.</w:t>
      </w:r>
    </w:p>
  </w:footnote>
  <w:footnote w:id="19">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 xml:space="preserve">Hogan v </w:t>
      </w:r>
      <w:proofErr w:type="spellStart"/>
      <w:r w:rsidRPr="00013153">
        <w:rPr>
          <w:i/>
        </w:rPr>
        <w:t>Hinch</w:t>
      </w:r>
      <w:proofErr w:type="spellEnd"/>
      <w:r w:rsidRPr="007065F9">
        <w:t>;</w:t>
      </w:r>
      <w:r w:rsidRPr="00013153">
        <w:t xml:space="preserve"> page 553, paragraph 88.</w:t>
      </w:r>
    </w:p>
  </w:footnote>
  <w:footnote w:id="20">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proofErr w:type="gramStart"/>
      <w:r w:rsidRPr="00013153">
        <w:rPr>
          <w:i/>
        </w:rPr>
        <w:t>Dagenais</w:t>
      </w:r>
      <w:proofErr w:type="spellEnd"/>
      <w:r w:rsidRPr="00013153">
        <w:rPr>
          <w:i/>
        </w:rPr>
        <w:t xml:space="preserve"> v Canadian broadcasting Corporation </w:t>
      </w:r>
      <w:r w:rsidRPr="00013153">
        <w:t>[1994] 3 SCR 835.</w:t>
      </w:r>
      <w:proofErr w:type="gramEnd"/>
    </w:p>
  </w:footnote>
  <w:footnote w:id="21">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i/>
        </w:rPr>
        <w:t xml:space="preserve">Sahara India Real Estate v Securities &amp; Exchange Board of India </w:t>
      </w:r>
      <w:r w:rsidRPr="00013153">
        <w:t>(2012) 10 SCC 603.</w:t>
      </w:r>
      <w:proofErr w:type="gramEnd"/>
    </w:p>
  </w:footnote>
  <w:footnote w:id="22">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 xml:space="preserve">Sahara India Real Estate v Securities &amp; Exchange Board of India, </w:t>
      </w:r>
      <w:r w:rsidRPr="00013153">
        <w:t>paragraph 33</w:t>
      </w:r>
      <w:r w:rsidRPr="00013153">
        <w:rPr>
          <w:i/>
        </w:rPr>
        <w:t>.</w:t>
      </w:r>
      <w:r w:rsidRPr="00013153">
        <w:t xml:space="preserve"> Although described as </w:t>
      </w:r>
      <w:r w:rsidRPr="00013153">
        <w:rPr>
          <w:i/>
        </w:rPr>
        <w:t>Vincent v Solicitor General,</w:t>
      </w:r>
      <w:r w:rsidRPr="00013153">
        <w:t xml:space="preserve"> that was a reference to the judgment of the Court of Appeal in </w:t>
      </w:r>
      <w:proofErr w:type="spellStart"/>
      <w:r w:rsidRPr="007065F9">
        <w:rPr>
          <w:i/>
        </w:rPr>
        <w:t>Siemar</w:t>
      </w:r>
      <w:proofErr w:type="spellEnd"/>
      <w:r w:rsidRPr="007065F9">
        <w:rPr>
          <w:i/>
        </w:rPr>
        <w:t xml:space="preserve"> v Solicitor-General</w:t>
      </w:r>
      <w:r w:rsidRPr="00013153">
        <w:t xml:space="preserve"> [2012] 3 NZLR 43.</w:t>
      </w:r>
    </w:p>
  </w:footnote>
  <w:footnote w:id="23">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r w:rsidRPr="00013153">
        <w:rPr>
          <w:i/>
        </w:rPr>
        <w:t>Mirajkar</w:t>
      </w:r>
      <w:proofErr w:type="spellEnd"/>
      <w:r w:rsidRPr="00013153">
        <w:rPr>
          <w:i/>
        </w:rPr>
        <w:t xml:space="preserve"> v State of Maharashtra</w:t>
      </w:r>
      <w:r w:rsidRPr="00013153">
        <w:t xml:space="preserve"> [AIR 1967 SC1].</w:t>
      </w:r>
    </w:p>
  </w:footnote>
  <w:footnote w:id="24">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 xml:space="preserve">A v British Broadcasting Corporation </w:t>
      </w:r>
      <w:r w:rsidRPr="00013153">
        <w:t>[2015] AC 588; page 603 C, paragraph 34.</w:t>
      </w:r>
    </w:p>
  </w:footnote>
  <w:footnote w:id="25">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A v British Broadcasting Corporation</w:t>
      </w:r>
      <w:r w:rsidRPr="00013153">
        <w:t>; page 607</w:t>
      </w:r>
      <w:r>
        <w:t xml:space="preserve"> </w:t>
      </w:r>
      <w:r w:rsidRPr="00013153">
        <w:t>G- H, paragraph 49.</w:t>
      </w:r>
    </w:p>
  </w:footnote>
  <w:footnote w:id="26">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tab/>
      </w:r>
      <w:r w:rsidRPr="00013153">
        <w:rPr>
          <w:i/>
        </w:rPr>
        <w:t>Independent Publishing Company Ltd v A-G of Trinidad and Tobago and</w:t>
      </w:r>
      <w:r w:rsidRPr="00013153">
        <w:t xml:space="preserve"> </w:t>
      </w:r>
      <w:r w:rsidRPr="00013153">
        <w:rPr>
          <w:i/>
        </w:rPr>
        <w:t>Another</w:t>
      </w:r>
      <w:r w:rsidRPr="00B00AA8">
        <w:t>;</w:t>
      </w:r>
      <w:r w:rsidRPr="00013153">
        <w:rPr>
          <w:i/>
        </w:rPr>
        <w:t xml:space="preserve"> </w:t>
      </w:r>
      <w:r w:rsidRPr="00013153">
        <w:t xml:space="preserve">page </w:t>
      </w:r>
      <w:r>
        <w:t xml:space="preserve">204, paragraph </w:t>
      </w:r>
      <w:r w:rsidRPr="00013153">
        <w:t>21.</w:t>
      </w:r>
      <w:r w:rsidRPr="00013153">
        <w:rPr>
          <w:i/>
        </w:rPr>
        <w:t xml:space="preserve"> </w:t>
      </w:r>
      <w:proofErr w:type="gramStart"/>
      <w:r w:rsidRPr="00013153">
        <w:rPr>
          <w:i/>
        </w:rPr>
        <w:t>Sahara India Real Estate v Securities &amp; Exchange Board of India</w:t>
      </w:r>
      <w:r>
        <w:t xml:space="preserve"> (2012) 10 SCC </w:t>
      </w:r>
      <w:r w:rsidRPr="00013153">
        <w:t>603.</w:t>
      </w:r>
      <w:proofErr w:type="gramEnd"/>
    </w:p>
  </w:footnote>
  <w:footnote w:id="27">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B00AA8">
        <w:t xml:space="preserve">; </w:t>
      </w:r>
      <w:r w:rsidRPr="00013153">
        <w:t>page 207 C, paragraph 29.</w:t>
      </w:r>
    </w:p>
  </w:footnote>
  <w:footnote w:id="28">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BC4C66">
        <w:t xml:space="preserve">; </w:t>
      </w:r>
      <w:r>
        <w:t xml:space="preserve">page 207 D-H, paragraph </w:t>
      </w:r>
      <w:r w:rsidRPr="00013153">
        <w:t>30.</w:t>
      </w:r>
    </w:p>
  </w:footnote>
  <w:footnote w:id="29">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BC4C66">
        <w:t xml:space="preserve">; </w:t>
      </w:r>
      <w:r w:rsidRPr="00013153">
        <w:t>page 211 H, paragraph 46</w:t>
      </w:r>
      <w:r>
        <w:t>.</w:t>
      </w:r>
    </w:p>
  </w:footnote>
  <w:footnote w:id="30">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rFonts w:eastAsia="Times New Roman"/>
          <w:i/>
        </w:rPr>
        <w:t xml:space="preserve">R v Horsham Justices, Ex p </w:t>
      </w:r>
      <w:proofErr w:type="spellStart"/>
      <w:r w:rsidRPr="00013153">
        <w:rPr>
          <w:rFonts w:eastAsia="Times New Roman"/>
          <w:i/>
        </w:rPr>
        <w:t>Farquharson</w:t>
      </w:r>
      <w:proofErr w:type="spellEnd"/>
      <w:r w:rsidRPr="00013153">
        <w:rPr>
          <w:rFonts w:eastAsia="Times New Roman"/>
          <w:i/>
        </w:rPr>
        <w:t xml:space="preserve"> </w:t>
      </w:r>
      <w:r w:rsidRPr="00013153">
        <w:rPr>
          <w:rFonts w:eastAsia="Times New Roman"/>
        </w:rPr>
        <w:t>[1982] QB 762.</w:t>
      </w:r>
    </w:p>
  </w:footnote>
  <w:footnote w:id="31">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rFonts w:eastAsia="Times New Roman"/>
          <w:i/>
        </w:rPr>
        <w:t xml:space="preserve">R v Horsham Justices, Ex p </w:t>
      </w:r>
      <w:proofErr w:type="spellStart"/>
      <w:r w:rsidRPr="00013153">
        <w:rPr>
          <w:rFonts w:eastAsia="Times New Roman"/>
          <w:i/>
        </w:rPr>
        <w:t>Farquharson</w:t>
      </w:r>
      <w:proofErr w:type="spellEnd"/>
      <w:r w:rsidRPr="00013153">
        <w:rPr>
          <w:rFonts w:eastAsia="Times New Roman"/>
        </w:rPr>
        <w:t>, page 792 E-F.</w:t>
      </w:r>
    </w:p>
  </w:footnote>
  <w:footnote w:id="32">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E233A0">
        <w:t xml:space="preserve">; </w:t>
      </w:r>
      <w:r w:rsidRPr="00013153">
        <w:t>page 213B-E, paragraphs 50-1.</w:t>
      </w:r>
    </w:p>
  </w:footnote>
  <w:footnote w:id="33">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AF1718">
        <w:t>;</w:t>
      </w:r>
      <w:r w:rsidRPr="00013153">
        <w:t xml:space="preserve"> page 215 G-H, paragraph 63.</w:t>
      </w:r>
    </w:p>
  </w:footnote>
  <w:footnote w:id="34">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rStyle w:val="case0"/>
          <w:i/>
        </w:rPr>
        <w:t>John Fairfax &amp; Sons Ltd v Police Tribunal of New South Wales</w:t>
      </w:r>
      <w:r w:rsidR="00AF1718">
        <w:rPr>
          <w:rStyle w:val="case0"/>
          <w:rFonts w:hint="eastAsia"/>
          <w:i/>
        </w:rPr>
        <w:t xml:space="preserve"> </w:t>
      </w:r>
      <w:r w:rsidRPr="00013153">
        <w:rPr>
          <w:rStyle w:val="case0"/>
        </w:rPr>
        <w:t>(1986) 5 NSWLR 465, at 477.</w:t>
      </w:r>
    </w:p>
  </w:footnote>
  <w:footnote w:id="35">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AF1718">
        <w:t>;</w:t>
      </w:r>
      <w:r w:rsidRPr="00013153">
        <w:t xml:space="preserve"> page 216 B-C, paragraph 65.</w:t>
      </w:r>
    </w:p>
  </w:footnote>
  <w:footnote w:id="36">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AF1718">
        <w:t>;</w:t>
      </w:r>
      <w:r w:rsidRPr="00013153">
        <w:t xml:space="preserve"> page 215 E-F, paragraph 67.</w:t>
      </w:r>
    </w:p>
  </w:footnote>
  <w:footnote w:id="37">
    <w:p w:rsidR="00FF5444" w:rsidRPr="00013153" w:rsidRDefault="00FF5444" w:rsidP="00AF1718">
      <w:pPr>
        <w:keepNext/>
        <w:keepLines/>
        <w:tabs>
          <w:tab w:val="left" w:pos="360"/>
        </w:tabs>
        <w:autoSpaceDE w:val="0"/>
        <w:autoSpaceDN w:val="0"/>
        <w:adjustRightInd w:val="0"/>
        <w:spacing w:before="120"/>
        <w:ind w:left="360" w:hanging="360"/>
        <w:jc w:val="both"/>
        <w:rPr>
          <w:rFonts w:ascii="Times-Roman" w:hAnsi="Times-Roman" w:cs="Times-Roman"/>
          <w:sz w:val="20"/>
        </w:rPr>
      </w:pPr>
      <w:r w:rsidRPr="00013153">
        <w:rPr>
          <w:rStyle w:val="FootnoteReference"/>
          <w:sz w:val="20"/>
        </w:rPr>
        <w:footnoteRef/>
      </w:r>
      <w:r w:rsidRPr="00013153">
        <w:rPr>
          <w:sz w:val="20"/>
        </w:rPr>
        <w:t xml:space="preserve"> </w:t>
      </w:r>
      <w:r>
        <w:rPr>
          <w:sz w:val="20"/>
        </w:rPr>
        <w:tab/>
      </w:r>
      <w:r w:rsidRPr="00013153">
        <w:rPr>
          <w:rFonts w:ascii="Times-Italic" w:hAnsi="Times-Italic" w:cs="Times-Italic"/>
          <w:i/>
          <w:iCs/>
          <w:sz w:val="20"/>
        </w:rPr>
        <w:t xml:space="preserve">(a) </w:t>
      </w:r>
      <w:r w:rsidRPr="00013153">
        <w:rPr>
          <w:rFonts w:ascii="Times-Roman" w:hAnsi="Times-Roman" w:cs="Times-Roman"/>
          <w:sz w:val="20"/>
        </w:rPr>
        <w:t>the right of the individual to life, liberty, security</w:t>
      </w:r>
      <w:r>
        <w:rPr>
          <w:rFonts w:ascii="Times-Roman" w:hAnsi="Times-Roman" w:cs="Times-Roman"/>
          <w:sz w:val="20"/>
        </w:rPr>
        <w:t xml:space="preserve"> </w:t>
      </w:r>
      <w:r w:rsidRPr="00013153">
        <w:rPr>
          <w:rFonts w:ascii="Times-Roman" w:hAnsi="Times-Roman" w:cs="Times-Roman"/>
          <w:sz w:val="20"/>
        </w:rPr>
        <w:t>of the person and enjoyment of property and the</w:t>
      </w:r>
      <w:r>
        <w:rPr>
          <w:rFonts w:ascii="Times-Roman" w:hAnsi="Times-Roman" w:cs="Times-Roman"/>
          <w:sz w:val="20"/>
        </w:rPr>
        <w:t xml:space="preserve"> </w:t>
      </w:r>
      <w:r w:rsidRPr="00013153">
        <w:rPr>
          <w:rFonts w:ascii="Times-Roman" w:hAnsi="Times-Roman" w:cs="Times-Roman"/>
          <w:sz w:val="20"/>
        </w:rPr>
        <w:t>right not to be deprived thereof except by due</w:t>
      </w:r>
      <w:r>
        <w:rPr>
          <w:rFonts w:ascii="Times-Roman" w:hAnsi="Times-Roman" w:cs="Times-Roman"/>
          <w:sz w:val="20"/>
        </w:rPr>
        <w:t xml:space="preserve"> </w:t>
      </w:r>
      <w:r w:rsidRPr="00013153">
        <w:rPr>
          <w:rFonts w:ascii="Times-Roman" w:hAnsi="Times-Roman" w:cs="Times-Roman"/>
          <w:sz w:val="20"/>
        </w:rPr>
        <w:t>process of law;</w:t>
      </w:r>
    </w:p>
    <w:p w:rsidR="00FF5444" w:rsidRPr="00013153" w:rsidRDefault="00FF5444" w:rsidP="00AF1718">
      <w:pPr>
        <w:keepNext/>
        <w:keepLines/>
        <w:tabs>
          <w:tab w:val="clear" w:pos="4320"/>
          <w:tab w:val="clear" w:pos="9072"/>
          <w:tab w:val="left" w:pos="360"/>
        </w:tabs>
        <w:autoSpaceDE w:val="0"/>
        <w:autoSpaceDN w:val="0"/>
        <w:adjustRightInd w:val="0"/>
        <w:spacing w:before="120"/>
        <w:ind w:left="360" w:hanging="360"/>
        <w:jc w:val="both"/>
        <w:rPr>
          <w:sz w:val="20"/>
        </w:rPr>
      </w:pPr>
      <w:r>
        <w:rPr>
          <w:rFonts w:ascii="Times-Italic" w:hAnsi="Times-Italic" w:cs="Times-Italic"/>
          <w:i/>
          <w:iCs/>
          <w:sz w:val="20"/>
        </w:rPr>
        <w:tab/>
      </w:r>
      <w:r w:rsidRPr="00013153">
        <w:rPr>
          <w:rFonts w:ascii="Times-Italic" w:hAnsi="Times-Italic" w:cs="Times-Italic"/>
          <w:i/>
          <w:iCs/>
          <w:sz w:val="20"/>
        </w:rPr>
        <w:t xml:space="preserve">(b) </w:t>
      </w:r>
      <w:r w:rsidRPr="00013153">
        <w:rPr>
          <w:rFonts w:ascii="Times-Roman" w:hAnsi="Times-Roman" w:cs="Times-Roman"/>
          <w:sz w:val="20"/>
        </w:rPr>
        <w:t>the right of the individual to equality before the</w:t>
      </w:r>
      <w:r>
        <w:rPr>
          <w:rFonts w:ascii="Times-Roman" w:hAnsi="Times-Roman" w:cs="Times-Roman"/>
          <w:sz w:val="20"/>
        </w:rPr>
        <w:t xml:space="preserve"> </w:t>
      </w:r>
      <w:r w:rsidRPr="00013153">
        <w:rPr>
          <w:rFonts w:ascii="Times-Roman" w:hAnsi="Times-Roman" w:cs="Times-Roman"/>
          <w:sz w:val="20"/>
        </w:rPr>
        <w:t>law and the protection of the law;</w:t>
      </w:r>
    </w:p>
  </w:footnote>
  <w:footnote w:id="38">
    <w:p w:rsidR="00FF5444" w:rsidRPr="00013153" w:rsidRDefault="00FF5444" w:rsidP="00B00AA8">
      <w:pPr>
        <w:tabs>
          <w:tab w:val="left" w:pos="360"/>
        </w:tabs>
        <w:autoSpaceDE w:val="0"/>
        <w:autoSpaceDN w:val="0"/>
        <w:adjustRightInd w:val="0"/>
        <w:spacing w:before="120"/>
        <w:ind w:left="360" w:hanging="360"/>
        <w:jc w:val="both"/>
        <w:rPr>
          <w:rFonts w:ascii="Times-Roman" w:hAnsi="Times-Roman" w:cs="Times-Roman"/>
          <w:sz w:val="20"/>
        </w:rPr>
      </w:pPr>
      <w:r w:rsidRPr="00013153">
        <w:rPr>
          <w:rStyle w:val="FootnoteReference"/>
          <w:sz w:val="20"/>
        </w:rPr>
        <w:footnoteRef/>
      </w:r>
      <w:r w:rsidRPr="00013153">
        <w:rPr>
          <w:sz w:val="20"/>
        </w:rPr>
        <w:t xml:space="preserve">  </w:t>
      </w:r>
      <w:r>
        <w:rPr>
          <w:sz w:val="20"/>
        </w:rPr>
        <w:tab/>
      </w:r>
      <w:r w:rsidRPr="00013153">
        <w:rPr>
          <w:sz w:val="20"/>
        </w:rPr>
        <w:t>(</w:t>
      </w:r>
      <w:r w:rsidRPr="00013153">
        <w:rPr>
          <w:rFonts w:ascii="Times-Italic" w:hAnsi="Times-Italic" w:cs="Times-Italic"/>
          <w:iCs/>
          <w:sz w:val="20"/>
        </w:rPr>
        <w:t xml:space="preserve">e) </w:t>
      </w:r>
      <w:r w:rsidRPr="00013153">
        <w:rPr>
          <w:rFonts w:ascii="Times-Roman" w:hAnsi="Times-Roman" w:cs="Times-Roman"/>
          <w:sz w:val="20"/>
        </w:rPr>
        <w:t>deprive a person of the right to a fair hearing in accordance with the principles of fundamental justice for the determination of his rights and obligations;</w:t>
      </w:r>
    </w:p>
    <w:p w:rsidR="00FF5444" w:rsidRPr="00013153" w:rsidRDefault="00FF5444" w:rsidP="00B00AA8">
      <w:pPr>
        <w:tabs>
          <w:tab w:val="left" w:pos="360"/>
        </w:tabs>
        <w:autoSpaceDE w:val="0"/>
        <w:autoSpaceDN w:val="0"/>
        <w:adjustRightInd w:val="0"/>
        <w:spacing w:before="120"/>
        <w:ind w:left="360" w:hanging="360"/>
        <w:jc w:val="both"/>
        <w:rPr>
          <w:rFonts w:ascii="Times-Roman" w:hAnsi="Times-Roman" w:cs="Times-Roman"/>
          <w:sz w:val="20"/>
        </w:rPr>
      </w:pPr>
      <w:r w:rsidRPr="00013153">
        <w:rPr>
          <w:rFonts w:ascii="Times-Roman" w:hAnsi="Times-Roman" w:cs="Times-Roman"/>
          <w:sz w:val="20"/>
        </w:rPr>
        <w:t xml:space="preserve">    (f) </w:t>
      </w:r>
    </w:p>
    <w:p w:rsidR="00FF5444" w:rsidRPr="00013153" w:rsidRDefault="00FF5444" w:rsidP="00C414C9">
      <w:pPr>
        <w:tabs>
          <w:tab w:val="clear" w:pos="4320"/>
          <w:tab w:val="clear" w:pos="9072"/>
          <w:tab w:val="left" w:pos="900"/>
        </w:tabs>
        <w:autoSpaceDE w:val="0"/>
        <w:autoSpaceDN w:val="0"/>
        <w:adjustRightInd w:val="0"/>
        <w:spacing w:before="120"/>
        <w:ind w:left="990" w:hanging="90"/>
        <w:jc w:val="both"/>
        <w:rPr>
          <w:rFonts w:ascii="Times-Roman" w:hAnsi="Times-Roman" w:cs="Times-Roman"/>
          <w:sz w:val="20"/>
        </w:rPr>
      </w:pPr>
      <w:r>
        <w:rPr>
          <w:rFonts w:ascii="Times-Roman" w:hAnsi="Times-Roman" w:cs="Times-Roman"/>
          <w:sz w:val="20"/>
        </w:rPr>
        <w:t xml:space="preserve"> </w:t>
      </w:r>
      <w:r w:rsidRPr="00013153">
        <w:rPr>
          <w:rFonts w:ascii="Times-Roman" w:hAnsi="Times-Roman" w:cs="Times-Roman"/>
          <w:sz w:val="20"/>
        </w:rPr>
        <w:t xml:space="preserve">(ii) </w:t>
      </w:r>
      <w:proofErr w:type="gramStart"/>
      <w:r w:rsidRPr="00013153">
        <w:rPr>
          <w:rFonts w:ascii="Times-Roman" w:hAnsi="Times-Roman" w:cs="Times-Roman"/>
          <w:sz w:val="20"/>
        </w:rPr>
        <w:t>to</w:t>
      </w:r>
      <w:proofErr w:type="gramEnd"/>
      <w:r w:rsidRPr="00013153">
        <w:rPr>
          <w:rFonts w:ascii="Times-Roman" w:hAnsi="Times-Roman" w:cs="Times-Roman"/>
          <w:sz w:val="20"/>
        </w:rPr>
        <w:t xml:space="preserve"> a fair and public hearing by an independent and impartial tribunal</w:t>
      </w:r>
      <w:r>
        <w:rPr>
          <w:rFonts w:ascii="Times-Roman" w:hAnsi="Times-Roman" w:cs="Times-Roman"/>
          <w:sz w:val="20"/>
        </w:rPr>
        <w:t xml:space="preserve"> </w:t>
      </w:r>
      <w:r w:rsidRPr="00013153">
        <w:rPr>
          <w:rFonts w:ascii="Times-Roman" w:hAnsi="Times-Roman" w:cs="Times-Roman"/>
          <w:sz w:val="20"/>
        </w:rPr>
        <w:t>giving effect and protection to the aforesaid</w:t>
      </w:r>
      <w:r>
        <w:rPr>
          <w:rFonts w:ascii="Times-Roman" w:hAnsi="Times-Roman" w:cs="Times-Roman"/>
          <w:sz w:val="20"/>
        </w:rPr>
        <w:t xml:space="preserve"> </w:t>
      </w:r>
      <w:r w:rsidRPr="00013153">
        <w:rPr>
          <w:rFonts w:ascii="Times-Roman" w:hAnsi="Times-Roman" w:cs="Times-Roman"/>
          <w:sz w:val="20"/>
        </w:rPr>
        <w:t>rights and freedoms.</w:t>
      </w:r>
    </w:p>
  </w:footnote>
  <w:footnote w:id="39">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C414C9">
        <w:t>;</w:t>
      </w:r>
      <w:r w:rsidRPr="00013153">
        <w:t xml:space="preserve"> page 215 G-H, paragraph 68.</w:t>
      </w:r>
    </w:p>
  </w:footnote>
  <w:footnote w:id="40">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rStyle w:val="case0"/>
          <w:i/>
        </w:rPr>
        <w:t>Attorney General v Leveller Magazine Ltd</w:t>
      </w:r>
      <w:r w:rsidRPr="00013153">
        <w:rPr>
          <w:rStyle w:val="case0"/>
        </w:rPr>
        <w:t xml:space="preserve"> [1979] AC 440.</w:t>
      </w:r>
    </w:p>
  </w:footnote>
  <w:footnote w:id="41">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Independent Publishing Company Ltd v A-G of Trinidad and Tobago and</w:t>
      </w:r>
      <w:r w:rsidRPr="00013153">
        <w:t xml:space="preserve"> </w:t>
      </w:r>
      <w:r w:rsidRPr="00013153">
        <w:rPr>
          <w:i/>
        </w:rPr>
        <w:t>Another</w:t>
      </w:r>
      <w:r w:rsidRPr="00C414C9">
        <w:t xml:space="preserve">; </w:t>
      </w:r>
      <w:r w:rsidR="00AF1718">
        <w:t>page</w:t>
      </w:r>
      <w:r w:rsidR="00AF1718">
        <w:rPr>
          <w:lang w:val="en-US"/>
        </w:rPr>
        <w:t> </w:t>
      </w:r>
      <w:r w:rsidRPr="00013153">
        <w:t>210-211B, paragraph 42.</w:t>
      </w:r>
    </w:p>
  </w:footnote>
  <w:footnote w:id="42">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t>Law Reform Commission of Hong Kong-Report on Conte</w:t>
      </w:r>
      <w:r>
        <w:t>mpt of Court; page 22, Chapter </w:t>
      </w:r>
      <w:r w:rsidRPr="00013153">
        <w:t>5.45.</w:t>
      </w:r>
      <w:proofErr w:type="gramEnd"/>
    </w:p>
  </w:footnote>
  <w:footnote w:id="43">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i/>
        </w:rPr>
        <w:t>Attorney General’s Reference (No 3 1999) Re British Broadcasting Corporation</w:t>
      </w:r>
      <w:r w:rsidRPr="00013153">
        <w:t xml:space="preserve"> [2010] 1</w:t>
      </w:r>
      <w:r>
        <w:t xml:space="preserve"> </w:t>
      </w:r>
      <w:r w:rsidRPr="00013153">
        <w:t>AC 145; [2010] 1 All ER 235.</w:t>
      </w:r>
      <w:proofErr w:type="gramEnd"/>
    </w:p>
  </w:footnote>
  <w:footnote w:id="44">
    <w:p w:rsidR="00FF5444" w:rsidRPr="00013153" w:rsidRDefault="00FF5444" w:rsidP="00B00AA8">
      <w:pPr>
        <w:pStyle w:val="FootnoteText"/>
        <w:tabs>
          <w:tab w:val="left" w:pos="360"/>
        </w:tabs>
        <w:snapToGrid w:val="0"/>
        <w:spacing w:before="120" w:after="0" w:line="240" w:lineRule="auto"/>
        <w:ind w:left="360" w:hanging="360"/>
        <w:jc w:val="both"/>
        <w:rPr>
          <w:i/>
        </w:rPr>
      </w:pPr>
      <w:r w:rsidRPr="00013153">
        <w:rPr>
          <w:rStyle w:val="FootnoteReference"/>
        </w:rPr>
        <w:footnoteRef/>
      </w:r>
      <w:r w:rsidRPr="00013153">
        <w:t xml:space="preserve"> </w:t>
      </w:r>
      <w:r>
        <w:tab/>
      </w:r>
      <w:r w:rsidRPr="00013153">
        <w:rPr>
          <w:i/>
        </w:rPr>
        <w:t>Attorney General’s Reference (No 3 1999) Re British Broadcasting Corporation</w:t>
      </w:r>
      <w:r w:rsidRPr="00013153">
        <w:t>; page 252 b-c, paragraph 52</w:t>
      </w:r>
      <w:r w:rsidRPr="00013153">
        <w:rPr>
          <w:i/>
        </w:rPr>
        <w:t>.</w:t>
      </w:r>
    </w:p>
  </w:footnote>
  <w:footnote w:id="45">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i/>
        </w:rPr>
        <w:t>Attorney General’s Reference (No 3 1999) Re British Broadcasting Corporation</w:t>
      </w:r>
      <w:r w:rsidR="0028751C">
        <w:t>; page</w:t>
      </w:r>
      <w:r w:rsidR="0028751C">
        <w:rPr>
          <w:lang w:val="en-US"/>
        </w:rPr>
        <w:t> </w:t>
      </w:r>
      <w:r w:rsidRPr="00013153">
        <w:t>251</w:t>
      </w:r>
      <w:r w:rsidR="0028751C">
        <w:rPr>
          <w:lang w:val="en-US"/>
        </w:rPr>
        <w:t> </w:t>
      </w:r>
      <w:r w:rsidRPr="00013153">
        <w:t>j</w:t>
      </w:r>
      <w:r w:rsidR="0028751C">
        <w:rPr>
          <w:lang w:val="en-US"/>
        </w:rPr>
        <w:t> </w:t>
      </w:r>
      <w:r w:rsidRPr="00013153">
        <w:t>-</w:t>
      </w:r>
      <w:r w:rsidR="0028751C">
        <w:rPr>
          <w:lang w:val="en-US"/>
        </w:rPr>
        <w:t> </w:t>
      </w:r>
      <w:r w:rsidRPr="00013153">
        <w:t>252</w:t>
      </w:r>
      <w:r w:rsidR="0028751C">
        <w:rPr>
          <w:lang w:val="en-US"/>
        </w:rPr>
        <w:t> </w:t>
      </w:r>
      <w:r w:rsidRPr="00013153">
        <w:t>b, paragraph 51.</w:t>
      </w:r>
      <w:proofErr w:type="gramEnd"/>
    </w:p>
  </w:footnote>
  <w:footnote w:id="46">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Attorney General’s Reference (No 3 1999)</w:t>
      </w:r>
      <w:r w:rsidRPr="00013153">
        <w:t>; pages 253-4, paragraph 54.</w:t>
      </w:r>
    </w:p>
  </w:footnote>
  <w:footnote w:id="47">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Re S (a child) (identification: restrictions on publication)</w:t>
      </w:r>
      <w:r w:rsidRPr="00013153">
        <w:t xml:space="preserve"> [2005]</w:t>
      </w:r>
      <w:r>
        <w:t xml:space="preserve"> </w:t>
      </w:r>
      <w:r w:rsidRPr="00013153">
        <w:t>1 AC 593, paragraph 23.</w:t>
      </w:r>
    </w:p>
  </w:footnote>
  <w:footnote w:id="48">
    <w:p w:rsidR="00FF5444" w:rsidRPr="008A3982" w:rsidRDefault="00FF5444" w:rsidP="00B00AA8">
      <w:pPr>
        <w:pStyle w:val="FootnoteText"/>
        <w:tabs>
          <w:tab w:val="left" w:pos="360"/>
        </w:tabs>
        <w:snapToGrid w:val="0"/>
        <w:spacing w:before="120" w:after="0" w:line="240" w:lineRule="auto"/>
        <w:ind w:left="360" w:hanging="360"/>
        <w:jc w:val="both"/>
        <w:rPr>
          <w:u w:val="dottedHeavy"/>
        </w:rPr>
      </w:pPr>
      <w:r w:rsidRPr="00013153">
        <w:rPr>
          <w:rStyle w:val="FootnoteReference"/>
        </w:rPr>
        <w:footnoteRef/>
      </w:r>
      <w:r w:rsidRPr="00013153">
        <w:t xml:space="preserve"> </w:t>
      </w:r>
      <w:r>
        <w:tab/>
      </w:r>
      <w:r>
        <w:rPr>
          <w:i/>
        </w:rPr>
        <w:t>Sloan v B</w:t>
      </w:r>
      <w:r>
        <w:t xml:space="preserve"> 1991 SC 412 Ct of Sess</w:t>
      </w:r>
      <w:r w:rsidR="00976580">
        <w:rPr>
          <w:rFonts w:hint="eastAsia"/>
        </w:rPr>
        <w:t>.</w:t>
      </w:r>
    </w:p>
  </w:footnote>
  <w:footnote w:id="49">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i/>
        </w:rPr>
        <w:t>A v British Broadcasting Corporation</w:t>
      </w:r>
      <w:r w:rsidRPr="00C414C9">
        <w:t xml:space="preserve">; </w:t>
      </w:r>
      <w:r w:rsidRPr="00013153">
        <w:t>page 603 C</w:t>
      </w:r>
      <w:r>
        <w:t xml:space="preserve"> </w:t>
      </w:r>
      <w:r w:rsidRPr="00013153">
        <w:t>-</w:t>
      </w:r>
      <w:r>
        <w:t xml:space="preserve"> </w:t>
      </w:r>
      <w:r w:rsidRPr="00013153">
        <w:t>605 B, paragraphs 34-9.</w:t>
      </w:r>
      <w:proofErr w:type="gramEnd"/>
    </w:p>
  </w:footnote>
  <w:footnote w:id="50">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Scottish Lion Insurance Company Ltd v Goodrich Corporation</w:t>
      </w:r>
      <w:r w:rsidRPr="00013153">
        <w:t xml:space="preserve"> 2011 SC 534.</w:t>
      </w:r>
    </w:p>
  </w:footnote>
  <w:footnote w:id="51">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tab/>
      </w:r>
      <w:r w:rsidRPr="00013153">
        <w:rPr>
          <w:i/>
        </w:rPr>
        <w:t>A v Scottish Ministers</w:t>
      </w:r>
      <w:r w:rsidRPr="00013153">
        <w:t xml:space="preserve"> 2008 SLT 412.</w:t>
      </w:r>
    </w:p>
  </w:footnote>
  <w:footnote w:id="52">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tab/>
      </w:r>
      <w:r w:rsidRPr="00013153">
        <w:rPr>
          <w:i/>
        </w:rPr>
        <w:t>HM Advocate v M</w:t>
      </w:r>
      <w:r w:rsidRPr="00013153">
        <w:t xml:space="preserve"> 2007 SLT 462.</w:t>
      </w:r>
    </w:p>
  </w:footnote>
  <w:footnote w:id="53">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tab/>
      </w:r>
      <w:r w:rsidRPr="00013153">
        <w:rPr>
          <w:i/>
        </w:rPr>
        <w:t>A v British Broadcasting Corporation</w:t>
      </w:r>
      <w:r w:rsidRPr="00013153">
        <w:t>; page 605 B-C, paragraph 40.</w:t>
      </w:r>
    </w:p>
  </w:footnote>
  <w:footnote w:id="54">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A v British Broadcasting Corporation</w:t>
      </w:r>
      <w:r w:rsidRPr="00B02A6A">
        <w:t>;</w:t>
      </w:r>
      <w:r>
        <w:t xml:space="preserve"> page 606 </w:t>
      </w:r>
      <w:r w:rsidR="00976580">
        <w:t>A-</w:t>
      </w:r>
      <w:r w:rsidRPr="00013153">
        <w:t>B, paragraph 42.</w:t>
      </w:r>
    </w:p>
  </w:footnote>
  <w:footnote w:id="55">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A v British Broadcasting Corporation</w:t>
      </w:r>
      <w:r w:rsidRPr="00F21626">
        <w:t>;</w:t>
      </w:r>
      <w:r>
        <w:t xml:space="preserve"> page 606</w:t>
      </w:r>
      <w:r w:rsidRPr="00013153">
        <w:t xml:space="preserve"> C-D, paragraph 43.</w:t>
      </w:r>
    </w:p>
  </w:footnote>
  <w:footnote w:id="56">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A v British Broadcasting Corporation</w:t>
      </w:r>
      <w:r w:rsidRPr="00C414C9">
        <w:t xml:space="preserve">; </w:t>
      </w:r>
      <w:r>
        <w:t xml:space="preserve">page 607 </w:t>
      </w:r>
      <w:r w:rsidRPr="00013153">
        <w:t>G-H, paragraph 48.</w:t>
      </w:r>
    </w:p>
  </w:footnote>
  <w:footnote w:id="57">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A v British Broadcasting Corporation;</w:t>
      </w:r>
      <w:r>
        <w:t xml:space="preserve"> page 607 </w:t>
      </w:r>
      <w:r w:rsidRPr="00013153">
        <w:t>G-H, paragraph 49.</w:t>
      </w:r>
    </w:p>
  </w:footnote>
  <w:footnote w:id="58">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proofErr w:type="gramStart"/>
      <w:r w:rsidRPr="00013153">
        <w:t>Magrath</w:t>
      </w:r>
      <w:proofErr w:type="spellEnd"/>
      <w:r w:rsidRPr="00013153">
        <w:t xml:space="preserve">, William Young and </w:t>
      </w:r>
      <w:proofErr w:type="spellStart"/>
      <w:r w:rsidRPr="00013153">
        <w:t>Glazebrook</w:t>
      </w:r>
      <w:proofErr w:type="spellEnd"/>
      <w:r w:rsidRPr="00013153">
        <w:t xml:space="preserve"> JJ.</w:t>
      </w:r>
      <w:proofErr w:type="gramEnd"/>
    </w:p>
  </w:footnote>
  <w:footnote w:id="59">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r w:rsidRPr="00013153">
        <w:rPr>
          <w:i/>
        </w:rPr>
        <w:t>Seimer</w:t>
      </w:r>
      <w:proofErr w:type="spellEnd"/>
      <w:r w:rsidRPr="00013153">
        <w:rPr>
          <w:i/>
        </w:rPr>
        <w:t xml:space="preserve"> v Solicitor General</w:t>
      </w:r>
      <w:r w:rsidRPr="0046553C">
        <w:t xml:space="preserve">; </w:t>
      </w:r>
      <w:r w:rsidRPr="00013153">
        <w:t>page 228, paragraph 110.</w:t>
      </w:r>
      <w:r w:rsidRPr="00013153">
        <w:rPr>
          <w:i/>
        </w:rPr>
        <w:t xml:space="preserve">  </w:t>
      </w:r>
    </w:p>
  </w:footnote>
  <w:footnote w:id="60">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C414C9">
        <w:rPr>
          <w:i/>
        </w:rPr>
        <w:t>Taylor v A-G</w:t>
      </w:r>
      <w:r w:rsidRPr="00013153">
        <w:t xml:space="preserve"> [1975] 2 NZLR 675.</w:t>
      </w:r>
      <w:proofErr w:type="gramEnd"/>
    </w:p>
  </w:footnote>
  <w:footnote w:id="61">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i/>
        </w:rPr>
        <w:t>Broadcasting Corporation of New Zealand v Attorney-General</w:t>
      </w:r>
      <w:r w:rsidRPr="00013153">
        <w:t xml:space="preserve"> [1982] 1 NZLR 120 (CA).</w:t>
      </w:r>
      <w:proofErr w:type="gramEnd"/>
    </w:p>
  </w:footnote>
  <w:footnote w:id="62">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R v Clement</w:t>
      </w:r>
      <w:r w:rsidRPr="00013153">
        <w:t xml:space="preserve"> (1821) 4 B &amp; </w:t>
      </w:r>
      <w:proofErr w:type="spellStart"/>
      <w:r w:rsidRPr="00013153">
        <w:t>Ald</w:t>
      </w:r>
      <w:proofErr w:type="spellEnd"/>
      <w:r w:rsidRPr="00013153">
        <w:t xml:space="preserve"> 218, 106 ER 918 (KB).   </w:t>
      </w:r>
    </w:p>
  </w:footnote>
  <w:footnote w:id="63">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R v Clement</w:t>
      </w:r>
      <w:r w:rsidRPr="00013153">
        <w:t xml:space="preserve"> (1822) 11 Price 68, 147 ER 404 (</w:t>
      </w:r>
      <w:proofErr w:type="spellStart"/>
      <w:r w:rsidRPr="00013153">
        <w:t>Exch</w:t>
      </w:r>
      <w:proofErr w:type="spellEnd"/>
      <w:r w:rsidRPr="00013153">
        <w:t>).</w:t>
      </w:r>
    </w:p>
  </w:footnote>
  <w:footnote w:id="64">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proofErr w:type="gramStart"/>
      <w:r w:rsidRPr="00013153">
        <w:rPr>
          <w:i/>
        </w:rPr>
        <w:t>Seimer</w:t>
      </w:r>
      <w:proofErr w:type="spellEnd"/>
      <w:r w:rsidRPr="00013153">
        <w:rPr>
          <w:i/>
        </w:rPr>
        <w:t xml:space="preserve"> v Solicitor General</w:t>
      </w:r>
      <w:r w:rsidRPr="0046553C">
        <w:t xml:space="preserve">; </w:t>
      </w:r>
      <w:r w:rsidRPr="00013153">
        <w:t>page 230, paragraphs 115-6.</w:t>
      </w:r>
      <w:proofErr w:type="gramEnd"/>
      <w:r w:rsidRPr="00013153">
        <w:rPr>
          <w:i/>
        </w:rPr>
        <w:t xml:space="preserve">  </w:t>
      </w:r>
    </w:p>
  </w:footnote>
  <w:footnote w:id="65">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t xml:space="preserve">It is set out in </w:t>
      </w:r>
      <w:proofErr w:type="spellStart"/>
      <w:r w:rsidRPr="00013153">
        <w:rPr>
          <w:i/>
        </w:rPr>
        <w:t>In</w:t>
      </w:r>
      <w:proofErr w:type="spellEnd"/>
      <w:r w:rsidRPr="00013153">
        <w:rPr>
          <w:i/>
        </w:rPr>
        <w:t xml:space="preserve"> Re Clement</w:t>
      </w:r>
      <w:r w:rsidRPr="00013153">
        <w:t xml:space="preserve">, above n </w:t>
      </w:r>
      <w:fldSimple w:instr=" NOTEREF _Ref357670850 \h  \* MERGEFORMAT ">
        <w:r w:rsidR="00554B53">
          <w:t>62</w:t>
        </w:r>
      </w:fldSimple>
      <w:r w:rsidRPr="00013153">
        <w:t xml:space="preserve">, at 404–405.  </w:t>
      </w:r>
    </w:p>
  </w:footnote>
  <w:footnote w:id="66">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t xml:space="preserve">David </w:t>
      </w:r>
      <w:proofErr w:type="spellStart"/>
      <w:r w:rsidRPr="00013153">
        <w:t>Eady</w:t>
      </w:r>
      <w:proofErr w:type="spellEnd"/>
      <w:r w:rsidRPr="00013153">
        <w:t xml:space="preserve"> and ATH Smith (</w:t>
      </w:r>
      <w:proofErr w:type="spellStart"/>
      <w:proofErr w:type="gramStart"/>
      <w:r w:rsidRPr="00013153">
        <w:t>eds</w:t>
      </w:r>
      <w:proofErr w:type="spellEnd"/>
      <w:proofErr w:type="gramEnd"/>
      <w:r w:rsidRPr="00013153">
        <w:t xml:space="preserve">) </w:t>
      </w:r>
      <w:proofErr w:type="spellStart"/>
      <w:r w:rsidRPr="00013153">
        <w:rPr>
          <w:i/>
        </w:rPr>
        <w:t>Arlidge</w:t>
      </w:r>
      <w:proofErr w:type="spellEnd"/>
      <w:r w:rsidRPr="00013153">
        <w:rPr>
          <w:i/>
        </w:rPr>
        <w:t xml:space="preserve">, </w:t>
      </w:r>
      <w:proofErr w:type="spellStart"/>
      <w:r w:rsidRPr="00013153">
        <w:rPr>
          <w:i/>
        </w:rPr>
        <w:t>Eady</w:t>
      </w:r>
      <w:proofErr w:type="spellEnd"/>
      <w:r w:rsidRPr="00013153">
        <w:rPr>
          <w:i/>
        </w:rPr>
        <w:t xml:space="preserve"> and Smith on Contempt</w:t>
      </w:r>
      <w:r w:rsidRPr="00013153">
        <w:t xml:space="preserve"> (4th </w:t>
      </w:r>
      <w:proofErr w:type="spellStart"/>
      <w:r w:rsidRPr="00013153">
        <w:t>ed</w:t>
      </w:r>
      <w:proofErr w:type="spellEnd"/>
      <w:r w:rsidRPr="00013153">
        <w:t>, Sweet and Maxwell, London, 2011) at [7-99].</w:t>
      </w:r>
    </w:p>
  </w:footnote>
  <w:footnote w:id="67">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rFonts w:eastAsia="Times New Roman"/>
          <w:i/>
          <w:lang w:val="en-NZ"/>
        </w:rPr>
        <w:t xml:space="preserve">Taylor v Attorney General </w:t>
      </w:r>
      <w:r w:rsidRPr="00013153">
        <w:rPr>
          <w:rFonts w:eastAsia="Times New Roman"/>
          <w:lang w:val="en-NZ"/>
        </w:rPr>
        <w:t>[1975] 2 NZLR 675.</w:t>
      </w:r>
      <w:proofErr w:type="gramEnd"/>
    </w:p>
  </w:footnote>
  <w:footnote w:id="68">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rFonts w:eastAsia="Times New Roman"/>
          <w:i/>
          <w:lang w:val="en-NZ"/>
        </w:rPr>
        <w:t>Broadcasting</w:t>
      </w:r>
      <w:r w:rsidRPr="00013153">
        <w:rPr>
          <w:rFonts w:eastAsia="Times New Roman"/>
          <w:lang w:val="en-NZ"/>
        </w:rPr>
        <w:t xml:space="preserve"> </w:t>
      </w:r>
      <w:r w:rsidRPr="00013153">
        <w:rPr>
          <w:rFonts w:eastAsia="Times New Roman"/>
          <w:i/>
          <w:lang w:val="en-NZ"/>
        </w:rPr>
        <w:t>Corporation of New Zealand v Attorney General</w:t>
      </w:r>
      <w:r w:rsidRPr="00013153">
        <w:rPr>
          <w:rFonts w:eastAsia="Times New Roman"/>
          <w:lang w:val="en-NZ"/>
        </w:rPr>
        <w:t xml:space="preserve"> [1982] 1 NZLR 120.</w:t>
      </w:r>
      <w:proofErr w:type="gramEnd"/>
    </w:p>
  </w:footnote>
  <w:footnote w:id="69">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rFonts w:eastAsia="Times New Roman"/>
          <w:i/>
          <w:lang w:val="en-NZ"/>
        </w:rPr>
        <w:t>Attorney General v Leveller Magazine</w:t>
      </w:r>
      <w:r>
        <w:rPr>
          <w:rFonts w:eastAsia="Times New Roman"/>
          <w:lang w:val="en-NZ"/>
        </w:rPr>
        <w:t xml:space="preserve"> </w:t>
      </w:r>
      <w:r w:rsidRPr="00013153">
        <w:rPr>
          <w:rFonts w:eastAsia="Times New Roman"/>
          <w:lang w:val="en-NZ"/>
        </w:rPr>
        <w:t>[1979] 1</w:t>
      </w:r>
      <w:r>
        <w:rPr>
          <w:rFonts w:eastAsia="Times New Roman"/>
          <w:lang w:val="en-NZ"/>
        </w:rPr>
        <w:t xml:space="preserve"> </w:t>
      </w:r>
      <w:r w:rsidRPr="00013153">
        <w:rPr>
          <w:rFonts w:eastAsia="Times New Roman"/>
          <w:lang w:val="en-NZ"/>
        </w:rPr>
        <w:t>AC 440.</w:t>
      </w:r>
      <w:proofErr w:type="gramEnd"/>
    </w:p>
  </w:footnote>
  <w:footnote w:id="70">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r w:rsidRPr="00013153">
        <w:rPr>
          <w:i/>
        </w:rPr>
        <w:t>Seimer</w:t>
      </w:r>
      <w:proofErr w:type="spellEnd"/>
      <w:r w:rsidRPr="00013153">
        <w:rPr>
          <w:i/>
        </w:rPr>
        <w:t xml:space="preserve"> v Solicitor General</w:t>
      </w:r>
      <w:r w:rsidRPr="00C414C9">
        <w:t>;</w:t>
      </w:r>
      <w:r w:rsidRPr="00013153">
        <w:t xml:space="preserve"> page 245, paragraph 164.</w:t>
      </w:r>
    </w:p>
  </w:footnote>
  <w:footnote w:id="71">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r w:rsidRPr="00013153">
        <w:rPr>
          <w:i/>
        </w:rPr>
        <w:t>Seimer</w:t>
      </w:r>
      <w:proofErr w:type="spellEnd"/>
      <w:r w:rsidRPr="00013153">
        <w:rPr>
          <w:i/>
        </w:rPr>
        <w:t xml:space="preserve"> v Solicitor General</w:t>
      </w:r>
      <w:r w:rsidRPr="00C414C9">
        <w:t xml:space="preserve">; </w:t>
      </w:r>
      <w:r w:rsidRPr="00013153">
        <w:t>page 245, paragraph 166.</w:t>
      </w:r>
    </w:p>
  </w:footnote>
  <w:footnote w:id="72">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r w:rsidRPr="00013153">
        <w:rPr>
          <w:i/>
        </w:rPr>
        <w:t>Seimer</w:t>
      </w:r>
      <w:proofErr w:type="spellEnd"/>
      <w:r w:rsidRPr="00013153">
        <w:rPr>
          <w:i/>
        </w:rPr>
        <w:t xml:space="preserve"> v Solicitor General</w:t>
      </w:r>
      <w:r w:rsidRPr="00C414C9">
        <w:t xml:space="preserve">; </w:t>
      </w:r>
      <w:r w:rsidRPr="00013153">
        <w:t>page 246, paragraph 171.</w:t>
      </w:r>
    </w:p>
  </w:footnote>
  <w:footnote w:id="73">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Muir v Commissioner of Inland Revenue</w:t>
      </w:r>
      <w:r w:rsidRPr="00013153">
        <w:t xml:space="preserve"> (2004) 17 PRNZ 365 (CA) at [32].</w:t>
      </w:r>
    </w:p>
  </w:footnote>
  <w:footnote w:id="74">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spellStart"/>
      <w:r w:rsidRPr="00013153">
        <w:rPr>
          <w:i/>
        </w:rPr>
        <w:t>Mafart</w:t>
      </w:r>
      <w:proofErr w:type="spellEnd"/>
      <w:r w:rsidRPr="00013153">
        <w:t xml:space="preserve"> </w:t>
      </w:r>
      <w:r w:rsidRPr="00013153">
        <w:rPr>
          <w:i/>
        </w:rPr>
        <w:t xml:space="preserve">v Television New Zealand Ltd </w:t>
      </w:r>
      <w:r w:rsidRPr="00013153">
        <w:t>[2007] LRC 179, at [16] per Elias CJ, Blanchard and McGrath JJ.</w:t>
      </w:r>
    </w:p>
  </w:footnote>
  <w:footnote w:id="75">
    <w:p w:rsidR="00FF5444" w:rsidRPr="00B743E9" w:rsidRDefault="00FF5444" w:rsidP="00B743E9">
      <w:pPr>
        <w:pStyle w:val="FootnoteText"/>
        <w:tabs>
          <w:tab w:val="left" w:pos="360"/>
        </w:tabs>
        <w:snapToGrid w:val="0"/>
        <w:spacing w:before="120" w:after="0" w:line="240" w:lineRule="auto"/>
        <w:ind w:left="360" w:hanging="360"/>
        <w:jc w:val="both"/>
        <w:rPr>
          <w:lang w:val="en-US"/>
        </w:rPr>
      </w:pPr>
      <w:r>
        <w:rPr>
          <w:rStyle w:val="FootnoteReference"/>
        </w:rPr>
        <w:footnoteRef/>
      </w:r>
      <w:r>
        <w:t xml:space="preserve"> </w:t>
      </w:r>
      <w:r>
        <w:tab/>
      </w:r>
      <w:proofErr w:type="spellStart"/>
      <w:proofErr w:type="gramStart"/>
      <w:r w:rsidRPr="00013153">
        <w:rPr>
          <w:i/>
        </w:rPr>
        <w:t>Seimer</w:t>
      </w:r>
      <w:proofErr w:type="spellEnd"/>
      <w:r w:rsidRPr="00013153">
        <w:rPr>
          <w:i/>
        </w:rPr>
        <w:t xml:space="preserve"> v Solicitor General</w:t>
      </w:r>
      <w:r w:rsidRPr="00B743E9">
        <w:t>;</w:t>
      </w:r>
      <w:r w:rsidRPr="00013153">
        <w:t xml:space="preserve"> page 248, paragraphs 174-5.</w:t>
      </w:r>
      <w:proofErr w:type="gramEnd"/>
    </w:p>
    <w:p w:rsidR="00FF5444" w:rsidRPr="00B743E9" w:rsidRDefault="00FF5444">
      <w:pPr>
        <w:pStyle w:val="FootnoteText"/>
        <w:rPr>
          <w:lang w:val="en-US"/>
        </w:rPr>
      </w:pPr>
    </w:p>
  </w:footnote>
  <w:footnote w:id="76">
    <w:p w:rsidR="00FF5444" w:rsidRPr="003F7971"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rFonts w:eastAsia="Times New Roman"/>
          <w:i/>
        </w:rPr>
        <w:t xml:space="preserve">TCWF and LKKS and STL and OIL </w:t>
      </w:r>
      <w:r w:rsidRPr="003F7971">
        <w:rPr>
          <w:rFonts w:eastAsia="Times New Roman"/>
        </w:rPr>
        <w:t>(CACV 154/2012 &amp; CACV 166/2012; unreported, 29 July 2013)</w:t>
      </w:r>
      <w:r>
        <w:rPr>
          <w:rFonts w:eastAsia="Times New Roman"/>
        </w:rPr>
        <w:t>.</w:t>
      </w:r>
      <w:proofErr w:type="gramEnd"/>
    </w:p>
  </w:footnote>
  <w:footnote w:id="77">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proofErr w:type="gramStart"/>
      <w:r w:rsidRPr="00013153">
        <w:rPr>
          <w:rFonts w:eastAsia="Times New Roman"/>
          <w:i/>
        </w:rPr>
        <w:t>TCWF and LKKS and STL and OIL</w:t>
      </w:r>
      <w:r w:rsidRPr="00367597">
        <w:rPr>
          <w:rFonts w:eastAsia="Times New Roman"/>
        </w:rPr>
        <w:t>;</w:t>
      </w:r>
      <w:r w:rsidRPr="00013153">
        <w:rPr>
          <w:rFonts w:eastAsia="Times New Roman"/>
          <w:i/>
        </w:rPr>
        <w:t xml:space="preserve"> </w:t>
      </w:r>
      <w:r w:rsidRPr="00013153">
        <w:rPr>
          <w:rFonts w:eastAsia="Times New Roman"/>
        </w:rPr>
        <w:t>page 19, paragraphs 40-1.</w:t>
      </w:r>
      <w:proofErr w:type="gramEnd"/>
    </w:p>
  </w:footnote>
  <w:footnote w:id="78">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rFonts w:eastAsia="Times New Roman"/>
          <w:i/>
        </w:rPr>
        <w:t>TCWF and LKKS and STL and OIL</w:t>
      </w:r>
      <w:r w:rsidRPr="001C6098">
        <w:rPr>
          <w:rFonts w:eastAsia="Times New Roman"/>
        </w:rPr>
        <w:t>;</w:t>
      </w:r>
      <w:r w:rsidRPr="00013153">
        <w:rPr>
          <w:rFonts w:eastAsia="Times New Roman"/>
          <w:i/>
        </w:rPr>
        <w:t xml:space="preserve"> </w:t>
      </w:r>
      <w:r w:rsidRPr="00013153">
        <w:rPr>
          <w:rFonts w:eastAsia="Times New Roman"/>
        </w:rPr>
        <w:t>page 11, paragraph 22.</w:t>
      </w:r>
    </w:p>
  </w:footnote>
  <w:footnote w:id="79">
    <w:p w:rsidR="00FF5444" w:rsidRPr="00013153" w:rsidRDefault="00FF5444" w:rsidP="00B00AA8">
      <w:pPr>
        <w:pStyle w:val="FootnoteText"/>
        <w:tabs>
          <w:tab w:val="left" w:pos="360"/>
        </w:tabs>
        <w:snapToGrid w:val="0"/>
        <w:spacing w:before="120" w:after="0" w:line="240" w:lineRule="auto"/>
        <w:ind w:left="360" w:hanging="360"/>
        <w:jc w:val="both"/>
      </w:pPr>
      <w:r w:rsidRPr="00013153">
        <w:rPr>
          <w:rStyle w:val="FootnoteReference"/>
        </w:rPr>
        <w:footnoteRef/>
      </w:r>
      <w:r w:rsidRPr="00013153">
        <w:t xml:space="preserve"> </w:t>
      </w:r>
      <w:r>
        <w:tab/>
      </w:r>
      <w:r w:rsidRPr="00013153">
        <w:rPr>
          <w:i/>
        </w:rPr>
        <w:t xml:space="preserve">Asia Television Ltd v Communications Authority </w:t>
      </w:r>
      <w:r>
        <w:t>[2013] 2 HKLRD 354; page 369 E-H, paragraph </w:t>
      </w:r>
      <w:r w:rsidRPr="00013153">
        <w:t>19.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44" w:rsidRDefault="00EE098B" w:rsidP="00F74339">
    <w:pPr>
      <w:pStyle w:val="Header"/>
      <w:tabs>
        <w:tab w:val="clear" w:pos="4153"/>
        <w:tab w:val="clear" w:pos="4320"/>
        <w:tab w:val="clear" w:pos="8306"/>
        <w:tab w:val="clear" w:pos="9072"/>
      </w:tabs>
      <w:rPr>
        <w:rStyle w:val="PageNumber"/>
        <w:sz w:val="28"/>
      </w:rPr>
    </w:pPr>
    <w:r w:rsidRPr="00EE098B">
      <w:rPr>
        <w:noProof/>
        <w:sz w:val="24"/>
        <w:szCs w:val="24"/>
        <w:lang w:val="en-US" w:eastAsia="en-US"/>
      </w:rPr>
      <w:pict>
        <v:shapetype id="_x0000_t202" coordsize="21600,21600" o:spt="202" path="m,l,21600r21600,l21600,xe">
          <v:stroke joinstyle="miter"/>
          <v:path gradientshapeok="t" o:connecttype="rect"/>
        </v:shapetype>
        <v:shape id="_x0000_s2061" type="#_x0000_t202" style="position:absolute;left:0;text-align:left;margin-left:-84pt;margin-top:-41.4pt;width:42pt;height:817pt;z-index:251659264" stroked="f">
          <v:textbox style="mso-next-textbox:#_x0000_s2061">
            <w:txbxContent>
              <w:p w:rsidR="00FF5444" w:rsidRDefault="00FF5444">
                <w:pPr>
                  <w:rPr>
                    <w:rFonts w:eastAsia="PMingLiU"/>
                    <w:b/>
                    <w:sz w:val="18"/>
                    <w:lang w:eastAsia="zh-TW"/>
                  </w:rPr>
                </w:pPr>
                <w:r>
                  <w:rPr>
                    <w:rFonts w:eastAsia="PMingLiU" w:hint="eastAsia"/>
                    <w:b/>
                    <w:sz w:val="18"/>
                    <w:lang w:eastAsia="zh-TW"/>
                  </w:rPr>
                  <w:t xml:space="preserve">  </w:t>
                </w:r>
              </w:p>
              <w:p w:rsidR="00FF5444" w:rsidRDefault="00FF5444">
                <w:pPr>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FF5444" w:rsidRDefault="00FF5444">
                <w:pPr>
                  <w:spacing w:line="320" w:lineRule="exact"/>
                  <w:rPr>
                    <w:rFonts w:eastAsia="PMingLiU"/>
                    <w:b/>
                    <w:sz w:val="18"/>
                    <w:lang w:eastAsia="zh-TW"/>
                  </w:rPr>
                </w:pPr>
              </w:p>
              <w:p w:rsidR="00FF5444" w:rsidRDefault="00FF5444">
                <w:pPr>
                  <w:ind w:left="-140" w:firstLine="280"/>
                  <w:rPr>
                    <w:b/>
                    <w:sz w:val="20"/>
                  </w:rPr>
                </w:pPr>
                <w:r>
                  <w:rPr>
                    <w:rFonts w:eastAsia="PMingLiU" w:hint="eastAsia"/>
                    <w:b/>
                    <w:sz w:val="20"/>
                    <w:lang w:eastAsia="zh-TW"/>
                  </w:rPr>
                  <w:t xml:space="preserve"> </w:t>
                </w:r>
                <w:r>
                  <w:rPr>
                    <w:rFonts w:hint="eastAsia"/>
                    <w:b/>
                    <w:sz w:val="20"/>
                  </w:rPr>
                  <w:t>A</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rFonts w:eastAsia="PMingLiU"/>
                    <w:b/>
                    <w:sz w:val="16"/>
                    <w:lang w:eastAsia="zh-TW"/>
                  </w:rPr>
                </w:pPr>
                <w:r>
                  <w:rPr>
                    <w:rFonts w:eastAsia="PMingLiU" w:hint="eastAsia"/>
                    <w:b/>
                    <w:sz w:val="16"/>
                    <w:lang w:eastAsia="zh-TW"/>
                  </w:rPr>
                  <w:t xml:space="preserve"> </w:t>
                </w:r>
              </w:p>
              <w:p w:rsidR="00FF5444" w:rsidRDefault="00FF5444">
                <w:pPr>
                  <w:snapToGrid/>
                  <w:ind w:left="-142" w:firstLine="278"/>
                  <w:rPr>
                    <w:b/>
                    <w:sz w:val="20"/>
                  </w:rPr>
                </w:pPr>
                <w:r>
                  <w:rPr>
                    <w:rFonts w:eastAsia="PMingLiU" w:hint="eastAsia"/>
                    <w:b/>
                    <w:sz w:val="20"/>
                    <w:lang w:eastAsia="zh-TW"/>
                  </w:rPr>
                  <w:t xml:space="preserve"> </w:t>
                </w:r>
                <w:r>
                  <w:rPr>
                    <w:rFonts w:hint="eastAsia"/>
                    <w:b/>
                    <w:sz w:val="20"/>
                  </w:rPr>
                  <w:t>B</w:t>
                </w:r>
              </w:p>
              <w:p w:rsidR="00FF5444" w:rsidRDefault="00FF5444">
                <w:pPr>
                  <w:snapToGrid/>
                  <w:ind w:left="-142" w:firstLine="278"/>
                  <w:rPr>
                    <w:b/>
                    <w:sz w:val="10"/>
                  </w:rPr>
                </w:pPr>
              </w:p>
              <w:p w:rsidR="00FF5444" w:rsidRDefault="00FF5444">
                <w:pPr>
                  <w:snapToGrid/>
                  <w:ind w:left="-142" w:firstLine="278"/>
                  <w:rPr>
                    <w:b/>
                    <w:sz w:val="16"/>
                  </w:rPr>
                </w:pPr>
              </w:p>
              <w:p w:rsidR="00FF5444" w:rsidRDefault="00FF5444">
                <w:pPr>
                  <w:snapToGrid/>
                  <w:ind w:left="-142" w:firstLine="278"/>
                  <w:rPr>
                    <w:b/>
                    <w:sz w:val="16"/>
                  </w:rPr>
                </w:pPr>
              </w:p>
              <w:p w:rsidR="00FF5444" w:rsidRDefault="00FF5444">
                <w:pPr>
                  <w:snapToGrid/>
                  <w:ind w:left="-142" w:firstLine="278"/>
                  <w:rPr>
                    <w:b/>
                    <w:sz w:val="16"/>
                  </w:rPr>
                </w:pPr>
                <w:r>
                  <w:rPr>
                    <w:rFonts w:eastAsia="PMingLiU" w:hint="eastAsia"/>
                    <w:b/>
                    <w:sz w:val="20"/>
                    <w:lang w:eastAsia="zh-TW"/>
                  </w:rPr>
                  <w:t xml:space="preserve"> </w:t>
                </w:r>
                <w:r>
                  <w:rPr>
                    <w:rFonts w:hint="eastAsia"/>
                    <w:b/>
                    <w:sz w:val="20"/>
                  </w:rPr>
                  <w:t>C</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pStyle w:val="Heading2"/>
                  <w:ind w:left="-140" w:firstLine="280"/>
                  <w:rPr>
                    <w:sz w:val="16"/>
                  </w:rPr>
                </w:pPr>
                <w:r>
                  <w:rPr>
                    <w:rFonts w:eastAsia="PMingLiU" w:hint="eastAsia"/>
                    <w:lang w:eastAsia="zh-TW"/>
                  </w:rPr>
                  <w:t xml:space="preserve"> </w:t>
                </w:r>
                <w:r>
                  <w:rPr>
                    <w:rFonts w:hint="eastAsia"/>
                  </w:rPr>
                  <w:t>D</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E</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20"/>
                  </w:rPr>
                </w:pPr>
                <w:r>
                  <w:rPr>
                    <w:rFonts w:eastAsia="PMingLiU" w:hint="eastAsia"/>
                    <w:b/>
                    <w:sz w:val="20"/>
                    <w:lang w:eastAsia="zh-TW"/>
                  </w:rPr>
                  <w:t xml:space="preserve"> </w:t>
                </w:r>
                <w:r>
                  <w:rPr>
                    <w:rFonts w:hint="eastAsia"/>
                    <w:b/>
                    <w:sz w:val="20"/>
                  </w:rPr>
                  <w:t>F</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G</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H</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I</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J</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K</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L</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M</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N</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O</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P</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Q</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R</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S</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T</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ind w:left="-140" w:firstLine="280"/>
                  <w:rPr>
                    <w:b/>
                    <w:sz w:val="16"/>
                  </w:rPr>
                </w:pPr>
                <w:r>
                  <w:rPr>
                    <w:rFonts w:eastAsia="PMingLiU" w:hint="eastAsia"/>
                    <w:b/>
                    <w:sz w:val="20"/>
                    <w:lang w:eastAsia="zh-TW"/>
                  </w:rPr>
                  <w:t xml:space="preserve"> </w:t>
                </w:r>
                <w:r>
                  <w:rPr>
                    <w:rFonts w:hint="eastAsia"/>
                    <w:b/>
                    <w:sz w:val="20"/>
                  </w:rPr>
                  <w:t>U</w:t>
                </w:r>
              </w:p>
              <w:p w:rsidR="00FF5444" w:rsidRDefault="00FF5444">
                <w:pPr>
                  <w:ind w:left="-140" w:firstLine="280"/>
                  <w:rPr>
                    <w:b/>
                    <w:sz w:val="10"/>
                  </w:rPr>
                </w:pPr>
              </w:p>
              <w:p w:rsidR="00FF5444" w:rsidRDefault="00FF5444">
                <w:pPr>
                  <w:ind w:left="-140" w:firstLine="280"/>
                  <w:rPr>
                    <w:b/>
                    <w:sz w:val="16"/>
                  </w:rPr>
                </w:pPr>
              </w:p>
              <w:p w:rsidR="00FF5444" w:rsidRDefault="00FF5444">
                <w:pPr>
                  <w:ind w:left="-140" w:firstLine="280"/>
                  <w:rPr>
                    <w:b/>
                    <w:sz w:val="16"/>
                  </w:rPr>
                </w:pPr>
              </w:p>
              <w:p w:rsidR="00FF5444" w:rsidRDefault="00FF5444">
                <w:pPr>
                  <w:pStyle w:val="Heading3"/>
                  <w:ind w:left="-140" w:firstLine="280"/>
                  <w:jc w:val="left"/>
                </w:pPr>
                <w:r>
                  <w:rPr>
                    <w:rFonts w:eastAsia="PMingLiU" w:hint="eastAsia"/>
                    <w:lang w:eastAsia="zh-TW"/>
                  </w:rPr>
                  <w:t xml:space="preserve"> </w:t>
                </w:r>
                <w:r>
                  <w:rPr>
                    <w:rFonts w:hint="eastAsia"/>
                  </w:rPr>
                  <w:t>V</w:t>
                </w:r>
              </w:p>
            </w:txbxContent>
          </v:textbox>
        </v:shape>
      </w:pict>
    </w:r>
    <w:r w:rsidRPr="00EE098B">
      <w:rPr>
        <w:noProof/>
        <w:sz w:val="24"/>
        <w:szCs w:val="24"/>
        <w:lang w:val="en-US" w:eastAsia="en-US"/>
      </w:rPr>
      <w:pict>
        <v:shape id="_x0000_s2060" type="#_x0000_t202" style="position:absolute;left:0;text-align:left;margin-left:462pt;margin-top:-41.4pt;width:42pt;height:819.5pt;z-index:251658240" stroked="f">
          <v:textbox style="mso-next-textbox:#_x0000_s2060">
            <w:txbxContent>
              <w:p w:rsidR="00FF5444" w:rsidRDefault="00FF5444">
                <w:pPr>
                  <w:snapToGrid/>
                  <w:spacing w:line="80" w:lineRule="exact"/>
                  <w:rPr>
                    <w:rFonts w:eastAsia="PMingLiU"/>
                    <w:b/>
                    <w:sz w:val="18"/>
                    <w:lang w:eastAsia="zh-TW"/>
                  </w:rPr>
                </w:pPr>
              </w:p>
              <w:p w:rsidR="00FF5444" w:rsidRDefault="00FF5444">
                <w:pPr>
                  <w:snapToGrid/>
                  <w:spacing w:line="80" w:lineRule="exact"/>
                  <w:rPr>
                    <w:rFonts w:eastAsia="PMingLiU"/>
                    <w:b/>
                    <w:sz w:val="18"/>
                    <w:lang w:eastAsia="zh-TW"/>
                  </w:rPr>
                </w:pPr>
              </w:p>
              <w:p w:rsidR="00FF5444" w:rsidRDefault="00FF5444">
                <w:pPr>
                  <w:snapToGrid/>
                  <w:spacing w:line="80" w:lineRule="exact"/>
                  <w:rPr>
                    <w:rFonts w:eastAsia="PMingLiU"/>
                    <w:b/>
                    <w:sz w:val="18"/>
                    <w:lang w:eastAsia="zh-TW"/>
                  </w:rPr>
                </w:pPr>
              </w:p>
              <w:p w:rsidR="00FF5444" w:rsidRDefault="00FF5444">
                <w:pPr>
                  <w:snapToGrid/>
                  <w:spacing w:line="20" w:lineRule="exact"/>
                  <w:rPr>
                    <w:rFonts w:eastAsia="PMingLiU"/>
                    <w:b/>
                    <w:sz w:val="18"/>
                    <w:lang w:eastAsia="zh-TW"/>
                  </w:rPr>
                </w:pPr>
              </w:p>
              <w:p w:rsidR="00FF5444" w:rsidRDefault="00FF5444">
                <w:pPr>
                  <w:snapToGrid/>
                  <w:spacing w:line="80" w:lineRule="exact"/>
                  <w:rPr>
                    <w:rFonts w:eastAsia="PMingLiU"/>
                    <w:b/>
                    <w:sz w:val="20"/>
                    <w:lang w:eastAsia="zh-TW"/>
                  </w:rPr>
                </w:pPr>
              </w:p>
              <w:p w:rsidR="00FF5444" w:rsidRDefault="00FF5444">
                <w:pPr>
                  <w:snapToGrid/>
                  <w:spacing w:line="180" w:lineRule="exact"/>
                  <w:rPr>
                    <w:rFonts w:eastAsia="PMingLiU"/>
                    <w:b/>
                    <w:sz w:val="20"/>
                    <w:lang w:eastAsia="zh-TW"/>
                  </w:rPr>
                </w:pPr>
                <w:r>
                  <w:rPr>
                    <w:rFonts w:eastAsia="PMingLiU" w:hint="eastAsia"/>
                    <w:b/>
                    <w:sz w:val="20"/>
                    <w:lang w:eastAsia="zh-TW"/>
                  </w:rPr>
                  <w:t xml:space="preserve"> </w:t>
                </w:r>
              </w:p>
              <w:p w:rsidR="00FF5444" w:rsidRDefault="00FF5444">
                <w:pPr>
                  <w:snapToGrid/>
                  <w:spacing w:line="160" w:lineRule="exact"/>
                  <w:rPr>
                    <w:rFonts w:eastAsia="PMingLiU"/>
                    <w:b/>
                    <w:sz w:val="20"/>
                    <w:lang w:eastAsia="zh-TW"/>
                  </w:rPr>
                </w:pPr>
                <w:r>
                  <w:rPr>
                    <w:rFonts w:eastAsia="PMingLiU" w:hint="eastAsia"/>
                    <w:b/>
                    <w:sz w:val="20"/>
                    <w:lang w:eastAsia="zh-TW"/>
                  </w:rPr>
                  <w:t xml:space="preserve"> </w:t>
                </w:r>
              </w:p>
              <w:p w:rsidR="00FF5444" w:rsidRDefault="00FF5444">
                <w:pPr>
                  <w:snapToGrid/>
                  <w:spacing w:line="80" w:lineRule="exact"/>
                  <w:rPr>
                    <w:rFonts w:eastAsia="PMingLiU"/>
                    <w:b/>
                    <w:sz w:val="20"/>
                    <w:lang w:eastAsia="zh-TW"/>
                  </w:rPr>
                </w:pPr>
              </w:p>
              <w:p w:rsidR="00FF5444" w:rsidRDefault="00FF5444">
                <w:pPr>
                  <w:rPr>
                    <w:b/>
                    <w:sz w:val="20"/>
                  </w:rPr>
                </w:pPr>
                <w:r>
                  <w:rPr>
                    <w:rFonts w:eastAsia="PMingLiU" w:hint="eastAsia"/>
                    <w:b/>
                    <w:sz w:val="20"/>
                    <w:lang w:eastAsia="zh-TW"/>
                  </w:rPr>
                  <w:t xml:space="preserve"> </w:t>
                </w:r>
                <w:r>
                  <w:rPr>
                    <w:rFonts w:hint="eastAsia"/>
                    <w:b/>
                    <w:sz w:val="20"/>
                  </w:rPr>
                  <w:t>A</w:t>
                </w:r>
              </w:p>
              <w:p w:rsidR="00FF5444" w:rsidRDefault="00FF5444">
                <w:pPr>
                  <w:rPr>
                    <w:b/>
                    <w:sz w:val="10"/>
                  </w:rPr>
                </w:pPr>
              </w:p>
              <w:p w:rsidR="00FF5444" w:rsidRDefault="00FF5444">
                <w:pPr>
                  <w:rPr>
                    <w:b/>
                    <w:sz w:val="16"/>
                  </w:rPr>
                </w:pPr>
              </w:p>
              <w:p w:rsidR="00FF5444" w:rsidRDefault="00FF5444">
                <w:pPr>
                  <w:rPr>
                    <w:rFonts w:eastAsia="PMingLiU"/>
                    <w:b/>
                    <w:sz w:val="16"/>
                    <w:lang w:eastAsia="zh-TW"/>
                  </w:rPr>
                </w:pPr>
                <w:r>
                  <w:rPr>
                    <w:rFonts w:eastAsia="PMingLiU" w:hint="eastAsia"/>
                    <w:b/>
                    <w:sz w:val="16"/>
                    <w:lang w:eastAsia="zh-TW"/>
                  </w:rPr>
                  <w:t xml:space="preserve"> </w:t>
                </w:r>
              </w:p>
              <w:p w:rsidR="00FF5444" w:rsidRDefault="00FF5444">
                <w:pPr>
                  <w:rPr>
                    <w:b/>
                    <w:sz w:val="20"/>
                  </w:rPr>
                </w:pPr>
                <w:r>
                  <w:rPr>
                    <w:rFonts w:eastAsia="PMingLiU" w:hint="eastAsia"/>
                    <w:b/>
                    <w:sz w:val="20"/>
                    <w:lang w:eastAsia="zh-TW"/>
                  </w:rPr>
                  <w:t xml:space="preserve"> </w:t>
                </w:r>
                <w:r>
                  <w:rPr>
                    <w:rFonts w:hint="eastAsia"/>
                    <w:b/>
                    <w:sz w:val="20"/>
                  </w:rPr>
                  <w:t>B</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C</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pStyle w:val="Heading2"/>
                  <w:rPr>
                    <w:sz w:val="16"/>
                  </w:rPr>
                </w:pPr>
                <w:r>
                  <w:rPr>
                    <w:rFonts w:eastAsia="PMingLiU" w:hint="eastAsia"/>
                    <w:lang w:eastAsia="zh-TW"/>
                  </w:rPr>
                  <w:t xml:space="preserve"> </w:t>
                </w:r>
                <w:r>
                  <w:rPr>
                    <w:rFonts w:hint="eastAsia"/>
                  </w:rPr>
                  <w:t>D</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E</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20"/>
                  </w:rPr>
                </w:pPr>
                <w:r>
                  <w:rPr>
                    <w:rFonts w:eastAsia="PMingLiU" w:hint="eastAsia"/>
                    <w:b/>
                    <w:sz w:val="20"/>
                    <w:lang w:eastAsia="zh-TW"/>
                  </w:rPr>
                  <w:t xml:space="preserve"> </w:t>
                </w:r>
                <w:r>
                  <w:rPr>
                    <w:rFonts w:hint="eastAsia"/>
                    <w:b/>
                    <w:sz w:val="20"/>
                  </w:rPr>
                  <w:t>F</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G</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H</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I</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J</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K</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L</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M</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N</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O</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P</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Q</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R</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S</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T</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U</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pStyle w:val="Heading3"/>
                  <w:jc w:val="left"/>
                </w:pPr>
                <w:r>
                  <w:rPr>
                    <w:rFonts w:eastAsia="PMingLiU" w:hint="eastAsia"/>
                    <w:lang w:eastAsia="zh-TW"/>
                  </w:rPr>
                  <w:t xml:space="preserve"> </w:t>
                </w:r>
                <w:r>
                  <w:rPr>
                    <w:rFonts w:hint="eastAsia"/>
                  </w:rPr>
                  <w:t>V</w:t>
                </w:r>
              </w:p>
            </w:txbxContent>
          </v:textbox>
        </v:shape>
      </w:pict>
    </w:r>
    <w:r w:rsidR="00FF5444" w:rsidRPr="00F74339">
      <w:rPr>
        <w:rFonts w:hint="eastAsia"/>
        <w:sz w:val="24"/>
        <w:szCs w:val="24"/>
      </w:rPr>
      <w:t xml:space="preserve"> </w:t>
    </w:r>
    <w:r w:rsidRPr="00F74339">
      <w:rPr>
        <w:rStyle w:val="PageNumber"/>
        <w:sz w:val="24"/>
        <w:szCs w:val="24"/>
      </w:rPr>
      <w:fldChar w:fldCharType="begin"/>
    </w:r>
    <w:r w:rsidR="00FF5444" w:rsidRPr="00F74339">
      <w:rPr>
        <w:rStyle w:val="PageNumber"/>
        <w:sz w:val="24"/>
        <w:szCs w:val="24"/>
      </w:rPr>
      <w:instrText xml:space="preserve"> PAGE </w:instrText>
    </w:r>
    <w:r w:rsidRPr="00F74339">
      <w:rPr>
        <w:rStyle w:val="PageNumber"/>
        <w:sz w:val="24"/>
        <w:szCs w:val="24"/>
      </w:rPr>
      <w:fldChar w:fldCharType="separate"/>
    </w:r>
    <w:r w:rsidR="009554CA">
      <w:rPr>
        <w:rStyle w:val="PageNumber"/>
        <w:noProof/>
        <w:sz w:val="24"/>
        <w:szCs w:val="24"/>
      </w:rPr>
      <w:t>- 34 -</w:t>
    </w:r>
    <w:r w:rsidRPr="00F74339">
      <w:rPr>
        <w:rStyle w:val="PageNumber"/>
        <w:sz w:val="24"/>
        <w:szCs w:val="24"/>
      </w:rPr>
      <w:fldChar w:fldCharType="end"/>
    </w:r>
    <w:r w:rsidR="00FF5444">
      <w:rPr>
        <w:rStyle w:val="PageNumber"/>
        <w:rFonts w:hint="eastAsia"/>
        <w:sz w:val="28"/>
      </w:rPr>
      <w:t xml:space="preserve"> </w:t>
    </w:r>
  </w:p>
  <w:p w:rsidR="00FF5444" w:rsidRDefault="00FF5444">
    <w:pPr>
      <w:pStyle w:val="Header"/>
      <w:tabs>
        <w:tab w:val="clear" w:pos="4153"/>
        <w:tab w:val="clear" w:pos="8306"/>
        <w:tab w:val="clear" w:pos="9072"/>
      </w:tabs>
      <w:rPr>
        <w:rStyle w:val="PageNumber"/>
        <w:sz w:val="28"/>
      </w:rPr>
    </w:pPr>
  </w:p>
  <w:p w:rsidR="00FF5444" w:rsidRDefault="00FF5444">
    <w:pPr>
      <w:pStyle w:val="Header"/>
      <w:tabs>
        <w:tab w:val="clear" w:pos="4153"/>
        <w:tab w:val="clear" w:pos="8306"/>
        <w:tab w:val="clear" w:pos="9072"/>
      </w:tabs>
      <w:rPr>
        <w:sz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44" w:rsidRDefault="00EE098B">
    <w:pPr>
      <w:pStyle w:val="Header"/>
      <w:tabs>
        <w:tab w:val="clear" w:pos="1440"/>
        <w:tab w:val="clear" w:pos="4153"/>
        <w:tab w:val="clear" w:pos="4320"/>
        <w:tab w:val="clear" w:pos="8306"/>
        <w:tab w:val="clear" w:pos="9072"/>
      </w:tabs>
      <w:rPr>
        <w:sz w:val="32"/>
      </w:rPr>
    </w:pPr>
    <w:r w:rsidRPr="00EE098B">
      <w:rPr>
        <w:noProof/>
        <w:sz w:val="20"/>
        <w:lang w:val="en-US" w:eastAsia="en-US"/>
      </w:rPr>
      <w:pict>
        <v:shapetype id="_x0000_t202" coordsize="21600,21600" o:spt="202" path="m,l,21600r21600,l21600,xe">
          <v:stroke joinstyle="miter"/>
          <v:path gradientshapeok="t" o:connecttype="rect"/>
        </v:shapetype>
        <v:shape id="_x0000_s2059" type="#_x0000_t202" style="position:absolute;left:0;text-align:left;margin-left:469pt;margin-top:-41.4pt;width:42pt;height:807.5pt;z-index:251657216" stroked="f">
          <v:textbox style="mso-next-textbox:#_x0000_s2059">
            <w:txbxContent>
              <w:p w:rsidR="00FF5444" w:rsidRDefault="00FF5444">
                <w:pPr>
                  <w:snapToGrid/>
                  <w:spacing w:line="80" w:lineRule="exact"/>
                  <w:rPr>
                    <w:rFonts w:eastAsia="PMingLiU"/>
                    <w:b/>
                    <w:sz w:val="18"/>
                    <w:lang w:eastAsia="zh-TW"/>
                  </w:rPr>
                </w:pPr>
              </w:p>
              <w:p w:rsidR="00FF5444" w:rsidRDefault="00FF5444">
                <w:pPr>
                  <w:snapToGrid/>
                  <w:spacing w:line="80" w:lineRule="exact"/>
                  <w:rPr>
                    <w:rFonts w:eastAsia="PMingLiU"/>
                    <w:b/>
                    <w:sz w:val="18"/>
                    <w:lang w:eastAsia="zh-TW"/>
                  </w:rPr>
                </w:pPr>
              </w:p>
              <w:p w:rsidR="00FF5444" w:rsidRDefault="00FF5444">
                <w:pPr>
                  <w:snapToGrid/>
                  <w:spacing w:line="120" w:lineRule="exact"/>
                  <w:rPr>
                    <w:rFonts w:eastAsia="PMingLiU"/>
                    <w:b/>
                    <w:sz w:val="18"/>
                    <w:lang w:eastAsia="zh-TW"/>
                  </w:rPr>
                </w:pPr>
              </w:p>
              <w:p w:rsidR="00FF5444" w:rsidRDefault="00FF5444">
                <w:pPr>
                  <w:snapToGrid/>
                  <w:spacing w:line="80" w:lineRule="exact"/>
                  <w:rPr>
                    <w:rFonts w:eastAsia="PMingLiU"/>
                    <w:b/>
                    <w:sz w:val="18"/>
                    <w:lang w:eastAsia="zh-TW"/>
                  </w:rPr>
                </w:pPr>
              </w:p>
              <w:p w:rsidR="00FF5444" w:rsidRDefault="00FF5444">
                <w:pPr>
                  <w:snapToGrid/>
                  <w:spacing w:line="120" w:lineRule="exact"/>
                  <w:rPr>
                    <w:rFonts w:eastAsia="PMingLiU"/>
                    <w:b/>
                    <w:sz w:val="20"/>
                    <w:lang w:eastAsia="zh-TW"/>
                  </w:rPr>
                </w:pPr>
              </w:p>
              <w:p w:rsidR="00FF5444" w:rsidRDefault="00FF5444">
                <w:pPr>
                  <w:snapToGrid/>
                  <w:spacing w:line="200" w:lineRule="exact"/>
                  <w:rPr>
                    <w:rFonts w:eastAsia="PMingLiU"/>
                    <w:b/>
                    <w:sz w:val="20"/>
                    <w:lang w:eastAsia="zh-TW"/>
                  </w:rPr>
                </w:pPr>
                <w:r>
                  <w:rPr>
                    <w:rFonts w:eastAsia="PMingLiU" w:hint="eastAsia"/>
                    <w:b/>
                    <w:sz w:val="20"/>
                    <w:lang w:eastAsia="zh-TW"/>
                  </w:rPr>
                  <w:t xml:space="preserve"> </w:t>
                </w:r>
              </w:p>
              <w:p w:rsidR="00FF5444" w:rsidRDefault="00FF5444">
                <w:pPr>
                  <w:snapToGrid/>
                  <w:spacing w:line="80" w:lineRule="exact"/>
                  <w:rPr>
                    <w:rFonts w:eastAsia="PMingLiU"/>
                    <w:b/>
                    <w:sz w:val="20"/>
                    <w:lang w:eastAsia="zh-TW"/>
                  </w:rPr>
                </w:pPr>
                <w:r>
                  <w:rPr>
                    <w:rFonts w:eastAsia="PMingLiU" w:hint="eastAsia"/>
                    <w:b/>
                    <w:sz w:val="20"/>
                    <w:lang w:eastAsia="zh-TW"/>
                  </w:rPr>
                  <w:t xml:space="preserve"> </w:t>
                </w:r>
              </w:p>
              <w:p w:rsidR="00FF5444" w:rsidRDefault="00FF5444">
                <w:pPr>
                  <w:snapToGrid/>
                  <w:spacing w:line="80" w:lineRule="exact"/>
                  <w:rPr>
                    <w:rFonts w:eastAsia="PMingLiU"/>
                    <w:b/>
                    <w:sz w:val="20"/>
                    <w:lang w:eastAsia="zh-TW"/>
                  </w:rPr>
                </w:pPr>
              </w:p>
              <w:p w:rsidR="00FF5444" w:rsidRDefault="00FF5444">
                <w:pPr>
                  <w:rPr>
                    <w:b/>
                    <w:sz w:val="20"/>
                  </w:rPr>
                </w:pPr>
                <w:r>
                  <w:rPr>
                    <w:rFonts w:eastAsia="PMingLiU" w:hint="eastAsia"/>
                    <w:b/>
                    <w:sz w:val="20"/>
                    <w:lang w:eastAsia="zh-TW"/>
                  </w:rPr>
                  <w:t xml:space="preserve"> </w:t>
                </w:r>
                <w:r>
                  <w:rPr>
                    <w:rFonts w:hint="eastAsia"/>
                    <w:b/>
                    <w:sz w:val="20"/>
                  </w:rPr>
                  <w:t>A</w:t>
                </w:r>
              </w:p>
              <w:p w:rsidR="00FF5444" w:rsidRDefault="00FF5444">
                <w:pPr>
                  <w:rPr>
                    <w:b/>
                    <w:sz w:val="10"/>
                  </w:rPr>
                </w:pPr>
              </w:p>
              <w:p w:rsidR="00FF5444" w:rsidRDefault="00FF5444">
                <w:pPr>
                  <w:rPr>
                    <w:b/>
                    <w:sz w:val="16"/>
                  </w:rPr>
                </w:pPr>
              </w:p>
              <w:p w:rsidR="00FF5444" w:rsidRDefault="00FF5444">
                <w:pPr>
                  <w:rPr>
                    <w:rFonts w:eastAsia="PMingLiU"/>
                    <w:b/>
                    <w:sz w:val="16"/>
                    <w:lang w:eastAsia="zh-TW"/>
                  </w:rPr>
                </w:pPr>
                <w:r>
                  <w:rPr>
                    <w:rFonts w:eastAsia="PMingLiU" w:hint="eastAsia"/>
                    <w:b/>
                    <w:sz w:val="16"/>
                    <w:lang w:eastAsia="zh-TW"/>
                  </w:rPr>
                  <w:t xml:space="preserve"> </w:t>
                </w:r>
              </w:p>
              <w:p w:rsidR="00FF5444" w:rsidRDefault="00FF5444">
                <w:pPr>
                  <w:rPr>
                    <w:b/>
                    <w:sz w:val="20"/>
                  </w:rPr>
                </w:pPr>
                <w:r>
                  <w:rPr>
                    <w:rFonts w:eastAsia="PMingLiU" w:hint="eastAsia"/>
                    <w:b/>
                    <w:sz w:val="20"/>
                    <w:lang w:eastAsia="zh-TW"/>
                  </w:rPr>
                  <w:t xml:space="preserve"> </w:t>
                </w:r>
                <w:r>
                  <w:rPr>
                    <w:rFonts w:hint="eastAsia"/>
                    <w:b/>
                    <w:sz w:val="20"/>
                  </w:rPr>
                  <w:t>B</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C</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pStyle w:val="Heading2"/>
                  <w:rPr>
                    <w:sz w:val="16"/>
                  </w:rPr>
                </w:pPr>
                <w:r>
                  <w:rPr>
                    <w:rFonts w:eastAsia="PMingLiU" w:hint="eastAsia"/>
                    <w:lang w:eastAsia="zh-TW"/>
                  </w:rPr>
                  <w:t xml:space="preserve"> </w:t>
                </w:r>
                <w:r>
                  <w:rPr>
                    <w:rFonts w:hint="eastAsia"/>
                  </w:rPr>
                  <w:t>D</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E</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20"/>
                  </w:rPr>
                </w:pPr>
                <w:r>
                  <w:rPr>
                    <w:rFonts w:eastAsia="PMingLiU" w:hint="eastAsia"/>
                    <w:b/>
                    <w:sz w:val="20"/>
                    <w:lang w:eastAsia="zh-TW"/>
                  </w:rPr>
                  <w:t xml:space="preserve"> </w:t>
                </w:r>
                <w:r>
                  <w:rPr>
                    <w:rFonts w:hint="eastAsia"/>
                    <w:b/>
                    <w:sz w:val="20"/>
                  </w:rPr>
                  <w:t>F</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G</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H</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I</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J</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K</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L</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M</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N</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O</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P</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Q</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R</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S</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T</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rPr>
                    <w:b/>
                    <w:sz w:val="16"/>
                  </w:rPr>
                </w:pPr>
                <w:r>
                  <w:rPr>
                    <w:rFonts w:eastAsia="PMingLiU" w:hint="eastAsia"/>
                    <w:b/>
                    <w:sz w:val="20"/>
                    <w:lang w:eastAsia="zh-TW"/>
                  </w:rPr>
                  <w:t xml:space="preserve"> </w:t>
                </w:r>
                <w:r>
                  <w:rPr>
                    <w:rFonts w:hint="eastAsia"/>
                    <w:b/>
                    <w:sz w:val="20"/>
                  </w:rPr>
                  <w:t>U</w:t>
                </w:r>
              </w:p>
              <w:p w:rsidR="00FF5444" w:rsidRDefault="00FF5444">
                <w:pPr>
                  <w:rPr>
                    <w:b/>
                    <w:sz w:val="10"/>
                  </w:rPr>
                </w:pPr>
              </w:p>
              <w:p w:rsidR="00FF5444" w:rsidRDefault="00FF5444">
                <w:pPr>
                  <w:rPr>
                    <w:b/>
                    <w:sz w:val="16"/>
                  </w:rPr>
                </w:pPr>
              </w:p>
              <w:p w:rsidR="00FF5444" w:rsidRDefault="00FF5444">
                <w:pPr>
                  <w:rPr>
                    <w:b/>
                    <w:sz w:val="16"/>
                  </w:rPr>
                </w:pPr>
              </w:p>
              <w:p w:rsidR="00FF5444" w:rsidRDefault="00FF5444">
                <w:pPr>
                  <w:pStyle w:val="Heading3"/>
                  <w:jc w:val="left"/>
                </w:pPr>
                <w:r>
                  <w:rPr>
                    <w:rFonts w:eastAsia="PMingLiU" w:hint="eastAsia"/>
                    <w:lang w:eastAsia="zh-TW"/>
                  </w:rPr>
                  <w:t xml:space="preserve"> </w:t>
                </w:r>
                <w:r>
                  <w:rPr>
                    <w:rFonts w:hint="eastAsia"/>
                  </w:rPr>
                  <w:t>V</w:t>
                </w:r>
              </w:p>
            </w:txbxContent>
          </v:textbox>
        </v:shape>
      </w:pict>
    </w:r>
    <w:r w:rsidRPr="00EE098B">
      <w:rPr>
        <w:noProof/>
        <w:sz w:val="20"/>
        <w:lang w:val="en-US" w:eastAsia="en-US"/>
      </w:rPr>
      <w:pict>
        <v:shape id="_x0000_s2058" type="#_x0000_t202" style="position:absolute;left:0;text-align:left;margin-left:-84pt;margin-top:-31.9pt;width:42pt;height:807.5pt;z-index:251656192" stroked="f">
          <v:textbox style="mso-next-textbox:#_x0000_s2058">
            <w:txbxContent>
              <w:p w:rsidR="00FF5444" w:rsidRDefault="00FF5444">
                <w:pPr>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FF5444" w:rsidRDefault="00FF5444">
                <w:pPr>
                  <w:rPr>
                    <w:rFonts w:eastAsia="PMingLiU"/>
                    <w:b/>
                    <w:sz w:val="18"/>
                    <w:lang w:eastAsia="zh-TW"/>
                  </w:rPr>
                </w:pPr>
              </w:p>
              <w:p w:rsidR="00FF5444" w:rsidRDefault="00FF5444">
                <w:pPr>
                  <w:rPr>
                    <w:rFonts w:eastAsia="PMingLiU"/>
                    <w:b/>
                    <w:sz w:val="20"/>
                    <w:lang w:eastAsia="zh-TW"/>
                  </w:rPr>
                </w:pPr>
              </w:p>
              <w:p w:rsidR="00FF5444" w:rsidRDefault="00FF5444">
                <w:pPr>
                  <w:ind w:firstLine="140"/>
                  <w:rPr>
                    <w:b/>
                    <w:sz w:val="20"/>
                  </w:rPr>
                </w:pPr>
                <w:r>
                  <w:rPr>
                    <w:rFonts w:eastAsia="PMingLiU" w:hint="eastAsia"/>
                    <w:b/>
                    <w:sz w:val="20"/>
                    <w:lang w:eastAsia="zh-TW"/>
                  </w:rPr>
                  <w:t xml:space="preserve"> </w:t>
                </w:r>
                <w:r>
                  <w:rPr>
                    <w:rFonts w:hint="eastAsia"/>
                    <w:b/>
                    <w:sz w:val="20"/>
                  </w:rPr>
                  <w:t>A</w:t>
                </w:r>
              </w:p>
              <w:p w:rsidR="00FF5444" w:rsidRDefault="00FF5444">
                <w:pPr>
                  <w:tabs>
                    <w:tab w:val="clear" w:pos="4320"/>
                    <w:tab w:val="clear" w:pos="9072"/>
                  </w:tabs>
                  <w:ind w:firstLine="140"/>
                  <w:rPr>
                    <w:b/>
                    <w:sz w:val="10"/>
                  </w:rPr>
                </w:pPr>
              </w:p>
              <w:p w:rsidR="00FF5444" w:rsidRDefault="00FF5444">
                <w:pPr>
                  <w:ind w:firstLine="140"/>
                  <w:rPr>
                    <w:b/>
                    <w:sz w:val="16"/>
                  </w:rPr>
                </w:pPr>
              </w:p>
              <w:p w:rsidR="00FF5444" w:rsidRDefault="00FF5444">
                <w:pPr>
                  <w:ind w:firstLine="140"/>
                  <w:rPr>
                    <w:rFonts w:eastAsia="PMingLiU"/>
                    <w:b/>
                    <w:sz w:val="16"/>
                    <w:lang w:eastAsia="zh-TW"/>
                  </w:rPr>
                </w:pPr>
                <w:r>
                  <w:rPr>
                    <w:rFonts w:eastAsia="PMingLiU" w:hint="eastAsia"/>
                    <w:b/>
                    <w:sz w:val="16"/>
                    <w:lang w:eastAsia="zh-TW"/>
                  </w:rPr>
                  <w:t xml:space="preserve"> </w:t>
                </w:r>
              </w:p>
              <w:p w:rsidR="00FF5444" w:rsidRDefault="00FF5444">
                <w:pPr>
                  <w:ind w:firstLine="140"/>
                  <w:rPr>
                    <w:b/>
                    <w:sz w:val="20"/>
                  </w:rPr>
                </w:pPr>
                <w:r>
                  <w:rPr>
                    <w:rFonts w:eastAsia="PMingLiU" w:hint="eastAsia"/>
                    <w:b/>
                    <w:sz w:val="20"/>
                    <w:lang w:eastAsia="zh-TW"/>
                  </w:rPr>
                  <w:t xml:space="preserve"> </w:t>
                </w:r>
                <w:r>
                  <w:rPr>
                    <w:rFonts w:hint="eastAsia"/>
                    <w:b/>
                    <w:sz w:val="20"/>
                  </w:rPr>
                  <w:t>B</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C</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pStyle w:val="Heading2"/>
                  <w:ind w:firstLine="140"/>
                  <w:rPr>
                    <w:sz w:val="16"/>
                  </w:rPr>
                </w:pPr>
                <w:r>
                  <w:rPr>
                    <w:rFonts w:eastAsia="PMingLiU" w:hint="eastAsia"/>
                    <w:lang w:eastAsia="zh-TW"/>
                  </w:rPr>
                  <w:t xml:space="preserve"> </w:t>
                </w:r>
                <w:r>
                  <w:rPr>
                    <w:rFonts w:hint="eastAsia"/>
                  </w:rPr>
                  <w:t>D</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E</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20"/>
                  </w:rPr>
                </w:pPr>
                <w:r>
                  <w:rPr>
                    <w:rFonts w:eastAsia="PMingLiU" w:hint="eastAsia"/>
                    <w:b/>
                    <w:sz w:val="20"/>
                    <w:lang w:eastAsia="zh-TW"/>
                  </w:rPr>
                  <w:t xml:space="preserve"> </w:t>
                </w:r>
                <w:r>
                  <w:rPr>
                    <w:rFonts w:hint="eastAsia"/>
                    <w:b/>
                    <w:sz w:val="20"/>
                  </w:rPr>
                  <w:t>F</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G</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H</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I</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J</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K</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L</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M</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N</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O</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P</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Q</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R</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S</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T</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ind w:firstLine="140"/>
                  <w:rPr>
                    <w:b/>
                    <w:sz w:val="16"/>
                  </w:rPr>
                </w:pPr>
                <w:r>
                  <w:rPr>
                    <w:rFonts w:eastAsia="PMingLiU" w:hint="eastAsia"/>
                    <w:b/>
                    <w:sz w:val="20"/>
                    <w:lang w:eastAsia="zh-TW"/>
                  </w:rPr>
                  <w:t xml:space="preserve"> </w:t>
                </w:r>
                <w:r>
                  <w:rPr>
                    <w:rFonts w:hint="eastAsia"/>
                    <w:b/>
                    <w:sz w:val="20"/>
                  </w:rPr>
                  <w:t>U</w:t>
                </w:r>
              </w:p>
              <w:p w:rsidR="00FF5444" w:rsidRDefault="00FF5444">
                <w:pPr>
                  <w:ind w:firstLine="140"/>
                  <w:rPr>
                    <w:b/>
                    <w:sz w:val="10"/>
                  </w:rPr>
                </w:pPr>
              </w:p>
              <w:p w:rsidR="00FF5444" w:rsidRDefault="00FF5444">
                <w:pPr>
                  <w:ind w:firstLine="140"/>
                  <w:rPr>
                    <w:b/>
                    <w:sz w:val="16"/>
                  </w:rPr>
                </w:pPr>
              </w:p>
              <w:p w:rsidR="00FF5444" w:rsidRDefault="00FF5444">
                <w:pPr>
                  <w:ind w:firstLine="140"/>
                  <w:rPr>
                    <w:b/>
                    <w:sz w:val="16"/>
                  </w:rPr>
                </w:pPr>
              </w:p>
              <w:p w:rsidR="00FF5444" w:rsidRDefault="00FF5444">
                <w:pPr>
                  <w:pStyle w:val="Heading3"/>
                  <w:ind w:firstLine="140"/>
                  <w:jc w:val="left"/>
                </w:pPr>
                <w:r>
                  <w:rPr>
                    <w:rFonts w:eastAsia="PMingLiU" w:hint="eastAsia"/>
                    <w:lang w:eastAsia="zh-TW"/>
                  </w:rPr>
                  <w:t xml:space="preserve"> </w:t>
                </w: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688659DE"/>
    <w:name w:val="WW8Num2"/>
    <w:lvl w:ilvl="0">
      <w:start w:val="1"/>
      <w:numFmt w:val="decimal"/>
      <w:pStyle w:val="JDINumber"/>
      <w:lvlText w:val="[%1]"/>
      <w:lvlJc w:val="left"/>
      <w:pPr>
        <w:tabs>
          <w:tab w:val="num" w:pos="709"/>
        </w:tabs>
      </w:pPr>
      <w:rPr>
        <w:rFonts w:cs="Times New Roman" w:hint="default"/>
      </w:rPr>
    </w:lvl>
    <w:lvl w:ilvl="1">
      <w:start w:val="1"/>
      <w:numFmt w:val="lowerLetter"/>
      <w:lvlText w:val="(%2)"/>
      <w:lvlJc w:val="left"/>
      <w:pPr>
        <w:tabs>
          <w:tab w:val="num" w:pos="1417"/>
        </w:tabs>
        <w:ind w:left="1417" w:hanging="708"/>
      </w:pPr>
      <w:rPr>
        <w:rFonts w:cs="Times New Roman" w:hint="default"/>
      </w:rPr>
    </w:lvl>
    <w:lvl w:ilvl="2">
      <w:start w:val="1"/>
      <w:numFmt w:val="lowerRoman"/>
      <w:lvlText w:val="(%3)"/>
      <w:lvlJc w:val="left"/>
      <w:pPr>
        <w:tabs>
          <w:tab w:val="num" w:pos="2126"/>
        </w:tabs>
        <w:ind w:left="2126" w:hanging="709"/>
      </w:pPr>
      <w:rPr>
        <w:rFonts w:cs="Times New Roman" w:hint="default"/>
      </w:rPr>
    </w:lvl>
    <w:lvl w:ilvl="3">
      <w:start w:val="1"/>
      <w:numFmt w:val="decimal"/>
      <w:lvlText w:val="(%4)"/>
      <w:lvlJc w:val="left"/>
      <w:pPr>
        <w:tabs>
          <w:tab w:val="num" w:pos="1440"/>
        </w:tabs>
        <w:ind w:left="1440" w:hanging="363"/>
      </w:pPr>
      <w:rPr>
        <w:rFonts w:cs="Times New Roman" w:hint="default"/>
      </w:rPr>
    </w:lvl>
    <w:lvl w:ilvl="4">
      <w:start w:val="1"/>
      <w:numFmt w:val="lowerLetter"/>
      <w:lvlText w:val="(%5)"/>
      <w:lvlJc w:val="left"/>
      <w:pPr>
        <w:tabs>
          <w:tab w:val="num" w:pos="1797"/>
        </w:tabs>
        <w:ind w:left="1797" w:hanging="357"/>
      </w:pPr>
      <w:rPr>
        <w:rFonts w:cs="Times New Roman" w:hint="default"/>
      </w:rPr>
    </w:lvl>
    <w:lvl w:ilvl="5">
      <w:start w:val="1"/>
      <w:numFmt w:val="lowerRoman"/>
      <w:lvlText w:val="(%6)"/>
      <w:lvlJc w:val="left"/>
      <w:pPr>
        <w:tabs>
          <w:tab w:val="num" w:pos="2160"/>
        </w:tabs>
        <w:ind w:left="2160" w:hanging="363"/>
      </w:pPr>
      <w:rPr>
        <w:rFonts w:cs="Times New Roman" w:hint="default"/>
      </w:rPr>
    </w:lvl>
    <w:lvl w:ilvl="6">
      <w:start w:val="1"/>
      <w:numFmt w:val="decimal"/>
      <w:lvlText w:val="%7."/>
      <w:lvlJc w:val="left"/>
      <w:pPr>
        <w:tabs>
          <w:tab w:val="num" w:pos="2517"/>
        </w:tabs>
        <w:ind w:left="2517" w:hanging="357"/>
      </w:pPr>
      <w:rPr>
        <w:rFonts w:cs="Times New Roman" w:hint="default"/>
      </w:rPr>
    </w:lvl>
    <w:lvl w:ilvl="7">
      <w:start w:val="1"/>
      <w:numFmt w:val="lowerLetter"/>
      <w:lvlText w:val="%8."/>
      <w:lvlJc w:val="left"/>
      <w:pPr>
        <w:tabs>
          <w:tab w:val="num" w:pos="2880"/>
        </w:tabs>
        <w:ind w:left="2880" w:hanging="363"/>
      </w:pPr>
      <w:rPr>
        <w:rFonts w:cs="Times New Roman" w:hint="default"/>
      </w:rPr>
    </w:lvl>
    <w:lvl w:ilvl="8">
      <w:start w:val="1"/>
      <w:numFmt w:val="lowerRoman"/>
      <w:lvlText w:val="%9."/>
      <w:lvlJc w:val="left"/>
      <w:pPr>
        <w:tabs>
          <w:tab w:val="num" w:pos="3237"/>
        </w:tabs>
        <w:ind w:left="3237" w:hanging="357"/>
      </w:pPr>
      <w:rPr>
        <w:rFonts w:cs="Times New Roman" w:hint="default"/>
      </w:rPr>
    </w:lvl>
  </w:abstractNum>
  <w:abstractNum w:abstractNumId="1">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0DCD2F35"/>
    <w:multiLevelType w:val="multilevel"/>
    <w:tmpl w:val="5B66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62B90"/>
    <w:multiLevelType w:val="multilevel"/>
    <w:tmpl w:val="5B66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AC36DA"/>
    <w:multiLevelType w:val="hybridMultilevel"/>
    <w:tmpl w:val="22F8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90EEE"/>
    <w:multiLevelType w:val="hybridMultilevel"/>
    <w:tmpl w:val="D1AEB9E8"/>
    <w:lvl w:ilvl="0" w:tplc="716CC4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F5548"/>
    <w:multiLevelType w:val="hybridMultilevel"/>
    <w:tmpl w:val="E7787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8">
    <w:nsid w:val="272D321B"/>
    <w:multiLevelType w:val="hybridMultilevel"/>
    <w:tmpl w:val="26667CBC"/>
    <w:lvl w:ilvl="0" w:tplc="DD1877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5234E"/>
    <w:multiLevelType w:val="hybridMultilevel"/>
    <w:tmpl w:val="388CDDAA"/>
    <w:lvl w:ilvl="0" w:tplc="B0BE1DDE">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982E65"/>
    <w:multiLevelType w:val="hybridMultilevel"/>
    <w:tmpl w:val="017A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270F7"/>
    <w:multiLevelType w:val="multilevel"/>
    <w:tmpl w:val="5B66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89333D"/>
    <w:multiLevelType w:val="hybridMultilevel"/>
    <w:tmpl w:val="B3D46114"/>
    <w:lvl w:ilvl="0" w:tplc="9A52BE1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7BD79EC"/>
    <w:multiLevelType w:val="hybridMultilevel"/>
    <w:tmpl w:val="7B4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80421"/>
    <w:multiLevelType w:val="singleLevel"/>
    <w:tmpl w:val="2FD43C20"/>
    <w:lvl w:ilvl="0">
      <w:start w:val="1"/>
      <w:numFmt w:val="decimal"/>
      <w:pStyle w:val="j-draft"/>
      <w:lvlText w:val="%1."/>
      <w:lvlJc w:val="left"/>
      <w:pPr>
        <w:tabs>
          <w:tab w:val="num" w:pos="360"/>
        </w:tabs>
        <w:ind w:left="0" w:firstLine="0"/>
      </w:pPr>
      <w:rPr>
        <w:color w:val="auto"/>
        <w:szCs w:val="28"/>
      </w:rPr>
    </w:lvl>
  </w:abstractNum>
  <w:abstractNum w:abstractNumId="15">
    <w:nsid w:val="42673E94"/>
    <w:multiLevelType w:val="hybridMultilevel"/>
    <w:tmpl w:val="A61E47A8"/>
    <w:lvl w:ilvl="0" w:tplc="7556BDF4">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E13BEB"/>
    <w:multiLevelType w:val="hybridMultilevel"/>
    <w:tmpl w:val="4BE6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05346"/>
    <w:multiLevelType w:val="hybridMultilevel"/>
    <w:tmpl w:val="C52E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FA166E"/>
    <w:multiLevelType w:val="hybridMultilevel"/>
    <w:tmpl w:val="6C96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014711"/>
    <w:multiLevelType w:val="hybridMultilevel"/>
    <w:tmpl w:val="C122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E5445"/>
    <w:multiLevelType w:val="hybridMultilevel"/>
    <w:tmpl w:val="F3E67794"/>
    <w:lvl w:ilvl="0" w:tplc="E8828558">
      <w:start w:val="1"/>
      <w:numFmt w:val="lowerLetter"/>
      <w:lvlText w:val="(%1)"/>
      <w:lvlJc w:val="left"/>
      <w:pPr>
        <w:ind w:left="720" w:hanging="360"/>
      </w:pPr>
      <w:rPr>
        <w:rFonts w:eastAsia="宋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3377062"/>
    <w:multiLevelType w:val="singleLevel"/>
    <w:tmpl w:val="51F45C9A"/>
    <w:lvl w:ilvl="0">
      <w:start w:val="1"/>
      <w:numFmt w:val="decimal"/>
      <w:lvlText w:val="%1."/>
      <w:lvlJc w:val="left"/>
      <w:pPr>
        <w:tabs>
          <w:tab w:val="num" w:pos="360"/>
        </w:tabs>
        <w:ind w:left="0" w:firstLine="0"/>
      </w:pPr>
    </w:lvl>
  </w:abstractNum>
  <w:abstractNum w:abstractNumId="22">
    <w:nsid w:val="65A10FA9"/>
    <w:multiLevelType w:val="hybridMultilevel"/>
    <w:tmpl w:val="CBAE5FEC"/>
    <w:lvl w:ilvl="0" w:tplc="94587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D228B"/>
    <w:multiLevelType w:val="multilevel"/>
    <w:tmpl w:val="4BCC3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B740192"/>
    <w:multiLevelType w:val="hybridMultilevel"/>
    <w:tmpl w:val="13CE4340"/>
    <w:lvl w:ilvl="0" w:tplc="B0BE1DDE">
      <w:start w:val="1"/>
      <w:numFmt w:val="lowerRoman"/>
      <w:lvlText w:val="(%1)"/>
      <w:lvlJc w:val="left"/>
      <w:pPr>
        <w:ind w:left="2355" w:hanging="1095"/>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nsid w:val="6E1A3256"/>
    <w:multiLevelType w:val="hybridMultilevel"/>
    <w:tmpl w:val="CFFA679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EAC7D0D"/>
    <w:multiLevelType w:val="multilevel"/>
    <w:tmpl w:val="A9ACBC54"/>
    <w:lvl w:ilvl="0">
      <w:start w:val="1"/>
      <w:numFmt w:val="decimal"/>
      <w:pStyle w:val="Style1"/>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decimal"/>
      <w:lvlText w:val="(%3)"/>
      <w:lvlJc w:val="left"/>
      <w:pPr>
        <w:tabs>
          <w:tab w:val="num" w:pos="2340"/>
        </w:tabs>
        <w:ind w:left="2160" w:hanging="180"/>
      </w:pPr>
      <w:rPr>
        <w:rFonts w:ascii="Times New Roman" w:eastAsia="宋体"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val="0"/>
        <w:sz w:val="24"/>
      </w:rPr>
    </w:lvl>
    <w:lvl w:ilvl="4">
      <w:start w:val="1"/>
      <w:numFmt w:val="decimal"/>
      <w:lvlText w:val="%5."/>
      <w:lvlJc w:val="left"/>
      <w:pPr>
        <w:tabs>
          <w:tab w:val="num" w:pos="3600"/>
        </w:tabs>
        <w:ind w:left="3600" w:hanging="360"/>
      </w:pPr>
      <w:rPr>
        <w:rFonts w:ascii="Times New Roman" w:eastAsia="宋体"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eastAsia="宋体" w:hAnsi="Times New Roman" w:hint="default"/>
        <w:b w:val="0"/>
        <w:i w:val="0"/>
        <w:sz w:val="24"/>
      </w:rPr>
    </w:lvl>
    <w:lvl w:ilvl="7">
      <w:start w:val="1"/>
      <w:numFmt w:val="lowerRoman"/>
      <w:lvlText w:val="%8."/>
      <w:lvlJc w:val="left"/>
      <w:pPr>
        <w:tabs>
          <w:tab w:val="num" w:pos="6120"/>
        </w:tabs>
        <w:ind w:left="5760" w:hanging="360"/>
      </w:pPr>
      <w:rPr>
        <w:rFonts w:ascii="Times New Roman" w:eastAsia="宋体" w:hAnsi="Times New Roman" w:hint="default"/>
        <w:b w:val="0"/>
        <w:i w:val="0"/>
        <w:sz w:val="24"/>
      </w:rPr>
    </w:lvl>
    <w:lvl w:ilvl="8">
      <w:start w:val="1"/>
      <w:numFmt w:val="lowerLetter"/>
      <w:lvlText w:val="%9."/>
      <w:lvlJc w:val="right"/>
      <w:pPr>
        <w:tabs>
          <w:tab w:val="num" w:pos="6480"/>
        </w:tabs>
        <w:ind w:left="6480" w:hanging="526"/>
      </w:pPr>
      <w:rPr>
        <w:rFonts w:ascii="Times New Roman" w:eastAsia="宋体" w:hAnsi="Times New Roman" w:hint="default"/>
        <w:b w:val="0"/>
        <w:i w:val="0"/>
        <w:sz w:val="24"/>
      </w:rPr>
    </w:lvl>
  </w:abstractNum>
  <w:abstractNum w:abstractNumId="27">
    <w:nsid w:val="7827455D"/>
    <w:multiLevelType w:val="hybridMultilevel"/>
    <w:tmpl w:val="A78081B0"/>
    <w:lvl w:ilvl="0" w:tplc="6E4E34DE">
      <w:start w:val="1"/>
      <w:numFmt w:val="lowerLetter"/>
      <w:lvlText w:val="(%1)"/>
      <w:lvlJc w:val="left"/>
      <w:pPr>
        <w:ind w:left="720" w:hanging="360"/>
      </w:pPr>
      <w:rPr>
        <w:rFonts w:eastAsia="宋体" w:hint="default"/>
        <w:color w:val="auto"/>
      </w:rPr>
    </w:lvl>
    <w:lvl w:ilvl="1" w:tplc="8BB62FCC" w:tentative="1">
      <w:start w:val="1"/>
      <w:numFmt w:val="lowerLetter"/>
      <w:lvlText w:val="%2."/>
      <w:lvlJc w:val="left"/>
      <w:pPr>
        <w:ind w:left="1440" w:hanging="360"/>
      </w:pPr>
    </w:lvl>
    <w:lvl w:ilvl="2" w:tplc="2DD6AEB2" w:tentative="1">
      <w:start w:val="1"/>
      <w:numFmt w:val="lowerRoman"/>
      <w:lvlText w:val="%3."/>
      <w:lvlJc w:val="right"/>
      <w:pPr>
        <w:ind w:left="2160" w:hanging="180"/>
      </w:pPr>
    </w:lvl>
    <w:lvl w:ilvl="3" w:tplc="993E481A" w:tentative="1">
      <w:start w:val="1"/>
      <w:numFmt w:val="decimal"/>
      <w:lvlText w:val="%4."/>
      <w:lvlJc w:val="left"/>
      <w:pPr>
        <w:ind w:left="2880" w:hanging="360"/>
      </w:pPr>
    </w:lvl>
    <w:lvl w:ilvl="4" w:tplc="7BE2EE86" w:tentative="1">
      <w:start w:val="1"/>
      <w:numFmt w:val="lowerLetter"/>
      <w:lvlText w:val="%5."/>
      <w:lvlJc w:val="left"/>
      <w:pPr>
        <w:ind w:left="3600" w:hanging="360"/>
      </w:pPr>
    </w:lvl>
    <w:lvl w:ilvl="5" w:tplc="32C8A7B8" w:tentative="1">
      <w:start w:val="1"/>
      <w:numFmt w:val="lowerRoman"/>
      <w:lvlText w:val="%6."/>
      <w:lvlJc w:val="right"/>
      <w:pPr>
        <w:ind w:left="4320" w:hanging="180"/>
      </w:pPr>
    </w:lvl>
    <w:lvl w:ilvl="6" w:tplc="B62AD802" w:tentative="1">
      <w:start w:val="1"/>
      <w:numFmt w:val="decimal"/>
      <w:lvlText w:val="%7."/>
      <w:lvlJc w:val="left"/>
      <w:pPr>
        <w:ind w:left="5040" w:hanging="360"/>
      </w:pPr>
    </w:lvl>
    <w:lvl w:ilvl="7" w:tplc="7B7EEF40" w:tentative="1">
      <w:start w:val="1"/>
      <w:numFmt w:val="lowerLetter"/>
      <w:lvlText w:val="%8."/>
      <w:lvlJc w:val="left"/>
      <w:pPr>
        <w:ind w:left="5760" w:hanging="360"/>
      </w:pPr>
    </w:lvl>
    <w:lvl w:ilvl="8" w:tplc="3320CB42" w:tentative="1">
      <w:start w:val="1"/>
      <w:numFmt w:val="lowerRoman"/>
      <w:lvlText w:val="%9."/>
      <w:lvlJc w:val="right"/>
      <w:pPr>
        <w:ind w:left="6480" w:hanging="180"/>
      </w:pPr>
    </w:lvl>
  </w:abstractNum>
  <w:num w:numId="1">
    <w:abstractNumId w:val="26"/>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27"/>
  </w:num>
  <w:num w:numId="9">
    <w:abstractNumId w:val="5"/>
  </w:num>
  <w:num w:numId="10">
    <w:abstractNumId w:val="22"/>
  </w:num>
  <w:num w:numId="11">
    <w:abstractNumId w:val="19"/>
  </w:num>
  <w:num w:numId="12">
    <w:abstractNumId w:val="13"/>
  </w:num>
  <w:num w:numId="13">
    <w:abstractNumId w:val="16"/>
  </w:num>
  <w:num w:numId="14">
    <w:abstractNumId w:val="10"/>
  </w:num>
  <w:num w:numId="15">
    <w:abstractNumId w:val="17"/>
  </w:num>
  <w:num w:numId="16">
    <w:abstractNumId w:val="23"/>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3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1"/>
    <w:lvlOverride w:ilvl="0">
      <w:startOverride w:val="1"/>
    </w:lvlOverride>
  </w:num>
  <w:num w:numId="26">
    <w:abstractNumId w:val="14"/>
    <w:lvlOverride w:ilvl="0">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1"/>
    <w:lvlOverride w:ilvl="0">
      <w:startOverride w:val="51"/>
    </w:lvlOverride>
  </w:num>
  <w:num w:numId="30">
    <w:abstractNumId w:val="2"/>
  </w:num>
  <w:num w:numId="31">
    <w:abstractNumId w:val="3"/>
    <w:lvlOverride w:ilvl="0">
      <w:startOverride w:val="48"/>
    </w:lvlOverride>
  </w:num>
  <w:num w:numId="32">
    <w:abstractNumId w:val="3"/>
    <w:lvlOverride w:ilvl="0">
      <w:startOverride w:val="49"/>
    </w:lvlOverride>
  </w:num>
  <w:num w:numId="33">
    <w:abstractNumId w:val="4"/>
  </w:num>
  <w:num w:numId="34">
    <w:abstractNumId w:val="15"/>
  </w:num>
  <w:num w:numId="35">
    <w:abstractNumId w:val="24"/>
  </w:num>
  <w:num w:numId="36">
    <w:abstractNumId w:val="18"/>
  </w:num>
  <w:num w:numId="37">
    <w:abstractNumId w:val="9"/>
  </w:num>
  <w:num w:numId="38">
    <w:abstractNumId w:val="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noLineBreaksAfter w:lang="zh-CN" w:val="$(-[{£¥·‘“〈《「『【〔〖〝﹙﹛﹝＄（．［｛￡￥"/>
  <w:noLineBreaksBefore w:lang="zh-CN" w:val="!%),-.:;&gt;?]}¢¨°·ˇˉ―‖’”…‰′″›℃∶、。〃〉》」』】〕〗〞︶︺︾﹀﹄﹚﹜﹞！＂％＇），．：；？］｀｜｝～￠"/>
  <w:hdrShapeDefaults>
    <o:shapedefaults v:ext="edit" spidmax="21506">
      <o:colormenu v:ext="edit" fillcolor="none" strokecolor="non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
  <w:docVars>
    <w:docVar w:name="dgnword-docGUID" w:val="{F95EC7C7-5007-48AC-89AA-C1DCD60F1E57}"/>
    <w:docVar w:name="dgnword-eventsink" w:val="167315072"/>
  </w:docVars>
  <w:rsids>
    <w:rsidRoot w:val="00A6736B"/>
    <w:rsid w:val="00013153"/>
    <w:rsid w:val="00014E79"/>
    <w:rsid w:val="00021673"/>
    <w:rsid w:val="000231E8"/>
    <w:rsid w:val="00023CE9"/>
    <w:rsid w:val="000243C1"/>
    <w:rsid w:val="00032DAA"/>
    <w:rsid w:val="00033599"/>
    <w:rsid w:val="00035F0F"/>
    <w:rsid w:val="00037388"/>
    <w:rsid w:val="0005043C"/>
    <w:rsid w:val="00050772"/>
    <w:rsid w:val="00053C06"/>
    <w:rsid w:val="000609ED"/>
    <w:rsid w:val="000641AA"/>
    <w:rsid w:val="00065BED"/>
    <w:rsid w:val="000818C9"/>
    <w:rsid w:val="000833FF"/>
    <w:rsid w:val="00094971"/>
    <w:rsid w:val="00095657"/>
    <w:rsid w:val="000A5757"/>
    <w:rsid w:val="000A7E23"/>
    <w:rsid w:val="000B318E"/>
    <w:rsid w:val="000B3B82"/>
    <w:rsid w:val="000C1C17"/>
    <w:rsid w:val="000C5A25"/>
    <w:rsid w:val="000C680A"/>
    <w:rsid w:val="000D371B"/>
    <w:rsid w:val="000D71C7"/>
    <w:rsid w:val="000E6243"/>
    <w:rsid w:val="000E711A"/>
    <w:rsid w:val="000F48C2"/>
    <w:rsid w:val="000F5357"/>
    <w:rsid w:val="000F70C2"/>
    <w:rsid w:val="00110FFE"/>
    <w:rsid w:val="00145EEB"/>
    <w:rsid w:val="00150C8B"/>
    <w:rsid w:val="00151B98"/>
    <w:rsid w:val="00156CAD"/>
    <w:rsid w:val="00163756"/>
    <w:rsid w:val="001712FA"/>
    <w:rsid w:val="00175090"/>
    <w:rsid w:val="00175D50"/>
    <w:rsid w:val="00186511"/>
    <w:rsid w:val="00187201"/>
    <w:rsid w:val="0019014E"/>
    <w:rsid w:val="00196CA1"/>
    <w:rsid w:val="001A0076"/>
    <w:rsid w:val="001A20F6"/>
    <w:rsid w:val="001A2BF6"/>
    <w:rsid w:val="001A6989"/>
    <w:rsid w:val="001B11C3"/>
    <w:rsid w:val="001B41B6"/>
    <w:rsid w:val="001B6185"/>
    <w:rsid w:val="001C0A0A"/>
    <w:rsid w:val="001C6098"/>
    <w:rsid w:val="001C7B09"/>
    <w:rsid w:val="001D18B1"/>
    <w:rsid w:val="001E4429"/>
    <w:rsid w:val="001E4A4A"/>
    <w:rsid w:val="001E6310"/>
    <w:rsid w:val="001F62F1"/>
    <w:rsid w:val="0020025C"/>
    <w:rsid w:val="00201689"/>
    <w:rsid w:val="00201DD3"/>
    <w:rsid w:val="0020268D"/>
    <w:rsid w:val="00206435"/>
    <w:rsid w:val="002218EB"/>
    <w:rsid w:val="0022226F"/>
    <w:rsid w:val="00224A60"/>
    <w:rsid w:val="0022719B"/>
    <w:rsid w:val="00236805"/>
    <w:rsid w:val="00241093"/>
    <w:rsid w:val="00246D40"/>
    <w:rsid w:val="00247929"/>
    <w:rsid w:val="00247C83"/>
    <w:rsid w:val="00252610"/>
    <w:rsid w:val="00255C2A"/>
    <w:rsid w:val="00257CAD"/>
    <w:rsid w:val="00263FA0"/>
    <w:rsid w:val="00264154"/>
    <w:rsid w:val="00265C64"/>
    <w:rsid w:val="00265F6A"/>
    <w:rsid w:val="00270F8E"/>
    <w:rsid w:val="002738D0"/>
    <w:rsid w:val="00276DEE"/>
    <w:rsid w:val="002812C8"/>
    <w:rsid w:val="00281920"/>
    <w:rsid w:val="002839C7"/>
    <w:rsid w:val="00286518"/>
    <w:rsid w:val="0028751C"/>
    <w:rsid w:val="0029521D"/>
    <w:rsid w:val="00297512"/>
    <w:rsid w:val="002A4803"/>
    <w:rsid w:val="002A6525"/>
    <w:rsid w:val="002B7434"/>
    <w:rsid w:val="002C6945"/>
    <w:rsid w:val="002D0BE4"/>
    <w:rsid w:val="002D4632"/>
    <w:rsid w:val="002D7DB1"/>
    <w:rsid w:val="002E02E2"/>
    <w:rsid w:val="002E38E5"/>
    <w:rsid w:val="002E70C5"/>
    <w:rsid w:val="002F28F8"/>
    <w:rsid w:val="002F4D17"/>
    <w:rsid w:val="002F6416"/>
    <w:rsid w:val="002F7FE4"/>
    <w:rsid w:val="00300FF6"/>
    <w:rsid w:val="0030180D"/>
    <w:rsid w:val="00303598"/>
    <w:rsid w:val="00320EE0"/>
    <w:rsid w:val="003235C5"/>
    <w:rsid w:val="00326176"/>
    <w:rsid w:val="0032713F"/>
    <w:rsid w:val="00341011"/>
    <w:rsid w:val="0034185D"/>
    <w:rsid w:val="00351974"/>
    <w:rsid w:val="00367597"/>
    <w:rsid w:val="003713AD"/>
    <w:rsid w:val="00371E9C"/>
    <w:rsid w:val="00372318"/>
    <w:rsid w:val="00372CA5"/>
    <w:rsid w:val="00374657"/>
    <w:rsid w:val="00374FD7"/>
    <w:rsid w:val="00390084"/>
    <w:rsid w:val="003B0E29"/>
    <w:rsid w:val="003B4A4A"/>
    <w:rsid w:val="003D0E4A"/>
    <w:rsid w:val="003D264C"/>
    <w:rsid w:val="003E4BBA"/>
    <w:rsid w:val="003F65C5"/>
    <w:rsid w:val="003F6D0B"/>
    <w:rsid w:val="003F7971"/>
    <w:rsid w:val="00400B5F"/>
    <w:rsid w:val="004037A5"/>
    <w:rsid w:val="00405D59"/>
    <w:rsid w:val="00407E8D"/>
    <w:rsid w:val="00413432"/>
    <w:rsid w:val="00426482"/>
    <w:rsid w:val="00427A6C"/>
    <w:rsid w:val="00432FBD"/>
    <w:rsid w:val="0043370C"/>
    <w:rsid w:val="00440084"/>
    <w:rsid w:val="004650E1"/>
    <w:rsid w:val="0046553C"/>
    <w:rsid w:val="00465F27"/>
    <w:rsid w:val="0047444F"/>
    <w:rsid w:val="00476F1B"/>
    <w:rsid w:val="004771CF"/>
    <w:rsid w:val="00477E04"/>
    <w:rsid w:val="00486AFF"/>
    <w:rsid w:val="00490847"/>
    <w:rsid w:val="00491A17"/>
    <w:rsid w:val="00492EE3"/>
    <w:rsid w:val="004A1E1E"/>
    <w:rsid w:val="004A2344"/>
    <w:rsid w:val="004A5CA0"/>
    <w:rsid w:val="004B468E"/>
    <w:rsid w:val="004C41E7"/>
    <w:rsid w:val="004C7B0B"/>
    <w:rsid w:val="004D4A24"/>
    <w:rsid w:val="004E2030"/>
    <w:rsid w:val="004E7D24"/>
    <w:rsid w:val="00500B23"/>
    <w:rsid w:val="00513DC3"/>
    <w:rsid w:val="0051554B"/>
    <w:rsid w:val="00521B1E"/>
    <w:rsid w:val="00521B54"/>
    <w:rsid w:val="00524480"/>
    <w:rsid w:val="00525704"/>
    <w:rsid w:val="00554B53"/>
    <w:rsid w:val="0055788A"/>
    <w:rsid w:val="005831F9"/>
    <w:rsid w:val="00587CF2"/>
    <w:rsid w:val="00597213"/>
    <w:rsid w:val="005A1002"/>
    <w:rsid w:val="005A2AB5"/>
    <w:rsid w:val="005A47C8"/>
    <w:rsid w:val="005A7CEC"/>
    <w:rsid w:val="005B3293"/>
    <w:rsid w:val="005B5712"/>
    <w:rsid w:val="005C27D9"/>
    <w:rsid w:val="005D0340"/>
    <w:rsid w:val="005F225E"/>
    <w:rsid w:val="005F5396"/>
    <w:rsid w:val="005F71FD"/>
    <w:rsid w:val="006001F0"/>
    <w:rsid w:val="006069DC"/>
    <w:rsid w:val="0061580A"/>
    <w:rsid w:val="00624500"/>
    <w:rsid w:val="00627664"/>
    <w:rsid w:val="006308AC"/>
    <w:rsid w:val="00636FF0"/>
    <w:rsid w:val="00650FAE"/>
    <w:rsid w:val="006510BE"/>
    <w:rsid w:val="00653D7C"/>
    <w:rsid w:val="00656BCF"/>
    <w:rsid w:val="00662229"/>
    <w:rsid w:val="00662768"/>
    <w:rsid w:val="006706B8"/>
    <w:rsid w:val="00675ADA"/>
    <w:rsid w:val="0067799B"/>
    <w:rsid w:val="00680F8C"/>
    <w:rsid w:val="00693605"/>
    <w:rsid w:val="00695250"/>
    <w:rsid w:val="0069532D"/>
    <w:rsid w:val="006A0D99"/>
    <w:rsid w:val="006A7445"/>
    <w:rsid w:val="006A78C9"/>
    <w:rsid w:val="006B0F38"/>
    <w:rsid w:val="006B52E7"/>
    <w:rsid w:val="006B6CBF"/>
    <w:rsid w:val="006C1CFD"/>
    <w:rsid w:val="006D5967"/>
    <w:rsid w:val="006D60F8"/>
    <w:rsid w:val="006E2569"/>
    <w:rsid w:val="006E33A0"/>
    <w:rsid w:val="006E6971"/>
    <w:rsid w:val="006F519B"/>
    <w:rsid w:val="006F7704"/>
    <w:rsid w:val="007065F9"/>
    <w:rsid w:val="007134CB"/>
    <w:rsid w:val="0071789E"/>
    <w:rsid w:val="00720016"/>
    <w:rsid w:val="007230F8"/>
    <w:rsid w:val="00723B25"/>
    <w:rsid w:val="00723BF9"/>
    <w:rsid w:val="00723FFA"/>
    <w:rsid w:val="00730253"/>
    <w:rsid w:val="00730F44"/>
    <w:rsid w:val="007351C7"/>
    <w:rsid w:val="0073583F"/>
    <w:rsid w:val="0074048B"/>
    <w:rsid w:val="007413D1"/>
    <w:rsid w:val="00741E3A"/>
    <w:rsid w:val="0074746B"/>
    <w:rsid w:val="00753442"/>
    <w:rsid w:val="007566FA"/>
    <w:rsid w:val="00763FD4"/>
    <w:rsid w:val="007675F4"/>
    <w:rsid w:val="00774863"/>
    <w:rsid w:val="00777C78"/>
    <w:rsid w:val="00780F33"/>
    <w:rsid w:val="0078678F"/>
    <w:rsid w:val="00796C63"/>
    <w:rsid w:val="007A5758"/>
    <w:rsid w:val="007B00C6"/>
    <w:rsid w:val="007C4751"/>
    <w:rsid w:val="007C4C4E"/>
    <w:rsid w:val="007C4FDE"/>
    <w:rsid w:val="007E2BCD"/>
    <w:rsid w:val="007E49EC"/>
    <w:rsid w:val="007E73C7"/>
    <w:rsid w:val="007F0101"/>
    <w:rsid w:val="007F1516"/>
    <w:rsid w:val="008003FF"/>
    <w:rsid w:val="00800D1A"/>
    <w:rsid w:val="0080747C"/>
    <w:rsid w:val="00816B1C"/>
    <w:rsid w:val="008231EE"/>
    <w:rsid w:val="0082757A"/>
    <w:rsid w:val="0083024C"/>
    <w:rsid w:val="00854EC9"/>
    <w:rsid w:val="008576F4"/>
    <w:rsid w:val="008608C2"/>
    <w:rsid w:val="0086326C"/>
    <w:rsid w:val="0086390B"/>
    <w:rsid w:val="00865D3E"/>
    <w:rsid w:val="0086680F"/>
    <w:rsid w:val="008708DB"/>
    <w:rsid w:val="008744CF"/>
    <w:rsid w:val="00874F97"/>
    <w:rsid w:val="008761FA"/>
    <w:rsid w:val="00876D0B"/>
    <w:rsid w:val="008778E8"/>
    <w:rsid w:val="00883A53"/>
    <w:rsid w:val="0088494E"/>
    <w:rsid w:val="00884E2E"/>
    <w:rsid w:val="00890BA9"/>
    <w:rsid w:val="00893027"/>
    <w:rsid w:val="008A1741"/>
    <w:rsid w:val="008A17A4"/>
    <w:rsid w:val="008A3982"/>
    <w:rsid w:val="008A5A2C"/>
    <w:rsid w:val="008B21FD"/>
    <w:rsid w:val="008B626E"/>
    <w:rsid w:val="008C7981"/>
    <w:rsid w:val="008D53F3"/>
    <w:rsid w:val="008E29A6"/>
    <w:rsid w:val="008F741E"/>
    <w:rsid w:val="00913300"/>
    <w:rsid w:val="0092336C"/>
    <w:rsid w:val="009253E2"/>
    <w:rsid w:val="00943408"/>
    <w:rsid w:val="0094342E"/>
    <w:rsid w:val="009438B0"/>
    <w:rsid w:val="00945319"/>
    <w:rsid w:val="009554CA"/>
    <w:rsid w:val="00957582"/>
    <w:rsid w:val="00963FCE"/>
    <w:rsid w:val="00967650"/>
    <w:rsid w:val="00967EE6"/>
    <w:rsid w:val="0097187A"/>
    <w:rsid w:val="00973A9D"/>
    <w:rsid w:val="00973AE6"/>
    <w:rsid w:val="0097459C"/>
    <w:rsid w:val="00976580"/>
    <w:rsid w:val="0097708F"/>
    <w:rsid w:val="00977545"/>
    <w:rsid w:val="00980561"/>
    <w:rsid w:val="00991FCB"/>
    <w:rsid w:val="009925D5"/>
    <w:rsid w:val="00994FDA"/>
    <w:rsid w:val="009A1860"/>
    <w:rsid w:val="009A2629"/>
    <w:rsid w:val="009A3E84"/>
    <w:rsid w:val="009A597B"/>
    <w:rsid w:val="009A7F3D"/>
    <w:rsid w:val="009B2DD7"/>
    <w:rsid w:val="009B38D9"/>
    <w:rsid w:val="009B5FFE"/>
    <w:rsid w:val="009C079D"/>
    <w:rsid w:val="009C1CBC"/>
    <w:rsid w:val="009D1047"/>
    <w:rsid w:val="009E30F5"/>
    <w:rsid w:val="009E54EC"/>
    <w:rsid w:val="009F0ABA"/>
    <w:rsid w:val="009F3B98"/>
    <w:rsid w:val="009F4C9F"/>
    <w:rsid w:val="009F5D84"/>
    <w:rsid w:val="00A03843"/>
    <w:rsid w:val="00A0522B"/>
    <w:rsid w:val="00A06B9E"/>
    <w:rsid w:val="00A120AC"/>
    <w:rsid w:val="00A12D30"/>
    <w:rsid w:val="00A3008E"/>
    <w:rsid w:val="00A33246"/>
    <w:rsid w:val="00A340DE"/>
    <w:rsid w:val="00A5208A"/>
    <w:rsid w:val="00A52C3A"/>
    <w:rsid w:val="00A5596E"/>
    <w:rsid w:val="00A56536"/>
    <w:rsid w:val="00A606E0"/>
    <w:rsid w:val="00A6736B"/>
    <w:rsid w:val="00A70183"/>
    <w:rsid w:val="00A80241"/>
    <w:rsid w:val="00A80A25"/>
    <w:rsid w:val="00A839CA"/>
    <w:rsid w:val="00A85BF0"/>
    <w:rsid w:val="00A90F57"/>
    <w:rsid w:val="00A9106D"/>
    <w:rsid w:val="00A92982"/>
    <w:rsid w:val="00A97179"/>
    <w:rsid w:val="00AA0758"/>
    <w:rsid w:val="00AA33E3"/>
    <w:rsid w:val="00AA4BD3"/>
    <w:rsid w:val="00AB2209"/>
    <w:rsid w:val="00AC70A7"/>
    <w:rsid w:val="00AD23D9"/>
    <w:rsid w:val="00AD3EBF"/>
    <w:rsid w:val="00AD6F8A"/>
    <w:rsid w:val="00AE0A20"/>
    <w:rsid w:val="00AF1718"/>
    <w:rsid w:val="00AF7E55"/>
    <w:rsid w:val="00B0016E"/>
    <w:rsid w:val="00B00AA8"/>
    <w:rsid w:val="00B01FD5"/>
    <w:rsid w:val="00B02A6A"/>
    <w:rsid w:val="00B04289"/>
    <w:rsid w:val="00B05E0D"/>
    <w:rsid w:val="00B1197B"/>
    <w:rsid w:val="00B16EC1"/>
    <w:rsid w:val="00B17289"/>
    <w:rsid w:val="00B172A2"/>
    <w:rsid w:val="00B23C1C"/>
    <w:rsid w:val="00B262AE"/>
    <w:rsid w:val="00B26D76"/>
    <w:rsid w:val="00B27C40"/>
    <w:rsid w:val="00B35540"/>
    <w:rsid w:val="00B462BE"/>
    <w:rsid w:val="00B46FBE"/>
    <w:rsid w:val="00B55ACD"/>
    <w:rsid w:val="00B608A7"/>
    <w:rsid w:val="00B743E9"/>
    <w:rsid w:val="00B8305A"/>
    <w:rsid w:val="00B8552E"/>
    <w:rsid w:val="00B9207B"/>
    <w:rsid w:val="00B93AF8"/>
    <w:rsid w:val="00B96DA2"/>
    <w:rsid w:val="00BA7BDB"/>
    <w:rsid w:val="00BB15BB"/>
    <w:rsid w:val="00BB317A"/>
    <w:rsid w:val="00BB3272"/>
    <w:rsid w:val="00BB616D"/>
    <w:rsid w:val="00BC4C66"/>
    <w:rsid w:val="00BD23ED"/>
    <w:rsid w:val="00BE11A5"/>
    <w:rsid w:val="00BE1CAE"/>
    <w:rsid w:val="00BE4777"/>
    <w:rsid w:val="00BF2908"/>
    <w:rsid w:val="00BF36D9"/>
    <w:rsid w:val="00C0175F"/>
    <w:rsid w:val="00C0721A"/>
    <w:rsid w:val="00C121D2"/>
    <w:rsid w:val="00C1277C"/>
    <w:rsid w:val="00C17618"/>
    <w:rsid w:val="00C21B7D"/>
    <w:rsid w:val="00C414C9"/>
    <w:rsid w:val="00C46D0B"/>
    <w:rsid w:val="00C47392"/>
    <w:rsid w:val="00C4759C"/>
    <w:rsid w:val="00C5023A"/>
    <w:rsid w:val="00C65C23"/>
    <w:rsid w:val="00C71FBC"/>
    <w:rsid w:val="00C73E1B"/>
    <w:rsid w:val="00C77F1E"/>
    <w:rsid w:val="00C83938"/>
    <w:rsid w:val="00C91A49"/>
    <w:rsid w:val="00C97C23"/>
    <w:rsid w:val="00CA4E5B"/>
    <w:rsid w:val="00CB4342"/>
    <w:rsid w:val="00CB5F85"/>
    <w:rsid w:val="00CB63A5"/>
    <w:rsid w:val="00CC0C46"/>
    <w:rsid w:val="00CC5C5C"/>
    <w:rsid w:val="00CC60FC"/>
    <w:rsid w:val="00CD103D"/>
    <w:rsid w:val="00CD5DB3"/>
    <w:rsid w:val="00CE3ED2"/>
    <w:rsid w:val="00CF7345"/>
    <w:rsid w:val="00D011AD"/>
    <w:rsid w:val="00D03D66"/>
    <w:rsid w:val="00D0576B"/>
    <w:rsid w:val="00D076B3"/>
    <w:rsid w:val="00D12FDC"/>
    <w:rsid w:val="00D20136"/>
    <w:rsid w:val="00D25012"/>
    <w:rsid w:val="00D3112C"/>
    <w:rsid w:val="00D4183F"/>
    <w:rsid w:val="00D50B15"/>
    <w:rsid w:val="00D60912"/>
    <w:rsid w:val="00D615A4"/>
    <w:rsid w:val="00D7087E"/>
    <w:rsid w:val="00D74D71"/>
    <w:rsid w:val="00D93848"/>
    <w:rsid w:val="00D93BAB"/>
    <w:rsid w:val="00D97887"/>
    <w:rsid w:val="00DA20E1"/>
    <w:rsid w:val="00DA4378"/>
    <w:rsid w:val="00DA4931"/>
    <w:rsid w:val="00DA4FAE"/>
    <w:rsid w:val="00DB62E4"/>
    <w:rsid w:val="00DD5545"/>
    <w:rsid w:val="00DD5627"/>
    <w:rsid w:val="00DE4A96"/>
    <w:rsid w:val="00DE7639"/>
    <w:rsid w:val="00DF518B"/>
    <w:rsid w:val="00E05906"/>
    <w:rsid w:val="00E1238F"/>
    <w:rsid w:val="00E12424"/>
    <w:rsid w:val="00E15478"/>
    <w:rsid w:val="00E15C03"/>
    <w:rsid w:val="00E15EEC"/>
    <w:rsid w:val="00E17ABF"/>
    <w:rsid w:val="00E233A0"/>
    <w:rsid w:val="00E4041C"/>
    <w:rsid w:val="00E419D0"/>
    <w:rsid w:val="00E429FB"/>
    <w:rsid w:val="00E43DEA"/>
    <w:rsid w:val="00E643C6"/>
    <w:rsid w:val="00E65F2A"/>
    <w:rsid w:val="00E743B3"/>
    <w:rsid w:val="00E75AF0"/>
    <w:rsid w:val="00E76106"/>
    <w:rsid w:val="00E91F98"/>
    <w:rsid w:val="00E951E9"/>
    <w:rsid w:val="00E95A36"/>
    <w:rsid w:val="00E976EB"/>
    <w:rsid w:val="00EB07A5"/>
    <w:rsid w:val="00EB29E5"/>
    <w:rsid w:val="00EB6F22"/>
    <w:rsid w:val="00EC1C09"/>
    <w:rsid w:val="00EC6394"/>
    <w:rsid w:val="00ED1209"/>
    <w:rsid w:val="00ED160D"/>
    <w:rsid w:val="00ED534D"/>
    <w:rsid w:val="00ED68D5"/>
    <w:rsid w:val="00EE098B"/>
    <w:rsid w:val="00EE7DB6"/>
    <w:rsid w:val="00EF3895"/>
    <w:rsid w:val="00EF5D12"/>
    <w:rsid w:val="00F031F6"/>
    <w:rsid w:val="00F04E46"/>
    <w:rsid w:val="00F14AFA"/>
    <w:rsid w:val="00F17E0F"/>
    <w:rsid w:val="00F21626"/>
    <w:rsid w:val="00F24B3F"/>
    <w:rsid w:val="00F261F2"/>
    <w:rsid w:val="00F2767B"/>
    <w:rsid w:val="00F30070"/>
    <w:rsid w:val="00F314A8"/>
    <w:rsid w:val="00F51105"/>
    <w:rsid w:val="00F5269F"/>
    <w:rsid w:val="00F6454C"/>
    <w:rsid w:val="00F657BE"/>
    <w:rsid w:val="00F67EF4"/>
    <w:rsid w:val="00F72101"/>
    <w:rsid w:val="00F74339"/>
    <w:rsid w:val="00F7533B"/>
    <w:rsid w:val="00F835C7"/>
    <w:rsid w:val="00F93064"/>
    <w:rsid w:val="00F93AF9"/>
    <w:rsid w:val="00FA33DF"/>
    <w:rsid w:val="00FA3958"/>
    <w:rsid w:val="00FA7AA8"/>
    <w:rsid w:val="00FB12DD"/>
    <w:rsid w:val="00FB3C83"/>
    <w:rsid w:val="00FC050E"/>
    <w:rsid w:val="00FC5E8E"/>
    <w:rsid w:val="00FD1945"/>
    <w:rsid w:val="00FD1988"/>
    <w:rsid w:val="00FD4208"/>
    <w:rsid w:val="00FE1156"/>
    <w:rsid w:val="00FE2162"/>
    <w:rsid w:val="00FE57D4"/>
    <w:rsid w:val="00FF2284"/>
    <w:rsid w:val="00FF2668"/>
    <w:rsid w:val="00FF2AA2"/>
    <w:rsid w:val="00FF2CB9"/>
    <w:rsid w:val="00FF35FA"/>
    <w:rsid w:val="00FF54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C7"/>
    <w:pPr>
      <w:tabs>
        <w:tab w:val="left" w:pos="1440"/>
        <w:tab w:val="center" w:pos="4320"/>
        <w:tab w:val="right" w:pos="9072"/>
      </w:tabs>
      <w:snapToGrid w:val="0"/>
    </w:pPr>
    <w:rPr>
      <w:sz w:val="28"/>
      <w:lang w:val="en-GB"/>
    </w:rPr>
  </w:style>
  <w:style w:type="paragraph" w:styleId="Heading1">
    <w:name w:val="heading 1"/>
    <w:basedOn w:val="Normal"/>
    <w:next w:val="Normal"/>
    <w:link w:val="Heading1Char"/>
    <w:qFormat/>
    <w:rsid w:val="002839C7"/>
    <w:pPr>
      <w:keepNext/>
      <w:outlineLvl w:val="0"/>
    </w:pPr>
    <w:rPr>
      <w:i/>
      <w:iCs/>
    </w:rPr>
  </w:style>
  <w:style w:type="paragraph" w:styleId="Heading2">
    <w:name w:val="heading 2"/>
    <w:basedOn w:val="Normal"/>
    <w:next w:val="Normal"/>
    <w:qFormat/>
    <w:rsid w:val="002839C7"/>
    <w:pPr>
      <w:keepNext/>
      <w:snapToGrid/>
      <w:outlineLvl w:val="1"/>
    </w:pPr>
    <w:rPr>
      <w:b/>
      <w:bCs/>
      <w:sz w:val="20"/>
      <w:szCs w:val="24"/>
    </w:rPr>
  </w:style>
  <w:style w:type="paragraph" w:styleId="Heading3">
    <w:name w:val="heading 3"/>
    <w:basedOn w:val="Normal"/>
    <w:next w:val="Normal"/>
    <w:qFormat/>
    <w:rsid w:val="002839C7"/>
    <w:pPr>
      <w:keepNext/>
      <w:snapToGrid/>
      <w:jc w:val="center"/>
      <w:outlineLvl w:val="2"/>
    </w:pPr>
    <w:rPr>
      <w:b/>
      <w:bCs/>
      <w:sz w:val="20"/>
      <w:szCs w:val="24"/>
    </w:rPr>
  </w:style>
  <w:style w:type="paragraph" w:styleId="Heading4">
    <w:name w:val="heading 4"/>
    <w:basedOn w:val="Normal"/>
    <w:next w:val="Normal"/>
    <w:qFormat/>
    <w:rsid w:val="002839C7"/>
    <w:pPr>
      <w:keepNext/>
      <w:tabs>
        <w:tab w:val="clear" w:pos="4320"/>
        <w:tab w:val="clear" w:pos="9072"/>
      </w:tabs>
      <w:snapToGrid/>
      <w:spacing w:line="480" w:lineRule="auto"/>
      <w:outlineLvl w:val="3"/>
    </w:pPr>
    <w:rPr>
      <w:rFonts w:eastAsia="PMingLiU"/>
      <w:b/>
      <w:bCs/>
      <w:spacing w:val="20"/>
      <w:u w:val="single"/>
      <w:lang w:eastAsia="zh-TW"/>
    </w:rPr>
  </w:style>
  <w:style w:type="paragraph" w:styleId="Heading5">
    <w:name w:val="heading 5"/>
    <w:basedOn w:val="Normal"/>
    <w:next w:val="Normal"/>
    <w:link w:val="Heading5Char"/>
    <w:uiPriority w:val="9"/>
    <w:qFormat/>
    <w:rsid w:val="002839C7"/>
    <w:pPr>
      <w:keepNext/>
      <w:tabs>
        <w:tab w:val="clear" w:pos="4320"/>
        <w:tab w:val="clear" w:pos="9072"/>
      </w:tabs>
      <w:spacing w:before="480" w:line="480" w:lineRule="auto"/>
      <w:jc w:val="both"/>
      <w:outlineLvl w:val="4"/>
    </w:pPr>
    <w:rPr>
      <w:rFonts w:eastAsia="PMingLiU"/>
      <w:b/>
      <w:bCs/>
      <w:spacing w:val="20"/>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7664"/>
    <w:rPr>
      <w:i/>
      <w:iCs/>
      <w:sz w:val="28"/>
      <w:lang w:val="en-GB"/>
    </w:rPr>
  </w:style>
  <w:style w:type="paragraph" w:styleId="Header">
    <w:name w:val="header"/>
    <w:basedOn w:val="Normal"/>
    <w:link w:val="HeaderChar"/>
    <w:uiPriority w:val="99"/>
    <w:rsid w:val="002839C7"/>
    <w:pPr>
      <w:tabs>
        <w:tab w:val="center" w:pos="4153"/>
        <w:tab w:val="right" w:pos="8306"/>
      </w:tabs>
      <w:jc w:val="center"/>
    </w:pPr>
    <w:rPr>
      <w:sz w:val="18"/>
    </w:rPr>
  </w:style>
  <w:style w:type="character" w:customStyle="1" w:styleId="HeaderChar">
    <w:name w:val="Header Char"/>
    <w:link w:val="Header"/>
    <w:uiPriority w:val="99"/>
    <w:rsid w:val="00F93064"/>
    <w:rPr>
      <w:sz w:val="18"/>
      <w:lang w:val="en-GB"/>
    </w:rPr>
  </w:style>
  <w:style w:type="paragraph" w:customStyle="1" w:styleId="altd">
    <w:name w:val="altd"/>
    <w:basedOn w:val="Normal"/>
    <w:rsid w:val="002839C7"/>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2839C7"/>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2839C7"/>
    <w:rPr>
      <w:b w:val="0"/>
    </w:rPr>
  </w:style>
  <w:style w:type="paragraph" w:customStyle="1" w:styleId="normal3">
    <w:name w:val="normal3"/>
    <w:basedOn w:val="Normal"/>
    <w:rsid w:val="002839C7"/>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2839C7"/>
    <w:pPr>
      <w:spacing w:line="240" w:lineRule="auto"/>
      <w:jc w:val="right"/>
    </w:pPr>
    <w:rPr>
      <w:b w:val="0"/>
    </w:rPr>
  </w:style>
  <w:style w:type="paragraph" w:styleId="Footer">
    <w:name w:val="footer"/>
    <w:basedOn w:val="Normal"/>
    <w:link w:val="FooterChar"/>
    <w:uiPriority w:val="99"/>
    <w:rsid w:val="002839C7"/>
    <w:pPr>
      <w:tabs>
        <w:tab w:val="center" w:pos="4153"/>
        <w:tab w:val="right" w:pos="8306"/>
      </w:tabs>
    </w:pPr>
    <w:rPr>
      <w:sz w:val="20"/>
    </w:rPr>
  </w:style>
  <w:style w:type="character" w:customStyle="1" w:styleId="FooterChar">
    <w:name w:val="Footer Char"/>
    <w:link w:val="Footer"/>
    <w:uiPriority w:val="99"/>
    <w:rsid w:val="00F74339"/>
    <w:rPr>
      <w:lang w:val="en-GB"/>
    </w:rPr>
  </w:style>
  <w:style w:type="character" w:styleId="PageNumber">
    <w:name w:val="page number"/>
    <w:basedOn w:val="DefaultParagraphFont"/>
    <w:semiHidden/>
    <w:rsid w:val="002839C7"/>
  </w:style>
  <w:style w:type="paragraph" w:customStyle="1" w:styleId="Draft">
    <w:name w:val="Draft"/>
    <w:basedOn w:val="Normal"/>
    <w:rsid w:val="002839C7"/>
    <w:pPr>
      <w:spacing w:line="600" w:lineRule="exact"/>
    </w:pPr>
  </w:style>
  <w:style w:type="paragraph" w:customStyle="1" w:styleId="Final">
    <w:name w:val="Final"/>
    <w:basedOn w:val="Draft"/>
    <w:qFormat/>
    <w:rsid w:val="002839C7"/>
    <w:pPr>
      <w:spacing w:line="360" w:lineRule="auto"/>
    </w:pPr>
  </w:style>
  <w:style w:type="paragraph" w:customStyle="1" w:styleId="Quotation">
    <w:name w:val="Quotation"/>
    <w:basedOn w:val="Normal"/>
    <w:rsid w:val="002839C7"/>
    <w:pPr>
      <w:tabs>
        <w:tab w:val="left" w:pos="1872"/>
        <w:tab w:val="left" w:pos="2304"/>
      </w:tabs>
      <w:spacing w:before="240"/>
      <w:ind w:left="1440" w:right="720"/>
    </w:pPr>
    <w:rPr>
      <w:kern w:val="2"/>
      <w:sz w:val="24"/>
    </w:rPr>
  </w:style>
  <w:style w:type="paragraph" w:customStyle="1" w:styleId="Hanging">
    <w:name w:val="Hanging"/>
    <w:basedOn w:val="Normal"/>
    <w:rsid w:val="002839C7"/>
    <w:pPr>
      <w:snapToGrid/>
      <w:spacing w:before="120" w:line="440" w:lineRule="exact"/>
      <w:ind w:left="1440" w:hanging="720"/>
    </w:pPr>
    <w:rPr>
      <w:kern w:val="2"/>
    </w:rPr>
  </w:style>
  <w:style w:type="paragraph" w:customStyle="1" w:styleId="hspace">
    <w:name w:val="hspace"/>
    <w:basedOn w:val="Normal"/>
    <w:rsid w:val="002839C7"/>
    <w:pPr>
      <w:spacing w:line="200" w:lineRule="exact"/>
    </w:pPr>
  </w:style>
  <w:style w:type="paragraph" w:customStyle="1" w:styleId="Indent">
    <w:name w:val="Indent"/>
    <w:basedOn w:val="Normal"/>
    <w:rsid w:val="002839C7"/>
    <w:pPr>
      <w:tabs>
        <w:tab w:val="left" w:pos="2016"/>
      </w:tabs>
      <w:spacing w:before="240"/>
      <w:ind w:left="1440" w:right="576"/>
    </w:pPr>
  </w:style>
  <w:style w:type="paragraph" w:customStyle="1" w:styleId="Normal10">
    <w:name w:val="Normal1"/>
    <w:basedOn w:val="Normal"/>
    <w:rsid w:val="002839C7"/>
    <w:pPr>
      <w:tabs>
        <w:tab w:val="clear" w:pos="9072"/>
        <w:tab w:val="right" w:pos="8928"/>
      </w:tabs>
      <w:adjustRightInd w:val="0"/>
      <w:textAlignment w:val="baseline"/>
    </w:pPr>
    <w:rPr>
      <w:rFonts w:eastAsia="華康細明體"/>
    </w:rPr>
  </w:style>
  <w:style w:type="paragraph" w:customStyle="1" w:styleId="Normal40">
    <w:name w:val="Normal4"/>
    <w:basedOn w:val="Normal"/>
    <w:rsid w:val="002839C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839C7"/>
    <w:pPr>
      <w:spacing w:line="500" w:lineRule="exact"/>
    </w:pPr>
  </w:style>
  <w:style w:type="paragraph" w:styleId="BodyText">
    <w:name w:val="Body Text"/>
    <w:basedOn w:val="Normal"/>
    <w:semiHidden/>
    <w:rsid w:val="002839C7"/>
    <w:pPr>
      <w:tabs>
        <w:tab w:val="clear" w:pos="1440"/>
        <w:tab w:val="clear" w:pos="4320"/>
        <w:tab w:val="clear" w:pos="9072"/>
      </w:tabs>
      <w:snapToGrid/>
    </w:pPr>
    <w:rPr>
      <w:rFonts w:ascii="Verdana" w:eastAsia="Times New Roman" w:hAnsi="Verdana"/>
      <w:szCs w:val="24"/>
      <w:lang w:val="en-US" w:eastAsia="en-US"/>
    </w:rPr>
  </w:style>
  <w:style w:type="paragraph" w:styleId="NormalWeb">
    <w:name w:val="Normal (Web)"/>
    <w:basedOn w:val="Normal"/>
    <w:uiPriority w:val="99"/>
    <w:semiHidden/>
    <w:rsid w:val="002839C7"/>
    <w:pPr>
      <w:tabs>
        <w:tab w:val="clear" w:pos="1440"/>
        <w:tab w:val="clear" w:pos="4320"/>
        <w:tab w:val="clear" w:pos="9072"/>
      </w:tabs>
      <w:snapToGrid/>
      <w:spacing w:before="100" w:beforeAutospacing="1" w:after="100" w:afterAutospacing="1"/>
    </w:pPr>
    <w:rPr>
      <w:rFonts w:ascii="Arial Unicode MS" w:eastAsia="Arial Unicode MS" w:hAnsi="Arial Unicode MS" w:cs="Arial Unicode MS"/>
      <w:sz w:val="24"/>
      <w:szCs w:val="24"/>
      <w:lang w:val="en-US" w:eastAsia="en-US"/>
    </w:rPr>
  </w:style>
  <w:style w:type="character" w:styleId="Strong">
    <w:name w:val="Strong"/>
    <w:qFormat/>
    <w:rsid w:val="002839C7"/>
    <w:rPr>
      <w:b/>
      <w:bCs/>
    </w:rPr>
  </w:style>
  <w:style w:type="character" w:styleId="Emphasis">
    <w:name w:val="Emphasis"/>
    <w:qFormat/>
    <w:rsid w:val="002839C7"/>
    <w:rPr>
      <w:i/>
      <w:iCs/>
    </w:rPr>
  </w:style>
  <w:style w:type="paragraph" w:customStyle="1" w:styleId="quoting">
    <w:name w:val="quoting"/>
    <w:basedOn w:val="Normal"/>
    <w:rsid w:val="002839C7"/>
    <w:pPr>
      <w:tabs>
        <w:tab w:val="clear" w:pos="4320"/>
        <w:tab w:val="clear" w:pos="9072"/>
      </w:tabs>
      <w:overflowPunct w:val="0"/>
      <w:autoSpaceDE w:val="0"/>
      <w:autoSpaceDN w:val="0"/>
      <w:adjustRightInd w:val="0"/>
      <w:snapToGrid/>
      <w:ind w:left="1418" w:right="737" w:hanging="720"/>
      <w:jc w:val="both"/>
      <w:textAlignment w:val="baseline"/>
    </w:pPr>
    <w:rPr>
      <w:rFonts w:eastAsia="PMingLiU"/>
      <w:sz w:val="24"/>
      <w:lang w:val="en-US"/>
    </w:rPr>
  </w:style>
  <w:style w:type="paragraph" w:customStyle="1" w:styleId="othersinciting">
    <w:name w:val="others in citing"/>
    <w:basedOn w:val="Normal"/>
    <w:rsid w:val="002839C7"/>
    <w:pPr>
      <w:tabs>
        <w:tab w:val="clear" w:pos="4320"/>
        <w:tab w:val="clear" w:pos="9072"/>
      </w:tabs>
      <w:overflowPunct w:val="0"/>
      <w:autoSpaceDE w:val="0"/>
      <w:autoSpaceDN w:val="0"/>
      <w:adjustRightInd w:val="0"/>
      <w:snapToGrid/>
      <w:spacing w:line="360" w:lineRule="auto"/>
      <w:ind w:left="1440" w:hanging="720"/>
      <w:jc w:val="both"/>
      <w:textAlignment w:val="baseline"/>
    </w:pPr>
    <w:rPr>
      <w:rFonts w:eastAsia="PMingLiU"/>
      <w:lang w:val="en-US"/>
    </w:rPr>
  </w:style>
  <w:style w:type="paragraph" w:customStyle="1" w:styleId="Style1">
    <w:name w:val="Style1"/>
    <w:basedOn w:val="Normal"/>
    <w:rsid w:val="002839C7"/>
    <w:pPr>
      <w:numPr>
        <w:numId w:val="1"/>
      </w:numPr>
      <w:tabs>
        <w:tab w:val="clear" w:pos="1440"/>
        <w:tab w:val="clear" w:pos="4320"/>
        <w:tab w:val="clear" w:pos="9072"/>
        <w:tab w:val="left" w:pos="1361"/>
      </w:tabs>
      <w:topLinePunct/>
      <w:autoSpaceDE w:val="0"/>
      <w:autoSpaceDN w:val="0"/>
      <w:snapToGrid/>
      <w:spacing w:line="480" w:lineRule="auto"/>
      <w:jc w:val="both"/>
    </w:pPr>
    <w:rPr>
      <w:rFonts w:eastAsia="MingLiU"/>
      <w:spacing w:val="20"/>
      <w:kern w:val="28"/>
      <w:position w:val="2"/>
    </w:rPr>
  </w:style>
  <w:style w:type="paragraph" w:customStyle="1" w:styleId="para">
    <w:name w:val="para"/>
    <w:uiPriority w:val="99"/>
    <w:rsid w:val="00F93064"/>
    <w:pPr>
      <w:numPr>
        <w:numId w:val="2"/>
      </w:numPr>
      <w:snapToGrid w:val="0"/>
      <w:spacing w:before="480" w:line="360" w:lineRule="auto"/>
      <w:jc w:val="both"/>
    </w:pPr>
    <w:rPr>
      <w:sz w:val="28"/>
      <w:lang w:val="en-GB"/>
    </w:rPr>
  </w:style>
  <w:style w:type="paragraph" w:styleId="BodyTextIndent2">
    <w:name w:val="Body Text Indent 2"/>
    <w:basedOn w:val="Normal"/>
    <w:link w:val="BodyTextIndent2Char"/>
    <w:uiPriority w:val="99"/>
    <w:unhideWhenUsed/>
    <w:rsid w:val="00F93064"/>
    <w:pPr>
      <w:widowControl w:val="0"/>
      <w:tabs>
        <w:tab w:val="clear" w:pos="1440"/>
        <w:tab w:val="clear" w:pos="4320"/>
        <w:tab w:val="clear" w:pos="9072"/>
      </w:tabs>
      <w:snapToGrid/>
      <w:spacing w:after="120" w:line="480" w:lineRule="auto"/>
      <w:ind w:left="360"/>
      <w:jc w:val="both"/>
    </w:pPr>
    <w:rPr>
      <w:kern w:val="2"/>
      <w:sz w:val="21"/>
    </w:rPr>
  </w:style>
  <w:style w:type="character" w:customStyle="1" w:styleId="BodyTextIndent2Char">
    <w:name w:val="Body Text Indent 2 Char"/>
    <w:link w:val="BodyTextIndent2"/>
    <w:uiPriority w:val="99"/>
    <w:rsid w:val="00F93064"/>
    <w:rPr>
      <w:kern w:val="2"/>
      <w:sz w:val="21"/>
    </w:rPr>
  </w:style>
  <w:style w:type="paragraph" w:styleId="BodyTextIndent3">
    <w:name w:val="Body Text Indent 3"/>
    <w:basedOn w:val="Normal"/>
    <w:link w:val="BodyTextIndent3Char"/>
    <w:uiPriority w:val="99"/>
    <w:semiHidden/>
    <w:unhideWhenUsed/>
    <w:rsid w:val="00F93064"/>
    <w:pPr>
      <w:widowControl w:val="0"/>
      <w:tabs>
        <w:tab w:val="clear" w:pos="1440"/>
        <w:tab w:val="clear" w:pos="4320"/>
        <w:tab w:val="clear" w:pos="9072"/>
      </w:tabs>
      <w:snapToGrid/>
      <w:spacing w:after="120"/>
      <w:ind w:left="360"/>
      <w:jc w:val="both"/>
    </w:pPr>
    <w:rPr>
      <w:kern w:val="2"/>
      <w:sz w:val="16"/>
      <w:szCs w:val="16"/>
    </w:rPr>
  </w:style>
  <w:style w:type="character" w:customStyle="1" w:styleId="BodyTextIndent3Char">
    <w:name w:val="Body Text Indent 3 Char"/>
    <w:link w:val="BodyTextIndent3"/>
    <w:uiPriority w:val="99"/>
    <w:semiHidden/>
    <w:rsid w:val="00F93064"/>
    <w:rPr>
      <w:kern w:val="2"/>
      <w:sz w:val="16"/>
      <w:szCs w:val="16"/>
    </w:rPr>
  </w:style>
  <w:style w:type="paragraph" w:styleId="ListParagraph">
    <w:name w:val="List Paragraph"/>
    <w:basedOn w:val="Normal"/>
    <w:uiPriority w:val="34"/>
    <w:qFormat/>
    <w:rsid w:val="00F93064"/>
    <w:pPr>
      <w:ind w:left="720"/>
      <w:contextualSpacing/>
    </w:pPr>
  </w:style>
  <w:style w:type="paragraph" w:styleId="BalloonText">
    <w:name w:val="Balloon Text"/>
    <w:basedOn w:val="Normal"/>
    <w:link w:val="BalloonTextChar"/>
    <w:uiPriority w:val="99"/>
    <w:semiHidden/>
    <w:unhideWhenUsed/>
    <w:rsid w:val="00957582"/>
    <w:rPr>
      <w:rFonts w:ascii="Tahoma" w:hAnsi="Tahoma"/>
      <w:sz w:val="16"/>
      <w:szCs w:val="16"/>
    </w:rPr>
  </w:style>
  <w:style w:type="character" w:customStyle="1" w:styleId="BalloonTextChar">
    <w:name w:val="Balloon Text Char"/>
    <w:link w:val="BalloonText"/>
    <w:uiPriority w:val="99"/>
    <w:semiHidden/>
    <w:rsid w:val="00957582"/>
    <w:rPr>
      <w:rFonts w:ascii="Tahoma" w:hAnsi="Tahoma" w:cs="Tahoma"/>
      <w:sz w:val="16"/>
      <w:szCs w:val="16"/>
      <w:lang w:val="en-GB"/>
    </w:rPr>
  </w:style>
  <w:style w:type="paragraph" w:styleId="FootnoteText">
    <w:name w:val="footnote text"/>
    <w:basedOn w:val="Normal"/>
    <w:link w:val="FootnoteTextChar"/>
    <w:uiPriority w:val="99"/>
    <w:unhideWhenUsed/>
    <w:qFormat/>
    <w:rsid w:val="00EB29E5"/>
    <w:pPr>
      <w:tabs>
        <w:tab w:val="clear" w:pos="1440"/>
        <w:tab w:val="clear" w:pos="4320"/>
        <w:tab w:val="clear" w:pos="9072"/>
      </w:tabs>
      <w:snapToGrid/>
      <w:spacing w:after="200" w:line="276" w:lineRule="auto"/>
    </w:pPr>
    <w:rPr>
      <w:sz w:val="20"/>
    </w:rPr>
  </w:style>
  <w:style w:type="character" w:customStyle="1" w:styleId="FootnoteTextChar">
    <w:name w:val="Footnote Text Char"/>
    <w:link w:val="FootnoteText"/>
    <w:uiPriority w:val="99"/>
    <w:rsid w:val="00EB29E5"/>
    <w:rPr>
      <w:lang w:val="en-GB"/>
    </w:rPr>
  </w:style>
  <w:style w:type="character" w:styleId="FootnoteReference">
    <w:name w:val="footnote reference"/>
    <w:uiPriority w:val="99"/>
    <w:unhideWhenUsed/>
    <w:rsid w:val="00EB29E5"/>
    <w:rPr>
      <w:vertAlign w:val="superscript"/>
    </w:rPr>
  </w:style>
  <w:style w:type="character" w:customStyle="1" w:styleId="BodyText3Char">
    <w:name w:val="Body Text 3 Char"/>
    <w:link w:val="BodyText3"/>
    <w:semiHidden/>
    <w:rsid w:val="00EB29E5"/>
    <w:rPr>
      <w:rFonts w:eastAsia="Times New Roman"/>
      <w:b/>
      <w:i/>
      <w:sz w:val="24"/>
      <w:lang w:eastAsia="en-US"/>
    </w:rPr>
  </w:style>
  <w:style w:type="paragraph" w:styleId="BodyText3">
    <w:name w:val="Body Text 3"/>
    <w:basedOn w:val="Normal"/>
    <w:link w:val="BodyText3Char"/>
    <w:semiHidden/>
    <w:unhideWhenUsed/>
    <w:rsid w:val="00EB29E5"/>
    <w:pPr>
      <w:tabs>
        <w:tab w:val="clear" w:pos="1440"/>
        <w:tab w:val="clear" w:pos="4320"/>
        <w:tab w:val="clear" w:pos="9072"/>
      </w:tabs>
      <w:snapToGrid/>
      <w:spacing w:line="360" w:lineRule="auto"/>
      <w:jc w:val="both"/>
    </w:pPr>
    <w:rPr>
      <w:rFonts w:eastAsia="Times New Roman"/>
      <w:b/>
      <w:i/>
      <w:sz w:val="24"/>
      <w:lang w:eastAsia="en-US"/>
    </w:rPr>
  </w:style>
  <w:style w:type="paragraph" w:customStyle="1" w:styleId="NormalCon">
    <w:name w:val="Normal (Con)"/>
    <w:basedOn w:val="Normal"/>
    <w:rsid w:val="00EB29E5"/>
    <w:pPr>
      <w:tabs>
        <w:tab w:val="clear" w:pos="4320"/>
        <w:tab w:val="clear" w:pos="9072"/>
      </w:tabs>
      <w:adjustRightInd w:val="0"/>
      <w:jc w:val="both"/>
    </w:pPr>
    <w:rPr>
      <w:rFonts w:ascii="MingLiU" w:hAnsi="MingLiU"/>
    </w:rPr>
  </w:style>
  <w:style w:type="character" w:customStyle="1" w:styleId="EndnoteTextChar">
    <w:name w:val="Endnote Text Char"/>
    <w:link w:val="EndnoteText"/>
    <w:uiPriority w:val="99"/>
    <w:semiHidden/>
    <w:rsid w:val="00EB29E5"/>
    <w:rPr>
      <w:lang w:val="en-GB"/>
    </w:rPr>
  </w:style>
  <w:style w:type="paragraph" w:styleId="EndnoteText">
    <w:name w:val="endnote text"/>
    <w:basedOn w:val="Normal"/>
    <w:link w:val="EndnoteTextChar"/>
    <w:uiPriority w:val="99"/>
    <w:semiHidden/>
    <w:unhideWhenUsed/>
    <w:rsid w:val="00EB29E5"/>
    <w:pPr>
      <w:tabs>
        <w:tab w:val="clear" w:pos="1440"/>
        <w:tab w:val="clear" w:pos="4320"/>
        <w:tab w:val="clear" w:pos="9072"/>
      </w:tabs>
      <w:snapToGrid/>
      <w:spacing w:after="200" w:line="276" w:lineRule="auto"/>
    </w:pPr>
    <w:rPr>
      <w:sz w:val="20"/>
    </w:rPr>
  </w:style>
  <w:style w:type="paragraph" w:customStyle="1" w:styleId="ar-draft">
    <w:name w:val="ar-draft"/>
    <w:basedOn w:val="Normal"/>
    <w:rsid w:val="00EB29E5"/>
    <w:pPr>
      <w:numPr>
        <w:numId w:val="3"/>
      </w:numPr>
      <w:tabs>
        <w:tab w:val="clear" w:pos="360"/>
        <w:tab w:val="clear" w:pos="4320"/>
        <w:tab w:val="clear" w:pos="9072"/>
      </w:tabs>
      <w:spacing w:before="360" w:line="360" w:lineRule="auto"/>
    </w:pPr>
    <w:rPr>
      <w:rFonts w:eastAsia="MingLiU"/>
    </w:rPr>
  </w:style>
  <w:style w:type="character" w:customStyle="1" w:styleId="Heading5Char">
    <w:name w:val="Heading 5 Char"/>
    <w:link w:val="Heading5"/>
    <w:uiPriority w:val="9"/>
    <w:rsid w:val="00597213"/>
    <w:rPr>
      <w:rFonts w:eastAsia="PMingLiU"/>
      <w:b/>
      <w:bCs/>
      <w:spacing w:val="20"/>
      <w:sz w:val="28"/>
      <w:u w:val="single"/>
      <w:lang w:val="en-GB" w:eastAsia="zh-TW"/>
    </w:rPr>
  </w:style>
  <w:style w:type="paragraph" w:customStyle="1" w:styleId="ifyou">
    <w:name w:val="if you"/>
    <w:basedOn w:val="ar-draft"/>
    <w:rsid w:val="00597213"/>
    <w:pPr>
      <w:numPr>
        <w:numId w:val="0"/>
      </w:numPr>
      <w:jc w:val="both"/>
    </w:pPr>
    <w:rPr>
      <w:rFonts w:eastAsia="宋体"/>
    </w:rPr>
  </w:style>
  <w:style w:type="paragraph" w:customStyle="1" w:styleId="quote">
    <w:name w:val="quote"/>
    <w:basedOn w:val="Normal"/>
    <w:rsid w:val="00597213"/>
    <w:pPr>
      <w:tabs>
        <w:tab w:val="clear" w:pos="1440"/>
        <w:tab w:val="clear" w:pos="4320"/>
        <w:tab w:val="clear" w:pos="9072"/>
      </w:tabs>
      <w:snapToGrid/>
      <w:spacing w:before="100" w:beforeAutospacing="1" w:after="100" w:afterAutospacing="1"/>
    </w:pPr>
    <w:rPr>
      <w:rFonts w:eastAsia="Times New Roman"/>
      <w:sz w:val="24"/>
      <w:szCs w:val="24"/>
      <w:lang w:val="en-US"/>
    </w:rPr>
  </w:style>
  <w:style w:type="paragraph" w:customStyle="1" w:styleId="Salmanstoprepareavaluationreport">
    <w:name w:val="Salman's to prepare a valuation report"/>
    <w:basedOn w:val="Normal"/>
    <w:rsid w:val="00597213"/>
    <w:pPr>
      <w:tabs>
        <w:tab w:val="left" w:pos="8357"/>
      </w:tabs>
      <w:spacing w:line="360" w:lineRule="auto"/>
      <w:jc w:val="both"/>
      <w:outlineLvl w:val="0"/>
    </w:pPr>
    <w:rPr>
      <w:rFonts w:eastAsia="Arial Unicode MS"/>
      <w:u w:color="000000"/>
    </w:rPr>
  </w:style>
  <w:style w:type="character" w:styleId="Hyperlink">
    <w:name w:val="Hyperlink"/>
    <w:uiPriority w:val="99"/>
    <w:semiHidden/>
    <w:unhideWhenUsed/>
    <w:rsid w:val="00597213"/>
    <w:rPr>
      <w:color w:val="0044BB"/>
      <w:u w:val="single"/>
    </w:rPr>
  </w:style>
  <w:style w:type="paragraph" w:styleId="BodyText2">
    <w:name w:val="Body Text 2"/>
    <w:basedOn w:val="Normal"/>
    <w:link w:val="BodyText2Char"/>
    <w:semiHidden/>
    <w:rsid w:val="00597213"/>
    <w:pPr>
      <w:tabs>
        <w:tab w:val="clear" w:pos="1440"/>
        <w:tab w:val="clear" w:pos="4320"/>
        <w:tab w:val="clear" w:pos="9072"/>
        <w:tab w:val="left" w:pos="1134"/>
      </w:tabs>
      <w:snapToGrid/>
    </w:pPr>
    <w:rPr>
      <w:rFonts w:eastAsia="PMingLiU"/>
      <w:snapToGrid w:val="0"/>
      <w:sz w:val="24"/>
      <w:lang w:eastAsia="en-US"/>
    </w:rPr>
  </w:style>
  <w:style w:type="character" w:customStyle="1" w:styleId="BodyText2Char">
    <w:name w:val="Body Text 2 Char"/>
    <w:link w:val="BodyText2"/>
    <w:semiHidden/>
    <w:rsid w:val="00597213"/>
    <w:rPr>
      <w:rFonts w:eastAsia="PMingLiU"/>
      <w:snapToGrid w:val="0"/>
      <w:sz w:val="24"/>
      <w:lang w:eastAsia="en-US"/>
    </w:rPr>
  </w:style>
  <w:style w:type="character" w:customStyle="1" w:styleId="case">
    <w:name w:val="case"/>
    <w:uiPriority w:val="99"/>
    <w:rsid w:val="00D076B3"/>
    <w:rPr>
      <w:i/>
      <w:iCs/>
    </w:rPr>
  </w:style>
  <w:style w:type="character" w:customStyle="1" w:styleId="case0">
    <w:name w:val="/case"/>
    <w:basedOn w:val="DefaultParagraphFont"/>
    <w:uiPriority w:val="99"/>
    <w:rsid w:val="00D076B3"/>
  </w:style>
  <w:style w:type="paragraph" w:customStyle="1" w:styleId="j-draft">
    <w:name w:val="j-draft"/>
    <w:basedOn w:val="Normal"/>
    <w:rsid w:val="00D076B3"/>
    <w:pPr>
      <w:numPr>
        <w:numId w:val="26"/>
      </w:numPr>
      <w:tabs>
        <w:tab w:val="clear" w:pos="4320"/>
        <w:tab w:val="clear" w:pos="9072"/>
      </w:tabs>
      <w:kinsoku w:val="0"/>
      <w:overflowPunct w:val="0"/>
      <w:autoSpaceDE w:val="0"/>
      <w:autoSpaceDN w:val="0"/>
      <w:adjustRightInd w:val="0"/>
      <w:spacing w:before="360" w:line="360" w:lineRule="auto"/>
      <w:jc w:val="both"/>
    </w:pPr>
    <w:rPr>
      <w:rFonts w:eastAsia="MingLiU"/>
    </w:rPr>
  </w:style>
  <w:style w:type="paragraph" w:customStyle="1" w:styleId="j-quotation">
    <w:name w:val="j-quotation"/>
    <w:rsid w:val="00D076B3"/>
    <w:pPr>
      <w:tabs>
        <w:tab w:val="left" w:pos="720"/>
        <w:tab w:val="left" w:pos="1440"/>
      </w:tabs>
      <w:kinsoku w:val="0"/>
      <w:overflowPunct w:val="0"/>
      <w:autoSpaceDE w:val="0"/>
      <w:autoSpaceDN w:val="0"/>
      <w:adjustRightInd w:val="0"/>
      <w:snapToGrid w:val="0"/>
      <w:spacing w:before="180" w:after="60"/>
      <w:ind w:left="1440" w:right="720"/>
      <w:jc w:val="both"/>
    </w:pPr>
    <w:rPr>
      <w:sz w:val="24"/>
      <w:lang w:val="en-GB" w:eastAsia="en-US"/>
    </w:rPr>
  </w:style>
  <w:style w:type="paragraph" w:customStyle="1" w:styleId="JDINumber">
    <w:name w:val="JDI Number"/>
    <w:qFormat/>
    <w:locked/>
    <w:rsid w:val="00D076B3"/>
    <w:pPr>
      <w:numPr>
        <w:numId w:val="28"/>
      </w:numPr>
      <w:spacing w:before="360" w:line="360" w:lineRule="auto"/>
      <w:jc w:val="both"/>
    </w:pPr>
    <w:rPr>
      <w:rFonts w:eastAsia="Arial Unicode MS"/>
      <w:kern w:val="1"/>
      <w:sz w:val="24"/>
      <w:szCs w:val="24"/>
      <w:lang w:val="en-NZ" w:eastAsia="en-NZ"/>
    </w:rPr>
  </w:style>
</w:styles>
</file>

<file path=word/webSettings.xml><?xml version="1.0" encoding="utf-8"?>
<w:webSettings xmlns:r="http://schemas.openxmlformats.org/officeDocument/2006/relationships" xmlns:w="http://schemas.openxmlformats.org/wordprocessingml/2006/main">
  <w:divs>
    <w:div w:id="10442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HL/2004/47.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lii.org/cgi-bin/redirect.cgi?path=/uk/cases/UKSC/2010/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ailii.org/uk/cases/UKSC/2010/1.html" TargetMode="External"/><Relationship Id="rId4" Type="http://schemas.openxmlformats.org/officeDocument/2006/relationships/settings" Target="settings.xml"/><Relationship Id="rId9" Type="http://schemas.openxmlformats.org/officeDocument/2006/relationships/hyperlink" Target="http://www.bailii.org/cgi-bin/redirect.cgi?path=/uk/cases/UKHL/2004/47.htm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hklii.hk/eng/hk/legis/ord/383/s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arling%20WL%20Chan\Desktop\new%20template%20since%201.2.12\lunn%20(use%20Ms%20for%20all%20Mrs%20and%20Miss)\CACC-Lun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81CA7-F368-4B1B-94BA-7ECFB57C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CACC-Lunn (2).dotx</Template>
  <TotalTime>1</TotalTime>
  <Pages>34</Pages>
  <Words>7934</Words>
  <Characters>45229</Characters>
  <Application>Microsoft Office Word</Application>
  <DocSecurity>0</DocSecurity>
  <Lines>376</Lines>
  <Paragraphs>106</Paragraphs>
  <ScaleCrop>false</ScaleCrop>
  <Company>Judiciary Hong Kong</Company>
  <LinksUpToDate>false</LinksUpToDate>
  <CharactersWithSpaces>53057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Judiciary</dc:creator>
  <cp:lastModifiedBy>KwanKi Fan</cp:lastModifiedBy>
  <cp:revision>2</cp:revision>
  <cp:lastPrinted>2016-05-25T08:38:00Z</cp:lastPrinted>
  <dcterms:created xsi:type="dcterms:W3CDTF">2016-05-25T08:58:00Z</dcterms:created>
  <dcterms:modified xsi:type="dcterms:W3CDTF">2016-05-25T08:58:00Z</dcterms:modified>
</cp:coreProperties>
</file>