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16C" w:rsidRPr="00D01AAF" w:rsidRDefault="00690FCB" w:rsidP="0000516C">
      <w:pPr>
        <w:pStyle w:val="normal1"/>
        <w:jc w:val="right"/>
        <w:rPr>
          <w:caps/>
        </w:rPr>
      </w:pPr>
      <w:r w:rsidRPr="00D01AAF">
        <w:rPr>
          <w:rFonts w:eastAsia="宋体"/>
          <w:caps/>
        </w:rPr>
        <w:t>CA</w:t>
      </w:r>
      <w:r w:rsidR="0000516C" w:rsidRPr="00D01AAF">
        <w:rPr>
          <w:rFonts w:eastAsia="宋体"/>
          <w:caps/>
        </w:rPr>
        <w:t>C</w:t>
      </w:r>
      <w:r w:rsidR="00D01D69" w:rsidRPr="00D01AAF">
        <w:rPr>
          <w:rFonts w:eastAsia="宋体"/>
          <w:caps/>
        </w:rPr>
        <w:t xml:space="preserve">C </w:t>
      </w:r>
      <w:r w:rsidR="00C83196" w:rsidRPr="00D01AAF">
        <w:rPr>
          <w:rFonts w:eastAsia="宋体"/>
          <w:caps/>
        </w:rPr>
        <w:t>333</w:t>
      </w:r>
      <w:r w:rsidR="0000516C" w:rsidRPr="00D01AAF">
        <w:rPr>
          <w:caps/>
        </w:rPr>
        <w:t>/</w:t>
      </w:r>
      <w:r w:rsidR="00C83196" w:rsidRPr="00D01AAF">
        <w:rPr>
          <w:caps/>
        </w:rPr>
        <w:t>2018</w:t>
      </w:r>
    </w:p>
    <w:p w:rsidR="0000516C" w:rsidRPr="00D01AAF" w:rsidRDefault="00A30C17" w:rsidP="0000516C">
      <w:pPr>
        <w:pStyle w:val="normal1"/>
        <w:tabs>
          <w:tab w:val="clear" w:pos="1411"/>
        </w:tabs>
        <w:jc w:val="right"/>
      </w:pPr>
      <w:r>
        <w:t>[2020</w:t>
      </w:r>
      <w:r w:rsidR="0000516C" w:rsidRPr="00D01AAF">
        <w:t xml:space="preserve">] HKCA </w:t>
      </w:r>
      <w:r w:rsidR="00F252B2">
        <w:t>53</w:t>
      </w:r>
    </w:p>
    <w:p w:rsidR="0000516C" w:rsidRPr="00D01AAF" w:rsidRDefault="0000516C" w:rsidP="0000516C">
      <w:pPr>
        <w:pStyle w:val="normal1"/>
        <w:tabs>
          <w:tab w:val="clear" w:pos="1411"/>
        </w:tabs>
      </w:pPr>
    </w:p>
    <w:p w:rsidR="0000516C" w:rsidRPr="00D01AAF" w:rsidRDefault="0000516C" w:rsidP="0000516C">
      <w:pPr>
        <w:pStyle w:val="normal2"/>
        <w:snapToGrid/>
        <w:spacing w:line="360" w:lineRule="auto"/>
        <w:rPr>
          <w:b/>
          <w:bCs/>
        </w:rPr>
      </w:pPr>
      <w:r w:rsidRPr="00D01AAF">
        <w:rPr>
          <w:b/>
          <w:bCs/>
        </w:rPr>
        <w:t>in the high court of the</w:t>
      </w:r>
    </w:p>
    <w:p w:rsidR="0000516C" w:rsidRPr="00D01AAF" w:rsidRDefault="0000516C" w:rsidP="0000516C">
      <w:pPr>
        <w:pStyle w:val="normal2"/>
        <w:snapToGrid/>
        <w:spacing w:line="360" w:lineRule="auto"/>
        <w:rPr>
          <w:b/>
          <w:bCs/>
        </w:rPr>
      </w:pPr>
      <w:r w:rsidRPr="00D01AAF">
        <w:rPr>
          <w:b/>
          <w:bCs/>
        </w:rPr>
        <w:t>hong kong special administrative region</w:t>
      </w:r>
    </w:p>
    <w:p w:rsidR="0000516C" w:rsidRPr="00D01AAF" w:rsidRDefault="0000516C" w:rsidP="0000516C">
      <w:pPr>
        <w:pStyle w:val="normal2"/>
        <w:snapToGrid/>
        <w:spacing w:line="360" w:lineRule="auto"/>
        <w:rPr>
          <w:b/>
          <w:bCs/>
        </w:rPr>
      </w:pPr>
      <w:r w:rsidRPr="00D01AAF">
        <w:rPr>
          <w:b/>
          <w:bCs/>
        </w:rPr>
        <w:t>court of appeal</w:t>
      </w:r>
    </w:p>
    <w:p w:rsidR="0000516C" w:rsidRPr="00D01AAF" w:rsidRDefault="00505CA8" w:rsidP="0000516C">
      <w:pPr>
        <w:pStyle w:val="normal3"/>
        <w:tabs>
          <w:tab w:val="clear" w:pos="4500"/>
          <w:tab w:val="clear" w:pos="9000"/>
        </w:tabs>
        <w:spacing w:line="360" w:lineRule="auto"/>
        <w:rPr>
          <w:rFonts w:eastAsia="宋体"/>
          <w:b w:val="0"/>
          <w:bCs/>
          <w:lang w:eastAsia="zh-CN"/>
        </w:rPr>
      </w:pPr>
      <w:r w:rsidRPr="00D01AAF">
        <w:rPr>
          <w:rFonts w:eastAsia="宋体"/>
          <w:b w:val="0"/>
          <w:bCs/>
          <w:lang w:eastAsia="zh-CN"/>
        </w:rPr>
        <w:t>crimi</w:t>
      </w:r>
      <w:r w:rsidR="0093212E" w:rsidRPr="00D01AAF">
        <w:rPr>
          <w:rFonts w:eastAsia="宋体"/>
          <w:b w:val="0"/>
          <w:bCs/>
          <w:lang w:eastAsia="zh-CN"/>
        </w:rPr>
        <w:t>nal</w:t>
      </w:r>
      <w:r w:rsidR="0000516C" w:rsidRPr="00D01AAF">
        <w:rPr>
          <w:rFonts w:eastAsia="宋体"/>
          <w:b w:val="0"/>
          <w:bCs/>
          <w:lang w:eastAsia="zh-CN"/>
        </w:rPr>
        <w:t xml:space="preserve"> </w:t>
      </w:r>
      <w:r w:rsidR="0000516C" w:rsidRPr="00D01AAF">
        <w:rPr>
          <w:b w:val="0"/>
          <w:bCs/>
        </w:rPr>
        <w:t xml:space="preserve">appeal no </w:t>
      </w:r>
      <w:r w:rsidR="00C83196" w:rsidRPr="00D01AAF">
        <w:rPr>
          <w:b w:val="0"/>
          <w:bCs/>
        </w:rPr>
        <w:t xml:space="preserve">333 </w:t>
      </w:r>
      <w:r w:rsidR="0000516C" w:rsidRPr="00D01AAF">
        <w:rPr>
          <w:b w:val="0"/>
          <w:bCs/>
        </w:rPr>
        <w:t>of</w:t>
      </w:r>
      <w:r w:rsidR="0093212E" w:rsidRPr="00D01AAF">
        <w:rPr>
          <w:b w:val="0"/>
          <w:bCs/>
        </w:rPr>
        <w:t xml:space="preserve"> </w:t>
      </w:r>
      <w:r w:rsidR="00C83196" w:rsidRPr="00D01AAF">
        <w:rPr>
          <w:b w:val="0"/>
          <w:bCs/>
        </w:rPr>
        <w:t>2018</w:t>
      </w:r>
    </w:p>
    <w:p w:rsidR="0000516C" w:rsidRPr="00D01AAF" w:rsidRDefault="0000516C" w:rsidP="0000516C">
      <w:pPr>
        <w:pStyle w:val="normal3"/>
        <w:tabs>
          <w:tab w:val="clear" w:pos="4500"/>
          <w:tab w:val="clear" w:pos="9000"/>
        </w:tabs>
        <w:spacing w:after="0"/>
        <w:rPr>
          <w:b w:val="0"/>
          <w:bCs/>
        </w:rPr>
      </w:pPr>
      <w:r w:rsidRPr="00D01AAF">
        <w:rPr>
          <w:b w:val="0"/>
          <w:bCs/>
        </w:rPr>
        <w:t>(on appeal from</w:t>
      </w:r>
      <w:r w:rsidR="0047735B" w:rsidRPr="00D01AAF">
        <w:rPr>
          <w:b w:val="0"/>
          <w:bCs/>
        </w:rPr>
        <w:t xml:space="preserve"> </w:t>
      </w:r>
      <w:r w:rsidR="00C83196" w:rsidRPr="00D01AAF">
        <w:rPr>
          <w:b w:val="0"/>
          <w:bCs/>
        </w:rPr>
        <w:t>DCCC</w:t>
      </w:r>
      <w:r w:rsidR="0047735B" w:rsidRPr="00D01AAF">
        <w:rPr>
          <w:b w:val="0"/>
          <w:bCs/>
        </w:rPr>
        <w:t xml:space="preserve"> </w:t>
      </w:r>
      <w:r w:rsidRPr="00D01AAF">
        <w:rPr>
          <w:rFonts w:eastAsia="宋体"/>
          <w:b w:val="0"/>
          <w:bCs/>
          <w:lang w:eastAsia="zh-CN"/>
        </w:rPr>
        <w:t>NO</w:t>
      </w:r>
      <w:r w:rsidR="0047735B" w:rsidRPr="00D01AAF">
        <w:rPr>
          <w:rFonts w:eastAsia="宋体"/>
          <w:b w:val="0"/>
          <w:bCs/>
          <w:lang w:eastAsia="zh-CN"/>
        </w:rPr>
        <w:t xml:space="preserve"> </w:t>
      </w:r>
      <w:r w:rsidR="00C83196" w:rsidRPr="00D01AAF">
        <w:rPr>
          <w:rFonts w:eastAsia="宋体"/>
          <w:b w:val="0"/>
          <w:bCs/>
          <w:lang w:eastAsia="zh-CN"/>
        </w:rPr>
        <w:t>619</w:t>
      </w:r>
      <w:r w:rsidRPr="00D01AAF">
        <w:rPr>
          <w:rFonts w:eastAsia="宋体"/>
          <w:b w:val="0"/>
          <w:bCs/>
          <w:lang w:eastAsia="zh-CN"/>
        </w:rPr>
        <w:t xml:space="preserve"> </w:t>
      </w:r>
      <w:r w:rsidRPr="00D01AAF">
        <w:rPr>
          <w:b w:val="0"/>
          <w:bCs/>
        </w:rPr>
        <w:t xml:space="preserve">of </w:t>
      </w:r>
      <w:r w:rsidR="00C83196" w:rsidRPr="00D01AAF">
        <w:rPr>
          <w:b w:val="0"/>
          <w:bCs/>
        </w:rPr>
        <w:t>2017</w:t>
      </w:r>
      <w:r w:rsidRPr="00D01AAF">
        <w:rPr>
          <w:b w:val="0"/>
          <w:bCs/>
        </w:rPr>
        <w:t>)</w:t>
      </w:r>
    </w:p>
    <w:tbl>
      <w:tblPr>
        <w:tblW w:w="0" w:type="auto"/>
        <w:jc w:val="center"/>
        <w:tblBorders>
          <w:bottom w:val="single" w:sz="4" w:space="0" w:color="auto"/>
        </w:tblBorders>
        <w:tblLook w:val="0000" w:firstRow="0" w:lastRow="0" w:firstColumn="0" w:lastColumn="0" w:noHBand="0" w:noVBand="0"/>
      </w:tblPr>
      <w:tblGrid>
        <w:gridCol w:w="3150"/>
      </w:tblGrid>
      <w:tr w:rsidR="0000516C" w:rsidRPr="00D01AAF" w:rsidTr="00D45DEB">
        <w:trPr>
          <w:jc w:val="center"/>
        </w:trPr>
        <w:tc>
          <w:tcPr>
            <w:tcW w:w="3150" w:type="dxa"/>
          </w:tcPr>
          <w:p w:rsidR="0000516C" w:rsidRPr="00D01AAF" w:rsidRDefault="0000516C" w:rsidP="00D45DEB">
            <w:pPr>
              <w:pStyle w:val="sh"/>
              <w:tabs>
                <w:tab w:val="clear" w:pos="720"/>
              </w:tabs>
              <w:snapToGrid w:val="0"/>
              <w:jc w:val="center"/>
              <w:rPr>
                <w:lang w:val="en-GB"/>
              </w:rPr>
            </w:pPr>
          </w:p>
        </w:tc>
      </w:tr>
    </w:tbl>
    <w:p w:rsidR="0000516C" w:rsidRPr="00D01AAF" w:rsidRDefault="0000516C" w:rsidP="0000516C">
      <w:pPr>
        <w:pStyle w:val="Heading6"/>
        <w:spacing w:before="240" w:after="240"/>
        <w:rPr>
          <w:b w:val="0"/>
          <w:sz w:val="28"/>
          <w:szCs w:val="28"/>
        </w:rPr>
      </w:pPr>
      <w:r w:rsidRPr="00D01AAF">
        <w:rPr>
          <w:b w:val="0"/>
          <w:sz w:val="28"/>
          <w:szCs w:val="28"/>
        </w:rPr>
        <w:t>BETWEEN</w:t>
      </w:r>
    </w:p>
    <w:tbl>
      <w:tblPr>
        <w:tblW w:w="7308" w:type="dxa"/>
        <w:tblInd w:w="1530" w:type="dxa"/>
        <w:tblLayout w:type="fixed"/>
        <w:tblLook w:val="0000" w:firstRow="0" w:lastRow="0" w:firstColumn="0" w:lastColumn="0" w:noHBand="0" w:noVBand="0"/>
      </w:tblPr>
      <w:tblGrid>
        <w:gridCol w:w="1080"/>
        <w:gridCol w:w="3150"/>
        <w:gridCol w:w="1080"/>
        <w:gridCol w:w="1998"/>
      </w:tblGrid>
      <w:tr w:rsidR="00D01D69" w:rsidRPr="00D01AAF" w:rsidTr="00D45DEB">
        <w:trPr>
          <w:cantSplit/>
          <w:trHeight w:val="504"/>
        </w:trPr>
        <w:tc>
          <w:tcPr>
            <w:tcW w:w="5310" w:type="dxa"/>
            <w:gridSpan w:val="3"/>
          </w:tcPr>
          <w:p w:rsidR="00D01D69" w:rsidRPr="00D01AAF" w:rsidRDefault="00C83196" w:rsidP="00690FCB">
            <w:pPr>
              <w:pStyle w:val="sh"/>
              <w:tabs>
                <w:tab w:val="clear" w:pos="720"/>
                <w:tab w:val="clear" w:pos="1440"/>
                <w:tab w:val="clear" w:pos="4320"/>
              </w:tabs>
              <w:jc w:val="center"/>
              <w:rPr>
                <w:lang w:val="en-GB"/>
              </w:rPr>
            </w:pPr>
            <w:r w:rsidRPr="00D01AAF">
              <w:rPr>
                <w:rFonts w:eastAsia="PMingLiU"/>
                <w:lang w:val="en-GB" w:eastAsia="zh-TW"/>
              </w:rPr>
              <w:t>HKSAR</w:t>
            </w:r>
          </w:p>
        </w:tc>
        <w:tc>
          <w:tcPr>
            <w:tcW w:w="1998" w:type="dxa"/>
          </w:tcPr>
          <w:p w:rsidR="00D01D69" w:rsidRPr="00D01AAF" w:rsidRDefault="00C83196" w:rsidP="00D45DEB">
            <w:pPr>
              <w:pStyle w:val="sh"/>
              <w:tabs>
                <w:tab w:val="clear" w:pos="720"/>
                <w:tab w:val="clear" w:pos="1440"/>
              </w:tabs>
              <w:rPr>
                <w:lang w:val="en-GB"/>
              </w:rPr>
            </w:pPr>
            <w:r w:rsidRPr="00D01AAF">
              <w:rPr>
                <w:lang w:val="en-GB"/>
              </w:rPr>
              <w:t>Appellant</w:t>
            </w:r>
          </w:p>
        </w:tc>
      </w:tr>
      <w:tr w:rsidR="00D01D69" w:rsidRPr="00D01AAF" w:rsidTr="00D45DEB">
        <w:trPr>
          <w:cantSplit/>
          <w:trHeight w:val="504"/>
        </w:trPr>
        <w:tc>
          <w:tcPr>
            <w:tcW w:w="5310" w:type="dxa"/>
            <w:gridSpan w:val="3"/>
          </w:tcPr>
          <w:p w:rsidR="00D01D69" w:rsidRPr="00D01AAF" w:rsidRDefault="00D01D69" w:rsidP="00D45DEB">
            <w:pPr>
              <w:pStyle w:val="sh"/>
              <w:tabs>
                <w:tab w:val="clear" w:pos="720"/>
                <w:tab w:val="clear" w:pos="1440"/>
                <w:tab w:val="clear" w:pos="4320"/>
              </w:tabs>
              <w:jc w:val="center"/>
              <w:rPr>
                <w:lang w:val="en-GB"/>
              </w:rPr>
            </w:pPr>
            <w:r w:rsidRPr="00D01AAF">
              <w:rPr>
                <w:lang w:val="en-GB"/>
              </w:rPr>
              <w:t>and</w:t>
            </w:r>
          </w:p>
        </w:tc>
        <w:tc>
          <w:tcPr>
            <w:tcW w:w="1998" w:type="dxa"/>
          </w:tcPr>
          <w:p w:rsidR="00D01D69" w:rsidRPr="00D01AAF" w:rsidRDefault="00D01D69" w:rsidP="00D45DEB">
            <w:pPr>
              <w:pStyle w:val="sh"/>
              <w:tabs>
                <w:tab w:val="clear" w:pos="720"/>
                <w:tab w:val="clear" w:pos="1440"/>
              </w:tabs>
              <w:rPr>
                <w:lang w:val="en-GB"/>
              </w:rPr>
            </w:pPr>
          </w:p>
        </w:tc>
      </w:tr>
      <w:tr w:rsidR="00D01D69" w:rsidRPr="00D01AAF" w:rsidTr="00D45DEB">
        <w:trPr>
          <w:cantSplit/>
          <w:trHeight w:val="504"/>
        </w:trPr>
        <w:tc>
          <w:tcPr>
            <w:tcW w:w="5310" w:type="dxa"/>
            <w:gridSpan w:val="3"/>
          </w:tcPr>
          <w:p w:rsidR="00D01D69" w:rsidRPr="00D01AAF" w:rsidRDefault="00C83196" w:rsidP="00D45DEB">
            <w:pPr>
              <w:pStyle w:val="sh"/>
              <w:tabs>
                <w:tab w:val="clear" w:pos="720"/>
                <w:tab w:val="clear" w:pos="1440"/>
                <w:tab w:val="clear" w:pos="4320"/>
              </w:tabs>
              <w:jc w:val="center"/>
              <w:rPr>
                <w:lang w:val="en-GB"/>
              </w:rPr>
            </w:pPr>
            <w:r w:rsidRPr="00D01AAF">
              <w:rPr>
                <w:lang w:val="en-GB"/>
              </w:rPr>
              <w:t>Rahman Md Sheikh Mojibur</w:t>
            </w:r>
            <w:r w:rsidR="006F49A5">
              <w:rPr>
                <w:lang w:val="en-GB"/>
              </w:rPr>
              <w:t xml:space="preserve"> (</w:t>
            </w:r>
            <w:r w:rsidR="006F49A5" w:rsidRPr="006F49A5">
              <w:rPr>
                <w:rFonts w:ascii="宋体" w:hAnsi="宋体" w:hint="eastAsia"/>
                <w:lang w:val="en-GB" w:eastAsia="zh-HK"/>
              </w:rPr>
              <w:t>艾力</w:t>
            </w:r>
            <w:r w:rsidR="006F49A5">
              <w:rPr>
                <w:lang w:val="en-GB"/>
              </w:rPr>
              <w:t>)</w:t>
            </w:r>
          </w:p>
        </w:tc>
        <w:tc>
          <w:tcPr>
            <w:tcW w:w="1998" w:type="dxa"/>
          </w:tcPr>
          <w:p w:rsidR="00D01D69" w:rsidRPr="00D01AAF" w:rsidRDefault="00C83196" w:rsidP="00D45DEB">
            <w:pPr>
              <w:pStyle w:val="sh"/>
              <w:tabs>
                <w:tab w:val="clear" w:pos="720"/>
                <w:tab w:val="clear" w:pos="1440"/>
              </w:tabs>
              <w:rPr>
                <w:lang w:val="en-GB"/>
              </w:rPr>
            </w:pPr>
            <w:r w:rsidRPr="00D01AAF">
              <w:rPr>
                <w:lang w:val="en-GB"/>
              </w:rPr>
              <w:t>Respondent</w:t>
            </w:r>
          </w:p>
        </w:tc>
      </w:tr>
      <w:tr w:rsidR="0047735B" w:rsidRPr="00D01AAF" w:rsidTr="00D45DEB">
        <w:tblPrEx>
          <w:tblBorders>
            <w:bottom w:val="single" w:sz="4" w:space="0" w:color="auto"/>
          </w:tblBorders>
        </w:tblPrEx>
        <w:trPr>
          <w:gridBefore w:val="1"/>
          <w:gridAfter w:val="2"/>
          <w:wBefore w:w="1080" w:type="dxa"/>
          <w:wAfter w:w="3078" w:type="dxa"/>
        </w:trPr>
        <w:tc>
          <w:tcPr>
            <w:tcW w:w="3150" w:type="dxa"/>
          </w:tcPr>
          <w:p w:rsidR="0047735B" w:rsidRPr="00D01AAF" w:rsidRDefault="0047735B" w:rsidP="00D45DEB">
            <w:pPr>
              <w:pStyle w:val="sh"/>
              <w:tabs>
                <w:tab w:val="clear" w:pos="720"/>
              </w:tabs>
              <w:snapToGrid w:val="0"/>
              <w:jc w:val="center"/>
              <w:rPr>
                <w:lang w:val="en-GB"/>
              </w:rPr>
            </w:pPr>
          </w:p>
        </w:tc>
      </w:tr>
    </w:tbl>
    <w:p w:rsidR="00D01D69" w:rsidRPr="00D01AAF" w:rsidRDefault="00D01D69" w:rsidP="00D01D69">
      <w:pPr>
        <w:spacing w:before="360" w:after="120"/>
        <w:jc w:val="left"/>
        <w:rPr>
          <w:rFonts w:eastAsia="宋体"/>
          <w:b w:val="0"/>
          <w:bCs/>
          <w:sz w:val="28"/>
        </w:rPr>
      </w:pPr>
      <w:r w:rsidRPr="00D01AAF">
        <w:rPr>
          <w:rFonts w:eastAsia="宋体"/>
          <w:b w:val="0"/>
          <w:bCs/>
          <w:sz w:val="28"/>
        </w:rPr>
        <w:t>Before: Hon Macrae VP</w:t>
      </w:r>
      <w:r w:rsidR="00C83196" w:rsidRPr="00D01AAF">
        <w:rPr>
          <w:rFonts w:eastAsia="宋体"/>
          <w:b w:val="0"/>
          <w:bCs/>
          <w:sz w:val="28"/>
        </w:rPr>
        <w:t>, Yuen JA and McWalters JA</w:t>
      </w:r>
      <w:r w:rsidRPr="00D01AAF">
        <w:rPr>
          <w:rFonts w:eastAsia="宋体"/>
          <w:b w:val="0"/>
          <w:bCs/>
          <w:sz w:val="28"/>
        </w:rPr>
        <w:t xml:space="preserve"> in Court</w:t>
      </w:r>
    </w:p>
    <w:p w:rsidR="0000516C" w:rsidRPr="00D01AAF" w:rsidRDefault="0000516C" w:rsidP="0000516C">
      <w:pPr>
        <w:spacing w:after="120"/>
        <w:jc w:val="left"/>
        <w:rPr>
          <w:rFonts w:eastAsia="宋体"/>
          <w:b w:val="0"/>
          <w:bCs/>
          <w:sz w:val="28"/>
        </w:rPr>
      </w:pPr>
      <w:r w:rsidRPr="00D01AAF">
        <w:rPr>
          <w:b w:val="0"/>
          <w:bCs/>
          <w:sz w:val="28"/>
        </w:rPr>
        <w:t xml:space="preserve">Date of Hearing: </w:t>
      </w:r>
      <w:r w:rsidR="00C83196" w:rsidRPr="00D01AAF">
        <w:rPr>
          <w:b w:val="0"/>
          <w:bCs/>
          <w:sz w:val="28"/>
        </w:rPr>
        <w:t>26 November 2019</w:t>
      </w:r>
      <w:bookmarkStart w:id="0" w:name="_GoBack"/>
      <w:bookmarkEnd w:id="0"/>
    </w:p>
    <w:p w:rsidR="0000516C" w:rsidRPr="00D01AAF" w:rsidRDefault="0000516C" w:rsidP="0000516C">
      <w:pPr>
        <w:spacing w:after="120"/>
        <w:jc w:val="left"/>
        <w:rPr>
          <w:rFonts w:eastAsia="宋体"/>
          <w:b w:val="0"/>
          <w:bCs/>
          <w:sz w:val="28"/>
        </w:rPr>
      </w:pPr>
      <w:r w:rsidRPr="00D01AAF">
        <w:rPr>
          <w:rFonts w:eastAsia="宋体"/>
          <w:b w:val="0"/>
          <w:bCs/>
          <w:sz w:val="28"/>
        </w:rPr>
        <w:t xml:space="preserve">Date of Judgment: </w:t>
      </w:r>
      <w:r w:rsidR="005F08B2">
        <w:rPr>
          <w:rFonts w:eastAsia="宋体"/>
          <w:b w:val="0"/>
          <w:bCs/>
          <w:sz w:val="28"/>
        </w:rPr>
        <w:t>13 January 2020</w:t>
      </w:r>
    </w:p>
    <w:p w:rsidR="0000516C" w:rsidRPr="00D01AAF" w:rsidRDefault="0000516C" w:rsidP="0000516C">
      <w:pPr>
        <w:spacing w:after="120"/>
        <w:jc w:val="left"/>
        <w:rPr>
          <w:rFonts w:eastAsia="宋体"/>
          <w:b w:val="0"/>
          <w:bCs/>
          <w:sz w:val="28"/>
        </w:rPr>
      </w:pPr>
    </w:p>
    <w:tbl>
      <w:tblPr>
        <w:tblW w:w="0" w:type="auto"/>
        <w:jc w:val="center"/>
        <w:tblBorders>
          <w:top w:val="single" w:sz="4" w:space="0" w:color="auto"/>
          <w:bottom w:val="single" w:sz="4" w:space="0" w:color="auto"/>
        </w:tblBorders>
        <w:tblLook w:val="0000" w:firstRow="0" w:lastRow="0" w:firstColumn="0" w:lastColumn="0" w:noHBand="0" w:noVBand="0"/>
      </w:tblPr>
      <w:tblGrid>
        <w:gridCol w:w="3150"/>
      </w:tblGrid>
      <w:tr w:rsidR="005F3076" w:rsidRPr="00D01AAF" w:rsidTr="00D45DEB">
        <w:trPr>
          <w:jc w:val="center"/>
        </w:trPr>
        <w:tc>
          <w:tcPr>
            <w:tcW w:w="3150" w:type="dxa"/>
            <w:vAlign w:val="center"/>
          </w:tcPr>
          <w:p w:rsidR="005F3076" w:rsidRPr="00D01AAF" w:rsidRDefault="005F3076" w:rsidP="00D45DEB">
            <w:pPr>
              <w:pStyle w:val="sh"/>
              <w:tabs>
                <w:tab w:val="clear" w:pos="720"/>
                <w:tab w:val="clear" w:pos="1440"/>
                <w:tab w:val="clear" w:pos="4320"/>
              </w:tabs>
              <w:snapToGrid w:val="0"/>
              <w:spacing w:before="200" w:after="200"/>
              <w:jc w:val="center"/>
              <w:rPr>
                <w:lang w:val="en-GB"/>
              </w:rPr>
            </w:pPr>
            <w:r w:rsidRPr="00D01AAF">
              <w:rPr>
                <w:lang w:val="en-GB"/>
              </w:rPr>
              <w:t>J U D G M E N T</w:t>
            </w:r>
          </w:p>
        </w:tc>
      </w:tr>
    </w:tbl>
    <w:p w:rsidR="009024E9" w:rsidRPr="00D01AAF" w:rsidRDefault="002B39A2" w:rsidP="0000516C">
      <w:pPr>
        <w:pStyle w:val="T-Draft"/>
        <w:keepNext/>
        <w:numPr>
          <w:ilvl w:val="0"/>
          <w:numId w:val="0"/>
        </w:numPr>
        <w:spacing w:before="240"/>
      </w:pPr>
      <w:r w:rsidRPr="00D01AAF">
        <w:t xml:space="preserve">Hon </w:t>
      </w:r>
      <w:r w:rsidR="00D01D69" w:rsidRPr="00D01AAF">
        <w:t>Macrae</w:t>
      </w:r>
      <w:r w:rsidR="00C83196" w:rsidRPr="00D01AAF">
        <w:t xml:space="preserve"> </w:t>
      </w:r>
      <w:r w:rsidR="006F49A5">
        <w:t xml:space="preserve">VP </w:t>
      </w:r>
      <w:r w:rsidR="00D01D69" w:rsidRPr="00D01AAF">
        <w:t>(giving the Judgment of the Court)</w:t>
      </w:r>
      <w:r w:rsidR="009024E9" w:rsidRPr="00D01AAF">
        <w:t>:</w:t>
      </w:r>
    </w:p>
    <w:p w:rsidR="00D01AAF" w:rsidRPr="00D01AAF" w:rsidRDefault="00D01AAF" w:rsidP="00D01AAF">
      <w:pPr>
        <w:pStyle w:val="T-Draft"/>
        <w:rPr>
          <w:rFonts w:eastAsia="PMingLiU"/>
          <w:lang w:eastAsia="zh-TW"/>
        </w:rPr>
      </w:pPr>
      <w:r w:rsidRPr="00D01AAF">
        <w:rPr>
          <w:rFonts w:eastAsia="PMingLiU"/>
          <w:lang w:eastAsia="zh-TW"/>
        </w:rPr>
        <w:t>The respondent faced a single charge of dealing with property known or believed to represent proceeds of an indictable offence, namely the whole or part of a total sum of $1,350,503.74, contrary to section 25(1) and (3) of the Organized and Serious Crimes Ordinance, Cap 455.  After a trial in the District Court before Deputy Judge CH Li</w:t>
      </w:r>
      <w:r w:rsidR="00DA5938">
        <w:rPr>
          <w:rFonts w:eastAsia="PMingLiU"/>
          <w:lang w:eastAsia="zh-TW"/>
        </w:rPr>
        <w:t xml:space="preserve"> (“the judge”)</w:t>
      </w:r>
      <w:r w:rsidRPr="00D01AAF">
        <w:rPr>
          <w:rFonts w:eastAsia="PMingLiU"/>
          <w:lang w:eastAsia="zh-TW"/>
        </w:rPr>
        <w:t xml:space="preserve">, at which </w:t>
      </w:r>
      <w:r w:rsidR="00110321">
        <w:rPr>
          <w:rFonts w:eastAsia="PMingLiU"/>
          <w:lang w:eastAsia="zh-TW"/>
        </w:rPr>
        <w:t>t</w:t>
      </w:r>
      <w:r w:rsidRPr="00D01AAF">
        <w:rPr>
          <w:rFonts w:eastAsia="PMingLiU"/>
          <w:lang w:eastAsia="zh-TW"/>
        </w:rPr>
        <w:t>he</w:t>
      </w:r>
      <w:r w:rsidR="00110321">
        <w:rPr>
          <w:rFonts w:eastAsia="PMingLiU"/>
          <w:lang w:eastAsia="zh-TW"/>
        </w:rPr>
        <w:t xml:space="preserve"> respondent</w:t>
      </w:r>
      <w:r w:rsidRPr="00D01AAF">
        <w:rPr>
          <w:rFonts w:eastAsia="PMingLiU"/>
          <w:lang w:eastAsia="zh-TW"/>
        </w:rPr>
        <w:t xml:space="preserve"> was represented by counsel assigned by the </w:t>
      </w:r>
      <w:r w:rsidR="00110321">
        <w:rPr>
          <w:rFonts w:eastAsia="PMingLiU"/>
          <w:lang w:eastAsia="zh-TW"/>
        </w:rPr>
        <w:t>Director of Legal Aid</w:t>
      </w:r>
      <w:r w:rsidRPr="00D01AAF">
        <w:rPr>
          <w:rFonts w:eastAsia="PMingLiU"/>
          <w:lang w:eastAsia="zh-TW"/>
        </w:rPr>
        <w:t xml:space="preserve">, </w:t>
      </w:r>
      <w:r w:rsidR="00E43958">
        <w:rPr>
          <w:rFonts w:eastAsia="PMingLiU"/>
          <w:lang w:eastAsia="zh-TW"/>
        </w:rPr>
        <w:t xml:space="preserve">the respondent was, </w:t>
      </w:r>
      <w:r w:rsidRPr="00D01AAF">
        <w:rPr>
          <w:rFonts w:eastAsia="PMingLiU"/>
          <w:lang w:eastAsia="zh-TW"/>
        </w:rPr>
        <w:t xml:space="preserve">on 19 </w:t>
      </w:r>
      <w:r>
        <w:rPr>
          <w:rFonts w:eastAsia="PMingLiU"/>
          <w:lang w:eastAsia="zh-TW"/>
        </w:rPr>
        <w:t>‍</w:t>
      </w:r>
      <w:r w:rsidRPr="00D01AAF">
        <w:rPr>
          <w:rFonts w:eastAsia="PMingLiU"/>
          <w:lang w:eastAsia="zh-TW"/>
        </w:rPr>
        <w:t xml:space="preserve">October 2018, acquitted of the </w:t>
      </w:r>
      <w:r w:rsidRPr="00D01AAF">
        <w:rPr>
          <w:rFonts w:eastAsia="PMingLiU"/>
          <w:lang w:eastAsia="zh-TW"/>
        </w:rPr>
        <w:lastRenderedPageBreak/>
        <w:t>charge</w:t>
      </w:r>
      <w:r w:rsidR="00E43958">
        <w:rPr>
          <w:rFonts w:eastAsia="PMingLiU"/>
          <w:lang w:eastAsia="zh-TW"/>
        </w:rPr>
        <w:t>.  As a result,</w:t>
      </w:r>
      <w:r w:rsidRPr="00D01AAF">
        <w:rPr>
          <w:rFonts w:eastAsia="PMingLiU"/>
          <w:lang w:eastAsia="zh-TW"/>
        </w:rPr>
        <w:t xml:space="preserve"> his counsel applied for the costs of the trial, which included </w:t>
      </w:r>
      <w:r w:rsidR="00CF5A46">
        <w:rPr>
          <w:rFonts w:eastAsia="PMingLiU"/>
          <w:lang w:eastAsia="zh-TW"/>
        </w:rPr>
        <w:t>the respondent’s</w:t>
      </w:r>
      <w:r w:rsidRPr="00D01AAF">
        <w:rPr>
          <w:rFonts w:eastAsia="PMingLiU"/>
          <w:lang w:eastAsia="zh-TW"/>
        </w:rPr>
        <w:t xml:space="preserve"> contribution to Legal Aid in the sum of $110,000</w:t>
      </w:r>
      <w:r w:rsidR="00537355">
        <w:rPr>
          <w:rFonts w:eastAsia="PMingLiU"/>
          <w:lang w:eastAsia="zh-TW"/>
        </w:rPr>
        <w:t>,</w:t>
      </w:r>
      <w:r w:rsidRPr="00D01AAF">
        <w:rPr>
          <w:rFonts w:eastAsia="PMingLiU"/>
          <w:lang w:eastAsia="zh-TW"/>
        </w:rPr>
        <w:t xml:space="preserve"> as well as the legal costs incurred in his pr</w:t>
      </w:r>
      <w:r w:rsidR="00537355">
        <w:rPr>
          <w:rFonts w:eastAsia="PMingLiU"/>
          <w:lang w:eastAsia="zh-TW"/>
        </w:rPr>
        <w:t>evious</w:t>
      </w:r>
      <w:r w:rsidRPr="00D01AAF">
        <w:rPr>
          <w:rFonts w:eastAsia="PMingLiU"/>
          <w:lang w:eastAsia="zh-TW"/>
        </w:rPr>
        <w:t xml:space="preserve"> appearances </w:t>
      </w:r>
      <w:r w:rsidR="00110321">
        <w:rPr>
          <w:rFonts w:eastAsia="PMingLiU"/>
          <w:lang w:eastAsia="zh-TW"/>
        </w:rPr>
        <w:t>before</w:t>
      </w:r>
      <w:r w:rsidRPr="00D01AAF">
        <w:rPr>
          <w:rFonts w:eastAsia="PMingLiU"/>
          <w:lang w:eastAsia="zh-TW"/>
        </w:rPr>
        <w:t xml:space="preserve"> the </w:t>
      </w:r>
      <w:r w:rsidR="00E43958">
        <w:rPr>
          <w:rFonts w:eastAsia="PMingLiU"/>
          <w:lang w:eastAsia="zh-TW"/>
        </w:rPr>
        <w:t>m</w:t>
      </w:r>
      <w:r w:rsidRPr="00D01AAF">
        <w:rPr>
          <w:rFonts w:eastAsia="PMingLiU"/>
          <w:lang w:eastAsia="zh-TW"/>
        </w:rPr>
        <w:t xml:space="preserve">agistrates’ </w:t>
      </w:r>
      <w:r w:rsidR="00E43958">
        <w:rPr>
          <w:rFonts w:eastAsia="PMingLiU"/>
          <w:lang w:eastAsia="zh-TW"/>
        </w:rPr>
        <w:t>c</w:t>
      </w:r>
      <w:r w:rsidRPr="00D01AAF">
        <w:rPr>
          <w:rFonts w:eastAsia="PMingLiU"/>
          <w:lang w:eastAsia="zh-TW"/>
        </w:rPr>
        <w:t xml:space="preserve">ourt.  </w:t>
      </w:r>
      <w:r w:rsidR="00E43958">
        <w:rPr>
          <w:rFonts w:eastAsia="PMingLiU"/>
          <w:lang w:eastAsia="zh-TW"/>
        </w:rPr>
        <w:t>The</w:t>
      </w:r>
      <w:r w:rsidRPr="00D01AAF">
        <w:rPr>
          <w:rFonts w:eastAsia="PMingLiU"/>
          <w:lang w:eastAsia="zh-TW"/>
        </w:rPr>
        <w:t xml:space="preserve"> application was opposed by the prosecution.</w:t>
      </w:r>
    </w:p>
    <w:p w:rsidR="00D01AAF" w:rsidRPr="00D01AAF" w:rsidRDefault="00D01AAF" w:rsidP="00D01AAF">
      <w:pPr>
        <w:pStyle w:val="T-Draft"/>
        <w:rPr>
          <w:rFonts w:eastAsia="PMingLiU"/>
          <w:lang w:eastAsia="zh-TW"/>
        </w:rPr>
      </w:pPr>
      <w:r w:rsidRPr="00D01AAF">
        <w:rPr>
          <w:rFonts w:eastAsia="PMingLiU"/>
          <w:lang w:eastAsia="zh-TW"/>
        </w:rPr>
        <w:t xml:space="preserve">On 31 October 2018, the judge ordered that costs </w:t>
      </w:r>
      <w:r w:rsidR="004024B9">
        <w:rPr>
          <w:rFonts w:eastAsia="PMingLiU"/>
          <w:lang w:eastAsia="zh-TW"/>
        </w:rPr>
        <w:t xml:space="preserve">should </w:t>
      </w:r>
      <w:r w:rsidRPr="00D01AAF">
        <w:rPr>
          <w:rFonts w:eastAsia="PMingLiU"/>
          <w:lang w:eastAsia="zh-TW"/>
        </w:rPr>
        <w:t xml:space="preserve">be awarded to the respondent, to be taxed if not agreed; and that his own </w:t>
      </w:r>
      <w:r w:rsidR="00545421" w:rsidRPr="00545421">
        <w:rPr>
          <w:rFonts w:eastAsia="PMingLiU"/>
          <w:b/>
          <w:lang w:eastAsia="zh-TW"/>
        </w:rPr>
        <w:t>‍</w:t>
      </w:r>
      <w:r w:rsidRPr="00D01AAF">
        <w:rPr>
          <w:rFonts w:eastAsia="PMingLiU"/>
          <w:lang w:eastAsia="zh-TW"/>
        </w:rPr>
        <w:t xml:space="preserve">costs </w:t>
      </w:r>
      <w:r w:rsidR="00545421" w:rsidRPr="00545421">
        <w:rPr>
          <w:rFonts w:eastAsia="PMingLiU"/>
          <w:b/>
          <w:lang w:eastAsia="zh-TW"/>
        </w:rPr>
        <w:t>‍</w:t>
      </w:r>
      <w:r w:rsidR="004024B9">
        <w:rPr>
          <w:rFonts w:eastAsia="PMingLiU"/>
          <w:lang w:eastAsia="zh-TW"/>
        </w:rPr>
        <w:t xml:space="preserve">should </w:t>
      </w:r>
      <w:r w:rsidRPr="00D01AAF">
        <w:rPr>
          <w:rFonts w:eastAsia="PMingLiU"/>
          <w:lang w:eastAsia="zh-TW"/>
        </w:rPr>
        <w:t xml:space="preserve">be taxed in accordance with the Legal Aid Regulations (“the </w:t>
      </w:r>
      <w:r w:rsidR="00545421" w:rsidRPr="00545421">
        <w:rPr>
          <w:rFonts w:eastAsia="PMingLiU"/>
          <w:b/>
          <w:lang w:eastAsia="zh-TW"/>
        </w:rPr>
        <w:t>‍</w:t>
      </w:r>
      <w:r w:rsidRPr="00D01AAF">
        <w:rPr>
          <w:rFonts w:eastAsia="PMingLiU"/>
          <w:lang w:eastAsia="zh-TW"/>
        </w:rPr>
        <w:t xml:space="preserve">costs </w:t>
      </w:r>
      <w:r w:rsidR="00545421">
        <w:rPr>
          <w:rFonts w:eastAsia="PMingLiU"/>
          <w:lang w:eastAsia="zh-TW"/>
        </w:rPr>
        <w:t>‍</w:t>
      </w:r>
      <w:r w:rsidRPr="00D01AAF">
        <w:rPr>
          <w:rFonts w:eastAsia="PMingLiU"/>
          <w:lang w:eastAsia="zh-TW"/>
        </w:rPr>
        <w:t>order”).</w:t>
      </w:r>
    </w:p>
    <w:p w:rsidR="00D01AAF" w:rsidRPr="00D01AAF" w:rsidRDefault="00D01AAF" w:rsidP="00D01AAF">
      <w:pPr>
        <w:pStyle w:val="T-Draft"/>
        <w:rPr>
          <w:lang w:eastAsia="zh-TW"/>
        </w:rPr>
      </w:pPr>
      <w:r w:rsidRPr="00D01AAF">
        <w:rPr>
          <w:lang w:eastAsia="zh-TW"/>
        </w:rPr>
        <w:t>By way of a Notice of Appeal filed on 1</w:t>
      </w:r>
      <w:r w:rsidR="005F08B2">
        <w:rPr>
          <w:lang w:eastAsia="zh-TW"/>
        </w:rPr>
        <w:t>6</w:t>
      </w:r>
      <w:r w:rsidRPr="00D01AAF">
        <w:rPr>
          <w:lang w:eastAsia="zh-TW"/>
        </w:rPr>
        <w:t xml:space="preserve"> November 2018, the appellant appealed against the costs order, pursuant to section 19 of the Costs in Criminal Cases Ordinance, Cap 492.</w:t>
      </w:r>
      <w:r w:rsidR="00537355">
        <w:rPr>
          <w:lang w:eastAsia="zh-TW"/>
        </w:rPr>
        <w:t xml:space="preserve">  On 26 November 2019, having heard argument from the parties, we reserved our decision.</w:t>
      </w:r>
    </w:p>
    <w:p w:rsidR="00D01AAF" w:rsidRPr="00D01AAF" w:rsidRDefault="00D01AAF" w:rsidP="00D01AAF">
      <w:pPr>
        <w:pStyle w:val="j-heading"/>
        <w:rPr>
          <w:lang w:eastAsia="zh-TW"/>
        </w:rPr>
      </w:pPr>
      <w:r w:rsidRPr="00D01AAF">
        <w:rPr>
          <w:lang w:eastAsia="zh-TW"/>
        </w:rPr>
        <w:t>The prosecution case</w:t>
      </w:r>
    </w:p>
    <w:p w:rsidR="00D01AAF" w:rsidRPr="00D01AAF" w:rsidRDefault="00D01AAF" w:rsidP="00D01AAF">
      <w:pPr>
        <w:pStyle w:val="T-Draft"/>
        <w:rPr>
          <w:rFonts w:eastAsia="PMingLiU"/>
          <w:lang w:eastAsia="zh-TW"/>
        </w:rPr>
      </w:pPr>
      <w:r w:rsidRPr="00D01AAF">
        <w:rPr>
          <w:rFonts w:eastAsia="PMingLiU"/>
          <w:lang w:eastAsia="zh-TW"/>
        </w:rPr>
        <w:t xml:space="preserve">The prosecution case was largely agreed by way of </w:t>
      </w:r>
      <w:r w:rsidR="00F24EA2">
        <w:rPr>
          <w:rFonts w:eastAsia="PMingLiU"/>
          <w:lang w:eastAsia="zh-TW"/>
        </w:rPr>
        <w:t>Admitted F</w:t>
      </w:r>
      <w:r w:rsidRPr="00D01AAF">
        <w:rPr>
          <w:rFonts w:eastAsia="PMingLiU"/>
          <w:lang w:eastAsia="zh-TW"/>
        </w:rPr>
        <w:t>acts</w:t>
      </w:r>
      <w:r w:rsidR="00E43958">
        <w:rPr>
          <w:rFonts w:eastAsia="PMingLiU"/>
          <w:lang w:eastAsia="zh-TW"/>
        </w:rPr>
        <w:t>.  Th</w:t>
      </w:r>
      <w:r w:rsidR="00F24EA2">
        <w:rPr>
          <w:rFonts w:eastAsia="PMingLiU"/>
          <w:lang w:eastAsia="zh-TW"/>
        </w:rPr>
        <w:t xml:space="preserve">ose </w:t>
      </w:r>
      <w:r w:rsidR="008A434D">
        <w:rPr>
          <w:rFonts w:eastAsia="PMingLiU"/>
          <w:lang w:eastAsia="zh-TW"/>
        </w:rPr>
        <w:t>F</w:t>
      </w:r>
      <w:r w:rsidR="00537355">
        <w:rPr>
          <w:rFonts w:eastAsia="PMingLiU"/>
          <w:lang w:eastAsia="zh-TW"/>
        </w:rPr>
        <w:t>acts</w:t>
      </w:r>
      <w:r w:rsidRPr="00D01AAF">
        <w:rPr>
          <w:rFonts w:eastAsia="PMingLiU"/>
          <w:lang w:eastAsia="zh-TW"/>
        </w:rPr>
        <w:t xml:space="preserve"> </w:t>
      </w:r>
      <w:r w:rsidR="00033611">
        <w:rPr>
          <w:rFonts w:eastAsia="PMingLiU"/>
          <w:lang w:eastAsia="zh-TW"/>
        </w:rPr>
        <w:t>established</w:t>
      </w:r>
      <w:r w:rsidR="00E43958">
        <w:rPr>
          <w:rFonts w:eastAsia="PMingLiU"/>
          <w:lang w:eastAsia="zh-TW"/>
        </w:rPr>
        <w:t xml:space="preserve">, </w:t>
      </w:r>
      <w:r w:rsidR="00E43958" w:rsidRPr="00E43958">
        <w:rPr>
          <w:rFonts w:eastAsia="PMingLiU"/>
          <w:i/>
          <w:lang w:eastAsia="zh-TW"/>
        </w:rPr>
        <w:t>inter alia</w:t>
      </w:r>
      <w:r w:rsidR="00E43958">
        <w:rPr>
          <w:rFonts w:eastAsia="PMingLiU"/>
          <w:lang w:eastAsia="zh-TW"/>
        </w:rPr>
        <w:t>,</w:t>
      </w:r>
      <w:r w:rsidRPr="00D01AAF">
        <w:rPr>
          <w:rFonts w:eastAsia="PMingLiU"/>
          <w:lang w:eastAsia="zh-TW"/>
        </w:rPr>
        <w:t xml:space="preserve"> that:</w:t>
      </w:r>
    </w:p>
    <w:p w:rsidR="00D01AAF" w:rsidRPr="00D01AAF" w:rsidRDefault="00D01AAF" w:rsidP="00D01AAF">
      <w:pPr>
        <w:pStyle w:val="T-Draft"/>
        <w:numPr>
          <w:ilvl w:val="1"/>
          <w:numId w:val="13"/>
        </w:numPr>
        <w:tabs>
          <w:tab w:val="clear" w:pos="1778"/>
          <w:tab w:val="num" w:pos="1440"/>
        </w:tabs>
        <w:spacing w:before="240"/>
        <w:ind w:left="1440" w:hanging="720"/>
        <w:rPr>
          <w:rFonts w:eastAsia="PMingLiU"/>
          <w:lang w:eastAsia="zh-TW"/>
        </w:rPr>
      </w:pPr>
      <w:r w:rsidRPr="00D01AAF">
        <w:rPr>
          <w:rFonts w:eastAsia="PMingLiU"/>
          <w:lang w:eastAsia="zh-TW"/>
        </w:rPr>
        <w:t xml:space="preserve">On 7 April 2014, the respondent opened a bank account with HSBC (“the account”), of which he </w:t>
      </w:r>
      <w:r w:rsidR="008E7E4D">
        <w:rPr>
          <w:rFonts w:eastAsia="PMingLiU"/>
          <w:lang w:eastAsia="zh-TW"/>
        </w:rPr>
        <w:t xml:space="preserve">remained </w:t>
      </w:r>
      <w:r w:rsidRPr="00D01AAF">
        <w:rPr>
          <w:rFonts w:eastAsia="PMingLiU"/>
          <w:lang w:eastAsia="zh-TW"/>
        </w:rPr>
        <w:t>the holder and sole signatory until 19 May 2015</w:t>
      </w:r>
      <w:r w:rsidRPr="00D01AAF">
        <w:rPr>
          <w:rFonts w:eastAsia="PMingLiU"/>
          <w:vertAlign w:val="superscript"/>
          <w:lang w:eastAsia="zh-TW"/>
        </w:rPr>
        <w:footnoteReference w:id="1"/>
      </w:r>
      <w:r w:rsidRPr="00D01AAF">
        <w:rPr>
          <w:rFonts w:eastAsia="PMingLiU"/>
          <w:lang w:eastAsia="zh-TW"/>
        </w:rPr>
        <w:t>.</w:t>
      </w:r>
    </w:p>
    <w:p w:rsidR="00D01AAF" w:rsidRPr="00D01AAF" w:rsidRDefault="00D01AAF" w:rsidP="00D01AAF">
      <w:pPr>
        <w:pStyle w:val="T-Draft"/>
        <w:numPr>
          <w:ilvl w:val="1"/>
          <w:numId w:val="13"/>
        </w:numPr>
        <w:tabs>
          <w:tab w:val="clear" w:pos="1778"/>
          <w:tab w:val="num" w:pos="1440"/>
        </w:tabs>
        <w:spacing w:before="240"/>
        <w:ind w:left="1440" w:hanging="720"/>
        <w:rPr>
          <w:rFonts w:eastAsia="PMingLiU"/>
          <w:lang w:eastAsia="zh-TW"/>
        </w:rPr>
      </w:pPr>
      <w:r w:rsidRPr="00D01AAF">
        <w:rPr>
          <w:rFonts w:eastAsia="PMingLiU"/>
          <w:lang w:eastAsia="zh-TW"/>
        </w:rPr>
        <w:t xml:space="preserve">Between 7 April 2014 and 19 May 2015, the account showed 100 deposits </w:t>
      </w:r>
      <w:r w:rsidR="005F08B2">
        <w:rPr>
          <w:rFonts w:eastAsia="PMingLiU"/>
          <w:lang w:eastAsia="zh-TW"/>
        </w:rPr>
        <w:t>in</w:t>
      </w:r>
      <w:r w:rsidR="00E43958">
        <w:rPr>
          <w:rFonts w:eastAsia="PMingLiU"/>
          <w:lang w:eastAsia="zh-TW"/>
        </w:rPr>
        <w:t xml:space="preserve"> a total sum</w:t>
      </w:r>
      <w:r w:rsidRPr="00D01AAF">
        <w:rPr>
          <w:rFonts w:eastAsia="PMingLiU"/>
          <w:lang w:eastAsia="zh-TW"/>
        </w:rPr>
        <w:t xml:space="preserve"> $1,350,503.74 </w:t>
      </w:r>
      <w:r w:rsidR="00E43958">
        <w:rPr>
          <w:rFonts w:eastAsia="PMingLiU"/>
          <w:lang w:eastAsia="zh-TW"/>
        </w:rPr>
        <w:t xml:space="preserve">going into the account </w:t>
      </w:r>
      <w:r w:rsidRPr="00D01AAF">
        <w:rPr>
          <w:rFonts w:eastAsia="PMingLiU"/>
          <w:lang w:eastAsia="zh-TW"/>
        </w:rPr>
        <w:t xml:space="preserve">(the </w:t>
      </w:r>
      <w:r w:rsidRPr="00D01AAF">
        <w:rPr>
          <w:rFonts w:eastAsia="PMingLiU"/>
          <w:b/>
          <w:lang w:eastAsia="zh-TW"/>
        </w:rPr>
        <w:t>‍</w:t>
      </w:r>
      <w:r w:rsidRPr="00D01AAF">
        <w:rPr>
          <w:rFonts w:eastAsia="PMingLiU"/>
          <w:lang w:eastAsia="zh-TW"/>
        </w:rPr>
        <w:t xml:space="preserve">average monthly deposit </w:t>
      </w:r>
      <w:r w:rsidR="008E7E4D">
        <w:rPr>
          <w:rFonts w:eastAsia="PMingLiU"/>
          <w:lang w:eastAsia="zh-TW"/>
        </w:rPr>
        <w:t>during the period being</w:t>
      </w:r>
      <w:r w:rsidRPr="00D01AAF">
        <w:rPr>
          <w:rFonts w:eastAsia="PMingLiU"/>
          <w:lang w:eastAsia="zh-TW"/>
        </w:rPr>
        <w:t xml:space="preserve"> </w:t>
      </w:r>
      <w:r w:rsidRPr="00D01AAF">
        <w:rPr>
          <w:rFonts w:eastAsia="PMingLiU"/>
          <w:lang w:eastAsia="zh-TW"/>
        </w:rPr>
        <w:lastRenderedPageBreak/>
        <w:t xml:space="preserve">$96,464), as well as 160 </w:t>
      </w:r>
      <w:r w:rsidRPr="00D01AAF">
        <w:rPr>
          <w:rFonts w:eastAsia="PMingLiU"/>
          <w:b/>
          <w:lang w:eastAsia="zh-TW"/>
        </w:rPr>
        <w:t>‍</w:t>
      </w:r>
      <w:r w:rsidRPr="00D01AAF">
        <w:rPr>
          <w:rFonts w:eastAsia="PMingLiU"/>
          <w:lang w:eastAsia="zh-TW"/>
        </w:rPr>
        <w:t xml:space="preserve">withdrawals </w:t>
      </w:r>
      <w:r w:rsidR="008E7E4D">
        <w:rPr>
          <w:rFonts w:eastAsia="PMingLiU"/>
          <w:lang w:eastAsia="zh-TW"/>
        </w:rPr>
        <w:t xml:space="preserve">during the same period </w:t>
      </w:r>
      <w:r w:rsidR="005F08B2">
        <w:rPr>
          <w:rFonts w:eastAsia="PMingLiU"/>
          <w:lang w:eastAsia="zh-TW"/>
        </w:rPr>
        <w:t>in</w:t>
      </w:r>
      <w:r w:rsidR="00E43958">
        <w:rPr>
          <w:rFonts w:eastAsia="PMingLiU"/>
          <w:lang w:eastAsia="zh-TW"/>
        </w:rPr>
        <w:t xml:space="preserve"> a total sum of $</w:t>
      </w:r>
      <w:r w:rsidRPr="00D01AAF">
        <w:rPr>
          <w:rFonts w:eastAsia="PMingLiU"/>
          <w:lang w:eastAsia="zh-TW"/>
        </w:rPr>
        <w:t>1,043,576</w:t>
      </w:r>
      <w:r w:rsidR="00537355">
        <w:rPr>
          <w:rFonts w:eastAsia="PMingLiU"/>
          <w:lang w:eastAsia="zh-TW"/>
        </w:rPr>
        <w:t xml:space="preserve"> coming out of the account</w:t>
      </w:r>
      <w:r w:rsidRPr="00D01AAF">
        <w:rPr>
          <w:rFonts w:eastAsia="PMingLiU"/>
          <w:vertAlign w:val="superscript"/>
          <w:lang w:eastAsia="zh-TW"/>
        </w:rPr>
        <w:footnoteReference w:id="2"/>
      </w:r>
      <w:r w:rsidRPr="00D01AAF">
        <w:rPr>
          <w:rFonts w:eastAsia="PMingLiU"/>
          <w:lang w:eastAsia="zh-TW"/>
        </w:rPr>
        <w:t>.</w:t>
      </w:r>
    </w:p>
    <w:p w:rsidR="00D01AAF" w:rsidRPr="00D01AAF" w:rsidRDefault="00D01AAF" w:rsidP="00D01AAF">
      <w:pPr>
        <w:pStyle w:val="T-Draft"/>
        <w:numPr>
          <w:ilvl w:val="1"/>
          <w:numId w:val="13"/>
        </w:numPr>
        <w:tabs>
          <w:tab w:val="clear" w:pos="1778"/>
          <w:tab w:val="num" w:pos="1440"/>
        </w:tabs>
        <w:spacing w:before="240"/>
        <w:ind w:left="1440" w:hanging="720"/>
        <w:rPr>
          <w:rFonts w:eastAsia="PMingLiU"/>
          <w:lang w:eastAsia="zh-TW"/>
        </w:rPr>
      </w:pPr>
      <w:r w:rsidRPr="00D01AAF">
        <w:rPr>
          <w:rFonts w:eastAsia="PMingLiU"/>
          <w:lang w:eastAsia="zh-TW"/>
        </w:rPr>
        <w:t xml:space="preserve">On 19 May 2015, the respondent was arrested </w:t>
      </w:r>
      <w:r w:rsidR="00537355">
        <w:rPr>
          <w:rFonts w:eastAsia="PMingLiU"/>
          <w:lang w:eastAsia="zh-TW"/>
        </w:rPr>
        <w:t>at his home</w:t>
      </w:r>
      <w:r w:rsidR="008E7E4D">
        <w:rPr>
          <w:rFonts w:eastAsia="PMingLiU"/>
          <w:lang w:eastAsia="zh-TW"/>
        </w:rPr>
        <w:t>,</w:t>
      </w:r>
      <w:r w:rsidRPr="00D01AAF">
        <w:rPr>
          <w:rFonts w:eastAsia="PMingLiU"/>
          <w:lang w:eastAsia="zh-TW"/>
        </w:rPr>
        <w:t xml:space="preserve"> where the police seized a bank card used </w:t>
      </w:r>
      <w:r w:rsidR="00545421" w:rsidRPr="00545421">
        <w:rPr>
          <w:rFonts w:eastAsia="PMingLiU"/>
          <w:b/>
          <w:lang w:eastAsia="zh-TW"/>
        </w:rPr>
        <w:t>‍</w:t>
      </w:r>
      <w:r w:rsidRPr="00D01AAF">
        <w:rPr>
          <w:rFonts w:eastAsia="PMingLiU"/>
          <w:lang w:eastAsia="zh-TW"/>
        </w:rPr>
        <w:t xml:space="preserve">in </w:t>
      </w:r>
      <w:r w:rsidR="00545421" w:rsidRPr="00545421">
        <w:rPr>
          <w:rFonts w:eastAsia="PMingLiU"/>
          <w:b/>
          <w:lang w:eastAsia="zh-TW"/>
        </w:rPr>
        <w:t>‍</w:t>
      </w:r>
      <w:r w:rsidRPr="00D01AAF">
        <w:rPr>
          <w:rFonts w:eastAsia="PMingLiU"/>
          <w:lang w:eastAsia="zh-TW"/>
        </w:rPr>
        <w:t xml:space="preserve">conjunction with the account and 16 </w:t>
      </w:r>
      <w:r w:rsidR="00545421" w:rsidRPr="00545421">
        <w:rPr>
          <w:rFonts w:eastAsia="PMingLiU"/>
          <w:b/>
          <w:lang w:eastAsia="zh-TW"/>
        </w:rPr>
        <w:t>‍</w:t>
      </w:r>
      <w:r w:rsidRPr="00D01AAF">
        <w:rPr>
          <w:rFonts w:eastAsia="PMingLiU"/>
          <w:lang w:eastAsia="zh-TW"/>
        </w:rPr>
        <w:t xml:space="preserve">remittance </w:t>
      </w:r>
      <w:r w:rsidR="00545421" w:rsidRPr="00545421">
        <w:rPr>
          <w:rFonts w:eastAsia="PMingLiU"/>
          <w:b/>
          <w:lang w:eastAsia="zh-TW"/>
        </w:rPr>
        <w:t>‍</w:t>
      </w:r>
      <w:r w:rsidRPr="00D01AAF">
        <w:rPr>
          <w:rFonts w:eastAsia="PMingLiU"/>
          <w:lang w:eastAsia="zh-TW"/>
        </w:rPr>
        <w:t xml:space="preserve">slips </w:t>
      </w:r>
      <w:r w:rsidR="00545421" w:rsidRPr="00545421">
        <w:rPr>
          <w:rFonts w:eastAsia="PMingLiU"/>
          <w:b/>
          <w:lang w:eastAsia="zh-TW"/>
        </w:rPr>
        <w:t>‍</w:t>
      </w:r>
      <w:r w:rsidRPr="00D01AAF">
        <w:rPr>
          <w:rFonts w:eastAsia="PMingLiU"/>
          <w:lang w:eastAsia="zh-TW"/>
        </w:rPr>
        <w:t>– 13 of which w</w:t>
      </w:r>
      <w:r w:rsidR="00E43958">
        <w:rPr>
          <w:rFonts w:eastAsia="PMingLiU"/>
          <w:lang w:eastAsia="zh-TW"/>
        </w:rPr>
        <w:t>ere</w:t>
      </w:r>
      <w:r w:rsidRPr="00D01AAF">
        <w:rPr>
          <w:rFonts w:eastAsia="PMingLiU"/>
          <w:lang w:eastAsia="zh-TW"/>
        </w:rPr>
        <w:t xml:space="preserve"> found on his person</w:t>
      </w:r>
      <w:r w:rsidR="000B7790">
        <w:rPr>
          <w:rFonts w:eastAsia="PMingLiU"/>
          <w:lang w:eastAsia="zh-TW"/>
        </w:rPr>
        <w:t>,</w:t>
      </w:r>
      <w:r w:rsidRPr="00D01AAF">
        <w:rPr>
          <w:rFonts w:eastAsia="PMingLiU"/>
          <w:lang w:eastAsia="zh-TW"/>
        </w:rPr>
        <w:t xml:space="preserve"> and 3 in </w:t>
      </w:r>
      <w:r w:rsidR="00271E82">
        <w:rPr>
          <w:rFonts w:eastAsia="PMingLiU"/>
          <w:lang w:eastAsia="zh-TW"/>
        </w:rPr>
        <w:t>the premises</w:t>
      </w:r>
      <w:r w:rsidRPr="00D01AAF">
        <w:rPr>
          <w:rFonts w:eastAsia="PMingLiU"/>
          <w:lang w:eastAsia="zh-TW"/>
        </w:rPr>
        <w:t xml:space="preserve"> – totalling $540,068</w:t>
      </w:r>
      <w:r w:rsidR="00E43958">
        <w:rPr>
          <w:rFonts w:eastAsia="PMingLiU"/>
          <w:lang w:eastAsia="zh-TW"/>
        </w:rPr>
        <w:t>,</w:t>
      </w:r>
      <w:r w:rsidRPr="00D01AAF">
        <w:rPr>
          <w:rFonts w:eastAsia="PMingLiU"/>
          <w:lang w:eastAsia="zh-TW"/>
        </w:rPr>
        <w:t xml:space="preserve"> which had been exchanged for RMB433,700 and remitted to </w:t>
      </w:r>
      <w:r w:rsidR="002E3394">
        <w:rPr>
          <w:rFonts w:eastAsia="PMingLiU"/>
          <w:lang w:eastAsia="zh-TW"/>
        </w:rPr>
        <w:t>the Mainland</w:t>
      </w:r>
      <w:r w:rsidRPr="00D01AAF">
        <w:rPr>
          <w:rFonts w:eastAsia="PMingLiU"/>
          <w:lang w:eastAsia="zh-TW"/>
        </w:rPr>
        <w:t xml:space="preserve"> to four </w:t>
      </w:r>
      <w:r w:rsidR="008E7E4D">
        <w:rPr>
          <w:rFonts w:eastAsia="PMingLiU"/>
          <w:lang w:eastAsia="zh-TW"/>
        </w:rPr>
        <w:t xml:space="preserve">named </w:t>
      </w:r>
      <w:r w:rsidRPr="00D01AAF">
        <w:rPr>
          <w:rFonts w:eastAsia="PMingLiU"/>
          <w:lang w:eastAsia="zh-TW"/>
        </w:rPr>
        <w:t>persons</w:t>
      </w:r>
      <w:r w:rsidRPr="00D01AAF">
        <w:rPr>
          <w:rFonts w:eastAsia="PMingLiU"/>
          <w:vertAlign w:val="superscript"/>
          <w:lang w:eastAsia="zh-TW"/>
        </w:rPr>
        <w:footnoteReference w:id="3"/>
      </w:r>
      <w:r w:rsidRPr="00D01AAF">
        <w:rPr>
          <w:rFonts w:eastAsia="PMingLiU"/>
          <w:lang w:eastAsia="zh-TW"/>
        </w:rPr>
        <w:t xml:space="preserve">. </w:t>
      </w:r>
    </w:p>
    <w:p w:rsidR="00D01AAF" w:rsidRPr="00D01AAF" w:rsidRDefault="00D01AAF" w:rsidP="00D01AAF">
      <w:pPr>
        <w:pStyle w:val="T-Draft"/>
        <w:numPr>
          <w:ilvl w:val="1"/>
          <w:numId w:val="13"/>
        </w:numPr>
        <w:tabs>
          <w:tab w:val="clear" w:pos="1778"/>
          <w:tab w:val="num" w:pos="1440"/>
        </w:tabs>
        <w:spacing w:before="240"/>
        <w:ind w:left="1440" w:hanging="720"/>
        <w:rPr>
          <w:rFonts w:eastAsia="PMingLiU"/>
          <w:lang w:eastAsia="zh-TW"/>
        </w:rPr>
      </w:pPr>
      <w:r w:rsidRPr="00D01AAF">
        <w:rPr>
          <w:rFonts w:eastAsia="PMingLiU"/>
          <w:lang w:eastAsia="zh-TW"/>
        </w:rPr>
        <w:t xml:space="preserve">The respondent was </w:t>
      </w:r>
      <w:r w:rsidR="008E7E4D">
        <w:rPr>
          <w:rFonts w:eastAsia="PMingLiU"/>
          <w:lang w:eastAsia="zh-TW"/>
        </w:rPr>
        <w:t xml:space="preserve">at the time </w:t>
      </w:r>
      <w:r w:rsidRPr="00D01AAF">
        <w:rPr>
          <w:rFonts w:eastAsia="PMingLiU"/>
          <w:lang w:eastAsia="zh-TW"/>
        </w:rPr>
        <w:t xml:space="preserve">a casual transportation worker earning </w:t>
      </w:r>
      <w:r w:rsidR="00E43958">
        <w:rPr>
          <w:rFonts w:eastAsia="PMingLiU"/>
          <w:lang w:eastAsia="zh-TW"/>
        </w:rPr>
        <w:t>a monthly salary of $15,000</w:t>
      </w:r>
      <w:r w:rsidRPr="00D01AAF">
        <w:rPr>
          <w:rFonts w:eastAsia="PMingLiU"/>
          <w:vertAlign w:val="superscript"/>
          <w:lang w:eastAsia="zh-TW"/>
        </w:rPr>
        <w:footnoteReference w:id="4"/>
      </w:r>
      <w:r w:rsidR="008E7E4D">
        <w:rPr>
          <w:rFonts w:eastAsia="PMingLiU"/>
          <w:lang w:eastAsia="zh-TW"/>
        </w:rPr>
        <w:t xml:space="preserve">, </w:t>
      </w:r>
      <w:r w:rsidR="00E43958">
        <w:rPr>
          <w:rFonts w:eastAsia="PMingLiU"/>
          <w:lang w:eastAsia="zh-TW"/>
        </w:rPr>
        <w:t>and</w:t>
      </w:r>
      <w:r w:rsidRPr="00D01AAF">
        <w:rPr>
          <w:rFonts w:eastAsia="PMingLiU"/>
          <w:lang w:eastAsia="zh-TW"/>
        </w:rPr>
        <w:t xml:space="preserve"> had never filed any tax return in Hong Kong</w:t>
      </w:r>
      <w:r w:rsidRPr="00D01AAF">
        <w:rPr>
          <w:rFonts w:eastAsia="PMingLiU"/>
          <w:vertAlign w:val="superscript"/>
          <w:lang w:eastAsia="zh-TW"/>
        </w:rPr>
        <w:footnoteReference w:id="5"/>
      </w:r>
      <w:r w:rsidRPr="00D01AAF">
        <w:rPr>
          <w:rFonts w:eastAsia="PMingLiU"/>
          <w:lang w:eastAsia="zh-TW"/>
        </w:rPr>
        <w:t xml:space="preserve">.  His wife was employed by several companies and her total salary </w:t>
      </w:r>
      <w:r w:rsidR="00E43958">
        <w:rPr>
          <w:rFonts w:eastAsia="PMingLiU"/>
          <w:lang w:eastAsia="zh-TW"/>
        </w:rPr>
        <w:t xml:space="preserve">for the entire period </w:t>
      </w:r>
      <w:r w:rsidRPr="00D01AAF">
        <w:rPr>
          <w:rFonts w:eastAsia="PMingLiU"/>
          <w:lang w:eastAsia="zh-TW"/>
        </w:rPr>
        <w:t xml:space="preserve">from 1 April 2012 to 31 </w:t>
      </w:r>
      <w:r w:rsidRPr="00D01AAF">
        <w:rPr>
          <w:rFonts w:eastAsia="PMingLiU"/>
          <w:b/>
          <w:lang w:eastAsia="zh-TW"/>
        </w:rPr>
        <w:t>‍</w:t>
      </w:r>
      <w:r w:rsidRPr="00D01AAF">
        <w:rPr>
          <w:rFonts w:eastAsia="PMingLiU"/>
          <w:lang w:eastAsia="zh-TW"/>
        </w:rPr>
        <w:t xml:space="preserve">March </w:t>
      </w:r>
      <w:r w:rsidRPr="00D01AAF">
        <w:rPr>
          <w:rFonts w:eastAsia="PMingLiU"/>
          <w:b/>
          <w:lang w:eastAsia="zh-TW"/>
        </w:rPr>
        <w:t>‍</w:t>
      </w:r>
      <w:r w:rsidR="00E43958">
        <w:rPr>
          <w:rFonts w:eastAsia="PMingLiU"/>
          <w:lang w:eastAsia="zh-TW"/>
        </w:rPr>
        <w:t>2015 was $345,417</w:t>
      </w:r>
      <w:r w:rsidRPr="00D01AAF">
        <w:rPr>
          <w:rFonts w:eastAsia="PMingLiU"/>
          <w:vertAlign w:val="superscript"/>
          <w:lang w:eastAsia="zh-TW"/>
        </w:rPr>
        <w:footnoteReference w:id="6"/>
      </w:r>
      <w:r w:rsidRPr="00D01AAF">
        <w:rPr>
          <w:rFonts w:eastAsia="PMingLiU"/>
          <w:lang w:eastAsia="zh-TW"/>
        </w:rPr>
        <w:t xml:space="preserve">. </w:t>
      </w:r>
    </w:p>
    <w:p w:rsidR="00D01AAF" w:rsidRPr="00D01AAF" w:rsidRDefault="00D01AAF" w:rsidP="00D01AAF">
      <w:pPr>
        <w:pStyle w:val="T-Draft"/>
        <w:rPr>
          <w:rFonts w:eastAsia="PMingLiU"/>
          <w:lang w:eastAsia="zh-TW"/>
        </w:rPr>
      </w:pPr>
      <w:r w:rsidRPr="00D01AAF">
        <w:rPr>
          <w:rFonts w:eastAsia="PMingLiU"/>
          <w:lang w:eastAsia="zh-TW"/>
        </w:rPr>
        <w:t xml:space="preserve">At trial, the prosecution called two witnesses (PW1 and PW2) who worked at two different money exchange shops.  They confirmed that the respondent had </w:t>
      </w:r>
      <w:r w:rsidR="000B7790">
        <w:rPr>
          <w:rFonts w:eastAsia="PMingLiU"/>
          <w:lang w:eastAsia="zh-TW"/>
        </w:rPr>
        <w:t xml:space="preserve">personally </w:t>
      </w:r>
      <w:r w:rsidRPr="00D01AAF">
        <w:rPr>
          <w:rFonts w:eastAsia="PMingLiU"/>
          <w:lang w:eastAsia="zh-TW"/>
        </w:rPr>
        <w:t>made the 16 remitt</w:t>
      </w:r>
      <w:r w:rsidR="004E590B">
        <w:rPr>
          <w:rFonts w:eastAsia="PMingLiU"/>
          <w:lang w:eastAsia="zh-TW"/>
        </w:rPr>
        <w:t>ances described at paragraph 4(iii</w:t>
      </w:r>
      <w:r w:rsidRPr="00D01AAF">
        <w:rPr>
          <w:rFonts w:eastAsia="PMingLiU"/>
          <w:lang w:eastAsia="zh-TW"/>
        </w:rPr>
        <w:t>)</w:t>
      </w:r>
      <w:r w:rsidR="000B7790">
        <w:rPr>
          <w:rFonts w:eastAsia="PMingLiU"/>
          <w:lang w:eastAsia="zh-TW"/>
        </w:rPr>
        <w:t xml:space="preserve"> above</w:t>
      </w:r>
      <w:r w:rsidRPr="00D01AAF">
        <w:rPr>
          <w:rFonts w:eastAsia="PMingLiU"/>
          <w:lang w:eastAsia="zh-TW"/>
        </w:rPr>
        <w:t>.</w:t>
      </w:r>
    </w:p>
    <w:p w:rsidR="00D01AAF" w:rsidRPr="00D01AAF" w:rsidRDefault="00D01AAF" w:rsidP="00D01AAF">
      <w:pPr>
        <w:pStyle w:val="T-Draft"/>
        <w:rPr>
          <w:rFonts w:eastAsia="PMingLiU"/>
          <w:lang w:eastAsia="zh-TW"/>
        </w:rPr>
      </w:pPr>
      <w:r w:rsidRPr="00D01AAF">
        <w:rPr>
          <w:rFonts w:eastAsia="PMingLiU"/>
          <w:lang w:eastAsia="zh-TW"/>
        </w:rPr>
        <w:t>Before turning to the defence case, it is relevant to note that the respondent</w:t>
      </w:r>
      <w:r w:rsidR="00706ABA">
        <w:rPr>
          <w:rFonts w:eastAsia="PMingLiU"/>
          <w:lang w:eastAsia="zh-TW"/>
        </w:rPr>
        <w:t>’s</w:t>
      </w:r>
      <w:r w:rsidR="00074353">
        <w:rPr>
          <w:rFonts w:eastAsia="PMingLiU"/>
          <w:lang w:eastAsia="zh-TW"/>
        </w:rPr>
        <w:t xml:space="preserve"> </w:t>
      </w:r>
      <w:r w:rsidR="00C968A1">
        <w:rPr>
          <w:rFonts w:eastAsia="PMingLiU"/>
          <w:lang w:eastAsia="zh-TW"/>
        </w:rPr>
        <w:t xml:space="preserve">answers under caution in his </w:t>
      </w:r>
      <w:r w:rsidR="00074353">
        <w:rPr>
          <w:rFonts w:eastAsia="PMingLiU"/>
          <w:lang w:eastAsia="zh-TW"/>
        </w:rPr>
        <w:t>vide</w:t>
      </w:r>
      <w:r w:rsidR="00C968A1">
        <w:rPr>
          <w:rFonts w:eastAsia="PMingLiU"/>
          <w:lang w:eastAsia="zh-TW"/>
        </w:rPr>
        <w:t>o</w:t>
      </w:r>
      <w:r w:rsidR="00074353">
        <w:rPr>
          <w:rFonts w:eastAsia="PMingLiU"/>
          <w:lang w:eastAsia="zh-TW"/>
        </w:rPr>
        <w:t>-recorded interview</w:t>
      </w:r>
      <w:r w:rsidR="00CF5A46">
        <w:rPr>
          <w:rFonts w:eastAsia="PMingLiU"/>
          <w:lang w:eastAsia="zh-TW"/>
        </w:rPr>
        <w:t>s</w:t>
      </w:r>
      <w:r w:rsidR="00074353">
        <w:rPr>
          <w:rFonts w:eastAsia="PMingLiU"/>
          <w:lang w:eastAsia="zh-TW"/>
        </w:rPr>
        <w:t xml:space="preserve"> (“VRI”) w</w:t>
      </w:r>
      <w:r w:rsidR="00C968A1">
        <w:rPr>
          <w:rFonts w:eastAsia="PMingLiU"/>
          <w:lang w:eastAsia="zh-TW"/>
        </w:rPr>
        <w:t>ere</w:t>
      </w:r>
      <w:r w:rsidRPr="00D01AAF">
        <w:rPr>
          <w:rFonts w:eastAsia="PMingLiU"/>
          <w:lang w:eastAsia="zh-TW"/>
        </w:rPr>
        <w:t xml:space="preserve"> not relied upon at trial</w:t>
      </w:r>
      <w:r w:rsidR="00A3245F">
        <w:rPr>
          <w:rFonts w:eastAsia="PMingLiU"/>
          <w:lang w:eastAsia="zh-TW"/>
        </w:rPr>
        <w:t xml:space="preserve">, </w:t>
      </w:r>
      <w:r w:rsidRPr="00D01AAF">
        <w:rPr>
          <w:rFonts w:eastAsia="PMingLiU"/>
          <w:lang w:eastAsia="zh-TW"/>
        </w:rPr>
        <w:t xml:space="preserve">prosecuting counsel </w:t>
      </w:r>
      <w:r w:rsidR="00A3245F">
        <w:rPr>
          <w:rFonts w:eastAsia="PMingLiU"/>
          <w:lang w:eastAsia="zh-TW"/>
        </w:rPr>
        <w:t>having informed</w:t>
      </w:r>
      <w:r w:rsidRPr="00D01AAF">
        <w:rPr>
          <w:rFonts w:eastAsia="PMingLiU"/>
          <w:lang w:eastAsia="zh-TW"/>
        </w:rPr>
        <w:t xml:space="preserve"> th</w:t>
      </w:r>
      <w:r w:rsidR="00DA5938">
        <w:rPr>
          <w:rFonts w:eastAsia="PMingLiU"/>
          <w:lang w:eastAsia="zh-TW"/>
        </w:rPr>
        <w:t>e judge</w:t>
      </w:r>
      <w:r w:rsidR="00A3245F">
        <w:rPr>
          <w:rFonts w:eastAsia="PMingLiU"/>
          <w:lang w:eastAsia="zh-TW"/>
        </w:rPr>
        <w:t xml:space="preserve"> that</w:t>
      </w:r>
      <w:r w:rsidRPr="00D01AAF">
        <w:rPr>
          <w:rFonts w:eastAsia="PMingLiU"/>
          <w:lang w:eastAsia="zh-TW"/>
        </w:rPr>
        <w:t xml:space="preserve"> the respondent had exercised his right to remain silent under </w:t>
      </w:r>
      <w:r w:rsidRPr="00D01AAF">
        <w:rPr>
          <w:rFonts w:eastAsia="PMingLiU"/>
          <w:lang w:eastAsia="zh-TW"/>
        </w:rPr>
        <w:lastRenderedPageBreak/>
        <w:t>caution</w:t>
      </w:r>
      <w:r w:rsidRPr="00D01AAF">
        <w:rPr>
          <w:rFonts w:eastAsia="PMingLiU"/>
          <w:vertAlign w:val="superscript"/>
          <w:lang w:eastAsia="zh-TW"/>
        </w:rPr>
        <w:footnoteReference w:id="7"/>
      </w:r>
      <w:r w:rsidRPr="00D01AAF">
        <w:rPr>
          <w:rFonts w:eastAsia="PMingLiU"/>
          <w:lang w:eastAsia="zh-TW"/>
        </w:rPr>
        <w:t xml:space="preserve">.  Accordingly, the defence case </w:t>
      </w:r>
      <w:r w:rsidR="000B7790">
        <w:rPr>
          <w:rFonts w:eastAsia="PMingLiU"/>
          <w:lang w:eastAsia="zh-TW"/>
        </w:rPr>
        <w:t>was not disclosed</w:t>
      </w:r>
      <w:r w:rsidR="00CF5A46">
        <w:rPr>
          <w:rFonts w:eastAsia="PMingLiU"/>
          <w:lang w:eastAsia="zh-TW"/>
        </w:rPr>
        <w:t>,</w:t>
      </w:r>
      <w:r w:rsidR="000B7790">
        <w:rPr>
          <w:rFonts w:eastAsia="PMingLiU"/>
          <w:lang w:eastAsia="zh-TW"/>
        </w:rPr>
        <w:t xml:space="preserve"> or even hinted at</w:t>
      </w:r>
      <w:r w:rsidR="00CF5A46">
        <w:rPr>
          <w:rFonts w:eastAsia="PMingLiU"/>
          <w:lang w:eastAsia="zh-TW"/>
        </w:rPr>
        <w:t>,</w:t>
      </w:r>
      <w:r w:rsidRPr="00D01AAF">
        <w:rPr>
          <w:rFonts w:eastAsia="PMingLiU"/>
          <w:lang w:eastAsia="zh-TW"/>
        </w:rPr>
        <w:t xml:space="preserve"> until after the judge had ruled that there was a case to answer.</w:t>
      </w:r>
    </w:p>
    <w:p w:rsidR="00D01AAF" w:rsidRPr="00D01AAF" w:rsidRDefault="00D01AAF" w:rsidP="00D01AAF">
      <w:pPr>
        <w:pStyle w:val="j-heading"/>
        <w:rPr>
          <w:lang w:eastAsia="zh-TW"/>
        </w:rPr>
      </w:pPr>
      <w:r w:rsidRPr="00D01AAF">
        <w:rPr>
          <w:lang w:eastAsia="zh-TW"/>
        </w:rPr>
        <w:t>The defence case</w:t>
      </w:r>
    </w:p>
    <w:p w:rsidR="00D01AAF" w:rsidRPr="00D01AAF" w:rsidRDefault="00D01AAF" w:rsidP="00D01AAF">
      <w:pPr>
        <w:pStyle w:val="T-Draft"/>
        <w:rPr>
          <w:rFonts w:eastAsia="PMingLiU"/>
          <w:lang w:eastAsia="zh-TW"/>
        </w:rPr>
      </w:pPr>
      <w:r w:rsidRPr="00D01AAF">
        <w:rPr>
          <w:rFonts w:eastAsia="PMingLiU"/>
          <w:lang w:eastAsia="zh-TW"/>
        </w:rPr>
        <w:t xml:space="preserve">The respondent </w:t>
      </w:r>
      <w:r w:rsidR="000B7790">
        <w:rPr>
          <w:rFonts w:eastAsia="PMingLiU"/>
          <w:lang w:eastAsia="zh-TW"/>
        </w:rPr>
        <w:t>gave evidence</w:t>
      </w:r>
      <w:r w:rsidRPr="00D01AAF">
        <w:rPr>
          <w:rFonts w:eastAsia="PMingLiU"/>
          <w:lang w:eastAsia="zh-TW"/>
        </w:rPr>
        <w:t xml:space="preserve"> to explain </w:t>
      </w:r>
      <w:r w:rsidR="008F6AC4">
        <w:rPr>
          <w:rFonts w:eastAsia="PMingLiU"/>
          <w:lang w:eastAsia="zh-TW"/>
        </w:rPr>
        <w:t>the</w:t>
      </w:r>
      <w:r w:rsidRPr="00D01AAF">
        <w:rPr>
          <w:rFonts w:eastAsia="PMingLiU"/>
          <w:lang w:eastAsia="zh-TW"/>
        </w:rPr>
        <w:t xml:space="preserve"> source of </w:t>
      </w:r>
      <w:r w:rsidR="008F6AC4">
        <w:rPr>
          <w:rFonts w:eastAsia="PMingLiU"/>
          <w:lang w:eastAsia="zh-TW"/>
        </w:rPr>
        <w:t xml:space="preserve">his </w:t>
      </w:r>
      <w:r w:rsidRPr="00D01AAF">
        <w:rPr>
          <w:rFonts w:eastAsia="PMingLiU"/>
          <w:lang w:eastAsia="zh-TW"/>
        </w:rPr>
        <w:t>income</w:t>
      </w:r>
      <w:r w:rsidR="008F6AC4">
        <w:rPr>
          <w:rFonts w:eastAsia="PMingLiU"/>
          <w:lang w:eastAsia="zh-TW"/>
        </w:rPr>
        <w:t>,</w:t>
      </w:r>
      <w:r w:rsidRPr="00D01AAF">
        <w:rPr>
          <w:rFonts w:eastAsia="PMingLiU"/>
          <w:lang w:eastAsia="zh-TW"/>
        </w:rPr>
        <w:t xml:space="preserve"> which </w:t>
      </w:r>
      <w:r w:rsidR="002E3394">
        <w:rPr>
          <w:rFonts w:eastAsia="PMingLiU"/>
          <w:lang w:eastAsia="zh-TW"/>
        </w:rPr>
        <w:t xml:space="preserve">explanation </w:t>
      </w:r>
      <w:r w:rsidRPr="00D01AAF">
        <w:rPr>
          <w:rFonts w:eastAsia="PMingLiU"/>
          <w:lang w:eastAsia="zh-TW"/>
        </w:rPr>
        <w:t xml:space="preserve">could not </w:t>
      </w:r>
      <w:r w:rsidR="002E3394">
        <w:rPr>
          <w:rFonts w:eastAsia="PMingLiU"/>
          <w:lang w:eastAsia="zh-TW"/>
        </w:rPr>
        <w:t xml:space="preserve">have been </w:t>
      </w:r>
      <w:r w:rsidR="008F6AC4">
        <w:rPr>
          <w:rFonts w:eastAsia="PMingLiU"/>
          <w:lang w:eastAsia="zh-TW"/>
        </w:rPr>
        <w:t>divined</w:t>
      </w:r>
      <w:r w:rsidRPr="00D01AAF">
        <w:rPr>
          <w:rFonts w:eastAsia="PMingLiU"/>
          <w:lang w:eastAsia="zh-TW"/>
        </w:rPr>
        <w:t xml:space="preserve"> from the admitted facts.  He said that in 2012 or 2013</w:t>
      </w:r>
      <w:r w:rsidR="008A434D">
        <w:rPr>
          <w:rFonts w:eastAsia="PMingLiU"/>
          <w:lang w:eastAsia="zh-TW"/>
        </w:rPr>
        <w:t>,</w:t>
      </w:r>
      <w:r w:rsidRPr="00D01AAF">
        <w:rPr>
          <w:rFonts w:eastAsia="PMingLiU"/>
          <w:lang w:eastAsia="zh-TW"/>
        </w:rPr>
        <w:t xml:space="preserve"> he was awarded $50,000 as damages in a court action</w:t>
      </w:r>
      <w:r w:rsidRPr="00D01AAF">
        <w:rPr>
          <w:rFonts w:eastAsia="PMingLiU"/>
          <w:vertAlign w:val="superscript"/>
          <w:lang w:eastAsia="zh-TW"/>
        </w:rPr>
        <w:footnoteReference w:id="8"/>
      </w:r>
      <w:r w:rsidR="002E3394">
        <w:rPr>
          <w:rFonts w:eastAsia="PMingLiU"/>
          <w:lang w:eastAsia="zh-TW"/>
        </w:rPr>
        <w:t>.  Having further</w:t>
      </w:r>
      <w:r w:rsidRPr="00D01AAF">
        <w:rPr>
          <w:rFonts w:eastAsia="PMingLiU"/>
          <w:lang w:eastAsia="zh-TW"/>
        </w:rPr>
        <w:t xml:space="preserve"> </w:t>
      </w:r>
      <w:r w:rsidR="008F6AC4">
        <w:rPr>
          <w:rFonts w:eastAsia="PMingLiU"/>
          <w:lang w:eastAsia="zh-TW"/>
        </w:rPr>
        <w:t>obtained</w:t>
      </w:r>
      <w:r w:rsidRPr="00D01AAF">
        <w:rPr>
          <w:rFonts w:eastAsia="PMingLiU"/>
          <w:lang w:eastAsia="zh-TW"/>
        </w:rPr>
        <w:t xml:space="preserve"> a loan of US$20,000 from a </w:t>
      </w:r>
      <w:r w:rsidR="00D85ECD" w:rsidRPr="00D85ECD">
        <w:rPr>
          <w:rFonts w:eastAsia="PMingLiU"/>
          <w:b/>
          <w:lang w:eastAsia="zh-TW"/>
        </w:rPr>
        <w:t>‍</w:t>
      </w:r>
      <w:r w:rsidRPr="00D01AAF">
        <w:rPr>
          <w:rFonts w:eastAsia="PMingLiU"/>
          <w:lang w:eastAsia="zh-TW"/>
        </w:rPr>
        <w:t xml:space="preserve">friend, he began </w:t>
      </w:r>
      <w:r w:rsidR="008F6AC4">
        <w:rPr>
          <w:rFonts w:eastAsia="PMingLiU"/>
          <w:lang w:eastAsia="zh-TW"/>
        </w:rPr>
        <w:t>running</w:t>
      </w:r>
      <w:r w:rsidRPr="00D01AAF">
        <w:rPr>
          <w:rFonts w:eastAsia="PMingLiU"/>
          <w:lang w:eastAsia="zh-TW"/>
        </w:rPr>
        <w:t xml:space="preserve"> a profitable business in Hong Kong selling second</w:t>
      </w:r>
      <w:r w:rsidR="008F6AC4">
        <w:rPr>
          <w:rFonts w:eastAsia="PMingLiU"/>
          <w:lang w:eastAsia="zh-TW"/>
        </w:rPr>
        <w:t xml:space="preserve"> </w:t>
      </w:r>
      <w:r w:rsidR="00D85ECD" w:rsidRPr="00D85ECD">
        <w:rPr>
          <w:rFonts w:eastAsia="PMingLiU"/>
          <w:b/>
          <w:lang w:eastAsia="zh-TW"/>
        </w:rPr>
        <w:t>‍</w:t>
      </w:r>
      <w:r w:rsidRPr="00D01AAF">
        <w:rPr>
          <w:rFonts w:eastAsia="PMingLiU"/>
          <w:lang w:eastAsia="zh-TW"/>
        </w:rPr>
        <w:t xml:space="preserve">hand mobile </w:t>
      </w:r>
      <w:r w:rsidR="008F6AC4">
        <w:rPr>
          <w:rFonts w:eastAsia="PMingLiU"/>
          <w:lang w:eastAsia="zh-TW"/>
        </w:rPr>
        <w:t>tele</w:t>
      </w:r>
      <w:r w:rsidRPr="00D01AAF">
        <w:rPr>
          <w:rFonts w:eastAsia="PMingLiU"/>
          <w:lang w:eastAsia="zh-TW"/>
        </w:rPr>
        <w:t>phones and accessories</w:t>
      </w:r>
      <w:r w:rsidR="000B7790">
        <w:rPr>
          <w:rFonts w:eastAsia="PMingLiU"/>
          <w:lang w:eastAsia="zh-TW"/>
        </w:rPr>
        <w:t>,</w:t>
      </w:r>
      <w:r w:rsidRPr="00D01AAF">
        <w:rPr>
          <w:rFonts w:eastAsia="PMingLiU"/>
          <w:lang w:eastAsia="zh-TW"/>
        </w:rPr>
        <w:t xml:space="preserve"> which he </w:t>
      </w:r>
      <w:r w:rsidR="008F6AC4">
        <w:rPr>
          <w:rFonts w:eastAsia="PMingLiU"/>
          <w:lang w:eastAsia="zh-TW"/>
        </w:rPr>
        <w:t xml:space="preserve">collected and </w:t>
      </w:r>
      <w:r w:rsidRPr="00D01AAF">
        <w:rPr>
          <w:rFonts w:eastAsia="PMingLiU"/>
          <w:lang w:eastAsia="zh-TW"/>
        </w:rPr>
        <w:t xml:space="preserve">imported from </w:t>
      </w:r>
      <w:r w:rsidR="002E3394">
        <w:rPr>
          <w:rFonts w:eastAsia="PMingLiU"/>
          <w:lang w:eastAsia="zh-TW"/>
        </w:rPr>
        <w:t>the Mainland</w:t>
      </w:r>
      <w:r w:rsidRPr="00D01AAF">
        <w:rPr>
          <w:rFonts w:eastAsia="PMingLiU"/>
          <w:lang w:eastAsia="zh-TW"/>
        </w:rPr>
        <w:t xml:space="preserve"> himself.  He produced his travel movement records between 7 March and 22 </w:t>
      </w:r>
      <w:r w:rsidRPr="00D01AAF">
        <w:rPr>
          <w:rFonts w:eastAsia="PMingLiU"/>
          <w:b/>
          <w:lang w:eastAsia="zh-TW"/>
        </w:rPr>
        <w:t>‍</w:t>
      </w:r>
      <w:r w:rsidRPr="00D01AAF">
        <w:rPr>
          <w:rFonts w:eastAsia="PMingLiU"/>
          <w:lang w:eastAsia="zh-TW"/>
        </w:rPr>
        <w:t xml:space="preserve">November 2014 to show that he had travelled to </w:t>
      </w:r>
      <w:r w:rsidR="002E3394">
        <w:rPr>
          <w:rFonts w:eastAsia="PMingLiU"/>
          <w:lang w:eastAsia="zh-TW"/>
        </w:rPr>
        <w:t>the Mainland</w:t>
      </w:r>
      <w:r w:rsidRPr="00D01AAF">
        <w:rPr>
          <w:rFonts w:eastAsia="PMingLiU"/>
          <w:lang w:eastAsia="zh-TW"/>
        </w:rPr>
        <w:t xml:space="preserve"> on numerous occasions, </w:t>
      </w:r>
      <w:r w:rsidR="000B7790">
        <w:rPr>
          <w:rFonts w:eastAsia="PMingLiU"/>
          <w:lang w:eastAsia="zh-TW"/>
        </w:rPr>
        <w:t>as well as</w:t>
      </w:r>
      <w:r w:rsidRPr="00D01AAF">
        <w:rPr>
          <w:rFonts w:eastAsia="PMingLiU"/>
          <w:lang w:eastAsia="zh-TW"/>
        </w:rPr>
        <w:t xml:space="preserve"> various invoices relating to his trading of mobile </w:t>
      </w:r>
      <w:r w:rsidR="008F6AC4">
        <w:rPr>
          <w:rFonts w:eastAsia="PMingLiU"/>
          <w:lang w:eastAsia="zh-TW"/>
        </w:rPr>
        <w:t>tele</w:t>
      </w:r>
      <w:r w:rsidRPr="00D01AAF">
        <w:rPr>
          <w:rFonts w:eastAsia="PMingLiU"/>
          <w:lang w:eastAsia="zh-TW"/>
        </w:rPr>
        <w:t xml:space="preserve">phones.  </w:t>
      </w:r>
      <w:r w:rsidR="000B7790">
        <w:rPr>
          <w:rFonts w:eastAsia="PMingLiU"/>
          <w:lang w:eastAsia="zh-TW"/>
        </w:rPr>
        <w:t>He further</w:t>
      </w:r>
      <w:r w:rsidRPr="00D01AAF">
        <w:rPr>
          <w:rFonts w:eastAsia="PMingLiU"/>
          <w:lang w:eastAsia="zh-TW"/>
        </w:rPr>
        <w:t xml:space="preserve"> </w:t>
      </w:r>
      <w:r w:rsidR="000B7790">
        <w:rPr>
          <w:rFonts w:eastAsia="PMingLiU"/>
          <w:lang w:eastAsia="zh-TW"/>
        </w:rPr>
        <w:t>claimed that</w:t>
      </w:r>
      <w:r w:rsidRPr="00D01AAF">
        <w:rPr>
          <w:rFonts w:eastAsia="PMingLiU"/>
          <w:lang w:eastAsia="zh-TW"/>
        </w:rPr>
        <w:t xml:space="preserve"> the remittances to </w:t>
      </w:r>
      <w:r w:rsidR="002E3394">
        <w:rPr>
          <w:rFonts w:eastAsia="PMingLiU"/>
          <w:lang w:eastAsia="zh-TW"/>
        </w:rPr>
        <w:t>the Mainland</w:t>
      </w:r>
      <w:r w:rsidRPr="00D01AAF">
        <w:rPr>
          <w:rFonts w:eastAsia="PMingLiU"/>
          <w:lang w:eastAsia="zh-TW"/>
        </w:rPr>
        <w:t xml:space="preserve"> were connected with his purchase of second</w:t>
      </w:r>
      <w:r w:rsidR="00F97D38">
        <w:rPr>
          <w:rFonts w:eastAsia="PMingLiU"/>
          <w:lang w:eastAsia="zh-TW"/>
        </w:rPr>
        <w:t xml:space="preserve"> </w:t>
      </w:r>
      <w:r w:rsidRPr="00D01AAF">
        <w:rPr>
          <w:rFonts w:eastAsia="PMingLiU"/>
          <w:lang w:eastAsia="zh-TW"/>
        </w:rPr>
        <w:t xml:space="preserve">hand mobile </w:t>
      </w:r>
      <w:r w:rsidR="008F6AC4">
        <w:rPr>
          <w:rFonts w:eastAsia="PMingLiU"/>
          <w:lang w:eastAsia="zh-TW"/>
        </w:rPr>
        <w:t>tele</w:t>
      </w:r>
      <w:r w:rsidRPr="00D01AAF">
        <w:rPr>
          <w:rFonts w:eastAsia="PMingLiU"/>
          <w:lang w:eastAsia="zh-TW"/>
        </w:rPr>
        <w:t xml:space="preserve">phones and accessories.  He also said that he had some </w:t>
      </w:r>
      <w:r w:rsidR="008F6AC4">
        <w:rPr>
          <w:rFonts w:eastAsia="PMingLiU"/>
          <w:lang w:eastAsia="zh-TW"/>
        </w:rPr>
        <w:t xml:space="preserve">income from </w:t>
      </w:r>
      <w:r w:rsidRPr="00D01AAF">
        <w:rPr>
          <w:rFonts w:eastAsia="PMingLiU"/>
          <w:lang w:eastAsia="zh-TW"/>
        </w:rPr>
        <w:t>gambling.</w:t>
      </w:r>
    </w:p>
    <w:p w:rsidR="00D01AAF" w:rsidRPr="00D01AAF" w:rsidRDefault="00D01AAF" w:rsidP="00D01AAF">
      <w:pPr>
        <w:pStyle w:val="T-Draft"/>
        <w:rPr>
          <w:rFonts w:eastAsia="PMingLiU"/>
          <w:lang w:eastAsia="zh-TW"/>
        </w:rPr>
      </w:pPr>
      <w:r w:rsidRPr="00D01AAF">
        <w:rPr>
          <w:rFonts w:eastAsia="PMingLiU"/>
          <w:lang w:eastAsia="zh-TW"/>
        </w:rPr>
        <w:t xml:space="preserve">The respondent </w:t>
      </w:r>
      <w:r w:rsidR="002137A7">
        <w:rPr>
          <w:rFonts w:eastAsia="PMingLiU"/>
          <w:lang w:eastAsia="zh-TW"/>
        </w:rPr>
        <w:t>further</w:t>
      </w:r>
      <w:r w:rsidR="000B7790">
        <w:rPr>
          <w:rFonts w:eastAsia="PMingLiU"/>
          <w:lang w:eastAsia="zh-TW"/>
        </w:rPr>
        <w:t xml:space="preserve"> </w:t>
      </w:r>
      <w:r w:rsidRPr="00D01AAF">
        <w:rPr>
          <w:rFonts w:eastAsia="PMingLiU"/>
          <w:lang w:eastAsia="zh-TW"/>
        </w:rPr>
        <w:t>called his wife (</w:t>
      </w:r>
      <w:r w:rsidR="008F6AC4">
        <w:rPr>
          <w:rFonts w:eastAsia="PMingLiU"/>
          <w:lang w:eastAsia="zh-TW"/>
        </w:rPr>
        <w:t>“</w:t>
      </w:r>
      <w:r w:rsidRPr="00D01AAF">
        <w:rPr>
          <w:rFonts w:eastAsia="PMingLiU"/>
          <w:lang w:eastAsia="zh-TW"/>
        </w:rPr>
        <w:t>DW2</w:t>
      </w:r>
      <w:r w:rsidR="008F6AC4">
        <w:rPr>
          <w:rFonts w:eastAsia="PMingLiU"/>
          <w:lang w:eastAsia="zh-TW"/>
        </w:rPr>
        <w:t>”</w:t>
      </w:r>
      <w:r w:rsidRPr="00D01AAF">
        <w:rPr>
          <w:rFonts w:eastAsia="PMingLiU"/>
          <w:lang w:eastAsia="zh-TW"/>
        </w:rPr>
        <w:t>) and her friend (</w:t>
      </w:r>
      <w:r w:rsidR="008F6AC4">
        <w:rPr>
          <w:rFonts w:eastAsia="PMingLiU"/>
          <w:lang w:eastAsia="zh-TW"/>
        </w:rPr>
        <w:t>“</w:t>
      </w:r>
      <w:r w:rsidRPr="00D01AAF">
        <w:rPr>
          <w:rFonts w:eastAsia="PMingLiU"/>
          <w:lang w:eastAsia="zh-TW"/>
        </w:rPr>
        <w:t>DW3</w:t>
      </w:r>
      <w:r w:rsidR="008F6AC4">
        <w:rPr>
          <w:rFonts w:eastAsia="PMingLiU"/>
          <w:lang w:eastAsia="zh-TW"/>
        </w:rPr>
        <w:t>”</w:t>
      </w:r>
      <w:r w:rsidRPr="00D01AAF">
        <w:rPr>
          <w:rFonts w:eastAsia="PMingLiU"/>
          <w:lang w:eastAsia="zh-TW"/>
        </w:rPr>
        <w:t xml:space="preserve">) to give evidence to support his version of events.  Consistent with the respondent’s claim, DW2 said that the respondent had </w:t>
      </w:r>
      <w:r w:rsidR="008F6AC4">
        <w:rPr>
          <w:rFonts w:eastAsia="PMingLiU"/>
          <w:lang w:eastAsia="zh-TW"/>
        </w:rPr>
        <w:t>borrowed</w:t>
      </w:r>
      <w:r w:rsidRPr="00D01AAF">
        <w:rPr>
          <w:rFonts w:eastAsia="PMingLiU"/>
          <w:lang w:eastAsia="zh-TW"/>
        </w:rPr>
        <w:t xml:space="preserve"> US$20,000 from </w:t>
      </w:r>
      <w:r w:rsidR="008F6AC4">
        <w:rPr>
          <w:rFonts w:eastAsia="PMingLiU"/>
          <w:lang w:eastAsia="zh-TW"/>
        </w:rPr>
        <w:t>a</w:t>
      </w:r>
      <w:r w:rsidRPr="00D01AAF">
        <w:rPr>
          <w:rFonts w:eastAsia="PMingLiU"/>
          <w:lang w:eastAsia="zh-TW"/>
        </w:rPr>
        <w:t xml:space="preserve"> friend</w:t>
      </w:r>
      <w:r w:rsidR="00CF5A46">
        <w:rPr>
          <w:rFonts w:eastAsia="PMingLiU"/>
          <w:lang w:eastAsia="zh-TW"/>
        </w:rPr>
        <w:t>,</w:t>
      </w:r>
      <w:r w:rsidRPr="00D01AAF">
        <w:rPr>
          <w:rFonts w:eastAsia="PMingLiU"/>
          <w:lang w:eastAsia="zh-TW"/>
        </w:rPr>
        <w:t xml:space="preserve"> and </w:t>
      </w:r>
      <w:r w:rsidR="002137A7">
        <w:rPr>
          <w:rFonts w:eastAsia="PMingLiU"/>
          <w:lang w:eastAsia="zh-TW"/>
        </w:rPr>
        <w:t xml:space="preserve">that he </w:t>
      </w:r>
      <w:r w:rsidRPr="00D01AAF">
        <w:rPr>
          <w:rFonts w:eastAsia="PMingLiU"/>
          <w:lang w:eastAsia="zh-TW"/>
        </w:rPr>
        <w:t xml:space="preserve">liked to gamble.  DW3 </w:t>
      </w:r>
      <w:r w:rsidR="008F6AC4">
        <w:rPr>
          <w:rFonts w:eastAsia="PMingLiU"/>
          <w:lang w:eastAsia="zh-TW"/>
        </w:rPr>
        <w:t>was able to confirm</w:t>
      </w:r>
      <w:r w:rsidRPr="00D01AAF">
        <w:rPr>
          <w:rFonts w:eastAsia="PMingLiU"/>
          <w:lang w:eastAsia="zh-TW"/>
        </w:rPr>
        <w:t xml:space="preserve"> that the respondent was </w:t>
      </w:r>
      <w:r w:rsidR="008F6AC4">
        <w:rPr>
          <w:rFonts w:eastAsia="PMingLiU"/>
          <w:lang w:eastAsia="zh-TW"/>
        </w:rPr>
        <w:t xml:space="preserve">indeed </w:t>
      </w:r>
      <w:r w:rsidRPr="00D01AAF">
        <w:rPr>
          <w:rFonts w:eastAsia="PMingLiU"/>
          <w:lang w:eastAsia="zh-TW"/>
        </w:rPr>
        <w:t>running a second</w:t>
      </w:r>
      <w:r w:rsidR="008F6AC4">
        <w:rPr>
          <w:rFonts w:eastAsia="PMingLiU"/>
          <w:lang w:eastAsia="zh-TW"/>
        </w:rPr>
        <w:t xml:space="preserve"> </w:t>
      </w:r>
      <w:r w:rsidRPr="00D01AAF">
        <w:rPr>
          <w:rFonts w:eastAsia="PMingLiU"/>
          <w:lang w:eastAsia="zh-TW"/>
        </w:rPr>
        <w:t xml:space="preserve">hand mobile </w:t>
      </w:r>
      <w:r w:rsidR="008F6AC4">
        <w:rPr>
          <w:rFonts w:eastAsia="PMingLiU"/>
          <w:lang w:eastAsia="zh-TW"/>
        </w:rPr>
        <w:t>tele</w:t>
      </w:r>
      <w:r w:rsidRPr="00D01AAF">
        <w:rPr>
          <w:rFonts w:eastAsia="PMingLiU"/>
          <w:lang w:eastAsia="zh-TW"/>
        </w:rPr>
        <w:t>phone business because the</w:t>
      </w:r>
      <w:r w:rsidR="002137A7">
        <w:rPr>
          <w:rFonts w:eastAsia="PMingLiU"/>
          <w:lang w:eastAsia="zh-TW"/>
        </w:rPr>
        <w:t xml:space="preserve"> two of them </w:t>
      </w:r>
      <w:r w:rsidRPr="00D01AAF">
        <w:rPr>
          <w:rFonts w:eastAsia="PMingLiU"/>
          <w:lang w:eastAsia="zh-TW"/>
        </w:rPr>
        <w:t xml:space="preserve">had </w:t>
      </w:r>
      <w:r w:rsidR="00233B8E">
        <w:rPr>
          <w:rFonts w:eastAsia="PMingLiU"/>
          <w:lang w:eastAsia="zh-TW"/>
        </w:rPr>
        <w:t xml:space="preserve">had </w:t>
      </w:r>
      <w:r w:rsidRPr="00D01AAF">
        <w:rPr>
          <w:rFonts w:eastAsia="PMingLiU"/>
          <w:lang w:eastAsia="zh-TW"/>
        </w:rPr>
        <w:t xml:space="preserve">previous business dealings with each other.  </w:t>
      </w:r>
    </w:p>
    <w:p w:rsidR="00D01AAF" w:rsidRPr="00D01AAF" w:rsidRDefault="00D01AAF" w:rsidP="00D01AAF">
      <w:pPr>
        <w:pStyle w:val="j-heading"/>
        <w:rPr>
          <w:lang w:eastAsia="zh-TW"/>
        </w:rPr>
      </w:pPr>
      <w:r w:rsidRPr="00D01AAF">
        <w:rPr>
          <w:lang w:eastAsia="zh-TW"/>
        </w:rPr>
        <w:lastRenderedPageBreak/>
        <w:t>The judge’s findings</w:t>
      </w:r>
    </w:p>
    <w:p w:rsidR="00D01AAF" w:rsidRPr="00D01AAF" w:rsidRDefault="00D01AAF" w:rsidP="00D01AAF">
      <w:pPr>
        <w:pStyle w:val="T-Draft"/>
        <w:rPr>
          <w:rFonts w:eastAsia="PMingLiU"/>
          <w:lang w:eastAsia="zh-TW"/>
        </w:rPr>
      </w:pPr>
      <w:r w:rsidRPr="00D01AAF">
        <w:rPr>
          <w:rFonts w:eastAsia="PMingLiU"/>
          <w:lang w:eastAsia="zh-TW"/>
        </w:rPr>
        <w:t xml:space="preserve">In his Reasons for Verdict, the judge </w:t>
      </w:r>
      <w:r w:rsidR="00233B8E">
        <w:rPr>
          <w:rFonts w:eastAsia="PMingLiU"/>
          <w:lang w:eastAsia="zh-TW"/>
        </w:rPr>
        <w:t>said</w:t>
      </w:r>
      <w:r w:rsidRPr="00D01AAF">
        <w:rPr>
          <w:rFonts w:eastAsia="PMingLiU"/>
          <w:lang w:eastAsia="zh-TW"/>
        </w:rPr>
        <w:t xml:space="preserve"> it was “hard to reject” the defence’s evidence since the trading documents produced by the respondent and his travel movement records supported his version of events</w:t>
      </w:r>
      <w:r w:rsidRPr="00D01AAF">
        <w:rPr>
          <w:rFonts w:eastAsia="PMingLiU"/>
          <w:vertAlign w:val="superscript"/>
          <w:lang w:eastAsia="zh-TW"/>
        </w:rPr>
        <w:footnoteReference w:id="9"/>
      </w:r>
      <w:r w:rsidRPr="00D01AAF">
        <w:rPr>
          <w:rFonts w:eastAsia="PMingLiU"/>
          <w:lang w:eastAsia="zh-TW"/>
        </w:rPr>
        <w:t xml:space="preserve">.  The judge found no evidence to support the allegation that the setting up of the respondent’s business was a cover-up to hide his illegal dealings, or that </w:t>
      </w:r>
      <w:r w:rsidR="002137A7">
        <w:rPr>
          <w:rFonts w:eastAsia="PMingLiU"/>
          <w:lang w:eastAsia="zh-TW"/>
        </w:rPr>
        <w:t>“these deposits were from any other source, be it legitimate or illegitimate, other than the account of events given by the defendant”</w:t>
      </w:r>
      <w:r w:rsidRPr="00D01AAF">
        <w:rPr>
          <w:rFonts w:eastAsia="PMingLiU"/>
          <w:vertAlign w:val="superscript"/>
          <w:lang w:eastAsia="zh-TW"/>
        </w:rPr>
        <w:footnoteReference w:id="10"/>
      </w:r>
      <w:r w:rsidRPr="00D01AAF">
        <w:rPr>
          <w:rFonts w:eastAsia="PMingLiU"/>
          <w:lang w:eastAsia="zh-TW"/>
        </w:rPr>
        <w:t>.</w:t>
      </w:r>
    </w:p>
    <w:p w:rsidR="00D01AAF" w:rsidRPr="00D01AAF" w:rsidRDefault="00D01AAF" w:rsidP="00D01AAF">
      <w:pPr>
        <w:pStyle w:val="j-heading"/>
        <w:rPr>
          <w:lang w:eastAsia="zh-TW"/>
        </w:rPr>
      </w:pPr>
      <w:r w:rsidRPr="00D01AAF">
        <w:rPr>
          <w:lang w:eastAsia="zh-TW"/>
        </w:rPr>
        <w:t>The application for costs</w:t>
      </w:r>
    </w:p>
    <w:p w:rsidR="00D01AAF" w:rsidRPr="00D01AAF" w:rsidRDefault="00D01AAF" w:rsidP="00D01AAF">
      <w:pPr>
        <w:pStyle w:val="T-Draft"/>
        <w:rPr>
          <w:rFonts w:eastAsia="PMingLiU"/>
          <w:lang w:eastAsia="zh-TW"/>
        </w:rPr>
      </w:pPr>
      <w:r w:rsidRPr="00D01AAF">
        <w:rPr>
          <w:rFonts w:eastAsia="PMingLiU"/>
          <w:lang w:eastAsia="zh-TW"/>
        </w:rPr>
        <w:t>The defence application for costs w</w:t>
      </w:r>
      <w:r w:rsidR="00550D1F">
        <w:rPr>
          <w:rFonts w:eastAsia="PMingLiU"/>
          <w:lang w:eastAsia="zh-TW"/>
        </w:rPr>
        <w:t>as</w:t>
      </w:r>
      <w:r w:rsidRPr="00D01AAF">
        <w:rPr>
          <w:rFonts w:eastAsia="PMingLiU"/>
          <w:lang w:eastAsia="zh-TW"/>
        </w:rPr>
        <w:t xml:space="preserve"> made on the following bas</w:t>
      </w:r>
      <w:r w:rsidR="001228A6">
        <w:rPr>
          <w:rFonts w:eastAsia="PMingLiU"/>
          <w:lang w:eastAsia="zh-TW"/>
        </w:rPr>
        <w:t>e</w:t>
      </w:r>
      <w:r w:rsidRPr="00D01AAF">
        <w:rPr>
          <w:rFonts w:eastAsia="PMingLiU"/>
          <w:lang w:eastAsia="zh-TW"/>
        </w:rPr>
        <w:t>s:</w:t>
      </w:r>
    </w:p>
    <w:p w:rsidR="00D01AAF" w:rsidRPr="00D01AAF" w:rsidRDefault="00D01AAF" w:rsidP="00D01AAF">
      <w:pPr>
        <w:pStyle w:val="T-Draft"/>
        <w:numPr>
          <w:ilvl w:val="0"/>
          <w:numId w:val="14"/>
        </w:numPr>
        <w:tabs>
          <w:tab w:val="clear" w:pos="1778"/>
          <w:tab w:val="num" w:pos="1440"/>
        </w:tabs>
        <w:spacing w:before="240"/>
        <w:ind w:left="1440" w:hanging="720"/>
        <w:rPr>
          <w:rFonts w:eastAsia="PMingLiU"/>
          <w:lang w:eastAsia="zh-TW"/>
        </w:rPr>
      </w:pPr>
      <w:r w:rsidRPr="00D01AAF">
        <w:rPr>
          <w:rFonts w:eastAsia="PMingLiU"/>
          <w:lang w:eastAsia="zh-TW"/>
        </w:rPr>
        <w:t xml:space="preserve">The respondent did not bring any suspicion upon himself.  In particular, the prosecution </w:t>
      </w:r>
      <w:r w:rsidR="00233B8E">
        <w:rPr>
          <w:rFonts w:eastAsia="PMingLiU"/>
          <w:lang w:eastAsia="zh-TW"/>
        </w:rPr>
        <w:t>had n</w:t>
      </w:r>
      <w:r w:rsidR="000B7790">
        <w:rPr>
          <w:rFonts w:eastAsia="PMingLiU"/>
          <w:lang w:eastAsia="zh-TW"/>
        </w:rPr>
        <w:t>ever</w:t>
      </w:r>
      <w:r w:rsidR="00233B8E">
        <w:rPr>
          <w:rFonts w:eastAsia="PMingLiU"/>
          <w:lang w:eastAsia="zh-TW"/>
        </w:rPr>
        <w:t xml:space="preserve"> relied </w:t>
      </w:r>
      <w:r w:rsidR="00550D1F">
        <w:rPr>
          <w:rFonts w:eastAsia="PMingLiU"/>
          <w:lang w:eastAsia="zh-TW"/>
        </w:rPr>
        <w:t xml:space="preserve">at any stage </w:t>
      </w:r>
      <w:r w:rsidR="00233B8E">
        <w:rPr>
          <w:rFonts w:eastAsia="PMingLiU"/>
          <w:lang w:eastAsia="zh-TW"/>
        </w:rPr>
        <w:t xml:space="preserve">on his </w:t>
      </w:r>
      <w:r w:rsidR="00550D1F">
        <w:rPr>
          <w:rFonts w:eastAsia="PMingLiU"/>
          <w:lang w:eastAsia="zh-TW"/>
        </w:rPr>
        <w:t>VRI</w:t>
      </w:r>
      <w:r w:rsidRPr="00D01AAF">
        <w:rPr>
          <w:rFonts w:eastAsia="PMingLiU"/>
          <w:vertAlign w:val="superscript"/>
          <w:lang w:eastAsia="zh-TW"/>
        </w:rPr>
        <w:footnoteReference w:id="11"/>
      </w:r>
      <w:r w:rsidR="00233B8E">
        <w:rPr>
          <w:rFonts w:eastAsia="PMingLiU"/>
          <w:lang w:eastAsia="zh-TW"/>
        </w:rPr>
        <w:t>.</w:t>
      </w:r>
    </w:p>
    <w:p w:rsidR="00D01AAF" w:rsidRPr="00D01AAF" w:rsidRDefault="00D01AAF" w:rsidP="00D01AAF">
      <w:pPr>
        <w:pStyle w:val="T-Draft"/>
        <w:numPr>
          <w:ilvl w:val="0"/>
          <w:numId w:val="14"/>
        </w:numPr>
        <w:tabs>
          <w:tab w:val="clear" w:pos="1778"/>
          <w:tab w:val="num" w:pos="1440"/>
        </w:tabs>
        <w:spacing w:before="240"/>
        <w:ind w:left="1440" w:hanging="720"/>
        <w:rPr>
          <w:rFonts w:eastAsia="PMingLiU"/>
          <w:lang w:eastAsia="zh-TW"/>
        </w:rPr>
      </w:pPr>
      <w:r w:rsidRPr="00D01AAF">
        <w:rPr>
          <w:rFonts w:eastAsia="PMingLiU"/>
          <w:lang w:eastAsia="zh-TW"/>
        </w:rPr>
        <w:t>The conduct of the respondent was reasonable throughout the trial and it was his right to remain silent and refuse to explain himself at the investigation stage</w:t>
      </w:r>
      <w:r w:rsidRPr="00D01AAF">
        <w:rPr>
          <w:rFonts w:eastAsia="PMingLiU"/>
          <w:vertAlign w:val="superscript"/>
          <w:lang w:eastAsia="zh-TW"/>
        </w:rPr>
        <w:footnoteReference w:id="12"/>
      </w:r>
      <w:r w:rsidRPr="00D01AAF">
        <w:rPr>
          <w:rFonts w:eastAsia="PMingLiU"/>
          <w:lang w:eastAsia="zh-TW"/>
        </w:rPr>
        <w:t>.</w:t>
      </w:r>
    </w:p>
    <w:p w:rsidR="00D01AAF" w:rsidRPr="00D01AAF" w:rsidRDefault="00D01AAF" w:rsidP="00D01AAF">
      <w:pPr>
        <w:pStyle w:val="T-Draft"/>
        <w:numPr>
          <w:ilvl w:val="0"/>
          <w:numId w:val="14"/>
        </w:numPr>
        <w:tabs>
          <w:tab w:val="clear" w:pos="1778"/>
          <w:tab w:val="num" w:pos="1440"/>
        </w:tabs>
        <w:spacing w:before="240"/>
        <w:ind w:left="1440" w:hanging="720"/>
        <w:rPr>
          <w:rFonts w:eastAsia="PMingLiU"/>
          <w:lang w:eastAsia="zh-TW"/>
        </w:rPr>
      </w:pPr>
      <w:r w:rsidRPr="00D01AAF">
        <w:rPr>
          <w:rFonts w:eastAsia="PMingLiU"/>
          <w:lang w:eastAsia="zh-TW"/>
        </w:rPr>
        <w:t xml:space="preserve">The business of the respondent, albeit run on a cash basis, was a legitimate </w:t>
      </w:r>
      <w:r w:rsidR="000B7790">
        <w:rPr>
          <w:rFonts w:eastAsia="PMingLiU"/>
          <w:lang w:eastAsia="zh-TW"/>
        </w:rPr>
        <w:t>one</w:t>
      </w:r>
      <w:r w:rsidRPr="00D01AAF">
        <w:rPr>
          <w:rFonts w:eastAsia="PMingLiU"/>
          <w:vertAlign w:val="superscript"/>
          <w:lang w:eastAsia="zh-TW"/>
        </w:rPr>
        <w:footnoteReference w:id="13"/>
      </w:r>
      <w:r w:rsidRPr="00D01AAF">
        <w:rPr>
          <w:rFonts w:eastAsia="PMingLiU"/>
          <w:lang w:eastAsia="zh-TW"/>
        </w:rPr>
        <w:t>.</w:t>
      </w:r>
    </w:p>
    <w:p w:rsidR="00D01AAF" w:rsidRPr="00D01AAF" w:rsidRDefault="00233B8E" w:rsidP="00D01AAF">
      <w:pPr>
        <w:pStyle w:val="T-Draft"/>
        <w:rPr>
          <w:rFonts w:eastAsia="PMingLiU"/>
          <w:lang w:eastAsia="zh-TW"/>
        </w:rPr>
      </w:pPr>
      <w:r>
        <w:rPr>
          <w:rFonts w:eastAsia="PMingLiU"/>
          <w:lang w:eastAsia="zh-TW"/>
        </w:rPr>
        <w:lastRenderedPageBreak/>
        <w:t>In resisting the application,</w:t>
      </w:r>
      <w:r w:rsidR="00D01AAF" w:rsidRPr="00D01AAF">
        <w:rPr>
          <w:rFonts w:eastAsia="PMingLiU"/>
          <w:lang w:eastAsia="zh-TW"/>
        </w:rPr>
        <w:t xml:space="preserve"> prosecuting counsel </w:t>
      </w:r>
      <w:r w:rsidR="00B8418C">
        <w:rPr>
          <w:rFonts w:eastAsia="PMingLiU"/>
          <w:lang w:eastAsia="zh-TW"/>
        </w:rPr>
        <w:t>contended</w:t>
      </w:r>
      <w:r w:rsidR="00D01AAF" w:rsidRPr="00D01AAF">
        <w:rPr>
          <w:rFonts w:eastAsia="PMingLiU"/>
          <w:lang w:eastAsia="zh-TW"/>
        </w:rPr>
        <w:t xml:space="preserve"> that the respondent </w:t>
      </w:r>
      <w:r>
        <w:rPr>
          <w:rFonts w:eastAsia="PMingLiU"/>
          <w:lang w:eastAsia="zh-TW"/>
        </w:rPr>
        <w:t xml:space="preserve">had </w:t>
      </w:r>
      <w:r w:rsidR="00B8418C">
        <w:rPr>
          <w:rFonts w:eastAsia="PMingLiU"/>
          <w:lang w:eastAsia="zh-TW"/>
        </w:rPr>
        <w:t xml:space="preserve">evidently </w:t>
      </w:r>
      <w:r>
        <w:rPr>
          <w:rFonts w:eastAsia="PMingLiU"/>
          <w:lang w:eastAsia="zh-TW"/>
        </w:rPr>
        <w:t>been</w:t>
      </w:r>
      <w:r w:rsidR="00D01AAF" w:rsidRPr="00D01AAF">
        <w:rPr>
          <w:rFonts w:eastAsia="PMingLiU"/>
          <w:lang w:eastAsia="zh-TW"/>
        </w:rPr>
        <w:t xml:space="preserve"> running an illegal business</w:t>
      </w:r>
      <w:r w:rsidR="00B8418C">
        <w:rPr>
          <w:rFonts w:eastAsia="PMingLiU"/>
          <w:lang w:eastAsia="zh-TW"/>
        </w:rPr>
        <w:t>,</w:t>
      </w:r>
      <w:r w:rsidR="00D01AAF" w:rsidRPr="00D01AAF">
        <w:rPr>
          <w:rFonts w:eastAsia="PMingLiU"/>
          <w:lang w:eastAsia="zh-TW"/>
        </w:rPr>
        <w:t xml:space="preserve"> since there w</w:t>
      </w:r>
      <w:r>
        <w:rPr>
          <w:rFonts w:eastAsia="PMingLiU"/>
          <w:lang w:eastAsia="zh-TW"/>
        </w:rPr>
        <w:t>as no</w:t>
      </w:r>
      <w:r w:rsidR="00D01AAF" w:rsidRPr="00D01AAF">
        <w:rPr>
          <w:rFonts w:eastAsia="PMingLiU"/>
          <w:lang w:eastAsia="zh-TW"/>
        </w:rPr>
        <w:t xml:space="preserve"> business registration certificate</w:t>
      </w:r>
      <w:r w:rsidR="00B8418C">
        <w:rPr>
          <w:rFonts w:eastAsia="PMingLiU"/>
          <w:lang w:eastAsia="zh-TW"/>
        </w:rPr>
        <w:t>,</w:t>
      </w:r>
      <w:r w:rsidR="00D01AAF" w:rsidRPr="00D01AAF">
        <w:rPr>
          <w:rFonts w:eastAsia="PMingLiU"/>
          <w:lang w:eastAsia="zh-TW"/>
        </w:rPr>
        <w:t xml:space="preserve"> nor </w:t>
      </w:r>
      <w:r>
        <w:rPr>
          <w:rFonts w:eastAsia="PMingLiU"/>
          <w:lang w:eastAsia="zh-TW"/>
        </w:rPr>
        <w:t xml:space="preserve">were there </w:t>
      </w:r>
      <w:r w:rsidR="00550D1F">
        <w:rPr>
          <w:rFonts w:eastAsia="PMingLiU"/>
          <w:lang w:eastAsia="zh-TW"/>
        </w:rPr>
        <w:t xml:space="preserve">any </w:t>
      </w:r>
      <w:r w:rsidR="00D01AAF" w:rsidRPr="00D01AAF">
        <w:rPr>
          <w:rFonts w:eastAsia="PMingLiU"/>
          <w:lang w:eastAsia="zh-TW"/>
        </w:rPr>
        <w:t>proper books of accounts</w:t>
      </w:r>
      <w:r w:rsidR="00D01AAF" w:rsidRPr="00D01AAF">
        <w:rPr>
          <w:rFonts w:eastAsia="PMingLiU"/>
          <w:vertAlign w:val="superscript"/>
          <w:lang w:eastAsia="zh-TW"/>
        </w:rPr>
        <w:footnoteReference w:id="14"/>
      </w:r>
      <w:r w:rsidR="00D01AAF" w:rsidRPr="00D01AAF">
        <w:rPr>
          <w:rFonts w:eastAsia="PMingLiU"/>
          <w:lang w:eastAsia="zh-TW"/>
        </w:rPr>
        <w:t>.  He submitted that</w:t>
      </w:r>
      <w:r>
        <w:rPr>
          <w:rFonts w:eastAsia="PMingLiU"/>
          <w:lang w:eastAsia="zh-TW"/>
        </w:rPr>
        <w:t xml:space="preserve"> had there been any such evidence</w:t>
      </w:r>
      <w:r w:rsidR="00D01AAF" w:rsidRPr="00D01AAF">
        <w:rPr>
          <w:rFonts w:eastAsia="PMingLiU"/>
          <w:vertAlign w:val="superscript"/>
          <w:lang w:eastAsia="zh-TW"/>
        </w:rPr>
        <w:footnoteReference w:id="15"/>
      </w:r>
      <w:r w:rsidR="00D01AAF" w:rsidRPr="00D01AAF">
        <w:rPr>
          <w:rFonts w:eastAsia="PMingLiU"/>
          <w:lang w:eastAsia="zh-TW"/>
        </w:rPr>
        <w:t>:</w:t>
      </w:r>
    </w:p>
    <w:p w:rsidR="00D01AAF" w:rsidRPr="00D01AAF" w:rsidRDefault="00D01AAF" w:rsidP="00D01AAF">
      <w:pPr>
        <w:pStyle w:val="j-quotation"/>
      </w:pPr>
      <w:r w:rsidRPr="00D01AAF">
        <w:t xml:space="preserve">“…it would have led the police to a chain of inquiry as to whether or not the defendant was running a business.  So my argument is that running a cash business cross-border without any legally compliant books and records is in fact bringing suspicion on himself, and I would point out that the business documents that were provided in court, that was the first time the prosecution knew anything of this.  So obviously the defendant has a right of silence but what </w:t>
      </w:r>
      <w:r w:rsidR="00233B8E">
        <w:t>(he)</w:t>
      </w:r>
      <w:r w:rsidRPr="00D01AAF">
        <w:t xml:space="preserve"> does not have a right to do is to fail to keep properly compliant records which could have led the police on an inquiry which would have shown the business and therefore obviated this prosecution.”</w:t>
      </w:r>
    </w:p>
    <w:p w:rsidR="00D01AAF" w:rsidRPr="00D01AAF" w:rsidRDefault="00D01AAF" w:rsidP="00D01AAF">
      <w:pPr>
        <w:pStyle w:val="T-Draft"/>
        <w:rPr>
          <w:rFonts w:eastAsia="PMingLiU"/>
          <w:lang w:eastAsia="zh-TW"/>
        </w:rPr>
      </w:pPr>
      <w:r w:rsidRPr="00D01AAF">
        <w:rPr>
          <w:rFonts w:eastAsia="PMingLiU"/>
          <w:lang w:eastAsia="zh-TW"/>
        </w:rPr>
        <w:t xml:space="preserve">The judge reminded himself of the legal principles </w:t>
      </w:r>
      <w:r w:rsidR="00550D1F">
        <w:rPr>
          <w:rFonts w:eastAsia="PMingLiU"/>
          <w:lang w:eastAsia="zh-TW"/>
        </w:rPr>
        <w:t>in relation to applications for the</w:t>
      </w:r>
      <w:r w:rsidRPr="00D01AAF">
        <w:rPr>
          <w:rFonts w:eastAsia="PMingLiU"/>
          <w:lang w:eastAsia="zh-TW"/>
        </w:rPr>
        <w:t xml:space="preserve"> costs of </w:t>
      </w:r>
      <w:r w:rsidR="00550D1F">
        <w:rPr>
          <w:rFonts w:eastAsia="PMingLiU"/>
          <w:lang w:eastAsia="zh-TW"/>
        </w:rPr>
        <w:t>a</w:t>
      </w:r>
      <w:r w:rsidRPr="00D01AAF">
        <w:rPr>
          <w:rFonts w:eastAsia="PMingLiU"/>
          <w:lang w:eastAsia="zh-TW"/>
        </w:rPr>
        <w:t xml:space="preserve"> trial wh</w:t>
      </w:r>
      <w:r w:rsidR="00550D1F">
        <w:rPr>
          <w:rFonts w:eastAsia="PMingLiU"/>
          <w:lang w:eastAsia="zh-TW"/>
        </w:rPr>
        <w:t>ere the defendant is acquitted</w:t>
      </w:r>
      <w:r w:rsidRPr="00D01AAF">
        <w:rPr>
          <w:rFonts w:eastAsia="PMingLiU"/>
          <w:lang w:eastAsia="zh-TW"/>
        </w:rPr>
        <w:t xml:space="preserve">.  In particular, he noted that a defendant </w:t>
      </w:r>
      <w:r w:rsidR="00550D1F">
        <w:rPr>
          <w:rFonts w:eastAsia="PMingLiU"/>
          <w:lang w:eastAsia="zh-TW"/>
        </w:rPr>
        <w:t>i</w:t>
      </w:r>
      <w:r w:rsidRPr="00D01AAF">
        <w:rPr>
          <w:rFonts w:eastAsia="PMingLiU"/>
          <w:lang w:eastAsia="zh-TW"/>
        </w:rPr>
        <w:t>s entitled to costs unless</w:t>
      </w:r>
      <w:r w:rsidR="00B8418C">
        <w:rPr>
          <w:rFonts w:eastAsia="PMingLiU"/>
          <w:lang w:eastAsia="zh-TW"/>
        </w:rPr>
        <w:t xml:space="preserve"> it c</w:t>
      </w:r>
      <w:r w:rsidR="00550D1F">
        <w:rPr>
          <w:rFonts w:eastAsia="PMingLiU"/>
          <w:lang w:eastAsia="zh-TW"/>
        </w:rPr>
        <w:t>an</w:t>
      </w:r>
      <w:r w:rsidR="00B8418C">
        <w:rPr>
          <w:rFonts w:eastAsia="PMingLiU"/>
          <w:lang w:eastAsia="zh-TW"/>
        </w:rPr>
        <w:t xml:space="preserve"> be said that</w:t>
      </w:r>
      <w:r w:rsidRPr="00D01AAF">
        <w:rPr>
          <w:rFonts w:eastAsia="PMingLiU"/>
          <w:lang w:eastAsia="zh-TW"/>
        </w:rPr>
        <w:t xml:space="preserve"> he ha</w:t>
      </w:r>
      <w:r w:rsidR="00550D1F">
        <w:rPr>
          <w:rFonts w:eastAsia="PMingLiU"/>
          <w:lang w:eastAsia="zh-TW"/>
        </w:rPr>
        <w:t>s</w:t>
      </w:r>
      <w:r w:rsidRPr="00D01AAF">
        <w:rPr>
          <w:rFonts w:eastAsia="PMingLiU"/>
          <w:lang w:eastAsia="zh-TW"/>
        </w:rPr>
        <w:t xml:space="preserve"> brought suspicions upon himself</w:t>
      </w:r>
      <w:r w:rsidR="000C14B9">
        <w:rPr>
          <w:rFonts w:eastAsia="PMingLiU"/>
          <w:lang w:eastAsia="zh-TW"/>
        </w:rPr>
        <w:t>,</w:t>
      </w:r>
      <w:r w:rsidRPr="00D01AAF">
        <w:rPr>
          <w:rFonts w:eastAsia="PMingLiU"/>
          <w:lang w:eastAsia="zh-TW"/>
        </w:rPr>
        <w:t xml:space="preserve"> or his conduct ha</w:t>
      </w:r>
      <w:r w:rsidR="00550D1F">
        <w:rPr>
          <w:rFonts w:eastAsia="PMingLiU"/>
          <w:lang w:eastAsia="zh-TW"/>
        </w:rPr>
        <w:t>s</w:t>
      </w:r>
      <w:r w:rsidRPr="00D01AAF">
        <w:rPr>
          <w:rFonts w:eastAsia="PMingLiU"/>
          <w:lang w:eastAsia="zh-TW"/>
        </w:rPr>
        <w:t xml:space="preserve"> misled the prosecution into thinking that the case against him </w:t>
      </w:r>
      <w:r w:rsidR="00550D1F">
        <w:rPr>
          <w:rFonts w:eastAsia="PMingLiU"/>
          <w:lang w:eastAsia="zh-TW"/>
        </w:rPr>
        <w:t>wa</w:t>
      </w:r>
      <w:r w:rsidRPr="00D01AAF">
        <w:rPr>
          <w:rFonts w:eastAsia="PMingLiU"/>
          <w:lang w:eastAsia="zh-TW"/>
        </w:rPr>
        <w:t>s stronger than it was</w:t>
      </w:r>
      <w:r w:rsidRPr="00D01AAF">
        <w:rPr>
          <w:rFonts w:eastAsia="PMingLiU"/>
          <w:vertAlign w:val="superscript"/>
          <w:lang w:eastAsia="zh-TW"/>
        </w:rPr>
        <w:footnoteReference w:id="16"/>
      </w:r>
      <w:r w:rsidRPr="00D01AAF">
        <w:rPr>
          <w:rFonts w:eastAsia="PMingLiU"/>
          <w:lang w:eastAsia="zh-TW"/>
        </w:rPr>
        <w:t xml:space="preserve">.  In </w:t>
      </w:r>
      <w:r w:rsidR="000C14B9">
        <w:rPr>
          <w:rFonts w:eastAsia="PMingLiU"/>
          <w:lang w:eastAsia="zh-TW"/>
        </w:rPr>
        <w:t>granting</w:t>
      </w:r>
      <w:r w:rsidRPr="00D01AAF">
        <w:rPr>
          <w:rFonts w:eastAsia="PMingLiU"/>
          <w:lang w:eastAsia="zh-TW"/>
        </w:rPr>
        <w:t xml:space="preserve"> the application, the judge </w:t>
      </w:r>
      <w:r w:rsidR="00550D1F">
        <w:rPr>
          <w:rFonts w:eastAsia="PMingLiU"/>
          <w:lang w:eastAsia="zh-TW"/>
        </w:rPr>
        <w:t>held</w:t>
      </w:r>
      <w:r w:rsidRPr="00D01AAF">
        <w:rPr>
          <w:rFonts w:eastAsia="PMingLiU"/>
          <w:lang w:eastAsia="zh-TW"/>
        </w:rPr>
        <w:t xml:space="preserve"> that the respondent in the present circumstances was entitled to exercise his right of silence and had no positive duty to provide </w:t>
      </w:r>
      <w:r w:rsidR="000C14B9">
        <w:rPr>
          <w:rFonts w:eastAsia="PMingLiU"/>
          <w:lang w:eastAsia="zh-TW"/>
        </w:rPr>
        <w:t xml:space="preserve">an </w:t>
      </w:r>
      <w:r w:rsidRPr="00D01AAF">
        <w:rPr>
          <w:rFonts w:eastAsia="PMingLiU"/>
          <w:lang w:eastAsia="zh-TW"/>
        </w:rPr>
        <w:t>innocent explanation to the police</w:t>
      </w:r>
      <w:r w:rsidRPr="00D01AAF">
        <w:rPr>
          <w:rFonts w:eastAsia="PMingLiU"/>
          <w:vertAlign w:val="superscript"/>
          <w:lang w:eastAsia="zh-TW"/>
        </w:rPr>
        <w:footnoteReference w:id="17"/>
      </w:r>
      <w:r w:rsidRPr="00D01AAF">
        <w:rPr>
          <w:rFonts w:eastAsia="PMingLiU"/>
          <w:lang w:eastAsia="zh-TW"/>
        </w:rPr>
        <w:t xml:space="preserve">.  </w:t>
      </w:r>
    </w:p>
    <w:p w:rsidR="00D01AAF" w:rsidRPr="00D01AAF" w:rsidRDefault="00D01AAF" w:rsidP="00D01AAF">
      <w:pPr>
        <w:pStyle w:val="j-heading"/>
        <w:rPr>
          <w:lang w:eastAsia="zh-TW"/>
        </w:rPr>
      </w:pPr>
      <w:r w:rsidRPr="00D01AAF">
        <w:rPr>
          <w:lang w:eastAsia="zh-TW"/>
        </w:rPr>
        <w:lastRenderedPageBreak/>
        <w:t>Grounds of appeal</w:t>
      </w:r>
    </w:p>
    <w:p w:rsidR="00D01AAF" w:rsidRPr="00D01AAF" w:rsidRDefault="00D01AAF" w:rsidP="00D01AAF">
      <w:pPr>
        <w:pStyle w:val="T-Draft"/>
        <w:rPr>
          <w:rFonts w:eastAsia="PMingLiU"/>
          <w:lang w:eastAsia="zh-TW"/>
        </w:rPr>
      </w:pPr>
      <w:r w:rsidRPr="00D01AAF">
        <w:rPr>
          <w:rFonts w:eastAsia="PMingLiU"/>
          <w:lang w:eastAsia="zh-TW"/>
        </w:rPr>
        <w:t>In the Notice of Appeal, Ms Vinci Lam</w:t>
      </w:r>
      <w:r w:rsidR="00550D1F">
        <w:rPr>
          <w:rFonts w:eastAsia="PMingLiU"/>
          <w:lang w:eastAsia="zh-TW"/>
        </w:rPr>
        <w:t xml:space="preserve"> (w</w:t>
      </w:r>
      <w:r w:rsidRPr="00D01AAF">
        <w:rPr>
          <w:rFonts w:eastAsia="PMingLiU"/>
          <w:lang w:eastAsia="zh-TW"/>
        </w:rPr>
        <w:t xml:space="preserve">ith her Ms </w:t>
      </w:r>
      <w:r w:rsidRPr="00D01AAF">
        <w:rPr>
          <w:rFonts w:eastAsia="PMingLiU"/>
          <w:b/>
          <w:lang w:eastAsia="zh-TW"/>
        </w:rPr>
        <w:t>‍</w:t>
      </w:r>
      <w:r w:rsidRPr="00D01AAF">
        <w:rPr>
          <w:rFonts w:eastAsia="PMingLiU"/>
          <w:lang w:eastAsia="zh-TW"/>
        </w:rPr>
        <w:t xml:space="preserve">Hermina </w:t>
      </w:r>
      <w:r w:rsidRPr="00D01AAF">
        <w:rPr>
          <w:rFonts w:eastAsia="PMingLiU"/>
          <w:b/>
          <w:lang w:eastAsia="zh-TW"/>
        </w:rPr>
        <w:t>‍</w:t>
      </w:r>
      <w:r w:rsidRPr="00D01AAF">
        <w:rPr>
          <w:rFonts w:eastAsia="PMingLiU"/>
          <w:lang w:eastAsia="zh-TW"/>
        </w:rPr>
        <w:t>Ng</w:t>
      </w:r>
      <w:r w:rsidR="00550D1F">
        <w:rPr>
          <w:rFonts w:eastAsia="PMingLiU"/>
          <w:lang w:eastAsia="zh-TW"/>
        </w:rPr>
        <w:t>)</w:t>
      </w:r>
      <w:r w:rsidRPr="00D01AAF">
        <w:rPr>
          <w:rFonts w:eastAsia="PMingLiU"/>
          <w:lang w:eastAsia="zh-TW"/>
        </w:rPr>
        <w:t xml:space="preserve">, for the appellant, complained, firstly, that the judge should not have awarded </w:t>
      </w:r>
      <w:r w:rsidR="00B8418C">
        <w:rPr>
          <w:rFonts w:eastAsia="PMingLiU"/>
          <w:lang w:eastAsia="zh-TW"/>
        </w:rPr>
        <w:t xml:space="preserve">the </w:t>
      </w:r>
      <w:r w:rsidRPr="00D01AAF">
        <w:rPr>
          <w:rFonts w:eastAsia="PMingLiU"/>
          <w:lang w:eastAsia="zh-TW"/>
        </w:rPr>
        <w:t>costs of the trial to the respondent because:</w:t>
      </w:r>
    </w:p>
    <w:p w:rsidR="00D01AAF" w:rsidRPr="00D01AAF" w:rsidRDefault="00D01AAF" w:rsidP="00D01AAF">
      <w:pPr>
        <w:pStyle w:val="T-Draft"/>
        <w:numPr>
          <w:ilvl w:val="0"/>
          <w:numId w:val="15"/>
        </w:numPr>
        <w:spacing w:before="240"/>
        <w:ind w:hanging="720"/>
        <w:rPr>
          <w:rFonts w:eastAsia="PMingLiU"/>
          <w:lang w:eastAsia="zh-TW"/>
        </w:rPr>
      </w:pPr>
      <w:r w:rsidRPr="00D01AAF">
        <w:rPr>
          <w:rFonts w:eastAsia="PMingLiU"/>
          <w:lang w:eastAsia="zh-TW"/>
        </w:rPr>
        <w:t>The respondent had, by his conduct which formed the subject matter of the charge</w:t>
      </w:r>
      <w:r w:rsidR="000F1C03">
        <w:rPr>
          <w:rFonts w:eastAsia="PMingLiU"/>
          <w:lang w:eastAsia="zh-TW"/>
        </w:rPr>
        <w:t>,</w:t>
      </w:r>
      <w:r w:rsidRPr="00D01AAF">
        <w:rPr>
          <w:rFonts w:eastAsia="PMingLiU"/>
          <w:lang w:eastAsia="zh-TW"/>
        </w:rPr>
        <w:t xml:space="preserve"> brought suspicion on himself; and</w:t>
      </w:r>
    </w:p>
    <w:p w:rsidR="00D01AAF" w:rsidRPr="00D01AAF" w:rsidRDefault="00D01AAF" w:rsidP="00D01AAF">
      <w:pPr>
        <w:pStyle w:val="T-Draft"/>
        <w:numPr>
          <w:ilvl w:val="0"/>
          <w:numId w:val="15"/>
        </w:numPr>
        <w:spacing w:before="240"/>
        <w:ind w:hanging="720"/>
        <w:rPr>
          <w:rFonts w:eastAsia="PMingLiU"/>
          <w:lang w:eastAsia="zh-TW"/>
        </w:rPr>
      </w:pPr>
      <w:r w:rsidRPr="00D01AAF">
        <w:rPr>
          <w:rFonts w:eastAsia="PMingLiU"/>
          <w:lang w:eastAsia="zh-TW"/>
        </w:rPr>
        <w:t xml:space="preserve">The respondent, having chosen to inform the police </w:t>
      </w:r>
      <w:r w:rsidR="00550D1F">
        <w:rPr>
          <w:rFonts w:eastAsia="PMingLiU"/>
          <w:lang w:eastAsia="zh-TW"/>
        </w:rPr>
        <w:t xml:space="preserve">in his VRI </w:t>
      </w:r>
      <w:r w:rsidRPr="00D01AAF">
        <w:rPr>
          <w:rFonts w:eastAsia="PMingLiU"/>
          <w:lang w:eastAsia="zh-TW"/>
        </w:rPr>
        <w:t xml:space="preserve">about his occupation and salary but refused to answer questions relevant to the subject matter of the charge when given the occasion to do so at the investigative stage, only proffered </w:t>
      </w:r>
      <w:r w:rsidR="00E76A9F">
        <w:rPr>
          <w:rFonts w:eastAsia="PMingLiU"/>
          <w:lang w:eastAsia="zh-TW"/>
        </w:rPr>
        <w:t>an</w:t>
      </w:r>
      <w:r w:rsidRPr="00D01AAF">
        <w:rPr>
          <w:rFonts w:eastAsia="PMingLiU"/>
          <w:lang w:eastAsia="zh-TW"/>
        </w:rPr>
        <w:t xml:space="preserve"> explanation for his conduct after </w:t>
      </w:r>
      <w:r w:rsidR="00550D1F">
        <w:rPr>
          <w:rFonts w:eastAsia="PMingLiU"/>
          <w:lang w:eastAsia="zh-TW"/>
        </w:rPr>
        <w:t>a case to answer had been found by the judge</w:t>
      </w:r>
      <w:r w:rsidRPr="00D01AAF">
        <w:rPr>
          <w:rFonts w:eastAsia="PMingLiU"/>
          <w:lang w:eastAsia="zh-TW"/>
        </w:rPr>
        <w:t xml:space="preserve">, thereby (i) misleading the prosecution into thinking that the prosecution case against him was stronger than it was, and/or (ii) </w:t>
      </w:r>
      <w:r w:rsidR="00550D1F">
        <w:rPr>
          <w:rFonts w:eastAsia="PMingLiU"/>
          <w:lang w:eastAsia="zh-TW"/>
        </w:rPr>
        <w:t>neglecting to bring forward</w:t>
      </w:r>
      <w:r w:rsidRPr="00D01AAF">
        <w:rPr>
          <w:rFonts w:eastAsia="PMingLiU"/>
          <w:lang w:eastAsia="zh-TW"/>
        </w:rPr>
        <w:t xml:space="preserve"> a good and valid explanation to the charge at an early and appropriate </w:t>
      </w:r>
      <w:r w:rsidR="00E76A9F">
        <w:rPr>
          <w:rFonts w:eastAsia="PMingLiU"/>
          <w:lang w:eastAsia="zh-TW"/>
        </w:rPr>
        <w:t>stage</w:t>
      </w:r>
      <w:r w:rsidRPr="00D01AAF">
        <w:rPr>
          <w:rFonts w:eastAsia="PMingLiU"/>
          <w:lang w:eastAsia="zh-TW"/>
        </w:rPr>
        <w:t xml:space="preserve">. </w:t>
      </w:r>
    </w:p>
    <w:p w:rsidR="00D01AAF" w:rsidRPr="00D01AAF" w:rsidRDefault="000C14B9" w:rsidP="00E76A9F">
      <w:pPr>
        <w:pStyle w:val="T-Draft"/>
        <w:numPr>
          <w:ilvl w:val="0"/>
          <w:numId w:val="0"/>
        </w:numPr>
        <w:rPr>
          <w:rFonts w:eastAsia="PMingLiU"/>
          <w:lang w:eastAsia="zh-TW"/>
        </w:rPr>
      </w:pPr>
      <w:r>
        <w:rPr>
          <w:rFonts w:eastAsia="PMingLiU"/>
          <w:lang w:eastAsia="zh-TW"/>
        </w:rPr>
        <w:t>Further</w:t>
      </w:r>
      <w:r w:rsidR="00E76A9F">
        <w:rPr>
          <w:rFonts w:eastAsia="PMingLiU"/>
          <w:lang w:eastAsia="zh-TW"/>
        </w:rPr>
        <w:t>,</w:t>
      </w:r>
      <w:r>
        <w:rPr>
          <w:rFonts w:eastAsia="PMingLiU"/>
          <w:lang w:eastAsia="zh-TW"/>
        </w:rPr>
        <w:t xml:space="preserve"> or in the alternative, complaint is made</w:t>
      </w:r>
      <w:r w:rsidR="00D01AAF" w:rsidRPr="00D01AAF">
        <w:rPr>
          <w:rFonts w:eastAsia="PMingLiU"/>
          <w:lang w:eastAsia="zh-TW"/>
        </w:rPr>
        <w:t xml:space="preserve"> that the judge </w:t>
      </w:r>
      <w:r>
        <w:rPr>
          <w:rFonts w:eastAsia="PMingLiU"/>
          <w:lang w:eastAsia="zh-TW"/>
        </w:rPr>
        <w:t>wrongly exercised h</w:t>
      </w:r>
      <w:r w:rsidR="001228A6">
        <w:rPr>
          <w:rFonts w:eastAsia="PMingLiU"/>
          <w:lang w:eastAsia="zh-TW"/>
        </w:rPr>
        <w:t>is</w:t>
      </w:r>
      <w:r>
        <w:rPr>
          <w:rFonts w:eastAsia="PMingLiU"/>
          <w:lang w:eastAsia="zh-TW"/>
        </w:rPr>
        <w:t xml:space="preserve"> discretion</w:t>
      </w:r>
      <w:r w:rsidR="00D01AAF" w:rsidRPr="00D01AAF">
        <w:rPr>
          <w:rFonts w:eastAsia="PMingLiU"/>
          <w:lang w:eastAsia="zh-TW"/>
        </w:rPr>
        <w:t xml:space="preserve"> in awarding </w:t>
      </w:r>
      <w:r>
        <w:rPr>
          <w:rFonts w:eastAsia="PMingLiU"/>
          <w:lang w:eastAsia="zh-TW"/>
        </w:rPr>
        <w:t xml:space="preserve">the </w:t>
      </w:r>
      <w:r w:rsidR="00D01AAF" w:rsidRPr="00D01AAF">
        <w:rPr>
          <w:rFonts w:eastAsia="PMingLiU"/>
          <w:lang w:eastAsia="zh-TW"/>
        </w:rPr>
        <w:t>costs of the trial to the respondent.</w:t>
      </w:r>
    </w:p>
    <w:p w:rsidR="00D01AAF" w:rsidRPr="00D01AAF" w:rsidRDefault="00D01AAF" w:rsidP="00D01AAF">
      <w:pPr>
        <w:pStyle w:val="T-Draft"/>
        <w:rPr>
          <w:rFonts w:eastAsia="PMingLiU"/>
          <w:lang w:eastAsia="zh-TW"/>
        </w:rPr>
      </w:pPr>
      <w:r w:rsidRPr="00D01AAF">
        <w:rPr>
          <w:rFonts w:eastAsia="PMingLiU"/>
          <w:lang w:eastAsia="zh-TW"/>
        </w:rPr>
        <w:t xml:space="preserve">Ms Lam </w:t>
      </w:r>
      <w:r w:rsidR="000C14B9">
        <w:rPr>
          <w:rFonts w:eastAsia="PMingLiU"/>
          <w:lang w:eastAsia="zh-TW"/>
        </w:rPr>
        <w:t xml:space="preserve">laid emphasis on the fact </w:t>
      </w:r>
      <w:r w:rsidRPr="00D01AAF">
        <w:rPr>
          <w:rFonts w:eastAsia="PMingLiU"/>
          <w:lang w:eastAsia="zh-TW"/>
        </w:rPr>
        <w:t xml:space="preserve">that the respondent had brought suspicion on himself because the unexplained and unusual fund flow </w:t>
      </w:r>
      <w:r w:rsidR="000F1C03">
        <w:rPr>
          <w:rFonts w:eastAsia="PMingLiU"/>
          <w:lang w:eastAsia="zh-TW"/>
        </w:rPr>
        <w:t>of</w:t>
      </w:r>
      <w:r w:rsidRPr="00D01AAF">
        <w:rPr>
          <w:rFonts w:eastAsia="PMingLiU"/>
          <w:lang w:eastAsia="zh-TW"/>
        </w:rPr>
        <w:t xml:space="preserve"> the account was a matter </w:t>
      </w:r>
      <w:r w:rsidR="000C14B9">
        <w:rPr>
          <w:rFonts w:eastAsia="PMingLiU"/>
          <w:lang w:eastAsia="zh-TW"/>
        </w:rPr>
        <w:t>known only</w:t>
      </w:r>
      <w:r w:rsidRPr="00D01AAF">
        <w:rPr>
          <w:rFonts w:eastAsia="PMingLiU"/>
          <w:lang w:eastAsia="zh-TW"/>
        </w:rPr>
        <w:t xml:space="preserve"> to himself</w:t>
      </w:r>
      <w:r w:rsidR="000C14B9">
        <w:rPr>
          <w:rFonts w:eastAsia="PMingLiU"/>
          <w:lang w:eastAsia="zh-TW"/>
        </w:rPr>
        <w:t xml:space="preserve">, </w:t>
      </w:r>
      <w:r w:rsidR="00E76A9F">
        <w:rPr>
          <w:rFonts w:eastAsia="PMingLiU"/>
          <w:lang w:eastAsia="zh-TW"/>
        </w:rPr>
        <w:t>which</w:t>
      </w:r>
      <w:r w:rsidR="000C14B9">
        <w:rPr>
          <w:rFonts w:eastAsia="PMingLiU"/>
          <w:lang w:eastAsia="zh-TW"/>
        </w:rPr>
        <w:t xml:space="preserve"> cried</w:t>
      </w:r>
      <w:r w:rsidRPr="00D01AAF">
        <w:rPr>
          <w:rFonts w:eastAsia="PMingLiU"/>
          <w:lang w:eastAsia="zh-TW"/>
        </w:rPr>
        <w:t xml:space="preserve"> out for an explanation.  She submitted</w:t>
      </w:r>
      <w:r w:rsidR="00095238">
        <w:rPr>
          <w:rFonts w:eastAsia="PMingLiU"/>
          <w:lang w:eastAsia="zh-TW"/>
        </w:rPr>
        <w:t xml:space="preserve"> that</w:t>
      </w:r>
      <w:r w:rsidRPr="00D01AAF">
        <w:rPr>
          <w:rFonts w:eastAsia="PMingLiU"/>
          <w:lang w:eastAsia="zh-TW"/>
        </w:rPr>
        <w:t xml:space="preserve"> whilst it was the right of the respondent to remain silent on the issue, the </w:t>
      </w:r>
      <w:r w:rsidR="00095238">
        <w:rPr>
          <w:rFonts w:eastAsia="PMingLiU"/>
          <w:lang w:eastAsia="zh-TW"/>
        </w:rPr>
        <w:t xml:space="preserve">consequence of the </w:t>
      </w:r>
      <w:r w:rsidRPr="00D01AAF">
        <w:rPr>
          <w:rFonts w:eastAsia="PMingLiU"/>
          <w:lang w:eastAsia="zh-TW"/>
        </w:rPr>
        <w:t xml:space="preserve">exercise of such right in the present circumstances (without at least presenting the </w:t>
      </w:r>
      <w:r w:rsidRPr="00D01AAF">
        <w:rPr>
          <w:rFonts w:eastAsia="PMingLiU"/>
          <w:lang w:eastAsia="zh-TW"/>
        </w:rPr>
        <w:lastRenderedPageBreak/>
        <w:t xml:space="preserve">prosecution with the defence exhibits beforehand) </w:t>
      </w:r>
      <w:r w:rsidR="00095238">
        <w:rPr>
          <w:rFonts w:eastAsia="PMingLiU"/>
          <w:lang w:eastAsia="zh-TW"/>
        </w:rPr>
        <w:t>was</w:t>
      </w:r>
      <w:r w:rsidRPr="00D01AAF">
        <w:rPr>
          <w:rFonts w:eastAsia="PMingLiU"/>
          <w:lang w:eastAsia="zh-TW"/>
        </w:rPr>
        <w:t xml:space="preserve"> </w:t>
      </w:r>
      <w:r w:rsidR="000F1C03">
        <w:rPr>
          <w:rFonts w:eastAsia="PMingLiU"/>
          <w:lang w:eastAsia="zh-TW"/>
        </w:rPr>
        <w:t>that he should be deprived of his costs</w:t>
      </w:r>
      <w:r w:rsidRPr="00D01AAF">
        <w:rPr>
          <w:rFonts w:eastAsia="PMingLiU"/>
          <w:lang w:eastAsia="zh-TW"/>
        </w:rPr>
        <w:t>.</w:t>
      </w:r>
    </w:p>
    <w:p w:rsidR="00D01AAF" w:rsidRPr="00D01AAF" w:rsidRDefault="00D01AAF" w:rsidP="00D01AAF">
      <w:pPr>
        <w:pStyle w:val="j-heading"/>
        <w:rPr>
          <w:lang w:eastAsia="zh-TW"/>
        </w:rPr>
      </w:pPr>
      <w:r w:rsidRPr="00D01AAF">
        <w:rPr>
          <w:lang w:eastAsia="zh-TW"/>
        </w:rPr>
        <w:t>Respondent’s submissions</w:t>
      </w:r>
    </w:p>
    <w:p w:rsidR="00D01AAF" w:rsidRPr="00D01AAF" w:rsidRDefault="00D01AAF" w:rsidP="00D01AAF">
      <w:pPr>
        <w:pStyle w:val="T-Draft"/>
        <w:rPr>
          <w:rFonts w:eastAsia="PMingLiU"/>
          <w:lang w:eastAsia="zh-TW"/>
        </w:rPr>
      </w:pPr>
      <w:r w:rsidRPr="00D01AAF">
        <w:rPr>
          <w:rFonts w:eastAsia="PMingLiU"/>
          <w:lang w:eastAsia="zh-TW"/>
        </w:rPr>
        <w:t xml:space="preserve">Mr Kay Chan, counsel for the respondent </w:t>
      </w:r>
      <w:r w:rsidR="00095238">
        <w:rPr>
          <w:rFonts w:eastAsia="PMingLiU"/>
          <w:lang w:eastAsia="zh-TW"/>
        </w:rPr>
        <w:t xml:space="preserve">both </w:t>
      </w:r>
      <w:r w:rsidRPr="00D01AAF">
        <w:rPr>
          <w:rFonts w:eastAsia="PMingLiU"/>
          <w:lang w:eastAsia="zh-TW"/>
        </w:rPr>
        <w:t>here and below, submitted that the illegality of the respondent’s business had not been made part of the prosecution case</w:t>
      </w:r>
      <w:r w:rsidRPr="00D01AAF">
        <w:rPr>
          <w:rFonts w:eastAsia="PMingLiU"/>
          <w:vertAlign w:val="superscript"/>
          <w:lang w:eastAsia="zh-TW"/>
        </w:rPr>
        <w:footnoteReference w:id="18"/>
      </w:r>
      <w:r w:rsidR="00E76A9F">
        <w:rPr>
          <w:rFonts w:eastAsia="PMingLiU"/>
          <w:lang w:eastAsia="zh-TW"/>
        </w:rPr>
        <w:t>,</w:t>
      </w:r>
      <w:r w:rsidRPr="00D01AAF">
        <w:rPr>
          <w:rFonts w:eastAsia="PMingLiU"/>
          <w:lang w:eastAsia="zh-TW"/>
        </w:rPr>
        <w:t xml:space="preserve"> and the appellant </w:t>
      </w:r>
      <w:r w:rsidR="00F0194A">
        <w:rPr>
          <w:rFonts w:eastAsia="PMingLiU"/>
          <w:lang w:eastAsia="zh-TW"/>
        </w:rPr>
        <w:t>was not</w:t>
      </w:r>
      <w:r w:rsidR="00E76A9F">
        <w:rPr>
          <w:rFonts w:eastAsia="PMingLiU"/>
          <w:lang w:eastAsia="zh-TW"/>
        </w:rPr>
        <w:t>,</w:t>
      </w:r>
      <w:r w:rsidR="00F0194A">
        <w:rPr>
          <w:rFonts w:eastAsia="PMingLiU"/>
          <w:lang w:eastAsia="zh-TW"/>
        </w:rPr>
        <w:t xml:space="preserve"> </w:t>
      </w:r>
      <w:r w:rsidR="00E76A9F">
        <w:rPr>
          <w:rFonts w:eastAsia="PMingLiU"/>
          <w:lang w:eastAsia="zh-TW"/>
        </w:rPr>
        <w:t xml:space="preserve">therefore, </w:t>
      </w:r>
      <w:r w:rsidR="00F0194A">
        <w:rPr>
          <w:rFonts w:eastAsia="PMingLiU"/>
          <w:lang w:eastAsia="zh-TW"/>
        </w:rPr>
        <w:t>entitled</w:t>
      </w:r>
      <w:r w:rsidRPr="00D01AAF">
        <w:rPr>
          <w:rFonts w:eastAsia="PMingLiU"/>
          <w:lang w:eastAsia="zh-TW"/>
        </w:rPr>
        <w:t xml:space="preserve"> to </w:t>
      </w:r>
      <w:r w:rsidR="00F0194A">
        <w:rPr>
          <w:rFonts w:eastAsia="PMingLiU"/>
          <w:lang w:eastAsia="zh-TW"/>
        </w:rPr>
        <w:t xml:space="preserve">make </w:t>
      </w:r>
      <w:r w:rsidRPr="00D01AAF">
        <w:rPr>
          <w:rFonts w:eastAsia="PMingLiU"/>
          <w:lang w:eastAsia="zh-TW"/>
        </w:rPr>
        <w:t xml:space="preserve">use </w:t>
      </w:r>
      <w:r w:rsidR="00F0194A">
        <w:rPr>
          <w:rFonts w:eastAsia="PMingLiU"/>
          <w:lang w:eastAsia="zh-TW"/>
        </w:rPr>
        <w:t>of it</w:t>
      </w:r>
      <w:r w:rsidRPr="00D01AAF">
        <w:rPr>
          <w:rFonts w:eastAsia="PMingLiU"/>
          <w:lang w:eastAsia="zh-TW"/>
        </w:rPr>
        <w:t xml:space="preserve"> as the basis </w:t>
      </w:r>
      <w:r w:rsidR="00AB25A8">
        <w:rPr>
          <w:rFonts w:eastAsia="PMingLiU"/>
          <w:lang w:eastAsia="zh-TW"/>
        </w:rPr>
        <w:t>for</w:t>
      </w:r>
      <w:r w:rsidR="00F0194A">
        <w:rPr>
          <w:rFonts w:eastAsia="PMingLiU"/>
          <w:lang w:eastAsia="zh-TW"/>
        </w:rPr>
        <w:t xml:space="preserve"> resisting an application for costs</w:t>
      </w:r>
      <w:r w:rsidRPr="00D01AAF">
        <w:rPr>
          <w:rFonts w:eastAsia="PMingLiU"/>
          <w:vertAlign w:val="superscript"/>
          <w:lang w:eastAsia="zh-TW"/>
        </w:rPr>
        <w:footnoteReference w:id="19"/>
      </w:r>
      <w:r w:rsidRPr="00D01AAF">
        <w:rPr>
          <w:rFonts w:eastAsia="PMingLiU"/>
          <w:lang w:eastAsia="zh-TW"/>
        </w:rPr>
        <w:t xml:space="preserve">.  </w:t>
      </w:r>
      <w:r w:rsidR="00F0194A">
        <w:rPr>
          <w:rFonts w:eastAsia="PMingLiU"/>
          <w:lang w:eastAsia="zh-TW"/>
        </w:rPr>
        <w:t>He</w:t>
      </w:r>
      <w:r w:rsidRPr="00D01AAF">
        <w:rPr>
          <w:rFonts w:eastAsia="PMingLiU"/>
          <w:lang w:eastAsia="zh-TW"/>
        </w:rPr>
        <w:t xml:space="preserve"> placed </w:t>
      </w:r>
      <w:r w:rsidR="00F0194A">
        <w:rPr>
          <w:rFonts w:eastAsia="PMingLiU"/>
          <w:lang w:eastAsia="zh-TW"/>
        </w:rPr>
        <w:t>particular</w:t>
      </w:r>
      <w:r w:rsidRPr="00D01AAF">
        <w:rPr>
          <w:rFonts w:eastAsia="PMingLiU"/>
          <w:lang w:eastAsia="zh-TW"/>
        </w:rPr>
        <w:t xml:space="preserve"> emphasis </w:t>
      </w:r>
      <w:r w:rsidR="00AB25A8">
        <w:rPr>
          <w:rFonts w:eastAsia="PMingLiU"/>
          <w:lang w:eastAsia="zh-TW"/>
        </w:rPr>
        <w:t>and</w:t>
      </w:r>
      <w:r w:rsidRPr="00D01AAF">
        <w:rPr>
          <w:rFonts w:eastAsia="PMingLiU"/>
          <w:lang w:eastAsia="zh-TW"/>
        </w:rPr>
        <w:t xml:space="preserve"> importance o</w:t>
      </w:r>
      <w:r w:rsidR="00AB25A8">
        <w:rPr>
          <w:rFonts w:eastAsia="PMingLiU"/>
          <w:lang w:eastAsia="zh-TW"/>
        </w:rPr>
        <w:t>n</w:t>
      </w:r>
      <w:r w:rsidRPr="00D01AAF">
        <w:rPr>
          <w:rFonts w:eastAsia="PMingLiU"/>
          <w:lang w:eastAsia="zh-TW"/>
        </w:rPr>
        <w:t xml:space="preserve"> the</w:t>
      </w:r>
      <w:r w:rsidR="00E76A9F">
        <w:rPr>
          <w:rFonts w:eastAsia="PMingLiU"/>
          <w:lang w:eastAsia="zh-TW"/>
        </w:rPr>
        <w:t xml:space="preserve"> respondent’s</w:t>
      </w:r>
      <w:r w:rsidRPr="00D01AAF">
        <w:rPr>
          <w:rFonts w:eastAsia="PMingLiU"/>
          <w:lang w:eastAsia="zh-TW"/>
        </w:rPr>
        <w:t xml:space="preserve"> constitutional right of silence</w:t>
      </w:r>
      <w:r w:rsidR="00F0194A">
        <w:rPr>
          <w:rFonts w:eastAsia="PMingLiU"/>
          <w:lang w:eastAsia="zh-TW"/>
        </w:rPr>
        <w:t>, of</w:t>
      </w:r>
      <w:r w:rsidRPr="00D01AAF">
        <w:rPr>
          <w:rFonts w:eastAsia="PMingLiU"/>
          <w:lang w:eastAsia="zh-TW"/>
        </w:rPr>
        <w:t xml:space="preserve"> which the respondent was entitled</w:t>
      </w:r>
      <w:r w:rsidR="00F0194A">
        <w:rPr>
          <w:rFonts w:eastAsia="PMingLiU"/>
          <w:lang w:eastAsia="zh-TW"/>
        </w:rPr>
        <w:t xml:space="preserve"> to avail himself</w:t>
      </w:r>
      <w:r w:rsidR="00376F65">
        <w:rPr>
          <w:rFonts w:eastAsia="PMingLiU"/>
          <w:lang w:eastAsia="zh-TW"/>
        </w:rPr>
        <w:t xml:space="preserve"> at all stages of the trial</w:t>
      </w:r>
      <w:r w:rsidRPr="00D01AAF">
        <w:rPr>
          <w:rFonts w:eastAsia="PMingLiU"/>
          <w:lang w:eastAsia="zh-TW"/>
        </w:rPr>
        <w:t xml:space="preserve">.  </w:t>
      </w:r>
      <w:r w:rsidR="00F0194A">
        <w:rPr>
          <w:rFonts w:eastAsia="PMingLiU"/>
          <w:lang w:eastAsia="zh-TW"/>
        </w:rPr>
        <w:t>It was</w:t>
      </w:r>
      <w:r w:rsidRPr="00D01AAF">
        <w:rPr>
          <w:rFonts w:eastAsia="PMingLiU"/>
          <w:lang w:eastAsia="zh-TW"/>
        </w:rPr>
        <w:t xml:space="preserve"> submitted that </w:t>
      </w:r>
      <w:r w:rsidR="00376F65">
        <w:rPr>
          <w:rFonts w:eastAsia="PMingLiU"/>
          <w:lang w:eastAsia="zh-TW"/>
        </w:rPr>
        <w:t>this Court</w:t>
      </w:r>
      <w:r w:rsidRPr="00D01AAF">
        <w:rPr>
          <w:rFonts w:eastAsia="PMingLiU"/>
          <w:lang w:eastAsia="zh-TW"/>
        </w:rPr>
        <w:t xml:space="preserve"> should not overturn the costs order by </w:t>
      </w:r>
      <w:r w:rsidR="00AB25A8">
        <w:rPr>
          <w:rFonts w:eastAsia="PMingLiU"/>
          <w:lang w:eastAsia="zh-TW"/>
        </w:rPr>
        <w:t>having regard now</w:t>
      </w:r>
      <w:r w:rsidRPr="00D01AAF">
        <w:rPr>
          <w:rFonts w:eastAsia="PMingLiU"/>
          <w:lang w:eastAsia="zh-TW"/>
        </w:rPr>
        <w:t xml:space="preserve"> to the content</w:t>
      </w:r>
      <w:r w:rsidR="00E76A9F">
        <w:rPr>
          <w:rFonts w:eastAsia="PMingLiU"/>
          <w:lang w:eastAsia="zh-TW"/>
        </w:rPr>
        <w:t>s</w:t>
      </w:r>
      <w:r w:rsidRPr="00D01AAF">
        <w:rPr>
          <w:rFonts w:eastAsia="PMingLiU"/>
          <w:lang w:eastAsia="zh-TW"/>
        </w:rPr>
        <w:t xml:space="preserve"> of the respondent’s </w:t>
      </w:r>
      <w:r w:rsidR="00E76A9F">
        <w:rPr>
          <w:rFonts w:eastAsia="PMingLiU"/>
          <w:lang w:eastAsia="zh-TW"/>
        </w:rPr>
        <w:t>VRI</w:t>
      </w:r>
      <w:r w:rsidRPr="00D01AAF">
        <w:rPr>
          <w:rFonts w:eastAsia="PMingLiU"/>
          <w:lang w:eastAsia="zh-TW"/>
        </w:rPr>
        <w:t xml:space="preserve">, which were not placed before the court below </w:t>
      </w:r>
      <w:r w:rsidR="00E76A9F">
        <w:rPr>
          <w:rFonts w:eastAsia="PMingLiU"/>
          <w:lang w:eastAsia="zh-TW"/>
        </w:rPr>
        <w:t>during</w:t>
      </w:r>
      <w:r w:rsidRPr="00D01AAF">
        <w:rPr>
          <w:rFonts w:eastAsia="PMingLiU"/>
          <w:lang w:eastAsia="zh-TW"/>
        </w:rPr>
        <w:t xml:space="preserve"> the costs application</w:t>
      </w:r>
      <w:r w:rsidR="00F0194A">
        <w:rPr>
          <w:rFonts w:eastAsia="PMingLiU"/>
          <w:lang w:eastAsia="zh-TW"/>
        </w:rPr>
        <w:t>,</w:t>
      </w:r>
      <w:r w:rsidRPr="00D01AAF">
        <w:rPr>
          <w:rFonts w:eastAsia="PMingLiU"/>
          <w:lang w:eastAsia="zh-TW"/>
        </w:rPr>
        <w:t xml:space="preserve"> or at </w:t>
      </w:r>
      <w:r w:rsidR="00AB25A8">
        <w:rPr>
          <w:rFonts w:eastAsia="PMingLiU"/>
          <w:lang w:eastAsia="zh-TW"/>
        </w:rPr>
        <w:t>trial</w:t>
      </w:r>
      <w:r w:rsidRPr="00D01AAF">
        <w:rPr>
          <w:rFonts w:eastAsia="PMingLiU"/>
          <w:vertAlign w:val="superscript"/>
          <w:lang w:eastAsia="zh-TW"/>
        </w:rPr>
        <w:footnoteReference w:id="20"/>
      </w:r>
      <w:r w:rsidRPr="00D01AAF">
        <w:rPr>
          <w:rFonts w:eastAsia="PMingLiU"/>
          <w:lang w:eastAsia="zh-TW"/>
        </w:rPr>
        <w:t xml:space="preserve">. </w:t>
      </w:r>
    </w:p>
    <w:p w:rsidR="00506CAA" w:rsidRPr="00F0194A" w:rsidRDefault="00F0194A" w:rsidP="00545421">
      <w:pPr>
        <w:pStyle w:val="j-heading"/>
        <w:rPr>
          <w:lang w:eastAsia="zh-TW"/>
        </w:rPr>
      </w:pPr>
      <w:r w:rsidRPr="00F0194A">
        <w:rPr>
          <w:lang w:eastAsia="zh-TW"/>
        </w:rPr>
        <w:t>Consideration</w:t>
      </w:r>
    </w:p>
    <w:p w:rsidR="00F0194A" w:rsidRDefault="00074353" w:rsidP="00F0194A">
      <w:pPr>
        <w:pStyle w:val="T-Draft"/>
        <w:rPr>
          <w:lang w:eastAsia="zh-TW"/>
        </w:rPr>
      </w:pPr>
      <w:r>
        <w:rPr>
          <w:lang w:eastAsia="zh-TW"/>
        </w:rPr>
        <w:t xml:space="preserve">As we have pointed out, the respondent did not respond </w:t>
      </w:r>
      <w:r w:rsidR="00474B4E">
        <w:rPr>
          <w:lang w:eastAsia="zh-TW"/>
        </w:rPr>
        <w:t xml:space="preserve">in his VRI </w:t>
      </w:r>
      <w:r>
        <w:rPr>
          <w:lang w:eastAsia="zh-TW"/>
        </w:rPr>
        <w:t>with “total silence”</w:t>
      </w:r>
      <w:r w:rsidR="00F24EA2">
        <w:rPr>
          <w:lang w:eastAsia="zh-TW"/>
        </w:rPr>
        <w:t xml:space="preserve"> when interviewed by the police, as had been</w:t>
      </w:r>
      <w:r w:rsidR="00474B4E">
        <w:rPr>
          <w:lang w:eastAsia="zh-TW"/>
        </w:rPr>
        <w:t xml:space="preserve"> asserted </w:t>
      </w:r>
      <w:r w:rsidR="00F24EA2">
        <w:rPr>
          <w:lang w:eastAsia="zh-TW"/>
        </w:rPr>
        <w:t xml:space="preserve">to the judge </w:t>
      </w:r>
      <w:r w:rsidR="00474B4E">
        <w:rPr>
          <w:lang w:eastAsia="zh-TW"/>
        </w:rPr>
        <w:t>by prosecuting counsel</w:t>
      </w:r>
      <w:r w:rsidR="00E76A9F">
        <w:rPr>
          <w:rStyle w:val="FootnoteReference"/>
          <w:lang w:eastAsia="zh-TW"/>
        </w:rPr>
        <w:footnoteReference w:id="21"/>
      </w:r>
      <w:r>
        <w:rPr>
          <w:lang w:eastAsia="zh-TW"/>
        </w:rPr>
        <w:t>.</w:t>
      </w:r>
      <w:r w:rsidR="00C968A1">
        <w:rPr>
          <w:lang w:eastAsia="zh-TW"/>
        </w:rPr>
        <w:t xml:space="preserve">  When asked about his job and income, </w:t>
      </w:r>
      <w:r w:rsidR="00F24EA2">
        <w:rPr>
          <w:lang w:eastAsia="zh-TW"/>
        </w:rPr>
        <w:t>the respondent</w:t>
      </w:r>
      <w:r w:rsidR="00C968A1">
        <w:rPr>
          <w:lang w:eastAsia="zh-TW"/>
        </w:rPr>
        <w:t xml:space="preserve"> did </w:t>
      </w:r>
      <w:r w:rsidR="00557722">
        <w:rPr>
          <w:lang w:eastAsia="zh-TW"/>
        </w:rPr>
        <w:t xml:space="preserve">in fact </w:t>
      </w:r>
      <w:r w:rsidR="00C968A1">
        <w:rPr>
          <w:lang w:eastAsia="zh-TW"/>
        </w:rPr>
        <w:t>provide answers</w:t>
      </w:r>
      <w:r w:rsidR="00F24EA2">
        <w:rPr>
          <w:lang w:eastAsia="zh-TW"/>
        </w:rPr>
        <w:t>,</w:t>
      </w:r>
      <w:r w:rsidR="00C968A1">
        <w:rPr>
          <w:lang w:eastAsia="zh-TW"/>
        </w:rPr>
        <w:t xml:space="preserve"> which were incorporated in the Admitted Facts at trial.  In particular, it was an </w:t>
      </w:r>
      <w:r w:rsidR="00F24EA2">
        <w:rPr>
          <w:lang w:eastAsia="zh-TW"/>
        </w:rPr>
        <w:t>Admitted F</w:t>
      </w:r>
      <w:r w:rsidR="00C968A1">
        <w:rPr>
          <w:lang w:eastAsia="zh-TW"/>
        </w:rPr>
        <w:t>act that</w:t>
      </w:r>
      <w:r w:rsidR="00474B4E">
        <w:rPr>
          <w:rStyle w:val="FootnoteReference"/>
          <w:lang w:eastAsia="zh-TW"/>
        </w:rPr>
        <w:footnoteReference w:id="22"/>
      </w:r>
      <w:r w:rsidR="00C968A1">
        <w:rPr>
          <w:lang w:eastAsia="zh-TW"/>
        </w:rPr>
        <w:t>:</w:t>
      </w:r>
    </w:p>
    <w:p w:rsidR="00C968A1" w:rsidRDefault="00C968A1" w:rsidP="00545421">
      <w:pPr>
        <w:pStyle w:val="j-quotation"/>
      </w:pPr>
      <w:r>
        <w:t>“The Defendant’s primary monthly salary was about HK$15,000</w:t>
      </w:r>
      <w:r w:rsidR="00C97004">
        <w:t xml:space="preserve"> per month earned through his labour as a transportation worker and that such work was offered to him on a casual basis only.”</w:t>
      </w:r>
    </w:p>
    <w:p w:rsidR="001301F9" w:rsidRDefault="001301F9" w:rsidP="00C968A1">
      <w:pPr>
        <w:pStyle w:val="T-Draft"/>
        <w:numPr>
          <w:ilvl w:val="0"/>
          <w:numId w:val="0"/>
        </w:numPr>
        <w:rPr>
          <w:lang w:eastAsia="zh-TW"/>
        </w:rPr>
      </w:pPr>
      <w:r>
        <w:rPr>
          <w:lang w:eastAsia="zh-TW"/>
        </w:rPr>
        <w:lastRenderedPageBreak/>
        <w:t>However, he chose, as was his right, not to answer any further questions as to the flow of funds through his account</w:t>
      </w:r>
      <w:r w:rsidR="00AB25A8">
        <w:rPr>
          <w:lang w:eastAsia="zh-TW"/>
        </w:rPr>
        <w:t>, or about the remi</w:t>
      </w:r>
      <w:r>
        <w:rPr>
          <w:lang w:eastAsia="zh-TW"/>
        </w:rPr>
        <w:t xml:space="preserve">ttance slips to the four individuals in the Mainland.  </w:t>
      </w:r>
    </w:p>
    <w:p w:rsidR="00DB15EA" w:rsidRDefault="00ED1D09" w:rsidP="001301F9">
      <w:pPr>
        <w:pStyle w:val="T-Draft"/>
        <w:rPr>
          <w:lang w:eastAsia="zh-TW"/>
        </w:rPr>
      </w:pPr>
      <w:r>
        <w:rPr>
          <w:lang w:eastAsia="zh-TW"/>
        </w:rPr>
        <w:t>It seems to us that w</w:t>
      </w:r>
      <w:r w:rsidR="00DB15EA">
        <w:rPr>
          <w:lang w:eastAsia="zh-TW"/>
        </w:rPr>
        <w:t xml:space="preserve">hether the respondent had </w:t>
      </w:r>
      <w:r w:rsidR="001301F9">
        <w:rPr>
          <w:lang w:eastAsia="zh-TW"/>
        </w:rPr>
        <w:t>told the police about his job and income</w:t>
      </w:r>
      <w:r w:rsidR="00DB15EA">
        <w:rPr>
          <w:lang w:eastAsia="zh-TW"/>
        </w:rPr>
        <w:t xml:space="preserve"> in his VRI, or whether it was an Admitted Fact, the admission would </w:t>
      </w:r>
      <w:r w:rsidR="001301F9">
        <w:rPr>
          <w:lang w:eastAsia="zh-TW"/>
        </w:rPr>
        <w:t xml:space="preserve">reasonably have </w:t>
      </w:r>
      <w:r w:rsidR="00DB15EA">
        <w:rPr>
          <w:lang w:eastAsia="zh-TW"/>
        </w:rPr>
        <w:t xml:space="preserve">led the prosecution to think that he could not possibly explain the comparatively </w:t>
      </w:r>
      <w:r w:rsidR="001301F9">
        <w:rPr>
          <w:lang w:eastAsia="zh-TW"/>
        </w:rPr>
        <w:t>large</w:t>
      </w:r>
      <w:r w:rsidR="00DB15EA">
        <w:rPr>
          <w:lang w:eastAsia="zh-TW"/>
        </w:rPr>
        <w:t xml:space="preserve"> sums of money going through his account</w:t>
      </w:r>
      <w:r w:rsidR="001301F9">
        <w:rPr>
          <w:lang w:eastAsia="zh-TW"/>
        </w:rPr>
        <w:t xml:space="preserve">, which represented </w:t>
      </w:r>
      <w:r w:rsidR="002E5389">
        <w:rPr>
          <w:lang w:eastAsia="zh-TW"/>
        </w:rPr>
        <w:t>more than 6</w:t>
      </w:r>
      <w:r w:rsidR="001301F9">
        <w:rPr>
          <w:lang w:eastAsia="zh-TW"/>
        </w:rPr>
        <w:t xml:space="preserve"> times </w:t>
      </w:r>
      <w:r>
        <w:rPr>
          <w:lang w:eastAsia="zh-TW"/>
        </w:rPr>
        <w:t>his earnings</w:t>
      </w:r>
      <w:r w:rsidR="001301F9">
        <w:rPr>
          <w:lang w:eastAsia="zh-TW"/>
        </w:rPr>
        <w:t xml:space="preserve"> as</w:t>
      </w:r>
      <w:r>
        <w:rPr>
          <w:lang w:eastAsia="zh-TW"/>
        </w:rPr>
        <w:t xml:space="preserve"> a</w:t>
      </w:r>
      <w:r w:rsidR="001301F9">
        <w:rPr>
          <w:lang w:eastAsia="zh-TW"/>
        </w:rPr>
        <w:t xml:space="preserve"> casual labourer</w:t>
      </w:r>
      <w:r w:rsidR="00DB15EA">
        <w:rPr>
          <w:lang w:eastAsia="zh-TW"/>
        </w:rPr>
        <w:t>.  The</w:t>
      </w:r>
      <w:r w:rsidR="001301F9">
        <w:rPr>
          <w:lang w:eastAsia="zh-TW"/>
        </w:rPr>
        <w:t xml:space="preserve"> police</w:t>
      </w:r>
      <w:r w:rsidR="00DB15EA">
        <w:rPr>
          <w:lang w:eastAsia="zh-TW"/>
        </w:rPr>
        <w:t xml:space="preserve"> knew </w:t>
      </w:r>
      <w:r>
        <w:rPr>
          <w:lang w:eastAsia="zh-TW"/>
        </w:rPr>
        <w:t xml:space="preserve">absolutely </w:t>
      </w:r>
      <w:r w:rsidR="00DB15EA">
        <w:rPr>
          <w:lang w:eastAsia="zh-TW"/>
        </w:rPr>
        <w:t>nothing about his</w:t>
      </w:r>
      <w:r w:rsidR="001301F9">
        <w:rPr>
          <w:lang w:eastAsia="zh-TW"/>
        </w:rPr>
        <w:t xml:space="preserve"> mobile telephone business, whether it was legal or illegal</w:t>
      </w:r>
      <w:r w:rsidR="00F24EA2">
        <w:rPr>
          <w:lang w:eastAsia="zh-TW"/>
        </w:rPr>
        <w:t>, and no documents relating to this business had been found at his home when searched</w:t>
      </w:r>
      <w:r w:rsidR="001301F9">
        <w:rPr>
          <w:lang w:eastAsia="zh-TW"/>
        </w:rPr>
        <w:t>.</w:t>
      </w:r>
    </w:p>
    <w:p w:rsidR="00E44E34" w:rsidRDefault="001301F9" w:rsidP="001301F9">
      <w:pPr>
        <w:pStyle w:val="T-Draft"/>
        <w:rPr>
          <w:lang w:eastAsia="zh-TW"/>
        </w:rPr>
      </w:pPr>
      <w:r>
        <w:rPr>
          <w:lang w:eastAsia="zh-TW"/>
        </w:rPr>
        <w:t xml:space="preserve">The </w:t>
      </w:r>
      <w:r w:rsidR="00E44E34">
        <w:rPr>
          <w:lang w:eastAsia="zh-TW"/>
        </w:rPr>
        <w:t>respondent</w:t>
      </w:r>
      <w:r>
        <w:rPr>
          <w:lang w:eastAsia="zh-TW"/>
        </w:rPr>
        <w:t xml:space="preserve"> was, of course, perfectly entitled not to say anything about his funds</w:t>
      </w:r>
      <w:r w:rsidR="00E44E34">
        <w:rPr>
          <w:lang w:eastAsia="zh-TW"/>
        </w:rPr>
        <w:t xml:space="preserve"> and sources of income.  The</w:t>
      </w:r>
      <w:r>
        <w:rPr>
          <w:lang w:eastAsia="zh-TW"/>
        </w:rPr>
        <w:t xml:space="preserve"> fact that the police might have been suspicious that he </w:t>
      </w:r>
      <w:r w:rsidR="00E44E34">
        <w:rPr>
          <w:lang w:eastAsia="zh-TW"/>
        </w:rPr>
        <w:t xml:space="preserve">chose to </w:t>
      </w:r>
      <w:r>
        <w:rPr>
          <w:lang w:eastAsia="zh-TW"/>
        </w:rPr>
        <w:t xml:space="preserve">answer some questions </w:t>
      </w:r>
      <w:r w:rsidR="00E44E34">
        <w:rPr>
          <w:lang w:eastAsia="zh-TW"/>
        </w:rPr>
        <w:t>about his work</w:t>
      </w:r>
      <w:r w:rsidR="00ED1D09">
        <w:rPr>
          <w:lang w:eastAsia="zh-TW"/>
        </w:rPr>
        <w:t>,</w:t>
      </w:r>
      <w:r w:rsidR="00E44E34">
        <w:rPr>
          <w:lang w:eastAsia="zh-TW"/>
        </w:rPr>
        <w:t xml:space="preserve"> </w:t>
      </w:r>
      <w:r>
        <w:rPr>
          <w:lang w:eastAsia="zh-TW"/>
        </w:rPr>
        <w:t xml:space="preserve">but refused to answer the more difficult ones </w:t>
      </w:r>
      <w:r w:rsidR="00E44E34">
        <w:rPr>
          <w:lang w:eastAsia="zh-TW"/>
        </w:rPr>
        <w:t>about the large amount of funds going through his account</w:t>
      </w:r>
      <w:r w:rsidR="00ED1D09">
        <w:rPr>
          <w:lang w:eastAsia="zh-TW"/>
        </w:rPr>
        <w:t>,</w:t>
      </w:r>
      <w:r w:rsidR="00E44E34">
        <w:rPr>
          <w:lang w:eastAsia="zh-TW"/>
        </w:rPr>
        <w:t xml:space="preserve"> </w:t>
      </w:r>
      <w:r>
        <w:rPr>
          <w:lang w:eastAsia="zh-TW"/>
        </w:rPr>
        <w:t>cannot be reli</w:t>
      </w:r>
      <w:r w:rsidR="00E44E34">
        <w:rPr>
          <w:lang w:eastAsia="zh-TW"/>
        </w:rPr>
        <w:t xml:space="preserve">ed upon to advance a submission that he thereby brought suspicion upon himself and/or that he misled the prosecution to think that the case against </w:t>
      </w:r>
      <w:r w:rsidR="00ED1D09">
        <w:rPr>
          <w:lang w:eastAsia="zh-TW"/>
        </w:rPr>
        <w:t>him</w:t>
      </w:r>
      <w:r w:rsidR="00E44E34">
        <w:rPr>
          <w:lang w:eastAsia="zh-TW"/>
        </w:rPr>
        <w:t xml:space="preserve"> was stronger than it was.  </w:t>
      </w:r>
      <w:r w:rsidR="00F24EA2">
        <w:rPr>
          <w:lang w:eastAsia="zh-TW"/>
        </w:rPr>
        <w:t>T</w:t>
      </w:r>
      <w:r w:rsidR="00E44E34">
        <w:rPr>
          <w:lang w:eastAsia="zh-TW"/>
        </w:rPr>
        <w:t>o be fair</w:t>
      </w:r>
      <w:r w:rsidR="00557722">
        <w:rPr>
          <w:lang w:eastAsia="zh-TW"/>
        </w:rPr>
        <w:t xml:space="preserve"> to Ms Lam</w:t>
      </w:r>
      <w:r w:rsidR="00E44E34">
        <w:rPr>
          <w:lang w:eastAsia="zh-TW"/>
        </w:rPr>
        <w:t xml:space="preserve">, that is not how </w:t>
      </w:r>
      <w:r w:rsidR="00557722">
        <w:rPr>
          <w:lang w:eastAsia="zh-TW"/>
        </w:rPr>
        <w:t>she</w:t>
      </w:r>
      <w:r w:rsidR="00E44E34">
        <w:rPr>
          <w:lang w:eastAsia="zh-TW"/>
        </w:rPr>
        <w:t xml:space="preserve"> is putting her </w:t>
      </w:r>
      <w:r w:rsidR="00557722">
        <w:rPr>
          <w:lang w:eastAsia="zh-TW"/>
        </w:rPr>
        <w:t>argument</w:t>
      </w:r>
      <w:r w:rsidR="00E44E34">
        <w:rPr>
          <w:lang w:eastAsia="zh-TW"/>
        </w:rPr>
        <w:t>.</w:t>
      </w:r>
    </w:p>
    <w:p w:rsidR="001301F9" w:rsidRDefault="00E44E34" w:rsidP="001301F9">
      <w:pPr>
        <w:pStyle w:val="T-Draft"/>
        <w:rPr>
          <w:lang w:eastAsia="zh-TW"/>
        </w:rPr>
      </w:pPr>
      <w:r>
        <w:rPr>
          <w:lang w:eastAsia="zh-TW"/>
        </w:rPr>
        <w:t>Her submission is that the prosecution would have been led</w:t>
      </w:r>
      <w:r w:rsidR="003F55FD">
        <w:rPr>
          <w:lang w:eastAsia="zh-TW"/>
        </w:rPr>
        <w:t xml:space="preserve"> by these admissions</w:t>
      </w:r>
      <w:r>
        <w:rPr>
          <w:lang w:eastAsia="zh-TW"/>
        </w:rPr>
        <w:t xml:space="preserve"> to believe that the applicant’s primary source of funds was a relatively small monthly income</w:t>
      </w:r>
      <w:r w:rsidR="003F55FD">
        <w:rPr>
          <w:lang w:eastAsia="zh-TW"/>
        </w:rPr>
        <w:t>,</w:t>
      </w:r>
      <w:r>
        <w:rPr>
          <w:lang w:eastAsia="zh-TW"/>
        </w:rPr>
        <w:t xml:space="preserve"> which could not conceivably explain the large sums </w:t>
      </w:r>
      <w:r w:rsidR="003F55FD">
        <w:rPr>
          <w:lang w:eastAsia="zh-TW"/>
        </w:rPr>
        <w:t xml:space="preserve">of money </w:t>
      </w:r>
      <w:r>
        <w:rPr>
          <w:lang w:eastAsia="zh-TW"/>
        </w:rPr>
        <w:t>passing through his account.</w:t>
      </w:r>
      <w:r w:rsidR="001301F9">
        <w:rPr>
          <w:lang w:eastAsia="zh-TW"/>
        </w:rPr>
        <w:t xml:space="preserve"> </w:t>
      </w:r>
      <w:r w:rsidR="003F55FD">
        <w:rPr>
          <w:lang w:eastAsia="zh-TW"/>
        </w:rPr>
        <w:t xml:space="preserve"> Moreover, the monies flowing out of his account </w:t>
      </w:r>
      <w:r w:rsidR="00AD1978">
        <w:rPr>
          <w:lang w:eastAsia="zh-TW"/>
        </w:rPr>
        <w:t xml:space="preserve">as remittances to four beneficiaries </w:t>
      </w:r>
      <w:r w:rsidR="00AD1978">
        <w:rPr>
          <w:lang w:eastAsia="zh-TW"/>
        </w:rPr>
        <w:lastRenderedPageBreak/>
        <w:t xml:space="preserve">in the Mainland </w:t>
      </w:r>
      <w:r w:rsidR="003F55FD">
        <w:rPr>
          <w:lang w:eastAsia="zh-TW"/>
        </w:rPr>
        <w:t>can have had nothing to do with his income as a casual transportation worker.</w:t>
      </w:r>
    </w:p>
    <w:p w:rsidR="003867DB" w:rsidRDefault="003F55FD" w:rsidP="003F55FD">
      <w:pPr>
        <w:pStyle w:val="T-Draft"/>
        <w:rPr>
          <w:lang w:eastAsia="zh-TW"/>
        </w:rPr>
      </w:pPr>
      <w:r>
        <w:rPr>
          <w:lang w:eastAsia="zh-TW"/>
        </w:rPr>
        <w:t>As the Court</w:t>
      </w:r>
      <w:r w:rsidR="00AF7CFC">
        <w:rPr>
          <w:lang w:eastAsia="zh-TW"/>
        </w:rPr>
        <w:t xml:space="preserve"> of Final Appeal</w:t>
      </w:r>
      <w:r>
        <w:rPr>
          <w:lang w:eastAsia="zh-TW"/>
        </w:rPr>
        <w:t xml:space="preserve"> in </w:t>
      </w:r>
      <w:r w:rsidRPr="00AF7CFC">
        <w:rPr>
          <w:i/>
          <w:lang w:eastAsia="zh-TW"/>
        </w:rPr>
        <w:t>Ting James Henry v HKSAR (No 2)</w:t>
      </w:r>
      <w:r w:rsidR="00AF7CFC">
        <w:rPr>
          <w:rStyle w:val="FootnoteReference"/>
          <w:lang w:eastAsia="zh-TW"/>
        </w:rPr>
        <w:footnoteReference w:id="23"/>
      </w:r>
      <w:r>
        <w:rPr>
          <w:lang w:eastAsia="zh-TW"/>
        </w:rPr>
        <w:t xml:space="preserve"> reminded us</w:t>
      </w:r>
      <w:r w:rsidR="00AF7CFC">
        <w:rPr>
          <w:lang w:eastAsia="zh-TW"/>
        </w:rPr>
        <w:t xml:space="preserve">, </w:t>
      </w:r>
      <w:r>
        <w:rPr>
          <w:lang w:eastAsia="zh-TW"/>
        </w:rPr>
        <w:t xml:space="preserve">conduct </w:t>
      </w:r>
      <w:r w:rsidR="00AF7CFC">
        <w:rPr>
          <w:lang w:eastAsia="zh-TW"/>
        </w:rPr>
        <w:t xml:space="preserve">prior to the investigation may be </w:t>
      </w:r>
      <w:r>
        <w:rPr>
          <w:lang w:eastAsia="zh-TW"/>
        </w:rPr>
        <w:t xml:space="preserve">relevant to the discretionary exercise in respect of </w:t>
      </w:r>
      <w:r w:rsidR="00AF7CFC">
        <w:rPr>
          <w:lang w:eastAsia="zh-TW"/>
        </w:rPr>
        <w:t xml:space="preserve">applications for </w:t>
      </w:r>
      <w:r>
        <w:rPr>
          <w:lang w:eastAsia="zh-TW"/>
        </w:rPr>
        <w:t>costs</w:t>
      </w:r>
      <w:r w:rsidR="00AF7CFC">
        <w:rPr>
          <w:lang w:eastAsia="zh-TW"/>
        </w:rPr>
        <w:t xml:space="preserve"> upon an acquittal</w:t>
      </w:r>
      <w:r>
        <w:rPr>
          <w:lang w:eastAsia="zh-TW"/>
        </w:rPr>
        <w:t>:</w:t>
      </w:r>
    </w:p>
    <w:p w:rsidR="003F55FD" w:rsidRDefault="003F55FD" w:rsidP="00545421">
      <w:pPr>
        <w:pStyle w:val="j-quotation"/>
      </w:pPr>
      <w:r>
        <w:t>“</w:t>
      </w:r>
      <w:r w:rsidR="00AF7CFC">
        <w:t>provided always that the discretion is not exercised so as to undermine the presumption of innocence, and in particular, provided that its exercise does not involve the court in adopting a position at variance with the defendant’s acquittal by the tribunal of fact”.</w:t>
      </w:r>
    </w:p>
    <w:p w:rsidR="00AF7CFC" w:rsidRDefault="00CF7FD4" w:rsidP="003F55FD">
      <w:pPr>
        <w:pStyle w:val="T-Draft"/>
        <w:numPr>
          <w:ilvl w:val="0"/>
          <w:numId w:val="0"/>
        </w:numPr>
        <w:rPr>
          <w:lang w:eastAsia="zh-TW"/>
        </w:rPr>
      </w:pPr>
      <w:r>
        <w:rPr>
          <w:lang w:eastAsia="zh-TW"/>
        </w:rPr>
        <w:t xml:space="preserve">The same </w:t>
      </w:r>
      <w:r w:rsidRPr="00CF7FD4">
        <w:rPr>
          <w:i/>
          <w:lang w:eastAsia="zh-TW"/>
        </w:rPr>
        <w:t>caveat</w:t>
      </w:r>
      <w:r>
        <w:rPr>
          <w:lang w:eastAsia="zh-TW"/>
        </w:rPr>
        <w:t xml:space="preserve"> </w:t>
      </w:r>
      <w:r w:rsidR="00F24EA2">
        <w:rPr>
          <w:lang w:eastAsia="zh-TW"/>
        </w:rPr>
        <w:t>would apply</w:t>
      </w:r>
      <w:r>
        <w:rPr>
          <w:lang w:eastAsia="zh-TW"/>
        </w:rPr>
        <w:t xml:space="preserve"> equally to conduct relied on at the</w:t>
      </w:r>
      <w:r w:rsidR="00AF7CFC">
        <w:rPr>
          <w:lang w:eastAsia="zh-TW"/>
        </w:rPr>
        <w:t xml:space="preserve"> investigative and trial stage</w:t>
      </w:r>
      <w:r>
        <w:rPr>
          <w:lang w:eastAsia="zh-TW"/>
        </w:rPr>
        <w:t>s.</w:t>
      </w:r>
    </w:p>
    <w:p w:rsidR="005C2AD4" w:rsidRDefault="005C2AD4" w:rsidP="005C2AD4">
      <w:pPr>
        <w:pStyle w:val="T-Draft"/>
        <w:rPr>
          <w:lang w:eastAsia="zh-TW"/>
        </w:rPr>
      </w:pPr>
      <w:r>
        <w:rPr>
          <w:lang w:eastAsia="zh-TW"/>
        </w:rPr>
        <w:t xml:space="preserve">This principle was helpfully explained and amplified by Cheung J (as Cheung PJ then was) in </w:t>
      </w:r>
      <w:r w:rsidRPr="005C2AD4">
        <w:rPr>
          <w:i/>
          <w:lang w:eastAsia="zh-TW"/>
        </w:rPr>
        <w:t>Cheng Kam Kuen v HKSAR</w:t>
      </w:r>
      <w:r>
        <w:rPr>
          <w:rStyle w:val="FootnoteReference"/>
          <w:lang w:eastAsia="zh-TW"/>
        </w:rPr>
        <w:footnoteReference w:id="24"/>
      </w:r>
      <w:r>
        <w:rPr>
          <w:lang w:eastAsia="zh-TW"/>
        </w:rPr>
        <w:t>:</w:t>
      </w:r>
    </w:p>
    <w:p w:rsidR="005C2AD4" w:rsidRDefault="005C2AD4" w:rsidP="00545421">
      <w:pPr>
        <w:pStyle w:val="j-quotation"/>
      </w:pPr>
      <w:r>
        <w:t>“30.</w:t>
      </w:r>
      <w:r w:rsidR="00545421">
        <w:tab/>
      </w:r>
      <w:r>
        <w:t>…The constitutional right of silence, enshrined in article 11(2)(g) of the Hong Kong Bill of Rights contained in the Hong Kong Bill of Rights Ordinance (Cap 383), which is itself entrenched by article 39 of the Basic Law, is essentially concerned with an accused’s innocence or guilt.</w:t>
      </w:r>
      <w:r w:rsidR="00545421">
        <w:t xml:space="preserve"> </w:t>
      </w:r>
      <w:r>
        <w:t xml:space="preserve"> One could certainly argue that the possibility of an accused being deprived of costs by reason of his silence or non-disclosure may have the effect of putting undue pressure on him not to exercise his right to silence, thereby indirectly diluting that right and adversely affecting his position on innocence or guilt - the very object of protection of the right of silence in the first place. </w:t>
      </w:r>
      <w:r w:rsidR="00F85ABF">
        <w:t xml:space="preserve"> </w:t>
      </w:r>
      <w:r>
        <w:t>I can see the force of the argument.</w:t>
      </w:r>
    </w:p>
    <w:p w:rsidR="005C2AD4" w:rsidRPr="00F0194A" w:rsidRDefault="005C2AD4" w:rsidP="00545421">
      <w:pPr>
        <w:pStyle w:val="j-quotation"/>
      </w:pPr>
      <w:r>
        <w:t>31.</w:t>
      </w:r>
      <w:r w:rsidR="00545421">
        <w:tab/>
      </w:r>
      <w:r>
        <w:t xml:space="preserve">Countering this are several considerations: the suggested connection is an indirect one; the direct point in question is costs, not guilt or innocence, and when legal aid is widely available, concern during the investigation/pre-trial stage about recovery of costs in future is in all likelihood more imaginary than real; what is in issue is payment of costs out of the public revenue to the </w:t>
      </w:r>
      <w:r>
        <w:lastRenderedPageBreak/>
        <w:t xml:space="preserve">accused, not payment of costs by him to anybody; there is no right or entitlement to costs, which is a discretionary benefit created by statute which does not see fit to exclude – at least not expressly </w:t>
      </w:r>
      <w:r w:rsidR="00F24EA2">
        <w:t xml:space="preserve">- </w:t>
      </w:r>
      <w:r>
        <w:t>non-disclosure in the exercise of the right of silence from the discretionary considerations that may be taken into account; and that in an appropriate case the exercise of the right may be taken into account is not tantamount to an automatic refusal of costs - rather the fact that the non-disclosure was the result</w:t>
      </w:r>
      <w:r w:rsidR="00F3570E">
        <w:t xml:space="preserve"> of the exercise of the accused’s constitutional right of silence must be firmly borne in mind and given due weight in the weighing exercise (</w:t>
      </w:r>
      <w:r w:rsidR="00F3570E" w:rsidRPr="00F3570E">
        <w:rPr>
          <w:i/>
        </w:rPr>
        <w:t>Ling</w:t>
      </w:r>
      <w:r w:rsidR="00F3570E">
        <w:rPr>
          <w:rStyle w:val="FootnoteReference"/>
          <w:lang w:eastAsia="zh-TW"/>
        </w:rPr>
        <w:footnoteReference w:id="25"/>
      </w:r>
      <w:r w:rsidR="00F3570E">
        <w:t xml:space="preserve"> at pp 387-388).”</w:t>
      </w:r>
    </w:p>
    <w:p w:rsidR="0000516C" w:rsidRDefault="00F3570E" w:rsidP="00D85ECD">
      <w:pPr>
        <w:pStyle w:val="T-Draft"/>
      </w:pPr>
      <w:r>
        <w:t xml:space="preserve">It seems to us that the respondent’s right of silence at the investigative stage about his other sources of income remains perfectly intact.  But that does not mean that he </w:t>
      </w:r>
      <w:r w:rsidR="00D45DEB">
        <w:t>cannot be deprived of his</w:t>
      </w:r>
      <w:r>
        <w:t xml:space="preserve"> costs if he chooses to exercise that right.  In any event, the argument that his right to silence should not be compromised is somewhat attenuated because</w:t>
      </w:r>
      <w:r w:rsidR="00F24EA2">
        <w:t>, as we have noted,</w:t>
      </w:r>
      <w:r>
        <w:t xml:space="preserve"> the applicant was not completely silent</w:t>
      </w:r>
      <w:r w:rsidR="00D45DEB">
        <w:t xml:space="preserve"> when he was in</w:t>
      </w:r>
      <w:r w:rsidR="00557722">
        <w:t>t</w:t>
      </w:r>
      <w:r w:rsidR="00D45DEB">
        <w:t>e</w:t>
      </w:r>
      <w:r w:rsidR="00557722">
        <w:t>rviewed</w:t>
      </w:r>
      <w:r>
        <w:t>: he chose to present part of the story, which would have plainly led (or misled) the prosecution into thinking that there was no other source of income to explain the not inconsiderable funds being received into and passing out of his account.</w:t>
      </w:r>
    </w:p>
    <w:p w:rsidR="00D45DEB" w:rsidRDefault="00D45DEB" w:rsidP="00D85ECD">
      <w:pPr>
        <w:pStyle w:val="T-Draft"/>
      </w:pPr>
      <w:r>
        <w:t xml:space="preserve">As the Court of Final Appeal explained in </w:t>
      </w:r>
      <w:r w:rsidRPr="00EB0A6B">
        <w:rPr>
          <w:i/>
        </w:rPr>
        <w:t>Tong Cun Lin v HKSAR</w:t>
      </w:r>
      <w:r>
        <w:rPr>
          <w:rStyle w:val="FootnoteReference"/>
        </w:rPr>
        <w:footnoteReference w:id="26"/>
      </w:r>
      <w:r>
        <w:t>:</w:t>
      </w:r>
    </w:p>
    <w:p w:rsidR="00D45DEB" w:rsidRDefault="00D45DEB" w:rsidP="00545421">
      <w:pPr>
        <w:pStyle w:val="j-quotation"/>
      </w:pPr>
      <w:r>
        <w:t>“</w:t>
      </w:r>
      <w:r w:rsidR="00EB0A6B">
        <w:t xml:space="preserve">What then are the governing principles? </w:t>
      </w:r>
      <w:r w:rsidR="00545421">
        <w:t xml:space="preserve"> </w:t>
      </w:r>
      <w:r>
        <w:t xml:space="preserve">When a defendant has been brought to trial upon particular charges and is then found not guilty it is clearly </w:t>
      </w:r>
      <w:r w:rsidR="008552C2">
        <w:t>right</w:t>
      </w:r>
      <w:r>
        <w:t xml:space="preserve"> that he should normally be compensated out of the public revenue for the costs incurred in defending those charges. </w:t>
      </w:r>
      <w:r w:rsidR="00545421">
        <w:t xml:space="preserve"> </w:t>
      </w:r>
      <w:r>
        <w:t>In considering whether, despite this general rule, he should be deprived of all or part of his costs, the judge exercising the discretion must obviously look to his conduct generally, so long as such conduct is relevant to the charges he faced.</w:t>
      </w:r>
      <w:r w:rsidR="00545421">
        <w:t xml:space="preserve"> </w:t>
      </w:r>
      <w:r>
        <w:t xml:space="preserve"> This cannot be confined to any particular period of time. </w:t>
      </w:r>
      <w:r w:rsidR="00540ED4">
        <w:t xml:space="preserve"> </w:t>
      </w:r>
      <w:r>
        <w:t xml:space="preserve">Since, however, the discretion is being exercised in the context of an </w:t>
      </w:r>
      <w:r w:rsidRPr="00D45DEB">
        <w:rPr>
          <w:i/>
        </w:rPr>
        <w:t>acquittal</w:t>
      </w:r>
      <w:r>
        <w:t xml:space="preserve"> - the averments </w:t>
      </w:r>
      <w:r>
        <w:lastRenderedPageBreak/>
        <w:t xml:space="preserve">constituting the charges having been found by the jury as </w:t>
      </w:r>
      <w:r w:rsidRPr="00D45DEB">
        <w:rPr>
          <w:i/>
        </w:rPr>
        <w:t>not</w:t>
      </w:r>
      <w:r>
        <w:t xml:space="preserve"> </w:t>
      </w:r>
      <w:r w:rsidR="00D85ECD" w:rsidRPr="00D85ECD">
        <w:rPr>
          <w:b/>
        </w:rPr>
        <w:t>‍</w:t>
      </w:r>
      <w:r>
        <w:t xml:space="preserve">amounting to the crimes alleged - it follows that, generally speaking, the conduct most relevant to the matters under consideration must be the defendant’s conduct during the investigation and at the trial: </w:t>
      </w:r>
      <w:r w:rsidRPr="00EB0A6B">
        <w:rPr>
          <w:i/>
        </w:rPr>
        <w:t>How he first responded to the investigators, the answers he gave when confronted with the accusations, the consistency of those answers with his subsequent defence, etc.</w:t>
      </w:r>
      <w:r>
        <w:t xml:space="preserve">  Wrapped up with this is the strength of the case against the defendant and the circumstances under which he came to be acquitted: These too are relevant to the exercise of the discretion to deprive him of his costs, so long as the judge is not, indirectly, thereby punishing him by taking a view of the facts palpably different from that taken by the jury and reflected in the not-guilty verdict. </w:t>
      </w:r>
      <w:r w:rsidR="00540ED4">
        <w:t xml:space="preserve"> </w:t>
      </w:r>
      <w:r>
        <w:t>The person in the best position to weigh those matters is clearly the judge himself.”</w:t>
      </w:r>
      <w:r w:rsidR="00D85ECD">
        <w:t xml:space="preserve"> </w:t>
      </w:r>
      <w:r w:rsidR="00EB0A6B">
        <w:t>(Emphasis supplied)</w:t>
      </w:r>
    </w:p>
    <w:p w:rsidR="00456A4A" w:rsidRDefault="00EB0A6B" w:rsidP="00D85ECD">
      <w:pPr>
        <w:pStyle w:val="T-Draft"/>
      </w:pPr>
      <w:r>
        <w:t xml:space="preserve">We have been </w:t>
      </w:r>
      <w:r w:rsidR="008552C2">
        <w:t>focussing on</w:t>
      </w:r>
      <w:r>
        <w:t xml:space="preserve"> the </w:t>
      </w:r>
      <w:r w:rsidR="008552C2">
        <w:t>respondent</w:t>
      </w:r>
      <w:r>
        <w:t>’s half-truth about his job and income</w:t>
      </w:r>
      <w:r w:rsidR="00456A4A">
        <w:t xml:space="preserve">.  But what of </w:t>
      </w:r>
      <w:r w:rsidR="008552C2">
        <w:t>his decision</w:t>
      </w:r>
      <w:r w:rsidR="00456A4A">
        <w:t xml:space="preserve"> not to disclose the fact of his occupation and earnings in his second</w:t>
      </w:r>
      <w:r w:rsidR="008552C2">
        <w:t>-</w:t>
      </w:r>
      <w:r w:rsidR="00456A4A">
        <w:t>hand mobile telephone business</w:t>
      </w:r>
      <w:r w:rsidR="00557722">
        <w:t xml:space="preserve"> at all</w:t>
      </w:r>
      <w:r w:rsidR="001228A6">
        <w:t>?</w:t>
      </w:r>
      <w:r w:rsidR="00456A4A">
        <w:t xml:space="preserve">  </w:t>
      </w:r>
      <w:r w:rsidR="001228A6">
        <w:t>On that matter, the Court in</w:t>
      </w:r>
      <w:r w:rsidR="00456A4A">
        <w:t xml:space="preserve"> </w:t>
      </w:r>
      <w:r w:rsidR="00456A4A">
        <w:rPr>
          <w:i/>
        </w:rPr>
        <w:t>R v Kwok Moon-yan &amp;</w:t>
      </w:r>
      <w:r w:rsidR="00456A4A" w:rsidRPr="00456A4A">
        <w:rPr>
          <w:i/>
        </w:rPr>
        <w:t xml:space="preserve"> Another</w:t>
      </w:r>
      <w:r w:rsidR="00456A4A">
        <w:rPr>
          <w:rStyle w:val="FootnoteReference"/>
        </w:rPr>
        <w:footnoteReference w:id="27"/>
      </w:r>
      <w:r w:rsidR="001228A6">
        <w:t xml:space="preserve"> held</w:t>
      </w:r>
      <w:r w:rsidR="00456A4A">
        <w:t>:</w:t>
      </w:r>
    </w:p>
    <w:p w:rsidR="00456A4A" w:rsidRDefault="00456A4A" w:rsidP="00540ED4">
      <w:pPr>
        <w:pStyle w:val="j-quotation"/>
      </w:pPr>
      <w:r>
        <w:t xml:space="preserve">“The manner in which an appellant originally meets the charge will be a factor. </w:t>
      </w:r>
      <w:r w:rsidR="00540ED4">
        <w:t xml:space="preserve"> </w:t>
      </w:r>
      <w:r>
        <w:t xml:space="preserve">We are aware that in </w:t>
      </w:r>
      <w:r w:rsidRPr="00456A4A">
        <w:rPr>
          <w:i/>
        </w:rPr>
        <w:t>R v Lee Tsat-pin</w:t>
      </w:r>
      <w:r>
        <w:t xml:space="preserve"> Crim App No 315 of 1985 (unreported) the Court took the view that the non-advancing of an explanation to the investigating authority did not fall within the rubric of bringing suspicion or misleading. </w:t>
      </w:r>
      <w:r w:rsidR="00540ED4">
        <w:t xml:space="preserve"> </w:t>
      </w:r>
      <w:r>
        <w:t xml:space="preserve">We entirely accept that the principle that no man should become his own betrayer must remain inviolate. </w:t>
      </w:r>
      <w:r w:rsidR="00540ED4">
        <w:t xml:space="preserve"> </w:t>
      </w:r>
      <w:r>
        <w:t>But we do not think this to mean that, if an appellant had a good and valid explanation which he neglected to bring forward at an early and appropriate moment this should not be a factor in considering his contribution to the prosecution bringing the charge in the first place.”</w:t>
      </w:r>
    </w:p>
    <w:p w:rsidR="00EB0A6B" w:rsidRPr="00D01AAF" w:rsidRDefault="00456A4A" w:rsidP="0000516C">
      <w:pPr>
        <w:pStyle w:val="T-Draft"/>
        <w:numPr>
          <w:ilvl w:val="0"/>
          <w:numId w:val="0"/>
        </w:numPr>
      </w:pPr>
      <w:r>
        <w:t xml:space="preserve">The principles discussed in </w:t>
      </w:r>
      <w:r w:rsidRPr="00B63659">
        <w:rPr>
          <w:i/>
        </w:rPr>
        <w:t>Kwok Moon-yan &amp; Another</w:t>
      </w:r>
      <w:r>
        <w:t xml:space="preserve"> </w:t>
      </w:r>
      <w:r w:rsidR="00B63659">
        <w:t xml:space="preserve">relevant to the exercise of discretion </w:t>
      </w:r>
      <w:r>
        <w:t xml:space="preserve">have been approved by the Court of Final Appeal in </w:t>
      </w:r>
      <w:r w:rsidRPr="00B63659">
        <w:rPr>
          <w:i/>
        </w:rPr>
        <w:t>Hui Yui Sang v HKSAR</w:t>
      </w:r>
      <w:r w:rsidR="00B63659">
        <w:rPr>
          <w:rStyle w:val="FootnoteReference"/>
        </w:rPr>
        <w:footnoteReference w:id="28"/>
      </w:r>
      <w:r w:rsidR="00B63659">
        <w:t>.</w:t>
      </w:r>
    </w:p>
    <w:p w:rsidR="00B63659" w:rsidRDefault="00B63659" w:rsidP="00E75AA0">
      <w:pPr>
        <w:pStyle w:val="T-Draft"/>
      </w:pPr>
      <w:r>
        <w:lastRenderedPageBreak/>
        <w:t>Again, we must emphasise that a defendant is perfectly entitled not to answer questions or disclose his defence to the investigating authorit</w:t>
      </w:r>
      <w:r w:rsidR="008552C2">
        <w:t>ies</w:t>
      </w:r>
      <w:r>
        <w:t>.  That is his right.  But if he chooses to exercise it, it does not mean that he cannot be deprived of costs if he had a perfectly good defence but chose not to give the slightest hint</w:t>
      </w:r>
      <w:r w:rsidR="00597495">
        <w:t xml:space="preserve"> as to its existence</w:t>
      </w:r>
      <w:r w:rsidR="002B7DCB">
        <w:t>, as happened in the present case</w:t>
      </w:r>
      <w:r w:rsidR="00597495">
        <w:t xml:space="preserve">. </w:t>
      </w:r>
      <w:r w:rsidR="00540ED4">
        <w:t xml:space="preserve"> </w:t>
      </w:r>
      <w:r w:rsidR="00597495">
        <w:t>After all, it is possible that had the respondent disclosed his business dealings and the documentary evidence in support</w:t>
      </w:r>
      <w:r w:rsidR="008552C2">
        <w:t xml:space="preserve"> of them</w:t>
      </w:r>
      <w:r w:rsidR="00597495">
        <w:t>, the prosecution might have considered that they did not have enough evidence to proceed; in which case, the costs which were occasioned to the public and his own purse would have been saved.</w:t>
      </w:r>
      <w:r w:rsidR="000E1E5B">
        <w:t xml:space="preserve">  As it was, the judge accepted that “without telling the police that the defendant was engaged in second hand mobile phone trading (it) would be impossible for the police to know of this fact”</w:t>
      </w:r>
      <w:r w:rsidR="000E1E5B">
        <w:rPr>
          <w:rStyle w:val="FootnoteReference"/>
        </w:rPr>
        <w:footnoteReference w:id="29"/>
      </w:r>
      <w:r w:rsidR="000E1E5B">
        <w:t>.</w:t>
      </w:r>
    </w:p>
    <w:p w:rsidR="004250AE" w:rsidRDefault="002B7DCB" w:rsidP="00E75AA0">
      <w:pPr>
        <w:pStyle w:val="T-Draft"/>
      </w:pPr>
      <w:r>
        <w:t xml:space="preserve">It is here that we should deal with Mr Chan’s argument that there may have been a good reason for the applicant not to disclose his mobile telephone business dealings, since to have done so would have run the risk of admitting </w:t>
      </w:r>
      <w:r w:rsidR="00251491">
        <w:t>that he had failed to pay income tax and/or</w:t>
      </w:r>
      <w:r>
        <w:t xml:space="preserve"> committed the regulatory offence of </w:t>
      </w:r>
      <w:r w:rsidR="00251491">
        <w:t>not having</w:t>
      </w:r>
      <w:r>
        <w:t xml:space="preserve"> a </w:t>
      </w:r>
      <w:r w:rsidR="00251491">
        <w:t xml:space="preserve">valid </w:t>
      </w:r>
      <w:r>
        <w:t xml:space="preserve">business registration certificate. </w:t>
      </w:r>
      <w:r w:rsidR="00540ED4">
        <w:t xml:space="preserve"> </w:t>
      </w:r>
      <w:r w:rsidR="00046E83">
        <w:t xml:space="preserve">The notion that a defendant may </w:t>
      </w:r>
      <w:r w:rsidR="007930B6">
        <w:t xml:space="preserve">properly </w:t>
      </w:r>
      <w:r w:rsidR="00046E83">
        <w:t xml:space="preserve">make a claim for reimbursement from public funds </w:t>
      </w:r>
      <w:r w:rsidR="00AD1978">
        <w:t xml:space="preserve">despite not disclosing </w:t>
      </w:r>
      <w:r w:rsidR="00046E83">
        <w:t xml:space="preserve">that he had been cheating the Inland Revenue </w:t>
      </w:r>
      <w:r w:rsidR="001228A6">
        <w:t xml:space="preserve">Department </w:t>
      </w:r>
      <w:r w:rsidR="00046E83">
        <w:t>does not s</w:t>
      </w:r>
      <w:r w:rsidR="000F329B">
        <w:t>ound a very equitable one</w:t>
      </w:r>
      <w:r w:rsidR="00046E83">
        <w:t>, even in a criminal context</w:t>
      </w:r>
      <w:r w:rsidR="00071EB1">
        <w:t xml:space="preserve"> where the scales are necessarily tilted in favour</w:t>
      </w:r>
      <w:r w:rsidR="00AD1978">
        <w:t xml:space="preserve"> of the defence</w:t>
      </w:r>
      <w:r w:rsidR="00046E83">
        <w:t>.</w:t>
      </w:r>
      <w:r w:rsidR="00251491">
        <w:t xml:space="preserve">  </w:t>
      </w:r>
      <w:r w:rsidR="003A2780">
        <w:t>Be that as it may, t</w:t>
      </w:r>
      <w:r w:rsidR="00251491">
        <w:t xml:space="preserve">he fact that </w:t>
      </w:r>
      <w:r w:rsidR="004250AE">
        <w:t>such a defendant chooses</w:t>
      </w:r>
      <w:r w:rsidR="00251491">
        <w:t xml:space="preserve"> to remain silent does not mean that he is entitled to recover his costs if</w:t>
      </w:r>
      <w:r w:rsidR="003A2780">
        <w:t>,</w:t>
      </w:r>
      <w:r w:rsidR="00251491">
        <w:t xml:space="preserve"> as a result of his silence (or, in this case, partial silence), </w:t>
      </w:r>
      <w:r w:rsidR="004250AE">
        <w:t xml:space="preserve">he brings suspicion on himself and/or misleads </w:t>
      </w:r>
      <w:r w:rsidR="00251491">
        <w:t xml:space="preserve">the prosecution into thinking the case against him </w:t>
      </w:r>
      <w:r w:rsidR="00251491">
        <w:lastRenderedPageBreak/>
        <w:t>is stronger than it is</w:t>
      </w:r>
      <w:r w:rsidR="003A2780">
        <w:t xml:space="preserve">.  Whether or not </w:t>
      </w:r>
      <w:r w:rsidR="004250AE">
        <w:t>the defendant brings suspicion on himself and/or results in the prosecution being misled</w:t>
      </w:r>
      <w:r w:rsidR="003A2780">
        <w:t xml:space="preserve"> does not</w:t>
      </w:r>
      <w:r w:rsidR="004250AE">
        <w:t xml:space="preserve"> logically</w:t>
      </w:r>
      <w:r w:rsidR="003A2780">
        <w:t xml:space="preserve"> depend on the defendant’s state of mind.</w:t>
      </w:r>
    </w:p>
    <w:p w:rsidR="00766D86" w:rsidRDefault="000E1E5B" w:rsidP="00E75AA0">
      <w:pPr>
        <w:pStyle w:val="T-Draft"/>
      </w:pPr>
      <w:r>
        <w:t xml:space="preserve">In our judgment, the exercise of </w:t>
      </w:r>
      <w:r w:rsidR="00052CFE">
        <w:t xml:space="preserve">the judge’s </w:t>
      </w:r>
      <w:r>
        <w:t>discretion</w:t>
      </w:r>
      <w:r w:rsidR="00052CFE">
        <w:t xml:space="preserve"> in the present case</w:t>
      </w:r>
      <w:r>
        <w:t xml:space="preserve"> miscarried.  The respondent </w:t>
      </w:r>
      <w:r w:rsidR="009E71F6">
        <w:t xml:space="preserve">had </w:t>
      </w:r>
      <w:r>
        <w:t>chose</w:t>
      </w:r>
      <w:r w:rsidR="009E71F6">
        <w:t>n</w:t>
      </w:r>
      <w:r>
        <w:t xml:space="preserve"> to answer certain questions in interview</w:t>
      </w:r>
      <w:r w:rsidR="009E71F6">
        <w:t>,</w:t>
      </w:r>
      <w:r>
        <w:t xml:space="preserve"> which were then incorporated in Admitted Facts</w:t>
      </w:r>
      <w:r w:rsidR="009E71F6">
        <w:t xml:space="preserve"> at trial</w:t>
      </w:r>
      <w:r>
        <w:t xml:space="preserve">.  What the respondent did tell the police would have </w:t>
      </w:r>
      <w:r w:rsidR="009E71F6">
        <w:t>led them to believe, erroneously as it subsequently turned out,</w:t>
      </w:r>
      <w:r>
        <w:t xml:space="preserve"> that there could be no </w:t>
      </w:r>
      <w:r w:rsidR="009E71F6">
        <w:t>conceivable</w:t>
      </w:r>
      <w:r>
        <w:t xml:space="preserve"> explanati</w:t>
      </w:r>
      <w:r w:rsidR="009E71F6">
        <w:t xml:space="preserve">on for the large sums of money going through his account.  As for his mobile telephone business, the judge accepted that it was “impossible” for the police to have known about it: not only were no documents found at his home which </w:t>
      </w:r>
      <w:r w:rsidR="00AA31A2">
        <w:t>so much as</w:t>
      </w:r>
      <w:r w:rsidR="009E71F6">
        <w:t xml:space="preserve"> hinted at such a business</w:t>
      </w:r>
      <w:r w:rsidR="00AA31A2">
        <w:t>,</w:t>
      </w:r>
      <w:r w:rsidR="009E71F6">
        <w:t xml:space="preserve"> but the respondent’s answers in his interview were a </w:t>
      </w:r>
      <w:r w:rsidR="00AA31A2">
        <w:t xml:space="preserve">misleading </w:t>
      </w:r>
      <w:r w:rsidR="009E71F6">
        <w:t xml:space="preserve">half-truth, suggesting that he was </w:t>
      </w:r>
      <w:r w:rsidR="00AA31A2" w:rsidRPr="00AA31A2">
        <w:rPr>
          <w:i/>
        </w:rPr>
        <w:t>primarily</w:t>
      </w:r>
      <w:r w:rsidR="00AA31A2">
        <w:t xml:space="preserve"> </w:t>
      </w:r>
      <w:r w:rsidR="009E71F6">
        <w:t>employed as a casual transportation worker earning</w:t>
      </w:r>
      <w:r w:rsidR="00AA31A2">
        <w:t xml:space="preserve"> about</w:t>
      </w:r>
      <w:r w:rsidR="009E71F6">
        <w:t xml:space="preserve"> $15,000 per month.</w:t>
      </w:r>
    </w:p>
    <w:p w:rsidR="002B7DCB" w:rsidRDefault="00766D86" w:rsidP="00E75AA0">
      <w:pPr>
        <w:pStyle w:val="T-Draft"/>
      </w:pPr>
      <w:r>
        <w:t xml:space="preserve">We </w:t>
      </w:r>
      <w:r w:rsidR="00AA31A2">
        <w:t>we</w:t>
      </w:r>
      <w:r>
        <w:t xml:space="preserve">re not impressed by the argument that because prosecuting counsel chose not to rely on the respondent’s VRI in resisting costs before the judge, this Court is thereby prevented from looking at his answers during interview.  Any material which </w:t>
      </w:r>
      <w:r w:rsidR="007253B7">
        <w:t xml:space="preserve">realistically </w:t>
      </w:r>
      <w:r>
        <w:t>explain</w:t>
      </w:r>
      <w:r w:rsidR="007253B7">
        <w:t>s</w:t>
      </w:r>
      <w:r>
        <w:t xml:space="preserve"> why the prosecution took the view </w:t>
      </w:r>
      <w:r w:rsidR="001228A6">
        <w:t>it</w:t>
      </w:r>
      <w:r>
        <w:t xml:space="preserve"> did about the viability and strength of </w:t>
      </w:r>
      <w:r w:rsidR="008A434D">
        <w:t>its</w:t>
      </w:r>
      <w:r>
        <w:t xml:space="preserve"> case </w:t>
      </w:r>
      <w:r w:rsidR="008A434D">
        <w:t xml:space="preserve">against a defendant </w:t>
      </w:r>
      <w:r w:rsidR="007253B7">
        <w:t>may be</w:t>
      </w:r>
      <w:r>
        <w:t xml:space="preserve"> relevant to the </w:t>
      </w:r>
      <w:r w:rsidR="007253B7">
        <w:t>exercise of a judge’s</w:t>
      </w:r>
      <w:r>
        <w:t xml:space="preserve"> discretion, whether or not it is put before the judge at trial by way of evidence</w:t>
      </w:r>
      <w:r w:rsidR="00A92F87">
        <w:t>; and whether or not it is strictly admissible</w:t>
      </w:r>
      <w:r w:rsidR="007253B7">
        <w:t xml:space="preserve"> as such</w:t>
      </w:r>
      <w:r>
        <w:t xml:space="preserve">.  </w:t>
      </w:r>
      <w:r w:rsidR="00A92F87">
        <w:t xml:space="preserve">In </w:t>
      </w:r>
      <w:r w:rsidR="00E340CC">
        <w:t>any event</w:t>
      </w:r>
      <w:r w:rsidR="00A92F87">
        <w:t>, as we have already pointed out,</w:t>
      </w:r>
      <w:r>
        <w:t xml:space="preserve"> there was no issue as to the admissibility of the VRI</w:t>
      </w:r>
      <w:r w:rsidR="00AD1978">
        <w:t>, the relevant parts of which</w:t>
      </w:r>
      <w:r>
        <w:t xml:space="preserve"> were incorporated in the Admitted Facts</w:t>
      </w:r>
      <w:r w:rsidR="00347823">
        <w:t>.</w:t>
      </w:r>
    </w:p>
    <w:p w:rsidR="00347823" w:rsidRDefault="00347823" w:rsidP="00E75AA0">
      <w:pPr>
        <w:pStyle w:val="T-Draft"/>
      </w:pPr>
      <w:r>
        <w:lastRenderedPageBreak/>
        <w:t>The application must be allowed.  The costs order of the judge is accordingly set aside.</w:t>
      </w:r>
    </w:p>
    <w:p w:rsidR="0000516C" w:rsidRDefault="0000516C" w:rsidP="0000516C">
      <w:pPr>
        <w:pStyle w:val="T-Draft"/>
        <w:numPr>
          <w:ilvl w:val="0"/>
          <w:numId w:val="0"/>
        </w:numPr>
      </w:pPr>
    </w:p>
    <w:p w:rsidR="00F3570E" w:rsidRDefault="00F3570E" w:rsidP="0000516C">
      <w:pPr>
        <w:pStyle w:val="T-Draft"/>
        <w:numPr>
          <w:ilvl w:val="0"/>
          <w:numId w:val="0"/>
        </w:numPr>
      </w:pPr>
    </w:p>
    <w:p w:rsidR="00F3570E" w:rsidRPr="00D01AAF" w:rsidRDefault="00F3570E" w:rsidP="0000516C">
      <w:pPr>
        <w:pStyle w:val="T-Draft"/>
        <w:numPr>
          <w:ilvl w:val="0"/>
          <w:numId w:val="0"/>
        </w:numPr>
      </w:pPr>
    </w:p>
    <w:tbl>
      <w:tblPr>
        <w:tblW w:w="9240" w:type="dxa"/>
        <w:jc w:val="center"/>
        <w:tblLayout w:type="fixed"/>
        <w:tblLook w:val="0000" w:firstRow="0" w:lastRow="0" w:firstColumn="0" w:lastColumn="0" w:noHBand="0" w:noVBand="0"/>
      </w:tblPr>
      <w:tblGrid>
        <w:gridCol w:w="3080"/>
        <w:gridCol w:w="3080"/>
        <w:gridCol w:w="3080"/>
      </w:tblGrid>
      <w:tr w:rsidR="00C83196" w:rsidRPr="00D01AAF" w:rsidTr="00C83196">
        <w:trPr>
          <w:jc w:val="center"/>
        </w:trPr>
        <w:tc>
          <w:tcPr>
            <w:tcW w:w="3080" w:type="dxa"/>
          </w:tcPr>
          <w:p w:rsidR="00C83196" w:rsidRPr="00D01AAF" w:rsidRDefault="00C83196" w:rsidP="00D01D69">
            <w:pPr>
              <w:pStyle w:val="normal1"/>
              <w:tabs>
                <w:tab w:val="clear" w:pos="1411"/>
              </w:tabs>
              <w:rPr>
                <w:bCs/>
              </w:rPr>
            </w:pPr>
            <w:r w:rsidRPr="00D01AAF">
              <w:rPr>
                <w:bCs/>
              </w:rPr>
              <w:t>(Andrew Macrae)</w:t>
            </w:r>
          </w:p>
          <w:p w:rsidR="00C83196" w:rsidRPr="00D01AAF" w:rsidRDefault="00C83196" w:rsidP="00D01D69">
            <w:pPr>
              <w:jc w:val="center"/>
              <w:rPr>
                <w:b w:val="0"/>
                <w:bCs/>
                <w:sz w:val="28"/>
              </w:rPr>
            </w:pPr>
            <w:r w:rsidRPr="00D01AAF">
              <w:rPr>
                <w:b w:val="0"/>
                <w:bCs/>
                <w:sz w:val="28"/>
              </w:rPr>
              <w:t>Vice</w:t>
            </w:r>
            <w:r w:rsidRPr="00D01AAF">
              <w:rPr>
                <w:rFonts w:eastAsiaTheme="minorEastAsia"/>
                <w:b w:val="0"/>
                <w:bCs/>
                <w:sz w:val="28"/>
              </w:rPr>
              <w:t xml:space="preserve"> </w:t>
            </w:r>
            <w:r w:rsidRPr="00D01AAF">
              <w:rPr>
                <w:b w:val="0"/>
                <w:bCs/>
                <w:sz w:val="28"/>
              </w:rPr>
              <w:t>President</w:t>
            </w:r>
          </w:p>
        </w:tc>
        <w:tc>
          <w:tcPr>
            <w:tcW w:w="3080" w:type="dxa"/>
          </w:tcPr>
          <w:p w:rsidR="00C83196" w:rsidRPr="00D01AAF" w:rsidRDefault="00C83196" w:rsidP="00D01D69">
            <w:pPr>
              <w:pStyle w:val="normal1"/>
              <w:tabs>
                <w:tab w:val="clear" w:pos="1411"/>
              </w:tabs>
            </w:pPr>
            <w:r w:rsidRPr="00D01AAF">
              <w:t>(Maria Yuen)</w:t>
            </w:r>
          </w:p>
          <w:p w:rsidR="00C83196" w:rsidRPr="00D01AAF" w:rsidRDefault="00C83196" w:rsidP="00D01D69">
            <w:pPr>
              <w:pStyle w:val="normal1"/>
              <w:tabs>
                <w:tab w:val="clear" w:pos="1411"/>
              </w:tabs>
            </w:pPr>
            <w:r w:rsidRPr="00D01AAF">
              <w:t>Justice of Appeal</w:t>
            </w:r>
          </w:p>
        </w:tc>
        <w:tc>
          <w:tcPr>
            <w:tcW w:w="3080" w:type="dxa"/>
          </w:tcPr>
          <w:p w:rsidR="00C83196" w:rsidRPr="00D01AAF" w:rsidRDefault="00C83196" w:rsidP="00D01D69">
            <w:pPr>
              <w:pStyle w:val="normal1"/>
              <w:tabs>
                <w:tab w:val="clear" w:pos="1411"/>
              </w:tabs>
            </w:pPr>
            <w:r w:rsidRPr="00D01AAF">
              <w:t>(Ian McWalters)</w:t>
            </w:r>
          </w:p>
          <w:p w:rsidR="00C83196" w:rsidRPr="00D01AAF" w:rsidRDefault="00C83196" w:rsidP="00D01D69">
            <w:pPr>
              <w:jc w:val="center"/>
              <w:rPr>
                <w:b w:val="0"/>
                <w:bCs/>
                <w:sz w:val="28"/>
              </w:rPr>
            </w:pPr>
            <w:r w:rsidRPr="00D01AAF">
              <w:rPr>
                <w:b w:val="0"/>
                <w:bCs/>
                <w:sz w:val="28"/>
              </w:rPr>
              <w:t>Justice of Appeal</w:t>
            </w:r>
          </w:p>
        </w:tc>
      </w:tr>
    </w:tbl>
    <w:p w:rsidR="0000516C" w:rsidRPr="00D01AAF" w:rsidRDefault="0000516C" w:rsidP="00FA12F2">
      <w:pPr>
        <w:rPr>
          <w:b w:val="0"/>
          <w:bCs/>
          <w:sz w:val="28"/>
        </w:rPr>
      </w:pPr>
    </w:p>
    <w:p w:rsidR="0047735B" w:rsidRPr="00D01AAF" w:rsidRDefault="0047735B" w:rsidP="0047735B">
      <w:pPr>
        <w:keepLines/>
        <w:tabs>
          <w:tab w:val="left" w:pos="3240"/>
        </w:tabs>
        <w:kinsoku/>
        <w:overflowPunct/>
        <w:snapToGrid/>
        <w:jc w:val="left"/>
        <w:rPr>
          <w:b w:val="0"/>
          <w:snapToGrid/>
          <w:sz w:val="24"/>
          <w:szCs w:val="24"/>
        </w:rPr>
      </w:pPr>
    </w:p>
    <w:p w:rsidR="00C83196" w:rsidRPr="00C83196" w:rsidRDefault="00C83196" w:rsidP="00C83196">
      <w:pPr>
        <w:tabs>
          <w:tab w:val="left" w:pos="6615"/>
        </w:tabs>
        <w:kinsoku/>
        <w:overflowPunct/>
        <w:autoSpaceDE/>
        <w:autoSpaceDN/>
        <w:adjustRightInd/>
        <w:snapToGrid/>
        <w:ind w:left="360" w:hanging="360"/>
        <w:rPr>
          <w:rFonts w:ascii="Verdana" w:eastAsia="Times New Roman" w:hAnsi="Verdana"/>
          <w:b w:val="0"/>
          <w:snapToGrid/>
        </w:rPr>
      </w:pPr>
      <w:r w:rsidRPr="00D01AAF">
        <w:rPr>
          <w:rFonts w:eastAsia="宋体"/>
          <w:b w:val="0"/>
          <w:snapToGrid/>
          <w:sz w:val="27"/>
          <w:szCs w:val="27"/>
        </w:rPr>
        <w:t xml:space="preserve">Ms Vinci Lam </w:t>
      </w:r>
      <w:r w:rsidR="006F49A5">
        <w:rPr>
          <w:rFonts w:eastAsia="宋体"/>
          <w:b w:val="0"/>
          <w:snapToGrid/>
          <w:sz w:val="27"/>
          <w:szCs w:val="27"/>
        </w:rPr>
        <w:t>D</w:t>
      </w:r>
      <w:r w:rsidRPr="00D01AAF">
        <w:rPr>
          <w:rFonts w:eastAsia="宋体"/>
          <w:b w:val="0"/>
          <w:snapToGrid/>
          <w:sz w:val="27"/>
          <w:szCs w:val="27"/>
        </w:rPr>
        <w:t>DPP</w:t>
      </w:r>
      <w:r w:rsidR="00BD1517">
        <w:rPr>
          <w:rFonts w:eastAsia="宋体"/>
          <w:b w:val="0"/>
          <w:snapToGrid/>
          <w:sz w:val="27"/>
          <w:szCs w:val="27"/>
        </w:rPr>
        <w:t xml:space="preserve"> </w:t>
      </w:r>
      <w:r w:rsidRPr="00D01AAF">
        <w:rPr>
          <w:rFonts w:eastAsia="宋体"/>
          <w:b w:val="0"/>
          <w:snapToGrid/>
          <w:sz w:val="27"/>
          <w:szCs w:val="27"/>
        </w:rPr>
        <w:t>(Ag) and Ms Hermina Ng</w:t>
      </w:r>
      <w:r w:rsidRPr="00C83196">
        <w:rPr>
          <w:rFonts w:eastAsia="宋体"/>
          <w:b w:val="0"/>
          <w:snapToGrid/>
          <w:sz w:val="27"/>
          <w:szCs w:val="27"/>
        </w:rPr>
        <w:t xml:space="preserve"> SPP,</w:t>
      </w:r>
      <w:r w:rsidRPr="00D01AAF">
        <w:rPr>
          <w:rFonts w:eastAsia="宋体"/>
          <w:b w:val="0"/>
          <w:snapToGrid/>
          <w:sz w:val="27"/>
          <w:szCs w:val="27"/>
        </w:rPr>
        <w:t xml:space="preserve"> </w:t>
      </w:r>
      <w:r w:rsidRPr="00C83196">
        <w:rPr>
          <w:rFonts w:eastAsia="宋体"/>
          <w:b w:val="0"/>
          <w:snapToGrid/>
          <w:sz w:val="27"/>
          <w:szCs w:val="27"/>
        </w:rPr>
        <w:t xml:space="preserve">of the Department of </w:t>
      </w:r>
      <w:r w:rsidRPr="00D01AAF">
        <w:rPr>
          <w:rFonts w:eastAsia="宋体"/>
          <w:b w:val="0"/>
          <w:snapToGrid/>
          <w:sz w:val="27"/>
          <w:szCs w:val="27"/>
        </w:rPr>
        <w:t>Justice, for the Appellant</w:t>
      </w:r>
    </w:p>
    <w:p w:rsidR="00C83196" w:rsidRPr="00C83196" w:rsidRDefault="00C83196" w:rsidP="00C83196">
      <w:pPr>
        <w:tabs>
          <w:tab w:val="left" w:pos="3660"/>
        </w:tabs>
        <w:kinsoku/>
        <w:overflowPunct/>
        <w:autoSpaceDE/>
        <w:autoSpaceDN/>
        <w:adjustRightInd/>
        <w:snapToGrid/>
        <w:jc w:val="left"/>
        <w:rPr>
          <w:rFonts w:ascii="Verdana" w:eastAsia="Times New Roman" w:hAnsi="Verdana"/>
          <w:b w:val="0"/>
          <w:snapToGrid/>
        </w:rPr>
      </w:pPr>
    </w:p>
    <w:p w:rsidR="0007218A" w:rsidRPr="00D01AAF" w:rsidRDefault="00C83196" w:rsidP="00C83196">
      <w:pPr>
        <w:kinsoku/>
        <w:overflowPunct/>
        <w:autoSpaceDE/>
        <w:autoSpaceDN/>
        <w:adjustRightInd/>
        <w:snapToGrid/>
        <w:ind w:left="360" w:hanging="360"/>
        <w:rPr>
          <w:rFonts w:eastAsiaTheme="minorEastAsia"/>
          <w:b w:val="0"/>
          <w:bCs/>
          <w:sz w:val="28"/>
        </w:rPr>
      </w:pPr>
      <w:r w:rsidRPr="00C83196">
        <w:rPr>
          <w:rFonts w:eastAsia="宋体"/>
          <w:b w:val="0"/>
          <w:snapToGrid/>
          <w:sz w:val="27"/>
          <w:szCs w:val="27"/>
        </w:rPr>
        <w:t>Mr Kay K W Chan, instructed by Choy Yung &amp; Co,</w:t>
      </w:r>
      <w:r w:rsidRPr="00D01AAF">
        <w:rPr>
          <w:rFonts w:eastAsia="宋体"/>
          <w:b w:val="0"/>
          <w:snapToGrid/>
          <w:sz w:val="27"/>
          <w:szCs w:val="27"/>
        </w:rPr>
        <w:t xml:space="preserve"> </w:t>
      </w:r>
      <w:r w:rsidRPr="00C83196">
        <w:rPr>
          <w:rFonts w:eastAsia="宋体"/>
          <w:b w:val="0"/>
          <w:snapToGrid/>
          <w:sz w:val="27"/>
          <w:szCs w:val="27"/>
        </w:rPr>
        <w:t xml:space="preserve">assigned by the </w:t>
      </w:r>
      <w:r w:rsidRPr="00D01AAF">
        <w:rPr>
          <w:rFonts w:eastAsia="宋体"/>
          <w:b w:val="0"/>
          <w:snapToGrid/>
          <w:sz w:val="27"/>
          <w:szCs w:val="27"/>
        </w:rPr>
        <w:t>D</w:t>
      </w:r>
      <w:r w:rsidRPr="00C83196">
        <w:rPr>
          <w:rFonts w:eastAsia="宋体"/>
          <w:b w:val="0"/>
          <w:snapToGrid/>
          <w:sz w:val="27"/>
          <w:szCs w:val="27"/>
        </w:rPr>
        <w:t>irector of Legal Aid,</w:t>
      </w:r>
      <w:r w:rsidRPr="00D01AAF">
        <w:rPr>
          <w:rFonts w:eastAsia="宋体"/>
          <w:b w:val="0"/>
          <w:snapToGrid/>
          <w:sz w:val="27"/>
          <w:szCs w:val="27"/>
        </w:rPr>
        <w:t xml:space="preserve"> </w:t>
      </w:r>
      <w:r w:rsidRPr="00C83196">
        <w:rPr>
          <w:rFonts w:eastAsia="宋体"/>
          <w:b w:val="0"/>
          <w:snapToGrid/>
          <w:sz w:val="27"/>
          <w:szCs w:val="27"/>
        </w:rPr>
        <w:t>for the Respondent</w:t>
      </w:r>
    </w:p>
    <w:sectPr w:rsidR="0007218A" w:rsidRPr="00D01AAF" w:rsidSect="00F252B2">
      <w:headerReference w:type="even" r:id="rId9"/>
      <w:headerReference w:type="default" r:id="rId10"/>
      <w:footerReference w:type="even" r:id="rId11"/>
      <w:footerReference w:type="default" r:id="rId12"/>
      <w:headerReference w:type="first" r:id="rId13"/>
      <w:footerReference w:type="first" r:id="rId14"/>
      <w:pgSz w:w="11906" w:h="16838" w:code="9"/>
      <w:pgMar w:top="1800" w:right="1800" w:bottom="1440" w:left="180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2">
      <wne:acd wne:acdName="acd0"/>
    </wne:keymap>
    <wne:keymap wne:kcmPrimary="0263">
      <wne:acd wne:acdName="acd1"/>
    </wne:keymap>
  </wne:keymaps>
  <wne:toolbars>
    <wne:acdManifest>
      <wne:acdEntry wne:acdName="acd0"/>
      <wne:acdEntry wne:acdName="acd1"/>
    </wne:acdManifest>
  </wne:toolbars>
  <wne:acds>
    <wne:acd wne:argValue="AgBqAC0AaABlAGEAZABpAG4AZwA=" wne:acdName="acd0" wne:fciIndexBasedOn="0065"/>
    <wne:acd wne:argValue="AgBqAC0AcQB1AG8AdABhAHQAaQBvAG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F70" w:rsidRDefault="00954F70">
      <w:r>
        <w:separator/>
      </w:r>
    </w:p>
  </w:endnote>
  <w:endnote w:type="continuationSeparator" w:id="0">
    <w:p w:rsidR="00954F70" w:rsidRDefault="00954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DEB" w:rsidRDefault="00D45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DEB" w:rsidRDefault="00D45D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DEB" w:rsidRDefault="00D45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F70" w:rsidRDefault="00954F70">
      <w:r>
        <w:separator/>
      </w:r>
    </w:p>
  </w:footnote>
  <w:footnote w:type="continuationSeparator" w:id="0">
    <w:p w:rsidR="00954F70" w:rsidRDefault="00954F70">
      <w:r>
        <w:continuationSeparator/>
      </w:r>
    </w:p>
  </w:footnote>
  <w:footnote w:id="1">
    <w:p w:rsidR="00D45DEB" w:rsidRPr="00840FE6" w:rsidRDefault="00D45DEB" w:rsidP="00D01AAF">
      <w:pPr>
        <w:pStyle w:val="FootnoteText"/>
        <w:tabs>
          <w:tab w:val="clear" w:pos="274"/>
          <w:tab w:val="left" w:pos="360"/>
        </w:tabs>
      </w:pPr>
      <w:r w:rsidRPr="00840FE6">
        <w:rPr>
          <w:rStyle w:val="FootnoteReference"/>
        </w:rPr>
        <w:footnoteRef/>
      </w:r>
      <w:r w:rsidRPr="00840FE6">
        <w:t xml:space="preserve"> </w:t>
      </w:r>
      <w:r>
        <w:tab/>
      </w:r>
      <w:r w:rsidRPr="00840FE6">
        <w:t>Admitted Facts, para 1.</w:t>
      </w:r>
    </w:p>
  </w:footnote>
  <w:footnote w:id="2">
    <w:p w:rsidR="00D45DEB" w:rsidRDefault="00D45DEB" w:rsidP="00D01AAF">
      <w:pPr>
        <w:pStyle w:val="FootnoteText"/>
        <w:tabs>
          <w:tab w:val="clear" w:pos="274"/>
          <w:tab w:val="left" w:pos="360"/>
        </w:tabs>
      </w:pPr>
      <w:r w:rsidRPr="00840FE6">
        <w:rPr>
          <w:rStyle w:val="FootnoteReference"/>
        </w:rPr>
        <w:footnoteRef/>
      </w:r>
      <w:r w:rsidRPr="00840FE6">
        <w:t xml:space="preserve"> </w:t>
      </w:r>
      <w:r>
        <w:tab/>
      </w:r>
      <w:r w:rsidRPr="00840FE6">
        <w:t>Admitted Facts, paras 2-3.</w:t>
      </w:r>
    </w:p>
  </w:footnote>
  <w:footnote w:id="3">
    <w:p w:rsidR="00D45DEB" w:rsidRPr="00E45F76" w:rsidRDefault="00D45DEB" w:rsidP="00D01AAF">
      <w:pPr>
        <w:pStyle w:val="FootnoteText"/>
        <w:tabs>
          <w:tab w:val="clear" w:pos="274"/>
          <w:tab w:val="left" w:pos="360"/>
        </w:tabs>
      </w:pPr>
      <w:r w:rsidRPr="00E45F76">
        <w:rPr>
          <w:rStyle w:val="FootnoteReference"/>
        </w:rPr>
        <w:footnoteRef/>
      </w:r>
      <w:r w:rsidRPr="00E45F76">
        <w:t xml:space="preserve"> </w:t>
      </w:r>
      <w:r>
        <w:tab/>
      </w:r>
      <w:r w:rsidRPr="00E45F76">
        <w:t>Admitted Facts, para 5.</w:t>
      </w:r>
    </w:p>
  </w:footnote>
  <w:footnote w:id="4">
    <w:p w:rsidR="00D45DEB" w:rsidRPr="00E45F76" w:rsidRDefault="00D45DEB" w:rsidP="00D01AAF">
      <w:pPr>
        <w:pStyle w:val="FootnoteText"/>
        <w:tabs>
          <w:tab w:val="clear" w:pos="274"/>
          <w:tab w:val="left" w:pos="360"/>
        </w:tabs>
      </w:pPr>
      <w:r w:rsidRPr="00E45F76">
        <w:rPr>
          <w:rStyle w:val="FootnoteReference"/>
        </w:rPr>
        <w:footnoteRef/>
      </w:r>
      <w:r w:rsidRPr="00E45F76">
        <w:t xml:space="preserve"> </w:t>
      </w:r>
      <w:r>
        <w:tab/>
      </w:r>
      <w:r w:rsidRPr="00E45F76">
        <w:t>Admitted Facts, para 6.</w:t>
      </w:r>
    </w:p>
  </w:footnote>
  <w:footnote w:id="5">
    <w:p w:rsidR="00D45DEB" w:rsidRPr="00E45F76" w:rsidRDefault="00D45DEB" w:rsidP="00D01AAF">
      <w:pPr>
        <w:pStyle w:val="FootnoteText"/>
        <w:tabs>
          <w:tab w:val="clear" w:pos="274"/>
          <w:tab w:val="left" w:pos="360"/>
        </w:tabs>
      </w:pPr>
      <w:r w:rsidRPr="00E45F76">
        <w:rPr>
          <w:rStyle w:val="FootnoteReference"/>
        </w:rPr>
        <w:footnoteRef/>
      </w:r>
      <w:r w:rsidRPr="00E45F76">
        <w:t xml:space="preserve"> </w:t>
      </w:r>
      <w:r>
        <w:tab/>
      </w:r>
      <w:r w:rsidRPr="00E45F76">
        <w:t>Admitted Facts, para 7.</w:t>
      </w:r>
    </w:p>
  </w:footnote>
  <w:footnote w:id="6">
    <w:p w:rsidR="00D45DEB" w:rsidRDefault="00D45DEB" w:rsidP="00D01AAF">
      <w:pPr>
        <w:pStyle w:val="FootnoteText"/>
        <w:tabs>
          <w:tab w:val="clear" w:pos="274"/>
          <w:tab w:val="left" w:pos="360"/>
        </w:tabs>
      </w:pPr>
      <w:r w:rsidRPr="00E45F76">
        <w:rPr>
          <w:rStyle w:val="FootnoteReference"/>
        </w:rPr>
        <w:footnoteRef/>
      </w:r>
      <w:r w:rsidRPr="00E45F76">
        <w:t xml:space="preserve"> </w:t>
      </w:r>
      <w:r>
        <w:tab/>
      </w:r>
      <w:r w:rsidRPr="00E45F76">
        <w:t>Admitted Facts, para 8.</w:t>
      </w:r>
    </w:p>
  </w:footnote>
  <w:footnote w:id="7">
    <w:p w:rsidR="00D45DEB" w:rsidRPr="007D7BBC" w:rsidRDefault="00D45DEB" w:rsidP="00545421">
      <w:pPr>
        <w:pStyle w:val="FootnoteText"/>
        <w:tabs>
          <w:tab w:val="clear" w:pos="274"/>
          <w:tab w:val="left" w:pos="360"/>
        </w:tabs>
        <w:ind w:left="360" w:hanging="360"/>
        <w:jc w:val="both"/>
      </w:pPr>
      <w:r w:rsidRPr="007D7BBC">
        <w:rPr>
          <w:rStyle w:val="FootnoteReference"/>
        </w:rPr>
        <w:footnoteRef/>
      </w:r>
      <w:r w:rsidRPr="007D7BBC">
        <w:t xml:space="preserve"> </w:t>
      </w:r>
      <w:r>
        <w:tab/>
      </w:r>
      <w:r w:rsidRPr="007D7BBC">
        <w:rPr>
          <w:rFonts w:hint="eastAsia"/>
        </w:rPr>
        <w:t>Transcript Bundle, p</w:t>
      </w:r>
      <w:r>
        <w:t xml:space="preserve"> </w:t>
      </w:r>
      <w:r w:rsidRPr="007D7BBC">
        <w:t>4</w:t>
      </w:r>
      <w:r w:rsidRPr="007D7BBC">
        <w:rPr>
          <w:rFonts w:hint="eastAsia"/>
        </w:rPr>
        <w:t>L-O.</w:t>
      </w:r>
      <w:r>
        <w:t xml:space="preserve">  Prosecuting counsel told the judge that the respondent’s response under caution was “just total silence”</w:t>
      </w:r>
      <w:r w:rsidR="00271E82">
        <w:t>.  This was</w:t>
      </w:r>
      <w:r>
        <w:t xml:space="preserve"> not </w:t>
      </w:r>
      <w:r w:rsidR="00271E82">
        <w:t>co</w:t>
      </w:r>
      <w:r>
        <w:t>rrect</w:t>
      </w:r>
      <w:r w:rsidR="00271E82">
        <w:t>: he had in fact g</w:t>
      </w:r>
      <w:r>
        <w:t>iven some answers to questions under caution in his VRI.</w:t>
      </w:r>
    </w:p>
  </w:footnote>
  <w:footnote w:id="8">
    <w:p w:rsidR="00D45DEB" w:rsidRPr="00092426" w:rsidRDefault="00D45DEB" w:rsidP="00D01AAF">
      <w:pPr>
        <w:pStyle w:val="FootnoteText"/>
        <w:tabs>
          <w:tab w:val="clear" w:pos="274"/>
          <w:tab w:val="left" w:pos="360"/>
        </w:tabs>
      </w:pPr>
      <w:r w:rsidRPr="00092426">
        <w:rPr>
          <w:rStyle w:val="FootnoteReference"/>
        </w:rPr>
        <w:footnoteRef/>
      </w:r>
      <w:r w:rsidRPr="00092426">
        <w:t xml:space="preserve"> </w:t>
      </w:r>
      <w:r>
        <w:tab/>
      </w:r>
      <w:r w:rsidRPr="00092426">
        <w:rPr>
          <w:rFonts w:hint="eastAsia"/>
        </w:rPr>
        <w:t>Transcript Bundle, p</w:t>
      </w:r>
      <w:r>
        <w:t xml:space="preserve"> </w:t>
      </w:r>
      <w:r w:rsidRPr="00092426">
        <w:rPr>
          <w:rFonts w:hint="eastAsia"/>
        </w:rPr>
        <w:t>17J.</w:t>
      </w:r>
    </w:p>
  </w:footnote>
  <w:footnote w:id="9">
    <w:p w:rsidR="00D45DEB" w:rsidRPr="00092426" w:rsidRDefault="00D45DEB" w:rsidP="00D01AAF">
      <w:pPr>
        <w:pStyle w:val="FootnoteText"/>
        <w:tabs>
          <w:tab w:val="clear" w:pos="274"/>
          <w:tab w:val="left" w:pos="360"/>
        </w:tabs>
      </w:pPr>
      <w:r w:rsidRPr="00092426">
        <w:rPr>
          <w:rStyle w:val="FootnoteReference"/>
        </w:rPr>
        <w:footnoteRef/>
      </w:r>
      <w:r w:rsidRPr="00092426">
        <w:t xml:space="preserve"> </w:t>
      </w:r>
      <w:r>
        <w:tab/>
      </w:r>
      <w:r w:rsidRPr="00092426">
        <w:rPr>
          <w:rFonts w:hint="eastAsia"/>
        </w:rPr>
        <w:t xml:space="preserve">Reasons for Verdict, para </w:t>
      </w:r>
      <w:r w:rsidRPr="00092426">
        <w:t>10.</w:t>
      </w:r>
    </w:p>
  </w:footnote>
  <w:footnote w:id="10">
    <w:p w:rsidR="00D45DEB" w:rsidRPr="004A7D4C" w:rsidRDefault="00D45DEB" w:rsidP="00D01AAF">
      <w:pPr>
        <w:pStyle w:val="FootnoteText"/>
        <w:tabs>
          <w:tab w:val="clear" w:pos="274"/>
          <w:tab w:val="left" w:pos="360"/>
        </w:tabs>
      </w:pPr>
      <w:r w:rsidRPr="004A7D4C">
        <w:rPr>
          <w:rStyle w:val="FootnoteReference"/>
        </w:rPr>
        <w:footnoteRef/>
      </w:r>
      <w:r w:rsidRPr="004A7D4C">
        <w:t xml:space="preserve"> </w:t>
      </w:r>
      <w:r>
        <w:tab/>
      </w:r>
      <w:r w:rsidRPr="004A7D4C">
        <w:rPr>
          <w:rFonts w:hint="eastAsia"/>
        </w:rPr>
        <w:t xml:space="preserve">Reasons for Verdict, para </w:t>
      </w:r>
      <w:r w:rsidRPr="004A7D4C">
        <w:t>12.</w:t>
      </w:r>
    </w:p>
  </w:footnote>
  <w:footnote w:id="11">
    <w:p w:rsidR="00D45DEB" w:rsidRPr="004A7D4C" w:rsidRDefault="00D45DEB" w:rsidP="00D01AAF">
      <w:pPr>
        <w:pStyle w:val="FootnoteText"/>
        <w:tabs>
          <w:tab w:val="clear" w:pos="274"/>
          <w:tab w:val="left" w:pos="360"/>
        </w:tabs>
      </w:pPr>
      <w:r w:rsidRPr="004A7D4C">
        <w:rPr>
          <w:rStyle w:val="FootnoteReference"/>
        </w:rPr>
        <w:footnoteRef/>
      </w:r>
      <w:r w:rsidRPr="004A7D4C">
        <w:t xml:space="preserve"> </w:t>
      </w:r>
      <w:r>
        <w:tab/>
      </w:r>
      <w:r w:rsidRPr="004A7D4C">
        <w:t>Transcript Bundle, p</w:t>
      </w:r>
      <w:r>
        <w:t xml:space="preserve"> </w:t>
      </w:r>
      <w:r w:rsidRPr="004A7D4C">
        <w:t>2R-S.</w:t>
      </w:r>
    </w:p>
  </w:footnote>
  <w:footnote w:id="12">
    <w:p w:rsidR="00D45DEB" w:rsidRPr="007B48AF" w:rsidRDefault="00D45DEB" w:rsidP="00D01AAF">
      <w:pPr>
        <w:pStyle w:val="FootnoteText"/>
        <w:tabs>
          <w:tab w:val="clear" w:pos="274"/>
          <w:tab w:val="left" w:pos="360"/>
        </w:tabs>
      </w:pPr>
      <w:r w:rsidRPr="004A7D4C">
        <w:rPr>
          <w:rStyle w:val="FootnoteReference"/>
        </w:rPr>
        <w:footnoteRef/>
      </w:r>
      <w:r w:rsidRPr="004A7D4C">
        <w:t xml:space="preserve"> </w:t>
      </w:r>
      <w:r>
        <w:tab/>
      </w:r>
      <w:r w:rsidRPr="004A7D4C">
        <w:rPr>
          <w:rFonts w:hint="eastAsia"/>
        </w:rPr>
        <w:t>Transcript Bundle, p</w:t>
      </w:r>
      <w:r w:rsidRPr="004A7D4C">
        <w:t>p</w:t>
      </w:r>
      <w:r>
        <w:t xml:space="preserve"> </w:t>
      </w:r>
      <w:r w:rsidRPr="004A7D4C">
        <w:rPr>
          <w:rFonts w:hint="eastAsia"/>
        </w:rPr>
        <w:t>2S-3</w:t>
      </w:r>
      <w:r w:rsidRPr="004A7D4C">
        <w:t>A.</w:t>
      </w:r>
    </w:p>
  </w:footnote>
  <w:footnote w:id="13">
    <w:p w:rsidR="00D45DEB" w:rsidRPr="007B48AF" w:rsidRDefault="00D45DEB" w:rsidP="00D01AAF">
      <w:pPr>
        <w:pStyle w:val="FootnoteText"/>
        <w:tabs>
          <w:tab w:val="clear" w:pos="274"/>
          <w:tab w:val="left" w:pos="360"/>
        </w:tabs>
      </w:pPr>
      <w:r w:rsidRPr="007B48AF">
        <w:rPr>
          <w:rStyle w:val="FootnoteReference"/>
        </w:rPr>
        <w:footnoteRef/>
      </w:r>
      <w:r w:rsidRPr="007B48AF">
        <w:t xml:space="preserve"> </w:t>
      </w:r>
      <w:r>
        <w:tab/>
      </w:r>
      <w:r w:rsidRPr="007B48AF">
        <w:rPr>
          <w:rFonts w:hint="eastAsia"/>
        </w:rPr>
        <w:t>Transcript Bundle, p</w:t>
      </w:r>
      <w:r>
        <w:t xml:space="preserve"> </w:t>
      </w:r>
      <w:r w:rsidRPr="007B48AF">
        <w:rPr>
          <w:rFonts w:hint="eastAsia"/>
        </w:rPr>
        <w:t>3</w:t>
      </w:r>
      <w:r w:rsidRPr="007B48AF">
        <w:t>C</w:t>
      </w:r>
      <w:r w:rsidRPr="007B48AF">
        <w:rPr>
          <w:rFonts w:hint="eastAsia"/>
        </w:rPr>
        <w:t>.</w:t>
      </w:r>
    </w:p>
  </w:footnote>
  <w:footnote w:id="14">
    <w:p w:rsidR="00D45DEB" w:rsidRPr="007B48AF" w:rsidRDefault="00D45DEB" w:rsidP="00D01AAF">
      <w:pPr>
        <w:pStyle w:val="FootnoteText"/>
        <w:tabs>
          <w:tab w:val="clear" w:pos="274"/>
          <w:tab w:val="left" w:pos="360"/>
        </w:tabs>
      </w:pPr>
      <w:r w:rsidRPr="007B48AF">
        <w:rPr>
          <w:rStyle w:val="FootnoteReference"/>
        </w:rPr>
        <w:footnoteRef/>
      </w:r>
      <w:r w:rsidRPr="007B48AF">
        <w:t xml:space="preserve"> </w:t>
      </w:r>
      <w:r>
        <w:tab/>
      </w:r>
      <w:r w:rsidRPr="007B48AF">
        <w:rPr>
          <w:rFonts w:hint="eastAsia"/>
        </w:rPr>
        <w:t>Transcript Bundle, p</w:t>
      </w:r>
      <w:r>
        <w:t xml:space="preserve"> </w:t>
      </w:r>
      <w:r w:rsidRPr="007B48AF">
        <w:rPr>
          <w:rFonts w:hint="eastAsia"/>
        </w:rPr>
        <w:t>3F-H.</w:t>
      </w:r>
    </w:p>
  </w:footnote>
  <w:footnote w:id="15">
    <w:p w:rsidR="00D45DEB" w:rsidRDefault="00D45DEB" w:rsidP="00D01AAF">
      <w:pPr>
        <w:pStyle w:val="FootnoteText"/>
        <w:tabs>
          <w:tab w:val="clear" w:pos="274"/>
          <w:tab w:val="left" w:pos="360"/>
        </w:tabs>
      </w:pPr>
      <w:r w:rsidRPr="007B48AF">
        <w:rPr>
          <w:rStyle w:val="FootnoteReference"/>
        </w:rPr>
        <w:footnoteRef/>
      </w:r>
      <w:r w:rsidRPr="007B48AF">
        <w:t xml:space="preserve"> </w:t>
      </w:r>
      <w:r>
        <w:tab/>
      </w:r>
      <w:r w:rsidRPr="007B48AF">
        <w:rPr>
          <w:rFonts w:hint="eastAsia"/>
        </w:rPr>
        <w:t>Transcript Bundle, p</w:t>
      </w:r>
      <w:r>
        <w:t xml:space="preserve"> </w:t>
      </w:r>
      <w:r w:rsidRPr="007B48AF">
        <w:rPr>
          <w:rFonts w:hint="eastAsia"/>
        </w:rPr>
        <w:t>3N-R</w:t>
      </w:r>
      <w:r w:rsidRPr="007B48AF">
        <w:t>.</w:t>
      </w:r>
    </w:p>
  </w:footnote>
  <w:footnote w:id="16">
    <w:p w:rsidR="00D45DEB" w:rsidRPr="00D01AAF" w:rsidRDefault="00D45DEB" w:rsidP="00D01AAF">
      <w:pPr>
        <w:pStyle w:val="FootnoteText"/>
        <w:tabs>
          <w:tab w:val="clear" w:pos="274"/>
          <w:tab w:val="left" w:pos="360"/>
        </w:tabs>
        <w:rPr>
          <w:lang w:val="en-US"/>
        </w:rPr>
      </w:pPr>
      <w:r w:rsidRPr="00B77E40">
        <w:rPr>
          <w:rStyle w:val="FootnoteReference"/>
        </w:rPr>
        <w:footnoteRef/>
      </w:r>
      <w:r w:rsidRPr="00D01AAF">
        <w:rPr>
          <w:lang w:val="en-US"/>
        </w:rPr>
        <w:t xml:space="preserve"> </w:t>
      </w:r>
      <w:r w:rsidRPr="00D01AAF">
        <w:rPr>
          <w:lang w:val="en-US"/>
        </w:rPr>
        <w:tab/>
        <w:t>Transcript Bundle, p 8D-G.</w:t>
      </w:r>
    </w:p>
  </w:footnote>
  <w:footnote w:id="17">
    <w:p w:rsidR="00D45DEB" w:rsidRPr="006F49A5" w:rsidRDefault="00D45DEB" w:rsidP="00D01AAF">
      <w:pPr>
        <w:pStyle w:val="FootnoteText"/>
        <w:tabs>
          <w:tab w:val="clear" w:pos="274"/>
          <w:tab w:val="left" w:pos="360"/>
        </w:tabs>
      </w:pPr>
      <w:r w:rsidRPr="00CC393C">
        <w:rPr>
          <w:rStyle w:val="FootnoteReference"/>
        </w:rPr>
        <w:footnoteRef/>
      </w:r>
      <w:r w:rsidRPr="006F49A5">
        <w:t xml:space="preserve"> </w:t>
      </w:r>
      <w:r w:rsidRPr="006F49A5">
        <w:tab/>
        <w:t>Transcript Bundle, pp 8T-9A.</w:t>
      </w:r>
    </w:p>
  </w:footnote>
  <w:footnote w:id="18">
    <w:p w:rsidR="00D45DEB" w:rsidRPr="006F49A5" w:rsidRDefault="00D45DEB" w:rsidP="00D01AAF">
      <w:pPr>
        <w:pStyle w:val="FootnoteText"/>
        <w:tabs>
          <w:tab w:val="clear" w:pos="274"/>
          <w:tab w:val="left" w:pos="360"/>
        </w:tabs>
      </w:pPr>
      <w:r w:rsidRPr="00DE3834">
        <w:rPr>
          <w:rStyle w:val="FootnoteReference"/>
        </w:rPr>
        <w:footnoteRef/>
      </w:r>
      <w:r w:rsidRPr="006F49A5">
        <w:t xml:space="preserve"> </w:t>
      </w:r>
      <w:r w:rsidRPr="006F49A5">
        <w:tab/>
      </w:r>
      <w:r w:rsidRPr="006F49A5">
        <w:rPr>
          <w:rFonts w:hint="eastAsia"/>
        </w:rPr>
        <w:t>Respondent</w:t>
      </w:r>
      <w:r w:rsidRPr="006F49A5">
        <w:t>’s submissions, para 19a.</w:t>
      </w:r>
    </w:p>
  </w:footnote>
  <w:footnote w:id="19">
    <w:p w:rsidR="00D45DEB" w:rsidRPr="006F49A5" w:rsidRDefault="00D45DEB" w:rsidP="00D01AAF">
      <w:pPr>
        <w:pStyle w:val="FootnoteText"/>
        <w:tabs>
          <w:tab w:val="clear" w:pos="274"/>
          <w:tab w:val="left" w:pos="360"/>
        </w:tabs>
      </w:pPr>
      <w:r w:rsidRPr="00DE3834">
        <w:rPr>
          <w:rStyle w:val="FootnoteReference"/>
        </w:rPr>
        <w:footnoteRef/>
      </w:r>
      <w:r w:rsidRPr="006F49A5">
        <w:t xml:space="preserve"> </w:t>
      </w:r>
      <w:r w:rsidRPr="006F49A5">
        <w:tab/>
      </w:r>
      <w:r w:rsidRPr="006F49A5">
        <w:rPr>
          <w:rFonts w:hint="eastAsia"/>
        </w:rPr>
        <w:t>Respondent</w:t>
      </w:r>
      <w:r w:rsidRPr="006F49A5">
        <w:t>’s submissions, para 29.</w:t>
      </w:r>
    </w:p>
  </w:footnote>
  <w:footnote w:id="20">
    <w:p w:rsidR="00D45DEB" w:rsidRPr="00545421" w:rsidRDefault="00D45DEB" w:rsidP="00D01AAF">
      <w:pPr>
        <w:pStyle w:val="FootnoteText"/>
        <w:tabs>
          <w:tab w:val="clear" w:pos="274"/>
          <w:tab w:val="left" w:pos="360"/>
        </w:tabs>
        <w:rPr>
          <w:lang w:val="en-US"/>
        </w:rPr>
      </w:pPr>
      <w:r w:rsidRPr="00904E55">
        <w:rPr>
          <w:rStyle w:val="FootnoteReference"/>
        </w:rPr>
        <w:footnoteRef/>
      </w:r>
      <w:r w:rsidRPr="00545421">
        <w:rPr>
          <w:lang w:val="en-US"/>
        </w:rPr>
        <w:t xml:space="preserve"> </w:t>
      </w:r>
      <w:r w:rsidRPr="00545421">
        <w:rPr>
          <w:lang w:val="en-US"/>
        </w:rPr>
        <w:tab/>
        <w:t>Respondent’s submissions, para 31.</w:t>
      </w:r>
    </w:p>
  </w:footnote>
  <w:footnote w:id="21">
    <w:p w:rsidR="00E76A9F" w:rsidRPr="00E76A9F" w:rsidRDefault="00E76A9F" w:rsidP="00D85ECD">
      <w:pPr>
        <w:pStyle w:val="FootnoteText"/>
        <w:tabs>
          <w:tab w:val="clear" w:pos="274"/>
          <w:tab w:val="left" w:pos="360"/>
        </w:tabs>
      </w:pPr>
      <w:r>
        <w:rPr>
          <w:rStyle w:val="FootnoteReference"/>
        </w:rPr>
        <w:footnoteRef/>
      </w:r>
      <w:r w:rsidR="00D85ECD">
        <w:t xml:space="preserve"> </w:t>
      </w:r>
      <w:r w:rsidR="00D85ECD">
        <w:tab/>
      </w:r>
      <w:r>
        <w:t xml:space="preserve">See footnote 7 </w:t>
      </w:r>
      <w:r w:rsidRPr="00E76A9F">
        <w:rPr>
          <w:i/>
        </w:rPr>
        <w:t>supra</w:t>
      </w:r>
      <w:r>
        <w:t>.</w:t>
      </w:r>
    </w:p>
  </w:footnote>
  <w:footnote w:id="22">
    <w:p w:rsidR="00474B4E" w:rsidRPr="00474B4E" w:rsidRDefault="00474B4E" w:rsidP="00D85ECD">
      <w:pPr>
        <w:pStyle w:val="FootnoteText"/>
        <w:tabs>
          <w:tab w:val="clear" w:pos="274"/>
          <w:tab w:val="left" w:pos="360"/>
        </w:tabs>
      </w:pPr>
      <w:r>
        <w:rPr>
          <w:rStyle w:val="FootnoteReference"/>
        </w:rPr>
        <w:footnoteRef/>
      </w:r>
      <w:r>
        <w:t xml:space="preserve"> </w:t>
      </w:r>
      <w:r w:rsidR="00D85ECD">
        <w:tab/>
      </w:r>
      <w:r w:rsidR="00F24EA2">
        <w:t>Admitted Facts, para 6.</w:t>
      </w:r>
    </w:p>
  </w:footnote>
  <w:footnote w:id="23">
    <w:p w:rsidR="00D45DEB" w:rsidRDefault="00D45DEB" w:rsidP="00545421">
      <w:pPr>
        <w:pStyle w:val="FootnoteText"/>
        <w:tabs>
          <w:tab w:val="clear" w:pos="274"/>
          <w:tab w:val="left" w:pos="360"/>
        </w:tabs>
      </w:pPr>
      <w:r>
        <w:rPr>
          <w:rStyle w:val="FootnoteReference"/>
        </w:rPr>
        <w:footnoteRef/>
      </w:r>
      <w:r>
        <w:t xml:space="preserve"> </w:t>
      </w:r>
      <w:r w:rsidR="00545421">
        <w:tab/>
      </w:r>
      <w:r w:rsidRPr="00AF7CFC">
        <w:rPr>
          <w:rFonts w:hint="eastAsia"/>
          <w:i/>
        </w:rPr>
        <w:t>Ting James Henry v HKSAR (No 2)</w:t>
      </w:r>
      <w:r>
        <w:rPr>
          <w:rFonts w:hint="eastAsia"/>
        </w:rPr>
        <w:t xml:space="preserve"> (2007) 10 HKCFAR 730, at </w:t>
      </w:r>
      <w:r>
        <w:t>735E-F.</w:t>
      </w:r>
    </w:p>
  </w:footnote>
  <w:footnote w:id="24">
    <w:p w:rsidR="00D45DEB" w:rsidRDefault="00D45DEB" w:rsidP="00545421">
      <w:pPr>
        <w:pStyle w:val="FootnoteText"/>
        <w:tabs>
          <w:tab w:val="clear" w:pos="274"/>
          <w:tab w:val="left" w:pos="360"/>
        </w:tabs>
      </w:pPr>
      <w:r>
        <w:rPr>
          <w:rStyle w:val="FootnoteReference"/>
        </w:rPr>
        <w:footnoteRef/>
      </w:r>
      <w:r>
        <w:t xml:space="preserve"> </w:t>
      </w:r>
      <w:r w:rsidR="00545421">
        <w:tab/>
      </w:r>
      <w:r w:rsidRPr="005C2AD4">
        <w:rPr>
          <w:rFonts w:hint="eastAsia"/>
          <w:i/>
        </w:rPr>
        <w:t>Cheng Kam Kuen v HKSAR</w:t>
      </w:r>
      <w:r>
        <w:rPr>
          <w:rFonts w:hint="eastAsia"/>
        </w:rPr>
        <w:t xml:space="preserve"> (Unrep.,</w:t>
      </w:r>
      <w:r>
        <w:t xml:space="preserve"> HCAL 92/2004, 17 May 2005)</w:t>
      </w:r>
      <w:r w:rsidR="005F08B2">
        <w:t>, at paras 30-31</w:t>
      </w:r>
      <w:r>
        <w:t>.</w:t>
      </w:r>
    </w:p>
  </w:footnote>
  <w:footnote w:id="25">
    <w:p w:rsidR="00D45DEB" w:rsidRDefault="00D45DEB" w:rsidP="00540ED4">
      <w:pPr>
        <w:pStyle w:val="FootnoteText"/>
        <w:tabs>
          <w:tab w:val="clear" w:pos="274"/>
          <w:tab w:val="left" w:pos="360"/>
        </w:tabs>
      </w:pPr>
      <w:r>
        <w:rPr>
          <w:rStyle w:val="FootnoteReference"/>
        </w:rPr>
        <w:footnoteRef/>
      </w:r>
      <w:r>
        <w:t xml:space="preserve"> </w:t>
      </w:r>
      <w:r w:rsidR="00540ED4">
        <w:tab/>
      </w:r>
      <w:r w:rsidRPr="00F3570E">
        <w:rPr>
          <w:rFonts w:hint="eastAsia"/>
          <w:i/>
        </w:rPr>
        <w:t>R v Ling</w:t>
      </w:r>
      <w:r>
        <w:rPr>
          <w:rFonts w:hint="eastAsia"/>
        </w:rPr>
        <w:t xml:space="preserve"> (1996) 90 A Crim R 376.</w:t>
      </w:r>
    </w:p>
  </w:footnote>
  <w:footnote w:id="26">
    <w:p w:rsidR="00D45DEB" w:rsidRDefault="00D45DEB" w:rsidP="00540ED4">
      <w:pPr>
        <w:pStyle w:val="FootnoteText"/>
        <w:tabs>
          <w:tab w:val="clear" w:pos="274"/>
          <w:tab w:val="left" w:pos="360"/>
        </w:tabs>
      </w:pPr>
      <w:r>
        <w:rPr>
          <w:rStyle w:val="FootnoteReference"/>
        </w:rPr>
        <w:footnoteRef/>
      </w:r>
      <w:r>
        <w:t xml:space="preserve"> </w:t>
      </w:r>
      <w:r w:rsidR="00540ED4">
        <w:tab/>
      </w:r>
      <w:r w:rsidRPr="00540ED4">
        <w:rPr>
          <w:rFonts w:hint="eastAsia"/>
          <w:i/>
        </w:rPr>
        <w:t>Tong Cun Lin v HKSAR</w:t>
      </w:r>
      <w:r>
        <w:rPr>
          <w:rFonts w:hint="eastAsia"/>
        </w:rPr>
        <w:t xml:space="preserve"> (1999) 2 HKCFAR</w:t>
      </w:r>
      <w:r w:rsidR="00EB0A6B">
        <w:t xml:space="preserve"> 531, at 535D-H.</w:t>
      </w:r>
    </w:p>
  </w:footnote>
  <w:footnote w:id="27">
    <w:p w:rsidR="00456A4A" w:rsidRDefault="00456A4A" w:rsidP="00540ED4">
      <w:pPr>
        <w:pStyle w:val="FootnoteText"/>
        <w:tabs>
          <w:tab w:val="clear" w:pos="274"/>
          <w:tab w:val="left" w:pos="360"/>
        </w:tabs>
      </w:pPr>
      <w:r>
        <w:rPr>
          <w:rStyle w:val="FootnoteReference"/>
        </w:rPr>
        <w:footnoteRef/>
      </w:r>
      <w:r>
        <w:t xml:space="preserve"> </w:t>
      </w:r>
      <w:r w:rsidR="00540ED4">
        <w:tab/>
      </w:r>
      <w:r w:rsidRPr="00456A4A">
        <w:rPr>
          <w:rFonts w:hint="eastAsia"/>
          <w:i/>
        </w:rPr>
        <w:t>R v Kwok Moon-yan &amp; Another</w:t>
      </w:r>
      <w:r>
        <w:rPr>
          <w:rFonts w:hint="eastAsia"/>
        </w:rPr>
        <w:t xml:space="preserve"> [1989] 2 HKLR 396, at 401C-E.</w:t>
      </w:r>
    </w:p>
  </w:footnote>
  <w:footnote w:id="28">
    <w:p w:rsidR="00B63659" w:rsidRDefault="00B63659" w:rsidP="00540ED4">
      <w:pPr>
        <w:pStyle w:val="FootnoteText"/>
        <w:tabs>
          <w:tab w:val="clear" w:pos="274"/>
          <w:tab w:val="left" w:pos="360"/>
        </w:tabs>
      </w:pPr>
      <w:r>
        <w:rPr>
          <w:rStyle w:val="FootnoteReference"/>
        </w:rPr>
        <w:footnoteRef/>
      </w:r>
      <w:r>
        <w:t xml:space="preserve"> </w:t>
      </w:r>
      <w:r w:rsidR="00540ED4">
        <w:tab/>
      </w:r>
      <w:r w:rsidRPr="00540ED4">
        <w:rPr>
          <w:rFonts w:hint="eastAsia"/>
          <w:i/>
        </w:rPr>
        <w:t>Hui Yui Sang v HKSAR</w:t>
      </w:r>
      <w:r>
        <w:rPr>
          <w:rFonts w:hint="eastAsia"/>
        </w:rPr>
        <w:t xml:space="preserve"> (2006) 9 HKCFAR 308, at 314E-F.</w:t>
      </w:r>
    </w:p>
  </w:footnote>
  <w:footnote w:id="29">
    <w:p w:rsidR="000E1E5B" w:rsidRDefault="000E1E5B" w:rsidP="00E75AA0">
      <w:pPr>
        <w:pStyle w:val="FootnoteText"/>
        <w:tabs>
          <w:tab w:val="clear" w:pos="274"/>
          <w:tab w:val="left" w:pos="360"/>
        </w:tabs>
      </w:pPr>
      <w:r>
        <w:rPr>
          <w:rStyle w:val="FootnoteReference"/>
        </w:rPr>
        <w:footnoteRef/>
      </w:r>
      <w:r w:rsidR="00E75AA0">
        <w:t xml:space="preserve"> </w:t>
      </w:r>
      <w:r w:rsidR="00E75AA0">
        <w:tab/>
      </w:r>
      <w:r>
        <w:t>Transcript Bundle, p 41N-O.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DEB" w:rsidRDefault="00D45D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DEB" w:rsidRDefault="00D45DEB" w:rsidP="007C481B">
    <w:pPr>
      <w:tabs>
        <w:tab w:val="center" w:pos="4153"/>
        <w:tab w:val="left" w:pos="6877"/>
      </w:tabs>
      <w:jc w:val="left"/>
      <w:rPr>
        <w:rStyle w:val="PageNumber"/>
        <w:b w:val="0"/>
        <w:bCs w:val="0"/>
        <w:sz w:val="28"/>
      </w:rPr>
    </w:pPr>
    <w:r>
      <w:rPr>
        <w:noProof/>
        <w:lang w:val="en-US"/>
      </w:rPr>
      <mc:AlternateContent>
        <mc:Choice Requires="wps">
          <w:drawing>
            <wp:anchor distT="0" distB="0" distL="114300" distR="114300" simplePos="0" relativeHeight="251657216" behindDoc="0" locked="0" layoutInCell="1" allowOverlap="1" wp14:anchorId="0655F62C" wp14:editId="2AD1AEDB">
              <wp:simplePos x="0" y="0"/>
              <wp:positionH relativeFrom="page">
                <wp:align>right</wp:align>
              </wp:positionH>
              <wp:positionV relativeFrom="paragraph">
                <wp:posOffset>38735</wp:posOffset>
              </wp:positionV>
              <wp:extent cx="552450" cy="1009967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5DEB" w:rsidRDefault="00D45DEB" w:rsidP="008244DC">
                          <w:pPr>
                            <w:ind w:left="-90"/>
                          </w:pPr>
                          <w:r>
                            <w:rPr>
                              <w:rFonts w:hint="eastAsia"/>
                            </w:rPr>
                            <w:t>A</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pPr>
                          <w:r>
                            <w:rPr>
                              <w:rFonts w:hint="eastAsia"/>
                            </w:rPr>
                            <w:t>B</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C</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pPr>
                          <w:r>
                            <w:rPr>
                              <w:rFonts w:hint="eastAsia"/>
                            </w:rPr>
                            <w:t>D</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E</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pPr>
                          <w:r>
                            <w:rPr>
                              <w:rFonts w:hint="eastAsia"/>
                            </w:rPr>
                            <w:t>F</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G</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H</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I</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J</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K</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L</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M</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N</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O</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P</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Q</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R</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S</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T</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U</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5F62C" id="_x0000_t202" coordsize="21600,21600" o:spt="202" path="m,l,21600r21600,l21600,xe">
              <v:stroke joinstyle="miter"/>
              <v:path gradientshapeok="t" o:connecttype="rect"/>
            </v:shapetype>
            <v:shape id="Text Box 5" o:spid="_x0000_s1026" type="#_x0000_t202" style="position:absolute;margin-left:-7.7pt;margin-top:3.05pt;width:43.5pt;height:795.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" stroked="f">
              <v:textbox>
                <w:txbxContent>
                  <w:p w:rsidR="00D45DEB" w:rsidRDefault="00D45DEB" w:rsidP="008244DC">
                    <w:pPr>
                      <w:ind w:left="-90"/>
                    </w:pPr>
                    <w:r>
                      <w:rPr>
                        <w:rFonts w:hint="eastAsia"/>
                      </w:rPr>
                      <w:t>A</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pPr>
                    <w:r>
                      <w:rPr>
                        <w:rFonts w:hint="eastAsia"/>
                      </w:rPr>
                      <w:t>B</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C</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pPr>
                    <w:r>
                      <w:rPr>
                        <w:rFonts w:hint="eastAsia"/>
                      </w:rPr>
                      <w:t>D</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E</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pPr>
                    <w:r>
                      <w:rPr>
                        <w:rFonts w:hint="eastAsia"/>
                      </w:rPr>
                      <w:t>F</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G</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H</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I</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J</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K</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L</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M</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N</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O</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P</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Q</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R</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S</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T</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U</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pPr>
                    <w:r>
                      <w:rPr>
                        <w:rFonts w:hint="eastAsia"/>
                      </w:rPr>
                      <w:t>V</w:t>
                    </w:r>
                  </w:p>
                </w:txbxContent>
              </v:textbox>
              <w10:wrap anchorx="page"/>
            </v:shape>
          </w:pict>
        </mc:Fallback>
      </mc:AlternateContent>
    </w:r>
    <w:r>
      <w:rPr>
        <w:rStyle w:val="PageNumber"/>
        <w:b w:val="0"/>
        <w:bCs w:val="0"/>
        <w:sz w:val="28"/>
      </w:rPr>
      <w:tab/>
    </w:r>
    <w:r>
      <w:rPr>
        <w:noProof/>
        <w:lang w:val="en-US"/>
      </w:rPr>
      <mc:AlternateContent>
        <mc:Choice Requires="wps">
          <w:drawing>
            <wp:anchor distT="0" distB="0" distL="114300" distR="114300" simplePos="0" relativeHeight="251656192" behindDoc="0" locked="0" layoutInCell="1" allowOverlap="1" wp14:anchorId="2C11F0DE" wp14:editId="47523383">
              <wp:simplePos x="0" y="0"/>
              <wp:positionH relativeFrom="column">
                <wp:posOffset>-903946</wp:posOffset>
              </wp:positionH>
              <wp:positionV relativeFrom="paragraph">
                <wp:posOffset>45720</wp:posOffset>
              </wp:positionV>
              <wp:extent cx="356755" cy="9982835"/>
              <wp:effectExtent l="0" t="0" r="571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755" cy="998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5DEB" w:rsidRDefault="00D45DEB">
                          <w:r>
                            <w:rPr>
                              <w:rFonts w:hint="eastAsia"/>
                            </w:rPr>
                            <w:t>A</w:t>
                          </w:r>
                        </w:p>
                        <w:p w:rsidR="00D45DEB" w:rsidRDefault="00D45DEB">
                          <w:pPr>
                            <w:rPr>
                              <w:sz w:val="10"/>
                            </w:rPr>
                          </w:pPr>
                        </w:p>
                        <w:p w:rsidR="00D45DEB" w:rsidRDefault="00D45DEB">
                          <w:pPr>
                            <w:rPr>
                              <w:sz w:val="16"/>
                            </w:rPr>
                          </w:pPr>
                        </w:p>
                        <w:p w:rsidR="00D45DEB" w:rsidRDefault="00D45DEB">
                          <w:pPr>
                            <w:rPr>
                              <w:sz w:val="16"/>
                            </w:rPr>
                          </w:pPr>
                        </w:p>
                        <w:p w:rsidR="00D45DEB" w:rsidRDefault="00D45DEB">
                          <w:r>
                            <w:rPr>
                              <w:rFonts w:hint="eastAsia"/>
                            </w:rPr>
                            <w:t>B</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C</w:t>
                          </w:r>
                        </w:p>
                        <w:p w:rsidR="00D45DEB" w:rsidRDefault="00D45DEB">
                          <w:pPr>
                            <w:rPr>
                              <w:sz w:val="10"/>
                            </w:rPr>
                          </w:pPr>
                        </w:p>
                        <w:p w:rsidR="00D45DEB" w:rsidRDefault="00D45DEB">
                          <w:pPr>
                            <w:rPr>
                              <w:sz w:val="16"/>
                            </w:rPr>
                          </w:pPr>
                        </w:p>
                        <w:p w:rsidR="00D45DEB" w:rsidRDefault="00D45DEB">
                          <w:pPr>
                            <w:rPr>
                              <w:sz w:val="16"/>
                            </w:rPr>
                          </w:pPr>
                        </w:p>
                        <w:p w:rsidR="00D45DEB" w:rsidRDefault="00D45DEB">
                          <w:r>
                            <w:rPr>
                              <w:rFonts w:hint="eastAsia"/>
                            </w:rPr>
                            <w:t>D</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E</w:t>
                          </w:r>
                        </w:p>
                        <w:p w:rsidR="00D45DEB" w:rsidRDefault="00D45DEB">
                          <w:pPr>
                            <w:rPr>
                              <w:sz w:val="10"/>
                            </w:rPr>
                          </w:pPr>
                        </w:p>
                        <w:p w:rsidR="00D45DEB" w:rsidRDefault="00D45DEB">
                          <w:pPr>
                            <w:rPr>
                              <w:sz w:val="16"/>
                            </w:rPr>
                          </w:pPr>
                        </w:p>
                        <w:p w:rsidR="00D45DEB" w:rsidRDefault="00D45DEB">
                          <w:pPr>
                            <w:rPr>
                              <w:sz w:val="16"/>
                            </w:rPr>
                          </w:pPr>
                        </w:p>
                        <w:p w:rsidR="00D45DEB" w:rsidRDefault="00D45DEB">
                          <w:r>
                            <w:rPr>
                              <w:rFonts w:hint="eastAsia"/>
                            </w:rPr>
                            <w:t>F</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G</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H</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I</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J</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K</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L</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M</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N</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O</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P</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Q</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R</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S</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T</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U</w:t>
                          </w:r>
                        </w:p>
                        <w:p w:rsidR="00D45DEB" w:rsidRDefault="00D45DEB">
                          <w:pPr>
                            <w:rPr>
                              <w:sz w:val="10"/>
                            </w:rPr>
                          </w:pPr>
                        </w:p>
                        <w:p w:rsidR="00D45DEB" w:rsidRDefault="00D45DEB">
                          <w:pPr>
                            <w:rPr>
                              <w:sz w:val="16"/>
                            </w:rPr>
                          </w:pPr>
                        </w:p>
                        <w:p w:rsidR="00D45DEB" w:rsidRDefault="00D45DEB">
                          <w:pPr>
                            <w:rPr>
                              <w:sz w:val="16"/>
                            </w:rPr>
                          </w:pPr>
                        </w:p>
                        <w:p w:rsidR="00D45DEB" w:rsidRDefault="00D45DEB">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1F0DE" id="Text Box 4" o:spid="_x0000_s1027" type="#_x0000_t202" style="position:absolute;margin-left:-71.2pt;margin-top:3.6pt;width:28.1pt;height:78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" stroked="f">
              <v:textbox>
                <w:txbxContent>
                  <w:p w:rsidR="00D45DEB" w:rsidRDefault="00D45DEB">
                    <w:r>
                      <w:rPr>
                        <w:rFonts w:hint="eastAsia"/>
                      </w:rPr>
                      <w:t>A</w:t>
                    </w:r>
                  </w:p>
                  <w:p w:rsidR="00D45DEB" w:rsidRDefault="00D45DEB">
                    <w:pPr>
                      <w:rPr>
                        <w:sz w:val="10"/>
                      </w:rPr>
                    </w:pPr>
                  </w:p>
                  <w:p w:rsidR="00D45DEB" w:rsidRDefault="00D45DEB">
                    <w:pPr>
                      <w:rPr>
                        <w:sz w:val="16"/>
                      </w:rPr>
                    </w:pPr>
                  </w:p>
                  <w:p w:rsidR="00D45DEB" w:rsidRDefault="00D45DEB">
                    <w:pPr>
                      <w:rPr>
                        <w:sz w:val="16"/>
                      </w:rPr>
                    </w:pPr>
                  </w:p>
                  <w:p w:rsidR="00D45DEB" w:rsidRDefault="00D45DEB">
                    <w:r>
                      <w:rPr>
                        <w:rFonts w:hint="eastAsia"/>
                      </w:rPr>
                      <w:t>B</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C</w:t>
                    </w:r>
                  </w:p>
                  <w:p w:rsidR="00D45DEB" w:rsidRDefault="00D45DEB">
                    <w:pPr>
                      <w:rPr>
                        <w:sz w:val="10"/>
                      </w:rPr>
                    </w:pPr>
                  </w:p>
                  <w:p w:rsidR="00D45DEB" w:rsidRDefault="00D45DEB">
                    <w:pPr>
                      <w:rPr>
                        <w:sz w:val="16"/>
                      </w:rPr>
                    </w:pPr>
                  </w:p>
                  <w:p w:rsidR="00D45DEB" w:rsidRDefault="00D45DEB">
                    <w:pPr>
                      <w:rPr>
                        <w:sz w:val="16"/>
                      </w:rPr>
                    </w:pPr>
                  </w:p>
                  <w:p w:rsidR="00D45DEB" w:rsidRDefault="00D45DEB">
                    <w:r>
                      <w:rPr>
                        <w:rFonts w:hint="eastAsia"/>
                      </w:rPr>
                      <w:t>D</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E</w:t>
                    </w:r>
                  </w:p>
                  <w:p w:rsidR="00D45DEB" w:rsidRDefault="00D45DEB">
                    <w:pPr>
                      <w:rPr>
                        <w:sz w:val="10"/>
                      </w:rPr>
                    </w:pPr>
                  </w:p>
                  <w:p w:rsidR="00D45DEB" w:rsidRDefault="00D45DEB">
                    <w:pPr>
                      <w:rPr>
                        <w:sz w:val="16"/>
                      </w:rPr>
                    </w:pPr>
                  </w:p>
                  <w:p w:rsidR="00D45DEB" w:rsidRDefault="00D45DEB">
                    <w:pPr>
                      <w:rPr>
                        <w:sz w:val="16"/>
                      </w:rPr>
                    </w:pPr>
                  </w:p>
                  <w:p w:rsidR="00D45DEB" w:rsidRDefault="00D45DEB">
                    <w:r>
                      <w:rPr>
                        <w:rFonts w:hint="eastAsia"/>
                      </w:rPr>
                      <w:t>F</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G</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H</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I</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J</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K</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L</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M</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N</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O</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P</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Q</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R</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S</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T</w:t>
                    </w:r>
                  </w:p>
                  <w:p w:rsidR="00D45DEB" w:rsidRDefault="00D45DEB">
                    <w:pPr>
                      <w:rPr>
                        <w:sz w:val="10"/>
                      </w:rPr>
                    </w:pPr>
                  </w:p>
                  <w:p w:rsidR="00D45DEB" w:rsidRDefault="00D45DEB">
                    <w:pPr>
                      <w:rPr>
                        <w:sz w:val="16"/>
                      </w:rPr>
                    </w:pPr>
                  </w:p>
                  <w:p w:rsidR="00D45DEB" w:rsidRDefault="00D45DEB">
                    <w:pPr>
                      <w:rPr>
                        <w:sz w:val="16"/>
                      </w:rPr>
                    </w:pPr>
                  </w:p>
                  <w:p w:rsidR="00D45DEB" w:rsidRDefault="00D45DEB">
                    <w:pPr>
                      <w:rPr>
                        <w:sz w:val="16"/>
                      </w:rPr>
                    </w:pPr>
                    <w:r>
                      <w:rPr>
                        <w:rFonts w:hint="eastAsia"/>
                      </w:rPr>
                      <w:t>U</w:t>
                    </w:r>
                  </w:p>
                  <w:p w:rsidR="00D45DEB" w:rsidRDefault="00D45DEB">
                    <w:pPr>
                      <w:rPr>
                        <w:sz w:val="10"/>
                      </w:rPr>
                    </w:pPr>
                  </w:p>
                  <w:p w:rsidR="00D45DEB" w:rsidRDefault="00D45DEB">
                    <w:pPr>
                      <w:rPr>
                        <w:sz w:val="16"/>
                      </w:rPr>
                    </w:pPr>
                  </w:p>
                  <w:p w:rsidR="00D45DEB" w:rsidRDefault="00D45DEB">
                    <w:pPr>
                      <w:rPr>
                        <w:sz w:val="16"/>
                      </w:rPr>
                    </w:pPr>
                  </w:p>
                  <w:p w:rsidR="00D45DEB" w:rsidRDefault="00D45DEB">
                    <w:r>
                      <w:rPr>
                        <w:rFonts w:hint="eastAsia"/>
                      </w:rPr>
                      <w:t>V</w:t>
                    </w:r>
                  </w:p>
                </w:txbxContent>
              </v:textbox>
            </v:shape>
          </w:pict>
        </mc:Fallback>
      </mc:AlternateContent>
    </w:r>
    <w:r>
      <w:rPr>
        <w:rStyle w:val="PageNumber"/>
        <w:rFonts w:hint="eastAsia"/>
        <w:b w:val="0"/>
        <w:bCs w:val="0"/>
        <w:sz w:val="28"/>
      </w:rPr>
      <w:t xml:space="preserve">-  </w:t>
    </w:r>
    <w:r>
      <w:rPr>
        <w:rStyle w:val="PageNumber"/>
        <w:b w:val="0"/>
        <w:bCs w:val="0"/>
        <w:sz w:val="28"/>
      </w:rPr>
      <w:fldChar w:fldCharType="begin"/>
    </w:r>
    <w:r>
      <w:rPr>
        <w:rStyle w:val="PageNumber"/>
        <w:b w:val="0"/>
        <w:bCs w:val="0"/>
        <w:sz w:val="28"/>
      </w:rPr>
      <w:instrText xml:space="preserve"> PAGE </w:instrText>
    </w:r>
    <w:r>
      <w:rPr>
        <w:rStyle w:val="PageNumber"/>
        <w:b w:val="0"/>
        <w:bCs w:val="0"/>
        <w:sz w:val="28"/>
      </w:rPr>
      <w:fldChar w:fldCharType="separate"/>
    </w:r>
    <w:r w:rsidR="0017286C">
      <w:rPr>
        <w:rStyle w:val="PageNumber"/>
        <w:b w:val="0"/>
        <w:bCs w:val="0"/>
        <w:noProof/>
        <w:sz w:val="28"/>
      </w:rPr>
      <w:t>2</w:t>
    </w:r>
    <w:r>
      <w:rPr>
        <w:rStyle w:val="PageNumber"/>
        <w:b w:val="0"/>
        <w:bCs w:val="0"/>
        <w:sz w:val="28"/>
      </w:rPr>
      <w:fldChar w:fldCharType="end"/>
    </w:r>
    <w:r>
      <w:rPr>
        <w:rStyle w:val="PageNumber"/>
        <w:rFonts w:hint="eastAsia"/>
        <w:b w:val="0"/>
        <w:bCs w:val="0"/>
        <w:sz w:val="28"/>
      </w:rPr>
      <w:t xml:space="preserve">  -</w:t>
    </w:r>
    <w:r>
      <w:rPr>
        <w:rStyle w:val="PageNumber"/>
        <w:b w:val="0"/>
        <w:bCs w:val="0"/>
        <w:sz w:val="28"/>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DEB" w:rsidRDefault="00D45DEB">
    <w:r>
      <w:rPr>
        <w:noProof/>
        <w:lang w:val="en-US"/>
      </w:rPr>
      <mc:AlternateContent>
        <mc:Choice Requires="wps">
          <w:drawing>
            <wp:anchor distT="0" distB="0" distL="114300" distR="114300" simplePos="0" relativeHeight="251659264" behindDoc="0" locked="0" layoutInCell="1" allowOverlap="1" wp14:anchorId="34B775C9" wp14:editId="7D2E7416">
              <wp:simplePos x="0" y="0"/>
              <wp:positionH relativeFrom="page">
                <wp:posOffset>6998325</wp:posOffset>
              </wp:positionH>
              <wp:positionV relativeFrom="paragraph">
                <wp:posOffset>43180</wp:posOffset>
              </wp:positionV>
              <wp:extent cx="629920" cy="10099675"/>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5DEB" w:rsidRDefault="00D45DEB" w:rsidP="008244DC">
                          <w:pPr>
                            <w:ind w:left="-90"/>
                          </w:pPr>
                          <w:r>
                            <w:rPr>
                              <w:rFonts w:hint="eastAsia"/>
                            </w:rPr>
                            <w:t>A</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pStyle w:val="Heading6"/>
                            <w:ind w:left="-90"/>
                          </w:pPr>
                          <w:r>
                            <w:rPr>
                              <w:rFonts w:hint="eastAsia"/>
                            </w:rPr>
                            <w:t>B</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C</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pPr>
                          <w:r>
                            <w:rPr>
                              <w:rFonts w:hint="eastAsia"/>
                            </w:rPr>
                            <w:t>D</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E</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pPr>
                          <w:r>
                            <w:rPr>
                              <w:rFonts w:hint="eastAsia"/>
                            </w:rPr>
                            <w:t>F</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G</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H</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I</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J</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K</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L</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M</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N</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O</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P</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Q</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R</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S</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T</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U</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775C9" id="_x0000_t202" coordsize="21600,21600" o:spt="202" path="m,l,21600r21600,l21600,xe">
              <v:stroke joinstyle="miter"/>
              <v:path gradientshapeok="t" o:connecttype="rect"/>
            </v:shapetype>
            <v:shape id="Text Box 13" o:spid="_x0000_s1028" type="#_x0000_t202" style="position:absolute;left:0;text-align:left;margin-left:551.05pt;margin-top:3.4pt;width:49.6pt;height:79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BthQIAABg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" stroked="f">
              <v:textbox>
                <w:txbxContent>
                  <w:p w:rsidR="00D45DEB" w:rsidRDefault="00D45DEB" w:rsidP="008244DC">
                    <w:pPr>
                      <w:ind w:left="-90"/>
                    </w:pPr>
                    <w:r>
                      <w:rPr>
                        <w:rFonts w:hint="eastAsia"/>
                      </w:rPr>
                      <w:t>A</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pStyle w:val="Heading6"/>
                      <w:ind w:left="-90"/>
                    </w:pPr>
                    <w:r>
                      <w:rPr>
                        <w:rFonts w:hint="eastAsia"/>
                      </w:rPr>
                      <w:t>B</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C</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pPr>
                    <w:r>
                      <w:rPr>
                        <w:rFonts w:hint="eastAsia"/>
                      </w:rPr>
                      <w:t>D</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E</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pPr>
                    <w:r>
                      <w:rPr>
                        <w:rFonts w:hint="eastAsia"/>
                      </w:rPr>
                      <w:t>F</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G</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H</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I</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J</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K</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L</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M</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N</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O</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P</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Q</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R</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S</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T</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rPr>
                        <w:sz w:val="16"/>
                      </w:rPr>
                    </w:pPr>
                    <w:r>
                      <w:rPr>
                        <w:rFonts w:hint="eastAsia"/>
                      </w:rPr>
                      <w:t>U</w:t>
                    </w:r>
                  </w:p>
                  <w:p w:rsidR="00D45DEB" w:rsidRDefault="00D45DEB" w:rsidP="008244DC">
                    <w:pPr>
                      <w:ind w:left="-90"/>
                      <w:rPr>
                        <w:sz w:val="10"/>
                      </w:rPr>
                    </w:pPr>
                  </w:p>
                  <w:p w:rsidR="00D45DEB" w:rsidRDefault="00D45DEB" w:rsidP="008244DC">
                    <w:pPr>
                      <w:ind w:left="-90"/>
                      <w:rPr>
                        <w:sz w:val="16"/>
                      </w:rPr>
                    </w:pPr>
                  </w:p>
                  <w:p w:rsidR="00D45DEB" w:rsidRDefault="00D45DEB" w:rsidP="008244DC">
                    <w:pPr>
                      <w:ind w:left="-90"/>
                      <w:rPr>
                        <w:sz w:val="16"/>
                      </w:rPr>
                    </w:pPr>
                  </w:p>
                  <w:p w:rsidR="00D45DEB" w:rsidRDefault="00D45DEB" w:rsidP="008244DC">
                    <w:pPr>
                      <w:ind w:left="-90"/>
                    </w:pPr>
                    <w:r>
                      <w:rPr>
                        <w:rFonts w:hint="eastAsia"/>
                      </w:rPr>
                      <w:t>V</w:t>
                    </w:r>
                  </w:p>
                </w:txbxContent>
              </v:textbox>
              <w10:wrap anchorx="page"/>
            </v:shape>
          </w:pict>
        </mc:Fallback>
      </mc:AlternateContent>
    </w:r>
    <w:r>
      <w:rPr>
        <w:noProof/>
        <w:lang w:val="en-US"/>
      </w:rPr>
      <mc:AlternateContent>
        <mc:Choice Requires="wps">
          <w:drawing>
            <wp:anchor distT="0" distB="0" distL="114300" distR="114300" simplePos="0" relativeHeight="251658240" behindDoc="0" locked="0" layoutInCell="1" allowOverlap="1" wp14:anchorId="49C31674" wp14:editId="5C413243">
              <wp:simplePos x="0" y="0"/>
              <wp:positionH relativeFrom="column">
                <wp:posOffset>-909955</wp:posOffset>
              </wp:positionH>
              <wp:positionV relativeFrom="paragraph">
                <wp:posOffset>45720</wp:posOffset>
              </wp:positionV>
              <wp:extent cx="405765" cy="10097135"/>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5DEB" w:rsidRDefault="00D45DEB" w:rsidP="0087327F">
                          <w:r>
                            <w:rPr>
                              <w:rFonts w:hint="eastAsia"/>
                            </w:rPr>
                            <w:t>A</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r>
                            <w:rPr>
                              <w:rFonts w:hint="eastAsia"/>
                            </w:rPr>
                            <w:t>B</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C</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r>
                            <w:rPr>
                              <w:rFonts w:hint="eastAsia"/>
                            </w:rPr>
                            <w:t>D</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E</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r>
                            <w:rPr>
                              <w:rFonts w:hint="eastAsia"/>
                            </w:rPr>
                            <w:t>F</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G</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H</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I</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J</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K</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L</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M</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N</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O</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P</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Q</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R</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S</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T</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U</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31674" id="Text Box 12" o:spid="_x0000_s1029" type="#_x0000_t202" style="position:absolute;left:0;text-align:left;margin-left:-71.65pt;margin-top:3.6pt;width:31.95pt;height:79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" stroked="f">
              <v:textbox>
                <w:txbxContent>
                  <w:p w:rsidR="00D45DEB" w:rsidRDefault="00D45DEB" w:rsidP="0087327F">
                    <w:r>
                      <w:rPr>
                        <w:rFonts w:hint="eastAsia"/>
                      </w:rPr>
                      <w:t>A</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r>
                      <w:rPr>
                        <w:rFonts w:hint="eastAsia"/>
                      </w:rPr>
                      <w:t>B</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C</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r>
                      <w:rPr>
                        <w:rFonts w:hint="eastAsia"/>
                      </w:rPr>
                      <w:t>D</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E</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r>
                      <w:rPr>
                        <w:rFonts w:hint="eastAsia"/>
                      </w:rPr>
                      <w:t>F</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G</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H</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I</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J</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K</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L</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M</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N</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O</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P</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Q</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R</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S</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T</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pPr>
                      <w:rPr>
                        <w:sz w:val="16"/>
                      </w:rPr>
                    </w:pPr>
                    <w:r>
                      <w:rPr>
                        <w:rFonts w:hint="eastAsia"/>
                      </w:rPr>
                      <w:t>U</w:t>
                    </w:r>
                  </w:p>
                  <w:p w:rsidR="00D45DEB" w:rsidRDefault="00D45DEB" w:rsidP="0087327F">
                    <w:pPr>
                      <w:rPr>
                        <w:sz w:val="10"/>
                      </w:rPr>
                    </w:pPr>
                  </w:p>
                  <w:p w:rsidR="00D45DEB" w:rsidRDefault="00D45DEB" w:rsidP="0087327F">
                    <w:pPr>
                      <w:rPr>
                        <w:sz w:val="16"/>
                      </w:rPr>
                    </w:pPr>
                  </w:p>
                  <w:p w:rsidR="00D45DEB" w:rsidRDefault="00D45DEB" w:rsidP="0087327F">
                    <w:pPr>
                      <w:rPr>
                        <w:sz w:val="16"/>
                      </w:rPr>
                    </w:pPr>
                  </w:p>
                  <w:p w:rsidR="00D45DEB" w:rsidRDefault="00D45DEB" w:rsidP="0087327F">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807C993C"/>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13B778D7"/>
    <w:multiLevelType w:val="hybridMultilevel"/>
    <w:tmpl w:val="31F63BAC"/>
    <w:lvl w:ilvl="0" w:tplc="71D2F656">
      <w:start w:val="1"/>
      <w:numFmt w:val="decimal"/>
      <w:pStyle w:val="T-Draft"/>
      <w:lvlText w:val="%1."/>
      <w:lvlJc w:val="left"/>
      <w:pPr>
        <w:ind w:left="0" w:firstLine="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C16A6"/>
    <w:multiLevelType w:val="multilevel"/>
    <w:tmpl w:val="F8883D02"/>
    <w:numStyleLink w:val="1i"/>
  </w:abstractNum>
  <w:abstractNum w:abstractNumId="3" w15:restartNumberingAfterBreak="0">
    <w:nsid w:val="22DD2546"/>
    <w:multiLevelType w:val="multilevel"/>
    <w:tmpl w:val="84E4A6E2"/>
    <w:styleLink w:val="Iia"/>
    <w:lvl w:ilvl="0">
      <w:start w:val="1"/>
      <w:numFmt w:val="upperRoman"/>
      <w:lvlText w:val="(%1)"/>
      <w:lvlJc w:val="right"/>
      <w:pPr>
        <w:tabs>
          <w:tab w:val="num" w:pos="1440"/>
        </w:tabs>
        <w:ind w:left="144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Letter"/>
      <w:lvlText w:val="(%3)"/>
      <w:lvlJc w:val="right"/>
      <w:pPr>
        <w:tabs>
          <w:tab w:val="num" w:pos="2880"/>
        </w:tabs>
        <w:ind w:left="28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2A6E7D64"/>
    <w:multiLevelType w:val="hybridMultilevel"/>
    <w:tmpl w:val="6116E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C6110"/>
    <w:multiLevelType w:val="hybridMultilevel"/>
    <w:tmpl w:val="F844D276"/>
    <w:lvl w:ilvl="0" w:tplc="71380478">
      <w:start w:val="1"/>
      <w:numFmt w:val="lowerLetter"/>
      <w:lvlText w:val="(%1)"/>
      <w:lvlJc w:val="left"/>
      <w:pPr>
        <w:tabs>
          <w:tab w:val="num" w:pos="1778"/>
        </w:tabs>
        <w:ind w:left="1778" w:hanging="360"/>
      </w:pPr>
      <w:rPr>
        <w:rFonts w:hint="eastAsia"/>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B6788"/>
    <w:multiLevelType w:val="multilevel"/>
    <w:tmpl w:val="7C64A4D4"/>
    <w:styleLink w:val="1a"/>
    <w:lvl w:ilvl="0">
      <w:start w:val="1"/>
      <w:numFmt w:val="decimal"/>
      <w:lvlText w:val="(%1)"/>
      <w:lvlJc w:val="right"/>
      <w:pPr>
        <w:tabs>
          <w:tab w:val="num" w:pos="1440"/>
        </w:tabs>
        <w:ind w:left="1440" w:hanging="432"/>
      </w:pPr>
      <w:rPr>
        <w:rFonts w:hint="eastAsia"/>
      </w:rPr>
    </w:lvl>
    <w:lvl w:ilvl="1">
      <w:start w:val="1"/>
      <w:numFmt w:val="lowerLetter"/>
      <w:lvlText w:val="(%2)"/>
      <w:lvlJc w:val="right"/>
      <w:pPr>
        <w:tabs>
          <w:tab w:val="num" w:pos="2160"/>
        </w:tabs>
        <w:ind w:left="2160" w:hanging="288"/>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39967D59"/>
    <w:multiLevelType w:val="multilevel"/>
    <w:tmpl w:val="C1E86EA0"/>
    <w:lvl w:ilvl="0">
      <w:start w:val="1"/>
      <w:numFmt w:val="decimal"/>
      <w:pStyle w:val="Sublevel11"/>
      <w:lvlText w:val="%1."/>
      <w:lvlJc w:val="left"/>
      <w:pPr>
        <w:ind w:left="567" w:hanging="567"/>
      </w:pPr>
      <w:rPr>
        <w:rFonts w:hint="default"/>
      </w:rPr>
    </w:lvl>
    <w:lvl w:ilvl="1">
      <w:start w:val="1"/>
      <w:numFmt w:val="decimal"/>
      <w:pStyle w:val="Sublevel2-a"/>
      <w:lvlText w:val="(%2)"/>
      <w:lvlJc w:val="left"/>
      <w:pPr>
        <w:ind w:left="737" w:hanging="510"/>
      </w:pPr>
      <w:rPr>
        <w:rFonts w:hint="default"/>
      </w:rPr>
    </w:lvl>
    <w:lvl w:ilvl="2">
      <w:start w:val="1"/>
      <w:numFmt w:val="lowerLetter"/>
      <w:pStyle w:val="Sublevel3i"/>
      <w:lvlText w:val="(%3)"/>
      <w:lvlJc w:val="left"/>
      <w:pPr>
        <w:tabs>
          <w:tab w:val="num" w:pos="1361"/>
        </w:tabs>
        <w:ind w:left="1077" w:hanging="510"/>
      </w:pPr>
      <w:rPr>
        <w:rFonts w:hint="default"/>
      </w:rPr>
    </w:lvl>
    <w:lvl w:ilvl="3">
      <w:start w:val="1"/>
      <w:numFmt w:val="lowerRoman"/>
      <w:pStyle w:val="Sublevel4"/>
      <w:lvlText w:val="(%4)"/>
      <w:lvlJc w:val="left"/>
      <w:pPr>
        <w:tabs>
          <w:tab w:val="num" w:pos="1871"/>
        </w:tabs>
        <w:ind w:left="1418" w:hanging="51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9" w15:restartNumberingAfterBreak="0">
    <w:nsid w:val="47ED229B"/>
    <w:multiLevelType w:val="multilevel"/>
    <w:tmpl w:val="F8883D02"/>
    <w:styleLink w:val="1i"/>
    <w:lvl w:ilvl="0">
      <w:start w:val="1"/>
      <w:numFmt w:val="decimal"/>
      <w:lvlText w:val="(%1)"/>
      <w:lvlJc w:val="right"/>
      <w:pPr>
        <w:tabs>
          <w:tab w:val="num" w:pos="1260"/>
        </w:tabs>
        <w:ind w:left="126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4896745D"/>
    <w:multiLevelType w:val="hybridMultilevel"/>
    <w:tmpl w:val="C4FA1DF6"/>
    <w:lvl w:ilvl="0" w:tplc="71380478">
      <w:start w:val="1"/>
      <w:numFmt w:val="lowerLetter"/>
      <w:lvlText w:val="(%1)"/>
      <w:lvlJc w:val="left"/>
      <w:pPr>
        <w:tabs>
          <w:tab w:val="num" w:pos="1440"/>
        </w:tabs>
        <w:ind w:left="1440" w:hanging="360"/>
      </w:pPr>
      <w:rPr>
        <w:rFonts w:hint="eastAsia"/>
        <w:i w:val="0"/>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1" w15:restartNumberingAfterBreak="0">
    <w:nsid w:val="4B485ADB"/>
    <w:multiLevelType w:val="multilevel"/>
    <w:tmpl w:val="7C64A4D4"/>
    <w:numStyleLink w:val="1a"/>
  </w:abstractNum>
  <w:abstractNum w:abstractNumId="12" w15:restartNumberingAfterBreak="0">
    <w:nsid w:val="4F70399F"/>
    <w:multiLevelType w:val="multilevel"/>
    <w:tmpl w:val="7C64A4D4"/>
    <w:numStyleLink w:val="1a"/>
  </w:abstractNum>
  <w:abstractNum w:abstractNumId="13" w15:restartNumberingAfterBreak="0">
    <w:nsid w:val="56D90807"/>
    <w:multiLevelType w:val="multilevel"/>
    <w:tmpl w:val="84E4A6E2"/>
    <w:numStyleLink w:val="Iia"/>
  </w:abstractNum>
  <w:abstractNum w:abstractNumId="14" w15:restartNumberingAfterBreak="0">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abstractNum w:abstractNumId="15" w15:restartNumberingAfterBreak="0">
    <w:nsid w:val="6D522A80"/>
    <w:multiLevelType w:val="hybridMultilevel"/>
    <w:tmpl w:val="3BB61D30"/>
    <w:lvl w:ilvl="0" w:tplc="C3B6C4FC">
      <w:start w:val="1"/>
      <w:numFmt w:val="decimal"/>
      <w:lvlText w:val="%1."/>
      <w:lvlJc w:val="left"/>
      <w:pPr>
        <w:ind w:left="1637" w:hanging="360"/>
      </w:pPr>
      <w:rPr>
        <w:rFonts w:ascii="Times New Roman" w:hAnsi="Times New Roman" w:cs="Times New Roman" w:hint="default"/>
        <w:b w:val="0"/>
        <w:i w:val="0"/>
        <w:sz w:val="28"/>
        <w:szCs w:val="28"/>
      </w:rPr>
    </w:lvl>
    <w:lvl w:ilvl="1" w:tplc="1D4C3758">
      <w:start w:val="1"/>
      <w:numFmt w:val="lowerRoman"/>
      <w:lvlText w:val="(%2)"/>
      <w:lvlJc w:val="left"/>
      <w:pPr>
        <w:tabs>
          <w:tab w:val="num" w:pos="1778"/>
        </w:tabs>
        <w:ind w:left="1778" w:hanging="360"/>
      </w:pPr>
      <w:rPr>
        <w:rFonts w:hint="eastAsia"/>
        <w:i w:val="0"/>
      </w:rPr>
    </w:lvl>
    <w:lvl w:ilvl="2" w:tplc="479C8B24">
      <w:start w:val="1"/>
      <w:numFmt w:val="lowerRoman"/>
      <w:lvlText w:val="%3."/>
      <w:lvlJc w:val="right"/>
      <w:pPr>
        <w:tabs>
          <w:tab w:val="num" w:pos="2160"/>
        </w:tabs>
        <w:ind w:left="2160" w:hanging="180"/>
      </w:pPr>
      <w:rPr>
        <w:rFonts w:hint="default"/>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8"/>
  </w:num>
  <w:num w:numId="3">
    <w:abstractNumId w:val="0"/>
  </w:num>
  <w:num w:numId="4">
    <w:abstractNumId w:val="1"/>
  </w:num>
  <w:num w:numId="5">
    <w:abstractNumId w:val="7"/>
  </w:num>
  <w:num w:numId="6">
    <w:abstractNumId w:val="6"/>
  </w:num>
  <w:num w:numId="7">
    <w:abstractNumId w:val="11"/>
  </w:num>
  <w:num w:numId="8">
    <w:abstractNumId w:val="9"/>
  </w:num>
  <w:num w:numId="9">
    <w:abstractNumId w:val="2"/>
  </w:num>
  <w:num w:numId="10">
    <w:abstractNumId w:val="3"/>
  </w:num>
  <w:num w:numId="11">
    <w:abstractNumId w:val="13"/>
  </w:num>
  <w:num w:numId="12">
    <w:abstractNumId w:val="12"/>
  </w:num>
  <w:num w:numId="13">
    <w:abstractNumId w:val="15"/>
  </w:num>
  <w:num w:numId="14">
    <w:abstractNumId w:val="5"/>
  </w:num>
  <w:num w:numId="15">
    <w:abstractNumId w:val="10"/>
  </w:num>
  <w:num w:numId="1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58"/>
    <w:rsid w:val="00000F3A"/>
    <w:rsid w:val="00003A46"/>
    <w:rsid w:val="000050B7"/>
    <w:rsid w:val="0000516C"/>
    <w:rsid w:val="00011A8A"/>
    <w:rsid w:val="00012F63"/>
    <w:rsid w:val="00013BA4"/>
    <w:rsid w:val="000143C6"/>
    <w:rsid w:val="000166B7"/>
    <w:rsid w:val="000172B7"/>
    <w:rsid w:val="00023E23"/>
    <w:rsid w:val="00023F38"/>
    <w:rsid w:val="00030B0F"/>
    <w:rsid w:val="00033154"/>
    <w:rsid w:val="00033611"/>
    <w:rsid w:val="0003606D"/>
    <w:rsid w:val="000368AD"/>
    <w:rsid w:val="0003790E"/>
    <w:rsid w:val="00040A9E"/>
    <w:rsid w:val="000431AB"/>
    <w:rsid w:val="00043D1D"/>
    <w:rsid w:val="00046869"/>
    <w:rsid w:val="00046E83"/>
    <w:rsid w:val="000521F3"/>
    <w:rsid w:val="00052CFE"/>
    <w:rsid w:val="00056EA1"/>
    <w:rsid w:val="000606C7"/>
    <w:rsid w:val="000654E9"/>
    <w:rsid w:val="00071EB1"/>
    <w:rsid w:val="0007218A"/>
    <w:rsid w:val="00074353"/>
    <w:rsid w:val="000753E3"/>
    <w:rsid w:val="0007598E"/>
    <w:rsid w:val="00075DD8"/>
    <w:rsid w:val="00081268"/>
    <w:rsid w:val="0008180B"/>
    <w:rsid w:val="00081CC6"/>
    <w:rsid w:val="00086337"/>
    <w:rsid w:val="00086827"/>
    <w:rsid w:val="0008745D"/>
    <w:rsid w:val="00090D47"/>
    <w:rsid w:val="000929CE"/>
    <w:rsid w:val="00092DF8"/>
    <w:rsid w:val="00093882"/>
    <w:rsid w:val="000938F2"/>
    <w:rsid w:val="00093F41"/>
    <w:rsid w:val="00095238"/>
    <w:rsid w:val="000956EE"/>
    <w:rsid w:val="0009741D"/>
    <w:rsid w:val="000A0B09"/>
    <w:rsid w:val="000A402C"/>
    <w:rsid w:val="000A6DAF"/>
    <w:rsid w:val="000A7E7F"/>
    <w:rsid w:val="000A7FDA"/>
    <w:rsid w:val="000B09F3"/>
    <w:rsid w:val="000B2889"/>
    <w:rsid w:val="000B3B14"/>
    <w:rsid w:val="000B7790"/>
    <w:rsid w:val="000B7B03"/>
    <w:rsid w:val="000B7FAC"/>
    <w:rsid w:val="000C14B9"/>
    <w:rsid w:val="000C1EC8"/>
    <w:rsid w:val="000C3068"/>
    <w:rsid w:val="000C4FAB"/>
    <w:rsid w:val="000C6360"/>
    <w:rsid w:val="000C6F10"/>
    <w:rsid w:val="000C7111"/>
    <w:rsid w:val="000C792C"/>
    <w:rsid w:val="000C7938"/>
    <w:rsid w:val="000C7B58"/>
    <w:rsid w:val="000C7E83"/>
    <w:rsid w:val="000D0874"/>
    <w:rsid w:val="000D3254"/>
    <w:rsid w:val="000D50D6"/>
    <w:rsid w:val="000D7D32"/>
    <w:rsid w:val="000E1E5B"/>
    <w:rsid w:val="000E54F7"/>
    <w:rsid w:val="000E6F63"/>
    <w:rsid w:val="000F01F3"/>
    <w:rsid w:val="000F1532"/>
    <w:rsid w:val="000F1C03"/>
    <w:rsid w:val="000F329B"/>
    <w:rsid w:val="000F5016"/>
    <w:rsid w:val="000F6E97"/>
    <w:rsid w:val="001004CD"/>
    <w:rsid w:val="001035BD"/>
    <w:rsid w:val="001067FC"/>
    <w:rsid w:val="00110321"/>
    <w:rsid w:val="00111020"/>
    <w:rsid w:val="00111818"/>
    <w:rsid w:val="00111D70"/>
    <w:rsid w:val="001205FB"/>
    <w:rsid w:val="001228A6"/>
    <w:rsid w:val="00127C14"/>
    <w:rsid w:val="001301F9"/>
    <w:rsid w:val="00130BA6"/>
    <w:rsid w:val="00130E04"/>
    <w:rsid w:val="0013160D"/>
    <w:rsid w:val="001400C1"/>
    <w:rsid w:val="0014211A"/>
    <w:rsid w:val="0014546D"/>
    <w:rsid w:val="00145BA1"/>
    <w:rsid w:val="00153291"/>
    <w:rsid w:val="00154982"/>
    <w:rsid w:val="00156AA2"/>
    <w:rsid w:val="001605E1"/>
    <w:rsid w:val="00162B8D"/>
    <w:rsid w:val="00162DC3"/>
    <w:rsid w:val="00163B93"/>
    <w:rsid w:val="00164109"/>
    <w:rsid w:val="001719B8"/>
    <w:rsid w:val="00172426"/>
    <w:rsid w:val="0017286C"/>
    <w:rsid w:val="00176E3C"/>
    <w:rsid w:val="00177A4F"/>
    <w:rsid w:val="00183A1A"/>
    <w:rsid w:val="00183C3D"/>
    <w:rsid w:val="00184EF7"/>
    <w:rsid w:val="00185002"/>
    <w:rsid w:val="00185E9D"/>
    <w:rsid w:val="001874F2"/>
    <w:rsid w:val="00193703"/>
    <w:rsid w:val="001A09DB"/>
    <w:rsid w:val="001A131E"/>
    <w:rsid w:val="001A45CC"/>
    <w:rsid w:val="001A4E63"/>
    <w:rsid w:val="001A5794"/>
    <w:rsid w:val="001A5D61"/>
    <w:rsid w:val="001B319A"/>
    <w:rsid w:val="001B3AFE"/>
    <w:rsid w:val="001B7BA8"/>
    <w:rsid w:val="001C0085"/>
    <w:rsid w:val="001C1CAA"/>
    <w:rsid w:val="001C1EB9"/>
    <w:rsid w:val="001C323E"/>
    <w:rsid w:val="001C5348"/>
    <w:rsid w:val="001C53FC"/>
    <w:rsid w:val="001C5D43"/>
    <w:rsid w:val="001D1B41"/>
    <w:rsid w:val="001D2208"/>
    <w:rsid w:val="001D3F8B"/>
    <w:rsid w:val="001D6F2B"/>
    <w:rsid w:val="001D70BC"/>
    <w:rsid w:val="001E0776"/>
    <w:rsid w:val="001E1E01"/>
    <w:rsid w:val="001E20A9"/>
    <w:rsid w:val="001E2C29"/>
    <w:rsid w:val="001E2DEA"/>
    <w:rsid w:val="001E6D73"/>
    <w:rsid w:val="001E75AF"/>
    <w:rsid w:val="001F08AF"/>
    <w:rsid w:val="002045C7"/>
    <w:rsid w:val="0020514F"/>
    <w:rsid w:val="0020749D"/>
    <w:rsid w:val="002137A7"/>
    <w:rsid w:val="00216DF9"/>
    <w:rsid w:val="0021759F"/>
    <w:rsid w:val="00221E08"/>
    <w:rsid w:val="00223579"/>
    <w:rsid w:val="00223F1A"/>
    <w:rsid w:val="00231318"/>
    <w:rsid w:val="002319FD"/>
    <w:rsid w:val="00231AB7"/>
    <w:rsid w:val="00233B8E"/>
    <w:rsid w:val="00235458"/>
    <w:rsid w:val="00235E96"/>
    <w:rsid w:val="002371D3"/>
    <w:rsid w:val="00240A52"/>
    <w:rsid w:val="002414F4"/>
    <w:rsid w:val="00242EDA"/>
    <w:rsid w:val="0024484E"/>
    <w:rsid w:val="002448F8"/>
    <w:rsid w:val="00245971"/>
    <w:rsid w:val="00245F64"/>
    <w:rsid w:val="00246737"/>
    <w:rsid w:val="00251491"/>
    <w:rsid w:val="00252F3E"/>
    <w:rsid w:val="00260E1F"/>
    <w:rsid w:val="0026167D"/>
    <w:rsid w:val="00262F90"/>
    <w:rsid w:val="00265999"/>
    <w:rsid w:val="00265A1E"/>
    <w:rsid w:val="002670F4"/>
    <w:rsid w:val="002672D8"/>
    <w:rsid w:val="002700B9"/>
    <w:rsid w:val="002707DD"/>
    <w:rsid w:val="00271E82"/>
    <w:rsid w:val="002720EB"/>
    <w:rsid w:val="0027797E"/>
    <w:rsid w:val="00284B86"/>
    <w:rsid w:val="00284D2D"/>
    <w:rsid w:val="00292999"/>
    <w:rsid w:val="002970BA"/>
    <w:rsid w:val="002979E3"/>
    <w:rsid w:val="00297C34"/>
    <w:rsid w:val="002A58BA"/>
    <w:rsid w:val="002A6A79"/>
    <w:rsid w:val="002B39A2"/>
    <w:rsid w:val="002B6959"/>
    <w:rsid w:val="002B7DCB"/>
    <w:rsid w:val="002C283B"/>
    <w:rsid w:val="002C3396"/>
    <w:rsid w:val="002C5B01"/>
    <w:rsid w:val="002C6BE1"/>
    <w:rsid w:val="002C7444"/>
    <w:rsid w:val="002D13DE"/>
    <w:rsid w:val="002D589D"/>
    <w:rsid w:val="002E2127"/>
    <w:rsid w:val="002E3394"/>
    <w:rsid w:val="002E4DA7"/>
    <w:rsid w:val="002E5389"/>
    <w:rsid w:val="002E5D20"/>
    <w:rsid w:val="002F0749"/>
    <w:rsid w:val="002F177E"/>
    <w:rsid w:val="002F2D62"/>
    <w:rsid w:val="002F557F"/>
    <w:rsid w:val="003162A0"/>
    <w:rsid w:val="00317703"/>
    <w:rsid w:val="003222DD"/>
    <w:rsid w:val="00333012"/>
    <w:rsid w:val="00334383"/>
    <w:rsid w:val="00334A07"/>
    <w:rsid w:val="00335AC9"/>
    <w:rsid w:val="00335EDC"/>
    <w:rsid w:val="003364FE"/>
    <w:rsid w:val="00345F4E"/>
    <w:rsid w:val="003465AE"/>
    <w:rsid w:val="00347823"/>
    <w:rsid w:val="003515C1"/>
    <w:rsid w:val="00352CF9"/>
    <w:rsid w:val="00353101"/>
    <w:rsid w:val="00353898"/>
    <w:rsid w:val="00354F4B"/>
    <w:rsid w:val="003555EE"/>
    <w:rsid w:val="003557F5"/>
    <w:rsid w:val="00355E03"/>
    <w:rsid w:val="0035699D"/>
    <w:rsid w:val="003616DE"/>
    <w:rsid w:val="0036364A"/>
    <w:rsid w:val="00363FC1"/>
    <w:rsid w:val="00365632"/>
    <w:rsid w:val="003672F7"/>
    <w:rsid w:val="00370ED1"/>
    <w:rsid w:val="00376F65"/>
    <w:rsid w:val="00384387"/>
    <w:rsid w:val="003867DB"/>
    <w:rsid w:val="00386E58"/>
    <w:rsid w:val="00390EC6"/>
    <w:rsid w:val="00395084"/>
    <w:rsid w:val="003963DF"/>
    <w:rsid w:val="00396536"/>
    <w:rsid w:val="00396610"/>
    <w:rsid w:val="00397A0F"/>
    <w:rsid w:val="003A016D"/>
    <w:rsid w:val="003A13C4"/>
    <w:rsid w:val="003A2780"/>
    <w:rsid w:val="003A33B7"/>
    <w:rsid w:val="003A3D1A"/>
    <w:rsid w:val="003A40C2"/>
    <w:rsid w:val="003A6806"/>
    <w:rsid w:val="003A7ABB"/>
    <w:rsid w:val="003B186B"/>
    <w:rsid w:val="003B5CE4"/>
    <w:rsid w:val="003C07C5"/>
    <w:rsid w:val="003C63EA"/>
    <w:rsid w:val="003C6FBA"/>
    <w:rsid w:val="003C7EFF"/>
    <w:rsid w:val="003D041F"/>
    <w:rsid w:val="003D0BA3"/>
    <w:rsid w:val="003D0FE6"/>
    <w:rsid w:val="003D241B"/>
    <w:rsid w:val="003E201D"/>
    <w:rsid w:val="003E24A6"/>
    <w:rsid w:val="003E41BC"/>
    <w:rsid w:val="003E5369"/>
    <w:rsid w:val="003E5DB2"/>
    <w:rsid w:val="003E61FA"/>
    <w:rsid w:val="003F3729"/>
    <w:rsid w:val="003F55FD"/>
    <w:rsid w:val="004024B9"/>
    <w:rsid w:val="00407E55"/>
    <w:rsid w:val="004102AB"/>
    <w:rsid w:val="004111C2"/>
    <w:rsid w:val="00411885"/>
    <w:rsid w:val="0042007A"/>
    <w:rsid w:val="004209A5"/>
    <w:rsid w:val="00420FC9"/>
    <w:rsid w:val="00422106"/>
    <w:rsid w:val="004226EE"/>
    <w:rsid w:val="004250AE"/>
    <w:rsid w:val="00431BEE"/>
    <w:rsid w:val="00434EEB"/>
    <w:rsid w:val="004409C9"/>
    <w:rsid w:val="00441132"/>
    <w:rsid w:val="004421FA"/>
    <w:rsid w:val="00447189"/>
    <w:rsid w:val="004517B9"/>
    <w:rsid w:val="00452CF7"/>
    <w:rsid w:val="004540B7"/>
    <w:rsid w:val="00456A4A"/>
    <w:rsid w:val="00461E37"/>
    <w:rsid w:val="00464A2D"/>
    <w:rsid w:val="004656A3"/>
    <w:rsid w:val="004707D8"/>
    <w:rsid w:val="00472117"/>
    <w:rsid w:val="004731A5"/>
    <w:rsid w:val="004735A9"/>
    <w:rsid w:val="00473FB5"/>
    <w:rsid w:val="00474B4E"/>
    <w:rsid w:val="00475A61"/>
    <w:rsid w:val="0047735B"/>
    <w:rsid w:val="0047790F"/>
    <w:rsid w:val="0048549E"/>
    <w:rsid w:val="0048567E"/>
    <w:rsid w:val="00486E58"/>
    <w:rsid w:val="00492775"/>
    <w:rsid w:val="00492AD4"/>
    <w:rsid w:val="00492E6F"/>
    <w:rsid w:val="00492FF8"/>
    <w:rsid w:val="00493489"/>
    <w:rsid w:val="00494064"/>
    <w:rsid w:val="00496D98"/>
    <w:rsid w:val="004A20B2"/>
    <w:rsid w:val="004A3C6F"/>
    <w:rsid w:val="004B0862"/>
    <w:rsid w:val="004B1B72"/>
    <w:rsid w:val="004B3442"/>
    <w:rsid w:val="004B398C"/>
    <w:rsid w:val="004C0FE9"/>
    <w:rsid w:val="004C1BEF"/>
    <w:rsid w:val="004C2CCD"/>
    <w:rsid w:val="004C3F3B"/>
    <w:rsid w:val="004C4009"/>
    <w:rsid w:val="004C5A44"/>
    <w:rsid w:val="004D12FA"/>
    <w:rsid w:val="004D284B"/>
    <w:rsid w:val="004D4729"/>
    <w:rsid w:val="004D544D"/>
    <w:rsid w:val="004D71BD"/>
    <w:rsid w:val="004D71D5"/>
    <w:rsid w:val="004E1233"/>
    <w:rsid w:val="004E14F8"/>
    <w:rsid w:val="004E1A7C"/>
    <w:rsid w:val="004E590B"/>
    <w:rsid w:val="004E62C0"/>
    <w:rsid w:val="004E65A9"/>
    <w:rsid w:val="004F0333"/>
    <w:rsid w:val="004F068C"/>
    <w:rsid w:val="004F5E88"/>
    <w:rsid w:val="004F7EE5"/>
    <w:rsid w:val="00505CA8"/>
    <w:rsid w:val="00506CAA"/>
    <w:rsid w:val="005076C4"/>
    <w:rsid w:val="00512ADF"/>
    <w:rsid w:val="0051486F"/>
    <w:rsid w:val="005157F1"/>
    <w:rsid w:val="00515E9B"/>
    <w:rsid w:val="0051666A"/>
    <w:rsid w:val="00520423"/>
    <w:rsid w:val="00520771"/>
    <w:rsid w:val="00522E90"/>
    <w:rsid w:val="0052743E"/>
    <w:rsid w:val="005304A8"/>
    <w:rsid w:val="00532E36"/>
    <w:rsid w:val="00537355"/>
    <w:rsid w:val="00537C1E"/>
    <w:rsid w:val="00540ED4"/>
    <w:rsid w:val="005420CB"/>
    <w:rsid w:val="00543A6D"/>
    <w:rsid w:val="00544DA7"/>
    <w:rsid w:val="00545421"/>
    <w:rsid w:val="005463B2"/>
    <w:rsid w:val="00550672"/>
    <w:rsid w:val="00550D1F"/>
    <w:rsid w:val="00557722"/>
    <w:rsid w:val="005578C0"/>
    <w:rsid w:val="00560A9D"/>
    <w:rsid w:val="00561A1B"/>
    <w:rsid w:val="0056302A"/>
    <w:rsid w:val="0056551F"/>
    <w:rsid w:val="00566CD8"/>
    <w:rsid w:val="00570B66"/>
    <w:rsid w:val="00570E7C"/>
    <w:rsid w:val="00571C6F"/>
    <w:rsid w:val="00571D6A"/>
    <w:rsid w:val="0057224A"/>
    <w:rsid w:val="00574D2B"/>
    <w:rsid w:val="0057593B"/>
    <w:rsid w:val="0057628A"/>
    <w:rsid w:val="005778AF"/>
    <w:rsid w:val="00580D01"/>
    <w:rsid w:val="005858D2"/>
    <w:rsid w:val="0058667F"/>
    <w:rsid w:val="00586FC8"/>
    <w:rsid w:val="0058711C"/>
    <w:rsid w:val="00587DA0"/>
    <w:rsid w:val="005939D5"/>
    <w:rsid w:val="00593C0A"/>
    <w:rsid w:val="00597495"/>
    <w:rsid w:val="005A1417"/>
    <w:rsid w:val="005A5A1A"/>
    <w:rsid w:val="005A5AA0"/>
    <w:rsid w:val="005B1326"/>
    <w:rsid w:val="005B1E73"/>
    <w:rsid w:val="005B295A"/>
    <w:rsid w:val="005C2AD4"/>
    <w:rsid w:val="005C3266"/>
    <w:rsid w:val="005C3420"/>
    <w:rsid w:val="005C4EE1"/>
    <w:rsid w:val="005C6688"/>
    <w:rsid w:val="005D2DD9"/>
    <w:rsid w:val="005D7797"/>
    <w:rsid w:val="005E1B8A"/>
    <w:rsid w:val="005F08B2"/>
    <w:rsid w:val="005F1500"/>
    <w:rsid w:val="005F15CD"/>
    <w:rsid w:val="005F1FB6"/>
    <w:rsid w:val="005F2163"/>
    <w:rsid w:val="005F3076"/>
    <w:rsid w:val="005F6971"/>
    <w:rsid w:val="00601579"/>
    <w:rsid w:val="0060337E"/>
    <w:rsid w:val="0060477F"/>
    <w:rsid w:val="006048B1"/>
    <w:rsid w:val="00605010"/>
    <w:rsid w:val="0060579B"/>
    <w:rsid w:val="00607D12"/>
    <w:rsid w:val="006148B1"/>
    <w:rsid w:val="006215ED"/>
    <w:rsid w:val="0062228D"/>
    <w:rsid w:val="006235F9"/>
    <w:rsid w:val="006244C8"/>
    <w:rsid w:val="006247F6"/>
    <w:rsid w:val="00624F79"/>
    <w:rsid w:val="00627160"/>
    <w:rsid w:val="00630240"/>
    <w:rsid w:val="00630CA5"/>
    <w:rsid w:val="00633529"/>
    <w:rsid w:val="00635460"/>
    <w:rsid w:val="00640CC4"/>
    <w:rsid w:val="00647082"/>
    <w:rsid w:val="00647815"/>
    <w:rsid w:val="00647D38"/>
    <w:rsid w:val="0065087F"/>
    <w:rsid w:val="00651136"/>
    <w:rsid w:val="00651A62"/>
    <w:rsid w:val="00651F4B"/>
    <w:rsid w:val="00653227"/>
    <w:rsid w:val="006615B9"/>
    <w:rsid w:val="006648E1"/>
    <w:rsid w:val="00664E56"/>
    <w:rsid w:val="00666E17"/>
    <w:rsid w:val="00667F73"/>
    <w:rsid w:val="006749F4"/>
    <w:rsid w:val="00675692"/>
    <w:rsid w:val="006905F4"/>
    <w:rsid w:val="00690FCB"/>
    <w:rsid w:val="006917E5"/>
    <w:rsid w:val="0069277F"/>
    <w:rsid w:val="00692AEB"/>
    <w:rsid w:val="00693F9A"/>
    <w:rsid w:val="0069500B"/>
    <w:rsid w:val="006A0D89"/>
    <w:rsid w:val="006A2661"/>
    <w:rsid w:val="006A31CF"/>
    <w:rsid w:val="006A3666"/>
    <w:rsid w:val="006A455B"/>
    <w:rsid w:val="006B1F41"/>
    <w:rsid w:val="006B24C8"/>
    <w:rsid w:val="006B441F"/>
    <w:rsid w:val="006B5CD0"/>
    <w:rsid w:val="006B659D"/>
    <w:rsid w:val="006C0797"/>
    <w:rsid w:val="006C0DDF"/>
    <w:rsid w:val="006C13BB"/>
    <w:rsid w:val="006C49D4"/>
    <w:rsid w:val="006C4F98"/>
    <w:rsid w:val="006C5801"/>
    <w:rsid w:val="006C6079"/>
    <w:rsid w:val="006C76A0"/>
    <w:rsid w:val="006D081A"/>
    <w:rsid w:val="006D0E60"/>
    <w:rsid w:val="006D37BB"/>
    <w:rsid w:val="006D4D1C"/>
    <w:rsid w:val="006D4F53"/>
    <w:rsid w:val="006D504D"/>
    <w:rsid w:val="006E237D"/>
    <w:rsid w:val="006E320B"/>
    <w:rsid w:val="006E3CFE"/>
    <w:rsid w:val="006F075C"/>
    <w:rsid w:val="006F18ED"/>
    <w:rsid w:val="006F20F4"/>
    <w:rsid w:val="006F3724"/>
    <w:rsid w:val="006F49A5"/>
    <w:rsid w:val="006F58A0"/>
    <w:rsid w:val="007012F3"/>
    <w:rsid w:val="00703923"/>
    <w:rsid w:val="00704341"/>
    <w:rsid w:val="00704AE7"/>
    <w:rsid w:val="00706ABA"/>
    <w:rsid w:val="00707E49"/>
    <w:rsid w:val="00711AB5"/>
    <w:rsid w:val="00712F04"/>
    <w:rsid w:val="00714A41"/>
    <w:rsid w:val="00714C6B"/>
    <w:rsid w:val="00714D8B"/>
    <w:rsid w:val="00715CA3"/>
    <w:rsid w:val="00715E66"/>
    <w:rsid w:val="00716016"/>
    <w:rsid w:val="0071633D"/>
    <w:rsid w:val="00722373"/>
    <w:rsid w:val="007253B7"/>
    <w:rsid w:val="00725B7D"/>
    <w:rsid w:val="007319F1"/>
    <w:rsid w:val="0073372C"/>
    <w:rsid w:val="00736596"/>
    <w:rsid w:val="00740F82"/>
    <w:rsid w:val="007423DF"/>
    <w:rsid w:val="00743831"/>
    <w:rsid w:val="007444E0"/>
    <w:rsid w:val="00754740"/>
    <w:rsid w:val="0076102A"/>
    <w:rsid w:val="00766A92"/>
    <w:rsid w:val="00766D86"/>
    <w:rsid w:val="007703AE"/>
    <w:rsid w:val="007709BC"/>
    <w:rsid w:val="00773920"/>
    <w:rsid w:val="00773A81"/>
    <w:rsid w:val="00774BB4"/>
    <w:rsid w:val="00777137"/>
    <w:rsid w:val="00780A8C"/>
    <w:rsid w:val="0078136B"/>
    <w:rsid w:val="00787299"/>
    <w:rsid w:val="00787460"/>
    <w:rsid w:val="007921D4"/>
    <w:rsid w:val="007930B6"/>
    <w:rsid w:val="0079560C"/>
    <w:rsid w:val="007B10B9"/>
    <w:rsid w:val="007B1C16"/>
    <w:rsid w:val="007B7A4A"/>
    <w:rsid w:val="007C0E00"/>
    <w:rsid w:val="007C481B"/>
    <w:rsid w:val="007C62C7"/>
    <w:rsid w:val="007C664C"/>
    <w:rsid w:val="007C6A8C"/>
    <w:rsid w:val="007C6FAB"/>
    <w:rsid w:val="007D0452"/>
    <w:rsid w:val="007D14CA"/>
    <w:rsid w:val="007D6A45"/>
    <w:rsid w:val="007D754C"/>
    <w:rsid w:val="007E0329"/>
    <w:rsid w:val="007E406B"/>
    <w:rsid w:val="007E6FA3"/>
    <w:rsid w:val="007F03E4"/>
    <w:rsid w:val="007F1E03"/>
    <w:rsid w:val="007F28BF"/>
    <w:rsid w:val="007F5629"/>
    <w:rsid w:val="00801203"/>
    <w:rsid w:val="00801AF4"/>
    <w:rsid w:val="00803A23"/>
    <w:rsid w:val="00803D7B"/>
    <w:rsid w:val="0080646B"/>
    <w:rsid w:val="00806631"/>
    <w:rsid w:val="008109FF"/>
    <w:rsid w:val="008130A3"/>
    <w:rsid w:val="0081493C"/>
    <w:rsid w:val="00817DC6"/>
    <w:rsid w:val="0082053C"/>
    <w:rsid w:val="008244DC"/>
    <w:rsid w:val="008304DF"/>
    <w:rsid w:val="00833D64"/>
    <w:rsid w:val="008365FC"/>
    <w:rsid w:val="00837FEC"/>
    <w:rsid w:val="00840861"/>
    <w:rsid w:val="008427AA"/>
    <w:rsid w:val="008442A1"/>
    <w:rsid w:val="00845DAC"/>
    <w:rsid w:val="008465C3"/>
    <w:rsid w:val="00851E92"/>
    <w:rsid w:val="0085307D"/>
    <w:rsid w:val="00853A07"/>
    <w:rsid w:val="00854298"/>
    <w:rsid w:val="008546CF"/>
    <w:rsid w:val="008552C2"/>
    <w:rsid w:val="00857584"/>
    <w:rsid w:val="00857AD6"/>
    <w:rsid w:val="00860987"/>
    <w:rsid w:val="00864057"/>
    <w:rsid w:val="00865722"/>
    <w:rsid w:val="00865B81"/>
    <w:rsid w:val="00867766"/>
    <w:rsid w:val="00867C67"/>
    <w:rsid w:val="00871A20"/>
    <w:rsid w:val="0087327F"/>
    <w:rsid w:val="008735BE"/>
    <w:rsid w:val="00874CB3"/>
    <w:rsid w:val="00877748"/>
    <w:rsid w:val="00882CF8"/>
    <w:rsid w:val="0088406A"/>
    <w:rsid w:val="0088514C"/>
    <w:rsid w:val="00885F81"/>
    <w:rsid w:val="00886FCD"/>
    <w:rsid w:val="008922DB"/>
    <w:rsid w:val="00897EEE"/>
    <w:rsid w:val="008A0716"/>
    <w:rsid w:val="008A3AA8"/>
    <w:rsid w:val="008A434D"/>
    <w:rsid w:val="008A66D9"/>
    <w:rsid w:val="008A7BDA"/>
    <w:rsid w:val="008B0A75"/>
    <w:rsid w:val="008B0C5C"/>
    <w:rsid w:val="008B1A8A"/>
    <w:rsid w:val="008B6753"/>
    <w:rsid w:val="008B6809"/>
    <w:rsid w:val="008C0A9D"/>
    <w:rsid w:val="008C22AC"/>
    <w:rsid w:val="008C24B6"/>
    <w:rsid w:val="008C2BD5"/>
    <w:rsid w:val="008D197F"/>
    <w:rsid w:val="008D20EB"/>
    <w:rsid w:val="008D532D"/>
    <w:rsid w:val="008D789B"/>
    <w:rsid w:val="008E3597"/>
    <w:rsid w:val="008E47D5"/>
    <w:rsid w:val="008E4EEB"/>
    <w:rsid w:val="008E7E4D"/>
    <w:rsid w:val="008F3F99"/>
    <w:rsid w:val="008F6AC4"/>
    <w:rsid w:val="00901215"/>
    <w:rsid w:val="009021A0"/>
    <w:rsid w:val="009024E9"/>
    <w:rsid w:val="00902992"/>
    <w:rsid w:val="00904065"/>
    <w:rsid w:val="00912160"/>
    <w:rsid w:val="009129AF"/>
    <w:rsid w:val="0091678F"/>
    <w:rsid w:val="009174CD"/>
    <w:rsid w:val="00924B6E"/>
    <w:rsid w:val="00927240"/>
    <w:rsid w:val="00931BC5"/>
    <w:rsid w:val="00931D46"/>
    <w:rsid w:val="0093212E"/>
    <w:rsid w:val="00932CAB"/>
    <w:rsid w:val="009350C6"/>
    <w:rsid w:val="00936DFF"/>
    <w:rsid w:val="00940E47"/>
    <w:rsid w:val="0094264F"/>
    <w:rsid w:val="00944061"/>
    <w:rsid w:val="009440F1"/>
    <w:rsid w:val="00944607"/>
    <w:rsid w:val="00945FE6"/>
    <w:rsid w:val="0095160E"/>
    <w:rsid w:val="00953450"/>
    <w:rsid w:val="00953D1C"/>
    <w:rsid w:val="00954DD2"/>
    <w:rsid w:val="00954F70"/>
    <w:rsid w:val="00963607"/>
    <w:rsid w:val="009648BC"/>
    <w:rsid w:val="0097170D"/>
    <w:rsid w:val="00971A05"/>
    <w:rsid w:val="00972210"/>
    <w:rsid w:val="009722FF"/>
    <w:rsid w:val="009739AC"/>
    <w:rsid w:val="00974720"/>
    <w:rsid w:val="00974C86"/>
    <w:rsid w:val="00986AD4"/>
    <w:rsid w:val="00987548"/>
    <w:rsid w:val="00990799"/>
    <w:rsid w:val="00993B10"/>
    <w:rsid w:val="00994705"/>
    <w:rsid w:val="0099564C"/>
    <w:rsid w:val="009A1714"/>
    <w:rsid w:val="009A3C19"/>
    <w:rsid w:val="009A4A81"/>
    <w:rsid w:val="009A5035"/>
    <w:rsid w:val="009A5627"/>
    <w:rsid w:val="009A5DCC"/>
    <w:rsid w:val="009A7636"/>
    <w:rsid w:val="009B20A5"/>
    <w:rsid w:val="009B3C36"/>
    <w:rsid w:val="009B73B1"/>
    <w:rsid w:val="009B7B40"/>
    <w:rsid w:val="009C0FFD"/>
    <w:rsid w:val="009C23F2"/>
    <w:rsid w:val="009C2B2F"/>
    <w:rsid w:val="009C3B4E"/>
    <w:rsid w:val="009C44A4"/>
    <w:rsid w:val="009C4832"/>
    <w:rsid w:val="009C5C0B"/>
    <w:rsid w:val="009C685E"/>
    <w:rsid w:val="009C6984"/>
    <w:rsid w:val="009D3318"/>
    <w:rsid w:val="009D5E6E"/>
    <w:rsid w:val="009E090F"/>
    <w:rsid w:val="009E30BE"/>
    <w:rsid w:val="009E71F6"/>
    <w:rsid w:val="009E7E74"/>
    <w:rsid w:val="009F04F8"/>
    <w:rsid w:val="009F553A"/>
    <w:rsid w:val="009F6C82"/>
    <w:rsid w:val="00A03174"/>
    <w:rsid w:val="00A039A1"/>
    <w:rsid w:val="00A0593F"/>
    <w:rsid w:val="00A103F4"/>
    <w:rsid w:val="00A1089D"/>
    <w:rsid w:val="00A12D66"/>
    <w:rsid w:val="00A13C7F"/>
    <w:rsid w:val="00A20C09"/>
    <w:rsid w:val="00A22D7F"/>
    <w:rsid w:val="00A30A43"/>
    <w:rsid w:val="00A30C17"/>
    <w:rsid w:val="00A3245F"/>
    <w:rsid w:val="00A34406"/>
    <w:rsid w:val="00A36575"/>
    <w:rsid w:val="00A4218F"/>
    <w:rsid w:val="00A4363F"/>
    <w:rsid w:val="00A477BF"/>
    <w:rsid w:val="00A47F4D"/>
    <w:rsid w:val="00A5075C"/>
    <w:rsid w:val="00A5222F"/>
    <w:rsid w:val="00A535BF"/>
    <w:rsid w:val="00A53901"/>
    <w:rsid w:val="00A570D5"/>
    <w:rsid w:val="00A5714B"/>
    <w:rsid w:val="00A60B0D"/>
    <w:rsid w:val="00A66483"/>
    <w:rsid w:val="00A718C2"/>
    <w:rsid w:val="00A71903"/>
    <w:rsid w:val="00A73E6F"/>
    <w:rsid w:val="00A7725F"/>
    <w:rsid w:val="00A7739A"/>
    <w:rsid w:val="00A870A8"/>
    <w:rsid w:val="00A87F98"/>
    <w:rsid w:val="00A92F87"/>
    <w:rsid w:val="00A95387"/>
    <w:rsid w:val="00A96896"/>
    <w:rsid w:val="00A96DAD"/>
    <w:rsid w:val="00A97FCE"/>
    <w:rsid w:val="00AA07D7"/>
    <w:rsid w:val="00AA31A2"/>
    <w:rsid w:val="00AA5569"/>
    <w:rsid w:val="00AA7C24"/>
    <w:rsid w:val="00AB1EBB"/>
    <w:rsid w:val="00AB2217"/>
    <w:rsid w:val="00AB25A8"/>
    <w:rsid w:val="00AB3F84"/>
    <w:rsid w:val="00AB3FB5"/>
    <w:rsid w:val="00AB72A8"/>
    <w:rsid w:val="00AC04F1"/>
    <w:rsid w:val="00AC474C"/>
    <w:rsid w:val="00AD1978"/>
    <w:rsid w:val="00AD31D6"/>
    <w:rsid w:val="00AD7F54"/>
    <w:rsid w:val="00AE2B86"/>
    <w:rsid w:val="00AE3C80"/>
    <w:rsid w:val="00AE3ECD"/>
    <w:rsid w:val="00AE40AE"/>
    <w:rsid w:val="00AF35A4"/>
    <w:rsid w:val="00AF3F07"/>
    <w:rsid w:val="00AF538D"/>
    <w:rsid w:val="00AF5725"/>
    <w:rsid w:val="00AF7CFC"/>
    <w:rsid w:val="00B02671"/>
    <w:rsid w:val="00B03ADC"/>
    <w:rsid w:val="00B04056"/>
    <w:rsid w:val="00B11196"/>
    <w:rsid w:val="00B11AF7"/>
    <w:rsid w:val="00B11E23"/>
    <w:rsid w:val="00B15B08"/>
    <w:rsid w:val="00B179A7"/>
    <w:rsid w:val="00B17E87"/>
    <w:rsid w:val="00B20FB8"/>
    <w:rsid w:val="00B246FB"/>
    <w:rsid w:val="00B272B7"/>
    <w:rsid w:val="00B32754"/>
    <w:rsid w:val="00B33D9C"/>
    <w:rsid w:val="00B3535A"/>
    <w:rsid w:val="00B3685C"/>
    <w:rsid w:val="00B40086"/>
    <w:rsid w:val="00B41118"/>
    <w:rsid w:val="00B4162D"/>
    <w:rsid w:val="00B4260E"/>
    <w:rsid w:val="00B4311A"/>
    <w:rsid w:val="00B4326D"/>
    <w:rsid w:val="00B44CEA"/>
    <w:rsid w:val="00B46FAF"/>
    <w:rsid w:val="00B52B93"/>
    <w:rsid w:val="00B54A7E"/>
    <w:rsid w:val="00B563A3"/>
    <w:rsid w:val="00B5792D"/>
    <w:rsid w:val="00B60202"/>
    <w:rsid w:val="00B61758"/>
    <w:rsid w:val="00B627D5"/>
    <w:rsid w:val="00B63659"/>
    <w:rsid w:val="00B70D2E"/>
    <w:rsid w:val="00B717A6"/>
    <w:rsid w:val="00B73939"/>
    <w:rsid w:val="00B75882"/>
    <w:rsid w:val="00B7761F"/>
    <w:rsid w:val="00B810A2"/>
    <w:rsid w:val="00B828CC"/>
    <w:rsid w:val="00B8418C"/>
    <w:rsid w:val="00B91FF6"/>
    <w:rsid w:val="00B97B72"/>
    <w:rsid w:val="00BA1CF3"/>
    <w:rsid w:val="00BA46B5"/>
    <w:rsid w:val="00BA58DA"/>
    <w:rsid w:val="00BA5B54"/>
    <w:rsid w:val="00BA7851"/>
    <w:rsid w:val="00BB0621"/>
    <w:rsid w:val="00BB2F1D"/>
    <w:rsid w:val="00BB5C73"/>
    <w:rsid w:val="00BB776C"/>
    <w:rsid w:val="00BB7BF3"/>
    <w:rsid w:val="00BB7DB4"/>
    <w:rsid w:val="00BC1F46"/>
    <w:rsid w:val="00BD021C"/>
    <w:rsid w:val="00BD1517"/>
    <w:rsid w:val="00BE2DBC"/>
    <w:rsid w:val="00BE58AD"/>
    <w:rsid w:val="00BE7469"/>
    <w:rsid w:val="00BF12AD"/>
    <w:rsid w:val="00BF2E43"/>
    <w:rsid w:val="00BF62EA"/>
    <w:rsid w:val="00BF6CA9"/>
    <w:rsid w:val="00BF6FC4"/>
    <w:rsid w:val="00BF7D7D"/>
    <w:rsid w:val="00C02808"/>
    <w:rsid w:val="00C12ED5"/>
    <w:rsid w:val="00C22DB8"/>
    <w:rsid w:val="00C2720C"/>
    <w:rsid w:val="00C27AD0"/>
    <w:rsid w:val="00C3318A"/>
    <w:rsid w:val="00C4026D"/>
    <w:rsid w:val="00C403BC"/>
    <w:rsid w:val="00C41EF1"/>
    <w:rsid w:val="00C43E4E"/>
    <w:rsid w:val="00C45709"/>
    <w:rsid w:val="00C578A9"/>
    <w:rsid w:val="00C6200A"/>
    <w:rsid w:val="00C621D3"/>
    <w:rsid w:val="00C62D26"/>
    <w:rsid w:val="00C651CB"/>
    <w:rsid w:val="00C706D5"/>
    <w:rsid w:val="00C721D2"/>
    <w:rsid w:val="00C77E85"/>
    <w:rsid w:val="00C83196"/>
    <w:rsid w:val="00C84A6C"/>
    <w:rsid w:val="00C85A6F"/>
    <w:rsid w:val="00C91C5C"/>
    <w:rsid w:val="00C95763"/>
    <w:rsid w:val="00C957DC"/>
    <w:rsid w:val="00C968A1"/>
    <w:rsid w:val="00C97004"/>
    <w:rsid w:val="00C976FC"/>
    <w:rsid w:val="00CA34F5"/>
    <w:rsid w:val="00CA4252"/>
    <w:rsid w:val="00CB0862"/>
    <w:rsid w:val="00CB25F5"/>
    <w:rsid w:val="00CB30AE"/>
    <w:rsid w:val="00CC1A89"/>
    <w:rsid w:val="00CC36E5"/>
    <w:rsid w:val="00CC3A3B"/>
    <w:rsid w:val="00CC5AE7"/>
    <w:rsid w:val="00CC62E3"/>
    <w:rsid w:val="00CD0B96"/>
    <w:rsid w:val="00CD2F61"/>
    <w:rsid w:val="00CD406E"/>
    <w:rsid w:val="00CD558A"/>
    <w:rsid w:val="00CD747D"/>
    <w:rsid w:val="00CE014F"/>
    <w:rsid w:val="00CF3ED2"/>
    <w:rsid w:val="00CF3FB1"/>
    <w:rsid w:val="00CF5A46"/>
    <w:rsid w:val="00CF7FD4"/>
    <w:rsid w:val="00D0051E"/>
    <w:rsid w:val="00D00F18"/>
    <w:rsid w:val="00D01AAF"/>
    <w:rsid w:val="00D01D69"/>
    <w:rsid w:val="00D03381"/>
    <w:rsid w:val="00D03DA0"/>
    <w:rsid w:val="00D041D3"/>
    <w:rsid w:val="00D04E1D"/>
    <w:rsid w:val="00D122B5"/>
    <w:rsid w:val="00D24191"/>
    <w:rsid w:val="00D2624C"/>
    <w:rsid w:val="00D27961"/>
    <w:rsid w:val="00D32924"/>
    <w:rsid w:val="00D345A9"/>
    <w:rsid w:val="00D345BA"/>
    <w:rsid w:val="00D355CD"/>
    <w:rsid w:val="00D45DEB"/>
    <w:rsid w:val="00D45FB2"/>
    <w:rsid w:val="00D51AF6"/>
    <w:rsid w:val="00D537E9"/>
    <w:rsid w:val="00D556F9"/>
    <w:rsid w:val="00D57FB2"/>
    <w:rsid w:val="00D57FF9"/>
    <w:rsid w:val="00D659AA"/>
    <w:rsid w:val="00D70A57"/>
    <w:rsid w:val="00D81626"/>
    <w:rsid w:val="00D81699"/>
    <w:rsid w:val="00D850B4"/>
    <w:rsid w:val="00D858F0"/>
    <w:rsid w:val="00D85A4A"/>
    <w:rsid w:val="00D85ECD"/>
    <w:rsid w:val="00D91B49"/>
    <w:rsid w:val="00D9542D"/>
    <w:rsid w:val="00D971C5"/>
    <w:rsid w:val="00DA120F"/>
    <w:rsid w:val="00DA2B13"/>
    <w:rsid w:val="00DA4A61"/>
    <w:rsid w:val="00DA5938"/>
    <w:rsid w:val="00DA78FA"/>
    <w:rsid w:val="00DB011F"/>
    <w:rsid w:val="00DB15EA"/>
    <w:rsid w:val="00DB418E"/>
    <w:rsid w:val="00DB6571"/>
    <w:rsid w:val="00DB7E86"/>
    <w:rsid w:val="00DC0714"/>
    <w:rsid w:val="00DC07B6"/>
    <w:rsid w:val="00DC5325"/>
    <w:rsid w:val="00DC5A9B"/>
    <w:rsid w:val="00DC66E1"/>
    <w:rsid w:val="00DC7C41"/>
    <w:rsid w:val="00DC7FDD"/>
    <w:rsid w:val="00DD33D5"/>
    <w:rsid w:val="00DD383F"/>
    <w:rsid w:val="00DD5538"/>
    <w:rsid w:val="00DD72A5"/>
    <w:rsid w:val="00DD7D66"/>
    <w:rsid w:val="00DE083C"/>
    <w:rsid w:val="00DE28B9"/>
    <w:rsid w:val="00DE3F51"/>
    <w:rsid w:val="00DE4639"/>
    <w:rsid w:val="00DE5BF3"/>
    <w:rsid w:val="00DF0609"/>
    <w:rsid w:val="00DF42EC"/>
    <w:rsid w:val="00E01337"/>
    <w:rsid w:val="00E01419"/>
    <w:rsid w:val="00E015E9"/>
    <w:rsid w:val="00E05982"/>
    <w:rsid w:val="00E10745"/>
    <w:rsid w:val="00E10E3B"/>
    <w:rsid w:val="00E14078"/>
    <w:rsid w:val="00E2002D"/>
    <w:rsid w:val="00E23B1D"/>
    <w:rsid w:val="00E23D20"/>
    <w:rsid w:val="00E26324"/>
    <w:rsid w:val="00E2718B"/>
    <w:rsid w:val="00E30F22"/>
    <w:rsid w:val="00E31B2B"/>
    <w:rsid w:val="00E340CC"/>
    <w:rsid w:val="00E3789F"/>
    <w:rsid w:val="00E42324"/>
    <w:rsid w:val="00E42470"/>
    <w:rsid w:val="00E42C11"/>
    <w:rsid w:val="00E43958"/>
    <w:rsid w:val="00E43A5D"/>
    <w:rsid w:val="00E44E34"/>
    <w:rsid w:val="00E46269"/>
    <w:rsid w:val="00E470AA"/>
    <w:rsid w:val="00E4715B"/>
    <w:rsid w:val="00E55285"/>
    <w:rsid w:val="00E56294"/>
    <w:rsid w:val="00E5666E"/>
    <w:rsid w:val="00E56A02"/>
    <w:rsid w:val="00E620F4"/>
    <w:rsid w:val="00E70605"/>
    <w:rsid w:val="00E734E5"/>
    <w:rsid w:val="00E73671"/>
    <w:rsid w:val="00E75AA0"/>
    <w:rsid w:val="00E76A9F"/>
    <w:rsid w:val="00E77946"/>
    <w:rsid w:val="00E85F32"/>
    <w:rsid w:val="00E86DAC"/>
    <w:rsid w:val="00E94491"/>
    <w:rsid w:val="00E95309"/>
    <w:rsid w:val="00E95873"/>
    <w:rsid w:val="00E95D19"/>
    <w:rsid w:val="00EA2C09"/>
    <w:rsid w:val="00EA3396"/>
    <w:rsid w:val="00EA360D"/>
    <w:rsid w:val="00EA41EB"/>
    <w:rsid w:val="00EA4CEB"/>
    <w:rsid w:val="00EA7C1F"/>
    <w:rsid w:val="00EB0A6B"/>
    <w:rsid w:val="00EB31F9"/>
    <w:rsid w:val="00EB3CAF"/>
    <w:rsid w:val="00EC1F68"/>
    <w:rsid w:val="00EC63A9"/>
    <w:rsid w:val="00ED1762"/>
    <w:rsid w:val="00ED1AA3"/>
    <w:rsid w:val="00ED1D09"/>
    <w:rsid w:val="00ED3A52"/>
    <w:rsid w:val="00ED5A00"/>
    <w:rsid w:val="00ED7469"/>
    <w:rsid w:val="00EE0BB5"/>
    <w:rsid w:val="00EE1A56"/>
    <w:rsid w:val="00EE26C3"/>
    <w:rsid w:val="00EE6AEE"/>
    <w:rsid w:val="00EF4A78"/>
    <w:rsid w:val="00F01238"/>
    <w:rsid w:val="00F013D1"/>
    <w:rsid w:val="00F0194A"/>
    <w:rsid w:val="00F01E03"/>
    <w:rsid w:val="00F01F96"/>
    <w:rsid w:val="00F03BC0"/>
    <w:rsid w:val="00F04DB6"/>
    <w:rsid w:val="00F1151E"/>
    <w:rsid w:val="00F116FB"/>
    <w:rsid w:val="00F12AFF"/>
    <w:rsid w:val="00F14231"/>
    <w:rsid w:val="00F155A0"/>
    <w:rsid w:val="00F1624F"/>
    <w:rsid w:val="00F16390"/>
    <w:rsid w:val="00F22FE3"/>
    <w:rsid w:val="00F24EA2"/>
    <w:rsid w:val="00F252B2"/>
    <w:rsid w:val="00F258C6"/>
    <w:rsid w:val="00F317D6"/>
    <w:rsid w:val="00F338DB"/>
    <w:rsid w:val="00F3570E"/>
    <w:rsid w:val="00F3624F"/>
    <w:rsid w:val="00F37A7A"/>
    <w:rsid w:val="00F41097"/>
    <w:rsid w:val="00F43C31"/>
    <w:rsid w:val="00F443D7"/>
    <w:rsid w:val="00F52054"/>
    <w:rsid w:val="00F61387"/>
    <w:rsid w:val="00F668E5"/>
    <w:rsid w:val="00F67A1A"/>
    <w:rsid w:val="00F70D93"/>
    <w:rsid w:val="00F71795"/>
    <w:rsid w:val="00F73490"/>
    <w:rsid w:val="00F7699C"/>
    <w:rsid w:val="00F82A4F"/>
    <w:rsid w:val="00F82F31"/>
    <w:rsid w:val="00F832EA"/>
    <w:rsid w:val="00F85ABF"/>
    <w:rsid w:val="00F863DC"/>
    <w:rsid w:val="00F93BF9"/>
    <w:rsid w:val="00F96150"/>
    <w:rsid w:val="00F97D38"/>
    <w:rsid w:val="00FA0583"/>
    <w:rsid w:val="00FA12F2"/>
    <w:rsid w:val="00FA1C1B"/>
    <w:rsid w:val="00FA5CF4"/>
    <w:rsid w:val="00FB0AB3"/>
    <w:rsid w:val="00FB19BB"/>
    <w:rsid w:val="00FB2CA6"/>
    <w:rsid w:val="00FC278B"/>
    <w:rsid w:val="00FD0ED5"/>
    <w:rsid w:val="00FD418B"/>
    <w:rsid w:val="00FD4F3D"/>
    <w:rsid w:val="00FD706D"/>
    <w:rsid w:val="00FE05C5"/>
    <w:rsid w:val="00FE0A72"/>
    <w:rsid w:val="00FE40C8"/>
    <w:rsid w:val="00FE447F"/>
    <w:rsid w:val="00FE4958"/>
    <w:rsid w:val="00FE4CC5"/>
    <w:rsid w:val="00FE603B"/>
    <w:rsid w:val="00FF0B4A"/>
    <w:rsid w:val="00FF2430"/>
    <w:rsid w:val="00FF3FEF"/>
    <w:rsid w:val="00FF6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7B4D0E"/>
  <w15:chartTrackingRefBased/>
  <w15:docId w15:val="{194E2851-6D22-4F3D-A814-A0333F40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E74"/>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9E7E74"/>
    <w:pPr>
      <w:keepNext/>
      <w:spacing w:after="120"/>
      <w:jc w:val="center"/>
      <w:outlineLvl w:val="0"/>
    </w:pPr>
    <w:rPr>
      <w:rFonts w:eastAsia="宋体"/>
    </w:rPr>
  </w:style>
  <w:style w:type="paragraph" w:styleId="Heading2">
    <w:name w:val="heading 2"/>
    <w:basedOn w:val="Normal"/>
    <w:next w:val="NormalIndent"/>
    <w:qFormat/>
    <w:rsid w:val="009E7E74"/>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9E7E74"/>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9E7E74"/>
    <w:pPr>
      <w:keepNext/>
      <w:tabs>
        <w:tab w:val="left" w:pos="720"/>
      </w:tabs>
      <w:jc w:val="right"/>
      <w:outlineLvl w:val="3"/>
    </w:pPr>
    <w:rPr>
      <w:rFonts w:eastAsia="宋体"/>
      <w:b w:val="0"/>
    </w:rPr>
  </w:style>
  <w:style w:type="paragraph" w:styleId="Heading5">
    <w:name w:val="heading 5"/>
    <w:basedOn w:val="Normal"/>
    <w:next w:val="NormalIndent"/>
    <w:qFormat/>
    <w:rsid w:val="009E7E74"/>
    <w:pPr>
      <w:keepNext/>
      <w:tabs>
        <w:tab w:val="left" w:pos="720"/>
      </w:tabs>
      <w:jc w:val="left"/>
      <w:outlineLvl w:val="4"/>
    </w:pPr>
    <w:rPr>
      <w:rFonts w:eastAsia="宋体"/>
      <w:b w:val="0"/>
    </w:rPr>
  </w:style>
  <w:style w:type="paragraph" w:styleId="Heading6">
    <w:name w:val="heading 6"/>
    <w:basedOn w:val="Normal"/>
    <w:next w:val="Normal"/>
    <w:qFormat/>
    <w:rsid w:val="009E7E74"/>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rsid w:val="009E7E74"/>
    <w:pPr>
      <w:widowControl w:val="0"/>
      <w:textAlignment w:val="top"/>
    </w:pPr>
    <w:rPr>
      <w:rFonts w:eastAsia="PMingLiU"/>
    </w:rPr>
  </w:style>
  <w:style w:type="paragraph" w:styleId="Footer">
    <w:name w:val="footer"/>
    <w:basedOn w:val="Normal"/>
    <w:semiHidden/>
    <w:rsid w:val="009E7E74"/>
    <w:pPr>
      <w:tabs>
        <w:tab w:val="center" w:pos="4153"/>
        <w:tab w:val="right" w:pos="8306"/>
      </w:tabs>
    </w:pPr>
  </w:style>
  <w:style w:type="paragraph" w:styleId="Header">
    <w:name w:val="header"/>
    <w:basedOn w:val="Normal"/>
    <w:semiHidden/>
    <w:rsid w:val="009E7E74"/>
    <w:pPr>
      <w:jc w:val="center"/>
    </w:pPr>
    <w:rPr>
      <w:b w:val="0"/>
      <w:sz w:val="24"/>
    </w:rPr>
  </w:style>
  <w:style w:type="paragraph" w:customStyle="1" w:styleId="normal1">
    <w:name w:val="normal1"/>
    <w:basedOn w:val="Normal"/>
    <w:rsid w:val="009E7E74"/>
    <w:pPr>
      <w:tabs>
        <w:tab w:val="left" w:pos="1411"/>
      </w:tabs>
      <w:jc w:val="center"/>
    </w:pPr>
    <w:rPr>
      <w:b w:val="0"/>
      <w:sz w:val="28"/>
    </w:rPr>
  </w:style>
  <w:style w:type="paragraph" w:customStyle="1" w:styleId="normal2">
    <w:name w:val="normal2"/>
    <w:rsid w:val="009E7E74"/>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9E7E74"/>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9E7E74"/>
    <w:pPr>
      <w:spacing w:after="240"/>
      <w:jc w:val="right"/>
    </w:pPr>
    <w:rPr>
      <w:caps/>
    </w:rPr>
  </w:style>
  <w:style w:type="paragraph" w:customStyle="1" w:styleId="j-subparagraph">
    <w:name w:val="j-subparagraph"/>
    <w:basedOn w:val="Normal"/>
    <w:rsid w:val="009E7E74"/>
    <w:pPr>
      <w:tabs>
        <w:tab w:val="left" w:pos="1440"/>
      </w:tabs>
      <w:kinsoku/>
      <w:overflowPunct/>
      <w:autoSpaceDE/>
      <w:autoSpaceDN/>
      <w:adjustRightInd/>
      <w:spacing w:before="120" w:line="360" w:lineRule="auto"/>
      <w:ind w:left="2160" w:hanging="720"/>
    </w:pPr>
    <w:rPr>
      <w:rFonts w:eastAsia="宋体"/>
      <w:b w:val="0"/>
      <w:snapToGrid/>
      <w:kern w:val="2"/>
      <w:sz w:val="28"/>
    </w:rPr>
  </w:style>
  <w:style w:type="character" w:styleId="PageNumber">
    <w:name w:val="page number"/>
    <w:semiHidden/>
    <w:rsid w:val="009E7E74"/>
    <w:rPr>
      <w:bCs/>
      <w:szCs w:val="24"/>
    </w:rPr>
  </w:style>
  <w:style w:type="paragraph" w:customStyle="1" w:styleId="j-draft">
    <w:name w:val="j-draft"/>
    <w:basedOn w:val="Normal"/>
    <w:rsid w:val="006215ED"/>
    <w:pPr>
      <w:numPr>
        <w:numId w:val="2"/>
      </w:numPr>
      <w:tabs>
        <w:tab w:val="left" w:pos="1418"/>
      </w:tabs>
      <w:spacing w:before="360" w:line="360" w:lineRule="auto"/>
    </w:pPr>
    <w:rPr>
      <w:b w:val="0"/>
      <w:sz w:val="28"/>
    </w:rPr>
  </w:style>
  <w:style w:type="paragraph" w:customStyle="1" w:styleId="j-heading">
    <w:name w:val="j-heading"/>
    <w:basedOn w:val="Heading4"/>
    <w:next w:val="j-draft"/>
    <w:rsid w:val="00245F64"/>
    <w:pPr>
      <w:tabs>
        <w:tab w:val="clear" w:pos="720"/>
      </w:tabs>
      <w:spacing w:before="360" w:line="360" w:lineRule="auto"/>
      <w:jc w:val="left"/>
    </w:pPr>
    <w:rPr>
      <w:i/>
      <w:sz w:val="28"/>
    </w:rPr>
  </w:style>
  <w:style w:type="paragraph" w:customStyle="1" w:styleId="j-quotation">
    <w:name w:val="j-quotation"/>
    <w:next w:val="BodyText"/>
    <w:rsid w:val="006215ED"/>
    <w:pPr>
      <w:tabs>
        <w:tab w:val="left" w:pos="1418"/>
      </w:tabs>
      <w:kinsoku w:val="0"/>
      <w:overflowPunct w:val="0"/>
      <w:autoSpaceDE w:val="0"/>
      <w:autoSpaceDN w:val="0"/>
      <w:adjustRightInd w:val="0"/>
      <w:snapToGrid w:val="0"/>
      <w:spacing w:before="180" w:after="60"/>
      <w:ind w:left="1418" w:right="737"/>
      <w:jc w:val="both"/>
    </w:pPr>
    <w:rPr>
      <w:sz w:val="24"/>
      <w:lang w:val="en-GB" w:eastAsia="en-US"/>
    </w:rPr>
  </w:style>
  <w:style w:type="paragraph" w:styleId="BodyText">
    <w:name w:val="Body Text"/>
    <w:basedOn w:val="j-draft"/>
    <w:next w:val="j-draft"/>
    <w:semiHidden/>
    <w:rsid w:val="009E7E74"/>
    <w:pPr>
      <w:numPr>
        <w:numId w:val="0"/>
      </w:numPr>
      <w:tabs>
        <w:tab w:val="clear" w:pos="1418"/>
      </w:tabs>
    </w:pPr>
  </w:style>
  <w:style w:type="paragraph" w:customStyle="1" w:styleId="j-final">
    <w:name w:val="j-final"/>
    <w:basedOn w:val="Normal"/>
    <w:rsid w:val="009E7E74"/>
    <w:pPr>
      <w:numPr>
        <w:numId w:val="1"/>
      </w:numPr>
      <w:tabs>
        <w:tab w:val="clear" w:pos="360"/>
        <w:tab w:val="left" w:pos="1440"/>
      </w:tabs>
      <w:kinsoku/>
      <w:overflowPunct/>
      <w:autoSpaceDE/>
      <w:autoSpaceDN/>
      <w:adjustRightInd/>
      <w:spacing w:before="360" w:line="360" w:lineRule="auto"/>
    </w:pPr>
    <w:rPr>
      <w:rFonts w:eastAsia="宋体"/>
      <w:b w:val="0"/>
      <w:snapToGrid/>
      <w:kern w:val="2"/>
      <w:sz w:val="28"/>
    </w:rPr>
  </w:style>
  <w:style w:type="paragraph" w:customStyle="1" w:styleId="Style1">
    <w:name w:val="Style1"/>
    <w:basedOn w:val="j-quotation"/>
    <w:rsid w:val="009E7E74"/>
    <w:pPr>
      <w:kinsoku/>
      <w:overflowPunct/>
      <w:autoSpaceDE/>
      <w:autoSpaceDN/>
      <w:adjustRightInd/>
      <w:spacing w:before="0" w:after="0"/>
      <w:ind w:left="0" w:right="0"/>
    </w:pPr>
    <w:rPr>
      <w:kern w:val="2"/>
      <w:sz w:val="28"/>
      <w:lang w:eastAsia="zh-CN"/>
    </w:rPr>
  </w:style>
  <w:style w:type="paragraph" w:customStyle="1" w:styleId="J-BodyText">
    <w:name w:val="J-Body Text"/>
    <w:basedOn w:val="Normal"/>
    <w:next w:val="Normal"/>
    <w:rsid w:val="009E7E74"/>
    <w:pPr>
      <w:keepNext/>
      <w:widowControl w:val="0"/>
      <w:spacing w:after="240"/>
      <w:ind w:left="720" w:hanging="720"/>
      <w:textAlignment w:val="baseline"/>
    </w:pPr>
    <w:rPr>
      <w:rFonts w:eastAsia="PMingLiU"/>
      <w:b w:val="0"/>
      <w:sz w:val="28"/>
    </w:rPr>
  </w:style>
  <w:style w:type="paragraph" w:styleId="NormalWeb">
    <w:name w:val="Normal (Web)"/>
    <w:basedOn w:val="Normal"/>
    <w:uiPriority w:val="99"/>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Quote1">
    <w:name w:val="Quote1"/>
    <w:basedOn w:val="Normal"/>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altd">
    <w:name w:val="altd"/>
    <w:basedOn w:val="Normal"/>
    <w:rsid w:val="009E7E74"/>
    <w:pPr>
      <w:tabs>
        <w:tab w:val="left" w:pos="1418"/>
        <w:tab w:val="left" w:pos="2268"/>
        <w:tab w:val="left" w:pos="3119"/>
        <w:tab w:val="center" w:pos="4320"/>
        <w:tab w:val="right" w:pos="9072"/>
      </w:tabs>
      <w:kinsoku/>
      <w:adjustRightInd/>
      <w:spacing w:before="600" w:line="600" w:lineRule="exact"/>
      <w:ind w:firstLine="1411"/>
      <w:jc w:val="left"/>
    </w:pPr>
    <w:rPr>
      <w:b w:val="0"/>
      <w:snapToGrid/>
      <w:sz w:val="28"/>
    </w:rPr>
  </w:style>
  <w:style w:type="paragraph" w:customStyle="1" w:styleId="Draft">
    <w:name w:val="Draft"/>
    <w:basedOn w:val="Normal"/>
    <w:rsid w:val="009E7E74"/>
    <w:pPr>
      <w:tabs>
        <w:tab w:val="left" w:pos="1440"/>
        <w:tab w:val="center" w:pos="4320"/>
        <w:tab w:val="right" w:pos="9072"/>
      </w:tabs>
      <w:kinsoku/>
      <w:overflowPunct/>
      <w:autoSpaceDE/>
      <w:autoSpaceDN/>
      <w:adjustRightInd/>
      <w:spacing w:line="600" w:lineRule="exact"/>
      <w:jc w:val="left"/>
    </w:pPr>
    <w:rPr>
      <w:rFonts w:eastAsia="宋体"/>
      <w:b w:val="0"/>
      <w:snapToGrid/>
      <w:sz w:val="28"/>
    </w:rPr>
  </w:style>
  <w:style w:type="paragraph" w:customStyle="1" w:styleId="Final">
    <w:name w:val="Final"/>
    <w:basedOn w:val="Draft"/>
    <w:rsid w:val="009E7E74"/>
    <w:pPr>
      <w:spacing w:line="360" w:lineRule="auto"/>
    </w:pPr>
  </w:style>
  <w:style w:type="paragraph" w:customStyle="1" w:styleId="Quotation">
    <w:name w:val="Quotation"/>
    <w:basedOn w:val="Normal"/>
    <w:rsid w:val="009E7E74"/>
    <w:pPr>
      <w:tabs>
        <w:tab w:val="left" w:pos="1440"/>
        <w:tab w:val="left" w:pos="1872"/>
        <w:tab w:val="left" w:pos="2304"/>
        <w:tab w:val="center" w:pos="4320"/>
        <w:tab w:val="right" w:pos="9072"/>
      </w:tabs>
      <w:kinsoku/>
      <w:overflowPunct/>
      <w:autoSpaceDE/>
      <w:autoSpaceDN/>
      <w:adjustRightInd/>
      <w:spacing w:before="240"/>
      <w:ind w:left="1440" w:right="720"/>
      <w:jc w:val="left"/>
    </w:pPr>
    <w:rPr>
      <w:rFonts w:eastAsia="宋体"/>
      <w:b w:val="0"/>
      <w:snapToGrid/>
      <w:kern w:val="2"/>
      <w:sz w:val="24"/>
    </w:rPr>
  </w:style>
  <w:style w:type="paragraph" w:customStyle="1" w:styleId="hspace">
    <w:name w:val="hspace"/>
    <w:basedOn w:val="Draft"/>
    <w:rsid w:val="009E7E74"/>
  </w:style>
  <w:style w:type="paragraph" w:styleId="BodyTextIndent">
    <w:name w:val="Body Text Indent"/>
    <w:basedOn w:val="Normal"/>
    <w:semiHidden/>
    <w:rsid w:val="009E7E74"/>
    <w:pPr>
      <w:tabs>
        <w:tab w:val="center" w:pos="5740"/>
      </w:tabs>
      <w:ind w:left="300" w:hanging="300"/>
    </w:pPr>
    <w:rPr>
      <w:b w:val="0"/>
      <w:bCs/>
      <w:sz w:val="28"/>
    </w:rPr>
  </w:style>
  <w:style w:type="character" w:styleId="CommentReference">
    <w:name w:val="annotation reference"/>
    <w:semiHidden/>
    <w:rsid w:val="009E7E74"/>
    <w:rPr>
      <w:sz w:val="16"/>
      <w:szCs w:val="16"/>
    </w:rPr>
  </w:style>
  <w:style w:type="paragraph" w:styleId="CommentText">
    <w:name w:val="annotation text"/>
    <w:basedOn w:val="Normal"/>
    <w:semiHidden/>
    <w:rsid w:val="009E7E74"/>
  </w:style>
  <w:style w:type="paragraph" w:customStyle="1" w:styleId="T-Head">
    <w:name w:val="T-Head"/>
    <w:basedOn w:val="Normal"/>
    <w:next w:val="Normal"/>
    <w:rsid w:val="009E7E74"/>
    <w:pPr>
      <w:keepNext/>
      <w:kinsoku/>
      <w:overflowPunct/>
      <w:autoSpaceDE/>
      <w:autoSpaceDN/>
      <w:adjustRightInd/>
      <w:snapToGrid/>
      <w:spacing w:before="480" w:line="360" w:lineRule="auto"/>
    </w:pPr>
    <w:rPr>
      <w:rFonts w:eastAsia="宋体"/>
      <w:b w:val="0"/>
      <w:i/>
      <w:snapToGrid/>
      <w:kern w:val="2"/>
      <w:sz w:val="28"/>
      <w:u w:val="single"/>
      <w:lang w:val="en-US"/>
    </w:rPr>
  </w:style>
  <w:style w:type="paragraph" w:styleId="FootnoteText">
    <w:name w:val="footnote text"/>
    <w:basedOn w:val="Normal"/>
    <w:link w:val="FootnoteTextChar"/>
    <w:unhideWhenUsed/>
    <w:rsid w:val="00586FC8"/>
    <w:pPr>
      <w:tabs>
        <w:tab w:val="left" w:pos="274"/>
      </w:tabs>
      <w:kinsoku/>
      <w:overflowPunct/>
      <w:autoSpaceDE/>
      <w:autoSpaceDN/>
      <w:adjustRightInd/>
      <w:snapToGrid/>
      <w:jc w:val="left"/>
    </w:pPr>
    <w:rPr>
      <w:rFonts w:eastAsia="宋体"/>
      <w:b w:val="0"/>
      <w:snapToGrid/>
    </w:rPr>
  </w:style>
  <w:style w:type="character" w:customStyle="1" w:styleId="FootnoteTextChar">
    <w:name w:val="Footnote Text Char"/>
    <w:link w:val="FootnoteText"/>
    <w:rsid w:val="00586FC8"/>
    <w:rPr>
      <w:lang w:val="en-GB"/>
    </w:rPr>
  </w:style>
  <w:style w:type="character" w:styleId="FootnoteReference">
    <w:name w:val="footnote reference"/>
    <w:uiPriority w:val="99"/>
    <w:unhideWhenUsed/>
    <w:rsid w:val="003555EE"/>
    <w:rPr>
      <w:vertAlign w:val="superscript"/>
    </w:rPr>
  </w:style>
  <w:style w:type="paragraph" w:styleId="EndnoteText">
    <w:name w:val="endnote text"/>
    <w:basedOn w:val="Normal"/>
    <w:link w:val="EndnoteTextChar"/>
    <w:uiPriority w:val="99"/>
    <w:semiHidden/>
    <w:unhideWhenUsed/>
    <w:rsid w:val="002C5B01"/>
  </w:style>
  <w:style w:type="character" w:customStyle="1" w:styleId="EndnoteTextChar">
    <w:name w:val="Endnote Text Char"/>
    <w:link w:val="EndnoteText"/>
    <w:uiPriority w:val="99"/>
    <w:semiHidden/>
    <w:rsid w:val="002C5B01"/>
    <w:rPr>
      <w:rFonts w:eastAsia="MingLiU"/>
      <w:b/>
      <w:snapToGrid w:val="0"/>
      <w:lang w:val="en-GB"/>
    </w:rPr>
  </w:style>
  <w:style w:type="character" w:styleId="EndnoteReference">
    <w:name w:val="endnote reference"/>
    <w:uiPriority w:val="99"/>
    <w:semiHidden/>
    <w:unhideWhenUsed/>
    <w:rsid w:val="002C5B01"/>
    <w:rPr>
      <w:vertAlign w:val="superscript"/>
    </w:rPr>
  </w:style>
  <w:style w:type="paragraph" w:customStyle="1" w:styleId="sh">
    <w:name w:val="sh"/>
    <w:basedOn w:val="Normal"/>
    <w:rsid w:val="00292999"/>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character" w:styleId="Hyperlink">
    <w:name w:val="Hyperlink"/>
    <w:uiPriority w:val="99"/>
    <w:unhideWhenUsed/>
    <w:rsid w:val="004F7EE5"/>
    <w:rPr>
      <w:color w:val="0000FF"/>
      <w:u w:val="single"/>
    </w:rPr>
  </w:style>
  <w:style w:type="paragraph" w:customStyle="1" w:styleId="ar-draft">
    <w:name w:val="ar-draft"/>
    <w:basedOn w:val="Normal"/>
    <w:qFormat/>
    <w:rsid w:val="004F0333"/>
    <w:pPr>
      <w:numPr>
        <w:numId w:val="3"/>
      </w:numPr>
      <w:tabs>
        <w:tab w:val="left" w:pos="1440"/>
      </w:tabs>
      <w:kinsoku/>
      <w:overflowPunct/>
      <w:autoSpaceDE/>
      <w:autoSpaceDN/>
      <w:adjustRightInd/>
      <w:spacing w:before="360" w:line="360" w:lineRule="auto"/>
    </w:pPr>
    <w:rPr>
      <w:b w:val="0"/>
      <w:snapToGrid/>
      <w:sz w:val="28"/>
    </w:rPr>
  </w:style>
  <w:style w:type="paragraph" w:customStyle="1" w:styleId="ar-heading1">
    <w:name w:val="ar-heading1"/>
    <w:basedOn w:val="Normal"/>
    <w:rsid w:val="004F0333"/>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ar-quotation">
    <w:name w:val="ar-quotation"/>
    <w:basedOn w:val="Normal"/>
    <w:rsid w:val="0014546D"/>
    <w:pPr>
      <w:tabs>
        <w:tab w:val="left" w:pos="1440"/>
        <w:tab w:val="left" w:pos="2160"/>
      </w:tabs>
      <w:kinsoku/>
      <w:overflowPunct/>
      <w:autoSpaceDE/>
      <w:autoSpaceDN/>
      <w:adjustRightInd/>
      <w:spacing w:before="240"/>
      <w:ind w:left="1440" w:right="734"/>
    </w:pPr>
    <w:rPr>
      <w:b w:val="0"/>
      <w:snapToGrid/>
      <w:sz w:val="24"/>
    </w:rPr>
  </w:style>
  <w:style w:type="paragraph" w:customStyle="1" w:styleId="T-Draft">
    <w:name w:val="T-Draft"/>
    <w:basedOn w:val="Normal"/>
    <w:rsid w:val="001E2DEA"/>
    <w:pPr>
      <w:numPr>
        <w:numId w:val="4"/>
      </w:numPr>
      <w:tabs>
        <w:tab w:val="left" w:pos="1440"/>
      </w:tabs>
      <w:kinsoku/>
      <w:overflowPunct/>
      <w:autoSpaceDE/>
      <w:autoSpaceDN/>
      <w:adjustRightInd/>
      <w:spacing w:before="360" w:line="360" w:lineRule="auto"/>
    </w:pPr>
    <w:rPr>
      <w:rFonts w:eastAsia="宋体"/>
      <w:b w:val="0"/>
      <w:snapToGrid/>
      <w:sz w:val="28"/>
    </w:rPr>
  </w:style>
  <w:style w:type="paragraph" w:styleId="BalloonText">
    <w:name w:val="Balloon Text"/>
    <w:basedOn w:val="Normal"/>
    <w:link w:val="BalloonTextChar"/>
    <w:uiPriority w:val="99"/>
    <w:semiHidden/>
    <w:unhideWhenUsed/>
    <w:rsid w:val="00D32924"/>
    <w:rPr>
      <w:rFonts w:ascii="Tahoma" w:hAnsi="Tahoma" w:cs="Tahoma"/>
      <w:sz w:val="16"/>
      <w:szCs w:val="16"/>
    </w:rPr>
  </w:style>
  <w:style w:type="character" w:customStyle="1" w:styleId="BalloonTextChar">
    <w:name w:val="Balloon Text Char"/>
    <w:link w:val="BalloonText"/>
    <w:uiPriority w:val="99"/>
    <w:semiHidden/>
    <w:rsid w:val="00D32924"/>
    <w:rPr>
      <w:rFonts w:ascii="Tahoma" w:eastAsia="MingLiU" w:hAnsi="Tahoma" w:cs="Tahoma"/>
      <w:b/>
      <w:snapToGrid w:val="0"/>
      <w:sz w:val="16"/>
      <w:szCs w:val="16"/>
      <w:lang w:val="en-GB"/>
    </w:rPr>
  </w:style>
  <w:style w:type="paragraph" w:styleId="ListParagraph">
    <w:name w:val="List Paragraph"/>
    <w:basedOn w:val="Normal"/>
    <w:uiPriority w:val="34"/>
    <w:qFormat/>
    <w:rsid w:val="00D32924"/>
    <w:pPr>
      <w:kinsoku/>
      <w:overflowPunct/>
      <w:autoSpaceDE/>
      <w:autoSpaceDN/>
      <w:adjustRightInd/>
      <w:snapToGrid/>
      <w:spacing w:after="200" w:line="276" w:lineRule="auto"/>
      <w:ind w:left="720"/>
      <w:contextualSpacing/>
      <w:jc w:val="left"/>
    </w:pPr>
    <w:rPr>
      <w:rFonts w:ascii="Calibri" w:eastAsia="宋体" w:hAnsi="Calibri"/>
      <w:b w:val="0"/>
      <w:snapToGrid/>
      <w:sz w:val="22"/>
      <w:szCs w:val="22"/>
      <w:lang w:eastAsia="zh-TW"/>
    </w:rPr>
  </w:style>
  <w:style w:type="character" w:styleId="Emphasis">
    <w:name w:val="Emphasis"/>
    <w:uiPriority w:val="20"/>
    <w:qFormat/>
    <w:rsid w:val="00D32924"/>
    <w:rPr>
      <w:i/>
      <w:iCs/>
    </w:rPr>
  </w:style>
  <w:style w:type="character" w:styleId="Strong">
    <w:name w:val="Strong"/>
    <w:uiPriority w:val="22"/>
    <w:qFormat/>
    <w:rsid w:val="00D32924"/>
    <w:rPr>
      <w:b/>
      <w:bCs/>
    </w:rPr>
  </w:style>
  <w:style w:type="character" w:customStyle="1" w:styleId="Chi">
    <w:name w:val="Chi"/>
    <w:uiPriority w:val="1"/>
    <w:rsid w:val="00BA1CF3"/>
    <w:rPr>
      <w:spacing w:val="10"/>
    </w:rPr>
  </w:style>
  <w:style w:type="table" w:customStyle="1" w:styleId="PartiesTable">
    <w:name w:val="Parties Table"/>
    <w:basedOn w:val="TableNormal"/>
    <w:rsid w:val="00BA1CF3"/>
    <w:pPr>
      <w:jc w:val="center"/>
    </w:pPr>
    <w:rPr>
      <w:sz w:val="28"/>
      <w:lang w:eastAsia="en-US"/>
    </w:rPr>
    <w:tblPr>
      <w:jc w:val="center"/>
      <w:tblCellMar>
        <w:left w:w="115" w:type="dxa"/>
        <w:bottom w:w="120" w:type="dxa"/>
        <w:right w:w="115" w:type="dxa"/>
      </w:tblCellMar>
    </w:tblPr>
    <w:trPr>
      <w:cantSplit/>
      <w:jc w:val="center"/>
    </w:trPr>
    <w:tblStylePr w:type="lastCol">
      <w:pPr>
        <w:wordWrap/>
        <w:jc w:val="right"/>
      </w:pPr>
    </w:tblStylePr>
  </w:style>
  <w:style w:type="table" w:customStyle="1" w:styleId="URTable">
    <w:name w:val="U&amp;R Table"/>
    <w:basedOn w:val="TableNormal"/>
    <w:rsid w:val="00774BB4"/>
    <w:pPr>
      <w:tabs>
        <w:tab w:val="left" w:pos="360"/>
      </w:tabs>
      <w:ind w:left="360" w:hanging="360"/>
    </w:pPr>
    <w:rPr>
      <w:sz w:val="28"/>
      <w:lang w:eastAsia="en-US"/>
    </w:rPr>
    <w:tblPr>
      <w:jc w:val="center"/>
      <w:tblCellMar>
        <w:left w:w="115" w:type="dxa"/>
        <w:bottom w:w="200" w:type="dxa"/>
        <w:right w:w="115" w:type="dxa"/>
      </w:tblCellMar>
    </w:tblPr>
    <w:trPr>
      <w:cantSplit/>
      <w:jc w:val="center"/>
    </w:trPr>
    <w:tblStylePr w:type="firstRow">
      <w:pPr>
        <w:wordWrap/>
        <w:ind w:leftChars="0" w:left="0" w:rightChars="0" w:right="0" w:firstLineChars="0" w:firstLine="0"/>
        <w:jc w:val="center"/>
      </w:pPr>
      <w:tblPr/>
      <w:tcPr>
        <w:tcMar>
          <w:top w:w="1440" w:type="dxa"/>
          <w:left w:w="0" w:type="nil"/>
          <w:bottom w:w="720" w:type="dxa"/>
          <w:right w:w="0" w:type="nil"/>
        </w:tcMar>
      </w:tcPr>
    </w:tblStylePr>
  </w:style>
  <w:style w:type="paragraph" w:styleId="BlockText">
    <w:name w:val="Block Text"/>
    <w:basedOn w:val="Normal"/>
    <w:semiHidden/>
    <w:rsid w:val="001874F2"/>
    <w:pPr>
      <w:kinsoku/>
      <w:overflowPunct/>
      <w:autoSpaceDE/>
      <w:autoSpaceDN/>
      <w:adjustRightInd/>
      <w:snapToGrid/>
      <w:spacing w:after="120"/>
      <w:ind w:left="1440" w:right="1440"/>
    </w:pPr>
    <w:rPr>
      <w:rFonts w:eastAsia="宋体"/>
      <w:b w:val="0"/>
      <w:snapToGrid/>
      <w:kern w:val="2"/>
      <w:sz w:val="28"/>
    </w:rPr>
  </w:style>
  <w:style w:type="paragraph" w:customStyle="1" w:styleId="paraundersub-heading">
    <w:name w:val="para under sub-heading"/>
    <w:basedOn w:val="Normal"/>
    <w:next w:val="Normal"/>
    <w:rsid w:val="00877748"/>
    <w:pPr>
      <w:tabs>
        <w:tab w:val="num" w:pos="360"/>
      </w:tabs>
      <w:kinsoku/>
      <w:overflowPunct/>
      <w:autoSpaceDE/>
      <w:autoSpaceDN/>
      <w:adjustRightInd/>
      <w:spacing w:before="120" w:line="360" w:lineRule="auto"/>
    </w:pPr>
    <w:rPr>
      <w:rFonts w:eastAsia="宋体"/>
      <w:b w:val="0"/>
      <w:snapToGrid/>
      <w:sz w:val="28"/>
    </w:rPr>
  </w:style>
  <w:style w:type="paragraph" w:customStyle="1" w:styleId="Sublevel2-a">
    <w:name w:val="Sublevel 2 - a"/>
    <w:basedOn w:val="Normal"/>
    <w:link w:val="Sublevel2-aChar"/>
    <w:qFormat/>
    <w:rsid w:val="00FF3FEF"/>
    <w:pPr>
      <w:numPr>
        <w:ilvl w:val="1"/>
        <w:numId w:val="5"/>
      </w:numPr>
      <w:suppressAutoHyphens/>
      <w:kinsoku/>
      <w:overflowPunct/>
      <w:autoSpaceDE/>
      <w:autoSpaceDN/>
      <w:adjustRightInd/>
      <w:snapToGrid/>
      <w:spacing w:after="120"/>
    </w:pPr>
    <w:rPr>
      <w:rFonts w:eastAsia="PMingLiU"/>
      <w:b w:val="0"/>
      <w:snapToGrid/>
      <w:sz w:val="26"/>
      <w:szCs w:val="24"/>
      <w:lang w:val="en-US" w:eastAsia="zh-TW"/>
    </w:rPr>
  </w:style>
  <w:style w:type="paragraph" w:customStyle="1" w:styleId="Sublevel11">
    <w:name w:val="Sublevel 1 (1)"/>
    <w:basedOn w:val="Normal"/>
    <w:link w:val="Sublevel11Char"/>
    <w:qFormat/>
    <w:rsid w:val="00FF3FEF"/>
    <w:pPr>
      <w:numPr>
        <w:numId w:val="5"/>
      </w:numPr>
      <w:suppressAutoHyphens/>
      <w:kinsoku/>
      <w:overflowPunct/>
      <w:autoSpaceDE/>
      <w:autoSpaceDN/>
      <w:adjustRightInd/>
      <w:snapToGrid/>
      <w:spacing w:after="320" w:line="360" w:lineRule="auto"/>
      <w:ind w:left="562" w:hanging="562"/>
    </w:pPr>
    <w:rPr>
      <w:rFonts w:eastAsia="PMingLiU"/>
      <w:b w:val="0"/>
      <w:snapToGrid/>
      <w:sz w:val="26"/>
      <w:szCs w:val="24"/>
      <w:lang w:val="en-US" w:eastAsia="zh-TW"/>
    </w:rPr>
  </w:style>
  <w:style w:type="character" w:customStyle="1" w:styleId="Sublevel2-aChar">
    <w:name w:val="Sublevel 2 - a Char"/>
    <w:link w:val="Sublevel2-a"/>
    <w:rsid w:val="00FF3FEF"/>
    <w:rPr>
      <w:rFonts w:eastAsia="PMingLiU"/>
      <w:sz w:val="26"/>
      <w:szCs w:val="24"/>
      <w:lang w:eastAsia="zh-TW"/>
    </w:rPr>
  </w:style>
  <w:style w:type="paragraph" w:customStyle="1" w:styleId="Sublevel3i">
    <w:name w:val="Sublevel 3 (i)"/>
    <w:basedOn w:val="Normal"/>
    <w:qFormat/>
    <w:rsid w:val="00FF3FEF"/>
    <w:pPr>
      <w:numPr>
        <w:ilvl w:val="2"/>
        <w:numId w:val="5"/>
      </w:numPr>
      <w:tabs>
        <w:tab w:val="clear" w:pos="1361"/>
        <w:tab w:val="num" w:pos="1080"/>
      </w:tabs>
      <w:suppressAutoHyphens/>
      <w:kinsoku/>
      <w:overflowPunct/>
      <w:autoSpaceDE/>
      <w:autoSpaceDN/>
      <w:adjustRightInd/>
      <w:snapToGrid/>
      <w:spacing w:after="120"/>
    </w:pPr>
    <w:rPr>
      <w:rFonts w:eastAsia="PMingLiU"/>
      <w:b w:val="0"/>
      <w:snapToGrid/>
      <w:sz w:val="26"/>
      <w:szCs w:val="24"/>
      <w:lang w:val="en-US" w:eastAsia="zh-HK"/>
    </w:rPr>
  </w:style>
  <w:style w:type="character" w:customStyle="1" w:styleId="Sublevel11Char">
    <w:name w:val="Sublevel 1 (1) Char"/>
    <w:link w:val="Sublevel11"/>
    <w:rsid w:val="00FF3FEF"/>
    <w:rPr>
      <w:rFonts w:eastAsia="PMingLiU"/>
      <w:sz w:val="26"/>
      <w:szCs w:val="24"/>
      <w:lang w:eastAsia="zh-TW"/>
    </w:rPr>
  </w:style>
  <w:style w:type="paragraph" w:customStyle="1" w:styleId="Sublevel4">
    <w:name w:val="Sublevel 4"/>
    <w:basedOn w:val="Normal"/>
    <w:qFormat/>
    <w:rsid w:val="00FF3FEF"/>
    <w:pPr>
      <w:numPr>
        <w:ilvl w:val="3"/>
        <w:numId w:val="5"/>
      </w:numPr>
      <w:suppressAutoHyphens/>
      <w:kinsoku/>
      <w:overflowPunct/>
      <w:autoSpaceDE/>
      <w:autoSpaceDN/>
      <w:adjustRightInd/>
      <w:snapToGrid/>
      <w:spacing w:after="120"/>
      <w:ind w:left="1417" w:hanging="510"/>
    </w:pPr>
    <w:rPr>
      <w:rFonts w:eastAsia="PMingLiU"/>
      <w:b w:val="0"/>
      <w:snapToGrid/>
      <w:sz w:val="26"/>
      <w:szCs w:val="24"/>
      <w:lang w:val="en-US" w:eastAsia="zh-TW"/>
    </w:rPr>
  </w:style>
  <w:style w:type="numbering" w:customStyle="1" w:styleId="1a">
    <w:name w:val="(1)(a)"/>
    <w:uiPriority w:val="99"/>
    <w:rsid w:val="00506CAA"/>
    <w:pPr>
      <w:numPr>
        <w:numId w:val="6"/>
      </w:numPr>
    </w:pPr>
  </w:style>
  <w:style w:type="numbering" w:customStyle="1" w:styleId="1i">
    <w:name w:val="(1)(i)"/>
    <w:uiPriority w:val="99"/>
    <w:rsid w:val="00F155A0"/>
    <w:pPr>
      <w:numPr>
        <w:numId w:val="8"/>
      </w:numPr>
    </w:pPr>
  </w:style>
  <w:style w:type="numbering" w:customStyle="1" w:styleId="Iia">
    <w:name w:val="(I)(i)(a)"/>
    <w:uiPriority w:val="99"/>
    <w:rsid w:val="0071601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752371">
      <w:bodyDiv w:val="1"/>
      <w:marLeft w:val="0"/>
      <w:marRight w:val="0"/>
      <w:marTop w:val="0"/>
      <w:marBottom w:val="0"/>
      <w:divBdr>
        <w:top w:val="none" w:sz="0" w:space="0" w:color="auto"/>
        <w:left w:val="none" w:sz="0" w:space="0" w:color="auto"/>
        <w:bottom w:val="none" w:sz="0" w:space="0" w:color="auto"/>
        <w:right w:val="none" w:sz="0" w:space="0" w:color="auto"/>
      </w:divBdr>
      <w:divsChild>
        <w:div w:id="1850371314">
          <w:marLeft w:val="0"/>
          <w:marRight w:val="0"/>
          <w:marTop w:val="0"/>
          <w:marBottom w:val="150"/>
          <w:divBdr>
            <w:top w:val="none" w:sz="0" w:space="0" w:color="auto"/>
            <w:left w:val="none" w:sz="0" w:space="0" w:color="auto"/>
            <w:bottom w:val="none" w:sz="0" w:space="0" w:color="auto"/>
            <w:right w:val="none" w:sz="0" w:space="0" w:color="auto"/>
          </w:divBdr>
          <w:divsChild>
            <w:div w:id="6112827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07634131">
      <w:bodyDiv w:val="1"/>
      <w:marLeft w:val="0"/>
      <w:marRight w:val="0"/>
      <w:marTop w:val="0"/>
      <w:marBottom w:val="0"/>
      <w:divBdr>
        <w:top w:val="none" w:sz="0" w:space="0" w:color="auto"/>
        <w:left w:val="none" w:sz="0" w:space="0" w:color="auto"/>
        <w:bottom w:val="none" w:sz="0" w:space="0" w:color="auto"/>
        <w:right w:val="none" w:sz="0" w:space="0" w:color="auto"/>
      </w:divBdr>
      <w:divsChild>
        <w:div w:id="1366369655">
          <w:marLeft w:val="0"/>
          <w:marRight w:val="0"/>
          <w:marTop w:val="0"/>
          <w:marBottom w:val="0"/>
          <w:divBdr>
            <w:top w:val="none" w:sz="0" w:space="0" w:color="auto"/>
            <w:left w:val="none" w:sz="0" w:space="0" w:color="auto"/>
            <w:bottom w:val="none" w:sz="0" w:space="0" w:color="auto"/>
            <w:right w:val="none" w:sz="0" w:space="0" w:color="auto"/>
          </w:divBdr>
        </w:div>
      </w:divsChild>
    </w:div>
    <w:div w:id="1877153293">
      <w:bodyDiv w:val="1"/>
      <w:marLeft w:val="0"/>
      <w:marRight w:val="0"/>
      <w:marTop w:val="0"/>
      <w:marBottom w:val="0"/>
      <w:divBdr>
        <w:top w:val="none" w:sz="0" w:space="0" w:color="auto"/>
        <w:left w:val="none" w:sz="0" w:space="0" w:color="auto"/>
        <w:bottom w:val="none" w:sz="0" w:space="0" w:color="auto"/>
        <w:right w:val="none" w:sz="0" w:space="0" w:color="auto"/>
      </w:divBdr>
      <w:divsChild>
        <w:div w:id="180473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C62E7-8B4D-43C2-AB37-C3C1C1EF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Pages>
  <Words>3297</Words>
  <Characters>18797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ManWah Lam</dc:creator>
  <cp:keywords/>
  <cp:lastModifiedBy>Windows User</cp:lastModifiedBy>
  <cp:revision>72</cp:revision>
  <cp:lastPrinted>2020-01-09T04:21:00Z</cp:lastPrinted>
  <dcterms:created xsi:type="dcterms:W3CDTF">2018-11-16T06:09:00Z</dcterms:created>
  <dcterms:modified xsi:type="dcterms:W3CDTF">2020-01-09T04:23:00Z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