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16C" w:rsidRPr="00E74343" w:rsidRDefault="00690FCB" w:rsidP="0000516C">
      <w:pPr>
        <w:pStyle w:val="normal1"/>
        <w:jc w:val="right"/>
        <w:rPr>
          <w:caps/>
        </w:rPr>
      </w:pPr>
      <w:r w:rsidRPr="00E74343">
        <w:rPr>
          <w:rFonts w:eastAsia="宋体"/>
          <w:caps/>
        </w:rPr>
        <w:t>CA</w:t>
      </w:r>
      <w:r w:rsidR="0000516C" w:rsidRPr="00E74343">
        <w:rPr>
          <w:rFonts w:eastAsia="宋体"/>
          <w:caps/>
        </w:rPr>
        <w:t>C</w:t>
      </w:r>
      <w:r w:rsidR="00D01D69" w:rsidRPr="00E74343">
        <w:rPr>
          <w:rFonts w:eastAsia="宋体"/>
          <w:caps/>
        </w:rPr>
        <w:t xml:space="preserve">C </w:t>
      </w:r>
      <w:r w:rsidR="008A3EA8" w:rsidRPr="00E74343">
        <w:rPr>
          <w:rFonts w:eastAsia="宋体"/>
          <w:caps/>
        </w:rPr>
        <w:t>338</w:t>
      </w:r>
      <w:r w:rsidR="0000516C" w:rsidRPr="00E74343">
        <w:rPr>
          <w:caps/>
        </w:rPr>
        <w:t>/</w:t>
      </w:r>
      <w:r w:rsidR="008A3EA8" w:rsidRPr="00E74343">
        <w:rPr>
          <w:caps/>
        </w:rPr>
        <w:t>2019</w:t>
      </w:r>
    </w:p>
    <w:p w:rsidR="0000516C" w:rsidRPr="00E74343" w:rsidRDefault="00B205B2" w:rsidP="0000516C">
      <w:pPr>
        <w:pStyle w:val="normal1"/>
        <w:tabs>
          <w:tab w:val="clear" w:pos="1411"/>
        </w:tabs>
        <w:jc w:val="right"/>
      </w:pPr>
      <w:r w:rsidRPr="00E74343">
        <w:t>[202</w:t>
      </w:r>
      <w:r w:rsidR="001B1A87" w:rsidRPr="00E74343">
        <w:t>1</w:t>
      </w:r>
      <w:r w:rsidR="0000516C" w:rsidRPr="00E74343">
        <w:t xml:space="preserve">] HKCA </w:t>
      </w:r>
      <w:r w:rsidR="003872A5" w:rsidRPr="003872A5">
        <w:t>168</w:t>
      </w:r>
    </w:p>
    <w:p w:rsidR="0000516C" w:rsidRPr="00E74343" w:rsidRDefault="0000516C" w:rsidP="0000516C">
      <w:pPr>
        <w:pStyle w:val="normal1"/>
        <w:tabs>
          <w:tab w:val="clear" w:pos="1411"/>
        </w:tabs>
      </w:pPr>
    </w:p>
    <w:p w:rsidR="0000516C" w:rsidRPr="00E74343" w:rsidRDefault="0000516C" w:rsidP="0000516C">
      <w:pPr>
        <w:pStyle w:val="normal2"/>
        <w:snapToGrid/>
        <w:spacing w:line="360" w:lineRule="auto"/>
        <w:rPr>
          <w:b/>
          <w:bCs/>
        </w:rPr>
      </w:pPr>
      <w:r w:rsidRPr="00E74343">
        <w:rPr>
          <w:b/>
          <w:bCs/>
        </w:rPr>
        <w:t>in the high court of the</w:t>
      </w:r>
    </w:p>
    <w:p w:rsidR="0000516C" w:rsidRPr="00E74343" w:rsidRDefault="0000516C" w:rsidP="0000516C">
      <w:pPr>
        <w:pStyle w:val="normal2"/>
        <w:snapToGrid/>
        <w:spacing w:line="360" w:lineRule="auto"/>
        <w:rPr>
          <w:b/>
          <w:bCs/>
        </w:rPr>
      </w:pPr>
      <w:r w:rsidRPr="00E74343">
        <w:rPr>
          <w:b/>
          <w:bCs/>
        </w:rPr>
        <w:t>hong kong special administrative region</w:t>
      </w:r>
    </w:p>
    <w:p w:rsidR="0000516C" w:rsidRPr="00E74343" w:rsidRDefault="0000516C" w:rsidP="0000516C">
      <w:pPr>
        <w:pStyle w:val="normal2"/>
        <w:snapToGrid/>
        <w:spacing w:line="360" w:lineRule="auto"/>
        <w:rPr>
          <w:b/>
          <w:bCs/>
        </w:rPr>
      </w:pPr>
      <w:r w:rsidRPr="00E74343">
        <w:rPr>
          <w:b/>
          <w:bCs/>
        </w:rPr>
        <w:t>court of appeal</w:t>
      </w:r>
    </w:p>
    <w:p w:rsidR="0000516C" w:rsidRPr="00E74343" w:rsidRDefault="00505CA8" w:rsidP="0000516C">
      <w:pPr>
        <w:pStyle w:val="normal3"/>
        <w:tabs>
          <w:tab w:val="clear" w:pos="4500"/>
          <w:tab w:val="clear" w:pos="9000"/>
        </w:tabs>
        <w:spacing w:line="360" w:lineRule="auto"/>
        <w:rPr>
          <w:rFonts w:eastAsia="宋体"/>
          <w:b w:val="0"/>
          <w:bCs/>
          <w:lang w:eastAsia="zh-CN"/>
        </w:rPr>
      </w:pPr>
      <w:r w:rsidRPr="00E74343">
        <w:rPr>
          <w:rFonts w:eastAsia="宋体"/>
          <w:b w:val="0"/>
          <w:bCs/>
          <w:lang w:eastAsia="zh-CN"/>
        </w:rPr>
        <w:t>crimi</w:t>
      </w:r>
      <w:r w:rsidR="0093212E" w:rsidRPr="00E74343">
        <w:rPr>
          <w:rFonts w:eastAsia="宋体"/>
          <w:b w:val="0"/>
          <w:bCs/>
          <w:lang w:eastAsia="zh-CN"/>
        </w:rPr>
        <w:t>nal</w:t>
      </w:r>
      <w:r w:rsidR="0000516C" w:rsidRPr="00E74343">
        <w:rPr>
          <w:rFonts w:eastAsia="宋体"/>
          <w:b w:val="0"/>
          <w:bCs/>
          <w:lang w:eastAsia="zh-CN"/>
        </w:rPr>
        <w:t xml:space="preserve"> </w:t>
      </w:r>
      <w:r w:rsidR="0000516C" w:rsidRPr="00E74343">
        <w:rPr>
          <w:b w:val="0"/>
          <w:bCs/>
        </w:rPr>
        <w:t xml:space="preserve">appeal no </w:t>
      </w:r>
      <w:r w:rsidR="008A3EA8" w:rsidRPr="00E74343">
        <w:rPr>
          <w:b w:val="0"/>
          <w:bCs/>
        </w:rPr>
        <w:t>338</w:t>
      </w:r>
      <w:r w:rsidR="0000516C" w:rsidRPr="00E74343">
        <w:rPr>
          <w:b w:val="0"/>
          <w:bCs/>
        </w:rPr>
        <w:t xml:space="preserve"> of</w:t>
      </w:r>
      <w:r w:rsidR="0093212E" w:rsidRPr="00E74343">
        <w:rPr>
          <w:b w:val="0"/>
          <w:bCs/>
        </w:rPr>
        <w:t xml:space="preserve"> </w:t>
      </w:r>
      <w:r w:rsidR="008A3EA8" w:rsidRPr="00E74343">
        <w:rPr>
          <w:b w:val="0"/>
          <w:bCs/>
        </w:rPr>
        <w:t>2019</w:t>
      </w:r>
    </w:p>
    <w:p w:rsidR="0000516C" w:rsidRPr="00E74343" w:rsidRDefault="0000516C" w:rsidP="0000516C">
      <w:pPr>
        <w:pStyle w:val="normal3"/>
        <w:tabs>
          <w:tab w:val="clear" w:pos="4500"/>
          <w:tab w:val="clear" w:pos="9000"/>
        </w:tabs>
        <w:spacing w:after="0"/>
        <w:rPr>
          <w:b w:val="0"/>
          <w:bCs/>
        </w:rPr>
      </w:pPr>
      <w:r w:rsidRPr="00E74343">
        <w:rPr>
          <w:b w:val="0"/>
          <w:bCs/>
        </w:rPr>
        <w:t>(on appeal from</w:t>
      </w:r>
      <w:r w:rsidR="0047735B" w:rsidRPr="00E74343">
        <w:rPr>
          <w:b w:val="0"/>
          <w:bCs/>
        </w:rPr>
        <w:t xml:space="preserve"> </w:t>
      </w:r>
      <w:r w:rsidR="008A3EA8" w:rsidRPr="00E74343">
        <w:rPr>
          <w:b w:val="0"/>
          <w:bCs/>
        </w:rPr>
        <w:t>HCCC</w:t>
      </w:r>
      <w:r w:rsidR="0047735B" w:rsidRPr="00E74343">
        <w:rPr>
          <w:b w:val="0"/>
          <w:bCs/>
        </w:rPr>
        <w:t xml:space="preserve"> </w:t>
      </w:r>
      <w:r w:rsidRPr="00E74343">
        <w:rPr>
          <w:rFonts w:eastAsia="宋体"/>
          <w:b w:val="0"/>
          <w:bCs/>
          <w:lang w:eastAsia="zh-CN"/>
        </w:rPr>
        <w:t>NO</w:t>
      </w:r>
      <w:r w:rsidR="0047735B" w:rsidRPr="00E74343">
        <w:rPr>
          <w:rFonts w:eastAsia="宋体"/>
          <w:b w:val="0"/>
          <w:bCs/>
          <w:lang w:eastAsia="zh-CN"/>
        </w:rPr>
        <w:t xml:space="preserve"> </w:t>
      </w:r>
      <w:r w:rsidR="008A3EA8" w:rsidRPr="00E74343">
        <w:rPr>
          <w:rFonts w:eastAsia="宋体"/>
          <w:b w:val="0"/>
          <w:bCs/>
          <w:lang w:eastAsia="zh-CN"/>
        </w:rPr>
        <w:t>87</w:t>
      </w:r>
      <w:r w:rsidRPr="00E74343">
        <w:rPr>
          <w:rFonts w:eastAsia="宋体"/>
          <w:b w:val="0"/>
          <w:bCs/>
          <w:lang w:eastAsia="zh-CN"/>
        </w:rPr>
        <w:t xml:space="preserve"> </w:t>
      </w:r>
      <w:r w:rsidRPr="00E74343">
        <w:rPr>
          <w:b w:val="0"/>
          <w:bCs/>
        </w:rPr>
        <w:t xml:space="preserve">of </w:t>
      </w:r>
      <w:r w:rsidR="008A3EA8" w:rsidRPr="00E74343">
        <w:rPr>
          <w:b w:val="0"/>
          <w:bCs/>
        </w:rPr>
        <w:t>2019</w:t>
      </w:r>
      <w:r w:rsidRPr="00E74343">
        <w:rPr>
          <w:b w:val="0"/>
          <w:bCs/>
        </w:rPr>
        <w:t>)</w:t>
      </w:r>
    </w:p>
    <w:tbl>
      <w:tblPr>
        <w:tblW w:w="0" w:type="auto"/>
        <w:jc w:val="center"/>
        <w:tblBorders>
          <w:bottom w:val="single" w:sz="4" w:space="0" w:color="auto"/>
        </w:tblBorders>
        <w:tblLook w:val="0000" w:firstRow="0" w:lastRow="0" w:firstColumn="0" w:lastColumn="0" w:noHBand="0" w:noVBand="0"/>
      </w:tblPr>
      <w:tblGrid>
        <w:gridCol w:w="3150"/>
      </w:tblGrid>
      <w:tr w:rsidR="0000516C" w:rsidRPr="00E74343" w:rsidTr="00C45449">
        <w:trPr>
          <w:jc w:val="center"/>
        </w:trPr>
        <w:tc>
          <w:tcPr>
            <w:tcW w:w="3150" w:type="dxa"/>
          </w:tcPr>
          <w:p w:rsidR="0000516C" w:rsidRPr="00E74343" w:rsidRDefault="0000516C" w:rsidP="00C45449">
            <w:pPr>
              <w:pStyle w:val="sh"/>
              <w:tabs>
                <w:tab w:val="clear" w:pos="720"/>
              </w:tabs>
              <w:snapToGrid w:val="0"/>
              <w:jc w:val="center"/>
              <w:rPr>
                <w:lang w:val="en-GB"/>
              </w:rPr>
            </w:pPr>
          </w:p>
        </w:tc>
      </w:tr>
    </w:tbl>
    <w:p w:rsidR="0000516C" w:rsidRPr="00E74343" w:rsidRDefault="0000516C" w:rsidP="0000516C">
      <w:pPr>
        <w:pStyle w:val="Heading6"/>
        <w:spacing w:before="240" w:after="240"/>
        <w:rPr>
          <w:b w:val="0"/>
          <w:sz w:val="28"/>
          <w:szCs w:val="28"/>
        </w:rPr>
      </w:pPr>
      <w:r w:rsidRPr="00E74343">
        <w:rPr>
          <w:b w:val="0"/>
          <w:sz w:val="28"/>
          <w:szCs w:val="28"/>
        </w:rPr>
        <w:t>BETWEEN</w:t>
      </w:r>
    </w:p>
    <w:tbl>
      <w:tblPr>
        <w:tblW w:w="7308" w:type="dxa"/>
        <w:tblInd w:w="1530" w:type="dxa"/>
        <w:tblLayout w:type="fixed"/>
        <w:tblLook w:val="0000" w:firstRow="0" w:lastRow="0" w:firstColumn="0" w:lastColumn="0" w:noHBand="0" w:noVBand="0"/>
      </w:tblPr>
      <w:tblGrid>
        <w:gridCol w:w="1080"/>
        <w:gridCol w:w="3150"/>
        <w:gridCol w:w="1080"/>
        <w:gridCol w:w="1998"/>
      </w:tblGrid>
      <w:tr w:rsidR="00D01D69" w:rsidRPr="00E74343" w:rsidTr="00C45449">
        <w:trPr>
          <w:cantSplit/>
          <w:trHeight w:val="504"/>
        </w:trPr>
        <w:tc>
          <w:tcPr>
            <w:tcW w:w="5310" w:type="dxa"/>
            <w:gridSpan w:val="3"/>
          </w:tcPr>
          <w:p w:rsidR="00D01D69" w:rsidRPr="00E74343" w:rsidRDefault="008A3EA8" w:rsidP="00690FCB">
            <w:pPr>
              <w:pStyle w:val="sh"/>
              <w:tabs>
                <w:tab w:val="clear" w:pos="720"/>
                <w:tab w:val="clear" w:pos="1440"/>
                <w:tab w:val="clear" w:pos="4320"/>
              </w:tabs>
              <w:jc w:val="center"/>
              <w:rPr>
                <w:lang w:val="en-GB"/>
              </w:rPr>
            </w:pPr>
            <w:r w:rsidRPr="00E74343">
              <w:rPr>
                <w:lang w:val="en-GB"/>
              </w:rPr>
              <w:t>HKSAR</w:t>
            </w:r>
          </w:p>
        </w:tc>
        <w:tc>
          <w:tcPr>
            <w:tcW w:w="1998" w:type="dxa"/>
          </w:tcPr>
          <w:p w:rsidR="00D01D69" w:rsidRPr="00E74343" w:rsidRDefault="00D01D69" w:rsidP="00C45449">
            <w:pPr>
              <w:pStyle w:val="sh"/>
              <w:tabs>
                <w:tab w:val="clear" w:pos="720"/>
                <w:tab w:val="clear" w:pos="1440"/>
              </w:tabs>
              <w:rPr>
                <w:lang w:val="en-GB"/>
              </w:rPr>
            </w:pPr>
            <w:r w:rsidRPr="00E74343">
              <w:rPr>
                <w:lang w:val="en-GB"/>
              </w:rPr>
              <w:t>Respondent</w:t>
            </w:r>
          </w:p>
        </w:tc>
      </w:tr>
      <w:tr w:rsidR="00D01D69" w:rsidRPr="00E74343" w:rsidTr="00C45449">
        <w:trPr>
          <w:cantSplit/>
          <w:trHeight w:val="504"/>
        </w:trPr>
        <w:tc>
          <w:tcPr>
            <w:tcW w:w="5310" w:type="dxa"/>
            <w:gridSpan w:val="3"/>
          </w:tcPr>
          <w:p w:rsidR="00D01D69" w:rsidRPr="00E74343" w:rsidRDefault="00D01D69" w:rsidP="00C45449">
            <w:pPr>
              <w:pStyle w:val="sh"/>
              <w:tabs>
                <w:tab w:val="clear" w:pos="720"/>
                <w:tab w:val="clear" w:pos="1440"/>
                <w:tab w:val="clear" w:pos="4320"/>
              </w:tabs>
              <w:jc w:val="center"/>
              <w:rPr>
                <w:lang w:val="en-GB"/>
              </w:rPr>
            </w:pPr>
            <w:r w:rsidRPr="00E74343">
              <w:rPr>
                <w:lang w:val="en-GB"/>
              </w:rPr>
              <w:t>and</w:t>
            </w:r>
          </w:p>
        </w:tc>
        <w:tc>
          <w:tcPr>
            <w:tcW w:w="1998" w:type="dxa"/>
          </w:tcPr>
          <w:p w:rsidR="00D01D69" w:rsidRPr="00E74343" w:rsidRDefault="00D01D69" w:rsidP="00C45449">
            <w:pPr>
              <w:pStyle w:val="sh"/>
              <w:tabs>
                <w:tab w:val="clear" w:pos="720"/>
                <w:tab w:val="clear" w:pos="1440"/>
              </w:tabs>
              <w:rPr>
                <w:lang w:val="en-GB"/>
              </w:rPr>
            </w:pPr>
          </w:p>
        </w:tc>
      </w:tr>
      <w:tr w:rsidR="00D01D69" w:rsidRPr="00E74343" w:rsidTr="00C45449">
        <w:trPr>
          <w:cantSplit/>
          <w:trHeight w:val="504"/>
        </w:trPr>
        <w:tc>
          <w:tcPr>
            <w:tcW w:w="5310" w:type="dxa"/>
            <w:gridSpan w:val="3"/>
          </w:tcPr>
          <w:p w:rsidR="00D01D69" w:rsidRPr="00E74343" w:rsidRDefault="008A3EA8" w:rsidP="00C45449">
            <w:pPr>
              <w:pStyle w:val="sh"/>
              <w:tabs>
                <w:tab w:val="clear" w:pos="720"/>
                <w:tab w:val="clear" w:pos="1440"/>
                <w:tab w:val="clear" w:pos="4320"/>
              </w:tabs>
              <w:jc w:val="center"/>
              <w:rPr>
                <w:lang w:val="en-GB"/>
              </w:rPr>
            </w:pPr>
            <w:r w:rsidRPr="00E74343">
              <w:rPr>
                <w:lang w:val="en-GB"/>
              </w:rPr>
              <w:t>Shum Man Fai (</w:t>
            </w:r>
            <w:r w:rsidRPr="00E74343">
              <w:rPr>
                <w:lang w:val="en-GB"/>
              </w:rPr>
              <w:t>岑文輝</w:t>
            </w:r>
            <w:r w:rsidRPr="00E74343">
              <w:rPr>
                <w:lang w:val="en-GB"/>
              </w:rPr>
              <w:t>)</w:t>
            </w:r>
          </w:p>
        </w:tc>
        <w:tc>
          <w:tcPr>
            <w:tcW w:w="1998" w:type="dxa"/>
          </w:tcPr>
          <w:p w:rsidR="00D01D69" w:rsidRPr="00E74343" w:rsidRDefault="00E74343" w:rsidP="00C45449">
            <w:pPr>
              <w:pStyle w:val="sh"/>
              <w:tabs>
                <w:tab w:val="clear" w:pos="720"/>
                <w:tab w:val="clear" w:pos="1440"/>
              </w:tabs>
              <w:rPr>
                <w:lang w:val="en-GB"/>
              </w:rPr>
            </w:pPr>
            <w:r w:rsidRPr="00E74343">
              <w:rPr>
                <w:lang w:val="en-GB"/>
              </w:rPr>
              <w:t>Appellant</w:t>
            </w:r>
          </w:p>
        </w:tc>
      </w:tr>
      <w:tr w:rsidR="0047735B" w:rsidRPr="00E74343" w:rsidTr="00C45449">
        <w:tblPrEx>
          <w:tblBorders>
            <w:bottom w:val="single" w:sz="4" w:space="0" w:color="auto"/>
          </w:tblBorders>
        </w:tblPrEx>
        <w:trPr>
          <w:gridBefore w:val="1"/>
          <w:gridAfter w:val="2"/>
          <w:wBefore w:w="1080" w:type="dxa"/>
          <w:wAfter w:w="3078" w:type="dxa"/>
        </w:trPr>
        <w:tc>
          <w:tcPr>
            <w:tcW w:w="3150" w:type="dxa"/>
          </w:tcPr>
          <w:p w:rsidR="0047735B" w:rsidRPr="00E74343" w:rsidRDefault="0047735B" w:rsidP="00C45449">
            <w:pPr>
              <w:pStyle w:val="sh"/>
              <w:tabs>
                <w:tab w:val="clear" w:pos="720"/>
              </w:tabs>
              <w:snapToGrid w:val="0"/>
              <w:jc w:val="center"/>
              <w:rPr>
                <w:lang w:val="en-GB"/>
              </w:rPr>
            </w:pPr>
          </w:p>
        </w:tc>
      </w:tr>
    </w:tbl>
    <w:p w:rsidR="00D01D69" w:rsidRPr="00E74343" w:rsidRDefault="00D01D69" w:rsidP="00D01D69">
      <w:pPr>
        <w:spacing w:before="360" w:after="120"/>
        <w:jc w:val="left"/>
        <w:rPr>
          <w:rFonts w:eastAsia="宋体"/>
          <w:b w:val="0"/>
          <w:bCs/>
          <w:sz w:val="28"/>
        </w:rPr>
      </w:pPr>
      <w:r w:rsidRPr="00E74343">
        <w:rPr>
          <w:rFonts w:eastAsia="宋体"/>
          <w:b w:val="0"/>
          <w:bCs/>
          <w:sz w:val="28"/>
        </w:rPr>
        <w:t xml:space="preserve">Before: Hon </w:t>
      </w:r>
      <w:proofErr w:type="spellStart"/>
      <w:r w:rsidRPr="00E74343">
        <w:rPr>
          <w:rFonts w:eastAsia="宋体"/>
          <w:b w:val="0"/>
          <w:bCs/>
          <w:sz w:val="28"/>
        </w:rPr>
        <w:t>Macrae</w:t>
      </w:r>
      <w:proofErr w:type="spellEnd"/>
      <w:r w:rsidRPr="00E74343">
        <w:rPr>
          <w:rFonts w:eastAsia="宋体"/>
          <w:b w:val="0"/>
          <w:bCs/>
          <w:sz w:val="28"/>
        </w:rPr>
        <w:t xml:space="preserve"> VP</w:t>
      </w:r>
      <w:r w:rsidR="008A3EA8" w:rsidRPr="00E74343">
        <w:rPr>
          <w:rFonts w:eastAsia="宋体"/>
          <w:b w:val="0"/>
          <w:bCs/>
          <w:sz w:val="28"/>
        </w:rPr>
        <w:t xml:space="preserve">, </w:t>
      </w:r>
      <w:proofErr w:type="spellStart"/>
      <w:r w:rsidR="008A3EA8" w:rsidRPr="00E74343">
        <w:rPr>
          <w:rFonts w:eastAsia="宋体"/>
          <w:b w:val="0"/>
          <w:bCs/>
          <w:sz w:val="28"/>
        </w:rPr>
        <w:t>McWalters</w:t>
      </w:r>
      <w:proofErr w:type="spellEnd"/>
      <w:r w:rsidR="008A3EA8" w:rsidRPr="00E74343">
        <w:rPr>
          <w:rFonts w:eastAsia="宋体"/>
          <w:b w:val="0"/>
          <w:bCs/>
          <w:sz w:val="28"/>
        </w:rPr>
        <w:t xml:space="preserve"> JA and </w:t>
      </w:r>
      <w:proofErr w:type="spellStart"/>
      <w:r w:rsidR="008A3EA8" w:rsidRPr="00E74343">
        <w:rPr>
          <w:rFonts w:eastAsia="宋体"/>
          <w:b w:val="0"/>
          <w:bCs/>
          <w:sz w:val="28"/>
        </w:rPr>
        <w:t>Zervos</w:t>
      </w:r>
      <w:proofErr w:type="spellEnd"/>
      <w:r w:rsidR="008A3EA8" w:rsidRPr="00E74343">
        <w:rPr>
          <w:rFonts w:eastAsia="宋体"/>
          <w:b w:val="0"/>
          <w:bCs/>
          <w:sz w:val="28"/>
        </w:rPr>
        <w:t xml:space="preserve"> JA</w:t>
      </w:r>
      <w:r w:rsidRPr="00E74343">
        <w:rPr>
          <w:rFonts w:eastAsia="宋体"/>
          <w:b w:val="0"/>
          <w:bCs/>
          <w:sz w:val="28"/>
        </w:rPr>
        <w:t xml:space="preserve"> in Court</w:t>
      </w:r>
    </w:p>
    <w:p w:rsidR="006E72BD" w:rsidRPr="00E74343" w:rsidRDefault="0000516C" w:rsidP="0000516C">
      <w:pPr>
        <w:spacing w:after="120"/>
        <w:jc w:val="left"/>
        <w:rPr>
          <w:b w:val="0"/>
          <w:bCs/>
          <w:sz w:val="28"/>
        </w:rPr>
      </w:pPr>
      <w:r w:rsidRPr="00E74343">
        <w:rPr>
          <w:b w:val="0"/>
          <w:bCs/>
          <w:sz w:val="28"/>
        </w:rPr>
        <w:t xml:space="preserve">Date of Hearing: </w:t>
      </w:r>
      <w:r w:rsidR="008A3EA8" w:rsidRPr="00E74343">
        <w:rPr>
          <w:b w:val="0"/>
          <w:bCs/>
          <w:sz w:val="28"/>
        </w:rPr>
        <w:t>12 January 2021</w:t>
      </w:r>
    </w:p>
    <w:p w:rsidR="008A3EA8" w:rsidRPr="00E74343" w:rsidRDefault="0000516C" w:rsidP="0000516C">
      <w:pPr>
        <w:spacing w:after="120"/>
        <w:jc w:val="left"/>
        <w:rPr>
          <w:rFonts w:eastAsia="宋体"/>
          <w:b w:val="0"/>
          <w:bCs/>
          <w:sz w:val="28"/>
        </w:rPr>
      </w:pPr>
      <w:r w:rsidRPr="00E74343">
        <w:rPr>
          <w:rFonts w:eastAsia="宋体"/>
          <w:b w:val="0"/>
          <w:bCs/>
          <w:sz w:val="28"/>
        </w:rPr>
        <w:t xml:space="preserve">Date of Judgment: </w:t>
      </w:r>
      <w:r w:rsidR="0003059C">
        <w:rPr>
          <w:rFonts w:eastAsia="宋体"/>
          <w:b w:val="0"/>
          <w:bCs/>
          <w:sz w:val="28"/>
        </w:rPr>
        <w:t>10 February 2021</w:t>
      </w:r>
    </w:p>
    <w:p w:rsidR="0000516C" w:rsidRPr="00E74343" w:rsidRDefault="0000516C" w:rsidP="0000516C">
      <w:pPr>
        <w:spacing w:after="120"/>
        <w:jc w:val="left"/>
        <w:rPr>
          <w:rFonts w:eastAsia="宋体"/>
          <w:b w:val="0"/>
          <w:bCs/>
          <w:sz w:val="28"/>
        </w:rPr>
      </w:pPr>
    </w:p>
    <w:tbl>
      <w:tblPr>
        <w:tblW w:w="0" w:type="auto"/>
        <w:jc w:val="center"/>
        <w:tblBorders>
          <w:top w:val="single" w:sz="4" w:space="0" w:color="auto"/>
          <w:bottom w:val="single" w:sz="4" w:space="0" w:color="auto"/>
        </w:tblBorders>
        <w:tblLook w:val="0000" w:firstRow="0" w:lastRow="0" w:firstColumn="0" w:lastColumn="0" w:noHBand="0" w:noVBand="0"/>
      </w:tblPr>
      <w:tblGrid>
        <w:gridCol w:w="3714"/>
      </w:tblGrid>
      <w:tr w:rsidR="005F3076" w:rsidRPr="00E74343" w:rsidTr="008A3EA8">
        <w:trPr>
          <w:trHeight w:val="1088"/>
          <w:jc w:val="center"/>
        </w:trPr>
        <w:tc>
          <w:tcPr>
            <w:tcW w:w="3714" w:type="dxa"/>
            <w:vAlign w:val="center"/>
          </w:tcPr>
          <w:p w:rsidR="005F3076" w:rsidRPr="00E74343" w:rsidRDefault="008A3EA8" w:rsidP="00C45449">
            <w:pPr>
              <w:pStyle w:val="sh"/>
              <w:tabs>
                <w:tab w:val="clear" w:pos="720"/>
                <w:tab w:val="clear" w:pos="1440"/>
                <w:tab w:val="clear" w:pos="4320"/>
              </w:tabs>
              <w:snapToGrid w:val="0"/>
              <w:spacing w:before="200" w:after="200"/>
              <w:jc w:val="center"/>
              <w:rPr>
                <w:lang w:val="en-GB"/>
              </w:rPr>
            </w:pPr>
            <w:r w:rsidRPr="00E74343">
              <w:rPr>
                <w:lang w:val="en-GB"/>
              </w:rPr>
              <w:t>J</w:t>
            </w:r>
            <w:r w:rsidR="002B255B">
              <w:rPr>
                <w:lang w:val="en-GB"/>
              </w:rPr>
              <w:t xml:space="preserve"> </w:t>
            </w:r>
            <w:r w:rsidRPr="00E74343">
              <w:rPr>
                <w:lang w:val="en-GB"/>
              </w:rPr>
              <w:t>U</w:t>
            </w:r>
            <w:r w:rsidR="002B255B">
              <w:rPr>
                <w:lang w:val="en-GB"/>
              </w:rPr>
              <w:t xml:space="preserve"> </w:t>
            </w:r>
            <w:r w:rsidRPr="00E74343">
              <w:rPr>
                <w:lang w:val="en-GB"/>
              </w:rPr>
              <w:t>D</w:t>
            </w:r>
            <w:r w:rsidR="002B255B">
              <w:rPr>
                <w:lang w:val="en-GB"/>
              </w:rPr>
              <w:t xml:space="preserve"> </w:t>
            </w:r>
            <w:r w:rsidRPr="00E74343">
              <w:rPr>
                <w:lang w:val="en-GB"/>
              </w:rPr>
              <w:t>G</w:t>
            </w:r>
            <w:r w:rsidR="002B255B">
              <w:rPr>
                <w:lang w:val="en-GB"/>
              </w:rPr>
              <w:t xml:space="preserve"> </w:t>
            </w:r>
            <w:r w:rsidRPr="00E74343">
              <w:rPr>
                <w:lang w:val="en-GB"/>
              </w:rPr>
              <w:t>M</w:t>
            </w:r>
            <w:r w:rsidR="002B255B">
              <w:rPr>
                <w:lang w:val="en-GB"/>
              </w:rPr>
              <w:t xml:space="preserve"> </w:t>
            </w:r>
            <w:r w:rsidRPr="00E74343">
              <w:rPr>
                <w:lang w:val="en-GB"/>
              </w:rPr>
              <w:t>E</w:t>
            </w:r>
            <w:r w:rsidR="002B255B">
              <w:rPr>
                <w:lang w:val="en-GB"/>
              </w:rPr>
              <w:t xml:space="preserve"> </w:t>
            </w:r>
            <w:r w:rsidRPr="00E74343">
              <w:rPr>
                <w:lang w:val="en-GB"/>
              </w:rPr>
              <w:t>N</w:t>
            </w:r>
            <w:r w:rsidR="002B255B">
              <w:rPr>
                <w:lang w:val="en-GB"/>
              </w:rPr>
              <w:t xml:space="preserve"> </w:t>
            </w:r>
            <w:r w:rsidRPr="00E74343">
              <w:rPr>
                <w:lang w:val="en-GB"/>
              </w:rPr>
              <w:t>T</w:t>
            </w:r>
          </w:p>
        </w:tc>
      </w:tr>
    </w:tbl>
    <w:p w:rsidR="009024E9" w:rsidRPr="00E74343" w:rsidRDefault="002B39A2" w:rsidP="0000516C">
      <w:pPr>
        <w:pStyle w:val="T-Draft"/>
        <w:keepNext/>
        <w:numPr>
          <w:ilvl w:val="0"/>
          <w:numId w:val="0"/>
        </w:numPr>
        <w:spacing w:before="240"/>
      </w:pPr>
      <w:r w:rsidRPr="00E74343">
        <w:t xml:space="preserve">Hon </w:t>
      </w:r>
      <w:proofErr w:type="spellStart"/>
      <w:r w:rsidR="00D01D69" w:rsidRPr="00E74343">
        <w:t>Macrae</w:t>
      </w:r>
      <w:proofErr w:type="spellEnd"/>
      <w:r w:rsidR="00D01D69" w:rsidRPr="00E74343">
        <w:t xml:space="preserve"> </w:t>
      </w:r>
      <w:r w:rsidR="00E55285" w:rsidRPr="00E74343">
        <w:t>VP</w:t>
      </w:r>
      <w:r w:rsidR="008A3EA8" w:rsidRPr="00E74343">
        <w:t xml:space="preserve"> </w:t>
      </w:r>
      <w:r w:rsidR="00D01D69" w:rsidRPr="00E74343">
        <w:t>(giving the Judgment of the Court)</w:t>
      </w:r>
      <w:r w:rsidR="009024E9" w:rsidRPr="00E74343">
        <w:t>:</w:t>
      </w:r>
    </w:p>
    <w:p w:rsidR="008A3EA8" w:rsidRPr="00E74343" w:rsidRDefault="008A3EA8" w:rsidP="008A3EA8">
      <w:pPr>
        <w:pStyle w:val="T-Draft"/>
        <w:rPr>
          <w:rFonts w:eastAsia="PMingLiU"/>
          <w:lang w:eastAsia="zh-TW"/>
        </w:rPr>
      </w:pPr>
      <w:r w:rsidRPr="00E74343">
        <w:rPr>
          <w:rFonts w:eastAsia="PMingLiU"/>
          <w:lang w:eastAsia="zh-TW"/>
        </w:rPr>
        <w:t xml:space="preserve">Following a trial before M Poon J (“the judge”) </w:t>
      </w:r>
      <w:r w:rsidR="008C1B96">
        <w:rPr>
          <w:rFonts w:eastAsia="PMingLiU"/>
          <w:lang w:eastAsia="zh-TW"/>
        </w:rPr>
        <w:t>and</w:t>
      </w:r>
      <w:r w:rsidRPr="00E74343">
        <w:rPr>
          <w:rFonts w:eastAsia="PMingLiU"/>
          <w:lang w:eastAsia="zh-TW"/>
        </w:rPr>
        <w:t xml:space="preserve"> a jury, the appellant was convicted</w:t>
      </w:r>
      <w:r w:rsidR="00825B33">
        <w:rPr>
          <w:rFonts w:eastAsia="PMingLiU"/>
          <w:lang w:eastAsia="zh-TW"/>
        </w:rPr>
        <w:t xml:space="preserve"> by a majority (6:1)</w:t>
      </w:r>
      <w:r w:rsidRPr="00E74343">
        <w:rPr>
          <w:rFonts w:eastAsia="PMingLiU"/>
          <w:lang w:eastAsia="zh-TW"/>
        </w:rPr>
        <w:t xml:space="preserve"> </w:t>
      </w:r>
      <w:r w:rsidR="00B235C7">
        <w:rPr>
          <w:rFonts w:eastAsia="PMingLiU"/>
          <w:lang w:eastAsia="zh-TW"/>
        </w:rPr>
        <w:t xml:space="preserve">of the </w:t>
      </w:r>
      <w:r w:rsidR="008C1B96">
        <w:rPr>
          <w:rFonts w:eastAsia="PMingLiU"/>
          <w:lang w:eastAsia="zh-TW"/>
        </w:rPr>
        <w:t xml:space="preserve">manslaughter of </w:t>
      </w:r>
      <w:r w:rsidR="00B466E7">
        <w:rPr>
          <w:rFonts w:eastAsia="PMingLiU"/>
          <w:lang w:eastAsia="zh-TW"/>
        </w:rPr>
        <w:t xml:space="preserve">Mr </w:t>
      </w:r>
      <w:r w:rsidR="00587A4A" w:rsidRPr="00587A4A">
        <w:rPr>
          <w:rFonts w:eastAsia="PMingLiU"/>
          <w:b/>
          <w:lang w:eastAsia="zh-TW"/>
        </w:rPr>
        <w:t>‍</w:t>
      </w:r>
      <w:r w:rsidRPr="00E74343">
        <w:rPr>
          <w:rFonts w:eastAsia="PMingLiU"/>
          <w:lang w:eastAsia="zh-TW"/>
        </w:rPr>
        <w:t xml:space="preserve">Wong </w:t>
      </w:r>
      <w:r w:rsidR="00E74343" w:rsidRPr="00E74343">
        <w:rPr>
          <w:rFonts w:eastAsia="PMingLiU"/>
          <w:b/>
          <w:lang w:eastAsia="zh-TW"/>
        </w:rPr>
        <w:t>‍</w:t>
      </w:r>
      <w:proofErr w:type="spellStart"/>
      <w:r w:rsidRPr="00E74343">
        <w:rPr>
          <w:rFonts w:eastAsia="PMingLiU"/>
          <w:lang w:eastAsia="zh-TW"/>
        </w:rPr>
        <w:t>Yat-ming</w:t>
      </w:r>
      <w:proofErr w:type="spellEnd"/>
      <w:r w:rsidRPr="00E74343">
        <w:rPr>
          <w:rFonts w:eastAsia="PMingLiU"/>
          <w:lang w:eastAsia="zh-TW"/>
        </w:rPr>
        <w:t xml:space="preserve"> (“the deceased”)</w:t>
      </w:r>
      <w:r w:rsidR="00825B33">
        <w:rPr>
          <w:rFonts w:eastAsia="PMingLiU"/>
          <w:lang w:eastAsia="zh-TW"/>
        </w:rPr>
        <w:t>,</w:t>
      </w:r>
      <w:r w:rsidRPr="00E74343">
        <w:rPr>
          <w:rFonts w:eastAsia="PMingLiU"/>
          <w:lang w:eastAsia="zh-TW"/>
        </w:rPr>
        <w:t xml:space="preserve"> contrary to Common Law and punishable under section 7 of the Offences against the Person Ordinance, Cap 212.  On </w:t>
      </w:r>
      <w:r w:rsidR="00B235C7">
        <w:rPr>
          <w:rFonts w:eastAsia="PMingLiU"/>
          <w:lang w:eastAsia="zh-TW"/>
        </w:rPr>
        <w:t>6 November 2019, he</w:t>
      </w:r>
      <w:r w:rsidRPr="00E74343">
        <w:rPr>
          <w:rFonts w:eastAsia="PMingLiU"/>
          <w:lang w:eastAsia="zh-TW"/>
        </w:rPr>
        <w:t xml:space="preserve"> was sentenced to 3 years’ imprisonment.  </w:t>
      </w:r>
    </w:p>
    <w:p w:rsidR="0093212E" w:rsidRDefault="008A3EA8" w:rsidP="008A3EA8">
      <w:pPr>
        <w:pStyle w:val="T-Draft"/>
        <w:rPr>
          <w:rFonts w:eastAsia="PMingLiU"/>
          <w:lang w:eastAsia="zh-TW"/>
        </w:rPr>
      </w:pPr>
      <w:r w:rsidRPr="00E74343">
        <w:rPr>
          <w:rFonts w:eastAsia="PMingLiU"/>
          <w:lang w:eastAsia="zh-TW"/>
        </w:rPr>
        <w:lastRenderedPageBreak/>
        <w:t xml:space="preserve">On 26 November 2019, the appellant filed a Notice of Application for Leave to Appeal (Form XI) in respect of </w:t>
      </w:r>
      <w:r w:rsidR="008C1B96">
        <w:rPr>
          <w:rFonts w:eastAsia="PMingLiU"/>
          <w:lang w:eastAsia="zh-TW"/>
        </w:rPr>
        <w:t xml:space="preserve">both </w:t>
      </w:r>
      <w:r w:rsidRPr="00E74343">
        <w:rPr>
          <w:rFonts w:eastAsia="PMingLiU"/>
          <w:lang w:eastAsia="zh-TW"/>
        </w:rPr>
        <w:t xml:space="preserve">his conviction and sentence.  On 9 April 2020, </w:t>
      </w:r>
      <w:r w:rsidR="008C1B96">
        <w:rPr>
          <w:rFonts w:eastAsia="PMingLiU"/>
          <w:lang w:eastAsia="zh-TW"/>
        </w:rPr>
        <w:t>he was</w:t>
      </w:r>
      <w:r w:rsidR="00B235C7">
        <w:rPr>
          <w:rFonts w:eastAsia="PMingLiU"/>
          <w:lang w:eastAsia="zh-TW"/>
        </w:rPr>
        <w:t xml:space="preserve"> </w:t>
      </w:r>
      <w:r w:rsidRPr="00E74343">
        <w:rPr>
          <w:rFonts w:eastAsia="PMingLiU"/>
          <w:lang w:eastAsia="zh-TW"/>
        </w:rPr>
        <w:t xml:space="preserve">granted bail pending appeal </w:t>
      </w:r>
      <w:r w:rsidR="008C1B96">
        <w:rPr>
          <w:rFonts w:eastAsia="PMingLiU"/>
          <w:lang w:eastAsia="zh-TW"/>
        </w:rPr>
        <w:t>by the Single Judge</w:t>
      </w:r>
      <w:r w:rsidR="008C1B96">
        <w:rPr>
          <w:rStyle w:val="FootnoteReference"/>
          <w:rFonts w:eastAsia="PMingLiU"/>
          <w:lang w:eastAsia="zh-TW"/>
        </w:rPr>
        <w:footnoteReference w:id="1"/>
      </w:r>
      <w:r w:rsidRPr="00E74343">
        <w:rPr>
          <w:rFonts w:eastAsia="PMingLiU"/>
          <w:lang w:eastAsia="zh-TW"/>
        </w:rPr>
        <w:t xml:space="preserve"> </w:t>
      </w:r>
      <w:r w:rsidR="00732EFD">
        <w:rPr>
          <w:rFonts w:eastAsia="PMingLiU"/>
          <w:lang w:eastAsia="zh-TW"/>
        </w:rPr>
        <w:t>on the basis of</w:t>
      </w:r>
      <w:r w:rsidRPr="00E74343">
        <w:rPr>
          <w:rFonts w:eastAsia="PMingLiU"/>
          <w:lang w:eastAsia="zh-TW"/>
        </w:rPr>
        <w:t xml:space="preserve"> the merits </w:t>
      </w:r>
      <w:r w:rsidR="00B235C7">
        <w:rPr>
          <w:rFonts w:eastAsia="PMingLiU"/>
          <w:lang w:eastAsia="zh-TW"/>
        </w:rPr>
        <w:t xml:space="preserve">of his appeal </w:t>
      </w:r>
      <w:r w:rsidRPr="00E74343">
        <w:rPr>
          <w:rFonts w:eastAsia="PMingLiU"/>
          <w:lang w:eastAsia="zh-TW"/>
        </w:rPr>
        <w:t xml:space="preserve">and </w:t>
      </w:r>
      <w:r w:rsidR="00B235C7">
        <w:rPr>
          <w:rFonts w:eastAsia="PMingLiU"/>
          <w:lang w:eastAsia="zh-TW"/>
        </w:rPr>
        <w:t>on the</w:t>
      </w:r>
      <w:r w:rsidRPr="00E74343">
        <w:rPr>
          <w:rFonts w:eastAsia="PMingLiU"/>
          <w:lang w:eastAsia="zh-TW"/>
        </w:rPr>
        <w:t xml:space="preserve"> time bas</w:t>
      </w:r>
      <w:r w:rsidR="00732EFD">
        <w:rPr>
          <w:rFonts w:eastAsia="PMingLiU"/>
          <w:lang w:eastAsia="zh-TW"/>
        </w:rPr>
        <w:t>i</w:t>
      </w:r>
      <w:r w:rsidRPr="00E74343">
        <w:rPr>
          <w:rFonts w:eastAsia="PMingLiU"/>
          <w:lang w:eastAsia="zh-TW"/>
        </w:rPr>
        <w:t xml:space="preserve">s.  </w:t>
      </w:r>
      <w:r w:rsidR="00B235C7">
        <w:rPr>
          <w:rFonts w:eastAsia="PMingLiU"/>
          <w:lang w:eastAsia="zh-TW"/>
        </w:rPr>
        <w:t>At the same time, l</w:t>
      </w:r>
      <w:r w:rsidRPr="00E74343">
        <w:rPr>
          <w:rFonts w:eastAsia="PMingLiU"/>
          <w:lang w:eastAsia="zh-TW"/>
        </w:rPr>
        <w:t>eave to appeal against both conviction and sentence was also granted</w:t>
      </w:r>
      <w:r w:rsidR="008C1B96">
        <w:rPr>
          <w:rFonts w:eastAsia="PMingLiU"/>
          <w:lang w:eastAsia="zh-TW"/>
        </w:rPr>
        <w:t xml:space="preserve">, for reasons </w:t>
      </w:r>
      <w:r w:rsidR="00732EFD">
        <w:rPr>
          <w:rFonts w:eastAsia="PMingLiU"/>
          <w:lang w:eastAsia="zh-TW"/>
        </w:rPr>
        <w:t xml:space="preserve">which were </w:t>
      </w:r>
      <w:r w:rsidR="008C1B96">
        <w:rPr>
          <w:rFonts w:eastAsia="PMingLiU"/>
          <w:lang w:eastAsia="zh-TW"/>
        </w:rPr>
        <w:t>later reduced into writing</w:t>
      </w:r>
      <w:r w:rsidRPr="00E74343">
        <w:rPr>
          <w:rFonts w:eastAsia="PMingLiU"/>
          <w:vertAlign w:val="superscript"/>
          <w:lang w:eastAsia="zh-TW"/>
        </w:rPr>
        <w:footnoteReference w:id="2"/>
      </w:r>
      <w:r w:rsidRPr="00E74343">
        <w:rPr>
          <w:rFonts w:eastAsia="PMingLiU"/>
          <w:lang w:eastAsia="zh-TW"/>
        </w:rPr>
        <w:t>.</w:t>
      </w:r>
    </w:p>
    <w:p w:rsidR="004146E0" w:rsidRPr="00E74343" w:rsidRDefault="004146E0" w:rsidP="008A3EA8">
      <w:pPr>
        <w:pStyle w:val="T-Draft"/>
        <w:rPr>
          <w:rFonts w:eastAsia="PMingLiU"/>
          <w:lang w:eastAsia="zh-TW"/>
        </w:rPr>
      </w:pPr>
      <w:r>
        <w:rPr>
          <w:rFonts w:eastAsia="PMingLiU"/>
          <w:lang w:eastAsia="zh-TW"/>
        </w:rPr>
        <w:t>On 12 January 2021, having heard argument from the parties, we reserved our decision</w:t>
      </w:r>
      <w:r w:rsidR="00357A31">
        <w:rPr>
          <w:rFonts w:eastAsia="PMingLiU"/>
          <w:lang w:eastAsia="zh-TW"/>
        </w:rPr>
        <w:t xml:space="preserve"> in this matter.  This is our judgment and the reasons therefor.</w:t>
      </w:r>
    </w:p>
    <w:p w:rsidR="00506CAA" w:rsidRPr="00E74343" w:rsidRDefault="008A3EA8" w:rsidP="008A3EA8">
      <w:pPr>
        <w:pStyle w:val="j-heading"/>
      </w:pPr>
      <w:r w:rsidRPr="00E74343">
        <w:t>The prosecution case</w:t>
      </w:r>
    </w:p>
    <w:p w:rsidR="00F968B6" w:rsidRDefault="00B235C7" w:rsidP="008A3EA8">
      <w:pPr>
        <w:pStyle w:val="T-Draft"/>
      </w:pPr>
      <w:r>
        <w:t>The</w:t>
      </w:r>
      <w:r w:rsidR="008A3EA8" w:rsidRPr="00E74343">
        <w:t xml:space="preserve"> appellant was </w:t>
      </w:r>
      <w:r>
        <w:t xml:space="preserve">the ex-boyfriend of </w:t>
      </w:r>
      <w:r w:rsidR="00623DD6">
        <w:t xml:space="preserve">Ms Wong </w:t>
      </w:r>
      <w:proofErr w:type="spellStart"/>
      <w:r w:rsidR="00623DD6">
        <w:t>Chuk-kwan</w:t>
      </w:r>
      <w:proofErr w:type="spellEnd"/>
      <w:r w:rsidR="00623DD6">
        <w:t xml:space="preserve"> (“</w:t>
      </w:r>
      <w:r w:rsidR="008A3EA8" w:rsidRPr="00E74343">
        <w:t>PW1</w:t>
      </w:r>
      <w:r w:rsidR="00623DD6">
        <w:t>”):</w:t>
      </w:r>
      <w:r w:rsidR="008A3EA8" w:rsidRPr="00E74343">
        <w:t xml:space="preserve"> the deceased was </w:t>
      </w:r>
      <w:r w:rsidR="00623DD6">
        <w:t>PW1’s</w:t>
      </w:r>
      <w:r w:rsidR="008A3EA8" w:rsidRPr="00E74343">
        <w:t xml:space="preserve"> current boyfriend.  </w:t>
      </w:r>
      <w:r>
        <w:t xml:space="preserve">Despite the fact that they were no longer in a relationship, the appellant and PW1 </w:t>
      </w:r>
      <w:r w:rsidR="00241DD5">
        <w:t>seemed to have</w:t>
      </w:r>
      <w:r w:rsidR="00623DD6">
        <w:t xml:space="preserve"> </w:t>
      </w:r>
      <w:r>
        <w:t xml:space="preserve">remained on friendly terms.  </w:t>
      </w:r>
      <w:r w:rsidR="008A3EA8" w:rsidRPr="00E74343">
        <w:t xml:space="preserve">In the early evening of 16 </w:t>
      </w:r>
      <w:r w:rsidR="007F6474" w:rsidRPr="007F6474">
        <w:rPr>
          <w:b/>
        </w:rPr>
        <w:t>‍</w:t>
      </w:r>
      <w:r w:rsidR="008A3EA8" w:rsidRPr="00E74343">
        <w:t xml:space="preserve">July </w:t>
      </w:r>
      <w:r w:rsidR="007F6474" w:rsidRPr="007F6474">
        <w:rPr>
          <w:b/>
        </w:rPr>
        <w:t>‍</w:t>
      </w:r>
      <w:r w:rsidR="008A3EA8" w:rsidRPr="00E74343">
        <w:t xml:space="preserve">2018, </w:t>
      </w:r>
      <w:r w:rsidR="00825B33">
        <w:t xml:space="preserve">pursuant to an earlier arrangement, </w:t>
      </w:r>
      <w:r w:rsidR="008A3EA8" w:rsidRPr="00E74343">
        <w:t xml:space="preserve">the appellant met with PW1 </w:t>
      </w:r>
      <w:r>
        <w:t>for dinner</w:t>
      </w:r>
      <w:r w:rsidR="008A3EA8" w:rsidRPr="00E74343">
        <w:t xml:space="preserve"> </w:t>
      </w:r>
      <w:r w:rsidR="00587A4A" w:rsidRPr="00587A4A">
        <w:rPr>
          <w:b/>
        </w:rPr>
        <w:t>‍</w:t>
      </w:r>
      <w:r w:rsidR="008A3EA8" w:rsidRPr="00E74343">
        <w:t>in Kowloon City</w:t>
      </w:r>
      <w:r w:rsidR="008A3EA8" w:rsidRPr="00E74343">
        <w:rPr>
          <w:vertAlign w:val="superscript"/>
        </w:rPr>
        <w:footnoteReference w:id="3"/>
      </w:r>
      <w:r w:rsidR="008A3EA8" w:rsidRPr="00E74343">
        <w:t>.  As they parted company</w:t>
      </w:r>
      <w:r w:rsidR="00623DD6">
        <w:t xml:space="preserve"> after dinner</w:t>
      </w:r>
      <w:r w:rsidR="008A3EA8" w:rsidRPr="00E74343">
        <w:t xml:space="preserve"> </w:t>
      </w:r>
      <w:r w:rsidR="008C1B96">
        <w:t xml:space="preserve">in </w:t>
      </w:r>
      <w:proofErr w:type="spellStart"/>
      <w:r w:rsidR="008C1B96">
        <w:t>Hau</w:t>
      </w:r>
      <w:proofErr w:type="spellEnd"/>
      <w:r w:rsidR="008C1B96">
        <w:t xml:space="preserve"> </w:t>
      </w:r>
      <w:r w:rsidR="00587A4A" w:rsidRPr="00587A4A">
        <w:rPr>
          <w:b/>
        </w:rPr>
        <w:t>‍</w:t>
      </w:r>
      <w:r w:rsidR="008C1B96">
        <w:t xml:space="preserve">Wong </w:t>
      </w:r>
      <w:r w:rsidR="00587A4A" w:rsidRPr="00587A4A">
        <w:rPr>
          <w:b/>
        </w:rPr>
        <w:t>‍</w:t>
      </w:r>
      <w:r w:rsidR="008C1B96">
        <w:t xml:space="preserve">Road </w:t>
      </w:r>
      <w:r w:rsidR="008A3EA8" w:rsidRPr="00E74343">
        <w:t xml:space="preserve">and were walking to </w:t>
      </w:r>
      <w:r w:rsidR="00623DD6">
        <w:t>where their respective cars were parked</w:t>
      </w:r>
      <w:r w:rsidR="008A3EA8" w:rsidRPr="00E74343">
        <w:t xml:space="preserve">, the deceased, who </w:t>
      </w:r>
      <w:r>
        <w:t>was d</w:t>
      </w:r>
      <w:r w:rsidR="008A3EA8" w:rsidRPr="00E74343">
        <w:t xml:space="preserve">riving in the area, </w:t>
      </w:r>
      <w:r>
        <w:t>happened to see the</w:t>
      </w:r>
      <w:r w:rsidR="00825B33">
        <w:t xml:space="preserve"> appellant and PW1</w:t>
      </w:r>
      <w:r w:rsidR="008C1B96">
        <w:t xml:space="preserve"> walking</w:t>
      </w:r>
      <w:r w:rsidR="008A3EA8" w:rsidRPr="00E74343">
        <w:t xml:space="preserve"> together</w:t>
      </w:r>
      <w:r w:rsidR="00623DD6">
        <w:t xml:space="preserve">.  The deceased became very agitated by what he saw, stopped his car and </w:t>
      </w:r>
      <w:r w:rsidR="00D378E1">
        <w:t>ran</w:t>
      </w:r>
      <w:r w:rsidR="00623DD6">
        <w:t xml:space="preserve"> across the road, tripping over in the process.  He </w:t>
      </w:r>
      <w:r w:rsidR="00B26BE6">
        <w:t xml:space="preserve">immediately </w:t>
      </w:r>
      <w:r w:rsidR="00623DD6">
        <w:t xml:space="preserve">went up to PW1, punched her in the face, squeezed her neck and threw her against a car.  PW1 </w:t>
      </w:r>
      <w:r w:rsidR="00825B33">
        <w:t xml:space="preserve">immediately </w:t>
      </w:r>
      <w:r w:rsidR="00623DD6">
        <w:t>cried out for help</w:t>
      </w:r>
      <w:r w:rsidR="00F968B6">
        <w:t>.</w:t>
      </w:r>
    </w:p>
    <w:p w:rsidR="00B26BE6" w:rsidRDefault="008C1B96" w:rsidP="008A3EA8">
      <w:pPr>
        <w:pStyle w:val="T-Draft"/>
      </w:pPr>
      <w:r>
        <w:lastRenderedPageBreak/>
        <w:t>By the time of the assault on PW1,</w:t>
      </w:r>
      <w:r w:rsidR="00B26BE6">
        <w:t xml:space="preserve"> the appellant had already got into his car</w:t>
      </w:r>
      <w:r w:rsidR="00825B33">
        <w:t>, which was</w:t>
      </w:r>
      <w:r w:rsidR="00B26BE6">
        <w:t xml:space="preserve"> </w:t>
      </w:r>
      <w:r w:rsidR="00825B33">
        <w:t>some</w:t>
      </w:r>
      <w:r w:rsidR="00B26BE6">
        <w:t xml:space="preserve"> three or four</w:t>
      </w:r>
      <w:r w:rsidR="00825B33">
        <w:t xml:space="preserve"> spaces away from PW1’s car.</w:t>
      </w:r>
      <w:r w:rsidR="00B26BE6">
        <w:t xml:space="preserve">  Hearing PW1’s cries for help and seeing </w:t>
      </w:r>
      <w:r w:rsidR="000E749A">
        <w:t>a commotion</w:t>
      </w:r>
      <w:r w:rsidR="00B26BE6">
        <w:t xml:space="preserve">, he alighted from his car </w:t>
      </w:r>
      <w:r w:rsidR="008A3EA8" w:rsidRPr="00E74343">
        <w:t xml:space="preserve">and </w:t>
      </w:r>
      <w:r w:rsidR="00B26BE6">
        <w:t>walked to a position</w:t>
      </w:r>
      <w:r w:rsidR="008A3EA8" w:rsidRPr="00E74343">
        <w:t xml:space="preserve"> outside a wine shop </w:t>
      </w:r>
      <w:r w:rsidR="00B26BE6">
        <w:t>on the ground floor of No</w:t>
      </w:r>
      <w:r w:rsidR="000E749A">
        <w:t>’</w:t>
      </w:r>
      <w:r w:rsidR="000B1FEF">
        <w:t>s</w:t>
      </w:r>
      <w:r w:rsidR="00B26BE6">
        <w:t xml:space="preserve"> 6</w:t>
      </w:r>
      <w:r w:rsidR="000B1FEF">
        <w:t>-</w:t>
      </w:r>
      <w:r w:rsidR="00B26BE6">
        <w:t xml:space="preserve">10, </w:t>
      </w:r>
      <w:proofErr w:type="spellStart"/>
      <w:r w:rsidR="008A3EA8" w:rsidRPr="00E74343">
        <w:t>Hau</w:t>
      </w:r>
      <w:proofErr w:type="spellEnd"/>
      <w:r w:rsidR="008A3EA8" w:rsidRPr="00E74343">
        <w:t xml:space="preserve"> </w:t>
      </w:r>
      <w:r w:rsidR="000B1FEF" w:rsidRPr="000B1FEF">
        <w:rPr>
          <w:b/>
        </w:rPr>
        <w:t>‍</w:t>
      </w:r>
      <w:r w:rsidR="008A3EA8" w:rsidRPr="00E74343">
        <w:t xml:space="preserve">Wong </w:t>
      </w:r>
      <w:r w:rsidR="000B1FEF" w:rsidRPr="000B1FEF">
        <w:rPr>
          <w:b/>
        </w:rPr>
        <w:t>‍</w:t>
      </w:r>
      <w:r w:rsidR="008A3EA8" w:rsidRPr="00E74343">
        <w:t>Road</w:t>
      </w:r>
      <w:r w:rsidR="00F06397">
        <w:t>.</w:t>
      </w:r>
      <w:r w:rsidR="008A3EA8" w:rsidRPr="00E74343">
        <w:t xml:space="preserve"> </w:t>
      </w:r>
      <w:r w:rsidR="00B26BE6">
        <w:t xml:space="preserve"> The </w:t>
      </w:r>
      <w:r w:rsidR="00FD7424">
        <w:t>wine shop had three</w:t>
      </w:r>
      <w:r w:rsidR="00B26BE6">
        <w:t xml:space="preserve"> CCTV cameras</w:t>
      </w:r>
      <w:r w:rsidR="00F06397">
        <w:t>,</w:t>
      </w:r>
      <w:r w:rsidR="00B26BE6">
        <w:t xml:space="preserve"> one inside, the other</w:t>
      </w:r>
      <w:r w:rsidR="00FD7424">
        <w:t xml:space="preserve"> two</w:t>
      </w:r>
      <w:r w:rsidR="00B26BE6">
        <w:t xml:space="preserve"> outside the wine shop, </w:t>
      </w:r>
      <w:r w:rsidR="00FD7424">
        <w:t xml:space="preserve">all of which </w:t>
      </w:r>
      <w:r w:rsidR="00061A2C">
        <w:t xml:space="preserve">were </w:t>
      </w:r>
      <w:r w:rsidR="00F06397">
        <w:t>in operation</w:t>
      </w:r>
      <w:r w:rsidR="00FD7424">
        <w:t xml:space="preserve"> at the relevant time</w:t>
      </w:r>
      <w:r w:rsidR="00F06397">
        <w:rPr>
          <w:rStyle w:val="FootnoteReference"/>
        </w:rPr>
        <w:footnoteReference w:id="4"/>
      </w:r>
      <w:r w:rsidR="00FD7424">
        <w:t xml:space="preserve">.  The quality of </w:t>
      </w:r>
      <w:r w:rsidR="00F14FBA">
        <w:t>all of</w:t>
      </w:r>
      <w:r w:rsidR="00061A2C">
        <w:t xml:space="preserve"> </w:t>
      </w:r>
      <w:r w:rsidR="00FD7424">
        <w:t xml:space="preserve">the </w:t>
      </w:r>
      <w:r w:rsidR="00825B33">
        <w:t xml:space="preserve">CCTV </w:t>
      </w:r>
      <w:r w:rsidR="00F06397">
        <w:t>material</w:t>
      </w:r>
      <w:r w:rsidR="00061A2C">
        <w:t xml:space="preserve"> </w:t>
      </w:r>
      <w:r w:rsidR="00FD7424">
        <w:t xml:space="preserve">was very good and </w:t>
      </w:r>
      <w:r w:rsidR="00F14FBA">
        <w:t>two of the</w:t>
      </w:r>
      <w:r w:rsidR="00F06397">
        <w:t xml:space="preserve"> videos</w:t>
      </w:r>
      <w:r w:rsidR="00F14FBA">
        <w:t xml:space="preserve"> in particular </w:t>
      </w:r>
      <w:r w:rsidR="00FD7424">
        <w:t xml:space="preserve">enabled the jury and this Court to see with unusual clarity, and also to hear, much of what took place </w:t>
      </w:r>
      <w:r w:rsidR="00F06397">
        <w:t xml:space="preserve">at the time </w:t>
      </w:r>
      <w:r w:rsidR="00FD7424">
        <w:t xml:space="preserve">outside on the pavement.  The </w:t>
      </w:r>
      <w:r w:rsidR="00825B33">
        <w:t xml:space="preserve">CCTV </w:t>
      </w:r>
      <w:r w:rsidR="00FD7424">
        <w:t xml:space="preserve">videos and a transcript of the conversation </w:t>
      </w:r>
      <w:r w:rsidR="00F06397">
        <w:t xml:space="preserve">between the appellant, the deceased and PW1, </w:t>
      </w:r>
      <w:r w:rsidR="00D378E1">
        <w:t xml:space="preserve">and later, the ambulance men and police, </w:t>
      </w:r>
      <w:r w:rsidR="00FD7424">
        <w:t xml:space="preserve">which </w:t>
      </w:r>
      <w:r w:rsidR="00F06397">
        <w:t>was recorded by one of the cameras,</w:t>
      </w:r>
      <w:r w:rsidR="00FD7424">
        <w:t xml:space="preserve"> w</w:t>
      </w:r>
      <w:r w:rsidR="00F06397">
        <w:t>ere</w:t>
      </w:r>
      <w:r w:rsidR="00FD7424">
        <w:t xml:space="preserve"> produced </w:t>
      </w:r>
      <w:r w:rsidR="00F06397">
        <w:t xml:space="preserve">as </w:t>
      </w:r>
      <w:r w:rsidR="00F14FBA">
        <w:t>Exhibit</w:t>
      </w:r>
      <w:r w:rsidR="000E749A">
        <w:t>s</w:t>
      </w:r>
      <w:r w:rsidR="00F14FBA">
        <w:t xml:space="preserve"> P1 and P5 respectively</w:t>
      </w:r>
      <w:r w:rsidR="00061A2C">
        <w:t>.</w:t>
      </w:r>
    </w:p>
    <w:p w:rsidR="009F38AF" w:rsidRDefault="00F14FBA" w:rsidP="002D7AD7">
      <w:pPr>
        <w:pStyle w:val="T-Draft"/>
      </w:pPr>
      <w:r>
        <w:t>The CCTV evidence showed th</w:t>
      </w:r>
      <w:r w:rsidR="00F06397">
        <w:t>at the</w:t>
      </w:r>
      <w:r w:rsidR="008A3EA8" w:rsidRPr="00E74343">
        <w:t xml:space="preserve"> deceased </w:t>
      </w:r>
      <w:r>
        <w:t>“dash</w:t>
      </w:r>
      <w:r w:rsidR="00F06397">
        <w:t>ed</w:t>
      </w:r>
      <w:r>
        <w:t xml:space="preserve"> towards” the appellant (to use the language of the Admitted Facts</w:t>
      </w:r>
      <w:r w:rsidR="00F06397">
        <w:rPr>
          <w:rStyle w:val="FootnoteReference"/>
        </w:rPr>
        <w:footnoteReference w:id="5"/>
      </w:r>
      <w:r>
        <w:t>) in a</w:t>
      </w:r>
      <w:r w:rsidR="00241DD5">
        <w:t xml:space="preserve"> highly agitated</w:t>
      </w:r>
      <w:r>
        <w:t xml:space="preserve"> state. </w:t>
      </w:r>
      <w:r w:rsidR="000E749A">
        <w:t xml:space="preserve"> </w:t>
      </w:r>
      <w:r>
        <w:t>There was brief bodily contact in which the appellant used</w:t>
      </w:r>
      <w:r w:rsidR="005B375A">
        <w:t xml:space="preserve"> his left hand to fend off the deceased and</w:t>
      </w:r>
      <w:r>
        <w:t xml:space="preserve"> his right elbow </w:t>
      </w:r>
      <w:r w:rsidR="005B375A">
        <w:t>to make</w:t>
      </w:r>
      <w:r>
        <w:t xml:space="preserve"> a defensive strike at the deceased as </w:t>
      </w:r>
      <w:r w:rsidR="000E749A">
        <w:t>the latter</w:t>
      </w:r>
      <w:r>
        <w:t xml:space="preserve"> charged into him.  The two men </w:t>
      </w:r>
      <w:r w:rsidR="000E749A">
        <w:t>quickly</w:t>
      </w:r>
      <w:r>
        <w:t xml:space="preserve"> separated and there was a</w:t>
      </w:r>
      <w:r w:rsidR="00F22D41">
        <w:t xml:space="preserve"> verbal exchange</w:t>
      </w:r>
      <w:r w:rsidR="00791890">
        <w:t xml:space="preserve"> for about one minute</w:t>
      </w:r>
      <w:r w:rsidR="00F22D41">
        <w:t xml:space="preserve">, with both men pointing at each other and the appellant </w:t>
      </w:r>
      <w:r w:rsidR="00791890">
        <w:t xml:space="preserve">initially </w:t>
      </w:r>
      <w:r w:rsidR="00F22D41">
        <w:t xml:space="preserve">assuming a defensive stance.  </w:t>
      </w:r>
      <w:r w:rsidR="005363AB">
        <w:t>During the exchange, the appellant is heard telling the deceased that</w:t>
      </w:r>
      <w:r w:rsidR="00241DD5">
        <w:t xml:space="preserve"> he did not want to </w:t>
      </w:r>
      <w:r w:rsidR="005363AB">
        <w:t>fight or touch him</w:t>
      </w:r>
      <w:r w:rsidR="00241DD5">
        <w:rPr>
          <w:rStyle w:val="FootnoteReference"/>
        </w:rPr>
        <w:footnoteReference w:id="6"/>
      </w:r>
      <w:r w:rsidR="00241DD5">
        <w:t xml:space="preserve">.  </w:t>
      </w:r>
      <w:r w:rsidR="00F22D41">
        <w:t xml:space="preserve">PW1 </w:t>
      </w:r>
      <w:r w:rsidR="005363AB">
        <w:t xml:space="preserve">then </w:t>
      </w:r>
      <w:r w:rsidR="00F22D41">
        <w:t>appeared holding the left side of her face, which had earli</w:t>
      </w:r>
      <w:r w:rsidR="00791890">
        <w:t xml:space="preserve">er been struck by the deceased, </w:t>
      </w:r>
      <w:r w:rsidR="005363AB">
        <w:t xml:space="preserve">and </w:t>
      </w:r>
      <w:r w:rsidR="00791890">
        <w:t>both men</w:t>
      </w:r>
      <w:r w:rsidR="00F22D41">
        <w:t xml:space="preserve"> appeared to relax their positions.</w:t>
      </w:r>
      <w:r w:rsidR="008A3EA8" w:rsidRPr="00E74343">
        <w:t xml:space="preserve">  </w:t>
      </w:r>
      <w:r w:rsidR="00F22D41">
        <w:t xml:space="preserve">All three then had certain verbal exchanges, with the deceased </w:t>
      </w:r>
      <w:r w:rsidR="00D378E1">
        <w:t xml:space="preserve">repeatedly </w:t>
      </w:r>
      <w:r w:rsidR="009F38AF">
        <w:lastRenderedPageBreak/>
        <w:t>questioning</w:t>
      </w:r>
      <w:r w:rsidR="00F22D41">
        <w:t xml:space="preserve"> why </w:t>
      </w:r>
      <w:r w:rsidR="005B375A">
        <w:t>the appellant</w:t>
      </w:r>
      <w:r w:rsidR="00F22D41">
        <w:t xml:space="preserve"> should have been together with PW1</w:t>
      </w:r>
      <w:r w:rsidR="009F38AF">
        <w:t xml:space="preserve">.  This </w:t>
      </w:r>
      <w:r w:rsidR="00B712FC">
        <w:t>part</w:t>
      </w:r>
      <w:r w:rsidR="009F38AF">
        <w:t xml:space="preserve"> of the incident was referred to by the parties and the judge at trial as “Episode 1”.</w:t>
      </w:r>
    </w:p>
    <w:p w:rsidR="00E07DDC" w:rsidRDefault="00D378E1" w:rsidP="002D7AD7">
      <w:pPr>
        <w:pStyle w:val="T-Draft"/>
      </w:pPr>
      <w:r>
        <w:t>In the course of</w:t>
      </w:r>
      <w:r w:rsidR="009F38AF">
        <w:t xml:space="preserve"> the deceased </w:t>
      </w:r>
      <w:r>
        <w:t>persistently querying</w:t>
      </w:r>
      <w:r w:rsidR="009F38AF">
        <w:t xml:space="preserve"> why the appellant </w:t>
      </w:r>
      <w:r>
        <w:t>should have been</w:t>
      </w:r>
      <w:r w:rsidR="009F38AF">
        <w:t xml:space="preserve"> together with PW1, </w:t>
      </w:r>
      <w:r>
        <w:t>during which he pointed</w:t>
      </w:r>
      <w:r w:rsidR="009F38AF">
        <w:t xml:space="preserve"> out that it was not the first time he had </w:t>
      </w:r>
      <w:r w:rsidR="00166340">
        <w:t>“</w:t>
      </w:r>
      <w:r w:rsidR="009F38AF">
        <w:t>bumped into</w:t>
      </w:r>
      <w:r w:rsidR="00166340">
        <w:t>”</w:t>
      </w:r>
      <w:r w:rsidR="009F38AF">
        <w:t xml:space="preserve"> the two of them together</w:t>
      </w:r>
      <w:r w:rsidR="00166340">
        <w:rPr>
          <w:rStyle w:val="FootnoteReference"/>
        </w:rPr>
        <w:footnoteReference w:id="7"/>
      </w:r>
      <w:r w:rsidR="009F38AF">
        <w:t>, he suddenly gave the appellant a forceful push, at which the appellant punched the deceased back, initially missing his target.  It is what happened thereafter that was the subject of dispute</w:t>
      </w:r>
      <w:r w:rsidR="000E749A">
        <w:t>,</w:t>
      </w:r>
      <w:r w:rsidR="00E07DDC">
        <w:t xml:space="preserve"> and which is critical to </w:t>
      </w:r>
      <w:r w:rsidR="005B375A">
        <w:t>an</w:t>
      </w:r>
      <w:r w:rsidR="00E07DDC">
        <w:t xml:space="preserve"> analysis of whether the offence of manslaughter was committed</w:t>
      </w:r>
      <w:r w:rsidR="009F38AF">
        <w:t>.</w:t>
      </w:r>
      <w:r w:rsidR="00B712FC">
        <w:t xml:space="preserve">  This part of the incident was referred to at trial as “Episode </w:t>
      </w:r>
      <w:r w:rsidR="00587A4A" w:rsidRPr="00587A4A">
        <w:rPr>
          <w:b/>
        </w:rPr>
        <w:t>‍</w:t>
      </w:r>
      <w:r w:rsidR="00B712FC">
        <w:t>2”.</w:t>
      </w:r>
    </w:p>
    <w:p w:rsidR="008A3EA8" w:rsidRPr="00E74343" w:rsidRDefault="00166340" w:rsidP="002D7AD7">
      <w:pPr>
        <w:pStyle w:val="T-Draft"/>
      </w:pPr>
      <w:r>
        <w:t>It was the prosecution case that</w:t>
      </w:r>
      <w:r w:rsidR="008A3EA8" w:rsidRPr="00E74343">
        <w:t xml:space="preserve"> the appellant </w:t>
      </w:r>
      <w:r w:rsidR="006B4175">
        <w:t xml:space="preserve">had </w:t>
      </w:r>
      <w:r w:rsidR="008A3EA8" w:rsidRPr="00E74343">
        <w:t xml:space="preserve">over-reacted </w:t>
      </w:r>
      <w:r w:rsidR="00D378E1">
        <w:t>to</w:t>
      </w:r>
      <w:r w:rsidR="008A3EA8" w:rsidRPr="00E74343">
        <w:t xml:space="preserve"> the deceased’s </w:t>
      </w:r>
      <w:r w:rsidR="006B4175">
        <w:t xml:space="preserve">initial </w:t>
      </w:r>
      <w:r w:rsidR="008A3EA8" w:rsidRPr="00E74343">
        <w:t xml:space="preserve">aggression by </w:t>
      </w:r>
      <w:r w:rsidR="00791890">
        <w:t xml:space="preserve">aiming three </w:t>
      </w:r>
      <w:r w:rsidR="006B4175">
        <w:t>blows</w:t>
      </w:r>
      <w:r w:rsidR="00791890">
        <w:t xml:space="preserve"> at him</w:t>
      </w:r>
      <w:r w:rsidR="00B712FC">
        <w:t xml:space="preserve"> during Episode 2</w:t>
      </w:r>
      <w:r w:rsidR="006B4175">
        <w:t>:</w:t>
      </w:r>
      <w:r w:rsidR="008A3EA8" w:rsidRPr="00E74343">
        <w:t xml:space="preserve"> a first </w:t>
      </w:r>
      <w:r w:rsidR="006B4175">
        <w:t>punch which</w:t>
      </w:r>
      <w:r w:rsidR="008A3EA8" w:rsidRPr="00E74343">
        <w:t xml:space="preserve"> </w:t>
      </w:r>
      <w:r>
        <w:t>missed its target</w:t>
      </w:r>
      <w:r w:rsidR="006B4175">
        <w:t>;</w:t>
      </w:r>
      <w:r w:rsidR="008A3EA8" w:rsidRPr="00E74343">
        <w:t xml:space="preserve"> a second </w:t>
      </w:r>
      <w:r w:rsidR="006B4175">
        <w:t>punch</w:t>
      </w:r>
      <w:r w:rsidR="008A3EA8" w:rsidRPr="00E74343">
        <w:t xml:space="preserve"> </w:t>
      </w:r>
      <w:r w:rsidR="006B4175">
        <w:t>which</w:t>
      </w:r>
      <w:r w:rsidR="008A3EA8" w:rsidRPr="00E74343">
        <w:t xml:space="preserve"> landed on the deceased’s head</w:t>
      </w:r>
      <w:r>
        <w:t xml:space="preserve">, causing </w:t>
      </w:r>
      <w:r w:rsidR="006B4175">
        <w:t>him</w:t>
      </w:r>
      <w:r>
        <w:t xml:space="preserve"> </w:t>
      </w:r>
      <w:r w:rsidR="008A3EA8" w:rsidRPr="00E74343">
        <w:t xml:space="preserve">to lose his balance and fall </w:t>
      </w:r>
      <w:r w:rsidR="00B712FC">
        <w:t>i</w:t>
      </w:r>
      <w:r w:rsidR="008A3EA8" w:rsidRPr="00E74343">
        <w:t>nto</w:t>
      </w:r>
      <w:r w:rsidR="00A472BA">
        <w:t>,</w:t>
      </w:r>
      <w:r w:rsidR="00B712FC">
        <w:t xml:space="preserve"> or onto</w:t>
      </w:r>
      <w:r w:rsidR="00A472BA">
        <w:t>,</w:t>
      </w:r>
      <w:r w:rsidR="008A3EA8" w:rsidRPr="00E74343">
        <w:t xml:space="preserve"> a wine</w:t>
      </w:r>
      <w:r w:rsidR="00A472BA">
        <w:t>-</w:t>
      </w:r>
      <w:r w:rsidR="008A3EA8" w:rsidRPr="00E74343">
        <w:t xml:space="preserve">rack </w:t>
      </w:r>
      <w:r w:rsidR="003F5EB6">
        <w:t xml:space="preserve">placed </w:t>
      </w:r>
      <w:r w:rsidR="008A3EA8" w:rsidRPr="00E74343">
        <w:t>on the pavement</w:t>
      </w:r>
      <w:r w:rsidR="006B4175">
        <w:t>;</w:t>
      </w:r>
      <w:r w:rsidR="008A3EA8" w:rsidRPr="00E74343">
        <w:t xml:space="preserve"> </w:t>
      </w:r>
      <w:r w:rsidR="00791890">
        <w:t>and</w:t>
      </w:r>
      <w:r w:rsidR="008A3EA8" w:rsidRPr="00E74343">
        <w:t xml:space="preserve"> a third </w:t>
      </w:r>
      <w:r w:rsidR="006B4175">
        <w:t>punch</w:t>
      </w:r>
      <w:r w:rsidR="008A3EA8" w:rsidRPr="00E74343">
        <w:t xml:space="preserve"> when the de</w:t>
      </w:r>
      <w:r>
        <w:t xml:space="preserve">ceased was </w:t>
      </w:r>
      <w:r w:rsidR="006B4175">
        <w:t xml:space="preserve">either falling or </w:t>
      </w:r>
      <w:r>
        <w:t>about to fall onto the ground</w:t>
      </w:r>
      <w:r w:rsidR="008A3EA8" w:rsidRPr="00E74343">
        <w:rPr>
          <w:vertAlign w:val="superscript"/>
        </w:rPr>
        <w:footnoteReference w:id="8"/>
      </w:r>
      <w:r w:rsidR="008A3EA8" w:rsidRPr="00E74343">
        <w:t xml:space="preserve">.  The prosecution </w:t>
      </w:r>
      <w:r>
        <w:t xml:space="preserve">contended that </w:t>
      </w:r>
      <w:r w:rsidR="006B4175">
        <w:t>self-defence was not made out</w:t>
      </w:r>
      <w:r>
        <w:t>, since</w:t>
      </w:r>
      <w:r w:rsidR="008A3EA8" w:rsidRPr="00E74343">
        <w:t xml:space="preserve"> the force used by </w:t>
      </w:r>
      <w:r w:rsidR="00A472BA">
        <w:t>the appellant</w:t>
      </w:r>
      <w:r w:rsidR="006B4175">
        <w:t xml:space="preserve"> </w:t>
      </w:r>
      <w:r w:rsidR="008A3EA8" w:rsidRPr="00E74343">
        <w:t xml:space="preserve">was </w:t>
      </w:r>
      <w:r w:rsidR="006B4175">
        <w:t>neither</w:t>
      </w:r>
      <w:r>
        <w:t xml:space="preserve"> necessary, nor was it</w:t>
      </w:r>
      <w:r w:rsidR="008A3EA8" w:rsidRPr="00E74343">
        <w:t xml:space="preserve"> reasonable or proportionate</w:t>
      </w:r>
      <w:r w:rsidR="000E749A">
        <w:t xml:space="preserve"> in the circumstances</w:t>
      </w:r>
      <w:r w:rsidR="008A3EA8" w:rsidRPr="00E74343">
        <w:t xml:space="preserve">.  </w:t>
      </w:r>
    </w:p>
    <w:p w:rsidR="008A3EA8" w:rsidRPr="00E74343" w:rsidRDefault="008A3EA8" w:rsidP="008A3EA8">
      <w:pPr>
        <w:pStyle w:val="T-Draft"/>
      </w:pPr>
      <w:r w:rsidRPr="00E74343">
        <w:t>It was not dispute</w:t>
      </w:r>
      <w:r w:rsidR="00B712FC">
        <w:t>d</w:t>
      </w:r>
      <w:r w:rsidRPr="00E74343">
        <w:t xml:space="preserve"> that the deceased suffered a bad head injury</w:t>
      </w:r>
      <w:r w:rsidRPr="00E74343">
        <w:rPr>
          <w:vertAlign w:val="superscript"/>
        </w:rPr>
        <w:footnoteReference w:id="9"/>
      </w:r>
      <w:r w:rsidRPr="00E74343">
        <w:t xml:space="preserve"> as a result of the fall</w:t>
      </w:r>
      <w:r w:rsidR="006B4175">
        <w:t>, from which he</w:t>
      </w:r>
      <w:r w:rsidRPr="00E74343">
        <w:t xml:space="preserve"> died a week later</w:t>
      </w:r>
      <w:r w:rsidRPr="00E74343">
        <w:rPr>
          <w:vertAlign w:val="superscript"/>
        </w:rPr>
        <w:footnoteReference w:id="10"/>
      </w:r>
      <w:r w:rsidRPr="00E74343">
        <w:t xml:space="preserve">.  </w:t>
      </w:r>
      <w:r w:rsidR="006B4175">
        <w:t>An a</w:t>
      </w:r>
      <w:r w:rsidRPr="00E74343">
        <w:t xml:space="preserve">utopsy was carried out by </w:t>
      </w:r>
      <w:r w:rsidR="000E749A">
        <w:t>a</w:t>
      </w:r>
      <w:r w:rsidRPr="00E74343">
        <w:t xml:space="preserve"> forensic pathologist</w:t>
      </w:r>
      <w:r w:rsidR="006B4175">
        <w:t>,</w:t>
      </w:r>
      <w:r w:rsidRPr="00E74343">
        <w:t xml:space="preserve"> Dr </w:t>
      </w:r>
      <w:proofErr w:type="spellStart"/>
      <w:r w:rsidRPr="00E74343">
        <w:t>Chiao</w:t>
      </w:r>
      <w:proofErr w:type="spellEnd"/>
      <w:r w:rsidR="00B712FC">
        <w:t xml:space="preserve"> Wing-</w:t>
      </w:r>
      <w:proofErr w:type="spellStart"/>
      <w:r w:rsidR="00B712FC">
        <w:t>fu</w:t>
      </w:r>
      <w:proofErr w:type="spellEnd"/>
      <w:r w:rsidRPr="00E74343">
        <w:t xml:space="preserve">, who </w:t>
      </w:r>
      <w:r w:rsidR="006B4175">
        <w:lastRenderedPageBreak/>
        <w:t>concluded</w:t>
      </w:r>
      <w:r w:rsidRPr="00E74343">
        <w:t xml:space="preserve"> that the cause of death of the deceased </w:t>
      </w:r>
      <w:r w:rsidR="006B4175">
        <w:t xml:space="preserve">was a </w:t>
      </w:r>
      <w:r w:rsidRPr="006B4175">
        <w:t>head injury</w:t>
      </w:r>
      <w:r w:rsidR="006B4175">
        <w:t>,</w:t>
      </w:r>
      <w:r w:rsidRPr="00E74343">
        <w:t xml:space="preserve"> which “</w:t>
      </w:r>
      <w:r w:rsidRPr="006B4175">
        <w:t>could have satisfactorily been explained by a single fall with his right back of head bumping against the ground</w:t>
      </w:r>
      <w:r w:rsidRPr="00E74343">
        <w:t>”</w:t>
      </w:r>
      <w:r w:rsidRPr="00E74343">
        <w:rPr>
          <w:vertAlign w:val="superscript"/>
        </w:rPr>
        <w:footnoteReference w:id="11"/>
      </w:r>
      <w:r w:rsidRPr="00E74343">
        <w:t xml:space="preserve">.  </w:t>
      </w:r>
      <w:r w:rsidR="00B82A18">
        <w:t xml:space="preserve">Dr </w:t>
      </w:r>
      <w:proofErr w:type="spellStart"/>
      <w:r w:rsidR="00B82A18">
        <w:t>Chiao</w:t>
      </w:r>
      <w:proofErr w:type="spellEnd"/>
      <w:r w:rsidRPr="00E74343">
        <w:t xml:space="preserve"> </w:t>
      </w:r>
      <w:r w:rsidR="000E749A">
        <w:t>detected</w:t>
      </w:r>
      <w:r w:rsidRPr="00E74343">
        <w:t xml:space="preserve"> three fractures at the right back of the deceased’s head, which could</w:t>
      </w:r>
      <w:r w:rsidR="006B4175">
        <w:t xml:space="preserve"> have been</w:t>
      </w:r>
      <w:r w:rsidRPr="00E74343">
        <w:t xml:space="preserve"> be caused by one impact when the head </w:t>
      </w:r>
      <w:r w:rsidR="006B4175">
        <w:t>landed forcefully on a blunt</w:t>
      </w:r>
      <w:r w:rsidR="00D378E1">
        <w:t>, unyielding</w:t>
      </w:r>
      <w:r w:rsidR="006B4175">
        <w:t xml:space="preserve"> </w:t>
      </w:r>
      <w:r w:rsidR="00027C51">
        <w:t>object</w:t>
      </w:r>
      <w:r w:rsidR="00D378E1">
        <w:t>,</w:t>
      </w:r>
      <w:r w:rsidRPr="00E74343">
        <w:t xml:space="preserve"> such as the ground</w:t>
      </w:r>
      <w:r w:rsidRPr="00E74343">
        <w:rPr>
          <w:vertAlign w:val="superscript"/>
        </w:rPr>
        <w:footnoteReference w:id="12"/>
      </w:r>
      <w:r w:rsidRPr="00E74343">
        <w:t>.</w:t>
      </w:r>
    </w:p>
    <w:p w:rsidR="008A3EA8" w:rsidRPr="00E74343" w:rsidRDefault="006B4175" w:rsidP="008A3EA8">
      <w:pPr>
        <w:pStyle w:val="T-Draft"/>
      </w:pPr>
      <w:r>
        <w:t>The CCTV evidence</w:t>
      </w:r>
      <w:r w:rsidR="008174F4">
        <w:t xml:space="preserve">, in addition to capturing Episode 1 </w:t>
      </w:r>
      <w:r w:rsidR="000E749A">
        <w:t xml:space="preserve">and the initial </w:t>
      </w:r>
      <w:r w:rsidR="008174F4">
        <w:t>part of Episode 2,</w:t>
      </w:r>
      <w:r>
        <w:t xml:space="preserve"> also recorded</w:t>
      </w:r>
      <w:r w:rsidR="008A3EA8" w:rsidRPr="00E74343">
        <w:t xml:space="preserve"> the </w:t>
      </w:r>
      <w:r w:rsidR="00537FC4">
        <w:t xml:space="preserve">ensuing </w:t>
      </w:r>
      <w:r w:rsidR="008A3EA8" w:rsidRPr="00E74343">
        <w:t>conversation between the appellant</w:t>
      </w:r>
      <w:r w:rsidR="008174F4">
        <w:t xml:space="preserve"> and </w:t>
      </w:r>
      <w:r w:rsidR="00537FC4">
        <w:t>two</w:t>
      </w:r>
      <w:r w:rsidR="008174F4">
        <w:t xml:space="preserve"> ambul</w:t>
      </w:r>
      <w:r w:rsidR="008A3EA8" w:rsidRPr="00E74343">
        <w:t>ance</w:t>
      </w:r>
      <w:r w:rsidR="008174F4">
        <w:t xml:space="preserve"> </w:t>
      </w:r>
      <w:r w:rsidR="008A3EA8" w:rsidRPr="00E74343">
        <w:t>m</w:t>
      </w:r>
      <w:r w:rsidR="00537FC4">
        <w:t>e</w:t>
      </w:r>
      <w:r w:rsidR="008A3EA8" w:rsidRPr="00E74343">
        <w:t>n and th</w:t>
      </w:r>
      <w:r w:rsidR="00537FC4">
        <w:t>re</w:t>
      </w:r>
      <w:r w:rsidR="008A3EA8" w:rsidRPr="00E74343">
        <w:t xml:space="preserve">e police </w:t>
      </w:r>
      <w:r w:rsidR="00537FC4">
        <w:t>officers, who subsequently arrived at the scene</w:t>
      </w:r>
      <w:r w:rsidR="008A3EA8" w:rsidRPr="00E74343">
        <w:t xml:space="preserve">.  In </w:t>
      </w:r>
      <w:r w:rsidR="008174F4">
        <w:t>essence</w:t>
      </w:r>
      <w:r w:rsidR="008A3EA8" w:rsidRPr="00E74343">
        <w:t xml:space="preserve">, the appellant </w:t>
      </w:r>
      <w:r w:rsidR="000E749A">
        <w:t xml:space="preserve">repeatedly </w:t>
      </w:r>
      <w:r w:rsidR="00537FC4">
        <w:t xml:space="preserve">claimed </w:t>
      </w:r>
      <w:r w:rsidR="008A3EA8" w:rsidRPr="00E74343">
        <w:t xml:space="preserve">at the scene that he had </w:t>
      </w:r>
      <w:r w:rsidR="00CF6D5C">
        <w:t>acted</w:t>
      </w:r>
      <w:r w:rsidR="008A3EA8" w:rsidRPr="00E74343">
        <w:t xml:space="preserve"> </w:t>
      </w:r>
      <w:r w:rsidR="00CF6D5C">
        <w:t>in self-defence</w:t>
      </w:r>
      <w:r w:rsidR="00CF6D5C">
        <w:rPr>
          <w:rStyle w:val="FootnoteReference"/>
        </w:rPr>
        <w:footnoteReference w:id="13"/>
      </w:r>
      <w:r w:rsidR="00537FC4">
        <w:t>; and that a</w:t>
      </w:r>
      <w:r w:rsidR="00CF6D5C">
        <w:t>fter the initial bumping episode</w:t>
      </w:r>
      <w:r w:rsidR="00537FC4">
        <w:t xml:space="preserve"> (Episode 1)</w:t>
      </w:r>
      <w:r w:rsidR="00B86E0E">
        <w:rPr>
          <w:rStyle w:val="FootnoteReference"/>
        </w:rPr>
        <w:footnoteReference w:id="14"/>
      </w:r>
      <w:r w:rsidR="00CF6D5C">
        <w:t xml:space="preserve">, he had punched the deceased </w:t>
      </w:r>
      <w:r w:rsidR="000E749A">
        <w:t xml:space="preserve">only </w:t>
      </w:r>
      <w:r w:rsidR="00CF6D5C">
        <w:t>once</w:t>
      </w:r>
      <w:r w:rsidR="00537FC4">
        <w:t xml:space="preserve"> (Episode 2)</w:t>
      </w:r>
      <w:r w:rsidR="00CF6D5C">
        <w:rPr>
          <w:rStyle w:val="FootnoteReference"/>
        </w:rPr>
        <w:footnoteReference w:id="15"/>
      </w:r>
      <w:r w:rsidR="00CF6D5C">
        <w:t>.</w:t>
      </w:r>
      <w:r w:rsidR="008A3EA8" w:rsidRPr="00E74343">
        <w:t xml:space="preserve"> </w:t>
      </w:r>
    </w:p>
    <w:p w:rsidR="00506CAA" w:rsidRPr="00E74343" w:rsidRDefault="008A3EA8" w:rsidP="008A3EA8">
      <w:pPr>
        <w:pStyle w:val="j-heading"/>
      </w:pPr>
      <w:r w:rsidRPr="00E74343">
        <w:t>The defence case</w:t>
      </w:r>
    </w:p>
    <w:p w:rsidR="008A3EA8" w:rsidRPr="00E74343" w:rsidRDefault="008A3EA8" w:rsidP="008A3EA8">
      <w:pPr>
        <w:pStyle w:val="T-Draft"/>
      </w:pPr>
      <w:r w:rsidRPr="00E74343">
        <w:t xml:space="preserve">The appellant elected to </w:t>
      </w:r>
      <w:r w:rsidR="00332A34">
        <w:t>give evidence</w:t>
      </w:r>
      <w:r w:rsidRPr="00E74343">
        <w:t xml:space="preserve">.  He was </w:t>
      </w:r>
      <w:r w:rsidR="00B86E0E">
        <w:t xml:space="preserve">a </w:t>
      </w:r>
      <w:r w:rsidRPr="00E74343">
        <w:t>44</w:t>
      </w:r>
      <w:r w:rsidR="00587A4A">
        <w:noBreakHyphen/>
      </w:r>
      <w:r w:rsidRPr="00E74343">
        <w:t>year</w:t>
      </w:r>
      <w:r w:rsidR="00587A4A">
        <w:noBreakHyphen/>
      </w:r>
      <w:r w:rsidRPr="00E74343">
        <w:t>old married</w:t>
      </w:r>
      <w:r w:rsidR="00B86E0E">
        <w:t xml:space="preserve"> man, who had </w:t>
      </w:r>
      <w:r w:rsidR="00027C51">
        <w:t xml:space="preserve">previously </w:t>
      </w:r>
      <w:r w:rsidR="00537FC4">
        <w:t>been in a relationship with PW1.  That relationship had ended</w:t>
      </w:r>
      <w:r w:rsidR="00B86E0E">
        <w:t xml:space="preserve"> in </w:t>
      </w:r>
      <w:r w:rsidRPr="00E74343">
        <w:t xml:space="preserve">September </w:t>
      </w:r>
      <w:r w:rsidR="00C45449">
        <w:t>‍</w:t>
      </w:r>
      <w:r w:rsidRPr="00E74343">
        <w:t>2017</w:t>
      </w:r>
      <w:r w:rsidR="00B86E0E">
        <w:t>; however,</w:t>
      </w:r>
      <w:r w:rsidRPr="00E74343">
        <w:t xml:space="preserve"> the</w:t>
      </w:r>
      <w:r w:rsidR="00B86E0E">
        <w:t xml:space="preserve"> two</w:t>
      </w:r>
      <w:r w:rsidRPr="00E74343">
        <w:t xml:space="preserve"> remained friends.  H</w:t>
      </w:r>
      <w:r w:rsidR="00B86E0E">
        <w:t xml:space="preserve">e said that </w:t>
      </w:r>
      <w:r w:rsidRPr="00E74343">
        <w:t xml:space="preserve">he did not cause the death of the deceased; rather, it was an accident </w:t>
      </w:r>
      <w:r w:rsidR="00B86E0E">
        <w:t>in which the deceased had tripped and fallen; in any event, he had been</w:t>
      </w:r>
      <w:r w:rsidRPr="00E74343">
        <w:t xml:space="preserve"> acting in self-defence and the force used by him was reasonable in </w:t>
      </w:r>
      <w:r w:rsidR="00B86E0E">
        <w:t xml:space="preserve">all </w:t>
      </w:r>
      <w:r w:rsidRPr="00E74343">
        <w:t>t</w:t>
      </w:r>
      <w:r w:rsidR="00C45449">
        <w:t>he circumstances.</w:t>
      </w:r>
    </w:p>
    <w:p w:rsidR="008A3EA8" w:rsidRPr="00E74343" w:rsidRDefault="00B86E0E" w:rsidP="008A3EA8">
      <w:pPr>
        <w:pStyle w:val="T-Draft"/>
      </w:pPr>
      <w:r>
        <w:lastRenderedPageBreak/>
        <w:t>The appellant claimed that</w:t>
      </w:r>
      <w:r w:rsidR="008A3EA8" w:rsidRPr="00E74343">
        <w:t xml:space="preserve"> the deceased </w:t>
      </w:r>
      <w:r w:rsidR="00155AA8">
        <w:t xml:space="preserve">had </w:t>
      </w:r>
      <w:r w:rsidR="008A3EA8" w:rsidRPr="00E74343">
        <w:t xml:space="preserve">initiated </w:t>
      </w:r>
      <w:r w:rsidR="00537FC4">
        <w:t xml:space="preserve">both </w:t>
      </w:r>
      <w:r w:rsidR="007F6474" w:rsidRPr="007F6474">
        <w:rPr>
          <w:b/>
        </w:rPr>
        <w:t>‍</w:t>
      </w:r>
      <w:r w:rsidR="00537FC4">
        <w:t>episodes of violence</w:t>
      </w:r>
      <w:r w:rsidR="005021CD">
        <w:t>.  Acc</w:t>
      </w:r>
      <w:r w:rsidR="00155AA8">
        <w:t xml:space="preserve">ordingly, he </w:t>
      </w:r>
      <w:r w:rsidR="005021CD">
        <w:t xml:space="preserve">had </w:t>
      </w:r>
      <w:r w:rsidR="00155AA8">
        <w:t xml:space="preserve">acted </w:t>
      </w:r>
      <w:r w:rsidR="005021CD">
        <w:t xml:space="preserve">throughout </w:t>
      </w:r>
      <w:r w:rsidR="00155AA8">
        <w:t>in</w:t>
      </w:r>
      <w:r w:rsidR="008A3EA8" w:rsidRPr="00E74343">
        <w:t xml:space="preserve"> self</w:t>
      </w:r>
      <w:r w:rsidR="000B1FEF">
        <w:noBreakHyphen/>
      </w:r>
      <w:r w:rsidR="008A3EA8" w:rsidRPr="00E74343">
        <w:t>defence</w:t>
      </w:r>
      <w:r w:rsidR="008A3EA8" w:rsidRPr="00E74343">
        <w:rPr>
          <w:vertAlign w:val="superscript"/>
        </w:rPr>
        <w:footnoteReference w:id="16"/>
      </w:r>
      <w:r w:rsidR="008A3EA8" w:rsidRPr="00E74343">
        <w:t xml:space="preserve">.  </w:t>
      </w:r>
      <w:r w:rsidR="005021CD">
        <w:t>During Episode 2, h</w:t>
      </w:r>
      <w:r w:rsidR="00245AA8">
        <w:t>is first blow had missed</w:t>
      </w:r>
      <w:r w:rsidR="008A3EA8" w:rsidRPr="00E74343">
        <w:t xml:space="preserve"> the deceased</w:t>
      </w:r>
      <w:r w:rsidR="00245AA8">
        <w:t xml:space="preserve">, </w:t>
      </w:r>
      <w:r w:rsidR="005021CD">
        <w:t>who then</w:t>
      </w:r>
      <w:r w:rsidR="00245AA8">
        <w:t xml:space="preserve"> tried to grab his collar</w:t>
      </w:r>
      <w:r w:rsidR="008A3EA8" w:rsidRPr="00E74343">
        <w:t>.  He</w:t>
      </w:r>
      <w:r w:rsidR="00245AA8">
        <w:t xml:space="preserve"> therefore</w:t>
      </w:r>
      <w:r w:rsidR="008A3EA8" w:rsidRPr="00E74343">
        <w:t xml:space="preserve"> threw </w:t>
      </w:r>
      <w:r w:rsidR="00245AA8">
        <w:t>a second punch at</w:t>
      </w:r>
      <w:r w:rsidR="008A3EA8" w:rsidRPr="00E74343">
        <w:t xml:space="preserve"> the deceased’s shoulder to free himself</w:t>
      </w:r>
      <w:r w:rsidR="005021CD">
        <w:t>, whereupon t</w:t>
      </w:r>
      <w:r w:rsidR="00245AA8">
        <w:t>he deceased tried t</w:t>
      </w:r>
      <w:r w:rsidR="008A3EA8" w:rsidRPr="00E74343">
        <w:t xml:space="preserve">o kick him but lost his balance and fell.  </w:t>
      </w:r>
      <w:r w:rsidR="005021CD">
        <w:t>The appellant</w:t>
      </w:r>
      <w:r w:rsidR="008A3EA8" w:rsidRPr="00E74343">
        <w:t xml:space="preserve"> was adamant that there was never </w:t>
      </w:r>
      <w:r w:rsidR="00332A34">
        <w:t>a</w:t>
      </w:r>
      <w:r w:rsidR="008A3EA8" w:rsidRPr="00E74343">
        <w:t xml:space="preserve"> third blow </w:t>
      </w:r>
      <w:r w:rsidR="00332A34">
        <w:t xml:space="preserve">as </w:t>
      </w:r>
      <w:r w:rsidR="008A3EA8" w:rsidRPr="00E74343">
        <w:t xml:space="preserve">contended </w:t>
      </w:r>
      <w:r w:rsidR="00791890">
        <w:t xml:space="preserve">for </w:t>
      </w:r>
      <w:r w:rsidR="008A3EA8" w:rsidRPr="00E74343">
        <w:t>by the prosecution</w:t>
      </w:r>
      <w:r w:rsidR="008A3EA8" w:rsidRPr="00E74343">
        <w:rPr>
          <w:vertAlign w:val="superscript"/>
        </w:rPr>
        <w:footnoteReference w:id="17"/>
      </w:r>
      <w:r w:rsidR="008A3EA8" w:rsidRPr="00E74343">
        <w:t>.  He maintained that only one of his punches landed on the deceased, and the deceased</w:t>
      </w:r>
      <w:r w:rsidR="00245AA8">
        <w:t>’s kick</w:t>
      </w:r>
      <w:r w:rsidR="008A3EA8" w:rsidRPr="00E74343">
        <w:t>, or attempt to kick</w:t>
      </w:r>
      <w:r w:rsidR="00245AA8">
        <w:t xml:space="preserve">, </w:t>
      </w:r>
      <w:r w:rsidR="008A3EA8" w:rsidRPr="00E74343">
        <w:t xml:space="preserve">was an intervening act which caused him to lose his balance and eventually led to his death.  </w:t>
      </w:r>
    </w:p>
    <w:p w:rsidR="008A3EA8" w:rsidRPr="00E74343" w:rsidRDefault="008A3EA8" w:rsidP="008A3EA8">
      <w:pPr>
        <w:pStyle w:val="T-Draft"/>
      </w:pPr>
      <w:r w:rsidRPr="00E74343">
        <w:t xml:space="preserve">When cross-examined as to why he </w:t>
      </w:r>
      <w:r w:rsidR="007E29BC">
        <w:t xml:space="preserve">had </w:t>
      </w:r>
      <w:r w:rsidRPr="00E74343">
        <w:t>made no mention to either the ambulance</w:t>
      </w:r>
      <w:r w:rsidR="00245AA8">
        <w:t xml:space="preserve"> </w:t>
      </w:r>
      <w:r w:rsidRPr="00E74343">
        <w:t>m</w:t>
      </w:r>
      <w:r w:rsidR="000E749A">
        <w:t>e</w:t>
      </w:r>
      <w:r w:rsidRPr="00E74343">
        <w:t xml:space="preserve">n or the police </w:t>
      </w:r>
      <w:r w:rsidR="000E749A">
        <w:t xml:space="preserve">at the scene </w:t>
      </w:r>
      <w:r w:rsidRPr="00E74343">
        <w:t xml:space="preserve">about any </w:t>
      </w:r>
      <w:r w:rsidR="005021CD">
        <w:t xml:space="preserve">attempted </w:t>
      </w:r>
      <w:r w:rsidRPr="00E74343">
        <w:t>kick by the deceased</w:t>
      </w:r>
      <w:r w:rsidR="005021CD">
        <w:t>,</w:t>
      </w:r>
      <w:r w:rsidRPr="00E74343">
        <w:t xml:space="preserve"> or that the deceased had </w:t>
      </w:r>
      <w:r w:rsidR="005021CD">
        <w:t xml:space="preserve">thereby </w:t>
      </w:r>
      <w:r w:rsidRPr="00E74343">
        <w:t>lost his balance and f</w:t>
      </w:r>
      <w:r w:rsidR="005021CD">
        <w:t>allen</w:t>
      </w:r>
      <w:r w:rsidRPr="00E74343">
        <w:t xml:space="preserve">, the appellant </w:t>
      </w:r>
      <w:r w:rsidR="005021CD">
        <w:t>said he</w:t>
      </w:r>
      <w:r w:rsidRPr="00E74343">
        <w:t xml:space="preserve"> was only asked to </w:t>
      </w:r>
      <w:r w:rsidR="000E749A">
        <w:t>give a rough account of the</w:t>
      </w:r>
      <w:r w:rsidRPr="00E74343">
        <w:t xml:space="preserve"> incident </w:t>
      </w:r>
      <w:r w:rsidR="00245AA8">
        <w:t xml:space="preserve">and </w:t>
      </w:r>
      <w:r w:rsidR="005021CD">
        <w:t>was not</w:t>
      </w:r>
      <w:r w:rsidR="00723B7C">
        <w:t>, at that stage,</w:t>
      </w:r>
      <w:r w:rsidR="005021CD">
        <w:t xml:space="preserve"> concerned with </w:t>
      </w:r>
      <w:r w:rsidR="00245AA8">
        <w:t xml:space="preserve">matters </w:t>
      </w:r>
      <w:r w:rsidR="005021CD">
        <w:t>of</w:t>
      </w:r>
      <w:r w:rsidR="00245AA8">
        <w:t xml:space="preserve"> detail</w:t>
      </w:r>
      <w:r w:rsidR="00245AA8">
        <w:rPr>
          <w:rStyle w:val="FootnoteReference"/>
        </w:rPr>
        <w:footnoteReference w:id="18"/>
      </w:r>
      <w:r w:rsidRPr="00E74343">
        <w:t>.  He di</w:t>
      </w:r>
      <w:r w:rsidR="00245AA8">
        <w:t>d not agree that he had used excessive force or retaliated</w:t>
      </w:r>
      <w:r w:rsidR="00723B7C">
        <w:t xml:space="preserve"> against the deceased</w:t>
      </w:r>
      <w:r w:rsidR="00245AA8">
        <w:rPr>
          <w:rStyle w:val="FootnoteReference"/>
        </w:rPr>
        <w:footnoteReference w:id="19"/>
      </w:r>
      <w:r w:rsidR="005021CD">
        <w:t>; moreover, he</w:t>
      </w:r>
      <w:r w:rsidR="00245AA8">
        <w:t xml:space="preserve"> believed </w:t>
      </w:r>
      <w:r w:rsidR="005021CD">
        <w:t xml:space="preserve">that </w:t>
      </w:r>
      <w:r w:rsidR="00245AA8">
        <w:t>there was no way to get out of the situation other than by throwing the second punch</w:t>
      </w:r>
      <w:r w:rsidR="00245AA8">
        <w:rPr>
          <w:rStyle w:val="FootnoteReference"/>
        </w:rPr>
        <w:footnoteReference w:id="20"/>
      </w:r>
      <w:r w:rsidR="00245AA8">
        <w:t>.</w:t>
      </w:r>
    </w:p>
    <w:p w:rsidR="00506CAA" w:rsidRPr="00E74343" w:rsidRDefault="008A3EA8" w:rsidP="008A3EA8">
      <w:pPr>
        <w:pStyle w:val="j-heading"/>
      </w:pPr>
      <w:r w:rsidRPr="00E74343">
        <w:t>The summing-up</w:t>
      </w:r>
    </w:p>
    <w:p w:rsidR="008A3EA8" w:rsidRPr="00E74343" w:rsidRDefault="00727C94" w:rsidP="008A3EA8">
      <w:pPr>
        <w:pStyle w:val="T-Draft"/>
      </w:pPr>
      <w:r>
        <w:t>Plainly</w:t>
      </w:r>
      <w:r w:rsidR="00332A34">
        <w:t>,</w:t>
      </w:r>
      <w:r>
        <w:t xml:space="preserve"> the case was one which depended on </w:t>
      </w:r>
      <w:r w:rsidR="007E29BC">
        <w:t>an</w:t>
      </w:r>
      <w:r>
        <w:t xml:space="preserve"> assessment of</w:t>
      </w:r>
      <w:r w:rsidR="008A3EA8" w:rsidRPr="00E74343">
        <w:t xml:space="preserve"> </w:t>
      </w:r>
      <w:r w:rsidR="007E29BC">
        <w:t xml:space="preserve">the </w:t>
      </w:r>
      <w:r w:rsidR="008A3EA8" w:rsidRPr="00E74343">
        <w:t xml:space="preserve">credibility of witnesses, in particular the appellant.  </w:t>
      </w:r>
      <w:r>
        <w:t>T</w:t>
      </w:r>
      <w:r w:rsidR="008A3EA8" w:rsidRPr="00E74343">
        <w:t>he judge said</w:t>
      </w:r>
      <w:r>
        <w:t xml:space="preserve">, </w:t>
      </w:r>
      <w:r>
        <w:lastRenderedPageBreak/>
        <w:t xml:space="preserve">in a </w:t>
      </w:r>
      <w:r w:rsidR="005021CD">
        <w:t>tailored version of</w:t>
      </w:r>
      <w:r>
        <w:t xml:space="preserve"> Specimen Direction 2 on the burden and standard of proof</w:t>
      </w:r>
      <w:r w:rsidR="005021CD">
        <w:rPr>
          <w:rStyle w:val="FootnoteReference"/>
        </w:rPr>
        <w:footnoteReference w:id="21"/>
      </w:r>
      <w:r w:rsidR="008A3EA8" w:rsidRPr="00E74343">
        <w:t>:</w:t>
      </w:r>
    </w:p>
    <w:p w:rsidR="008A3EA8" w:rsidRPr="00E74343" w:rsidRDefault="008A3EA8" w:rsidP="008A3EA8">
      <w:pPr>
        <w:pStyle w:val="j-quotation"/>
      </w:pPr>
      <w:r w:rsidRPr="00E74343">
        <w:t>“Members of the jury, the defence put forward in this case is the defendant did not cause the death of the deceased.  It was an unfortunate accident and that he was acting in self-defence.  And as I say, members of the jury, it is not for the defendant to prove his innocence, it is for the prosecution to prove his guilt.  You must bear in mind these two fundamental principles in considering the present case.”</w:t>
      </w:r>
    </w:p>
    <w:p w:rsidR="00727C94" w:rsidRDefault="00727C94" w:rsidP="00727C94">
      <w:pPr>
        <w:pStyle w:val="T-Draft"/>
        <w:numPr>
          <w:ilvl w:val="0"/>
          <w:numId w:val="0"/>
        </w:numPr>
      </w:pPr>
      <w:r>
        <w:t>However, i</w:t>
      </w:r>
      <w:r w:rsidR="008A3EA8" w:rsidRPr="00E74343">
        <w:t xml:space="preserve">t </w:t>
      </w:r>
      <w:r>
        <w:t xml:space="preserve">is clear that the judge did not in this part of the summing-up, add the </w:t>
      </w:r>
      <w:r w:rsidR="00027C51">
        <w:t>statement</w:t>
      </w:r>
      <w:r>
        <w:t xml:space="preserve"> which appear</w:t>
      </w:r>
      <w:r w:rsidR="00027C51">
        <w:t>s</w:t>
      </w:r>
      <w:r>
        <w:t xml:space="preserve"> </w:t>
      </w:r>
      <w:r w:rsidR="000D035F">
        <w:t xml:space="preserve">immediately </w:t>
      </w:r>
      <w:r w:rsidR="005021CD">
        <w:t xml:space="preserve">after the direction she was </w:t>
      </w:r>
      <w:r w:rsidR="00A5244F">
        <w:t>purporting to give from</w:t>
      </w:r>
      <w:r>
        <w:t xml:space="preserve"> Specimen Direction 2</w:t>
      </w:r>
      <w:r w:rsidR="000D035F">
        <w:t xml:space="preserve">, </w:t>
      </w:r>
      <w:r w:rsidR="00A5244F">
        <w:t xml:space="preserve">and which </w:t>
      </w:r>
      <w:r w:rsidR="00027C51">
        <w:t>is</w:t>
      </w:r>
      <w:r w:rsidR="00A5244F">
        <w:t xml:space="preserve"> </w:t>
      </w:r>
      <w:r w:rsidR="005021CD">
        <w:t xml:space="preserve">often referred to as the </w:t>
      </w:r>
      <w:proofErr w:type="spellStart"/>
      <w:r w:rsidR="005021CD" w:rsidRPr="00A5244F">
        <w:rPr>
          <w:i/>
        </w:rPr>
        <w:t>Liberato</w:t>
      </w:r>
      <w:proofErr w:type="spellEnd"/>
      <w:r w:rsidR="005021CD">
        <w:t xml:space="preserve"> direction from the eponymously named </w:t>
      </w:r>
      <w:r w:rsidR="00027C51">
        <w:t xml:space="preserve">High Court of </w:t>
      </w:r>
      <w:r w:rsidR="00587A4A" w:rsidRPr="00587A4A">
        <w:rPr>
          <w:b/>
        </w:rPr>
        <w:t>‍</w:t>
      </w:r>
      <w:r w:rsidR="00027C51">
        <w:t>Australia decision in</w:t>
      </w:r>
      <w:r w:rsidR="005021CD">
        <w:t xml:space="preserve"> </w:t>
      </w:r>
      <w:proofErr w:type="spellStart"/>
      <w:r w:rsidR="005021CD" w:rsidRPr="00A5244F">
        <w:rPr>
          <w:i/>
        </w:rPr>
        <w:t>Liberato</w:t>
      </w:r>
      <w:proofErr w:type="spellEnd"/>
      <w:r w:rsidR="00A5244F" w:rsidRPr="00A5244F">
        <w:rPr>
          <w:i/>
        </w:rPr>
        <w:t xml:space="preserve"> v R</w:t>
      </w:r>
      <w:r w:rsidR="00A5244F">
        <w:rPr>
          <w:rStyle w:val="FootnoteReference"/>
        </w:rPr>
        <w:footnoteReference w:id="22"/>
      </w:r>
      <w:r w:rsidR="00A5244F">
        <w:t xml:space="preserve">, </w:t>
      </w:r>
      <w:r w:rsidR="007E29BC">
        <w:t>subsequently</w:t>
      </w:r>
      <w:r w:rsidR="00A5244F">
        <w:t xml:space="preserve"> applied in </w:t>
      </w:r>
      <w:r w:rsidR="00A5244F" w:rsidRPr="00A5244F">
        <w:rPr>
          <w:i/>
        </w:rPr>
        <w:t xml:space="preserve">Sze </w:t>
      </w:r>
      <w:r w:rsidR="00587A4A" w:rsidRPr="00587A4A">
        <w:rPr>
          <w:b/>
          <w:i/>
        </w:rPr>
        <w:t>‍</w:t>
      </w:r>
      <w:r w:rsidR="00A5244F" w:rsidRPr="00A5244F">
        <w:rPr>
          <w:i/>
        </w:rPr>
        <w:t xml:space="preserve">Kwan </w:t>
      </w:r>
      <w:r w:rsidR="00587A4A" w:rsidRPr="00587A4A">
        <w:rPr>
          <w:b/>
          <w:i/>
        </w:rPr>
        <w:t>‍</w:t>
      </w:r>
      <w:r w:rsidR="00A5244F" w:rsidRPr="00A5244F">
        <w:rPr>
          <w:i/>
        </w:rPr>
        <w:t>Lung &amp; Others v HKSAR</w:t>
      </w:r>
      <w:r w:rsidR="00A5244F">
        <w:rPr>
          <w:rStyle w:val="FootnoteReference"/>
        </w:rPr>
        <w:footnoteReference w:id="23"/>
      </w:r>
      <w:r w:rsidR="00A5244F">
        <w:t xml:space="preserve">, </w:t>
      </w:r>
      <w:r w:rsidR="000D035F">
        <w:t>namely</w:t>
      </w:r>
      <w:r>
        <w:t>:</w:t>
      </w:r>
    </w:p>
    <w:p w:rsidR="008A3EA8" w:rsidRPr="00E74343" w:rsidRDefault="008A3EA8" w:rsidP="000B1FEF">
      <w:pPr>
        <w:pStyle w:val="j-quotation"/>
      </w:pPr>
      <w:r w:rsidRPr="00E74343">
        <w:t>“</w:t>
      </w:r>
      <w:r w:rsidR="00727C94">
        <w:t xml:space="preserve">Of course, </w:t>
      </w:r>
      <w:r w:rsidRPr="00E74343">
        <w:t>if the account given by the defendant is true, then he must be acquitted, but he must also be acquitted if that account may be true”</w:t>
      </w:r>
      <w:r w:rsidR="00727C94">
        <w:t>.</w:t>
      </w:r>
      <w:r w:rsidRPr="00E74343">
        <w:t xml:space="preserve">  </w:t>
      </w:r>
    </w:p>
    <w:p w:rsidR="00586B20" w:rsidRDefault="00586B20" w:rsidP="00586B20">
      <w:pPr>
        <w:pStyle w:val="T-Draft"/>
        <w:numPr>
          <w:ilvl w:val="0"/>
          <w:numId w:val="0"/>
        </w:numPr>
      </w:pPr>
      <w:r>
        <w:t>As to whether the judge conveyed this message elsewhere in her summing</w:t>
      </w:r>
      <w:r w:rsidR="00BF35A4">
        <w:noBreakHyphen/>
      </w:r>
      <w:r>
        <w:t>up, we shall examine in due course.</w:t>
      </w:r>
    </w:p>
    <w:p w:rsidR="008A3EA8" w:rsidRPr="00E74343" w:rsidRDefault="008A3EA8" w:rsidP="008A3EA8">
      <w:pPr>
        <w:pStyle w:val="T-Draft"/>
      </w:pPr>
      <w:r w:rsidRPr="00E74343">
        <w:t xml:space="preserve">Further, </w:t>
      </w:r>
      <w:r w:rsidR="00D12E36">
        <w:t xml:space="preserve">when addressing the jury as to their approach to the </w:t>
      </w:r>
      <w:r w:rsidR="000B1FEF" w:rsidRPr="000B1FEF">
        <w:rPr>
          <w:b/>
        </w:rPr>
        <w:t>‍</w:t>
      </w:r>
      <w:r w:rsidR="00D12E36">
        <w:t>reasonableness of the</w:t>
      </w:r>
      <w:r w:rsidRPr="00E74343">
        <w:t xml:space="preserve"> force used by the appellant, the judge said</w:t>
      </w:r>
      <w:r w:rsidR="00880F3E">
        <w:t xml:space="preserve">, </w:t>
      </w:r>
      <w:r w:rsidR="00880F3E" w:rsidRPr="000B1FEF">
        <w:rPr>
          <w:i/>
        </w:rPr>
        <w:t xml:space="preserve">inter </w:t>
      </w:r>
      <w:r w:rsidR="000B1FEF" w:rsidRPr="000B1FEF">
        <w:rPr>
          <w:b/>
          <w:i/>
        </w:rPr>
        <w:t>‍</w:t>
      </w:r>
      <w:r w:rsidR="00880F3E" w:rsidRPr="000B1FEF">
        <w:rPr>
          <w:i/>
        </w:rPr>
        <w:t>alia</w:t>
      </w:r>
      <w:r w:rsidR="00255DB8">
        <w:rPr>
          <w:rStyle w:val="FootnoteReference"/>
        </w:rPr>
        <w:footnoteReference w:id="24"/>
      </w:r>
      <w:r w:rsidRPr="00E74343">
        <w:t>:</w:t>
      </w:r>
    </w:p>
    <w:p w:rsidR="00880F3E" w:rsidRDefault="008A3EA8" w:rsidP="008A3EA8">
      <w:pPr>
        <w:pStyle w:val="j-quotation"/>
      </w:pPr>
      <w:r w:rsidRPr="00E74343">
        <w:t>“</w:t>
      </w:r>
      <w:r w:rsidR="00880F3E">
        <w:t>So it is for you to decide whether the force used by the defendant was reasonable in the circumstances of the present case.</w:t>
      </w:r>
    </w:p>
    <w:p w:rsidR="008A3EA8" w:rsidRPr="00E74343" w:rsidRDefault="008A3EA8" w:rsidP="008A3EA8">
      <w:pPr>
        <w:pStyle w:val="j-quotation"/>
      </w:pPr>
      <w:r w:rsidRPr="00E74343">
        <w:t xml:space="preserve">You should remember, members of the jury, a person cannot weigh to some fine degree his exact measure of his defensive </w:t>
      </w:r>
      <w:r w:rsidRPr="00E74343">
        <w:lastRenderedPageBreak/>
        <w:t>reaction.  So if you think in a moment of unexpected anguish or chaos he only did what he honestly and instinctively thought was necessary, that would be strong evidence that the act he took was in fact reasonably.”</w:t>
      </w:r>
    </w:p>
    <w:p w:rsidR="00255DB8" w:rsidRDefault="00D12E36" w:rsidP="00D12E36">
      <w:pPr>
        <w:pStyle w:val="T-Draft"/>
        <w:numPr>
          <w:ilvl w:val="0"/>
          <w:numId w:val="0"/>
        </w:numPr>
      </w:pPr>
      <w:r>
        <w:t xml:space="preserve">Again, </w:t>
      </w:r>
      <w:r w:rsidR="00255DB8">
        <w:t>the relevant part of Specimen Direction 48, which the judge was purporting to give, in fact reads as follows:</w:t>
      </w:r>
    </w:p>
    <w:p w:rsidR="00255DB8" w:rsidRDefault="00255DB8" w:rsidP="000B1FEF">
      <w:pPr>
        <w:pStyle w:val="j-quotation"/>
      </w:pPr>
      <w:r>
        <w:t>“In deciding this (</w:t>
      </w:r>
      <w:r w:rsidR="00880F3E">
        <w:t>namely the reasonableness of the</w:t>
      </w:r>
      <w:r>
        <w:t xml:space="preserve"> force used by the defendant), judge what the defendant did against the background of what he honestly believed the danger to be.  You should also bear in mind that a person who is defending himself cannot be expected in the heat of the moment to weigh precisely the exact amount of defensive action which is necessary.  The more serious the attack [or threatened attack] upon him the more difficult his situation will be.  If, in your judgment, the defendant </w:t>
      </w:r>
      <w:r w:rsidRPr="00AA0167">
        <w:rPr>
          <w:i/>
        </w:rPr>
        <w:t>believed or may have honestly believed that he had to defend himself</w:t>
      </w:r>
      <w:r w:rsidR="00AA0167" w:rsidRPr="00AA0167">
        <w:rPr>
          <w:i/>
        </w:rPr>
        <w:t xml:space="preserve"> and he</w:t>
      </w:r>
      <w:r w:rsidR="00AA0167">
        <w:t xml:space="preserve"> did no more than what he honestly and instinctively thought was necessary to do so, that would be </w:t>
      </w:r>
      <w:r w:rsidR="00AA0167" w:rsidRPr="00AA0167">
        <w:rPr>
          <w:i/>
        </w:rPr>
        <w:t>very</w:t>
      </w:r>
      <w:r w:rsidR="00AA0167">
        <w:t xml:space="preserve"> strong evidence that the amount of force used by him was reasonable.</w:t>
      </w:r>
    </w:p>
    <w:p w:rsidR="00AA0167" w:rsidRDefault="00AA0167" w:rsidP="000B1FEF">
      <w:pPr>
        <w:pStyle w:val="j-quotation"/>
      </w:pPr>
      <w:r>
        <w:t xml:space="preserve">And so, bearing in mind what I have said, are you sure that the force used by the defendant was unreasonable?  If it was unreasonable he cannot have been acting in lawful self-defence [and he is ‘Guilty’], but if the force was </w:t>
      </w:r>
      <w:r w:rsidRPr="00880F3E">
        <w:rPr>
          <w:i/>
        </w:rPr>
        <w:t>or may have been reasonable</w:t>
      </w:r>
      <w:r>
        <w:t>, then he is ‘Not Guilty’.”</w:t>
      </w:r>
      <w:r w:rsidR="00332A34">
        <w:t xml:space="preserve"> (Emphasis supplied)</w:t>
      </w:r>
    </w:p>
    <w:p w:rsidR="008A3EA8" w:rsidRDefault="00880F3E" w:rsidP="00D12E36">
      <w:pPr>
        <w:pStyle w:val="T-Draft"/>
        <w:numPr>
          <w:ilvl w:val="0"/>
          <w:numId w:val="0"/>
        </w:numPr>
      </w:pPr>
      <w:r>
        <w:t xml:space="preserve">The judge did not recite the words we have italicised from Specimen </w:t>
      </w:r>
      <w:r w:rsidR="000B1FEF" w:rsidRPr="000B1FEF">
        <w:rPr>
          <w:b/>
        </w:rPr>
        <w:t>‍</w:t>
      </w:r>
      <w:r>
        <w:t>Direction 48</w:t>
      </w:r>
      <w:r w:rsidR="00DA48FA">
        <w:t xml:space="preserve"> when addressing what the appellant may have thought as to the reasonableness of his response to the deceased’s attack</w:t>
      </w:r>
      <w:r>
        <w:t>.</w:t>
      </w:r>
      <w:r w:rsidR="00586B20">
        <w:t xml:space="preserve">  Again, as to whether she effectively conveyed these matters elsewhere in her summing-up, we shall examine in due course.</w:t>
      </w:r>
    </w:p>
    <w:p w:rsidR="00880F3E" w:rsidRPr="00880F3E" w:rsidRDefault="00880F3E" w:rsidP="000B1FEF">
      <w:pPr>
        <w:pStyle w:val="j-heading"/>
      </w:pPr>
      <w:r w:rsidRPr="00880F3E">
        <w:t xml:space="preserve">The </w:t>
      </w:r>
      <w:r w:rsidR="007D7BDB">
        <w:t>appellant’s submission</w:t>
      </w:r>
      <w:r w:rsidR="007C4528">
        <w:t>s</w:t>
      </w:r>
    </w:p>
    <w:p w:rsidR="00287265" w:rsidRDefault="00880F3E" w:rsidP="002D7AD7">
      <w:pPr>
        <w:pStyle w:val="T-Draft"/>
      </w:pPr>
      <w:r>
        <w:t>It is the omissions from Specimen Directions 2 and 48</w:t>
      </w:r>
      <w:r w:rsidR="008A3EA8" w:rsidRPr="00E74343">
        <w:t xml:space="preserve"> </w:t>
      </w:r>
      <w:r>
        <w:t xml:space="preserve">which essentially form Grounds 1 and 2 </w:t>
      </w:r>
      <w:r w:rsidR="00737B9B">
        <w:t xml:space="preserve">respectively </w:t>
      </w:r>
      <w:r>
        <w:t xml:space="preserve">of the </w:t>
      </w:r>
      <w:r w:rsidR="002E0FC8">
        <w:t xml:space="preserve">appellant’s </w:t>
      </w:r>
      <w:r>
        <w:t>perfected grounds of appeal against conviction.</w:t>
      </w:r>
      <w:r w:rsidR="00EC443E">
        <w:t xml:space="preserve">  </w:t>
      </w:r>
      <w:r w:rsidR="007D7BDB">
        <w:t xml:space="preserve">Although Mr Duncan Percy, on behalf of the appellant, accepted that the substance of the </w:t>
      </w:r>
      <w:proofErr w:type="spellStart"/>
      <w:r w:rsidR="007D7BDB" w:rsidRPr="00287265">
        <w:rPr>
          <w:i/>
        </w:rPr>
        <w:t>Liberato</w:t>
      </w:r>
      <w:proofErr w:type="spellEnd"/>
      <w:r w:rsidR="007D7BDB">
        <w:t xml:space="preserve"> </w:t>
      </w:r>
      <w:r w:rsidR="007D7BDB">
        <w:lastRenderedPageBreak/>
        <w:t xml:space="preserve">direction may have been subsequently given in the summing-up when looked at as a whole, </w:t>
      </w:r>
      <w:r w:rsidR="00E22771">
        <w:t>h</w:t>
      </w:r>
      <w:r w:rsidR="00027C51">
        <w:t>is complaint was</w:t>
      </w:r>
      <w:r w:rsidR="00E22771">
        <w:t xml:space="preserve"> that </w:t>
      </w:r>
      <w:r w:rsidR="007D7BDB">
        <w:t xml:space="preserve">it was not given at the outset </w:t>
      </w:r>
      <w:r w:rsidR="002877C8">
        <w:t xml:space="preserve">of the judge’s directions </w:t>
      </w:r>
      <w:r w:rsidR="00517FAA">
        <w:t>as</w:t>
      </w:r>
      <w:r w:rsidR="007D7BDB">
        <w:t xml:space="preserve"> it should have been </w:t>
      </w:r>
      <w:r w:rsidR="00400C64">
        <w:t>when</w:t>
      </w:r>
      <w:r w:rsidR="007D7BDB">
        <w:t xml:space="preserve"> </w:t>
      </w:r>
      <w:r w:rsidR="002877C8">
        <w:t>setting out</w:t>
      </w:r>
      <w:r w:rsidR="007D7BDB">
        <w:t xml:space="preserve"> the burden and standard of proof</w:t>
      </w:r>
      <w:r w:rsidR="00027C51">
        <w:t>;</w:t>
      </w:r>
      <w:r w:rsidR="007D7BDB">
        <w:t xml:space="preserve"> and</w:t>
      </w:r>
      <w:r w:rsidR="00027C51">
        <w:t>, since it was misplaced, it</w:t>
      </w:r>
      <w:r w:rsidR="007D7BDB">
        <w:t xml:space="preserve"> was liable to have confused the jury</w:t>
      </w:r>
      <w:r w:rsidR="00027C51">
        <w:t xml:space="preserve"> when it was later given</w:t>
      </w:r>
      <w:r w:rsidR="007D7BDB">
        <w:t xml:space="preserve">.  </w:t>
      </w:r>
      <w:r w:rsidR="00400C64">
        <w:t>B</w:t>
      </w:r>
      <w:r w:rsidR="00EC443E">
        <w:t>y th</w:t>
      </w:r>
      <w:r w:rsidR="00400C64">
        <w:t>is omission</w:t>
      </w:r>
      <w:r w:rsidR="00EC443E">
        <w:t xml:space="preserve">, </w:t>
      </w:r>
      <w:r w:rsidR="00723B7C">
        <w:t xml:space="preserve">it is said that </w:t>
      </w:r>
      <w:r w:rsidR="00EC443E">
        <w:t>the judge did not make clear to the jury that, even if they did not accept the appellant’s account, they still had to be sure of the prosecution version of events</w:t>
      </w:r>
      <w:r w:rsidR="007C4528">
        <w:t xml:space="preserve">, </w:t>
      </w:r>
      <w:r w:rsidR="00287265">
        <w:t>especially</w:t>
      </w:r>
      <w:r w:rsidR="007C4528">
        <w:t xml:space="preserve"> where the only real issue at trial was the reasonableness or unreasonableness of the appellant’s actions in defending himself</w:t>
      </w:r>
      <w:r w:rsidR="002E0FC8">
        <w:t xml:space="preserve"> (Ground 1)</w:t>
      </w:r>
      <w:r w:rsidR="007C4528">
        <w:t>.</w:t>
      </w:r>
      <w:r w:rsidR="00EC443E">
        <w:t xml:space="preserve"> </w:t>
      </w:r>
    </w:p>
    <w:p w:rsidR="008A3EA8" w:rsidRPr="00E74343" w:rsidRDefault="00723B7C" w:rsidP="002D7AD7">
      <w:pPr>
        <w:pStyle w:val="T-Draft"/>
      </w:pPr>
      <w:r>
        <w:t>Mr Percy</w:t>
      </w:r>
      <w:r w:rsidR="007C4528">
        <w:t xml:space="preserve"> further </w:t>
      </w:r>
      <w:r w:rsidR="00E22771">
        <w:t>contended</w:t>
      </w:r>
      <w:r w:rsidR="007C4528">
        <w:t xml:space="preserve"> that the failure to bring home the </w:t>
      </w:r>
      <w:r w:rsidR="007F6474" w:rsidRPr="007F6474">
        <w:rPr>
          <w:b/>
        </w:rPr>
        <w:t>‍</w:t>
      </w:r>
      <w:proofErr w:type="spellStart"/>
      <w:r w:rsidR="007C4528" w:rsidRPr="00287265">
        <w:rPr>
          <w:i/>
        </w:rPr>
        <w:t>Liberato</w:t>
      </w:r>
      <w:proofErr w:type="spellEnd"/>
      <w:r w:rsidR="007C4528" w:rsidRPr="00287265">
        <w:rPr>
          <w:i/>
        </w:rPr>
        <w:t xml:space="preserve"> </w:t>
      </w:r>
      <w:r w:rsidR="007C4528">
        <w:t xml:space="preserve">principle </w:t>
      </w:r>
      <w:r w:rsidR="00B82A18">
        <w:t xml:space="preserve">to the jury at an early stage </w:t>
      </w:r>
      <w:r>
        <w:t xml:space="preserve">of the summing-up </w:t>
      </w:r>
      <w:r w:rsidR="007C4528">
        <w:t xml:space="preserve">spilled </w:t>
      </w:r>
      <w:r w:rsidR="00E22771">
        <w:t xml:space="preserve">over </w:t>
      </w:r>
      <w:r w:rsidR="007C4528">
        <w:t xml:space="preserve">into the </w:t>
      </w:r>
      <w:r w:rsidR="00400C64">
        <w:t xml:space="preserve">alleged </w:t>
      </w:r>
      <w:r w:rsidR="007C4528">
        <w:t xml:space="preserve">omissions from Specimen </w:t>
      </w:r>
      <w:r w:rsidR="007F6474" w:rsidRPr="007F6474">
        <w:rPr>
          <w:b/>
        </w:rPr>
        <w:t>‍</w:t>
      </w:r>
      <w:r w:rsidR="007C4528">
        <w:t>Direction 48</w:t>
      </w:r>
      <w:r w:rsidR="00B82A18">
        <w:t>,</w:t>
      </w:r>
      <w:r w:rsidR="007C4528">
        <w:t xml:space="preserve"> as to what </w:t>
      </w:r>
      <w:r w:rsidR="00287265">
        <w:t>t</w:t>
      </w:r>
      <w:r w:rsidR="007C4528">
        <w:t xml:space="preserve">he </w:t>
      </w:r>
      <w:r w:rsidR="00287265">
        <w:t xml:space="preserve">appellant </w:t>
      </w:r>
      <w:r w:rsidR="007C4528" w:rsidRPr="00332A34">
        <w:rPr>
          <w:i/>
        </w:rPr>
        <w:t>may</w:t>
      </w:r>
      <w:r w:rsidR="007C4528">
        <w:t xml:space="preserve"> </w:t>
      </w:r>
      <w:r w:rsidR="007C4528" w:rsidRPr="00332A34">
        <w:rPr>
          <w:i/>
        </w:rPr>
        <w:t>have</w:t>
      </w:r>
      <w:r w:rsidR="007C4528">
        <w:t xml:space="preserve"> honestly believed the situation to be</w:t>
      </w:r>
      <w:r w:rsidR="00400C64">
        <w:t xml:space="preserve"> when acting as he did</w:t>
      </w:r>
      <w:r w:rsidR="00287265">
        <w:t>; particularly where the deceased was clearly shown to be the aggressor at the inception of both episodes of violence caught on CCTV</w:t>
      </w:r>
      <w:r w:rsidR="002E0FC8">
        <w:t xml:space="preserve"> (Ground 2)</w:t>
      </w:r>
      <w:r w:rsidR="007C4528">
        <w:t>.</w:t>
      </w:r>
      <w:r w:rsidR="00EC443E">
        <w:t xml:space="preserve">  </w:t>
      </w:r>
    </w:p>
    <w:p w:rsidR="00822590" w:rsidRPr="007D7BDB" w:rsidRDefault="007D7BDB" w:rsidP="000B1FEF">
      <w:pPr>
        <w:pStyle w:val="j-heading"/>
      </w:pPr>
      <w:r w:rsidRPr="007D7BDB">
        <w:t>The respondent’s submission</w:t>
      </w:r>
      <w:r w:rsidR="002E0FC8">
        <w:t>s</w:t>
      </w:r>
    </w:p>
    <w:p w:rsidR="007D7BDB" w:rsidRDefault="007D7BDB" w:rsidP="007D7BDB">
      <w:pPr>
        <w:pStyle w:val="T-Draft"/>
      </w:pPr>
      <w:r>
        <w:t>Mr Derek Lai, with him Mr Kelvin Tang, on behalf of the respondent</w:t>
      </w:r>
      <w:r w:rsidR="00400C64">
        <w:t xml:space="preserve"> submitted that</w:t>
      </w:r>
      <w:r w:rsidR="002637C0">
        <w:t>, even if the sentence in question was omitted from the initial direction</w:t>
      </w:r>
      <w:r w:rsidR="002877C8">
        <w:t xml:space="preserve"> on</w:t>
      </w:r>
      <w:r w:rsidR="002637C0">
        <w:t xml:space="preserve"> the burden and standard of proof, </w:t>
      </w:r>
      <w:r w:rsidR="00400C64">
        <w:t xml:space="preserve">the substance of the </w:t>
      </w:r>
      <w:proofErr w:type="spellStart"/>
      <w:r w:rsidR="00400C64" w:rsidRPr="00150FBE">
        <w:rPr>
          <w:i/>
        </w:rPr>
        <w:t>Liberato</w:t>
      </w:r>
      <w:proofErr w:type="spellEnd"/>
      <w:r w:rsidR="00400C64">
        <w:t xml:space="preserve"> direction was later given by the judge in her summing-up</w:t>
      </w:r>
      <w:r w:rsidR="00150FBE">
        <w:t xml:space="preserve">; and it is the summing-up as a whole which must be looked at to see </w:t>
      </w:r>
      <w:r w:rsidR="002877C8">
        <w:t>if</w:t>
      </w:r>
      <w:r w:rsidR="00150FBE">
        <w:t xml:space="preserve"> the </w:t>
      </w:r>
      <w:proofErr w:type="spellStart"/>
      <w:r w:rsidR="00150FBE" w:rsidRPr="00150FBE">
        <w:rPr>
          <w:i/>
        </w:rPr>
        <w:t>Liberato</w:t>
      </w:r>
      <w:proofErr w:type="spellEnd"/>
      <w:r w:rsidR="00150FBE">
        <w:t xml:space="preserve"> message has been conveyed to the jury</w:t>
      </w:r>
      <w:r w:rsidR="00027C51">
        <w:t xml:space="preserve">, in the words of </w:t>
      </w:r>
      <w:proofErr w:type="spellStart"/>
      <w:r w:rsidR="00027C51">
        <w:t>Bokhary</w:t>
      </w:r>
      <w:proofErr w:type="spellEnd"/>
      <w:r w:rsidR="00027C51">
        <w:t xml:space="preserve"> </w:t>
      </w:r>
      <w:r w:rsidR="00587A4A" w:rsidRPr="00587A4A">
        <w:rPr>
          <w:b/>
        </w:rPr>
        <w:t>‍</w:t>
      </w:r>
      <w:r w:rsidR="00027C51">
        <w:t xml:space="preserve">PJ in </w:t>
      </w:r>
      <w:r w:rsidR="00027C51" w:rsidRPr="00027C51">
        <w:rPr>
          <w:i/>
        </w:rPr>
        <w:t>Sze Kwan Lung &amp; Others</w:t>
      </w:r>
      <w:r w:rsidR="00027C51">
        <w:t>,</w:t>
      </w:r>
      <w:r w:rsidR="00150FBE">
        <w:t xml:space="preserve"> “[w]</w:t>
      </w:r>
      <w:proofErr w:type="spellStart"/>
      <w:r w:rsidR="00150FBE">
        <w:t>hether</w:t>
      </w:r>
      <w:proofErr w:type="spellEnd"/>
      <w:r w:rsidR="00150FBE">
        <w:t xml:space="preserve"> by one form of words </w:t>
      </w:r>
      <w:r w:rsidR="00150FBE">
        <w:lastRenderedPageBreak/>
        <w:t>or another and whether in one way or another”</w:t>
      </w:r>
      <w:r w:rsidR="00150FBE">
        <w:rPr>
          <w:rStyle w:val="FootnoteReference"/>
        </w:rPr>
        <w:footnoteReference w:id="25"/>
      </w:r>
      <w:r w:rsidR="00150FBE">
        <w:t>.  For example, later in the summing-up the jury were directed in respect of the alleged intervening act of the kick by the deceased</w:t>
      </w:r>
      <w:r w:rsidR="003E74BD">
        <w:rPr>
          <w:rStyle w:val="FootnoteReference"/>
        </w:rPr>
        <w:footnoteReference w:id="26"/>
      </w:r>
      <w:r w:rsidR="00150FBE">
        <w:t>:</w:t>
      </w:r>
    </w:p>
    <w:p w:rsidR="00150FBE" w:rsidRPr="00E74343" w:rsidRDefault="00150FBE" w:rsidP="000B1FEF">
      <w:pPr>
        <w:pStyle w:val="j-quotation"/>
      </w:pPr>
      <w:r>
        <w:t xml:space="preserve">“The defence says that this was an intervening act independent of any act of the defendant.  </w:t>
      </w:r>
      <w:r w:rsidRPr="00874E00">
        <w:t>If you should find that to be true</w:t>
      </w:r>
      <w:r w:rsidRPr="002877C8">
        <w:rPr>
          <w:i/>
        </w:rPr>
        <w:t xml:space="preserve"> </w:t>
      </w:r>
      <w:r w:rsidRPr="00874E00">
        <w:t>or</w:t>
      </w:r>
      <w:r w:rsidRPr="002877C8">
        <w:rPr>
          <w:i/>
        </w:rPr>
        <w:t xml:space="preserve"> may be true</w:t>
      </w:r>
      <w:r>
        <w:t xml:space="preserve"> and </w:t>
      </w:r>
      <w:r w:rsidRPr="00874E00">
        <w:t>if you should conclude that it was</w:t>
      </w:r>
      <w:r w:rsidRPr="002877C8">
        <w:rPr>
          <w:i/>
        </w:rPr>
        <w:t xml:space="preserve"> </w:t>
      </w:r>
      <w:r w:rsidRPr="00874E00">
        <w:t>or</w:t>
      </w:r>
      <w:r w:rsidRPr="002877C8">
        <w:rPr>
          <w:i/>
        </w:rPr>
        <w:t xml:space="preserve"> might be an intervening act</w:t>
      </w:r>
      <w:r>
        <w:t xml:space="preserve"> which is independent of any act of </w:t>
      </w:r>
      <w:r w:rsidR="00BF35A4" w:rsidRPr="00BF35A4">
        <w:rPr>
          <w:b/>
        </w:rPr>
        <w:t>‍</w:t>
      </w:r>
      <w:r>
        <w:t xml:space="preserve">the </w:t>
      </w:r>
      <w:r w:rsidR="00BF35A4" w:rsidRPr="00BF35A4">
        <w:rPr>
          <w:b/>
        </w:rPr>
        <w:t>‍</w:t>
      </w:r>
      <w:r>
        <w:t>defendant, you should acquit the defendant.”</w:t>
      </w:r>
      <w:r w:rsidR="002877C8">
        <w:t xml:space="preserve"> (Emphasis </w:t>
      </w:r>
      <w:r w:rsidR="00BF35A4" w:rsidRPr="00BF35A4">
        <w:rPr>
          <w:b/>
        </w:rPr>
        <w:t>‍</w:t>
      </w:r>
      <w:r w:rsidR="002877C8">
        <w:t>supplied)</w:t>
      </w:r>
    </w:p>
    <w:p w:rsidR="00410B28" w:rsidRDefault="003E74BD" w:rsidP="003E74BD">
      <w:pPr>
        <w:pStyle w:val="T-Draft"/>
      </w:pPr>
      <w:r>
        <w:t xml:space="preserve">In respect of </w:t>
      </w:r>
      <w:r w:rsidR="002637C0">
        <w:t xml:space="preserve">the issue of </w:t>
      </w:r>
      <w:r>
        <w:t>self-defence, the judge did identify the question</w:t>
      </w:r>
      <w:r w:rsidR="00410B28">
        <w:t>s the jury should ask themselves</w:t>
      </w:r>
      <w:r w:rsidR="002637C0">
        <w:t>, namely</w:t>
      </w:r>
      <w:r w:rsidR="002637C0">
        <w:rPr>
          <w:rStyle w:val="FootnoteReference"/>
        </w:rPr>
        <w:footnoteReference w:id="27"/>
      </w:r>
      <w:r w:rsidR="00410B28">
        <w:t>:</w:t>
      </w:r>
    </w:p>
    <w:p w:rsidR="00410B28" w:rsidRDefault="00410B28" w:rsidP="007F6474">
      <w:pPr>
        <w:pStyle w:val="j-quotation"/>
      </w:pPr>
      <w:r>
        <w:t xml:space="preserve">“first, was the defendant attacked by the deceased or did the defendant honestly believe or </w:t>
      </w:r>
      <w:r w:rsidRPr="00410B28">
        <w:rPr>
          <w:i/>
        </w:rPr>
        <w:t xml:space="preserve">may </w:t>
      </w:r>
      <w:r w:rsidR="00874E00">
        <w:rPr>
          <w:i/>
        </w:rPr>
        <w:t xml:space="preserve">(he) </w:t>
      </w:r>
      <w:r w:rsidRPr="00410B28">
        <w:rPr>
          <w:i/>
        </w:rPr>
        <w:t>have honestly believed</w:t>
      </w:r>
      <w:r>
        <w:t xml:space="preserve"> that he was being attacked by the deceased and that force was necessary to protect himself?”</w:t>
      </w:r>
      <w:r w:rsidR="002877C8">
        <w:t xml:space="preserve"> (Emphasis supplied)</w:t>
      </w:r>
    </w:p>
    <w:p w:rsidR="00410B28" w:rsidRDefault="00410B28" w:rsidP="00410B28">
      <w:pPr>
        <w:pStyle w:val="T-Draft"/>
        <w:numPr>
          <w:ilvl w:val="0"/>
          <w:numId w:val="0"/>
        </w:numPr>
      </w:pPr>
      <w:r>
        <w:t>Later, the judge said</w:t>
      </w:r>
      <w:r w:rsidR="002637C0">
        <w:rPr>
          <w:rStyle w:val="FootnoteReference"/>
        </w:rPr>
        <w:footnoteReference w:id="28"/>
      </w:r>
      <w:r>
        <w:t>:</w:t>
      </w:r>
    </w:p>
    <w:p w:rsidR="00410B28" w:rsidRDefault="00410B28" w:rsidP="007F6474">
      <w:pPr>
        <w:pStyle w:val="j-quotation"/>
      </w:pPr>
      <w:r>
        <w:t xml:space="preserve">“If, however, you think that the defendant </w:t>
      </w:r>
      <w:r w:rsidRPr="00410B28">
        <w:rPr>
          <w:i/>
        </w:rPr>
        <w:t>may honestly believe</w:t>
      </w:r>
      <w:r>
        <w:t xml:space="preserve"> that he was attacked by the deceased, then consider the second question. </w:t>
      </w:r>
      <w:r w:rsidR="007F6474">
        <w:t xml:space="preserve"> </w:t>
      </w:r>
      <w:r>
        <w:t>Were the acts or was the act which caused the death of the deceased carried out by the defendant in response to the actual attack on the defendant?”</w:t>
      </w:r>
      <w:r w:rsidR="002877C8">
        <w:t xml:space="preserve"> (Emphasis supplied)</w:t>
      </w:r>
    </w:p>
    <w:p w:rsidR="0000516C" w:rsidRDefault="00723B7C" w:rsidP="003E74BD">
      <w:pPr>
        <w:pStyle w:val="T-Draft"/>
      </w:pPr>
      <w:r>
        <w:t>Again</w:t>
      </w:r>
      <w:r w:rsidR="00410B28">
        <w:t xml:space="preserve">, </w:t>
      </w:r>
      <w:r w:rsidR="002637C0">
        <w:t xml:space="preserve">in response to the jury’s question, posed some </w:t>
      </w:r>
      <w:r w:rsidR="00874E00">
        <w:t>two</w:t>
      </w:r>
      <w:r w:rsidR="002637C0">
        <w:t xml:space="preserve"> hours after retiring to consider their verdict,</w:t>
      </w:r>
      <w:r w:rsidR="00410B28">
        <w:t xml:space="preserve"> the judge repeated that</w:t>
      </w:r>
      <w:r w:rsidR="002637C0">
        <w:t xml:space="preserve"> it was </w:t>
      </w:r>
      <w:r w:rsidR="003E74BD">
        <w:t xml:space="preserve">for the jury </w:t>
      </w:r>
      <w:r w:rsidR="002637C0">
        <w:t>to decide</w:t>
      </w:r>
      <w:r w:rsidR="003E74BD">
        <w:t xml:space="preserve"> whether the appellant </w:t>
      </w:r>
      <w:r w:rsidR="0033761D">
        <w:t xml:space="preserve">honestly </w:t>
      </w:r>
      <w:r w:rsidR="003E74BD">
        <w:t>believed or “</w:t>
      </w:r>
      <w:r w:rsidR="003E74BD" w:rsidRPr="003E74BD">
        <w:rPr>
          <w:i/>
        </w:rPr>
        <w:t>may he have honestly believed</w:t>
      </w:r>
      <w:r w:rsidR="003E74BD">
        <w:t xml:space="preserve"> that he was being attacked by the deceased and that force w</w:t>
      </w:r>
      <w:r w:rsidR="0033761D">
        <w:t>as necessary to protect himself</w:t>
      </w:r>
      <w:r w:rsidR="003E74BD">
        <w:rPr>
          <w:rStyle w:val="FootnoteReference"/>
        </w:rPr>
        <w:footnoteReference w:id="29"/>
      </w:r>
      <w:r w:rsidR="0033761D">
        <w:t>”</w:t>
      </w:r>
      <w:r w:rsidR="008D17F3">
        <w:t xml:space="preserve">. </w:t>
      </w:r>
      <w:r w:rsidR="0033761D">
        <w:t>(Emphasis supplied)</w:t>
      </w:r>
    </w:p>
    <w:p w:rsidR="007B3B2C" w:rsidRDefault="002637C0" w:rsidP="003E74BD">
      <w:pPr>
        <w:pStyle w:val="T-Draft"/>
      </w:pPr>
      <w:r>
        <w:lastRenderedPageBreak/>
        <w:t xml:space="preserve">Mr Lai placed particular stress on the appellant’s version </w:t>
      </w:r>
      <w:r w:rsidR="00DA48FA">
        <w:t xml:space="preserve">of events </w:t>
      </w:r>
      <w:r>
        <w:t>in evidence</w:t>
      </w:r>
      <w:r w:rsidR="00DA48FA">
        <w:t>,</w:t>
      </w:r>
      <w:r>
        <w:t xml:space="preserve"> which was not borne out by the CCTV evidence.  </w:t>
      </w:r>
      <w:r w:rsidR="007B3B2C">
        <w:t>Nevertheless, t</w:t>
      </w:r>
      <w:r>
        <w:t>he jury were appropriately directed</w:t>
      </w:r>
      <w:r w:rsidR="007B3B2C">
        <w:rPr>
          <w:rStyle w:val="FootnoteReference"/>
        </w:rPr>
        <w:footnoteReference w:id="30"/>
      </w:r>
      <w:r w:rsidR="007B3B2C">
        <w:t>:</w:t>
      </w:r>
    </w:p>
    <w:p w:rsidR="002637C0" w:rsidRDefault="007B3B2C" w:rsidP="007F6474">
      <w:pPr>
        <w:pStyle w:val="j-quotation"/>
      </w:pPr>
      <w:r>
        <w:t>“Please remember</w:t>
      </w:r>
      <w:r w:rsidR="002637C0">
        <w:t xml:space="preserve"> that even if you do not accept the defendant’s evidence, you still have to be satisfied beyond reasonable doubt on the prosecution’s evidence…”</w:t>
      </w:r>
    </w:p>
    <w:p w:rsidR="00DA48FA" w:rsidRDefault="00DA48FA" w:rsidP="007B3B2C">
      <w:pPr>
        <w:pStyle w:val="T-Draft"/>
        <w:numPr>
          <w:ilvl w:val="0"/>
          <w:numId w:val="0"/>
        </w:numPr>
      </w:pPr>
      <w:r>
        <w:t xml:space="preserve">Accordingly, </w:t>
      </w:r>
      <w:r w:rsidR="00874E00">
        <w:t xml:space="preserve">it was submitted that </w:t>
      </w:r>
      <w:r>
        <w:t xml:space="preserve">when the summing-up was looked at as a whole, the jury were </w:t>
      </w:r>
      <w:r w:rsidR="00723B7C">
        <w:t>properly</w:t>
      </w:r>
      <w:r>
        <w:t xml:space="preserve"> directed on their approach to the appellant’s evidence on the issue of self-defence.</w:t>
      </w:r>
    </w:p>
    <w:p w:rsidR="00DA48FA" w:rsidRPr="00DA48FA" w:rsidRDefault="00DA48FA" w:rsidP="007F6474">
      <w:pPr>
        <w:pStyle w:val="j-heading"/>
      </w:pPr>
      <w:r w:rsidRPr="00DA48FA">
        <w:t>Discussion</w:t>
      </w:r>
    </w:p>
    <w:p w:rsidR="00DA48FA" w:rsidRDefault="00B5081E" w:rsidP="00DA48FA">
      <w:pPr>
        <w:pStyle w:val="T-Draft"/>
      </w:pPr>
      <w:r>
        <w:t xml:space="preserve">We </w:t>
      </w:r>
      <w:r w:rsidR="002877C8">
        <w:t xml:space="preserve">are </w:t>
      </w:r>
      <w:r w:rsidR="00723B7C">
        <w:t xml:space="preserve">acutely </w:t>
      </w:r>
      <w:r w:rsidR="002877C8">
        <w:t>conscious of the dangers of</w:t>
      </w:r>
      <w:r>
        <w:t xml:space="preserve"> substitut</w:t>
      </w:r>
      <w:r w:rsidR="002877C8">
        <w:t>ing</w:t>
      </w:r>
      <w:r>
        <w:t xml:space="preserve"> our own interpretation of the facts for that of the jury who saw and heard the evidence, including the evidence of eye-witnesses.  Nevertheless, the CCTV evidence provides a surprisingly clear picture of events and the interaction between the appellant and the deceased up to the moment when the deceased </w:t>
      </w:r>
      <w:r w:rsidR="008D17F3">
        <w:t>fell</w:t>
      </w:r>
      <w:r>
        <w:t xml:space="preserve"> against the wine</w:t>
      </w:r>
      <w:r w:rsidR="008D17F3">
        <w:t>-</w:t>
      </w:r>
      <w:r>
        <w:t>rack outside the wine shop and subsequently disappeared from view.  To that extent, we are in exactly the same position as the jury in interpreting the actions of the appellant and the deceased in Episode 1</w:t>
      </w:r>
      <w:r w:rsidR="00EA5138">
        <w:t>,</w:t>
      </w:r>
      <w:r>
        <w:t xml:space="preserve"> and much of Episode 2.</w:t>
      </w:r>
    </w:p>
    <w:p w:rsidR="007F6474" w:rsidRDefault="002877C8" w:rsidP="00DA48FA">
      <w:pPr>
        <w:pStyle w:val="T-Draft"/>
      </w:pPr>
      <w:r>
        <w:t xml:space="preserve">Although it may still be difficult to see some of the </w:t>
      </w:r>
      <w:r w:rsidR="006D6841">
        <w:t xml:space="preserve">precise </w:t>
      </w:r>
      <w:r>
        <w:t>detail of the engagement, there are, in our view, certain facts which can be derived from the CCTV evidence</w:t>
      </w:r>
      <w:r w:rsidR="00874E00">
        <w:t>,</w:t>
      </w:r>
      <w:r>
        <w:t xml:space="preserve"> and which are incontrovertible.</w:t>
      </w:r>
      <w:r w:rsidR="006D6841">
        <w:t xml:space="preserve">  Firstly, the appellant had already got into his car and turned on the ignition in order to leave the scene, when there was a cry from PW1 for help.  That cry</w:t>
      </w:r>
      <w:r w:rsidR="00723B7C">
        <w:t>, which we would more ap</w:t>
      </w:r>
      <w:r w:rsidR="005B375A">
        <w:t>tly describe as</w:t>
      </w:r>
      <w:r w:rsidR="00723B7C">
        <w:t xml:space="preserve"> a scream,</w:t>
      </w:r>
      <w:r w:rsidR="006D6841">
        <w:t xml:space="preserve"> can be clearly heard on </w:t>
      </w:r>
      <w:r w:rsidR="006D6841">
        <w:lastRenderedPageBreak/>
        <w:t>the CCTV recording</w:t>
      </w:r>
      <w:r w:rsidR="005B375A">
        <w:t xml:space="preserve">; and it can readily </w:t>
      </w:r>
      <w:r w:rsidR="00874E00">
        <w:t xml:space="preserve">be </w:t>
      </w:r>
      <w:r w:rsidR="005B375A">
        <w:t xml:space="preserve">inferred from the </w:t>
      </w:r>
      <w:r w:rsidR="00874E00">
        <w:t xml:space="preserve">expression on the </w:t>
      </w:r>
      <w:r w:rsidR="005B375A">
        <w:t xml:space="preserve">face of a passer-by captured on the CCTV footage </w:t>
      </w:r>
      <w:r w:rsidR="00E22771">
        <w:t xml:space="preserve">at the time </w:t>
      </w:r>
      <w:r w:rsidR="005B375A">
        <w:t xml:space="preserve">that the assault on PW1 </w:t>
      </w:r>
      <w:r w:rsidR="008D17F3">
        <w:t xml:space="preserve">by the deceased </w:t>
      </w:r>
      <w:r w:rsidR="005B375A">
        <w:t xml:space="preserve">must have </w:t>
      </w:r>
      <w:r w:rsidR="00874E00">
        <w:t>presented</w:t>
      </w:r>
      <w:r w:rsidR="005B375A">
        <w:t xml:space="preserve"> a shocking scene</w:t>
      </w:r>
      <w:r w:rsidR="006D6841">
        <w:t xml:space="preserve">.  Hardly surprisingly, the appellant alighted from his car to see what was happening and walked slowly towards where PW1 and the deceased were, although only the appellant can be seen at this stage in the CCTV footage.  The point to be made from this sequence of events is that the appellant </w:t>
      </w:r>
      <w:r w:rsidR="00B52B3C">
        <w:t>cannot have been</w:t>
      </w:r>
      <w:r w:rsidR="006D6841">
        <w:t xml:space="preserve"> expecting or looking for a fight</w:t>
      </w:r>
      <w:r w:rsidR="00874E00">
        <w:t xml:space="preserve"> when he got into his car to leave the scene</w:t>
      </w:r>
      <w:r w:rsidR="006D6841">
        <w:t xml:space="preserve">: </w:t>
      </w:r>
      <w:r w:rsidR="00723B7C">
        <w:t xml:space="preserve">indeed, </w:t>
      </w:r>
      <w:r w:rsidR="006D6841">
        <w:t>had he and PW1 parted company a minute earlier, the deceased may not have seen them together and the tragedy would never have happened.</w:t>
      </w:r>
      <w:r w:rsidR="00B52B3C">
        <w:t xml:space="preserve"> </w:t>
      </w:r>
      <w:r w:rsidR="00A8390D">
        <w:t xml:space="preserve"> It was entirely understandable</w:t>
      </w:r>
      <w:r w:rsidR="00B82A18">
        <w:t>, given his relationship with PW1,</w:t>
      </w:r>
      <w:r w:rsidR="00A8390D">
        <w:t xml:space="preserve"> that he should have got out of his car on hearing PW1 cry out</w:t>
      </w:r>
      <w:r w:rsidR="008D17F3">
        <w:t>;</w:t>
      </w:r>
      <w:r w:rsidR="00A8390D">
        <w:t xml:space="preserve"> and it cannot sensibly be suggested that he was </w:t>
      </w:r>
      <w:r w:rsidR="00A65BAB">
        <w:t>deliberately asking for</w:t>
      </w:r>
      <w:r w:rsidR="00A8390D">
        <w:t xml:space="preserve"> trouble by responding to her pleas for help.</w:t>
      </w:r>
    </w:p>
    <w:p w:rsidR="007F6474" w:rsidRDefault="00B52B3C" w:rsidP="00DA48FA">
      <w:pPr>
        <w:pStyle w:val="T-Draft"/>
      </w:pPr>
      <w:r>
        <w:t>Secondly, as the appellant walked along the pavement, we can see the deceased in a</w:t>
      </w:r>
      <w:r w:rsidR="00B43FF2">
        <w:t xml:space="preserve"> highly</w:t>
      </w:r>
      <w:r>
        <w:t xml:space="preserve"> agitated state </w:t>
      </w:r>
      <w:r w:rsidR="00A65BAB">
        <w:t>charging at the appellant from the opposite direction</w:t>
      </w:r>
      <w:r>
        <w:t xml:space="preserve"> with the clear intention of striking him.</w:t>
      </w:r>
      <w:r w:rsidR="00483BB4">
        <w:t xml:space="preserve">  </w:t>
      </w:r>
      <w:r w:rsidR="00EA5138">
        <w:t>It is obvious that</w:t>
      </w:r>
      <w:r w:rsidR="00483BB4">
        <w:t xml:space="preserve"> the deceased was the </w:t>
      </w:r>
      <w:r w:rsidR="00EA5138">
        <w:t xml:space="preserve">initial </w:t>
      </w:r>
      <w:r w:rsidR="00483BB4">
        <w:t>aggressor in Episode 1</w:t>
      </w:r>
      <w:r w:rsidR="00EA5138">
        <w:t>, and the respondent does not argue otherwise</w:t>
      </w:r>
      <w:r w:rsidR="00483BB4">
        <w:t>.</w:t>
      </w:r>
      <w:r>
        <w:t xml:space="preserve">  Rather than </w:t>
      </w:r>
      <w:r w:rsidR="00782FB9">
        <w:t xml:space="preserve">standing still </w:t>
      </w:r>
      <w:r>
        <w:t xml:space="preserve">waiting to be assaulted, the appellant advanced </w:t>
      </w:r>
      <w:r w:rsidR="00782FB9">
        <w:t xml:space="preserve">a couple of steps </w:t>
      </w:r>
      <w:r w:rsidR="00874E00">
        <w:t>towards</w:t>
      </w:r>
      <w:r>
        <w:t xml:space="preserve"> the approaching deceased, </w:t>
      </w:r>
      <w:r w:rsidR="005B375A">
        <w:t>used his left hand to fend him off, while</w:t>
      </w:r>
      <w:r w:rsidR="00874E00">
        <w:t xml:space="preserve"> at the same time</w:t>
      </w:r>
      <w:r w:rsidR="005B375A">
        <w:t xml:space="preserve"> raising</w:t>
      </w:r>
      <w:r>
        <w:t xml:space="preserve"> his </w:t>
      </w:r>
      <w:r w:rsidR="00332A34">
        <w:t xml:space="preserve">right </w:t>
      </w:r>
      <w:r w:rsidR="0033761D">
        <w:t xml:space="preserve">fist and striking </w:t>
      </w:r>
      <w:r w:rsidR="00483BB4">
        <w:t xml:space="preserve">the </w:t>
      </w:r>
      <w:r w:rsidR="005B375A">
        <w:t>upper left body of the deceased</w:t>
      </w:r>
      <w:r w:rsidR="0033761D">
        <w:t xml:space="preserve"> with his </w:t>
      </w:r>
      <w:r w:rsidR="00332A34">
        <w:t xml:space="preserve">right </w:t>
      </w:r>
      <w:r w:rsidR="0033761D">
        <w:t>elbow</w:t>
      </w:r>
      <w:r>
        <w:t xml:space="preserve">.  It is not clear precisely </w:t>
      </w:r>
      <w:r w:rsidR="00EA5138">
        <w:t>wh</w:t>
      </w:r>
      <w:r>
        <w:t xml:space="preserve">ere the appellant’s elbow </w:t>
      </w:r>
      <w:r w:rsidR="00EA5138">
        <w:t xml:space="preserve">made contact with </w:t>
      </w:r>
      <w:r>
        <w:t xml:space="preserve">the deceased but </w:t>
      </w:r>
      <w:r w:rsidR="00483BB4">
        <w:t>we would characterise the appellant’s action as a hard defensive blow, which successfully</w:t>
      </w:r>
      <w:r>
        <w:t xml:space="preserve"> stopped the deceased in his tracks and </w:t>
      </w:r>
      <w:r w:rsidR="00483BB4">
        <w:t xml:space="preserve">seems to have </w:t>
      </w:r>
      <w:r>
        <w:t>somewhat stunned him</w:t>
      </w:r>
      <w:r w:rsidR="00EA5138">
        <w:t>;</w:t>
      </w:r>
      <w:r>
        <w:t xml:space="preserve"> for he is then </w:t>
      </w:r>
      <w:r w:rsidR="00483BB4">
        <w:lastRenderedPageBreak/>
        <w:t>observed</w:t>
      </w:r>
      <w:r>
        <w:t xml:space="preserve"> clutching his left upper chest area and, at one point, spitting into the gutter.</w:t>
      </w:r>
    </w:p>
    <w:p w:rsidR="00782FB9" w:rsidRDefault="00782FB9" w:rsidP="00DA48FA">
      <w:pPr>
        <w:pStyle w:val="T-Draft"/>
      </w:pPr>
      <w:r>
        <w:t xml:space="preserve">Pausing here, we asked Mr Lai during argument whether, if this had been the extent of the physical </w:t>
      </w:r>
      <w:r w:rsidR="00E22771">
        <w:t>interaction</w:t>
      </w:r>
      <w:r>
        <w:t xml:space="preserve"> between the deceased and the appellant, he would accept that the appellant </w:t>
      </w:r>
      <w:r w:rsidR="0033761D">
        <w:t>was defending himself as he was entitled to do</w:t>
      </w:r>
      <w:r>
        <w:t xml:space="preserve">.  Rightly, </w:t>
      </w:r>
      <w:r w:rsidR="00EA5138">
        <w:t xml:space="preserve">we think, </w:t>
      </w:r>
      <w:r>
        <w:t xml:space="preserve">so far as Episode 1 was concerned, Mr </w:t>
      </w:r>
      <w:r w:rsidR="00BF35A4" w:rsidRPr="00BF35A4">
        <w:rPr>
          <w:b/>
        </w:rPr>
        <w:t>‍</w:t>
      </w:r>
      <w:r>
        <w:t xml:space="preserve">Lai accepted </w:t>
      </w:r>
      <w:r w:rsidR="00EA5138">
        <w:t xml:space="preserve">not only that </w:t>
      </w:r>
      <w:r>
        <w:t xml:space="preserve">the deceased was the </w:t>
      </w:r>
      <w:r w:rsidR="00EA5138">
        <w:t xml:space="preserve">initial </w:t>
      </w:r>
      <w:r>
        <w:t>aggressor</w:t>
      </w:r>
      <w:r w:rsidR="00EA5138">
        <w:t>, but</w:t>
      </w:r>
      <w:r>
        <w:t xml:space="preserve"> that the appellant</w:t>
      </w:r>
      <w:r w:rsidR="0033761D">
        <w:t>,</w:t>
      </w:r>
      <w:r>
        <w:t xml:space="preserve"> </w:t>
      </w:r>
      <w:r w:rsidR="0033761D">
        <w:t>by responding as he did, had</w:t>
      </w:r>
      <w:r>
        <w:t xml:space="preserve"> </w:t>
      </w:r>
      <w:r w:rsidR="0033761D">
        <w:t xml:space="preserve">properly </w:t>
      </w:r>
      <w:r>
        <w:t xml:space="preserve">acted </w:t>
      </w:r>
      <w:r w:rsidR="0033761D">
        <w:t>to defend himself</w:t>
      </w:r>
      <w:r>
        <w:t>.</w:t>
      </w:r>
    </w:p>
    <w:p w:rsidR="00483BB4" w:rsidRDefault="00483BB4" w:rsidP="00DA48FA">
      <w:pPr>
        <w:pStyle w:val="T-Draft"/>
      </w:pPr>
      <w:r>
        <w:t xml:space="preserve">Thirdly, the appellant and the deceased are </w:t>
      </w:r>
      <w:r w:rsidR="00782FB9">
        <w:t xml:space="preserve">then </w:t>
      </w:r>
      <w:r>
        <w:t>seen to face off against each other</w:t>
      </w:r>
      <w:r w:rsidR="00D50BDF">
        <w:t xml:space="preserve"> on the pavement</w:t>
      </w:r>
      <w:r>
        <w:t xml:space="preserve">, with each </w:t>
      </w:r>
      <w:r w:rsidR="00EA5138">
        <w:t xml:space="preserve">gesturing or </w:t>
      </w:r>
      <w:r>
        <w:t xml:space="preserve">pointing at the other.  The </w:t>
      </w:r>
      <w:r w:rsidR="00782FB9">
        <w:t xml:space="preserve">admitted CCTV </w:t>
      </w:r>
      <w:r>
        <w:t>transcript</w:t>
      </w:r>
      <w:r w:rsidR="00867EDE">
        <w:t>, Exhibit P5,</w:t>
      </w:r>
      <w:r w:rsidR="00782FB9">
        <w:t xml:space="preserve"> </w:t>
      </w:r>
      <w:r>
        <w:t>tells us that</w:t>
      </w:r>
      <w:r w:rsidR="00D50BDF">
        <w:t xml:space="preserve"> the deceased repeatedly asked the appellant why he was together with PW1</w:t>
      </w:r>
      <w:r w:rsidR="007166A2">
        <w:t>,</w:t>
      </w:r>
      <w:r w:rsidR="00D50BDF">
        <w:t xml:space="preserve"> and why they were earlier seen to be arm in arm; while the appellant </w:t>
      </w:r>
      <w:r w:rsidR="0033761D">
        <w:t>sa</w:t>
      </w:r>
      <w:r w:rsidR="00867EDE">
        <w:t>id</w:t>
      </w:r>
      <w:r w:rsidR="00D50BDF">
        <w:t xml:space="preserve"> that he d</w:t>
      </w:r>
      <w:r w:rsidR="00867EDE">
        <w:t>id</w:t>
      </w:r>
      <w:r w:rsidR="00D50BDF">
        <w:t xml:space="preserve"> not want to fight with</w:t>
      </w:r>
      <w:r w:rsidR="00B43FF2">
        <w:t>, or touch,</w:t>
      </w:r>
      <w:r w:rsidR="00D50BDF">
        <w:t xml:space="preserve"> him.  The appellant </w:t>
      </w:r>
      <w:r w:rsidR="00EA5138">
        <w:t xml:space="preserve">initially </w:t>
      </w:r>
      <w:r w:rsidR="00D50BDF">
        <w:t>assume</w:t>
      </w:r>
      <w:r w:rsidR="00A65BAB">
        <w:t>d</w:t>
      </w:r>
      <w:r w:rsidR="00D50BDF">
        <w:t xml:space="preserve"> a</w:t>
      </w:r>
      <w:r w:rsidR="00EA5138">
        <w:t>n aggressive but</w:t>
      </w:r>
      <w:r w:rsidR="00D50BDF">
        <w:t xml:space="preserve"> defensive</w:t>
      </w:r>
      <w:r w:rsidR="00B43FF2">
        <w:t xml:space="preserve"> </w:t>
      </w:r>
      <w:r w:rsidR="00D50BDF">
        <w:t>stance, which relaxe</w:t>
      </w:r>
      <w:r w:rsidR="00A65BAB">
        <w:t>d</w:t>
      </w:r>
      <w:r w:rsidR="00D50BDF">
        <w:t xml:space="preserve"> upon the arrival of PW1, who is </w:t>
      </w:r>
      <w:r w:rsidR="00A65BAB">
        <w:t>observed h</w:t>
      </w:r>
      <w:r w:rsidR="00D50BDF">
        <w:t>olding her left cheek.</w:t>
      </w:r>
    </w:p>
    <w:p w:rsidR="00D50BDF" w:rsidRDefault="00D50BDF" w:rsidP="00DA48FA">
      <w:pPr>
        <w:pStyle w:val="T-Draft"/>
      </w:pPr>
      <w:r>
        <w:t xml:space="preserve">Fourthly, </w:t>
      </w:r>
      <w:r w:rsidR="00EC68C8">
        <w:t xml:space="preserve">when PW1 appeared, the conversation turned to PW1 and the deceased, with the deceased questioning PW1 as to why she was meeting </w:t>
      </w:r>
      <w:r w:rsidR="00224C02">
        <w:t xml:space="preserve">up with </w:t>
      </w:r>
      <w:r w:rsidR="00EC68C8">
        <w:t>the appellant</w:t>
      </w:r>
      <w:r w:rsidR="00224C02">
        <w:t xml:space="preserve"> yet again</w:t>
      </w:r>
      <w:r w:rsidR="00EC68C8">
        <w:t xml:space="preserve">.  When he </w:t>
      </w:r>
      <w:r w:rsidR="00224C02">
        <w:t>pointed out that this was the second time he had seen them together,</w:t>
      </w:r>
      <w:r w:rsidR="00B43FF2">
        <w:t xml:space="preserve"> </w:t>
      </w:r>
      <w:r>
        <w:t>the deceased suddenly lunge</w:t>
      </w:r>
      <w:r w:rsidR="00F00D5D">
        <w:t>d</w:t>
      </w:r>
      <w:r w:rsidR="00867EDE">
        <w:t xml:space="preserve"> </w:t>
      </w:r>
      <w:r>
        <w:t>at the appellant</w:t>
      </w:r>
      <w:r w:rsidR="00224C02">
        <w:t xml:space="preserve"> again</w:t>
      </w:r>
      <w:r>
        <w:t>.  There was a</w:t>
      </w:r>
      <w:r w:rsidR="00782FB9">
        <w:t>n issue</w:t>
      </w:r>
      <w:r>
        <w:t xml:space="preserve"> at trial as to whether </w:t>
      </w:r>
      <w:r w:rsidR="00782FB9">
        <w:t xml:space="preserve">he gave the appellant </w:t>
      </w:r>
      <w:r>
        <w:t xml:space="preserve">a punch or a push.  </w:t>
      </w:r>
      <w:r w:rsidR="00F00D5D">
        <w:t>It seems to us that it was a push, but w</w:t>
      </w:r>
      <w:r>
        <w:t xml:space="preserve">hatever it was, it was done with </w:t>
      </w:r>
      <w:r w:rsidR="0033761D">
        <w:t>enough f</w:t>
      </w:r>
      <w:r>
        <w:t>orce</w:t>
      </w:r>
      <w:r w:rsidR="0033761D">
        <w:t xml:space="preserve"> to propel the appellant backwards,</w:t>
      </w:r>
      <w:r>
        <w:t xml:space="preserve"> and the deceased was plainly the initiator of</w:t>
      </w:r>
      <w:r w:rsidR="00F00D5D">
        <w:t xml:space="preserve"> the </w:t>
      </w:r>
      <w:r w:rsidR="0033761D">
        <w:t>aggression</w:t>
      </w:r>
      <w:r w:rsidR="00F00D5D">
        <w:t xml:space="preserve"> which </w:t>
      </w:r>
      <w:r w:rsidR="0033761D">
        <w:t>precipitated</w:t>
      </w:r>
      <w:r>
        <w:t xml:space="preserve"> Episode 2.</w:t>
      </w:r>
    </w:p>
    <w:p w:rsidR="00AD7CCF" w:rsidRDefault="00AD7CCF" w:rsidP="00DA48FA">
      <w:pPr>
        <w:pStyle w:val="T-Draft"/>
      </w:pPr>
      <w:r>
        <w:lastRenderedPageBreak/>
        <w:t xml:space="preserve">Fifthly, the appellant returned a punch with his right fist at the head of the deceased, but </w:t>
      </w:r>
      <w:r w:rsidR="001D2474">
        <w:t xml:space="preserve">the </w:t>
      </w:r>
      <w:r w:rsidR="008D17F3">
        <w:t xml:space="preserve">deceased ducked and the </w:t>
      </w:r>
      <w:r w:rsidR="00682DC8">
        <w:t>punch</w:t>
      </w:r>
      <w:r>
        <w:t xml:space="preserve"> did not connect with </w:t>
      </w:r>
      <w:r w:rsidR="008D17F3">
        <w:t>him</w:t>
      </w:r>
      <w:r>
        <w:t xml:space="preserve">. </w:t>
      </w:r>
    </w:p>
    <w:p w:rsidR="00AD7CCF" w:rsidRDefault="00AD7CCF" w:rsidP="00DA48FA">
      <w:pPr>
        <w:pStyle w:val="T-Draft"/>
      </w:pPr>
      <w:r>
        <w:t xml:space="preserve">Sixthly, there was then what may be described as a grappling action between the two men, followed by a hard </w:t>
      </w:r>
      <w:r w:rsidR="001D2474">
        <w:t>punch</w:t>
      </w:r>
      <w:r>
        <w:t xml:space="preserve"> by the appellant </w:t>
      </w:r>
      <w:r w:rsidR="008D17F3">
        <w:t xml:space="preserve">with his right fist </w:t>
      </w:r>
      <w:r>
        <w:t xml:space="preserve">to the </w:t>
      </w:r>
      <w:r w:rsidR="001D2474">
        <w:t xml:space="preserve">head of the </w:t>
      </w:r>
      <w:r>
        <w:t xml:space="preserve">deceased as he </w:t>
      </w:r>
      <w:r w:rsidR="000C3583">
        <w:t>wa</w:t>
      </w:r>
      <w:r>
        <w:t>s falling against the wine</w:t>
      </w:r>
      <w:r w:rsidR="008D17F3">
        <w:t>-</w:t>
      </w:r>
      <w:r>
        <w:t xml:space="preserve">rack </w:t>
      </w:r>
      <w:r w:rsidR="00F45951">
        <w:t xml:space="preserve">on the pavement </w:t>
      </w:r>
      <w:r>
        <w:t>outside the wine shop.  At this stage, it is clear that the appellant ha</w:t>
      </w:r>
      <w:r w:rsidR="00F00D5D">
        <w:t>d</w:t>
      </w:r>
      <w:r>
        <w:t xml:space="preserve"> the upper hand</w:t>
      </w:r>
      <w:r w:rsidR="00BF7C1B">
        <w:t xml:space="preserve"> and, as both men move</w:t>
      </w:r>
      <w:r w:rsidR="001D2474">
        <w:t>d</w:t>
      </w:r>
      <w:r w:rsidR="00BF7C1B">
        <w:t xml:space="preserve"> out of sight </w:t>
      </w:r>
      <w:r w:rsidR="00682DC8">
        <w:t>of the CCTV camera</w:t>
      </w:r>
      <w:r w:rsidR="00F45951">
        <w:t>s</w:t>
      </w:r>
      <w:r w:rsidR="00BF7C1B">
        <w:t xml:space="preserve">, the appellant </w:t>
      </w:r>
      <w:r w:rsidR="001D2474">
        <w:t>can be</w:t>
      </w:r>
      <w:r w:rsidR="00BF7C1B">
        <w:t xml:space="preserve"> seen to raise his right arm</w:t>
      </w:r>
      <w:r w:rsidR="008D17F3">
        <w:t xml:space="preserve"> again</w:t>
      </w:r>
      <w:r w:rsidR="00682DC8">
        <w:t>.</w:t>
      </w:r>
      <w:r w:rsidR="000C3583">
        <w:t xml:space="preserve">  We </w:t>
      </w:r>
      <w:r w:rsidR="009766A3">
        <w:t xml:space="preserve">should say we </w:t>
      </w:r>
      <w:r w:rsidR="00EA5138">
        <w:t>are not prepared to</w:t>
      </w:r>
      <w:r w:rsidR="000C3583">
        <w:t xml:space="preserve"> agree with Mr Lai</w:t>
      </w:r>
      <w:r w:rsidR="00EA5138">
        <w:t>’s interpretation</w:t>
      </w:r>
      <w:r w:rsidR="000C3583">
        <w:t xml:space="preserve"> that the deceased’s head can be seen </w:t>
      </w:r>
      <w:r w:rsidR="00EA5138">
        <w:t xml:space="preserve">coming to rest </w:t>
      </w:r>
      <w:r w:rsidR="000C3583">
        <w:t>on the pavement.</w:t>
      </w:r>
    </w:p>
    <w:p w:rsidR="009766A3" w:rsidRDefault="009766A3" w:rsidP="00DA48FA">
      <w:pPr>
        <w:pStyle w:val="T-Draft"/>
      </w:pPr>
      <w:r>
        <w:t xml:space="preserve">Finally, it is also important to note that from the moment of the deceased’s </w:t>
      </w:r>
      <w:r w:rsidR="004A0D5C">
        <w:t xml:space="preserve">punch or </w:t>
      </w:r>
      <w:r>
        <w:t>push, which precipitated Episode 2, to</w:t>
      </w:r>
      <w:r w:rsidR="001D7C63">
        <w:t xml:space="preserve"> the time</w:t>
      </w:r>
      <w:r>
        <w:t xml:space="preserve"> the deceased was lying on the ground, the incident took </w:t>
      </w:r>
      <w:r w:rsidR="00BF7C1B">
        <w:t>about</w:t>
      </w:r>
      <w:r>
        <w:t xml:space="preserve"> </w:t>
      </w:r>
      <w:r w:rsidR="001D2474">
        <w:t>five</w:t>
      </w:r>
      <w:r>
        <w:t xml:space="preserve"> seconds.</w:t>
      </w:r>
      <w:r w:rsidR="001D7C63">
        <w:t xml:space="preserve">  We have</w:t>
      </w:r>
      <w:r w:rsidR="001D2474">
        <w:t>, of course,</w:t>
      </w:r>
      <w:r w:rsidR="001D7C63">
        <w:t xml:space="preserve"> had the luxury of </w:t>
      </w:r>
      <w:r w:rsidR="008D17F3">
        <w:t xml:space="preserve">repeatedly </w:t>
      </w:r>
      <w:r w:rsidR="001D7C63">
        <w:t xml:space="preserve">examining the CCTV </w:t>
      </w:r>
      <w:r w:rsidR="00587A4A" w:rsidRPr="00587A4A">
        <w:rPr>
          <w:b/>
        </w:rPr>
        <w:t>‍</w:t>
      </w:r>
      <w:r w:rsidR="001D7C63">
        <w:t>evidence, in real time or</w:t>
      </w:r>
      <w:r w:rsidR="00296A44">
        <w:t xml:space="preserve"> frame by frame in</w:t>
      </w:r>
      <w:r w:rsidR="001D7C63">
        <w:t xml:space="preserve"> slow motion</w:t>
      </w:r>
      <w:r w:rsidR="00296A44">
        <w:t>,</w:t>
      </w:r>
      <w:r w:rsidR="001D7C63">
        <w:t xml:space="preserve"> on an enlarged screen in the clinical setting of a courtroom.  Yet, there is a </w:t>
      </w:r>
      <w:r w:rsidR="001D2474">
        <w:t xml:space="preserve">certain </w:t>
      </w:r>
      <w:r w:rsidR="001D7C63">
        <w:t xml:space="preserve">artificiality in trying to attribute any </w:t>
      </w:r>
      <w:r w:rsidR="001D2474">
        <w:t>specific</w:t>
      </w:r>
      <w:r w:rsidR="001D7C63">
        <w:t xml:space="preserve"> intention to any particular act</w:t>
      </w:r>
      <w:r w:rsidR="00296A44">
        <w:t>ion</w:t>
      </w:r>
      <w:r w:rsidR="001D7C63">
        <w:t xml:space="preserve"> in the heat of a fast-moving, unexpected and interactive event</w:t>
      </w:r>
      <w:r w:rsidR="00296A44">
        <w:t>,</w:t>
      </w:r>
      <w:r w:rsidR="001D7C63">
        <w:t xml:space="preserve"> which lasted only a few seconds. </w:t>
      </w:r>
    </w:p>
    <w:p w:rsidR="00AD7CCF" w:rsidRDefault="00AD7CCF" w:rsidP="00DA48FA">
      <w:pPr>
        <w:pStyle w:val="T-Draft"/>
      </w:pPr>
      <w:r>
        <w:t xml:space="preserve">While some of the actions </w:t>
      </w:r>
      <w:r w:rsidR="00296A44">
        <w:t xml:space="preserve">we have described </w:t>
      </w:r>
      <w:r>
        <w:t>may be open to nuance and interpretation</w:t>
      </w:r>
      <w:r w:rsidR="00682DC8">
        <w:t xml:space="preserve">, </w:t>
      </w:r>
      <w:r w:rsidR="009766A3">
        <w:t xml:space="preserve">nevertheless two clear features emerge </w:t>
      </w:r>
      <w:r w:rsidR="00F00D5D">
        <w:t>from the CCTV evidence</w:t>
      </w:r>
      <w:r w:rsidR="00FC12AE">
        <w:t>, which would have been as obvious to the jury</w:t>
      </w:r>
      <w:r w:rsidR="00867EDE">
        <w:t>,</w:t>
      </w:r>
      <w:r w:rsidR="00FC12AE">
        <w:t xml:space="preserve"> as they are to us</w:t>
      </w:r>
      <w:r w:rsidR="009766A3">
        <w:t>: f</w:t>
      </w:r>
      <w:r w:rsidR="008F450A">
        <w:t xml:space="preserve">irst, </w:t>
      </w:r>
      <w:r w:rsidR="00C65F3B">
        <w:t>th</w:t>
      </w:r>
      <w:r w:rsidR="00F00D5D">
        <w:t>e deceased was the initial aggressor</w:t>
      </w:r>
      <w:r w:rsidR="00C65F3B">
        <w:t xml:space="preserve"> </w:t>
      </w:r>
      <w:r w:rsidR="00FC12AE">
        <w:t>at the inception of</w:t>
      </w:r>
      <w:r w:rsidR="008F450A">
        <w:t xml:space="preserve"> </w:t>
      </w:r>
      <w:r w:rsidR="008D17F3">
        <w:t xml:space="preserve">both </w:t>
      </w:r>
      <w:r w:rsidR="00C65F3B">
        <w:t xml:space="preserve">Episode 1 and </w:t>
      </w:r>
      <w:r w:rsidR="008F450A">
        <w:t xml:space="preserve">Episode </w:t>
      </w:r>
      <w:r w:rsidR="00C65F3B">
        <w:t>2</w:t>
      </w:r>
      <w:r w:rsidR="008F450A">
        <w:t>; secondly,</w:t>
      </w:r>
      <w:r w:rsidR="00F00D5D">
        <w:t xml:space="preserve"> the appellant got the better of the deceased</w:t>
      </w:r>
      <w:r w:rsidR="009766A3">
        <w:t xml:space="preserve"> on </w:t>
      </w:r>
      <w:r w:rsidR="008D17F3">
        <w:t>each</w:t>
      </w:r>
      <w:r w:rsidR="009766A3">
        <w:t xml:space="preserve"> occasion</w:t>
      </w:r>
      <w:r w:rsidR="00F00D5D">
        <w:t xml:space="preserve">.  </w:t>
      </w:r>
    </w:p>
    <w:p w:rsidR="00F00D5D" w:rsidRDefault="00F00D5D" w:rsidP="00DA48FA">
      <w:pPr>
        <w:pStyle w:val="T-Draft"/>
      </w:pPr>
      <w:r>
        <w:lastRenderedPageBreak/>
        <w:t xml:space="preserve">Looked at in this way, it seems to us that the real issue in this case, if one accepts, as we think we must, that the appellant was </w:t>
      </w:r>
      <w:r w:rsidR="00EC68C8">
        <w:t>justified in acting</w:t>
      </w:r>
      <w:r w:rsidR="008D17F3">
        <w:t xml:space="preserve"> </w:t>
      </w:r>
      <w:r>
        <w:t>as he did in Episode 1,</w:t>
      </w:r>
      <w:r w:rsidR="007F3533">
        <w:t xml:space="preserve"> was whether the appellant’s response to the deceased’s </w:t>
      </w:r>
      <w:r w:rsidR="004A0D5C">
        <w:t xml:space="preserve">punch or </w:t>
      </w:r>
      <w:r w:rsidR="007F3533">
        <w:t>push</w:t>
      </w:r>
      <w:r w:rsidR="004A0D5C">
        <w:t xml:space="preserve"> </w:t>
      </w:r>
      <w:r w:rsidR="007F3533">
        <w:t xml:space="preserve">in Episode 2 was in reasonable </w:t>
      </w:r>
      <w:r w:rsidR="00F45951">
        <w:t>self-</w:t>
      </w:r>
      <w:r w:rsidR="007F3533">
        <w:t>defence; or to put it more correctly, whether the prosecution could prove</w:t>
      </w:r>
      <w:r w:rsidR="00B406F0">
        <w:t xml:space="preserve"> to the required standard</w:t>
      </w:r>
      <w:r w:rsidR="007F3533">
        <w:t xml:space="preserve"> that his response was not in reasonable self-defence.  </w:t>
      </w:r>
      <w:r w:rsidR="00B406F0">
        <w:t xml:space="preserve">Ultimately, that issue was </w:t>
      </w:r>
      <w:r w:rsidR="00F45951">
        <w:t xml:space="preserve">to be </w:t>
      </w:r>
      <w:r w:rsidR="00B406F0">
        <w:t xml:space="preserve">resolved by determining </w:t>
      </w:r>
      <w:r w:rsidR="007F3533">
        <w:t xml:space="preserve">whether the prosecution could </w:t>
      </w:r>
      <w:r w:rsidR="00B406F0">
        <w:t>show</w:t>
      </w:r>
      <w:r w:rsidR="007F3533">
        <w:t xml:space="preserve"> that the appellant over-reacted </w:t>
      </w:r>
      <w:r w:rsidR="008D0D26">
        <w:t>by turning</w:t>
      </w:r>
      <w:r w:rsidR="007F3533">
        <w:t xml:space="preserve"> </w:t>
      </w:r>
      <w:r w:rsidR="00B406F0">
        <w:t>a</w:t>
      </w:r>
      <w:r w:rsidR="007F3533">
        <w:t xml:space="preserve"> </w:t>
      </w:r>
      <w:r w:rsidR="00682DC8">
        <w:t xml:space="preserve">legitimate </w:t>
      </w:r>
      <w:r w:rsidR="007F3533">
        <w:t xml:space="preserve">defensive action into a retaliatory, punitive </w:t>
      </w:r>
      <w:r w:rsidR="0007182B">
        <w:t>one,</w:t>
      </w:r>
      <w:r w:rsidR="007F3533">
        <w:t xml:space="preserve"> which </w:t>
      </w:r>
      <w:r w:rsidR="004A0D5C">
        <w:t>resulted in</w:t>
      </w:r>
      <w:r w:rsidR="007F3533">
        <w:t xml:space="preserve"> the death of the deceased.</w:t>
      </w:r>
    </w:p>
    <w:p w:rsidR="00B406F0" w:rsidRDefault="00B406F0" w:rsidP="00DA48FA">
      <w:pPr>
        <w:pStyle w:val="T-Draft"/>
      </w:pPr>
      <w:r>
        <w:t xml:space="preserve">It is </w:t>
      </w:r>
      <w:r w:rsidR="0007182B">
        <w:t xml:space="preserve">perhaps </w:t>
      </w:r>
      <w:r>
        <w:t>unfortunate that the issue was not crystallised in this way at the trial</w:t>
      </w:r>
      <w:r w:rsidR="004A0D5C">
        <w:t xml:space="preserve"> by either the parties </w:t>
      </w:r>
      <w:r w:rsidR="00F45951">
        <w:t xml:space="preserve">in their closing speeches </w:t>
      </w:r>
      <w:r w:rsidR="004A0D5C">
        <w:t xml:space="preserve">or </w:t>
      </w:r>
      <w:r w:rsidR="00F45951">
        <w:t xml:space="preserve">by </w:t>
      </w:r>
      <w:r w:rsidR="004A0D5C">
        <w:t>the judge</w:t>
      </w:r>
      <w:r w:rsidR="00F45951">
        <w:t xml:space="preserve"> in her summing-up</w:t>
      </w:r>
      <w:r w:rsidR="008D0D26">
        <w:t xml:space="preserve">.  </w:t>
      </w:r>
      <w:r w:rsidR="00296A44">
        <w:t xml:space="preserve">In </w:t>
      </w:r>
      <w:r w:rsidR="001D2474">
        <w:t xml:space="preserve">the legal direction on </w:t>
      </w:r>
      <w:r w:rsidR="00296A44">
        <w:t xml:space="preserve">self-defence, there are essentially two questions to be asked: first, did the defendant honestly believe, or may he have honestly believed, that it was necessary to defend himself (the necessity limb); secondly, taking the circumstances as the defendant honestly believed them to be, was the amount of force which he used reasonable </w:t>
      </w:r>
      <w:r w:rsidR="007E21E0">
        <w:t xml:space="preserve">(the reasonableness limb)?  </w:t>
      </w:r>
      <w:r w:rsidR="008D0D26">
        <w:t xml:space="preserve">In most cases which come before the court where self-defence is advanced, the </w:t>
      </w:r>
      <w:r w:rsidR="0055182D">
        <w:t>issue</w:t>
      </w:r>
      <w:r w:rsidR="008D0D26">
        <w:t xml:space="preserve"> usually</w:t>
      </w:r>
      <w:r w:rsidR="007E21E0">
        <w:t xml:space="preserve"> </w:t>
      </w:r>
      <w:r w:rsidR="001D2474">
        <w:t>centres on the first</w:t>
      </w:r>
      <w:r w:rsidR="007E21E0">
        <w:t xml:space="preserve"> limb,</w:t>
      </w:r>
      <w:r w:rsidR="008D0D26">
        <w:t xml:space="preserve"> </w:t>
      </w:r>
      <w:r w:rsidR="008D17F3">
        <w:t xml:space="preserve">and </w:t>
      </w:r>
      <w:r w:rsidR="008D0D26">
        <w:t xml:space="preserve">whether the defendant </w:t>
      </w:r>
      <w:r w:rsidR="00FC12AE">
        <w:t xml:space="preserve">could </w:t>
      </w:r>
      <w:r w:rsidR="0055182D">
        <w:t xml:space="preserve">ever honestly </w:t>
      </w:r>
      <w:r w:rsidR="00FC12AE">
        <w:t xml:space="preserve">have </w:t>
      </w:r>
      <w:r w:rsidR="0055182D">
        <w:t>believed that it was necessary to defend himself in the first place.</w:t>
      </w:r>
      <w:r w:rsidR="008D0D26">
        <w:t xml:space="preserve">  </w:t>
      </w:r>
      <w:r w:rsidR="0055182D">
        <w:t xml:space="preserve">Where the defendant is </w:t>
      </w:r>
      <w:r w:rsidR="00FC12AE">
        <w:t xml:space="preserve">himself </w:t>
      </w:r>
      <w:r w:rsidR="0055182D">
        <w:t>the aggressor, self</w:t>
      </w:r>
      <w:r w:rsidR="00BF35A4">
        <w:noBreakHyphen/>
      </w:r>
      <w:r w:rsidR="0055182D">
        <w:t xml:space="preserve">defence </w:t>
      </w:r>
      <w:r w:rsidR="007E21E0">
        <w:t xml:space="preserve">seldom gets past the </w:t>
      </w:r>
      <w:r w:rsidR="001D2474">
        <w:t>necessity</w:t>
      </w:r>
      <w:r w:rsidR="007E21E0">
        <w:t xml:space="preserve"> limb</w:t>
      </w:r>
      <w:r w:rsidR="0055182D">
        <w:t xml:space="preserve">.  </w:t>
      </w:r>
      <w:r w:rsidR="008D0D26">
        <w:t>That</w:t>
      </w:r>
      <w:r w:rsidR="004A0D5C">
        <w:t>, however,</w:t>
      </w:r>
      <w:r w:rsidR="008D0D26">
        <w:t xml:space="preserve"> </w:t>
      </w:r>
      <w:r w:rsidR="0055182D">
        <w:t>was not</w:t>
      </w:r>
      <w:r w:rsidR="008D0D26">
        <w:t xml:space="preserve"> the position in this case.  Quite apart from Mr Lai’s realistic concession in respect of Episode 1, the deceased </w:t>
      </w:r>
      <w:r w:rsidR="00FB60AB">
        <w:t xml:space="preserve">was also the initial aggressor in respect of Episode </w:t>
      </w:r>
      <w:r w:rsidR="00FB6314">
        <w:t>‍</w:t>
      </w:r>
      <w:r w:rsidR="00FB60AB">
        <w:t xml:space="preserve">2, when he </w:t>
      </w:r>
      <w:r w:rsidR="008D0D26">
        <w:t>suddenly lunged at the appellant</w:t>
      </w:r>
      <w:r w:rsidR="00FB60AB">
        <w:t xml:space="preserve"> again, </w:t>
      </w:r>
      <w:r w:rsidR="00D51036">
        <w:t>complaining</w:t>
      </w:r>
      <w:r w:rsidR="00FB60AB">
        <w:t xml:space="preserve"> in a highly agitated </w:t>
      </w:r>
      <w:r w:rsidR="00FB60AB">
        <w:lastRenderedPageBreak/>
        <w:t xml:space="preserve">state, according to the transcript, that it was no coincidence that he should have bumped into </w:t>
      </w:r>
      <w:r w:rsidR="00FC12AE">
        <w:t>the appellant</w:t>
      </w:r>
      <w:r w:rsidR="000E0A13">
        <w:t xml:space="preserve"> and PW1</w:t>
      </w:r>
      <w:r w:rsidR="00FB60AB">
        <w:t xml:space="preserve"> together again</w:t>
      </w:r>
      <w:r w:rsidR="00FB60AB">
        <w:rPr>
          <w:rStyle w:val="FootnoteReference"/>
        </w:rPr>
        <w:footnoteReference w:id="31"/>
      </w:r>
      <w:r w:rsidR="00FB60AB">
        <w:t>.</w:t>
      </w:r>
    </w:p>
    <w:p w:rsidR="00FB60AB" w:rsidRDefault="00FB60AB" w:rsidP="00DA48FA">
      <w:pPr>
        <w:pStyle w:val="T-Draft"/>
      </w:pPr>
      <w:r>
        <w:t xml:space="preserve">Once one accepts that the only </w:t>
      </w:r>
      <w:r w:rsidR="006628ED">
        <w:t xml:space="preserve">real </w:t>
      </w:r>
      <w:r>
        <w:t xml:space="preserve">issue in this case was </w:t>
      </w:r>
      <w:r w:rsidR="007E21E0">
        <w:t xml:space="preserve">the second limb, namely, </w:t>
      </w:r>
      <w:r>
        <w:t xml:space="preserve">whether the appellant was acting in </w:t>
      </w:r>
      <w:r w:rsidR="0055182D">
        <w:t xml:space="preserve">reasonable (and </w:t>
      </w:r>
      <w:r w:rsidR="00587A4A" w:rsidRPr="00587A4A">
        <w:rPr>
          <w:b/>
        </w:rPr>
        <w:t>‍</w:t>
      </w:r>
      <w:r w:rsidR="0055182D">
        <w:t>thereby, lawful)</w:t>
      </w:r>
      <w:r>
        <w:t xml:space="preserve"> self</w:t>
      </w:r>
      <w:r w:rsidR="00FB6314">
        <w:noBreakHyphen/>
      </w:r>
      <w:r>
        <w:t xml:space="preserve">defence or whether he </w:t>
      </w:r>
      <w:r w:rsidR="004A0D5C">
        <w:t xml:space="preserve">unlawfully </w:t>
      </w:r>
      <w:r>
        <w:t>over-reacted</w:t>
      </w:r>
      <w:r w:rsidR="006628ED">
        <w:t>, the directions on the appellant’s belief as to the necessity of defending himself and the reasonableness of the force used in the circumstances as he honestly believed</w:t>
      </w:r>
      <w:r w:rsidR="00A239C4">
        <w:t xml:space="preserve"> or may have </w:t>
      </w:r>
      <w:r w:rsidR="00F45951">
        <w:t xml:space="preserve">honestly </w:t>
      </w:r>
      <w:r w:rsidR="00A239C4">
        <w:t>believed</w:t>
      </w:r>
      <w:r w:rsidR="006628ED">
        <w:t xml:space="preserve"> them to be become </w:t>
      </w:r>
      <w:r w:rsidR="00D51036">
        <w:t>very important</w:t>
      </w:r>
      <w:r w:rsidR="006628ED">
        <w:t>.</w:t>
      </w:r>
      <w:r w:rsidR="00D51036">
        <w:t xml:space="preserve">  And they become critical when, as seems clear from the jury’s question </w:t>
      </w:r>
      <w:r w:rsidR="00E66495">
        <w:t xml:space="preserve">during </w:t>
      </w:r>
      <w:r w:rsidR="0055182D">
        <w:t>their deliberation</w:t>
      </w:r>
      <w:r w:rsidR="00F45951">
        <w:t>s</w:t>
      </w:r>
      <w:r w:rsidR="00D51036">
        <w:t>, the</w:t>
      </w:r>
      <w:r w:rsidR="00044B72">
        <w:t xml:space="preserve"> jur</w:t>
      </w:r>
      <w:r w:rsidR="00D51036">
        <w:t xml:space="preserve">y needed </w:t>
      </w:r>
      <w:r w:rsidR="00BF7C1B">
        <w:t>further guidance</w:t>
      </w:r>
      <w:r w:rsidR="00D51036">
        <w:t xml:space="preserve"> on the question of what constituted self-defence.</w:t>
      </w:r>
    </w:p>
    <w:p w:rsidR="0055182D" w:rsidRDefault="0055182D" w:rsidP="00DA48FA">
      <w:pPr>
        <w:pStyle w:val="T-Draft"/>
      </w:pPr>
      <w:r>
        <w:t xml:space="preserve">The question </w:t>
      </w:r>
      <w:r w:rsidR="001602BE">
        <w:t xml:space="preserve">which </w:t>
      </w:r>
      <w:r>
        <w:t>the jury posed</w:t>
      </w:r>
      <w:r w:rsidR="00F4606A">
        <w:t>, some two hours after retiring to consider their verdict,</w:t>
      </w:r>
      <w:r>
        <w:t xml:space="preserve"> was</w:t>
      </w:r>
      <w:r w:rsidR="00A239C4">
        <w:t xml:space="preserve"> in these terms</w:t>
      </w:r>
      <w:r>
        <w:t>:</w:t>
      </w:r>
    </w:p>
    <w:p w:rsidR="0055182D" w:rsidRDefault="0055182D" w:rsidP="00FB6314">
      <w:pPr>
        <w:pStyle w:val="j-quotation"/>
      </w:pPr>
      <w:r>
        <w:t>“</w:t>
      </w:r>
      <w:r w:rsidR="00F4606A">
        <w:t xml:space="preserve">The defendant honestly believes that: </w:t>
      </w:r>
      <w:r w:rsidR="00AB2DBB">
        <w:t>(</w:t>
      </w:r>
      <w:r w:rsidR="00F4606A">
        <w:t xml:space="preserve">a) the act or acts is/are defending himself; </w:t>
      </w:r>
      <w:r w:rsidR="00AB2DBB">
        <w:t>(</w:t>
      </w:r>
      <w:r w:rsidR="00F4606A">
        <w:t xml:space="preserve">b) the violence used is excessive.  (If fall into one of the </w:t>
      </w:r>
      <w:proofErr w:type="spellStart"/>
      <w:r w:rsidR="00F4606A">
        <w:t>criterias</w:t>
      </w:r>
      <w:proofErr w:type="spellEnd"/>
      <w:r w:rsidR="00F4606A">
        <w:t>, does it consider as self-defence?)  Is it an ‘either/or’ or an ‘and’ case?”</w:t>
      </w:r>
    </w:p>
    <w:p w:rsidR="002A7FF2" w:rsidRDefault="00AB2DBB" w:rsidP="0055182D">
      <w:pPr>
        <w:pStyle w:val="T-Draft"/>
        <w:numPr>
          <w:ilvl w:val="0"/>
          <w:numId w:val="0"/>
        </w:numPr>
      </w:pPr>
      <w:r>
        <w:t xml:space="preserve">Although parts (a) and (b) </w:t>
      </w:r>
      <w:r w:rsidR="002A7FF2">
        <w:t xml:space="preserve">of the question </w:t>
      </w:r>
      <w:r w:rsidR="00FC12AE">
        <w:t>seem to be</w:t>
      </w:r>
      <w:r>
        <w:t xml:space="preserve"> couched in terms of a </w:t>
      </w:r>
      <w:r w:rsidR="002A7FF2">
        <w:t xml:space="preserve">finding or </w:t>
      </w:r>
      <w:r>
        <w:t>conclusion</w:t>
      </w:r>
      <w:r w:rsidR="00FC12AE">
        <w:t xml:space="preserve"> on the jury’s part</w:t>
      </w:r>
      <w:r>
        <w:t xml:space="preserve">, that may not necessarily </w:t>
      </w:r>
      <w:r w:rsidR="002A7FF2">
        <w:t>have been the case</w:t>
      </w:r>
      <w:r w:rsidR="00F45951">
        <w:t>; and it would not matter even if it were</w:t>
      </w:r>
      <w:r>
        <w:t xml:space="preserve">. </w:t>
      </w:r>
      <w:r w:rsidR="002A7FF2">
        <w:t xml:space="preserve"> </w:t>
      </w:r>
      <w:r w:rsidR="004A0D5C">
        <w:t>We note that</w:t>
      </w:r>
      <w:r w:rsidR="002A7FF2">
        <w:t xml:space="preserve"> the jury were out </w:t>
      </w:r>
      <w:r w:rsidR="004A0D5C">
        <w:t xml:space="preserve">deliberating </w:t>
      </w:r>
      <w:r w:rsidR="002A7FF2">
        <w:t>for a further five hours</w:t>
      </w:r>
      <w:r w:rsidR="001602BE">
        <w:t xml:space="preserve"> after the judge’s re</w:t>
      </w:r>
      <w:r w:rsidR="00BF35A4">
        <w:noBreakHyphen/>
      </w:r>
      <w:r w:rsidR="001602BE">
        <w:t>direction</w:t>
      </w:r>
      <w:r w:rsidR="002A7FF2">
        <w:t xml:space="preserve"> before delivering a majority verdict. </w:t>
      </w:r>
      <w:r>
        <w:t xml:space="preserve"> In any event, it was incumbent on the judge to provide a</w:t>
      </w:r>
      <w:r w:rsidR="00FC12AE">
        <w:t xml:space="preserve"> complete</w:t>
      </w:r>
      <w:r>
        <w:t xml:space="preserve"> answer </w:t>
      </w:r>
      <w:r w:rsidR="002A7FF2">
        <w:t xml:space="preserve">as </w:t>
      </w:r>
      <w:r>
        <w:t xml:space="preserve">to what </w:t>
      </w:r>
      <w:r w:rsidR="002A7FF2">
        <w:t>would constitute</w:t>
      </w:r>
      <w:r>
        <w:t xml:space="preserve"> self-defence</w:t>
      </w:r>
      <w:r w:rsidR="002A7FF2">
        <w:t xml:space="preserve"> in the circumstances of this particular case, where the </w:t>
      </w:r>
      <w:r w:rsidR="00FC12AE">
        <w:t xml:space="preserve">only </w:t>
      </w:r>
      <w:r w:rsidR="002A7FF2">
        <w:t xml:space="preserve">real issue was the reasonableness </w:t>
      </w:r>
      <w:r w:rsidR="00FC12AE">
        <w:t xml:space="preserve">(or unreasonableness) </w:t>
      </w:r>
      <w:r w:rsidR="002A7FF2">
        <w:t>of the appellant’s response to the deceased’s assault</w:t>
      </w:r>
      <w:r w:rsidR="001602BE">
        <w:t xml:space="preserve"> upon him</w:t>
      </w:r>
      <w:r w:rsidR="002A7FF2">
        <w:t>.</w:t>
      </w:r>
    </w:p>
    <w:p w:rsidR="002A7FF2" w:rsidRDefault="00FC12AE" w:rsidP="002A7FF2">
      <w:pPr>
        <w:pStyle w:val="T-Draft"/>
      </w:pPr>
      <w:r>
        <w:lastRenderedPageBreak/>
        <w:t>Having discussed the matter with counsel, t</w:t>
      </w:r>
      <w:r w:rsidR="002A7FF2">
        <w:t xml:space="preserve">he direction the judge gave </w:t>
      </w:r>
      <w:r>
        <w:t xml:space="preserve">to the jury’s question </w:t>
      </w:r>
      <w:r w:rsidR="002A7FF2">
        <w:t>was this:</w:t>
      </w:r>
    </w:p>
    <w:p w:rsidR="002A7FF2" w:rsidRDefault="002A7FF2" w:rsidP="00FB6314">
      <w:pPr>
        <w:pStyle w:val="j-quotation"/>
      </w:pPr>
      <w:r>
        <w:t xml:space="preserve">“It is neither an “either/or” or “and” case.  It’s a two-step process, one after the other.  So let me explain it further.  The first thing you should consider is: did the defendant honestly believe or may he have honestly believed that he was being attacked by the deceased and that force was necessary to protect himself?  That is the first step. </w:t>
      </w:r>
      <w:r w:rsidR="004A0D5C">
        <w:t xml:space="preserve"> </w:t>
      </w:r>
      <w:r>
        <w:t>Did he honestly believe that he was being attacked and that force was necessary to protect himself?”</w:t>
      </w:r>
    </w:p>
    <w:p w:rsidR="00AB2DBB" w:rsidRDefault="002A7FF2" w:rsidP="002A7FF2">
      <w:pPr>
        <w:pStyle w:val="T-Draft"/>
        <w:numPr>
          <w:ilvl w:val="0"/>
          <w:numId w:val="0"/>
        </w:numPr>
      </w:pPr>
      <w:r>
        <w:t>Pausing here, we have no difficulty with this direction</w:t>
      </w:r>
      <w:r w:rsidR="007E21E0">
        <w:t xml:space="preserve"> on the necessity</w:t>
      </w:r>
      <w:r w:rsidR="00E66495">
        <w:t xml:space="preserve"> limb</w:t>
      </w:r>
      <w:r>
        <w:t>, save that it would have been more accurate to include the words “or may he have honestly believed”</w:t>
      </w:r>
      <w:r w:rsidR="00AB7202">
        <w:t>, as they appear in Specimen Direction 48,</w:t>
      </w:r>
      <w:r>
        <w:t xml:space="preserve"> when </w:t>
      </w:r>
      <w:r w:rsidR="004A0D5C">
        <w:t>inviting the jury to ask</w:t>
      </w:r>
      <w:r w:rsidR="001602BE">
        <w:t xml:space="preserve"> themselves</w:t>
      </w:r>
      <w:r>
        <w:t xml:space="preserve"> “</w:t>
      </w:r>
      <w:r w:rsidR="00AB7202">
        <w:t>Did he honestly</w:t>
      </w:r>
      <w:r>
        <w:t xml:space="preserve"> believe…</w:t>
      </w:r>
      <w:r w:rsidR="00A239C4">
        <w:t>?</w:t>
      </w:r>
      <w:r>
        <w:t>”</w:t>
      </w:r>
      <w:r w:rsidR="00262B68">
        <w:rPr>
          <w:rStyle w:val="FootnoteReference"/>
        </w:rPr>
        <w:footnoteReference w:id="32"/>
      </w:r>
      <w:r w:rsidR="00AB7202">
        <w:t>.</w:t>
      </w:r>
      <w:r w:rsidR="00AB2DBB">
        <w:t xml:space="preserve"> </w:t>
      </w:r>
      <w:r w:rsidR="00AB7202">
        <w:t xml:space="preserve"> </w:t>
      </w:r>
      <w:r w:rsidR="001602BE">
        <w:t>Nevertheless</w:t>
      </w:r>
      <w:r w:rsidR="00AB7202">
        <w:t>, these words were included in the next part of the direction:</w:t>
      </w:r>
    </w:p>
    <w:p w:rsidR="00AB7202" w:rsidRDefault="00AB7202" w:rsidP="00FB6314">
      <w:pPr>
        <w:pStyle w:val="j-quotation"/>
      </w:pPr>
      <w:r>
        <w:t>“If you find that the defendant may have honestly believed that he was being attacked and that force was necessary to protect himself, it is then that you go to step two to consider whether the force was reasonable or excessive in the circumstances.  And when you have considered the force that if you find the force to be excessive, then the prosecution has proved that the defendant was not acting in self-defence.  On the other hand, if you should find that the force used was reasonable, then you should acquit the defendant.”</w:t>
      </w:r>
    </w:p>
    <w:p w:rsidR="00AB7202" w:rsidRDefault="004C553C" w:rsidP="00AB7202">
      <w:pPr>
        <w:pStyle w:val="T-Draft"/>
      </w:pPr>
      <w:r>
        <w:t xml:space="preserve">The direction in respect of the </w:t>
      </w:r>
      <w:r w:rsidR="001602BE">
        <w:t xml:space="preserve">jury’s approach to the </w:t>
      </w:r>
      <w:r w:rsidR="001C5289">
        <w:t>reasonableness limb</w:t>
      </w:r>
      <w:r w:rsidR="001602BE">
        <w:t xml:space="preserve"> </w:t>
      </w:r>
      <w:r w:rsidR="001C5289">
        <w:t xml:space="preserve">of self-defence </w:t>
      </w:r>
      <w:r>
        <w:t>is correct as far as it goes, although, again, it omits the words “or may have been reasonable”</w:t>
      </w:r>
      <w:r w:rsidR="001602BE">
        <w:t xml:space="preserve"> used in Specimen Direction 48</w:t>
      </w:r>
      <w:r w:rsidR="00FC12AE">
        <w:t>,</w:t>
      </w:r>
      <w:r>
        <w:t xml:space="preserve"> when </w:t>
      </w:r>
      <w:r w:rsidR="00FC12AE">
        <w:t>addressing the question of</w:t>
      </w:r>
      <w:r>
        <w:t xml:space="preserve"> whether the force was reasonable.</w:t>
      </w:r>
      <w:r w:rsidR="00CD6B13">
        <w:t xml:space="preserve">  By itself, such an omission may not have </w:t>
      </w:r>
      <w:r w:rsidR="00FC12AE">
        <w:t xml:space="preserve">been </w:t>
      </w:r>
      <w:r w:rsidR="001602BE">
        <w:t>fatal</w:t>
      </w:r>
      <w:r w:rsidR="00CD6B13">
        <w:t xml:space="preserve">, </w:t>
      </w:r>
      <w:r w:rsidR="008D17F3">
        <w:t>even though</w:t>
      </w:r>
      <w:r w:rsidR="00CD6B13">
        <w:t xml:space="preserve"> we notice that these words </w:t>
      </w:r>
      <w:r w:rsidR="001602BE">
        <w:t>we</w:t>
      </w:r>
      <w:r w:rsidR="00CD6B13">
        <w:t xml:space="preserve">re also missing from the text of the </w:t>
      </w:r>
      <w:r w:rsidR="00CD6B13">
        <w:lastRenderedPageBreak/>
        <w:t>judge’s original directions on the reasonableness of the appellant’s response before the jury retired to consider their verdict.</w:t>
      </w:r>
    </w:p>
    <w:p w:rsidR="00A239C4" w:rsidRDefault="00A239C4" w:rsidP="00AB7202">
      <w:pPr>
        <w:pStyle w:val="T-Draft"/>
      </w:pPr>
      <w:r>
        <w:t>Since the thrust of Mr Percy’s argument is the absence of a proper</w:t>
      </w:r>
      <w:r w:rsidR="008D17F3">
        <w:t>, timely</w:t>
      </w:r>
      <w:r>
        <w:t xml:space="preserve"> </w:t>
      </w:r>
      <w:proofErr w:type="spellStart"/>
      <w:r w:rsidRPr="00A239C4">
        <w:rPr>
          <w:i/>
        </w:rPr>
        <w:t>Liberato</w:t>
      </w:r>
      <w:proofErr w:type="spellEnd"/>
      <w:r>
        <w:t xml:space="preserve"> direction, we have to say that the substance of the direction was conveyed to the jury when the summing-up is rea</w:t>
      </w:r>
      <w:r w:rsidR="00C268C5">
        <w:t>d</w:t>
      </w:r>
      <w:r>
        <w:t xml:space="preserve"> in its entirety.  We would not have allowed the appeal on the basis of Ground </w:t>
      </w:r>
      <w:r w:rsidR="00587A4A" w:rsidRPr="00587A4A">
        <w:rPr>
          <w:b/>
        </w:rPr>
        <w:t>‍</w:t>
      </w:r>
      <w:r>
        <w:t xml:space="preserve">1.  Nor </w:t>
      </w:r>
      <w:r w:rsidR="00C268C5">
        <w:t xml:space="preserve">do we accept that the judge failed to bring home to the jury that it is what the appellant </w:t>
      </w:r>
      <w:r w:rsidR="00C268C5" w:rsidRPr="000110CA">
        <w:rPr>
          <w:i/>
        </w:rPr>
        <w:t xml:space="preserve">may have </w:t>
      </w:r>
      <w:r w:rsidR="00262B68">
        <w:rPr>
          <w:i/>
        </w:rPr>
        <w:t>honestly</w:t>
      </w:r>
      <w:r w:rsidR="006635D9">
        <w:rPr>
          <w:i/>
        </w:rPr>
        <w:t xml:space="preserve"> </w:t>
      </w:r>
      <w:r w:rsidR="00C268C5" w:rsidRPr="000110CA">
        <w:rPr>
          <w:i/>
        </w:rPr>
        <w:t>believed</w:t>
      </w:r>
      <w:r w:rsidR="00C268C5">
        <w:t xml:space="preserve">, rather than did </w:t>
      </w:r>
      <w:r w:rsidR="006635D9">
        <w:t xml:space="preserve">honestly </w:t>
      </w:r>
      <w:r w:rsidR="000110CA">
        <w:t xml:space="preserve">believe, as to the necessity of defending himself.  Had this been the only complaint under Ground 2, we would not have allowed the appeal on this </w:t>
      </w:r>
      <w:r w:rsidR="00867EDE">
        <w:t>G</w:t>
      </w:r>
      <w:r w:rsidR="000110CA">
        <w:t>round either.</w:t>
      </w:r>
    </w:p>
    <w:p w:rsidR="00CD6B13" w:rsidRDefault="000110CA" w:rsidP="00AB7202">
      <w:pPr>
        <w:pStyle w:val="T-Draft"/>
      </w:pPr>
      <w:r>
        <w:t xml:space="preserve">However, that is not the only complaint under Ground 2.  </w:t>
      </w:r>
      <w:r w:rsidR="002E0BEB">
        <w:t xml:space="preserve">What in our view is far more significant is the absence </w:t>
      </w:r>
      <w:r w:rsidR="00CD6B13">
        <w:t xml:space="preserve">from the judge’s </w:t>
      </w:r>
      <w:r w:rsidR="002E0BEB">
        <w:t>re</w:t>
      </w:r>
      <w:r w:rsidR="00587A4A">
        <w:noBreakHyphen/>
      </w:r>
      <w:r w:rsidR="00CD6B13">
        <w:t xml:space="preserve">direction </w:t>
      </w:r>
      <w:r w:rsidR="002E0BEB">
        <w:t>of</w:t>
      </w:r>
      <w:r w:rsidR="00CD6B13">
        <w:t xml:space="preserve"> any reference to the appellant’s subjective view </w:t>
      </w:r>
      <w:r>
        <w:t xml:space="preserve">concerning the issue of reasonableness; in other words, what the appellant </w:t>
      </w:r>
      <w:r w:rsidR="006635D9">
        <w:t xml:space="preserve">honestly </w:t>
      </w:r>
      <w:r>
        <w:t>believed</w:t>
      </w:r>
      <w:r w:rsidR="00127EC7">
        <w:t>,</w:t>
      </w:r>
      <w:r>
        <w:t xml:space="preserve"> or may have </w:t>
      </w:r>
      <w:r w:rsidR="006635D9">
        <w:t xml:space="preserve">honestly </w:t>
      </w:r>
      <w:r>
        <w:t>believed</w:t>
      </w:r>
      <w:r w:rsidR="00127EC7">
        <w:t>,</w:t>
      </w:r>
      <w:r>
        <w:t xml:space="preserve"> </w:t>
      </w:r>
      <w:r w:rsidR="00AB7F73">
        <w:t>‘</w:t>
      </w:r>
      <w:r>
        <w:t>in the heat of the moment</w:t>
      </w:r>
      <w:r w:rsidR="00AB7F73">
        <w:t>’</w:t>
      </w:r>
      <w:r>
        <w:t xml:space="preserve"> </w:t>
      </w:r>
      <w:r w:rsidR="002E0BEB">
        <w:t>it was</w:t>
      </w:r>
      <w:r w:rsidR="00CD6B13">
        <w:t xml:space="preserve"> necessary </w:t>
      </w:r>
      <w:r w:rsidR="002E0BEB">
        <w:t xml:space="preserve">to do </w:t>
      </w:r>
      <w:r w:rsidR="00CD6B13">
        <w:t>in the circumstances</w:t>
      </w:r>
      <w:r w:rsidR="00F45951">
        <w:t xml:space="preserve"> facing him</w:t>
      </w:r>
      <w:r w:rsidR="00CD6B13">
        <w:t>.</w:t>
      </w:r>
      <w:r w:rsidR="00420842">
        <w:t xml:space="preserve">  </w:t>
      </w:r>
      <w:r w:rsidR="00DD679B">
        <w:t xml:space="preserve">Where the case </w:t>
      </w:r>
      <w:r w:rsidR="004A0D5C">
        <w:t>wa</w:t>
      </w:r>
      <w:r w:rsidR="00004D18">
        <w:t>s concerned</w:t>
      </w:r>
      <w:r w:rsidR="00434F89">
        <w:t>, as it</w:t>
      </w:r>
      <w:r w:rsidR="004A0D5C">
        <w:t xml:space="preserve"> wa</w:t>
      </w:r>
      <w:r w:rsidR="00004D18">
        <w:t>s</w:t>
      </w:r>
      <w:r w:rsidR="00434F89">
        <w:t xml:space="preserve"> here,</w:t>
      </w:r>
      <w:r w:rsidR="00DD679B">
        <w:t xml:space="preserve"> </w:t>
      </w:r>
      <w:r w:rsidR="00004D18">
        <w:t xml:space="preserve">with </w:t>
      </w:r>
      <w:r w:rsidR="00434F89">
        <w:t>a defendant’s response or reaction</w:t>
      </w:r>
      <w:r w:rsidR="00DD679B">
        <w:t xml:space="preserve"> to another’s aggression, then, whilst the reasonableness of that response or reaction </w:t>
      </w:r>
      <w:r w:rsidR="00434F89">
        <w:t>must be a matter for the jury</w:t>
      </w:r>
      <w:r w:rsidR="00DD679B">
        <w:t xml:space="preserve">, it is </w:t>
      </w:r>
      <w:r w:rsidR="00434F89">
        <w:t xml:space="preserve">nevertheless highly </w:t>
      </w:r>
      <w:r w:rsidR="00DD679B">
        <w:t>relevant to consider what the defendant thought</w:t>
      </w:r>
      <w:r w:rsidR="00AB7F73">
        <w:t>,</w:t>
      </w:r>
      <w:r w:rsidR="00DD679B">
        <w:t xml:space="preserve"> or may have thought</w:t>
      </w:r>
      <w:r w:rsidR="00AB7F73">
        <w:t>,</w:t>
      </w:r>
      <w:r w:rsidR="00DD679B">
        <w:t xml:space="preserve"> about the necessity of </w:t>
      </w:r>
      <w:r w:rsidR="00434F89">
        <w:t xml:space="preserve">responding or reacting as he did.  That is </w:t>
      </w:r>
      <w:r w:rsidR="004A0D5C">
        <w:t>the clear import of</w:t>
      </w:r>
      <w:r w:rsidR="00434F89">
        <w:t xml:space="preserve"> th</w:t>
      </w:r>
      <w:r w:rsidR="00420842">
        <w:t xml:space="preserve">e full </w:t>
      </w:r>
      <w:r w:rsidR="00434F89">
        <w:t xml:space="preserve">terms of the </w:t>
      </w:r>
      <w:r w:rsidR="00420842">
        <w:t>direction</w:t>
      </w:r>
      <w:r w:rsidR="00434F89">
        <w:t xml:space="preserve"> in</w:t>
      </w:r>
      <w:r w:rsidR="00420842">
        <w:t xml:space="preserve"> Specimen Direction 48:</w:t>
      </w:r>
    </w:p>
    <w:p w:rsidR="00420842" w:rsidRDefault="00420842" w:rsidP="00FB6314">
      <w:pPr>
        <w:pStyle w:val="j-quotation"/>
      </w:pPr>
      <w:r>
        <w:t>“</w:t>
      </w:r>
      <w:r w:rsidR="00136152">
        <w:t>It is for you, the jury, to decide whether the force used by this defendant was reasonable.  Here consider all the circumstances.  In deciding this question use your common sense, experience, knowledge of human nature and, of course, your assessment of what actually happened at the time of this incident.</w:t>
      </w:r>
    </w:p>
    <w:p w:rsidR="00136152" w:rsidRDefault="00136152" w:rsidP="00FB6314">
      <w:pPr>
        <w:pStyle w:val="j-quotation"/>
      </w:pPr>
      <w:r>
        <w:lastRenderedPageBreak/>
        <w:t>In deciding this, judge what the defendant did against the background of what he honestly believed the danger to be.  You should also bear in mind that a person who is defending himself cannot be expected in the heat of the moment to weigh precisely the exact amount of defensive action which is necessary.  The more serious the attack [or threatened attack] upon him the more difficult his situation will be.  If, in your judgment the defendant believed or may have honestly believed that he had to defend himself and he did no more than what he honestly and instinctively thought was necessary to do, that would be very strong evidence that the amount of force used by him was reasonable.</w:t>
      </w:r>
    </w:p>
    <w:p w:rsidR="00136152" w:rsidRDefault="00136152" w:rsidP="00FB6314">
      <w:pPr>
        <w:pStyle w:val="j-quotation"/>
      </w:pPr>
      <w:r>
        <w:t>And so, bearing in mind what I have said, are you sure that the force used by the defendant was unreasonable?  If it was unreasonable he cannot have been acting in lawful self-defence [and he is ‘Guilty’], but if the force used was or may have been reasonable, then he is ‘Not Guilty’.”</w:t>
      </w:r>
    </w:p>
    <w:p w:rsidR="00FC12AE" w:rsidRDefault="00EC4DCF" w:rsidP="00FC12AE">
      <w:pPr>
        <w:pStyle w:val="T-Draft"/>
      </w:pPr>
      <w:r>
        <w:t xml:space="preserve">What the defendant thought or may have thought about the necessity of responding or reacting as he did is also an important consideration </w:t>
      </w:r>
      <w:r w:rsidR="00F45951">
        <w:t>according to</w:t>
      </w:r>
      <w:r>
        <w:t xml:space="preserve"> the authorities.  </w:t>
      </w:r>
      <w:r w:rsidR="00F87108">
        <w:t xml:space="preserve">While it is for the jury to </w:t>
      </w:r>
      <w:r w:rsidR="000B1CE1">
        <w:t>make the ultimate determination</w:t>
      </w:r>
      <w:r w:rsidR="00F87108">
        <w:t xml:space="preserve"> whether the defendant’s reaction or response in defending himself was reasonable</w:t>
      </w:r>
      <w:r w:rsidR="000B1CE1">
        <w:t xml:space="preserve"> (or unreasonable)</w:t>
      </w:r>
      <w:r w:rsidR="00F87108">
        <w:t xml:space="preserve">, which is an objective question, they must also consider whether the defendant may </w:t>
      </w:r>
      <w:r w:rsidR="006635D9">
        <w:t>‘</w:t>
      </w:r>
      <w:r w:rsidR="00F87108">
        <w:t>in the heat of the moment</w:t>
      </w:r>
      <w:r w:rsidR="006635D9">
        <w:t>’</w:t>
      </w:r>
      <w:r w:rsidR="00F87108">
        <w:t xml:space="preserve"> have honestly and instinctively thought that it was necessary to defend himself </w:t>
      </w:r>
      <w:r w:rsidR="000B1CE1">
        <w:t>in the way that he did</w:t>
      </w:r>
      <w:r w:rsidR="00F87108">
        <w:t xml:space="preserve">, which is a subjective question.  The </w:t>
      </w:r>
      <w:r w:rsidR="000B1CE1">
        <w:t>a</w:t>
      </w:r>
      <w:r w:rsidR="00F87108">
        <w:t xml:space="preserve">nswer to the subjective question does not resolve the matter in </w:t>
      </w:r>
      <w:r w:rsidR="004A0D5C">
        <w:t>a defendant’s</w:t>
      </w:r>
      <w:r w:rsidR="00F87108">
        <w:t xml:space="preserve"> favour</w:t>
      </w:r>
      <w:r w:rsidR="00224C02">
        <w:t xml:space="preserve"> simply by what he thought or may have thought</w:t>
      </w:r>
      <w:r w:rsidR="00F87108">
        <w:t xml:space="preserve">, for it is for the jury to </w:t>
      </w:r>
      <w:r w:rsidR="000110CA">
        <w:t>determine</w:t>
      </w:r>
      <w:r w:rsidR="00F87108">
        <w:t xml:space="preserve"> whether such response or reaction was unreasonable.  </w:t>
      </w:r>
      <w:r w:rsidR="000B1CE1">
        <w:t xml:space="preserve">If the jury find that </w:t>
      </w:r>
      <w:r w:rsidR="001C5289">
        <w:t>a</w:t>
      </w:r>
      <w:r w:rsidR="000B1CE1">
        <w:t xml:space="preserve"> defendant could not have honestly and instinctively thought it was necessary to defend himself in this way, perhaps because he could and should have withdrawn, or because he was the much stronger</w:t>
      </w:r>
      <w:r w:rsidR="004A0D5C">
        <w:t>, younger or</w:t>
      </w:r>
      <w:r w:rsidR="000B1CE1">
        <w:t xml:space="preserve"> more agile party, or because he used a proverbial ‘</w:t>
      </w:r>
      <w:r w:rsidR="00F87108">
        <w:t>sledgehammer to crack a nut</w:t>
      </w:r>
      <w:r w:rsidR="000B1CE1">
        <w:t>’, the</w:t>
      </w:r>
      <w:r w:rsidR="00CE1B9F">
        <w:t xml:space="preserve"> jury would no doubt fi</w:t>
      </w:r>
      <w:r w:rsidR="000B1CE1">
        <w:t xml:space="preserve">nd that he was not acting in reasonable self-defence.  Nevertheless, it is a </w:t>
      </w:r>
      <w:r w:rsidR="000B1CE1">
        <w:lastRenderedPageBreak/>
        <w:t>matter for the jury to consider what the defendant thought</w:t>
      </w:r>
      <w:r w:rsidR="000110CA">
        <w:t>,</w:t>
      </w:r>
      <w:r w:rsidR="000B1CE1">
        <w:t xml:space="preserve"> or </w:t>
      </w:r>
      <w:r w:rsidR="00E47247" w:rsidRPr="00E47247">
        <w:rPr>
          <w:b/>
        </w:rPr>
        <w:t>‍</w:t>
      </w:r>
      <w:r w:rsidR="000B1CE1">
        <w:t xml:space="preserve">may </w:t>
      </w:r>
      <w:r w:rsidR="00E47247" w:rsidRPr="00E47247">
        <w:rPr>
          <w:b/>
        </w:rPr>
        <w:t>‍</w:t>
      </w:r>
      <w:r w:rsidR="000B1CE1">
        <w:t>have thought</w:t>
      </w:r>
      <w:r w:rsidR="000110CA">
        <w:t>,</w:t>
      </w:r>
      <w:r w:rsidR="000B1CE1">
        <w:t xml:space="preserve"> about the necessity of his response.</w:t>
      </w:r>
      <w:r w:rsidR="00673BDA">
        <w:t xml:space="preserve">  As Specimen </w:t>
      </w:r>
      <w:r w:rsidR="00E47247" w:rsidRPr="00E47247">
        <w:rPr>
          <w:b/>
        </w:rPr>
        <w:t>‍</w:t>
      </w:r>
      <w:r w:rsidR="00673BDA">
        <w:t xml:space="preserve">Direction </w:t>
      </w:r>
      <w:r w:rsidR="00E47247" w:rsidRPr="00E47247">
        <w:rPr>
          <w:b/>
        </w:rPr>
        <w:t>‍</w:t>
      </w:r>
      <w:r w:rsidR="00673BDA">
        <w:t xml:space="preserve">48 </w:t>
      </w:r>
      <w:r w:rsidR="00D9234A">
        <w:t>emphasises</w:t>
      </w:r>
      <w:r w:rsidR="00673BDA">
        <w:t xml:space="preserve">, if “…the defendant believed or may honestly have believed that he had to defend himself and he did no more than what he honestly and instinctively thought was necessary to do so, that would be </w:t>
      </w:r>
      <w:r w:rsidR="00673BDA" w:rsidRPr="00673BDA">
        <w:rPr>
          <w:i/>
        </w:rPr>
        <w:t>very strong evidence</w:t>
      </w:r>
      <w:r w:rsidR="00673BDA">
        <w:t xml:space="preserve"> that the amount of force used by him was reasonable”.</w:t>
      </w:r>
      <w:r w:rsidR="006635D9">
        <w:t xml:space="preserve"> (Emphasis supplied)</w:t>
      </w:r>
    </w:p>
    <w:p w:rsidR="000B1CE1" w:rsidRDefault="000B1CE1" w:rsidP="00FC12AE">
      <w:pPr>
        <w:pStyle w:val="T-Draft"/>
      </w:pPr>
      <w:r>
        <w:t>Th</w:t>
      </w:r>
      <w:r w:rsidR="00673BDA">
        <w:t xml:space="preserve">e interplay between the subjective element </w:t>
      </w:r>
      <w:r w:rsidR="008E1986">
        <w:t>and</w:t>
      </w:r>
      <w:r w:rsidR="00673BDA">
        <w:t xml:space="preserve"> the jury’s objective assessment of the reasonableness of the defendant’s response or reaction </w:t>
      </w:r>
      <w:r>
        <w:t xml:space="preserve">was </w:t>
      </w:r>
      <w:r w:rsidR="00A65BAB">
        <w:t>comprehensively</w:t>
      </w:r>
      <w:r w:rsidR="00FC008A">
        <w:t xml:space="preserve"> </w:t>
      </w:r>
      <w:r>
        <w:t xml:space="preserve">explained by Hughes </w:t>
      </w:r>
      <w:r w:rsidR="00CE1B9F">
        <w:t>VP</w:t>
      </w:r>
      <w:r>
        <w:t xml:space="preserve"> (as he then was) in </w:t>
      </w:r>
      <w:r w:rsidRPr="00FB6314">
        <w:rPr>
          <w:i/>
        </w:rPr>
        <w:t>R v Keane and McGrath</w:t>
      </w:r>
      <w:r w:rsidR="00CE1B9F">
        <w:rPr>
          <w:rStyle w:val="FootnoteReference"/>
        </w:rPr>
        <w:footnoteReference w:id="33"/>
      </w:r>
      <w:r w:rsidR="00CE1B9F">
        <w:t>:</w:t>
      </w:r>
    </w:p>
    <w:p w:rsidR="00CE1B9F" w:rsidRDefault="00CE1B9F" w:rsidP="00FB6314">
      <w:pPr>
        <w:pStyle w:val="j-quotation"/>
      </w:pPr>
      <w:r>
        <w:t xml:space="preserve">“Once it has thus been decided on what factual basis the defendant’s actions are to be judged, either because they are the things that actually happened and he knew them all because he genuinely believed in them even if they did not occur, then the remaining and critical question for the jury is: was his response reasonable, or proportionate (which means the same thing)?  Was it reasonable (or proportionate) in all the circumstances?  Unlike the earlier stages which may involve the belief of the defendant being the governing factor, the reasonableness of his response on the assumed basis of fact is a test solely for the jury and not for him. In resolving it to the jury must usually take into consideration what are often referred to as the ‘agony of the moment’ factors.  That means that the jury must be reminded when it arises, as it very often does, that there is in a confrontation no opportunity for the kind of hindsight or debate which can take place months afterwards in court.  The defendant must act on the instant at any rate in a large number of cases.  If he does so, and does no more than seems honestly and instinctively to be necessary, that is itself strong evidence that it was reasonable.  It is strong evidence, not conclusive evidence.  Whilst the jury’s attention must be directed to these factors if they arise, the jury must also be made to understand that the decision of what is a reasonable response is not made by the defendant, it is made by the jury.  We should perhaps add that ‘in all the circumstances’ means what it says.  There can be no exhaustive catalogue of the events, human reactions and other </w:t>
      </w:r>
      <w:r>
        <w:lastRenderedPageBreak/>
        <w:t>circumstances which may affect the reasonableness or proportionality of what the defendant did.”</w:t>
      </w:r>
    </w:p>
    <w:p w:rsidR="000F29E0" w:rsidRDefault="000F29E0" w:rsidP="000F29E0">
      <w:pPr>
        <w:pStyle w:val="T-Draft"/>
      </w:pPr>
      <w:r>
        <w:t>The importance of the jury considering in an appropriate case the subjective element of what the defendant may have thought when assessing the reasonableness of his response or reaction was emphasised in</w:t>
      </w:r>
      <w:r w:rsidR="00FC008A">
        <w:t xml:space="preserve"> the Divisional Court decision of</w:t>
      </w:r>
      <w:r>
        <w:t xml:space="preserve"> </w:t>
      </w:r>
      <w:r w:rsidR="00FB6314" w:rsidRPr="00FB6314">
        <w:rPr>
          <w:b/>
        </w:rPr>
        <w:t>‍</w:t>
      </w:r>
      <w:r w:rsidRPr="0066130D">
        <w:rPr>
          <w:i/>
        </w:rPr>
        <w:t xml:space="preserve">Duffy v Chief Constable of Cleveland </w:t>
      </w:r>
      <w:r w:rsidR="00FB6314" w:rsidRPr="00FB6314">
        <w:rPr>
          <w:b/>
          <w:i/>
        </w:rPr>
        <w:t>‍</w:t>
      </w:r>
      <w:r w:rsidRPr="0066130D">
        <w:rPr>
          <w:i/>
        </w:rPr>
        <w:t>Police</w:t>
      </w:r>
      <w:r w:rsidR="0066130D">
        <w:rPr>
          <w:rStyle w:val="FootnoteReference"/>
        </w:rPr>
        <w:footnoteReference w:id="34"/>
      </w:r>
      <w:r>
        <w:t xml:space="preserve">, </w:t>
      </w:r>
      <w:r w:rsidR="00673BDA">
        <w:t>where</w:t>
      </w:r>
      <w:r>
        <w:t xml:space="preserve"> </w:t>
      </w:r>
      <w:proofErr w:type="spellStart"/>
      <w:r>
        <w:t>Henriques</w:t>
      </w:r>
      <w:proofErr w:type="spellEnd"/>
      <w:r>
        <w:t xml:space="preserve"> J</w:t>
      </w:r>
      <w:r w:rsidR="00A65BAB">
        <w:t>, giving</w:t>
      </w:r>
      <w:r>
        <w:t xml:space="preserve"> the judgment of the Court, with which Dyson LJ (as he then was) agreed</w:t>
      </w:r>
      <w:r w:rsidR="00A65BAB">
        <w:t>, said</w:t>
      </w:r>
      <w:r>
        <w:t>:</w:t>
      </w:r>
    </w:p>
    <w:p w:rsidR="000F29E0" w:rsidRDefault="000F29E0" w:rsidP="00FB6314">
      <w:pPr>
        <w:pStyle w:val="j-quotation"/>
      </w:pPr>
      <w:r>
        <w:t>“</w:t>
      </w:r>
      <w:r w:rsidR="000E262E">
        <w:t xml:space="preserve">The real question for our consideration is this: did the judge consider the subjective element of self-defence? </w:t>
      </w:r>
      <w:r w:rsidR="0066130D">
        <w:t xml:space="preserve"> </w:t>
      </w:r>
      <w:r w:rsidR="000E262E">
        <w:t xml:space="preserve">Reading the case stated, I cannot be satisfied that the Deputy District Judge did have regard to that subjective element. </w:t>
      </w:r>
      <w:r w:rsidR="0066130D">
        <w:t xml:space="preserve"> </w:t>
      </w:r>
      <w:r w:rsidR="000E262E">
        <w:t>Had she done so, she would have at least summarised what the appellant had to say about his continued acts of violence and she would</w:t>
      </w:r>
      <w:r w:rsidR="0066130D">
        <w:t xml:space="preserve"> have</w:t>
      </w:r>
      <w:r w:rsidR="000E262E">
        <w:t xml:space="preserve"> expressed herself as either accepting or not accepting the submissions as made by the defendant. </w:t>
      </w:r>
      <w:r w:rsidR="0066130D">
        <w:t xml:space="preserve"> </w:t>
      </w:r>
      <w:r w:rsidR="000E262E">
        <w:t>There is a very real possibility here that she adopted a purely objective approach to the l</w:t>
      </w:r>
      <w:r w:rsidR="0066130D">
        <w:t>aw</w:t>
      </w:r>
      <w:r w:rsidR="000E262E">
        <w:t xml:space="preserve"> of self-defence.”</w:t>
      </w:r>
    </w:p>
    <w:p w:rsidR="00E13811" w:rsidRDefault="0066130D" w:rsidP="0066130D">
      <w:pPr>
        <w:pStyle w:val="T-Draft"/>
      </w:pPr>
      <w:r>
        <w:t xml:space="preserve">The Court </w:t>
      </w:r>
      <w:r w:rsidR="00A65BAB">
        <w:t>observed</w:t>
      </w:r>
      <w:r>
        <w:t xml:space="preserve"> that the appellant (Duffy) had “sought to justify his continued use of violence because he believed that, had he desisted, he would have sustained and been subject to a continued attack by Stokes.  That is an aspect of the case which was simply not dealt with by the Deputy District Judge”</w:t>
      </w:r>
      <w:r>
        <w:rPr>
          <w:rStyle w:val="FootnoteReference"/>
        </w:rPr>
        <w:footnoteReference w:id="35"/>
      </w:r>
      <w:r>
        <w:t xml:space="preserve">.  We </w:t>
      </w:r>
      <w:r w:rsidR="00E13811">
        <w:t xml:space="preserve">have already noted that the whole of Episode 2 </w:t>
      </w:r>
      <w:r w:rsidR="00673BDA">
        <w:t xml:space="preserve">in the present appeal </w:t>
      </w:r>
      <w:r w:rsidR="00362866">
        <w:t xml:space="preserve">before us </w:t>
      </w:r>
      <w:r w:rsidR="00E13811">
        <w:t xml:space="preserve">took </w:t>
      </w:r>
      <w:r w:rsidR="00BF7C1B">
        <w:t>about</w:t>
      </w:r>
      <w:r w:rsidR="00E13811">
        <w:t xml:space="preserve"> five seconds</w:t>
      </w:r>
      <w:r w:rsidR="00362866">
        <w:t>,</w:t>
      </w:r>
      <w:r w:rsidR="00E13811">
        <w:t xml:space="preserve"> and that the appellant was specifically cross-examined on the issue of</w:t>
      </w:r>
      <w:r w:rsidR="001C5289">
        <w:t xml:space="preserve"> whether what he did was </w:t>
      </w:r>
      <w:r w:rsidR="00E13811">
        <w:t>reasonable.  The judge summarised this aspect of his evidence</w:t>
      </w:r>
      <w:r w:rsidR="001C5289">
        <w:t xml:space="preserve"> in her summing-up</w:t>
      </w:r>
      <w:r w:rsidR="00E13811">
        <w:rPr>
          <w:rStyle w:val="FootnoteReference"/>
        </w:rPr>
        <w:footnoteReference w:id="36"/>
      </w:r>
      <w:r w:rsidR="00E13811">
        <w:t>:</w:t>
      </w:r>
    </w:p>
    <w:p w:rsidR="0066130D" w:rsidRDefault="00E13811" w:rsidP="00FB6314">
      <w:pPr>
        <w:pStyle w:val="j-quotation"/>
      </w:pPr>
      <w:r>
        <w:t xml:space="preserve">“He disagreed that he used excessive force in the first episode, and what he did was retaliation in the second episode.  </w:t>
      </w:r>
      <w:r w:rsidRPr="00E13811">
        <w:rPr>
          <w:i/>
        </w:rPr>
        <w:t xml:space="preserve">He said </w:t>
      </w:r>
      <w:r w:rsidRPr="00E13811">
        <w:rPr>
          <w:i/>
        </w:rPr>
        <w:lastRenderedPageBreak/>
        <w:t>that there was no way to get out of the situation other than by throwing the second punch.</w:t>
      </w:r>
      <w:r>
        <w:t>” (Emphasis supplied)</w:t>
      </w:r>
    </w:p>
    <w:p w:rsidR="00822590" w:rsidRDefault="00E13811" w:rsidP="0000516C">
      <w:pPr>
        <w:pStyle w:val="T-Draft"/>
        <w:numPr>
          <w:ilvl w:val="0"/>
          <w:numId w:val="0"/>
        </w:numPr>
      </w:pPr>
      <w:r>
        <w:t xml:space="preserve">The claim that the appellant </w:t>
      </w:r>
      <w:r w:rsidR="002D7AD7">
        <w:t xml:space="preserve">thought he had no way to </w:t>
      </w:r>
      <w:r w:rsidR="00673BDA">
        <w:t>escape</w:t>
      </w:r>
      <w:r w:rsidR="002D7AD7">
        <w:t xml:space="preserve"> </w:t>
      </w:r>
      <w:r w:rsidR="00AB7F73">
        <w:t xml:space="preserve">from </w:t>
      </w:r>
      <w:r w:rsidR="002D7AD7">
        <w:t>the situation</w:t>
      </w:r>
      <w:r w:rsidR="00573404">
        <w:t>,</w:t>
      </w:r>
      <w:r w:rsidR="002D7AD7">
        <w:t xml:space="preserve"> other than </w:t>
      </w:r>
      <w:r w:rsidR="00673BDA">
        <w:t xml:space="preserve">by </w:t>
      </w:r>
      <w:r w:rsidR="002D7AD7">
        <w:t>throwing what seems to us to have been the decisive punch at the deceased</w:t>
      </w:r>
      <w:r w:rsidR="00573404">
        <w:t>,</w:t>
      </w:r>
      <w:r w:rsidR="002D7AD7">
        <w:t xml:space="preserve"> sounds not dissimilar to Duffy’s claim that he could not have desisted because Stokes would </w:t>
      </w:r>
      <w:r w:rsidR="00FC008A">
        <w:t xml:space="preserve">otherwise </w:t>
      </w:r>
      <w:r w:rsidR="002D7AD7">
        <w:t xml:space="preserve">have continued his attack.  Whether such a claim was true and amounted to an honest and instinctive response or reaction to the deceased’s assault on him in the circumstances and </w:t>
      </w:r>
      <w:r w:rsidR="006635D9">
        <w:t>‘</w:t>
      </w:r>
      <w:r w:rsidR="002D7AD7">
        <w:t>in the heat of the moment</w:t>
      </w:r>
      <w:r w:rsidR="006635D9">
        <w:t>’</w:t>
      </w:r>
      <w:r w:rsidR="002D7AD7">
        <w:t xml:space="preserve"> was a matter for the jury to consider</w:t>
      </w:r>
      <w:r w:rsidR="00673BDA">
        <w:t xml:space="preserve">, upon a proper direction being given in accordance with Specimen </w:t>
      </w:r>
      <w:r w:rsidR="00587A4A" w:rsidRPr="00587A4A">
        <w:rPr>
          <w:b/>
        </w:rPr>
        <w:t>‍</w:t>
      </w:r>
      <w:r w:rsidR="00673BDA">
        <w:t>Direction 48</w:t>
      </w:r>
      <w:r w:rsidR="002D7AD7">
        <w:t>.  Without it, there was a danger of the jury applying a purely objective approach to the reasonableness limb of the test for self-defence.</w:t>
      </w:r>
    </w:p>
    <w:p w:rsidR="00030989" w:rsidRDefault="002D7AD7" w:rsidP="00030989">
      <w:pPr>
        <w:pStyle w:val="T-Draft"/>
      </w:pPr>
      <w:r>
        <w:t xml:space="preserve">That was where, with respect, the judge’s re-direction to the jury when they asked for assistance fell short.  Once one </w:t>
      </w:r>
      <w:r w:rsidR="00362866">
        <w:t>recognises</w:t>
      </w:r>
      <w:r>
        <w:t xml:space="preserve"> that the appellant was entitled to be present since he </w:t>
      </w:r>
      <w:r w:rsidR="006635D9">
        <w:t>was aware of</w:t>
      </w:r>
      <w:r>
        <w:t xml:space="preserve"> PW1 being assaulted</w:t>
      </w:r>
      <w:r w:rsidR="006267AC">
        <w:t>,</w:t>
      </w:r>
      <w:r>
        <w:t xml:space="preserve"> </w:t>
      </w:r>
      <w:r w:rsidR="00362866">
        <w:t xml:space="preserve">once one accepts that he </w:t>
      </w:r>
      <w:r w:rsidR="00AB7F73">
        <w:t>was entitled to defend himself</w:t>
      </w:r>
      <w:r w:rsidR="00362866">
        <w:t xml:space="preserve"> in Episode 1, </w:t>
      </w:r>
      <w:r w:rsidR="00D14486">
        <w:t xml:space="preserve">and once one realises that he was not the aggressor </w:t>
      </w:r>
      <w:r w:rsidR="00362866">
        <w:t>at least at the outset of</w:t>
      </w:r>
      <w:r w:rsidR="00D14486">
        <w:t xml:space="preserve"> either episode of violence, the</w:t>
      </w:r>
      <w:r w:rsidR="00E66495">
        <w:t>n the</w:t>
      </w:r>
      <w:r w:rsidR="00D14486">
        <w:t xml:space="preserve"> real question for the jury was whether he over-reacted</w:t>
      </w:r>
      <w:r w:rsidR="006267AC">
        <w:t xml:space="preserve"> in Episode 2</w:t>
      </w:r>
      <w:r w:rsidR="000110CA">
        <w:t>,</w:t>
      </w:r>
      <w:r w:rsidR="00362866">
        <w:t xml:space="preserve"> so as to take him</w:t>
      </w:r>
      <w:r w:rsidR="00C2255B">
        <w:t>self</w:t>
      </w:r>
      <w:r w:rsidR="00362866">
        <w:t xml:space="preserve"> outside the </w:t>
      </w:r>
      <w:r w:rsidR="00FC008A">
        <w:t xml:space="preserve">legitimate purpose of </w:t>
      </w:r>
      <w:r w:rsidR="00362866">
        <w:t>lawful self-defence</w:t>
      </w:r>
      <w:r w:rsidR="00D14486">
        <w:t xml:space="preserve">.  That required a consideration of what the appellant may honestly and instinctively </w:t>
      </w:r>
      <w:r w:rsidR="000110CA">
        <w:t xml:space="preserve">have </w:t>
      </w:r>
      <w:r w:rsidR="00D14486">
        <w:t xml:space="preserve">thought </w:t>
      </w:r>
      <w:r w:rsidR="00C2255B">
        <w:t>‘</w:t>
      </w:r>
      <w:r w:rsidR="00D14486">
        <w:t>in the heat of the moment</w:t>
      </w:r>
      <w:r w:rsidR="00C2255B">
        <w:t>’</w:t>
      </w:r>
      <w:r w:rsidR="00D14486">
        <w:t xml:space="preserve"> it was necessary for him to do</w:t>
      </w:r>
      <w:r w:rsidR="00AB7F73">
        <w:t>,</w:t>
      </w:r>
      <w:r w:rsidR="00152210">
        <w:t xml:space="preserve"> when faced with the assault</w:t>
      </w:r>
      <w:r w:rsidR="00BF7C1B">
        <w:t xml:space="preserve"> initiated by the deceased in Episode 2</w:t>
      </w:r>
      <w:r w:rsidR="00D14486">
        <w:t>.</w:t>
      </w:r>
      <w:r w:rsidR="00BE497F">
        <w:t xml:space="preserve">  </w:t>
      </w:r>
    </w:p>
    <w:p w:rsidR="000543E1" w:rsidRDefault="00D14486" w:rsidP="002D7AD7">
      <w:pPr>
        <w:pStyle w:val="T-Draft"/>
      </w:pPr>
      <w:r>
        <w:t>In remarking that the appellant was entitled in the circumstances to be present</w:t>
      </w:r>
      <w:r w:rsidR="00BE497F">
        <w:t xml:space="preserve"> at the scene</w:t>
      </w:r>
      <w:r>
        <w:t xml:space="preserve">, we noticed </w:t>
      </w:r>
      <w:r w:rsidR="006C7D95">
        <w:t>one</w:t>
      </w:r>
      <w:r>
        <w:t xml:space="preserve"> </w:t>
      </w:r>
      <w:r w:rsidR="00E66495">
        <w:t>intriguing</w:t>
      </w:r>
      <w:r>
        <w:t xml:space="preserve"> aspect of the dialogue </w:t>
      </w:r>
      <w:r w:rsidR="006C7D95">
        <w:t>i</w:t>
      </w:r>
      <w:r>
        <w:t xml:space="preserve">n the CCTV transcript.  There are three references to the </w:t>
      </w:r>
      <w:r>
        <w:lastRenderedPageBreak/>
        <w:t>deceased hitting PW1</w:t>
      </w:r>
      <w:r w:rsidR="00152210">
        <w:t>:</w:t>
      </w:r>
      <w:r>
        <w:t xml:space="preserve"> </w:t>
      </w:r>
      <w:r w:rsidR="00BE497F">
        <w:t>two</w:t>
      </w:r>
      <w:r w:rsidR="006267AC">
        <w:t xml:space="preserve"> by PW1</w:t>
      </w:r>
      <w:r w:rsidR="006C7D95">
        <w:t>,</w:t>
      </w:r>
      <w:r w:rsidR="006267AC">
        <w:t xml:space="preserve"> and one by the appellant</w:t>
      </w:r>
      <w:r>
        <w:rPr>
          <w:rStyle w:val="FootnoteReference"/>
        </w:rPr>
        <w:footnoteReference w:id="37"/>
      </w:r>
      <w:r w:rsidR="006C7D95">
        <w:t>,</w:t>
      </w:r>
      <w:r w:rsidR="006267AC">
        <w:t xml:space="preserve"> at least one of which seems to refer to an occasion other than the </w:t>
      </w:r>
      <w:r w:rsidR="00FC008A">
        <w:t>incident</w:t>
      </w:r>
      <w:r w:rsidR="006267AC">
        <w:t xml:space="preserve"> in question</w:t>
      </w:r>
      <w:r w:rsidR="006267AC">
        <w:rPr>
          <w:rStyle w:val="FootnoteReference"/>
        </w:rPr>
        <w:footnoteReference w:id="38"/>
      </w:r>
      <w:r>
        <w:t>.</w:t>
      </w:r>
      <w:r w:rsidR="00BE497F">
        <w:t xml:space="preserve">  Accordingly, in the absence of </w:t>
      </w:r>
      <w:r w:rsidR="006267AC">
        <w:t xml:space="preserve">a transcript of </w:t>
      </w:r>
      <w:r w:rsidR="00BE497F">
        <w:t>PW1’s evidence, we asked Mr Lai</w:t>
      </w:r>
      <w:r w:rsidR="006267AC">
        <w:t>, who had also prosecuted at the trial,</w:t>
      </w:r>
      <w:r w:rsidR="00BE497F">
        <w:t xml:space="preserve"> whether there </w:t>
      </w:r>
      <w:r w:rsidR="006267AC">
        <w:t xml:space="preserve">was any suggestion in the evidence </w:t>
      </w:r>
      <w:r w:rsidR="00BE497F">
        <w:t xml:space="preserve">of previous violence by the deceased towards PW1.  We were properly informed that </w:t>
      </w:r>
      <w:r w:rsidR="000110CA">
        <w:t xml:space="preserve">PW1 had given evidence </w:t>
      </w:r>
      <w:r w:rsidR="00BE497F">
        <w:t>to that effect and</w:t>
      </w:r>
      <w:r w:rsidR="00FC008A">
        <w:t>,</w:t>
      </w:r>
      <w:r w:rsidR="00BE497F">
        <w:t xml:space="preserve"> furthermore, that the appellant knew of </w:t>
      </w:r>
      <w:r w:rsidR="00E66495">
        <w:t>PW1’s</w:t>
      </w:r>
      <w:r w:rsidR="00BE497F">
        <w:t xml:space="preserve"> allegations</w:t>
      </w:r>
      <w:r w:rsidR="00152210">
        <w:t xml:space="preserve"> at the time of the incident on 23 July 2018</w:t>
      </w:r>
      <w:r w:rsidR="00BE497F">
        <w:t>.  It seems to us that the appellant’s knowledge or belief as to the type of person the deceased was, or may have been,</w:t>
      </w:r>
      <w:r w:rsidR="006267AC">
        <w:t xml:space="preserve"> </w:t>
      </w:r>
      <w:r w:rsidR="00AB7F73">
        <w:t>that is,</w:t>
      </w:r>
      <w:r w:rsidR="006267AC">
        <w:t xml:space="preserve"> someone </w:t>
      </w:r>
      <w:r w:rsidR="00DD330D">
        <w:t xml:space="preserve">who was </w:t>
      </w:r>
      <w:r w:rsidR="006267AC">
        <w:t xml:space="preserve">prone to </w:t>
      </w:r>
      <w:r w:rsidR="00AB7F73">
        <w:t xml:space="preserve">using </w:t>
      </w:r>
      <w:r w:rsidR="006267AC">
        <w:t>violence against PW1,</w:t>
      </w:r>
      <w:r w:rsidR="00BE497F">
        <w:t xml:space="preserve"> was also a relevant circumstance, which may have influenced the way he reacted</w:t>
      </w:r>
      <w:r w:rsidR="00152210">
        <w:t xml:space="preserve"> on the night in question</w:t>
      </w:r>
      <w:r w:rsidR="00BE497F">
        <w:t xml:space="preserve">.  It </w:t>
      </w:r>
      <w:r w:rsidR="00BF7C1B">
        <w:t xml:space="preserve">certainly </w:t>
      </w:r>
      <w:r w:rsidR="00BE497F">
        <w:t xml:space="preserve">did not give the appellant licence to teach the deceased a lesson, but it </w:t>
      </w:r>
      <w:r w:rsidR="006267AC">
        <w:t xml:space="preserve">does explain why he </w:t>
      </w:r>
      <w:r w:rsidR="00E66495">
        <w:t xml:space="preserve">got </w:t>
      </w:r>
      <w:r w:rsidR="00D0080B">
        <w:t>out of his car</w:t>
      </w:r>
      <w:r w:rsidR="001B7F50">
        <w:t xml:space="preserve"> and, more particularly, why he </w:t>
      </w:r>
      <w:r w:rsidR="006267AC">
        <w:t xml:space="preserve">remained at the scene </w:t>
      </w:r>
      <w:r w:rsidR="001B7F50">
        <w:t xml:space="preserve">rather than </w:t>
      </w:r>
      <w:r w:rsidR="00152210">
        <w:t xml:space="preserve">disengaging and </w:t>
      </w:r>
      <w:r w:rsidR="001B7F50">
        <w:t>retreating</w:t>
      </w:r>
      <w:r w:rsidR="00D0080B">
        <w:t>;</w:t>
      </w:r>
      <w:r w:rsidR="001B7F50">
        <w:t xml:space="preserve"> </w:t>
      </w:r>
      <w:r w:rsidR="006267AC">
        <w:t xml:space="preserve">and we think </w:t>
      </w:r>
      <w:r w:rsidR="00D0080B">
        <w:t xml:space="preserve">his knowledge or belief about the deceased </w:t>
      </w:r>
      <w:r w:rsidR="006267AC">
        <w:t>could well have</w:t>
      </w:r>
      <w:r w:rsidR="00BE497F">
        <w:t xml:space="preserve"> affected the way he </w:t>
      </w:r>
      <w:r w:rsidR="00D0080B">
        <w:t>behaved when he himself was assaulted</w:t>
      </w:r>
      <w:r w:rsidR="00934131">
        <w:t xml:space="preserve"> by the deceased</w:t>
      </w:r>
      <w:r w:rsidR="00BE497F">
        <w:t>.</w:t>
      </w:r>
    </w:p>
    <w:p w:rsidR="00357A31" w:rsidRPr="00357A31" w:rsidRDefault="00357A31" w:rsidP="00E47247">
      <w:pPr>
        <w:pStyle w:val="j-heading"/>
      </w:pPr>
      <w:r>
        <w:t>P</w:t>
      </w:r>
      <w:r w:rsidRPr="00357A31">
        <w:t>roviso</w:t>
      </w:r>
    </w:p>
    <w:p w:rsidR="000A49BA" w:rsidRDefault="000543E1" w:rsidP="002D7AD7">
      <w:pPr>
        <w:pStyle w:val="T-Draft"/>
      </w:pPr>
      <w:r>
        <w:t>It was for the</w:t>
      </w:r>
      <w:r w:rsidR="00E055EF">
        <w:t xml:space="preserve"> above</w:t>
      </w:r>
      <w:r>
        <w:t xml:space="preserve"> reasons that we </w:t>
      </w:r>
      <w:r w:rsidR="000A49BA">
        <w:t xml:space="preserve">concluded </w:t>
      </w:r>
      <w:r>
        <w:t>th</w:t>
      </w:r>
      <w:r w:rsidR="00E66495">
        <w:t>at the directions to the jury were deficient</w:t>
      </w:r>
      <w:r w:rsidR="000A49BA">
        <w:t xml:space="preserve">.  </w:t>
      </w:r>
      <w:r w:rsidR="00934131">
        <w:t xml:space="preserve">Mr Lai </w:t>
      </w:r>
      <w:r w:rsidR="0056313A">
        <w:t xml:space="preserve">has </w:t>
      </w:r>
      <w:r w:rsidR="00934131">
        <w:t xml:space="preserve">invited us to consider the application of the </w:t>
      </w:r>
      <w:r w:rsidR="00934131" w:rsidRPr="00934131">
        <w:rPr>
          <w:i/>
        </w:rPr>
        <w:t>proviso</w:t>
      </w:r>
      <w:r w:rsidR="0056313A">
        <w:rPr>
          <w:i/>
        </w:rPr>
        <w:t xml:space="preserve"> </w:t>
      </w:r>
      <w:r w:rsidR="0056313A" w:rsidRPr="0056313A">
        <w:t>to section 83(1) of the Criminal Procedure Ordinance, Cap 221</w:t>
      </w:r>
      <w:r w:rsidR="0056313A">
        <w:t xml:space="preserve"> and uphold the conviction</w:t>
      </w:r>
      <w:r w:rsidR="00934131">
        <w:t>.  However, w</w:t>
      </w:r>
      <w:r w:rsidR="000A49BA">
        <w:t xml:space="preserve">e did not </w:t>
      </w:r>
      <w:r w:rsidR="0056313A">
        <w:t>find it</w:t>
      </w:r>
      <w:r w:rsidR="000A49BA">
        <w:t xml:space="preserve"> appropriate to apply the </w:t>
      </w:r>
      <w:r w:rsidR="000A49BA" w:rsidRPr="000A49BA">
        <w:rPr>
          <w:i/>
        </w:rPr>
        <w:t xml:space="preserve">proviso </w:t>
      </w:r>
      <w:r w:rsidR="000A49BA">
        <w:t xml:space="preserve">in </w:t>
      </w:r>
      <w:r w:rsidR="00D0080B">
        <w:t xml:space="preserve">all </w:t>
      </w:r>
      <w:r w:rsidR="000A49BA">
        <w:t>the circumstances</w:t>
      </w:r>
      <w:r w:rsidR="00D0080B">
        <w:t xml:space="preserve"> of the case</w:t>
      </w:r>
      <w:r w:rsidR="000A49BA">
        <w:t xml:space="preserve">.  Whilst the appellant seemed to us to be </w:t>
      </w:r>
      <w:r w:rsidR="006267AC">
        <w:t xml:space="preserve">have been </w:t>
      </w:r>
      <w:r w:rsidR="000A49BA">
        <w:t xml:space="preserve">superior in terms of strength and ability to the deceased, which ought to have been obvious to </w:t>
      </w:r>
      <w:r w:rsidR="000A49BA">
        <w:lastRenderedPageBreak/>
        <w:t xml:space="preserve">him after Episode 1, and </w:t>
      </w:r>
      <w:r w:rsidR="006267AC">
        <w:t xml:space="preserve">while </w:t>
      </w:r>
      <w:r w:rsidR="000A49BA">
        <w:t xml:space="preserve">there was a valid issue for the jury </w:t>
      </w:r>
      <w:r w:rsidR="00D719D8">
        <w:t xml:space="preserve">to consider </w:t>
      </w:r>
      <w:r w:rsidR="000A49BA">
        <w:t xml:space="preserve">as to whether he had </w:t>
      </w:r>
      <w:r w:rsidR="00AB7F73">
        <w:t xml:space="preserve">gone too far and </w:t>
      </w:r>
      <w:r w:rsidR="000A49BA">
        <w:t>over-reacted in Episode 2,</w:t>
      </w:r>
      <w:r w:rsidR="00D0080B">
        <w:t xml:space="preserve"> the resolution of that issue</w:t>
      </w:r>
      <w:r w:rsidR="000A49BA">
        <w:t xml:space="preserve"> was not so </w:t>
      </w:r>
      <w:r w:rsidR="00D0080B">
        <w:t>obvious as to persuade us</w:t>
      </w:r>
      <w:r w:rsidR="000A49BA">
        <w:t xml:space="preserve"> that the</w:t>
      </w:r>
      <w:r w:rsidR="00D0080B">
        <w:t xml:space="preserve"> jury</w:t>
      </w:r>
      <w:r w:rsidR="000A49BA">
        <w:t xml:space="preserve"> would inevitably have come to the same conclusion even with a complete and correct re-direction on the law </w:t>
      </w:r>
      <w:r w:rsidR="00D719D8">
        <w:t>relating to</w:t>
      </w:r>
      <w:r w:rsidR="000A49BA">
        <w:t xml:space="preserve"> self-defence.  Accordingly, the appeal </w:t>
      </w:r>
      <w:r w:rsidR="00E055EF">
        <w:t>must</w:t>
      </w:r>
      <w:r w:rsidR="004146E0">
        <w:t xml:space="preserve"> be</w:t>
      </w:r>
      <w:r w:rsidR="000A49BA">
        <w:t xml:space="preserve"> allowed</w:t>
      </w:r>
      <w:r w:rsidR="00152210">
        <w:t>,</w:t>
      </w:r>
      <w:r w:rsidR="000A49BA">
        <w:t xml:space="preserve"> the conviction overturned and the sentence set aside.</w:t>
      </w:r>
    </w:p>
    <w:p w:rsidR="00357A31" w:rsidRPr="00357A31" w:rsidRDefault="00357A31" w:rsidP="00E47247">
      <w:pPr>
        <w:pStyle w:val="j-heading"/>
      </w:pPr>
      <w:r w:rsidRPr="00357A31">
        <w:t>Re-trial</w:t>
      </w:r>
    </w:p>
    <w:p w:rsidR="00030989" w:rsidRDefault="000A49BA" w:rsidP="00030989">
      <w:pPr>
        <w:pStyle w:val="T-Draft"/>
      </w:pPr>
      <w:r>
        <w:t>Mr Lai invited the Court</w:t>
      </w:r>
      <w:r w:rsidR="00934131">
        <w:t xml:space="preserve">, in the event that </w:t>
      </w:r>
      <w:r w:rsidR="00C2255B">
        <w:t>we</w:t>
      </w:r>
      <w:r w:rsidR="00934131">
        <w:t xml:space="preserve"> were to allow the appeal</w:t>
      </w:r>
      <w:r w:rsidR="00737B9B">
        <w:t xml:space="preserve"> against conviction</w:t>
      </w:r>
      <w:r w:rsidR="00934131">
        <w:t>,</w:t>
      </w:r>
      <w:r>
        <w:t xml:space="preserve"> to order a re-trial.  As we have just accepted, there was a</w:t>
      </w:r>
      <w:r w:rsidR="00E055EF">
        <w:t xml:space="preserve"> valid</w:t>
      </w:r>
      <w:r>
        <w:t xml:space="preserve"> issue for the jury</w:t>
      </w:r>
      <w:r w:rsidR="00FC008A">
        <w:t xml:space="preserve"> to decide</w:t>
      </w:r>
      <w:r w:rsidR="009C2001">
        <w:t>, which Mr Lai has valiantly and in an entirely measured</w:t>
      </w:r>
      <w:r w:rsidR="00E055EF">
        <w:t xml:space="preserve"> and sensible</w:t>
      </w:r>
      <w:r w:rsidR="009C2001">
        <w:t xml:space="preserve"> way presented before us</w:t>
      </w:r>
      <w:r w:rsidR="00E65E5D">
        <w:t>,</w:t>
      </w:r>
      <w:r w:rsidR="009C2001">
        <w:t xml:space="preserve"> as he did before the jury,</w:t>
      </w:r>
      <w:r>
        <w:t xml:space="preserve"> but it was not</w:t>
      </w:r>
      <w:r w:rsidR="001A4DB9">
        <w:t xml:space="preserve">, with respect, one that </w:t>
      </w:r>
      <w:r w:rsidR="00D0080B">
        <w:t>wa</w:t>
      </w:r>
      <w:r w:rsidR="001A4DB9">
        <w:t>s clear</w:t>
      </w:r>
      <w:r w:rsidR="00E47247">
        <w:noBreakHyphen/>
      </w:r>
      <w:r w:rsidR="001A4DB9">
        <w:t>cut in the</w:t>
      </w:r>
      <w:r>
        <w:t xml:space="preserve"> circumstances.  Whilst in no way determinative</w:t>
      </w:r>
      <w:r w:rsidR="001A4DB9">
        <w:t xml:space="preserve"> of the issue</w:t>
      </w:r>
      <w:r>
        <w:t>, since it was opinion evidence</w:t>
      </w:r>
      <w:r w:rsidR="00FC008A">
        <w:t>,</w:t>
      </w:r>
      <w:r w:rsidR="00030989">
        <w:t xml:space="preserve"> albeit from someone who </w:t>
      </w:r>
      <w:r w:rsidR="001A4DB9">
        <w:t>had an intimate, first-hand knowledge of events that</w:t>
      </w:r>
      <w:r w:rsidR="00030989">
        <w:t xml:space="preserve"> evening</w:t>
      </w:r>
      <w:r w:rsidR="00152210">
        <w:t xml:space="preserve"> because she was </w:t>
      </w:r>
      <w:r w:rsidR="00AB7F73">
        <w:t>there herself</w:t>
      </w:r>
      <w:r>
        <w:t>, it is interesting to note PW1’s assessment</w:t>
      </w:r>
      <w:r w:rsidR="00030989">
        <w:t xml:space="preserve"> of the appellant’s action</w:t>
      </w:r>
      <w:r w:rsidR="00E65E5D">
        <w:t>s</w:t>
      </w:r>
      <w:r w:rsidR="00030989">
        <w:t>, as summarised by the judge in her summing-up</w:t>
      </w:r>
      <w:r w:rsidR="00030989">
        <w:rPr>
          <w:rStyle w:val="FootnoteReference"/>
        </w:rPr>
        <w:footnoteReference w:id="39"/>
      </w:r>
      <w:r w:rsidR="00030989">
        <w:t>:</w:t>
      </w:r>
    </w:p>
    <w:p w:rsidR="00030989" w:rsidRDefault="00030989" w:rsidP="0048095F">
      <w:pPr>
        <w:pStyle w:val="j-quotation"/>
      </w:pPr>
      <w:r>
        <w:t>“She agreed that the deceased had at all times been the aggressor and the defendant was merely doing what he had to</w:t>
      </w:r>
      <w:r w:rsidR="00E65E5D">
        <w:t xml:space="preserve"> (do)</w:t>
      </w:r>
      <w:r>
        <w:t xml:space="preserve"> to defend himself and that the fall was not caused by the defendant, but rather by the deceased’s own kick on the defendant which caused him to lose balance and fall down.”</w:t>
      </w:r>
    </w:p>
    <w:p w:rsidR="00D14486" w:rsidRDefault="00030989" w:rsidP="00030989">
      <w:pPr>
        <w:pStyle w:val="T-Draft"/>
        <w:numPr>
          <w:ilvl w:val="0"/>
          <w:numId w:val="0"/>
        </w:numPr>
      </w:pPr>
      <w:r>
        <w:t xml:space="preserve">Although we could see no </w:t>
      </w:r>
      <w:r w:rsidR="00737B9B">
        <w:t xml:space="preserve">firm </w:t>
      </w:r>
      <w:r>
        <w:t>evidence of an</w:t>
      </w:r>
      <w:r w:rsidR="00737B9B">
        <w:t>y</w:t>
      </w:r>
      <w:r>
        <w:t xml:space="preserve"> attempt by the deceased to kick the appellant, </w:t>
      </w:r>
      <w:r w:rsidR="006635D9">
        <w:t xml:space="preserve">and it may well be that the jury did not accept this aspect of </w:t>
      </w:r>
      <w:r w:rsidR="00FC008A">
        <w:t>PW1’s</w:t>
      </w:r>
      <w:r>
        <w:t xml:space="preserve"> </w:t>
      </w:r>
      <w:r w:rsidR="006635D9">
        <w:t xml:space="preserve">evidence, </w:t>
      </w:r>
      <w:r w:rsidR="00A472BA">
        <w:t>her view of why the appellant did what he did</w:t>
      </w:r>
      <w:r w:rsidR="006635D9">
        <w:t xml:space="preserve"> is </w:t>
      </w:r>
      <w:r w:rsidR="006635D9">
        <w:lastRenderedPageBreak/>
        <w:t>nevertheless</w:t>
      </w:r>
      <w:r w:rsidR="00A472BA">
        <w:t xml:space="preserve"> of some relevance, albeit in no way a decisive factor, for</w:t>
      </w:r>
      <w:r w:rsidR="001A4DB9">
        <w:t xml:space="preserve"> the very limited purposes of deciding whether</w:t>
      </w:r>
      <w:r w:rsidR="00E65E5D">
        <w:t>, in the exercise of our discretion,</w:t>
      </w:r>
      <w:r w:rsidR="001A4DB9">
        <w:t xml:space="preserve"> we should order a re-trial</w:t>
      </w:r>
      <w:r>
        <w:t>.</w:t>
      </w:r>
    </w:p>
    <w:p w:rsidR="009C2001" w:rsidRDefault="00AB7F73" w:rsidP="00030989">
      <w:pPr>
        <w:pStyle w:val="T-Draft"/>
      </w:pPr>
      <w:r>
        <w:t>More significantly, t</w:t>
      </w:r>
      <w:r w:rsidR="00030989">
        <w:t xml:space="preserve">he appellant has served 10 months’ imprisonment </w:t>
      </w:r>
      <w:r w:rsidR="00737B9B">
        <w:t xml:space="preserve">of his sentence </w:t>
      </w:r>
      <w:r w:rsidR="00030989">
        <w:t>thus far</w:t>
      </w:r>
      <w:r w:rsidR="00E65E5D">
        <w:t>,</w:t>
      </w:r>
      <w:r w:rsidR="00030989">
        <w:t xml:space="preserve"> before </w:t>
      </w:r>
      <w:r w:rsidR="00152210">
        <w:t>being</w:t>
      </w:r>
      <w:r w:rsidR="00030989">
        <w:t xml:space="preserve"> bailed pending his appeal</w:t>
      </w:r>
      <w:r w:rsidR="000D0B6B">
        <w:t xml:space="preserve"> on 9</w:t>
      </w:r>
      <w:r w:rsidR="00E65E5D">
        <w:t xml:space="preserve"> April 2020</w:t>
      </w:r>
      <w:r w:rsidR="00030989">
        <w:t xml:space="preserve">.  Although we have not </w:t>
      </w:r>
      <w:r w:rsidR="00653F6B">
        <w:t xml:space="preserve">ultimately </w:t>
      </w:r>
      <w:r w:rsidR="00030989">
        <w:t xml:space="preserve">had to determine </w:t>
      </w:r>
      <w:r w:rsidR="001A4DB9">
        <w:t xml:space="preserve">the question of </w:t>
      </w:r>
      <w:r w:rsidR="00030989">
        <w:t xml:space="preserve">sentence, we have heard </w:t>
      </w:r>
      <w:r w:rsidR="009C2001">
        <w:t xml:space="preserve">full </w:t>
      </w:r>
      <w:r w:rsidR="00030989">
        <w:t xml:space="preserve">argument </w:t>
      </w:r>
      <w:r w:rsidR="00E65E5D">
        <w:t xml:space="preserve">from the parties </w:t>
      </w:r>
      <w:r w:rsidR="00030989">
        <w:t xml:space="preserve">as to whether 3 years’ imprisonment </w:t>
      </w:r>
      <w:r w:rsidR="00E65E5D">
        <w:t xml:space="preserve">can </w:t>
      </w:r>
      <w:r>
        <w:t xml:space="preserve">or cannot </w:t>
      </w:r>
      <w:r w:rsidR="00E65E5D">
        <w:t>be said to be</w:t>
      </w:r>
      <w:r w:rsidR="00030989">
        <w:t xml:space="preserve"> manifestly excessive and/or wrong in principle</w:t>
      </w:r>
      <w:r>
        <w:t xml:space="preserve"> in the circumstances</w:t>
      </w:r>
      <w:r w:rsidR="00030989">
        <w:t>.  The facts were</w:t>
      </w:r>
      <w:r w:rsidR="004146E0">
        <w:t>, on any view, somewhat</w:t>
      </w:r>
      <w:r w:rsidR="00030989">
        <w:t xml:space="preserve"> unusual.  The appellant was not out looking for trouble</w:t>
      </w:r>
      <w:r w:rsidR="001A4DB9">
        <w:t>;</w:t>
      </w:r>
      <w:r w:rsidR="00030989">
        <w:t xml:space="preserve"> nor</w:t>
      </w:r>
      <w:r w:rsidR="00DB07F1">
        <w:t xml:space="preserve"> when speaking to the deceased did he provoke it</w:t>
      </w:r>
      <w:r w:rsidR="001A4DB9">
        <w:t>;</w:t>
      </w:r>
      <w:r w:rsidR="009C2001">
        <w:t xml:space="preserve"> and nor did he start </w:t>
      </w:r>
      <w:r w:rsidR="00E65E5D">
        <w:t>the fight</w:t>
      </w:r>
      <w:r w:rsidR="00030989">
        <w:t xml:space="preserve">.  </w:t>
      </w:r>
      <w:r w:rsidR="00C2255B">
        <w:t xml:space="preserve">Indeed, he expressly told the deceased he did not want to </w:t>
      </w:r>
      <w:r>
        <w:t xml:space="preserve">have a </w:t>
      </w:r>
      <w:r w:rsidR="00C2255B">
        <w:t>fight</w:t>
      </w:r>
      <w:r>
        <w:t xml:space="preserve"> with him</w:t>
      </w:r>
      <w:r w:rsidR="00C2255B">
        <w:t xml:space="preserve">.  </w:t>
      </w:r>
      <w:r w:rsidR="00030989">
        <w:t>He might</w:t>
      </w:r>
      <w:r w:rsidR="00E055EF">
        <w:t xml:space="preserve"> even</w:t>
      </w:r>
      <w:r w:rsidR="00030989">
        <w:t xml:space="preserve"> </w:t>
      </w:r>
      <w:r w:rsidR="009C2001">
        <w:t>on one view</w:t>
      </w:r>
      <w:r w:rsidR="00030989">
        <w:t xml:space="preserve"> </w:t>
      </w:r>
      <w:r w:rsidR="00E055EF">
        <w:t>be said to have been</w:t>
      </w:r>
      <w:r w:rsidR="00030989">
        <w:t xml:space="preserve"> acting gallantly by getting out of his car </w:t>
      </w:r>
      <w:r w:rsidR="009C2001">
        <w:t>and remaining at the scene</w:t>
      </w:r>
      <w:r w:rsidR="00152210">
        <w:t xml:space="preserve"> following PW1’s</w:t>
      </w:r>
      <w:r w:rsidR="00030989">
        <w:t xml:space="preserve"> scream.  He was not the </w:t>
      </w:r>
      <w:r w:rsidR="00BA60DD">
        <w:t xml:space="preserve">initial </w:t>
      </w:r>
      <w:r w:rsidR="00030989">
        <w:t>aggressor in either episode of violence.  To that extent</w:t>
      </w:r>
      <w:r w:rsidR="009C2001">
        <w:t>,</w:t>
      </w:r>
      <w:r w:rsidR="00030989">
        <w:t xml:space="preserve"> the facts of </w:t>
      </w:r>
      <w:r w:rsidR="00030989" w:rsidRPr="009C2001">
        <w:rPr>
          <w:i/>
        </w:rPr>
        <w:t xml:space="preserve">R v Lo </w:t>
      </w:r>
      <w:r w:rsidR="0048095F" w:rsidRPr="0048095F">
        <w:rPr>
          <w:b/>
          <w:i/>
        </w:rPr>
        <w:t>‍</w:t>
      </w:r>
      <w:r w:rsidR="00030989" w:rsidRPr="009C2001">
        <w:rPr>
          <w:i/>
        </w:rPr>
        <w:t>Bing</w:t>
      </w:r>
      <w:r w:rsidR="00653F6B">
        <w:rPr>
          <w:i/>
        </w:rPr>
        <w:t xml:space="preserve"> S</w:t>
      </w:r>
      <w:r w:rsidR="00E055EF">
        <w:rPr>
          <w:i/>
        </w:rPr>
        <w:t>u</w:t>
      </w:r>
      <w:r w:rsidR="00030989" w:rsidRPr="009C2001">
        <w:rPr>
          <w:i/>
        </w:rPr>
        <w:t>n</w:t>
      </w:r>
      <w:r w:rsidR="009C2001">
        <w:rPr>
          <w:rStyle w:val="FootnoteReference"/>
        </w:rPr>
        <w:footnoteReference w:id="40"/>
      </w:r>
      <w:r w:rsidR="004146E0">
        <w:t xml:space="preserve">, which had been cited </w:t>
      </w:r>
      <w:r w:rsidR="00C57D93">
        <w:t xml:space="preserve">to the court </w:t>
      </w:r>
      <w:r w:rsidR="004146E0">
        <w:t>in mitigation</w:t>
      </w:r>
      <w:r w:rsidR="00C57D93">
        <w:t xml:space="preserve"> and relied upon by the judge in sentencing</w:t>
      </w:r>
      <w:r w:rsidR="004146E0">
        <w:t xml:space="preserve">, </w:t>
      </w:r>
      <w:r w:rsidR="00030989">
        <w:t>may be distinguished</w:t>
      </w:r>
      <w:r w:rsidR="009C2001">
        <w:t xml:space="preserve">: </w:t>
      </w:r>
      <w:r w:rsidR="001A4DB9">
        <w:t>that</w:t>
      </w:r>
      <w:r w:rsidR="009C2001">
        <w:t xml:space="preserve"> was not a case involving self</w:t>
      </w:r>
      <w:r w:rsidR="0048095F">
        <w:noBreakHyphen/>
      </w:r>
      <w:r w:rsidR="009C2001">
        <w:t>defence</w:t>
      </w:r>
      <w:r w:rsidR="00D0080B">
        <w:t>,</w:t>
      </w:r>
      <w:r w:rsidR="009C2001">
        <w:t xml:space="preserve"> </w:t>
      </w:r>
      <w:r w:rsidR="00E65E5D">
        <w:t>or</w:t>
      </w:r>
      <w:r w:rsidR="009C2001">
        <w:t xml:space="preserve"> the reasonableness </w:t>
      </w:r>
      <w:r w:rsidR="001A4DB9">
        <w:t xml:space="preserve">(or </w:t>
      </w:r>
      <w:r w:rsidR="00E47247" w:rsidRPr="00E47247">
        <w:rPr>
          <w:b/>
        </w:rPr>
        <w:t>‍</w:t>
      </w:r>
      <w:r w:rsidR="001A4DB9">
        <w:t xml:space="preserve">unreasonableness) </w:t>
      </w:r>
      <w:r w:rsidR="009C2001">
        <w:t>of the appellant’s actions</w:t>
      </w:r>
      <w:r w:rsidR="00E055EF">
        <w:t>,</w:t>
      </w:r>
      <w:r w:rsidR="009C2001">
        <w:t xml:space="preserve"> at all</w:t>
      </w:r>
      <w:r w:rsidR="00030989">
        <w:t xml:space="preserve">.  </w:t>
      </w:r>
    </w:p>
    <w:p w:rsidR="00030989" w:rsidRDefault="00030989" w:rsidP="00030989">
      <w:pPr>
        <w:pStyle w:val="T-Draft"/>
      </w:pPr>
      <w:r>
        <w:t>Nevertheless, a life was lost</w:t>
      </w:r>
      <w:r w:rsidR="00E65E5D">
        <w:t xml:space="preserve"> and that is an important consideration</w:t>
      </w:r>
      <w:r w:rsidR="00152210">
        <w:t xml:space="preserve"> for the Court when considering the issue of retrial</w:t>
      </w:r>
      <w:r>
        <w:t xml:space="preserve">.  </w:t>
      </w:r>
      <w:r w:rsidR="00152210">
        <w:t>However, i</w:t>
      </w:r>
      <w:r>
        <w:t xml:space="preserve">n our judgment, </w:t>
      </w:r>
      <w:r w:rsidR="009C2001">
        <w:t xml:space="preserve">and in the particular circumstances of this </w:t>
      </w:r>
      <w:r w:rsidR="006C7D95">
        <w:t>case</w:t>
      </w:r>
      <w:r w:rsidR="009C2001">
        <w:t xml:space="preserve">, even if </w:t>
      </w:r>
      <w:r w:rsidR="00D0080B">
        <w:t xml:space="preserve">the offence </w:t>
      </w:r>
      <w:r w:rsidR="009C2001">
        <w:t>had been made out on the basis of an over</w:t>
      </w:r>
      <w:r w:rsidR="00E47247">
        <w:noBreakHyphen/>
      </w:r>
      <w:r w:rsidR="009C2001">
        <w:t>reaction</w:t>
      </w:r>
      <w:r w:rsidR="001A4DB9">
        <w:t xml:space="preserve"> by </w:t>
      </w:r>
      <w:r w:rsidR="001A4DB9">
        <w:lastRenderedPageBreak/>
        <w:t>the appellant</w:t>
      </w:r>
      <w:r w:rsidR="009C2001">
        <w:t xml:space="preserve">, </w:t>
      </w:r>
      <w:r>
        <w:t xml:space="preserve">we would </w:t>
      </w:r>
      <w:r w:rsidR="00152210">
        <w:t xml:space="preserve">not </w:t>
      </w:r>
      <w:r>
        <w:t xml:space="preserve">have considered a sentence of </w:t>
      </w:r>
      <w:r w:rsidR="00152210">
        <w:t xml:space="preserve">more than </w:t>
      </w:r>
      <w:r w:rsidR="009C2001">
        <w:t xml:space="preserve">18 </w:t>
      </w:r>
      <w:r w:rsidR="00587A4A" w:rsidRPr="00587A4A">
        <w:rPr>
          <w:b/>
        </w:rPr>
        <w:t>‍</w:t>
      </w:r>
      <w:r w:rsidR="009C2001">
        <w:t xml:space="preserve">months’ imprisonment </w:t>
      </w:r>
      <w:r w:rsidR="00152210">
        <w:t xml:space="preserve">to be appropriate </w:t>
      </w:r>
      <w:r>
        <w:t>after trial.</w:t>
      </w:r>
    </w:p>
    <w:p w:rsidR="009C2001" w:rsidRDefault="001A4DB9" w:rsidP="00030989">
      <w:pPr>
        <w:pStyle w:val="T-Draft"/>
      </w:pPr>
      <w:r>
        <w:t xml:space="preserve">Given the </w:t>
      </w:r>
      <w:r w:rsidR="00E65E5D">
        <w:t xml:space="preserve">totality of the </w:t>
      </w:r>
      <w:r>
        <w:t>evidence in the case, and since</w:t>
      </w:r>
      <w:r w:rsidR="009C2001">
        <w:t xml:space="preserve"> the appellant has nearly served what we would have considered appropriate as a sentence, assuming good behaviour, </w:t>
      </w:r>
      <w:r w:rsidR="001B7F50">
        <w:t xml:space="preserve">had he been re-convicted, which is by no means certain, </w:t>
      </w:r>
      <w:r w:rsidR="009C2001">
        <w:t>we do not think it is in the interests of justice to remit the case for re-trial.  There will accordingly be no order for re</w:t>
      </w:r>
      <w:r w:rsidR="0048095F">
        <w:noBreakHyphen/>
      </w:r>
      <w:r w:rsidR="009C2001">
        <w:t>trial.</w:t>
      </w:r>
    </w:p>
    <w:p w:rsidR="00DA48FA" w:rsidRDefault="00DA48FA" w:rsidP="0000516C">
      <w:pPr>
        <w:pStyle w:val="T-Draft"/>
        <w:numPr>
          <w:ilvl w:val="0"/>
          <w:numId w:val="0"/>
        </w:numPr>
      </w:pPr>
    </w:p>
    <w:p w:rsidR="00030989" w:rsidRPr="00E74343" w:rsidRDefault="00030989" w:rsidP="0000516C">
      <w:pPr>
        <w:pStyle w:val="T-Draft"/>
        <w:numPr>
          <w:ilvl w:val="0"/>
          <w:numId w:val="0"/>
        </w:numPr>
      </w:pPr>
    </w:p>
    <w:p w:rsidR="008A3EA8" w:rsidRPr="00E74343" w:rsidRDefault="008A3EA8" w:rsidP="0000516C">
      <w:pPr>
        <w:pStyle w:val="T-Draft"/>
        <w:numPr>
          <w:ilvl w:val="0"/>
          <w:numId w:val="0"/>
        </w:numPr>
      </w:pPr>
    </w:p>
    <w:tbl>
      <w:tblPr>
        <w:tblW w:w="9930" w:type="dxa"/>
        <w:jc w:val="center"/>
        <w:tblLayout w:type="fixed"/>
        <w:tblLook w:val="0000" w:firstRow="0" w:lastRow="0" w:firstColumn="0" w:lastColumn="0" w:noHBand="0" w:noVBand="0"/>
      </w:tblPr>
      <w:tblGrid>
        <w:gridCol w:w="3310"/>
        <w:gridCol w:w="3310"/>
        <w:gridCol w:w="3310"/>
      </w:tblGrid>
      <w:tr w:rsidR="00110B94" w:rsidRPr="00E74343" w:rsidTr="00110B94">
        <w:trPr>
          <w:trHeight w:val="828"/>
          <w:jc w:val="center"/>
        </w:trPr>
        <w:tc>
          <w:tcPr>
            <w:tcW w:w="3310" w:type="dxa"/>
          </w:tcPr>
          <w:p w:rsidR="00110B94" w:rsidRPr="00E74343" w:rsidRDefault="00110B94" w:rsidP="00D01D69">
            <w:pPr>
              <w:pStyle w:val="normal1"/>
              <w:tabs>
                <w:tab w:val="clear" w:pos="1411"/>
              </w:tabs>
              <w:rPr>
                <w:bCs/>
              </w:rPr>
            </w:pPr>
            <w:r w:rsidRPr="00E74343">
              <w:rPr>
                <w:bCs/>
              </w:rPr>
              <w:t xml:space="preserve">(Andrew </w:t>
            </w:r>
            <w:proofErr w:type="spellStart"/>
            <w:r w:rsidRPr="00E74343">
              <w:rPr>
                <w:bCs/>
              </w:rPr>
              <w:t>Macrae</w:t>
            </w:r>
            <w:proofErr w:type="spellEnd"/>
            <w:r w:rsidRPr="00E74343">
              <w:rPr>
                <w:bCs/>
              </w:rPr>
              <w:t>)</w:t>
            </w:r>
          </w:p>
          <w:p w:rsidR="00110B94" w:rsidRPr="00E74343" w:rsidRDefault="00110B94" w:rsidP="00D01D69">
            <w:pPr>
              <w:jc w:val="center"/>
              <w:rPr>
                <w:b w:val="0"/>
                <w:bCs/>
                <w:sz w:val="28"/>
              </w:rPr>
            </w:pPr>
            <w:r w:rsidRPr="00E74343">
              <w:rPr>
                <w:b w:val="0"/>
                <w:bCs/>
                <w:sz w:val="28"/>
              </w:rPr>
              <w:t>Vice</w:t>
            </w:r>
            <w:r w:rsidRPr="00E74343">
              <w:rPr>
                <w:rFonts w:eastAsiaTheme="minorEastAsia"/>
                <w:b w:val="0"/>
                <w:bCs/>
                <w:sz w:val="28"/>
              </w:rPr>
              <w:t xml:space="preserve"> </w:t>
            </w:r>
            <w:r w:rsidRPr="00E74343">
              <w:rPr>
                <w:b w:val="0"/>
                <w:bCs/>
                <w:sz w:val="28"/>
              </w:rPr>
              <w:t>President</w:t>
            </w:r>
          </w:p>
        </w:tc>
        <w:tc>
          <w:tcPr>
            <w:tcW w:w="3310" w:type="dxa"/>
          </w:tcPr>
          <w:p w:rsidR="00110B94" w:rsidRPr="00E74343" w:rsidRDefault="008A3EA8" w:rsidP="00D01D69">
            <w:pPr>
              <w:pStyle w:val="normal1"/>
              <w:tabs>
                <w:tab w:val="clear" w:pos="1411"/>
              </w:tabs>
            </w:pPr>
            <w:r w:rsidRPr="00E74343">
              <w:t xml:space="preserve">(Ian </w:t>
            </w:r>
            <w:proofErr w:type="spellStart"/>
            <w:r w:rsidRPr="00E74343">
              <w:t>McWalters</w:t>
            </w:r>
            <w:proofErr w:type="spellEnd"/>
            <w:r w:rsidRPr="00E74343">
              <w:t>)</w:t>
            </w:r>
          </w:p>
          <w:p w:rsidR="008A3EA8" w:rsidRPr="00E74343" w:rsidRDefault="008A3EA8" w:rsidP="00D01D69">
            <w:pPr>
              <w:pStyle w:val="normal1"/>
              <w:tabs>
                <w:tab w:val="clear" w:pos="1411"/>
              </w:tabs>
            </w:pPr>
            <w:r w:rsidRPr="00E74343">
              <w:t>Justice of Appeal</w:t>
            </w:r>
          </w:p>
          <w:p w:rsidR="00110B94" w:rsidRPr="00E74343" w:rsidRDefault="00110B94" w:rsidP="00D01D69">
            <w:pPr>
              <w:jc w:val="center"/>
              <w:rPr>
                <w:b w:val="0"/>
                <w:bCs/>
                <w:sz w:val="28"/>
              </w:rPr>
            </w:pPr>
          </w:p>
        </w:tc>
        <w:tc>
          <w:tcPr>
            <w:tcW w:w="3310" w:type="dxa"/>
          </w:tcPr>
          <w:p w:rsidR="00110B94" w:rsidRPr="00E74343" w:rsidRDefault="008A3EA8" w:rsidP="00110B94">
            <w:pPr>
              <w:pStyle w:val="normal1"/>
              <w:tabs>
                <w:tab w:val="clear" w:pos="1411"/>
              </w:tabs>
            </w:pPr>
            <w:r w:rsidRPr="00E74343">
              <w:t xml:space="preserve">(Kevin </w:t>
            </w:r>
            <w:proofErr w:type="spellStart"/>
            <w:r w:rsidRPr="00E74343">
              <w:t>Zervos</w:t>
            </w:r>
            <w:proofErr w:type="spellEnd"/>
            <w:r w:rsidRPr="00E74343">
              <w:t>)</w:t>
            </w:r>
          </w:p>
          <w:p w:rsidR="008A3EA8" w:rsidRPr="00E74343" w:rsidRDefault="008A3EA8" w:rsidP="008A3EA8">
            <w:pPr>
              <w:pStyle w:val="normal1"/>
              <w:tabs>
                <w:tab w:val="clear" w:pos="1411"/>
              </w:tabs>
            </w:pPr>
            <w:r w:rsidRPr="00E74343">
              <w:t>Justice of Appeal</w:t>
            </w:r>
          </w:p>
        </w:tc>
      </w:tr>
    </w:tbl>
    <w:p w:rsidR="0000516C" w:rsidRPr="00E74343" w:rsidRDefault="0000516C" w:rsidP="00FA12F2">
      <w:pPr>
        <w:rPr>
          <w:b w:val="0"/>
          <w:bCs/>
          <w:sz w:val="28"/>
        </w:rPr>
      </w:pPr>
    </w:p>
    <w:p w:rsidR="0000516C" w:rsidRPr="00E74343" w:rsidRDefault="0000516C" w:rsidP="00FA12F2">
      <w:pPr>
        <w:ind w:left="360" w:hanging="360"/>
        <w:rPr>
          <w:b w:val="0"/>
          <w:bCs/>
          <w:sz w:val="28"/>
        </w:rPr>
      </w:pPr>
    </w:p>
    <w:p w:rsidR="00110B94" w:rsidRPr="00E74343" w:rsidRDefault="00110B94" w:rsidP="00FA12F2">
      <w:pPr>
        <w:ind w:left="360" w:hanging="360"/>
        <w:rPr>
          <w:b w:val="0"/>
          <w:bCs/>
          <w:sz w:val="28"/>
        </w:rPr>
      </w:pPr>
    </w:p>
    <w:p w:rsidR="008A3EA8" w:rsidRPr="00E74343" w:rsidRDefault="00E74343" w:rsidP="008A3EA8">
      <w:pPr>
        <w:ind w:left="360" w:hanging="360"/>
        <w:rPr>
          <w:b w:val="0"/>
          <w:bCs/>
          <w:sz w:val="28"/>
        </w:rPr>
      </w:pPr>
      <w:r w:rsidRPr="00E74343">
        <w:rPr>
          <w:b w:val="0"/>
          <w:bCs/>
          <w:sz w:val="28"/>
        </w:rPr>
        <w:t>Mr Derek Lai</w:t>
      </w:r>
      <w:r w:rsidR="008A3EA8" w:rsidRPr="00E74343">
        <w:rPr>
          <w:b w:val="0"/>
          <w:bCs/>
          <w:sz w:val="28"/>
        </w:rPr>
        <w:t xml:space="preserve"> </w:t>
      </w:r>
      <w:r w:rsidR="00C966A0">
        <w:rPr>
          <w:b w:val="0"/>
          <w:bCs/>
          <w:sz w:val="28"/>
        </w:rPr>
        <w:t>DDPP (Ag)</w:t>
      </w:r>
      <w:r w:rsidR="008A3EA8" w:rsidRPr="00E74343">
        <w:rPr>
          <w:b w:val="0"/>
          <w:bCs/>
          <w:sz w:val="28"/>
        </w:rPr>
        <w:t xml:space="preserve"> and Mr Kelvin Tang </w:t>
      </w:r>
      <w:r w:rsidR="00C966A0">
        <w:rPr>
          <w:b w:val="0"/>
          <w:bCs/>
          <w:sz w:val="28"/>
        </w:rPr>
        <w:t>S</w:t>
      </w:r>
      <w:r w:rsidR="008A3EA8" w:rsidRPr="00E74343">
        <w:rPr>
          <w:b w:val="0"/>
          <w:bCs/>
          <w:sz w:val="28"/>
        </w:rPr>
        <w:t>PP, of the Department of Justice, for the Respondent</w:t>
      </w:r>
    </w:p>
    <w:p w:rsidR="008A3EA8" w:rsidRPr="00E74343" w:rsidRDefault="008A3EA8" w:rsidP="008A3EA8">
      <w:pPr>
        <w:ind w:left="360" w:hanging="360"/>
        <w:rPr>
          <w:b w:val="0"/>
          <w:bCs/>
          <w:sz w:val="28"/>
        </w:rPr>
      </w:pPr>
    </w:p>
    <w:p w:rsidR="008A3EA8" w:rsidRPr="00E74343" w:rsidRDefault="008A3EA8" w:rsidP="008A3EA8">
      <w:pPr>
        <w:ind w:left="360" w:hanging="360"/>
        <w:rPr>
          <w:b w:val="0"/>
          <w:bCs/>
          <w:sz w:val="28"/>
        </w:rPr>
      </w:pPr>
      <w:r w:rsidRPr="00E74343">
        <w:rPr>
          <w:b w:val="0"/>
          <w:bCs/>
          <w:sz w:val="28"/>
        </w:rPr>
        <w:t xml:space="preserve">Mr Duncan Percy, </w:t>
      </w:r>
      <w:r w:rsidR="00E74343" w:rsidRPr="00E74343">
        <w:rPr>
          <w:b w:val="0"/>
          <w:bCs/>
          <w:sz w:val="28"/>
        </w:rPr>
        <w:t xml:space="preserve">instructed by </w:t>
      </w:r>
      <w:r w:rsidRPr="00E74343">
        <w:rPr>
          <w:b w:val="0"/>
          <w:bCs/>
          <w:sz w:val="28"/>
        </w:rPr>
        <w:t>Francis Kong &amp; Co, assigned by the Director of Legal Aid, for the Appellant</w:t>
      </w:r>
      <w:bookmarkStart w:id="0" w:name="_GoBack"/>
      <w:bookmarkEnd w:id="0"/>
    </w:p>
    <w:sectPr w:rsidR="008A3EA8" w:rsidRPr="00E74343" w:rsidSect="004E3716">
      <w:headerReference w:type="even" r:id="rId9"/>
      <w:headerReference w:type="default" r:id="rId10"/>
      <w:footerReference w:type="even" r:id="rId11"/>
      <w:footerReference w:type="default" r:id="rId12"/>
      <w:headerReference w:type="first" r:id="rId13"/>
      <w:footerReference w:type="first" r:id="rId14"/>
      <w:pgSz w:w="11906" w:h="16838" w:code="9"/>
      <w:pgMar w:top="1800" w:right="1800" w:bottom="1440" w:left="1800" w:header="720" w:footer="720"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62">
      <wne:acd wne:acdName="acd0"/>
    </wne:keymap>
    <wne:keymap wne:kcmPrimary="0263">
      <wne:acd wne:acdName="acd1"/>
    </wne:keymap>
  </wne:keymaps>
  <wne:toolbars>
    <wne:acdManifest>
      <wne:acdEntry wne:acdName="acd0"/>
      <wne:acdEntry wne:acdName="acd1"/>
    </wne:acdManifest>
  </wne:toolbars>
  <wne:acds>
    <wne:acd wne:argValue="AgBqAC0AaABlAGEAZABpAG4AZwA=" wne:acdName="acd0" wne:fciIndexBasedOn="0065"/>
    <wne:acd wne:argValue="AgBqAC0AcQB1AG8AdABhAHQAaQBvAG4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3A3" w:rsidRDefault="008273A3">
      <w:r>
        <w:separator/>
      </w:r>
    </w:p>
  </w:endnote>
  <w:endnote w:type="continuationSeparator" w:id="0">
    <w:p w:rsidR="008273A3" w:rsidRDefault="00827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9C4" w:rsidRDefault="00A23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9C4" w:rsidRDefault="00A239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9C4" w:rsidRDefault="00A23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3A3" w:rsidRDefault="008273A3">
      <w:r>
        <w:separator/>
      </w:r>
    </w:p>
  </w:footnote>
  <w:footnote w:type="continuationSeparator" w:id="0">
    <w:p w:rsidR="008273A3" w:rsidRDefault="008273A3">
      <w:r>
        <w:continuationSeparator/>
      </w:r>
    </w:p>
  </w:footnote>
  <w:footnote w:id="1">
    <w:p w:rsidR="008C1B96" w:rsidRPr="008C1B96" w:rsidRDefault="008C1B96" w:rsidP="00F627E2">
      <w:pPr>
        <w:pStyle w:val="FootnoteText"/>
        <w:tabs>
          <w:tab w:val="clear" w:pos="274"/>
          <w:tab w:val="left" w:pos="360"/>
        </w:tabs>
      </w:pPr>
      <w:r>
        <w:rPr>
          <w:rStyle w:val="FootnoteReference"/>
        </w:rPr>
        <w:footnoteRef/>
      </w:r>
      <w:r>
        <w:t xml:space="preserve"> </w:t>
      </w:r>
      <w:r>
        <w:tab/>
      </w:r>
      <w:proofErr w:type="spellStart"/>
      <w:r>
        <w:t>Macrae</w:t>
      </w:r>
      <w:proofErr w:type="spellEnd"/>
      <w:r>
        <w:t xml:space="preserve"> VP.</w:t>
      </w:r>
    </w:p>
  </w:footnote>
  <w:footnote w:id="2">
    <w:p w:rsidR="00A239C4" w:rsidRPr="00211FE5" w:rsidRDefault="00A239C4" w:rsidP="00E74343">
      <w:pPr>
        <w:pStyle w:val="FootnoteText"/>
        <w:tabs>
          <w:tab w:val="clear" w:pos="274"/>
          <w:tab w:val="left" w:pos="360"/>
        </w:tabs>
      </w:pPr>
      <w:r>
        <w:rPr>
          <w:rStyle w:val="FootnoteReference"/>
        </w:rPr>
        <w:footnoteRef/>
      </w:r>
      <w:r>
        <w:t xml:space="preserve"> </w:t>
      </w:r>
      <w:r>
        <w:tab/>
      </w:r>
      <w:r w:rsidRPr="00825B33">
        <w:rPr>
          <w:i/>
        </w:rPr>
        <w:t>HKSAR v Shum Man-</w:t>
      </w:r>
      <w:proofErr w:type="spellStart"/>
      <w:r w:rsidRPr="00825B33">
        <w:rPr>
          <w:i/>
        </w:rPr>
        <w:t>fai</w:t>
      </w:r>
      <w:proofErr w:type="spellEnd"/>
      <w:r>
        <w:t xml:space="preserve"> </w:t>
      </w:r>
      <w:r>
        <w:rPr>
          <w:color w:val="000000"/>
          <w:szCs w:val="28"/>
        </w:rPr>
        <w:t>[2020] HKCA 232, 22 April 2020.</w:t>
      </w:r>
    </w:p>
  </w:footnote>
  <w:footnote w:id="3">
    <w:p w:rsidR="00A239C4" w:rsidRPr="00E74343" w:rsidRDefault="00A239C4" w:rsidP="00E74343">
      <w:pPr>
        <w:pStyle w:val="FootnoteText"/>
        <w:tabs>
          <w:tab w:val="clear" w:pos="274"/>
          <w:tab w:val="left" w:pos="360"/>
        </w:tabs>
      </w:pPr>
      <w:r>
        <w:rPr>
          <w:rStyle w:val="FootnoteReference"/>
        </w:rPr>
        <w:footnoteRef/>
      </w:r>
      <w:r>
        <w:t xml:space="preserve"> </w:t>
      </w:r>
      <w:r>
        <w:tab/>
      </w:r>
      <w:r w:rsidRPr="00E74343">
        <w:t xml:space="preserve">AB, </w:t>
      </w:r>
      <w:r w:rsidRPr="00E74343">
        <w:rPr>
          <w:rFonts w:hint="eastAsia"/>
        </w:rPr>
        <w:t>p</w:t>
      </w:r>
      <w:r w:rsidRPr="00E74343">
        <w:t xml:space="preserve"> 31A</w:t>
      </w:r>
      <w:r>
        <w:t>-</w:t>
      </w:r>
      <w:r w:rsidRPr="00E74343">
        <w:t>D</w:t>
      </w:r>
      <w:r>
        <w:t>.</w:t>
      </w:r>
    </w:p>
  </w:footnote>
  <w:footnote w:id="4">
    <w:p w:rsidR="00A239C4" w:rsidRPr="00F06397" w:rsidRDefault="00A239C4" w:rsidP="00F627E2">
      <w:pPr>
        <w:pStyle w:val="FootnoteText"/>
        <w:tabs>
          <w:tab w:val="clear" w:pos="274"/>
          <w:tab w:val="left" w:pos="360"/>
        </w:tabs>
      </w:pPr>
      <w:r>
        <w:rPr>
          <w:rStyle w:val="FootnoteReference"/>
        </w:rPr>
        <w:footnoteRef/>
      </w:r>
      <w:r>
        <w:t xml:space="preserve"> </w:t>
      </w:r>
      <w:r>
        <w:tab/>
      </w:r>
      <w:r w:rsidR="00F627E2">
        <w:t>Admitted Facts: AB, p 8, para</w:t>
      </w:r>
      <w:r>
        <w:t xml:space="preserve"> 4.</w:t>
      </w:r>
    </w:p>
  </w:footnote>
  <w:footnote w:id="5">
    <w:p w:rsidR="00A239C4" w:rsidRPr="00F06397" w:rsidRDefault="00A239C4" w:rsidP="00F627E2">
      <w:pPr>
        <w:pStyle w:val="FootnoteText"/>
        <w:tabs>
          <w:tab w:val="clear" w:pos="274"/>
          <w:tab w:val="left" w:pos="360"/>
        </w:tabs>
      </w:pPr>
      <w:r>
        <w:rPr>
          <w:rStyle w:val="FootnoteReference"/>
        </w:rPr>
        <w:footnoteRef/>
      </w:r>
      <w:r>
        <w:t xml:space="preserve"> </w:t>
      </w:r>
      <w:r>
        <w:tab/>
      </w:r>
      <w:r w:rsidR="00F627E2">
        <w:t>Admitted Facts: AB, p 9, para</w:t>
      </w:r>
      <w:r>
        <w:t xml:space="preserve"> 9.</w:t>
      </w:r>
    </w:p>
  </w:footnote>
  <w:footnote w:id="6">
    <w:p w:rsidR="00241DD5" w:rsidRPr="00241DD5" w:rsidRDefault="00241DD5" w:rsidP="00587A4A">
      <w:pPr>
        <w:pStyle w:val="FootnoteText"/>
        <w:tabs>
          <w:tab w:val="clear" w:pos="274"/>
          <w:tab w:val="left" w:pos="360"/>
        </w:tabs>
      </w:pPr>
      <w:r>
        <w:rPr>
          <w:rStyle w:val="FootnoteReference"/>
        </w:rPr>
        <w:footnoteRef/>
      </w:r>
      <w:r>
        <w:t xml:space="preserve"> </w:t>
      </w:r>
      <w:r>
        <w:tab/>
      </w:r>
      <w:proofErr w:type="spellStart"/>
      <w:r>
        <w:t>Exh</w:t>
      </w:r>
      <w:proofErr w:type="spellEnd"/>
      <w:r>
        <w:t xml:space="preserve"> P5: AB, p 96, Entries 17-23.</w:t>
      </w:r>
    </w:p>
  </w:footnote>
  <w:footnote w:id="7">
    <w:p w:rsidR="00A239C4" w:rsidRPr="00166340" w:rsidRDefault="00A239C4" w:rsidP="000B1FEF">
      <w:pPr>
        <w:pStyle w:val="FootnoteText"/>
        <w:tabs>
          <w:tab w:val="clear" w:pos="274"/>
          <w:tab w:val="left" w:pos="360"/>
        </w:tabs>
      </w:pPr>
      <w:r>
        <w:rPr>
          <w:rStyle w:val="FootnoteReference"/>
        </w:rPr>
        <w:footnoteRef/>
      </w:r>
      <w:r>
        <w:t xml:space="preserve"> </w:t>
      </w:r>
      <w:r>
        <w:tab/>
      </w:r>
      <w:proofErr w:type="spellStart"/>
      <w:r>
        <w:t>Exh</w:t>
      </w:r>
      <w:proofErr w:type="spellEnd"/>
      <w:r>
        <w:t xml:space="preserve"> P5: AB, p 96, Entry 40.</w:t>
      </w:r>
    </w:p>
  </w:footnote>
  <w:footnote w:id="8">
    <w:p w:rsidR="00A239C4" w:rsidRPr="00E74343" w:rsidRDefault="00A239C4" w:rsidP="00E74343">
      <w:pPr>
        <w:pStyle w:val="FootnoteText"/>
        <w:tabs>
          <w:tab w:val="clear" w:pos="274"/>
          <w:tab w:val="left" w:pos="360"/>
        </w:tabs>
        <w:rPr>
          <w:lang w:val="fr-FR"/>
        </w:rPr>
      </w:pPr>
      <w:r w:rsidRPr="00E74343">
        <w:rPr>
          <w:rStyle w:val="FootnoteReference"/>
        </w:rPr>
        <w:footnoteRef/>
      </w:r>
      <w:r w:rsidRPr="00E74343">
        <w:rPr>
          <w:lang w:val="fr-FR"/>
        </w:rPr>
        <w:t xml:space="preserve"> </w:t>
      </w:r>
      <w:r w:rsidRPr="00E74343">
        <w:rPr>
          <w:lang w:val="fr-FR"/>
        </w:rPr>
        <w:tab/>
      </w:r>
      <w:r w:rsidRPr="00E74343">
        <w:rPr>
          <w:lang w:val="fr-FR"/>
        </w:rPr>
        <w:t>AB</w:t>
      </w:r>
      <w:r w:rsidRPr="00E74343">
        <w:rPr>
          <w:rFonts w:hint="eastAsia"/>
          <w:lang w:val="fr-FR"/>
        </w:rPr>
        <w:t>, p</w:t>
      </w:r>
      <w:r w:rsidRPr="00E74343">
        <w:rPr>
          <w:lang w:val="fr-FR"/>
        </w:rPr>
        <w:t>p 29N-R,</w:t>
      </w:r>
      <w:r w:rsidRPr="00E74343">
        <w:rPr>
          <w:rFonts w:hint="eastAsia"/>
          <w:lang w:val="fr-FR"/>
        </w:rPr>
        <w:t xml:space="preserve"> 33B</w:t>
      </w:r>
      <w:r w:rsidRPr="00E74343">
        <w:rPr>
          <w:lang w:val="fr-FR"/>
        </w:rPr>
        <w:t>-</w:t>
      </w:r>
      <w:r w:rsidRPr="00E74343">
        <w:rPr>
          <w:rFonts w:hint="eastAsia"/>
          <w:lang w:val="fr-FR"/>
        </w:rPr>
        <w:t>F</w:t>
      </w:r>
      <w:r w:rsidRPr="00E74343">
        <w:rPr>
          <w:lang w:val="fr-FR"/>
        </w:rPr>
        <w:t>, 33T-34H.</w:t>
      </w:r>
    </w:p>
  </w:footnote>
  <w:footnote w:id="9">
    <w:p w:rsidR="00A239C4" w:rsidRPr="00E74343" w:rsidRDefault="00A239C4" w:rsidP="00E74343">
      <w:pPr>
        <w:pStyle w:val="FootnoteText"/>
        <w:tabs>
          <w:tab w:val="clear" w:pos="274"/>
          <w:tab w:val="left" w:pos="360"/>
        </w:tabs>
      </w:pPr>
      <w:r w:rsidRPr="00E74343">
        <w:rPr>
          <w:rStyle w:val="FootnoteReference"/>
        </w:rPr>
        <w:footnoteRef/>
      </w:r>
      <w:r w:rsidRPr="00E74343">
        <w:t xml:space="preserve"> </w:t>
      </w:r>
      <w:r>
        <w:tab/>
      </w:r>
      <w:r w:rsidRPr="00E74343">
        <w:t>Admitted Facts</w:t>
      </w:r>
      <w:r w:rsidR="00F627E2">
        <w:t>: AB, p 14, para</w:t>
      </w:r>
      <w:r>
        <w:t xml:space="preserve"> </w:t>
      </w:r>
      <w:r w:rsidRPr="00E74343">
        <w:t>23.</w:t>
      </w:r>
    </w:p>
  </w:footnote>
  <w:footnote w:id="10">
    <w:p w:rsidR="00A239C4" w:rsidRPr="00E74343" w:rsidRDefault="00A239C4" w:rsidP="00E74343">
      <w:pPr>
        <w:pStyle w:val="FootnoteText"/>
        <w:tabs>
          <w:tab w:val="clear" w:pos="274"/>
          <w:tab w:val="left" w:pos="360"/>
        </w:tabs>
      </w:pPr>
      <w:r w:rsidRPr="00E74343">
        <w:rPr>
          <w:rStyle w:val="FootnoteReference"/>
        </w:rPr>
        <w:footnoteRef/>
      </w:r>
      <w:r w:rsidRPr="00E74343">
        <w:t xml:space="preserve"> </w:t>
      </w:r>
      <w:r>
        <w:tab/>
      </w:r>
      <w:r w:rsidRPr="00E74343">
        <w:t>Admitted Facts</w:t>
      </w:r>
      <w:r w:rsidR="00F627E2">
        <w:t>: AB, p 8, para</w:t>
      </w:r>
      <w:r>
        <w:t xml:space="preserve"> </w:t>
      </w:r>
      <w:r w:rsidRPr="00E74343">
        <w:t>3.</w:t>
      </w:r>
    </w:p>
  </w:footnote>
  <w:footnote w:id="11">
    <w:p w:rsidR="00A239C4" w:rsidRPr="00E74343" w:rsidRDefault="00A239C4" w:rsidP="00E74343">
      <w:pPr>
        <w:pStyle w:val="FootnoteText"/>
        <w:tabs>
          <w:tab w:val="clear" w:pos="274"/>
          <w:tab w:val="left" w:pos="360"/>
        </w:tabs>
        <w:rPr>
          <w:lang w:val="en-US"/>
        </w:rPr>
      </w:pPr>
      <w:r w:rsidRPr="00E74343">
        <w:rPr>
          <w:rStyle w:val="FootnoteReference"/>
        </w:rPr>
        <w:footnoteRef/>
      </w:r>
      <w:r w:rsidRPr="00E74343">
        <w:rPr>
          <w:lang w:val="en-US"/>
        </w:rPr>
        <w:t xml:space="preserve"> </w:t>
      </w:r>
      <w:r>
        <w:rPr>
          <w:lang w:val="en-US"/>
        </w:rPr>
        <w:tab/>
      </w:r>
      <w:r w:rsidRPr="00E74343">
        <w:rPr>
          <w:lang w:val="en-US"/>
        </w:rPr>
        <w:t>AB</w:t>
      </w:r>
      <w:r w:rsidRPr="00E74343">
        <w:rPr>
          <w:rFonts w:hint="eastAsia"/>
          <w:lang w:val="en-US"/>
        </w:rPr>
        <w:t>, p 19G</w:t>
      </w:r>
      <w:r w:rsidRPr="00E74343">
        <w:rPr>
          <w:lang w:val="en-US"/>
        </w:rPr>
        <w:t>-</w:t>
      </w:r>
      <w:r w:rsidRPr="00E74343">
        <w:rPr>
          <w:rFonts w:hint="eastAsia"/>
          <w:lang w:val="en-US"/>
        </w:rPr>
        <w:t xml:space="preserve"> J</w:t>
      </w:r>
      <w:r w:rsidRPr="00E74343">
        <w:rPr>
          <w:lang w:val="en-US"/>
        </w:rPr>
        <w:t>.</w:t>
      </w:r>
    </w:p>
  </w:footnote>
  <w:footnote w:id="12">
    <w:p w:rsidR="00A239C4" w:rsidRPr="00E74343" w:rsidRDefault="00A239C4" w:rsidP="00E74343">
      <w:pPr>
        <w:pStyle w:val="FootnoteText"/>
        <w:tabs>
          <w:tab w:val="clear" w:pos="274"/>
          <w:tab w:val="left" w:pos="360"/>
        </w:tabs>
        <w:rPr>
          <w:lang w:val="en-US"/>
        </w:rPr>
      </w:pPr>
      <w:r w:rsidRPr="00E74343">
        <w:rPr>
          <w:rStyle w:val="FootnoteReference"/>
        </w:rPr>
        <w:footnoteRef/>
      </w:r>
      <w:r w:rsidRPr="00E74343">
        <w:rPr>
          <w:lang w:val="en-US"/>
        </w:rPr>
        <w:t xml:space="preserve"> </w:t>
      </w:r>
      <w:r>
        <w:rPr>
          <w:lang w:val="en-US"/>
        </w:rPr>
        <w:tab/>
      </w:r>
      <w:r w:rsidRPr="00E74343">
        <w:rPr>
          <w:lang w:val="en-US"/>
        </w:rPr>
        <w:t>AB</w:t>
      </w:r>
      <w:r w:rsidRPr="00E74343">
        <w:rPr>
          <w:rFonts w:hint="eastAsia"/>
          <w:lang w:val="en-US"/>
        </w:rPr>
        <w:t>, p</w:t>
      </w:r>
      <w:r w:rsidRPr="00E74343">
        <w:rPr>
          <w:lang w:val="en-US"/>
        </w:rPr>
        <w:t xml:space="preserve"> 36F-G.</w:t>
      </w:r>
    </w:p>
  </w:footnote>
  <w:footnote w:id="13">
    <w:p w:rsidR="00A239C4" w:rsidRPr="00CF6D5C" w:rsidRDefault="00A239C4" w:rsidP="000B1FEF">
      <w:pPr>
        <w:pStyle w:val="FootnoteText"/>
        <w:tabs>
          <w:tab w:val="clear" w:pos="274"/>
          <w:tab w:val="left" w:pos="360"/>
        </w:tabs>
      </w:pPr>
      <w:r>
        <w:rPr>
          <w:rStyle w:val="FootnoteReference"/>
        </w:rPr>
        <w:footnoteRef/>
      </w:r>
      <w:r>
        <w:t xml:space="preserve"> </w:t>
      </w:r>
      <w:r>
        <w:tab/>
      </w:r>
      <w:proofErr w:type="spellStart"/>
      <w:r>
        <w:t>Exh</w:t>
      </w:r>
      <w:proofErr w:type="spellEnd"/>
      <w:r>
        <w:t xml:space="preserve"> P5: AB, p 102, Entry 118; p 106, Entry 171; p 114, Entry 268; p 118, Entries 320, 322.</w:t>
      </w:r>
    </w:p>
  </w:footnote>
  <w:footnote w:id="14">
    <w:p w:rsidR="00A239C4" w:rsidRPr="00B86E0E" w:rsidRDefault="00A239C4" w:rsidP="000B1FEF">
      <w:pPr>
        <w:pStyle w:val="FootnoteText"/>
        <w:tabs>
          <w:tab w:val="clear" w:pos="274"/>
          <w:tab w:val="left" w:pos="360"/>
        </w:tabs>
      </w:pPr>
      <w:r>
        <w:rPr>
          <w:rStyle w:val="FootnoteReference"/>
        </w:rPr>
        <w:footnoteRef/>
      </w:r>
      <w:r>
        <w:t xml:space="preserve"> </w:t>
      </w:r>
      <w:r>
        <w:tab/>
      </w:r>
      <w:proofErr w:type="spellStart"/>
      <w:r>
        <w:t>Exh</w:t>
      </w:r>
      <w:proofErr w:type="spellEnd"/>
      <w:r>
        <w:t xml:space="preserve"> P5: AB, p 113, Entry 265; p 114, Entries 270, 278;</w:t>
      </w:r>
    </w:p>
  </w:footnote>
  <w:footnote w:id="15">
    <w:p w:rsidR="00A239C4" w:rsidRDefault="00A239C4" w:rsidP="000B1FEF">
      <w:pPr>
        <w:pStyle w:val="FootnoteText"/>
        <w:tabs>
          <w:tab w:val="clear" w:pos="274"/>
          <w:tab w:val="left" w:pos="360"/>
        </w:tabs>
      </w:pPr>
      <w:r>
        <w:rPr>
          <w:rStyle w:val="FootnoteReference"/>
        </w:rPr>
        <w:footnoteRef/>
      </w:r>
      <w:r>
        <w:t xml:space="preserve"> </w:t>
      </w:r>
      <w:r>
        <w:tab/>
      </w:r>
      <w:proofErr w:type="spellStart"/>
      <w:r>
        <w:t>Exh</w:t>
      </w:r>
      <w:proofErr w:type="spellEnd"/>
      <w:r>
        <w:t xml:space="preserve"> P5: AB, p 103, Entry 125.</w:t>
      </w:r>
    </w:p>
  </w:footnote>
  <w:footnote w:id="16">
    <w:p w:rsidR="00A239C4" w:rsidRDefault="00A239C4" w:rsidP="000B1FEF">
      <w:pPr>
        <w:pStyle w:val="FootnoteText"/>
        <w:tabs>
          <w:tab w:val="clear" w:pos="274"/>
          <w:tab w:val="left" w:pos="360"/>
        </w:tabs>
      </w:pPr>
      <w:r>
        <w:rPr>
          <w:rStyle w:val="FootnoteReference"/>
        </w:rPr>
        <w:footnoteRef/>
      </w:r>
      <w:r>
        <w:t xml:space="preserve"> </w:t>
      </w:r>
      <w:r>
        <w:tab/>
        <w:t>AB</w:t>
      </w:r>
      <w:r>
        <w:rPr>
          <w:rFonts w:hint="eastAsia"/>
        </w:rPr>
        <w:t xml:space="preserve">, </w:t>
      </w:r>
      <w:r>
        <w:t>p</w:t>
      </w:r>
      <w:r>
        <w:rPr>
          <w:rFonts w:hint="eastAsia"/>
        </w:rPr>
        <w:t xml:space="preserve"> 37</w:t>
      </w:r>
      <w:r>
        <w:t>B-G.</w:t>
      </w:r>
    </w:p>
  </w:footnote>
  <w:footnote w:id="17">
    <w:p w:rsidR="00A239C4" w:rsidRPr="00C45449" w:rsidRDefault="00A239C4" w:rsidP="000B1FEF">
      <w:pPr>
        <w:pStyle w:val="FootnoteText"/>
        <w:tabs>
          <w:tab w:val="clear" w:pos="274"/>
          <w:tab w:val="left" w:pos="360"/>
        </w:tabs>
        <w:rPr>
          <w:lang w:val="en-US"/>
        </w:rPr>
      </w:pPr>
      <w:r>
        <w:rPr>
          <w:rStyle w:val="FootnoteReference"/>
        </w:rPr>
        <w:footnoteRef/>
      </w:r>
      <w:r>
        <w:rPr>
          <w:lang w:val="en-US"/>
        </w:rPr>
        <w:t xml:space="preserve"> </w:t>
      </w:r>
      <w:r>
        <w:rPr>
          <w:lang w:val="en-US"/>
        </w:rPr>
        <w:tab/>
      </w:r>
      <w:r w:rsidRPr="00C45449">
        <w:rPr>
          <w:lang w:val="en-US"/>
        </w:rPr>
        <w:t>AB, pp 30A-D, 37F-R.</w:t>
      </w:r>
    </w:p>
  </w:footnote>
  <w:footnote w:id="18">
    <w:p w:rsidR="00A239C4" w:rsidRDefault="00A239C4" w:rsidP="000B1FEF">
      <w:pPr>
        <w:pStyle w:val="FootnoteText"/>
        <w:tabs>
          <w:tab w:val="clear" w:pos="274"/>
          <w:tab w:val="left" w:pos="360"/>
        </w:tabs>
      </w:pPr>
      <w:r>
        <w:rPr>
          <w:rStyle w:val="FootnoteReference"/>
        </w:rPr>
        <w:footnoteRef/>
      </w:r>
      <w:r>
        <w:t xml:space="preserve"> </w:t>
      </w:r>
      <w:r>
        <w:tab/>
        <w:t>AB, p 38M-P.</w:t>
      </w:r>
    </w:p>
  </w:footnote>
  <w:footnote w:id="19">
    <w:p w:rsidR="00A239C4" w:rsidRDefault="00A239C4" w:rsidP="000B1FEF">
      <w:pPr>
        <w:pStyle w:val="FootnoteText"/>
        <w:tabs>
          <w:tab w:val="clear" w:pos="274"/>
          <w:tab w:val="left" w:pos="360"/>
        </w:tabs>
      </w:pPr>
      <w:r>
        <w:rPr>
          <w:rStyle w:val="FootnoteReference"/>
        </w:rPr>
        <w:footnoteRef/>
      </w:r>
      <w:r>
        <w:t xml:space="preserve"> </w:t>
      </w:r>
      <w:r>
        <w:tab/>
        <w:t>AB, p 39B-C.</w:t>
      </w:r>
    </w:p>
  </w:footnote>
  <w:footnote w:id="20">
    <w:p w:rsidR="00A239C4" w:rsidRPr="00245AA8" w:rsidRDefault="00A239C4" w:rsidP="000B1FEF">
      <w:pPr>
        <w:pStyle w:val="FootnoteText"/>
        <w:tabs>
          <w:tab w:val="clear" w:pos="274"/>
          <w:tab w:val="left" w:pos="360"/>
        </w:tabs>
      </w:pPr>
      <w:r>
        <w:rPr>
          <w:rStyle w:val="FootnoteReference"/>
        </w:rPr>
        <w:footnoteRef/>
      </w:r>
      <w:r>
        <w:t xml:space="preserve"> </w:t>
      </w:r>
      <w:r>
        <w:tab/>
        <w:t>AB, p 39C-D.</w:t>
      </w:r>
    </w:p>
  </w:footnote>
  <w:footnote w:id="21">
    <w:p w:rsidR="00A239C4" w:rsidRDefault="00A239C4" w:rsidP="000B1FEF">
      <w:pPr>
        <w:pStyle w:val="FootnoteText"/>
        <w:tabs>
          <w:tab w:val="clear" w:pos="274"/>
          <w:tab w:val="left" w:pos="360"/>
        </w:tabs>
      </w:pPr>
      <w:r>
        <w:rPr>
          <w:rStyle w:val="FootnoteReference"/>
        </w:rPr>
        <w:footnoteRef/>
      </w:r>
      <w:r>
        <w:t xml:space="preserve"> </w:t>
      </w:r>
      <w:r>
        <w:tab/>
        <w:t>AB, p 23N-R.</w:t>
      </w:r>
    </w:p>
  </w:footnote>
  <w:footnote w:id="22">
    <w:p w:rsidR="00A239C4" w:rsidRDefault="00A239C4" w:rsidP="000B1FEF">
      <w:pPr>
        <w:pStyle w:val="FootnoteText"/>
        <w:tabs>
          <w:tab w:val="clear" w:pos="274"/>
          <w:tab w:val="left" w:pos="360"/>
        </w:tabs>
      </w:pPr>
      <w:r>
        <w:rPr>
          <w:rStyle w:val="FootnoteReference"/>
        </w:rPr>
        <w:footnoteRef/>
      </w:r>
      <w:r>
        <w:t xml:space="preserve"> </w:t>
      </w:r>
      <w:r>
        <w:tab/>
      </w:r>
      <w:proofErr w:type="spellStart"/>
      <w:r w:rsidRPr="00A5244F">
        <w:rPr>
          <w:i/>
        </w:rPr>
        <w:t>Liberato</w:t>
      </w:r>
      <w:proofErr w:type="spellEnd"/>
      <w:r w:rsidRPr="00A5244F">
        <w:rPr>
          <w:i/>
        </w:rPr>
        <w:t xml:space="preserve"> v R</w:t>
      </w:r>
      <w:r>
        <w:t xml:space="preserve"> (1985) 159 CLR 507, at 515.</w:t>
      </w:r>
    </w:p>
  </w:footnote>
  <w:footnote w:id="23">
    <w:p w:rsidR="00A239C4" w:rsidRDefault="00A239C4" w:rsidP="000B1FEF">
      <w:pPr>
        <w:pStyle w:val="FootnoteText"/>
        <w:tabs>
          <w:tab w:val="clear" w:pos="274"/>
          <w:tab w:val="left" w:pos="360"/>
        </w:tabs>
      </w:pPr>
      <w:r>
        <w:rPr>
          <w:rStyle w:val="FootnoteReference"/>
        </w:rPr>
        <w:footnoteRef/>
      </w:r>
      <w:r>
        <w:t xml:space="preserve"> </w:t>
      </w:r>
      <w:r>
        <w:tab/>
      </w:r>
      <w:r w:rsidRPr="00A5244F">
        <w:rPr>
          <w:i/>
        </w:rPr>
        <w:t>Sze Kwan Lung &amp; Others v HKSAR</w:t>
      </w:r>
      <w:r>
        <w:t xml:space="preserve"> (2004) 7 HKCFAR 475, at [27].</w:t>
      </w:r>
    </w:p>
  </w:footnote>
  <w:footnote w:id="24">
    <w:p w:rsidR="00A239C4" w:rsidRDefault="00A239C4" w:rsidP="000B1FEF">
      <w:pPr>
        <w:pStyle w:val="FootnoteText"/>
        <w:tabs>
          <w:tab w:val="clear" w:pos="274"/>
          <w:tab w:val="left" w:pos="360"/>
        </w:tabs>
      </w:pPr>
      <w:r>
        <w:rPr>
          <w:rStyle w:val="FootnoteReference"/>
        </w:rPr>
        <w:footnoteRef/>
      </w:r>
      <w:r>
        <w:t xml:space="preserve"> </w:t>
      </w:r>
      <w:r>
        <w:tab/>
        <w:t>AB, p 30F-I.</w:t>
      </w:r>
    </w:p>
  </w:footnote>
  <w:footnote w:id="25">
    <w:p w:rsidR="00A239C4" w:rsidRDefault="00A239C4" w:rsidP="007F6474">
      <w:pPr>
        <w:pStyle w:val="FootnoteText"/>
        <w:tabs>
          <w:tab w:val="clear" w:pos="274"/>
          <w:tab w:val="left" w:pos="360"/>
        </w:tabs>
      </w:pPr>
      <w:r>
        <w:rPr>
          <w:rStyle w:val="FootnoteReference"/>
        </w:rPr>
        <w:footnoteRef/>
      </w:r>
      <w:r>
        <w:t xml:space="preserve"> </w:t>
      </w:r>
      <w:r>
        <w:tab/>
      </w:r>
      <w:r w:rsidRPr="003E74BD">
        <w:rPr>
          <w:i/>
        </w:rPr>
        <w:t>Sze Kwan Lung &amp; Others</w:t>
      </w:r>
      <w:r>
        <w:t>, at [27].</w:t>
      </w:r>
    </w:p>
  </w:footnote>
  <w:footnote w:id="26">
    <w:p w:rsidR="00A239C4" w:rsidRDefault="00A239C4" w:rsidP="007F6474">
      <w:pPr>
        <w:pStyle w:val="FootnoteText"/>
        <w:tabs>
          <w:tab w:val="clear" w:pos="274"/>
          <w:tab w:val="left" w:pos="360"/>
        </w:tabs>
      </w:pPr>
      <w:r>
        <w:rPr>
          <w:rStyle w:val="FootnoteReference"/>
        </w:rPr>
        <w:footnoteRef/>
      </w:r>
      <w:r>
        <w:t xml:space="preserve"> </w:t>
      </w:r>
      <w:r>
        <w:tab/>
        <w:t>AB, p 27E-H.</w:t>
      </w:r>
    </w:p>
  </w:footnote>
  <w:footnote w:id="27">
    <w:p w:rsidR="00A239C4" w:rsidRPr="002637C0" w:rsidRDefault="00A239C4" w:rsidP="007F6474">
      <w:pPr>
        <w:pStyle w:val="FootnoteText"/>
        <w:tabs>
          <w:tab w:val="clear" w:pos="274"/>
          <w:tab w:val="left" w:pos="360"/>
        </w:tabs>
      </w:pPr>
      <w:r>
        <w:rPr>
          <w:rStyle w:val="FootnoteReference"/>
        </w:rPr>
        <w:footnoteRef/>
      </w:r>
      <w:r>
        <w:t xml:space="preserve"> </w:t>
      </w:r>
      <w:r>
        <w:tab/>
        <w:t>AB, p 28C-D.</w:t>
      </w:r>
    </w:p>
  </w:footnote>
  <w:footnote w:id="28">
    <w:p w:rsidR="00A239C4" w:rsidRPr="002637C0" w:rsidRDefault="00A239C4" w:rsidP="007F6474">
      <w:pPr>
        <w:pStyle w:val="FootnoteText"/>
        <w:tabs>
          <w:tab w:val="clear" w:pos="274"/>
          <w:tab w:val="left" w:pos="360"/>
        </w:tabs>
      </w:pPr>
      <w:r>
        <w:rPr>
          <w:rStyle w:val="FootnoteReference"/>
        </w:rPr>
        <w:footnoteRef/>
      </w:r>
      <w:r>
        <w:t xml:space="preserve"> </w:t>
      </w:r>
      <w:r>
        <w:tab/>
        <w:t>AB, p 28P-S.</w:t>
      </w:r>
    </w:p>
  </w:footnote>
  <w:footnote w:id="29">
    <w:p w:rsidR="00A239C4" w:rsidRDefault="00A239C4" w:rsidP="007F6474">
      <w:pPr>
        <w:pStyle w:val="FootnoteText"/>
        <w:tabs>
          <w:tab w:val="clear" w:pos="274"/>
          <w:tab w:val="left" w:pos="360"/>
        </w:tabs>
      </w:pPr>
      <w:r>
        <w:rPr>
          <w:rStyle w:val="FootnoteReference"/>
        </w:rPr>
        <w:footnoteRef/>
      </w:r>
      <w:r>
        <w:t xml:space="preserve"> </w:t>
      </w:r>
      <w:r>
        <w:tab/>
        <w:t>AB, p 62A-B; see also p 62C-D and G-H.</w:t>
      </w:r>
    </w:p>
  </w:footnote>
  <w:footnote w:id="30">
    <w:p w:rsidR="00A239C4" w:rsidRDefault="00A239C4" w:rsidP="007F6474">
      <w:pPr>
        <w:pStyle w:val="FootnoteText"/>
        <w:tabs>
          <w:tab w:val="clear" w:pos="274"/>
          <w:tab w:val="left" w:pos="360"/>
        </w:tabs>
      </w:pPr>
      <w:r>
        <w:rPr>
          <w:rStyle w:val="FootnoteReference"/>
        </w:rPr>
        <w:footnoteRef/>
      </w:r>
      <w:r>
        <w:t xml:space="preserve"> </w:t>
      </w:r>
      <w:r>
        <w:tab/>
        <w:t>AB, p 39K-L.</w:t>
      </w:r>
    </w:p>
  </w:footnote>
  <w:footnote w:id="31">
    <w:p w:rsidR="00A239C4" w:rsidRDefault="00A239C4" w:rsidP="00FB6314">
      <w:pPr>
        <w:pStyle w:val="FootnoteText"/>
        <w:tabs>
          <w:tab w:val="clear" w:pos="274"/>
          <w:tab w:val="left" w:pos="360"/>
        </w:tabs>
      </w:pPr>
      <w:r>
        <w:rPr>
          <w:rStyle w:val="FootnoteReference"/>
        </w:rPr>
        <w:footnoteRef/>
      </w:r>
      <w:r>
        <w:t xml:space="preserve"> </w:t>
      </w:r>
      <w:r>
        <w:tab/>
      </w:r>
      <w:proofErr w:type="spellStart"/>
      <w:r>
        <w:t>Exh</w:t>
      </w:r>
      <w:proofErr w:type="spellEnd"/>
      <w:r>
        <w:t xml:space="preserve"> P5: AB, p 97, Entries 40-42.</w:t>
      </w:r>
    </w:p>
  </w:footnote>
  <w:footnote w:id="32">
    <w:p w:rsidR="00262B68" w:rsidRPr="00262B68" w:rsidRDefault="00262B68" w:rsidP="00587A4A">
      <w:pPr>
        <w:pStyle w:val="FootnoteText"/>
        <w:tabs>
          <w:tab w:val="clear" w:pos="274"/>
          <w:tab w:val="left" w:pos="360"/>
        </w:tabs>
        <w:ind w:left="360" w:hanging="360"/>
        <w:jc w:val="both"/>
      </w:pPr>
      <w:r>
        <w:rPr>
          <w:rStyle w:val="FootnoteReference"/>
        </w:rPr>
        <w:footnoteRef/>
      </w:r>
      <w:r w:rsidR="00587A4A">
        <w:t xml:space="preserve"> </w:t>
      </w:r>
      <w:r w:rsidR="00587A4A">
        <w:tab/>
      </w:r>
      <w:r>
        <w:t>It should be noted that the most recent formulation of the Specimen Direction on self-defence, namely Specimen Direction 104A of the Specimen Directions in Jury Trials, promulgated by the Hong Kong Judicial Institute in November 2020, uses the word “genuinely” rather than “honestly”.</w:t>
      </w:r>
    </w:p>
  </w:footnote>
  <w:footnote w:id="33">
    <w:p w:rsidR="00A239C4" w:rsidRDefault="00A239C4" w:rsidP="00FB6314">
      <w:pPr>
        <w:pStyle w:val="FootnoteText"/>
        <w:tabs>
          <w:tab w:val="clear" w:pos="274"/>
          <w:tab w:val="left" w:pos="360"/>
        </w:tabs>
      </w:pPr>
      <w:r>
        <w:rPr>
          <w:rStyle w:val="FootnoteReference"/>
        </w:rPr>
        <w:footnoteRef/>
      </w:r>
      <w:r>
        <w:t xml:space="preserve"> </w:t>
      </w:r>
      <w:r>
        <w:tab/>
      </w:r>
      <w:r w:rsidRPr="00FB6314">
        <w:rPr>
          <w:i/>
        </w:rPr>
        <w:t>R v Keane and McGrath</w:t>
      </w:r>
      <w:r>
        <w:rPr>
          <w:i/>
        </w:rPr>
        <w:t xml:space="preserve"> </w:t>
      </w:r>
      <w:r w:rsidRPr="008E1986">
        <w:t>[2010] EWCA Crim 2514, at [5].</w:t>
      </w:r>
    </w:p>
  </w:footnote>
  <w:footnote w:id="34">
    <w:p w:rsidR="00A239C4" w:rsidRPr="00362866" w:rsidRDefault="00A239C4" w:rsidP="00FB6314">
      <w:pPr>
        <w:pStyle w:val="FootnoteText"/>
        <w:tabs>
          <w:tab w:val="clear" w:pos="274"/>
          <w:tab w:val="left" w:pos="360"/>
        </w:tabs>
      </w:pPr>
      <w:r>
        <w:rPr>
          <w:rStyle w:val="FootnoteReference"/>
        </w:rPr>
        <w:footnoteRef/>
      </w:r>
      <w:r>
        <w:t xml:space="preserve"> </w:t>
      </w:r>
      <w:r>
        <w:tab/>
      </w:r>
      <w:r w:rsidRPr="0066130D">
        <w:rPr>
          <w:i/>
        </w:rPr>
        <w:t>Duffy v Chief Constable of Cleveland Police</w:t>
      </w:r>
      <w:r>
        <w:rPr>
          <w:i/>
        </w:rPr>
        <w:t xml:space="preserve"> </w:t>
      </w:r>
      <w:r>
        <w:t>[2007] EWHC 3169 (Admin), at [11].</w:t>
      </w:r>
    </w:p>
  </w:footnote>
  <w:footnote w:id="35">
    <w:p w:rsidR="00A239C4" w:rsidRDefault="00A239C4" w:rsidP="00FB6314">
      <w:pPr>
        <w:pStyle w:val="FootnoteText"/>
        <w:tabs>
          <w:tab w:val="clear" w:pos="274"/>
          <w:tab w:val="left" w:pos="360"/>
        </w:tabs>
      </w:pPr>
      <w:r>
        <w:rPr>
          <w:rStyle w:val="FootnoteReference"/>
        </w:rPr>
        <w:footnoteRef/>
      </w:r>
      <w:r>
        <w:t xml:space="preserve"> </w:t>
      </w:r>
      <w:r>
        <w:tab/>
      </w:r>
      <w:r w:rsidRPr="0066130D">
        <w:rPr>
          <w:i/>
        </w:rPr>
        <w:t>Ibid.</w:t>
      </w:r>
      <w:r>
        <w:t>, at [9].</w:t>
      </w:r>
    </w:p>
  </w:footnote>
  <w:footnote w:id="36">
    <w:p w:rsidR="00A239C4" w:rsidRDefault="00A239C4" w:rsidP="0048095F">
      <w:pPr>
        <w:pStyle w:val="FootnoteText"/>
        <w:tabs>
          <w:tab w:val="clear" w:pos="274"/>
          <w:tab w:val="left" w:pos="360"/>
        </w:tabs>
      </w:pPr>
      <w:r>
        <w:rPr>
          <w:rStyle w:val="FootnoteReference"/>
        </w:rPr>
        <w:footnoteRef/>
      </w:r>
      <w:r>
        <w:t xml:space="preserve"> </w:t>
      </w:r>
      <w:r>
        <w:tab/>
        <w:t>AB, p 39B-D.</w:t>
      </w:r>
    </w:p>
  </w:footnote>
  <w:footnote w:id="37">
    <w:p w:rsidR="00A239C4" w:rsidRDefault="00A239C4" w:rsidP="0048095F">
      <w:pPr>
        <w:pStyle w:val="FootnoteText"/>
        <w:tabs>
          <w:tab w:val="clear" w:pos="274"/>
          <w:tab w:val="left" w:pos="360"/>
        </w:tabs>
      </w:pPr>
      <w:r>
        <w:rPr>
          <w:rStyle w:val="FootnoteReference"/>
        </w:rPr>
        <w:footnoteRef/>
      </w:r>
      <w:r w:rsidR="00587A4A">
        <w:t xml:space="preserve"> </w:t>
      </w:r>
      <w:r w:rsidR="00587A4A">
        <w:tab/>
      </w:r>
      <w:proofErr w:type="spellStart"/>
      <w:r w:rsidR="00587A4A">
        <w:t>Exh</w:t>
      </w:r>
      <w:proofErr w:type="spellEnd"/>
      <w:r w:rsidR="00587A4A">
        <w:t xml:space="preserve"> P5:</w:t>
      </w:r>
      <w:r>
        <w:t xml:space="preserve"> AB, p 95, Entry 27; p 96, Entry 33; p 101, Entry 107.</w:t>
      </w:r>
    </w:p>
  </w:footnote>
  <w:footnote w:id="38">
    <w:p w:rsidR="00A239C4" w:rsidRDefault="00A239C4" w:rsidP="00E47247">
      <w:pPr>
        <w:pStyle w:val="FootnoteText"/>
        <w:tabs>
          <w:tab w:val="clear" w:pos="274"/>
          <w:tab w:val="left" w:pos="360"/>
        </w:tabs>
      </w:pPr>
      <w:r>
        <w:rPr>
          <w:rStyle w:val="FootnoteReference"/>
        </w:rPr>
        <w:footnoteRef/>
      </w:r>
      <w:r w:rsidR="00587A4A">
        <w:t xml:space="preserve"> </w:t>
      </w:r>
      <w:r w:rsidR="00587A4A">
        <w:tab/>
      </w:r>
      <w:proofErr w:type="spellStart"/>
      <w:r w:rsidR="00587A4A">
        <w:t>Exh</w:t>
      </w:r>
      <w:proofErr w:type="spellEnd"/>
      <w:r w:rsidR="00587A4A">
        <w:t xml:space="preserve"> P5:</w:t>
      </w:r>
      <w:r>
        <w:t xml:space="preserve"> AB, p 96, Entry 33.</w:t>
      </w:r>
    </w:p>
  </w:footnote>
  <w:footnote w:id="39">
    <w:p w:rsidR="00A239C4" w:rsidRPr="000543E1" w:rsidRDefault="00A239C4" w:rsidP="0048095F">
      <w:pPr>
        <w:pStyle w:val="FootnoteText"/>
        <w:tabs>
          <w:tab w:val="clear" w:pos="274"/>
          <w:tab w:val="left" w:pos="360"/>
        </w:tabs>
      </w:pPr>
      <w:r>
        <w:rPr>
          <w:rStyle w:val="FootnoteReference"/>
        </w:rPr>
        <w:footnoteRef/>
      </w:r>
      <w:r>
        <w:t xml:space="preserve"> </w:t>
      </w:r>
      <w:r>
        <w:tab/>
        <w:t>AB, p 33N-P.</w:t>
      </w:r>
    </w:p>
  </w:footnote>
  <w:footnote w:id="40">
    <w:p w:rsidR="00A239C4" w:rsidRDefault="00A239C4" w:rsidP="0048095F">
      <w:pPr>
        <w:pStyle w:val="FootnoteText"/>
        <w:tabs>
          <w:tab w:val="clear" w:pos="274"/>
          <w:tab w:val="left" w:pos="360"/>
        </w:tabs>
      </w:pPr>
      <w:r>
        <w:rPr>
          <w:rStyle w:val="FootnoteReference"/>
        </w:rPr>
        <w:footnoteRef/>
      </w:r>
      <w:r>
        <w:t xml:space="preserve"> </w:t>
      </w:r>
      <w:r>
        <w:tab/>
      </w:r>
      <w:r w:rsidRPr="009C2001">
        <w:rPr>
          <w:i/>
        </w:rPr>
        <w:t>R v Lo Bing</w:t>
      </w:r>
      <w:r w:rsidR="00653F6B">
        <w:rPr>
          <w:i/>
        </w:rPr>
        <w:t xml:space="preserve"> S</w:t>
      </w:r>
      <w:r w:rsidRPr="009C2001">
        <w:rPr>
          <w:i/>
        </w:rPr>
        <w:t>un</w:t>
      </w:r>
      <w:r>
        <w:t xml:space="preserve"> (</w:t>
      </w:r>
      <w:proofErr w:type="spellStart"/>
      <w:r>
        <w:t>Unrep</w:t>
      </w:r>
      <w:proofErr w:type="spellEnd"/>
      <w:r>
        <w:t>., Crim App No 660</w:t>
      </w:r>
      <w:r w:rsidR="00EF0C30">
        <w:t xml:space="preserve"> of </w:t>
      </w:r>
      <w:r>
        <w:t>1993, 23 May 1994).</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9C4" w:rsidRDefault="00A23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9C4" w:rsidRDefault="00A239C4" w:rsidP="007C481B">
    <w:pPr>
      <w:tabs>
        <w:tab w:val="center" w:pos="4153"/>
        <w:tab w:val="left" w:pos="6877"/>
      </w:tabs>
      <w:jc w:val="left"/>
      <w:rPr>
        <w:rStyle w:val="PageNumber"/>
        <w:b w:val="0"/>
        <w:bCs w:val="0"/>
        <w:sz w:val="28"/>
      </w:rPr>
    </w:pPr>
    <w:r>
      <w:rPr>
        <w:noProof/>
        <w:lang w:val="en-US"/>
      </w:rPr>
      <mc:AlternateContent>
        <mc:Choice Requires="wps">
          <w:drawing>
            <wp:anchor distT="0" distB="0" distL="114300" distR="114300" simplePos="0" relativeHeight="251657216" behindDoc="0" locked="0" layoutInCell="1" allowOverlap="1" wp14:anchorId="0655F62C" wp14:editId="2AD1AEDB">
              <wp:simplePos x="0" y="0"/>
              <wp:positionH relativeFrom="page">
                <wp:align>right</wp:align>
              </wp:positionH>
              <wp:positionV relativeFrom="paragraph">
                <wp:posOffset>38735</wp:posOffset>
              </wp:positionV>
              <wp:extent cx="552450" cy="10099675"/>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10099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39C4" w:rsidRDefault="00A239C4" w:rsidP="008244DC">
                          <w:pPr>
                            <w:ind w:left="-90"/>
                          </w:pPr>
                          <w:r>
                            <w:rPr>
                              <w:rFonts w:hint="eastAsia"/>
                            </w:rPr>
                            <w:t>A</w:t>
                          </w:r>
                        </w:p>
                        <w:p w:rsidR="00A239C4" w:rsidRDefault="00A239C4" w:rsidP="008244DC">
                          <w:pPr>
                            <w:ind w:left="-90"/>
                            <w:rPr>
                              <w:sz w:val="10"/>
                            </w:rPr>
                          </w:pPr>
                        </w:p>
                        <w:p w:rsidR="00A239C4" w:rsidRDefault="00A239C4" w:rsidP="008244DC">
                          <w:pPr>
                            <w:ind w:left="-90"/>
                            <w:rPr>
                              <w:sz w:val="16"/>
                            </w:rPr>
                          </w:pPr>
                        </w:p>
                        <w:p w:rsidR="00A239C4" w:rsidRDefault="00A239C4" w:rsidP="008244DC">
                          <w:pPr>
                            <w:ind w:left="-90"/>
                            <w:rPr>
                              <w:sz w:val="16"/>
                            </w:rPr>
                          </w:pPr>
                        </w:p>
                        <w:p w:rsidR="00A239C4" w:rsidRDefault="00A239C4" w:rsidP="008244DC">
                          <w:pPr>
                            <w:ind w:left="-90"/>
                          </w:pPr>
                          <w:r>
                            <w:rPr>
                              <w:rFonts w:hint="eastAsia"/>
                            </w:rPr>
                            <w:t>B</w:t>
                          </w:r>
                        </w:p>
                        <w:p w:rsidR="00A239C4" w:rsidRDefault="00A239C4" w:rsidP="008244DC">
                          <w:pPr>
                            <w:ind w:left="-90"/>
                            <w:rPr>
                              <w:sz w:val="10"/>
                            </w:rPr>
                          </w:pPr>
                        </w:p>
                        <w:p w:rsidR="00A239C4" w:rsidRDefault="00A239C4" w:rsidP="008244DC">
                          <w:pPr>
                            <w:ind w:left="-90"/>
                            <w:rPr>
                              <w:sz w:val="16"/>
                            </w:rPr>
                          </w:pPr>
                        </w:p>
                        <w:p w:rsidR="00A239C4" w:rsidRDefault="00A239C4" w:rsidP="008244DC">
                          <w:pPr>
                            <w:ind w:left="-90"/>
                            <w:rPr>
                              <w:sz w:val="16"/>
                            </w:rPr>
                          </w:pPr>
                        </w:p>
                        <w:p w:rsidR="00A239C4" w:rsidRDefault="00A239C4" w:rsidP="008244DC">
                          <w:pPr>
                            <w:ind w:left="-90"/>
                            <w:rPr>
                              <w:sz w:val="16"/>
                            </w:rPr>
                          </w:pPr>
                          <w:r>
                            <w:rPr>
                              <w:rFonts w:hint="eastAsia"/>
                            </w:rPr>
                            <w:t>C</w:t>
                          </w:r>
                        </w:p>
                        <w:p w:rsidR="00A239C4" w:rsidRDefault="00A239C4" w:rsidP="008244DC">
                          <w:pPr>
                            <w:ind w:left="-90"/>
                            <w:rPr>
                              <w:sz w:val="10"/>
                            </w:rPr>
                          </w:pPr>
                        </w:p>
                        <w:p w:rsidR="00A239C4" w:rsidRDefault="00A239C4" w:rsidP="008244DC">
                          <w:pPr>
                            <w:ind w:left="-90"/>
                            <w:rPr>
                              <w:sz w:val="16"/>
                            </w:rPr>
                          </w:pPr>
                        </w:p>
                        <w:p w:rsidR="00A239C4" w:rsidRDefault="00A239C4" w:rsidP="008244DC">
                          <w:pPr>
                            <w:ind w:left="-90"/>
                            <w:rPr>
                              <w:sz w:val="16"/>
                            </w:rPr>
                          </w:pPr>
                        </w:p>
                        <w:p w:rsidR="00A239C4" w:rsidRDefault="00A239C4" w:rsidP="008244DC">
                          <w:pPr>
                            <w:ind w:left="-90"/>
                          </w:pPr>
                          <w:r>
                            <w:rPr>
                              <w:rFonts w:hint="eastAsia"/>
                            </w:rPr>
                            <w:t>D</w:t>
                          </w:r>
                        </w:p>
                        <w:p w:rsidR="00A239C4" w:rsidRDefault="00A239C4" w:rsidP="008244DC">
                          <w:pPr>
                            <w:ind w:left="-90"/>
                            <w:rPr>
                              <w:sz w:val="10"/>
                            </w:rPr>
                          </w:pPr>
                        </w:p>
                        <w:p w:rsidR="00A239C4" w:rsidRDefault="00A239C4" w:rsidP="008244DC">
                          <w:pPr>
                            <w:ind w:left="-90"/>
                            <w:rPr>
                              <w:sz w:val="16"/>
                            </w:rPr>
                          </w:pPr>
                        </w:p>
                        <w:p w:rsidR="00A239C4" w:rsidRDefault="00A239C4" w:rsidP="008244DC">
                          <w:pPr>
                            <w:ind w:left="-90"/>
                            <w:rPr>
                              <w:sz w:val="16"/>
                            </w:rPr>
                          </w:pPr>
                        </w:p>
                        <w:p w:rsidR="00A239C4" w:rsidRDefault="00A239C4" w:rsidP="008244DC">
                          <w:pPr>
                            <w:ind w:left="-90"/>
                            <w:rPr>
                              <w:sz w:val="16"/>
                            </w:rPr>
                          </w:pPr>
                          <w:r>
                            <w:rPr>
                              <w:rFonts w:hint="eastAsia"/>
                            </w:rPr>
                            <w:t>E</w:t>
                          </w:r>
                        </w:p>
                        <w:p w:rsidR="00A239C4" w:rsidRDefault="00A239C4" w:rsidP="008244DC">
                          <w:pPr>
                            <w:ind w:left="-90"/>
                            <w:rPr>
                              <w:sz w:val="10"/>
                            </w:rPr>
                          </w:pPr>
                        </w:p>
                        <w:p w:rsidR="00A239C4" w:rsidRDefault="00A239C4" w:rsidP="008244DC">
                          <w:pPr>
                            <w:ind w:left="-90"/>
                            <w:rPr>
                              <w:sz w:val="16"/>
                            </w:rPr>
                          </w:pPr>
                        </w:p>
                        <w:p w:rsidR="00A239C4" w:rsidRDefault="00A239C4" w:rsidP="008244DC">
                          <w:pPr>
                            <w:ind w:left="-90"/>
                            <w:rPr>
                              <w:sz w:val="16"/>
                            </w:rPr>
                          </w:pPr>
                        </w:p>
                        <w:p w:rsidR="00A239C4" w:rsidRDefault="00A239C4" w:rsidP="008244DC">
                          <w:pPr>
                            <w:ind w:left="-90"/>
                          </w:pPr>
                          <w:r>
                            <w:rPr>
                              <w:rFonts w:hint="eastAsia"/>
                            </w:rPr>
                            <w:t>F</w:t>
                          </w:r>
                        </w:p>
                        <w:p w:rsidR="00A239C4" w:rsidRDefault="00A239C4" w:rsidP="008244DC">
                          <w:pPr>
                            <w:ind w:left="-90"/>
                            <w:rPr>
                              <w:sz w:val="10"/>
                            </w:rPr>
                          </w:pPr>
                        </w:p>
                        <w:p w:rsidR="00A239C4" w:rsidRDefault="00A239C4" w:rsidP="008244DC">
                          <w:pPr>
                            <w:ind w:left="-90"/>
                            <w:rPr>
                              <w:sz w:val="16"/>
                            </w:rPr>
                          </w:pPr>
                        </w:p>
                        <w:p w:rsidR="00A239C4" w:rsidRDefault="00A239C4" w:rsidP="008244DC">
                          <w:pPr>
                            <w:ind w:left="-90"/>
                            <w:rPr>
                              <w:sz w:val="16"/>
                            </w:rPr>
                          </w:pPr>
                        </w:p>
                        <w:p w:rsidR="00A239C4" w:rsidRDefault="00A239C4" w:rsidP="008244DC">
                          <w:pPr>
                            <w:ind w:left="-90"/>
                            <w:rPr>
                              <w:sz w:val="16"/>
                            </w:rPr>
                          </w:pPr>
                          <w:r>
                            <w:rPr>
                              <w:rFonts w:hint="eastAsia"/>
                            </w:rPr>
                            <w:t>G</w:t>
                          </w:r>
                        </w:p>
                        <w:p w:rsidR="00A239C4" w:rsidRDefault="00A239C4" w:rsidP="008244DC">
                          <w:pPr>
                            <w:ind w:left="-90"/>
                            <w:rPr>
                              <w:sz w:val="10"/>
                            </w:rPr>
                          </w:pPr>
                        </w:p>
                        <w:p w:rsidR="00A239C4" w:rsidRDefault="00A239C4" w:rsidP="008244DC">
                          <w:pPr>
                            <w:ind w:left="-90"/>
                            <w:rPr>
                              <w:sz w:val="16"/>
                            </w:rPr>
                          </w:pPr>
                        </w:p>
                        <w:p w:rsidR="00A239C4" w:rsidRDefault="00A239C4" w:rsidP="008244DC">
                          <w:pPr>
                            <w:ind w:left="-90"/>
                            <w:rPr>
                              <w:sz w:val="16"/>
                            </w:rPr>
                          </w:pPr>
                        </w:p>
                        <w:p w:rsidR="00A239C4" w:rsidRDefault="00A239C4" w:rsidP="008244DC">
                          <w:pPr>
                            <w:ind w:left="-90"/>
                            <w:rPr>
                              <w:sz w:val="16"/>
                            </w:rPr>
                          </w:pPr>
                          <w:r>
                            <w:rPr>
                              <w:rFonts w:hint="eastAsia"/>
                            </w:rPr>
                            <w:t>H</w:t>
                          </w:r>
                        </w:p>
                        <w:p w:rsidR="00A239C4" w:rsidRDefault="00A239C4" w:rsidP="008244DC">
                          <w:pPr>
                            <w:ind w:left="-90"/>
                            <w:rPr>
                              <w:sz w:val="10"/>
                            </w:rPr>
                          </w:pPr>
                        </w:p>
                        <w:p w:rsidR="00A239C4" w:rsidRDefault="00A239C4" w:rsidP="008244DC">
                          <w:pPr>
                            <w:ind w:left="-90"/>
                            <w:rPr>
                              <w:sz w:val="16"/>
                            </w:rPr>
                          </w:pPr>
                        </w:p>
                        <w:p w:rsidR="00A239C4" w:rsidRDefault="00A239C4" w:rsidP="008244DC">
                          <w:pPr>
                            <w:ind w:left="-90"/>
                            <w:rPr>
                              <w:sz w:val="16"/>
                            </w:rPr>
                          </w:pPr>
                        </w:p>
                        <w:p w:rsidR="00A239C4" w:rsidRDefault="00A239C4" w:rsidP="008244DC">
                          <w:pPr>
                            <w:ind w:left="-90"/>
                            <w:rPr>
                              <w:sz w:val="16"/>
                            </w:rPr>
                          </w:pPr>
                          <w:r>
                            <w:rPr>
                              <w:rFonts w:hint="eastAsia"/>
                            </w:rPr>
                            <w:t>I</w:t>
                          </w:r>
                        </w:p>
                        <w:p w:rsidR="00A239C4" w:rsidRDefault="00A239C4" w:rsidP="008244DC">
                          <w:pPr>
                            <w:ind w:left="-90"/>
                            <w:rPr>
                              <w:sz w:val="10"/>
                            </w:rPr>
                          </w:pPr>
                        </w:p>
                        <w:p w:rsidR="00A239C4" w:rsidRDefault="00A239C4" w:rsidP="008244DC">
                          <w:pPr>
                            <w:ind w:left="-90"/>
                            <w:rPr>
                              <w:sz w:val="16"/>
                            </w:rPr>
                          </w:pPr>
                        </w:p>
                        <w:p w:rsidR="00A239C4" w:rsidRDefault="00A239C4" w:rsidP="008244DC">
                          <w:pPr>
                            <w:ind w:left="-90"/>
                            <w:rPr>
                              <w:sz w:val="16"/>
                            </w:rPr>
                          </w:pPr>
                        </w:p>
                        <w:p w:rsidR="00A239C4" w:rsidRDefault="00A239C4" w:rsidP="008244DC">
                          <w:pPr>
                            <w:ind w:left="-90"/>
                            <w:rPr>
                              <w:sz w:val="16"/>
                            </w:rPr>
                          </w:pPr>
                          <w:r>
                            <w:rPr>
                              <w:rFonts w:hint="eastAsia"/>
                            </w:rPr>
                            <w:t>J</w:t>
                          </w:r>
                        </w:p>
                        <w:p w:rsidR="00A239C4" w:rsidRDefault="00A239C4" w:rsidP="008244DC">
                          <w:pPr>
                            <w:ind w:left="-90"/>
                            <w:rPr>
                              <w:sz w:val="10"/>
                            </w:rPr>
                          </w:pPr>
                        </w:p>
                        <w:p w:rsidR="00A239C4" w:rsidRDefault="00A239C4" w:rsidP="008244DC">
                          <w:pPr>
                            <w:ind w:left="-90"/>
                            <w:rPr>
                              <w:sz w:val="16"/>
                            </w:rPr>
                          </w:pPr>
                        </w:p>
                        <w:p w:rsidR="00A239C4" w:rsidRDefault="00A239C4" w:rsidP="008244DC">
                          <w:pPr>
                            <w:ind w:left="-90"/>
                            <w:rPr>
                              <w:sz w:val="16"/>
                            </w:rPr>
                          </w:pPr>
                        </w:p>
                        <w:p w:rsidR="00A239C4" w:rsidRDefault="00A239C4" w:rsidP="008244DC">
                          <w:pPr>
                            <w:ind w:left="-90"/>
                            <w:rPr>
                              <w:sz w:val="16"/>
                            </w:rPr>
                          </w:pPr>
                          <w:r>
                            <w:rPr>
                              <w:rFonts w:hint="eastAsia"/>
                            </w:rPr>
                            <w:t>K</w:t>
                          </w:r>
                        </w:p>
                        <w:p w:rsidR="00A239C4" w:rsidRDefault="00A239C4" w:rsidP="008244DC">
                          <w:pPr>
                            <w:ind w:left="-90"/>
                            <w:rPr>
                              <w:sz w:val="10"/>
                            </w:rPr>
                          </w:pPr>
                        </w:p>
                        <w:p w:rsidR="00A239C4" w:rsidRDefault="00A239C4" w:rsidP="008244DC">
                          <w:pPr>
                            <w:ind w:left="-90"/>
                            <w:rPr>
                              <w:sz w:val="16"/>
                            </w:rPr>
                          </w:pPr>
                        </w:p>
                        <w:p w:rsidR="00A239C4" w:rsidRDefault="00A239C4" w:rsidP="008244DC">
                          <w:pPr>
                            <w:ind w:left="-90"/>
                            <w:rPr>
                              <w:sz w:val="16"/>
                            </w:rPr>
                          </w:pPr>
                        </w:p>
                        <w:p w:rsidR="00A239C4" w:rsidRDefault="00A239C4" w:rsidP="008244DC">
                          <w:pPr>
                            <w:ind w:left="-90"/>
                            <w:rPr>
                              <w:sz w:val="16"/>
                            </w:rPr>
                          </w:pPr>
                          <w:r>
                            <w:rPr>
                              <w:rFonts w:hint="eastAsia"/>
                            </w:rPr>
                            <w:t>L</w:t>
                          </w:r>
                        </w:p>
                        <w:p w:rsidR="00A239C4" w:rsidRDefault="00A239C4" w:rsidP="008244DC">
                          <w:pPr>
                            <w:ind w:left="-90"/>
                            <w:rPr>
                              <w:sz w:val="10"/>
                            </w:rPr>
                          </w:pPr>
                        </w:p>
                        <w:p w:rsidR="00A239C4" w:rsidRDefault="00A239C4" w:rsidP="008244DC">
                          <w:pPr>
                            <w:ind w:left="-90"/>
                            <w:rPr>
                              <w:sz w:val="16"/>
                            </w:rPr>
                          </w:pPr>
                        </w:p>
                        <w:p w:rsidR="00A239C4" w:rsidRDefault="00A239C4" w:rsidP="008244DC">
                          <w:pPr>
                            <w:ind w:left="-90"/>
                            <w:rPr>
                              <w:sz w:val="16"/>
                            </w:rPr>
                          </w:pPr>
                        </w:p>
                        <w:p w:rsidR="00A239C4" w:rsidRDefault="00A239C4" w:rsidP="008244DC">
                          <w:pPr>
                            <w:ind w:left="-90"/>
                            <w:rPr>
                              <w:sz w:val="16"/>
                            </w:rPr>
                          </w:pPr>
                          <w:r>
                            <w:rPr>
                              <w:rFonts w:hint="eastAsia"/>
                            </w:rPr>
                            <w:t>M</w:t>
                          </w:r>
                        </w:p>
                        <w:p w:rsidR="00A239C4" w:rsidRDefault="00A239C4" w:rsidP="008244DC">
                          <w:pPr>
                            <w:ind w:left="-90"/>
                            <w:rPr>
                              <w:sz w:val="10"/>
                            </w:rPr>
                          </w:pPr>
                        </w:p>
                        <w:p w:rsidR="00A239C4" w:rsidRDefault="00A239C4" w:rsidP="008244DC">
                          <w:pPr>
                            <w:ind w:left="-90"/>
                            <w:rPr>
                              <w:sz w:val="16"/>
                            </w:rPr>
                          </w:pPr>
                        </w:p>
                        <w:p w:rsidR="00A239C4" w:rsidRDefault="00A239C4" w:rsidP="008244DC">
                          <w:pPr>
                            <w:ind w:left="-90"/>
                            <w:rPr>
                              <w:sz w:val="16"/>
                            </w:rPr>
                          </w:pPr>
                        </w:p>
                        <w:p w:rsidR="00A239C4" w:rsidRDefault="00A239C4" w:rsidP="008244DC">
                          <w:pPr>
                            <w:ind w:left="-90"/>
                            <w:rPr>
                              <w:sz w:val="16"/>
                            </w:rPr>
                          </w:pPr>
                          <w:r>
                            <w:rPr>
                              <w:rFonts w:hint="eastAsia"/>
                            </w:rPr>
                            <w:t>N</w:t>
                          </w:r>
                        </w:p>
                        <w:p w:rsidR="00A239C4" w:rsidRDefault="00A239C4" w:rsidP="008244DC">
                          <w:pPr>
                            <w:ind w:left="-90"/>
                            <w:rPr>
                              <w:sz w:val="10"/>
                            </w:rPr>
                          </w:pPr>
                        </w:p>
                        <w:p w:rsidR="00A239C4" w:rsidRDefault="00A239C4" w:rsidP="008244DC">
                          <w:pPr>
                            <w:ind w:left="-90"/>
                            <w:rPr>
                              <w:sz w:val="16"/>
                            </w:rPr>
                          </w:pPr>
                        </w:p>
                        <w:p w:rsidR="00A239C4" w:rsidRDefault="00A239C4" w:rsidP="008244DC">
                          <w:pPr>
                            <w:ind w:left="-90"/>
                            <w:rPr>
                              <w:sz w:val="16"/>
                            </w:rPr>
                          </w:pPr>
                        </w:p>
                        <w:p w:rsidR="00A239C4" w:rsidRDefault="00A239C4" w:rsidP="008244DC">
                          <w:pPr>
                            <w:ind w:left="-90"/>
                            <w:rPr>
                              <w:sz w:val="16"/>
                            </w:rPr>
                          </w:pPr>
                          <w:r>
                            <w:rPr>
                              <w:rFonts w:hint="eastAsia"/>
                            </w:rPr>
                            <w:t>O</w:t>
                          </w:r>
                        </w:p>
                        <w:p w:rsidR="00A239C4" w:rsidRDefault="00A239C4" w:rsidP="008244DC">
                          <w:pPr>
                            <w:ind w:left="-90"/>
                            <w:rPr>
                              <w:sz w:val="10"/>
                            </w:rPr>
                          </w:pPr>
                        </w:p>
                        <w:p w:rsidR="00A239C4" w:rsidRDefault="00A239C4" w:rsidP="008244DC">
                          <w:pPr>
                            <w:ind w:left="-90"/>
                            <w:rPr>
                              <w:sz w:val="16"/>
                            </w:rPr>
                          </w:pPr>
                        </w:p>
                        <w:p w:rsidR="00A239C4" w:rsidRDefault="00A239C4" w:rsidP="008244DC">
                          <w:pPr>
                            <w:ind w:left="-90"/>
                            <w:rPr>
                              <w:sz w:val="16"/>
                            </w:rPr>
                          </w:pPr>
                        </w:p>
                        <w:p w:rsidR="00A239C4" w:rsidRDefault="00A239C4" w:rsidP="008244DC">
                          <w:pPr>
                            <w:ind w:left="-90"/>
                            <w:rPr>
                              <w:sz w:val="16"/>
                            </w:rPr>
                          </w:pPr>
                          <w:r>
                            <w:rPr>
                              <w:rFonts w:hint="eastAsia"/>
                            </w:rPr>
                            <w:t>P</w:t>
                          </w:r>
                        </w:p>
                        <w:p w:rsidR="00A239C4" w:rsidRDefault="00A239C4" w:rsidP="008244DC">
                          <w:pPr>
                            <w:ind w:left="-90"/>
                            <w:rPr>
                              <w:sz w:val="10"/>
                            </w:rPr>
                          </w:pPr>
                        </w:p>
                        <w:p w:rsidR="00A239C4" w:rsidRDefault="00A239C4" w:rsidP="008244DC">
                          <w:pPr>
                            <w:ind w:left="-90"/>
                            <w:rPr>
                              <w:sz w:val="16"/>
                            </w:rPr>
                          </w:pPr>
                        </w:p>
                        <w:p w:rsidR="00A239C4" w:rsidRDefault="00A239C4" w:rsidP="008244DC">
                          <w:pPr>
                            <w:ind w:left="-90"/>
                            <w:rPr>
                              <w:sz w:val="16"/>
                            </w:rPr>
                          </w:pPr>
                        </w:p>
                        <w:p w:rsidR="00A239C4" w:rsidRDefault="00A239C4" w:rsidP="008244DC">
                          <w:pPr>
                            <w:ind w:left="-90"/>
                            <w:rPr>
                              <w:sz w:val="16"/>
                            </w:rPr>
                          </w:pPr>
                          <w:r>
                            <w:rPr>
                              <w:rFonts w:hint="eastAsia"/>
                            </w:rPr>
                            <w:t>Q</w:t>
                          </w:r>
                        </w:p>
                        <w:p w:rsidR="00A239C4" w:rsidRDefault="00A239C4" w:rsidP="008244DC">
                          <w:pPr>
                            <w:ind w:left="-90"/>
                            <w:rPr>
                              <w:sz w:val="10"/>
                            </w:rPr>
                          </w:pPr>
                        </w:p>
                        <w:p w:rsidR="00A239C4" w:rsidRDefault="00A239C4" w:rsidP="008244DC">
                          <w:pPr>
                            <w:ind w:left="-90"/>
                            <w:rPr>
                              <w:sz w:val="16"/>
                            </w:rPr>
                          </w:pPr>
                        </w:p>
                        <w:p w:rsidR="00A239C4" w:rsidRDefault="00A239C4" w:rsidP="008244DC">
                          <w:pPr>
                            <w:ind w:left="-90"/>
                            <w:rPr>
                              <w:sz w:val="16"/>
                            </w:rPr>
                          </w:pPr>
                        </w:p>
                        <w:p w:rsidR="00A239C4" w:rsidRDefault="00A239C4" w:rsidP="008244DC">
                          <w:pPr>
                            <w:ind w:left="-90"/>
                            <w:rPr>
                              <w:sz w:val="16"/>
                            </w:rPr>
                          </w:pPr>
                          <w:r>
                            <w:rPr>
                              <w:rFonts w:hint="eastAsia"/>
                            </w:rPr>
                            <w:t>R</w:t>
                          </w:r>
                        </w:p>
                        <w:p w:rsidR="00A239C4" w:rsidRDefault="00A239C4" w:rsidP="008244DC">
                          <w:pPr>
                            <w:ind w:left="-90"/>
                            <w:rPr>
                              <w:sz w:val="10"/>
                            </w:rPr>
                          </w:pPr>
                        </w:p>
                        <w:p w:rsidR="00A239C4" w:rsidRDefault="00A239C4" w:rsidP="008244DC">
                          <w:pPr>
                            <w:ind w:left="-90"/>
                            <w:rPr>
                              <w:sz w:val="16"/>
                            </w:rPr>
                          </w:pPr>
                        </w:p>
                        <w:p w:rsidR="00A239C4" w:rsidRDefault="00A239C4" w:rsidP="008244DC">
                          <w:pPr>
                            <w:ind w:left="-90"/>
                            <w:rPr>
                              <w:sz w:val="16"/>
                            </w:rPr>
                          </w:pPr>
                        </w:p>
                        <w:p w:rsidR="00A239C4" w:rsidRDefault="00A239C4" w:rsidP="008244DC">
                          <w:pPr>
                            <w:ind w:left="-90"/>
                            <w:rPr>
                              <w:sz w:val="16"/>
                            </w:rPr>
                          </w:pPr>
                          <w:r>
                            <w:rPr>
                              <w:rFonts w:hint="eastAsia"/>
                            </w:rPr>
                            <w:t>S</w:t>
                          </w:r>
                        </w:p>
                        <w:p w:rsidR="00A239C4" w:rsidRDefault="00A239C4" w:rsidP="008244DC">
                          <w:pPr>
                            <w:ind w:left="-90"/>
                            <w:rPr>
                              <w:sz w:val="10"/>
                            </w:rPr>
                          </w:pPr>
                        </w:p>
                        <w:p w:rsidR="00A239C4" w:rsidRDefault="00A239C4" w:rsidP="008244DC">
                          <w:pPr>
                            <w:ind w:left="-90"/>
                            <w:rPr>
                              <w:sz w:val="16"/>
                            </w:rPr>
                          </w:pPr>
                        </w:p>
                        <w:p w:rsidR="00A239C4" w:rsidRDefault="00A239C4" w:rsidP="008244DC">
                          <w:pPr>
                            <w:ind w:left="-90"/>
                            <w:rPr>
                              <w:sz w:val="16"/>
                            </w:rPr>
                          </w:pPr>
                        </w:p>
                        <w:p w:rsidR="00A239C4" w:rsidRDefault="00A239C4" w:rsidP="008244DC">
                          <w:pPr>
                            <w:ind w:left="-90"/>
                            <w:rPr>
                              <w:sz w:val="16"/>
                            </w:rPr>
                          </w:pPr>
                          <w:r>
                            <w:rPr>
                              <w:rFonts w:hint="eastAsia"/>
                            </w:rPr>
                            <w:t>T</w:t>
                          </w:r>
                        </w:p>
                        <w:p w:rsidR="00A239C4" w:rsidRDefault="00A239C4" w:rsidP="008244DC">
                          <w:pPr>
                            <w:ind w:left="-90"/>
                            <w:rPr>
                              <w:sz w:val="10"/>
                            </w:rPr>
                          </w:pPr>
                        </w:p>
                        <w:p w:rsidR="00A239C4" w:rsidRDefault="00A239C4" w:rsidP="008244DC">
                          <w:pPr>
                            <w:ind w:left="-90"/>
                            <w:rPr>
                              <w:sz w:val="16"/>
                            </w:rPr>
                          </w:pPr>
                        </w:p>
                        <w:p w:rsidR="00A239C4" w:rsidRDefault="00A239C4" w:rsidP="008244DC">
                          <w:pPr>
                            <w:ind w:left="-90"/>
                            <w:rPr>
                              <w:sz w:val="16"/>
                            </w:rPr>
                          </w:pPr>
                        </w:p>
                        <w:p w:rsidR="00A239C4" w:rsidRDefault="00A239C4" w:rsidP="008244DC">
                          <w:pPr>
                            <w:ind w:left="-90"/>
                            <w:rPr>
                              <w:sz w:val="16"/>
                            </w:rPr>
                          </w:pPr>
                          <w:r>
                            <w:rPr>
                              <w:rFonts w:hint="eastAsia"/>
                            </w:rPr>
                            <w:t>U</w:t>
                          </w:r>
                        </w:p>
                        <w:p w:rsidR="00A239C4" w:rsidRDefault="00A239C4" w:rsidP="008244DC">
                          <w:pPr>
                            <w:ind w:left="-90"/>
                            <w:rPr>
                              <w:sz w:val="10"/>
                            </w:rPr>
                          </w:pPr>
                        </w:p>
                        <w:p w:rsidR="00A239C4" w:rsidRDefault="00A239C4" w:rsidP="008244DC">
                          <w:pPr>
                            <w:ind w:left="-90"/>
                            <w:rPr>
                              <w:sz w:val="16"/>
                            </w:rPr>
                          </w:pPr>
                        </w:p>
                        <w:p w:rsidR="00A239C4" w:rsidRDefault="00A239C4" w:rsidP="008244DC">
                          <w:pPr>
                            <w:ind w:left="-90"/>
                            <w:rPr>
                              <w:sz w:val="16"/>
                            </w:rPr>
                          </w:pPr>
                        </w:p>
                        <w:p w:rsidR="00A239C4" w:rsidRDefault="00A239C4" w:rsidP="008244DC">
                          <w:pPr>
                            <w:ind w:left="-90"/>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55F62C" id="_x0000_t202" coordsize="21600,21600" o:spt="202" path="m,l,21600r21600,l21600,xe">
              <v:stroke joinstyle="miter"/>
              <v:path gradientshapeok="t" o:connecttype="rect"/>
            </v:shapetype>
            <v:shape id="Text Box 5" o:spid="_x0000_s1027" type="#_x0000_t202" style="position:absolute;margin-left:-7.7pt;margin-top:3.05pt;width:43.5pt;height:795.2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" stroked="f">
              <v:textbox>
                <w:txbxContent>
                  <w:p w:rsidR="002D7AD7" w:rsidRDefault="002D7AD7" w:rsidP="008244DC">
                    <w:pPr>
                      <w:ind w:left="-90"/>
                    </w:pPr>
                    <w:r>
                      <w:rPr>
                        <w:rFonts w:hint="eastAsia"/>
                      </w:rPr>
                      <w:t>A</w:t>
                    </w:r>
                  </w:p>
                  <w:p w:rsidR="002D7AD7" w:rsidRDefault="002D7AD7" w:rsidP="008244DC">
                    <w:pPr>
                      <w:ind w:left="-90"/>
                      <w:rPr>
                        <w:sz w:val="10"/>
                      </w:rPr>
                    </w:pPr>
                  </w:p>
                  <w:p w:rsidR="002D7AD7" w:rsidRDefault="002D7AD7" w:rsidP="008244DC">
                    <w:pPr>
                      <w:ind w:left="-90"/>
                      <w:rPr>
                        <w:sz w:val="16"/>
                      </w:rPr>
                    </w:pPr>
                  </w:p>
                  <w:p w:rsidR="002D7AD7" w:rsidRDefault="002D7AD7" w:rsidP="008244DC">
                    <w:pPr>
                      <w:ind w:left="-90"/>
                      <w:rPr>
                        <w:sz w:val="16"/>
                      </w:rPr>
                    </w:pPr>
                  </w:p>
                  <w:p w:rsidR="002D7AD7" w:rsidRDefault="002D7AD7" w:rsidP="008244DC">
                    <w:pPr>
                      <w:ind w:left="-90"/>
                    </w:pPr>
                    <w:r>
                      <w:rPr>
                        <w:rFonts w:hint="eastAsia"/>
                      </w:rPr>
                      <w:t>B</w:t>
                    </w:r>
                  </w:p>
                  <w:p w:rsidR="002D7AD7" w:rsidRDefault="002D7AD7" w:rsidP="008244DC">
                    <w:pPr>
                      <w:ind w:left="-90"/>
                      <w:rPr>
                        <w:sz w:val="10"/>
                      </w:rPr>
                    </w:pPr>
                  </w:p>
                  <w:p w:rsidR="002D7AD7" w:rsidRDefault="002D7AD7" w:rsidP="008244DC">
                    <w:pPr>
                      <w:ind w:left="-90"/>
                      <w:rPr>
                        <w:sz w:val="16"/>
                      </w:rPr>
                    </w:pPr>
                  </w:p>
                  <w:p w:rsidR="002D7AD7" w:rsidRDefault="002D7AD7" w:rsidP="008244DC">
                    <w:pPr>
                      <w:ind w:left="-90"/>
                      <w:rPr>
                        <w:sz w:val="16"/>
                      </w:rPr>
                    </w:pPr>
                  </w:p>
                  <w:p w:rsidR="002D7AD7" w:rsidRDefault="002D7AD7" w:rsidP="008244DC">
                    <w:pPr>
                      <w:ind w:left="-90"/>
                      <w:rPr>
                        <w:sz w:val="16"/>
                      </w:rPr>
                    </w:pPr>
                    <w:r>
                      <w:rPr>
                        <w:rFonts w:hint="eastAsia"/>
                      </w:rPr>
                      <w:t>C</w:t>
                    </w:r>
                  </w:p>
                  <w:p w:rsidR="002D7AD7" w:rsidRDefault="002D7AD7" w:rsidP="008244DC">
                    <w:pPr>
                      <w:ind w:left="-90"/>
                      <w:rPr>
                        <w:sz w:val="10"/>
                      </w:rPr>
                    </w:pPr>
                  </w:p>
                  <w:p w:rsidR="002D7AD7" w:rsidRDefault="002D7AD7" w:rsidP="008244DC">
                    <w:pPr>
                      <w:ind w:left="-90"/>
                      <w:rPr>
                        <w:sz w:val="16"/>
                      </w:rPr>
                    </w:pPr>
                  </w:p>
                  <w:p w:rsidR="002D7AD7" w:rsidRDefault="002D7AD7" w:rsidP="008244DC">
                    <w:pPr>
                      <w:ind w:left="-90"/>
                      <w:rPr>
                        <w:sz w:val="16"/>
                      </w:rPr>
                    </w:pPr>
                  </w:p>
                  <w:p w:rsidR="002D7AD7" w:rsidRDefault="002D7AD7" w:rsidP="008244DC">
                    <w:pPr>
                      <w:ind w:left="-90"/>
                    </w:pPr>
                    <w:r>
                      <w:rPr>
                        <w:rFonts w:hint="eastAsia"/>
                      </w:rPr>
                      <w:t>D</w:t>
                    </w:r>
                  </w:p>
                  <w:p w:rsidR="002D7AD7" w:rsidRDefault="002D7AD7" w:rsidP="008244DC">
                    <w:pPr>
                      <w:ind w:left="-90"/>
                      <w:rPr>
                        <w:sz w:val="10"/>
                      </w:rPr>
                    </w:pPr>
                  </w:p>
                  <w:p w:rsidR="002D7AD7" w:rsidRDefault="002D7AD7" w:rsidP="008244DC">
                    <w:pPr>
                      <w:ind w:left="-90"/>
                      <w:rPr>
                        <w:sz w:val="16"/>
                      </w:rPr>
                    </w:pPr>
                  </w:p>
                  <w:p w:rsidR="002D7AD7" w:rsidRDefault="002D7AD7" w:rsidP="008244DC">
                    <w:pPr>
                      <w:ind w:left="-90"/>
                      <w:rPr>
                        <w:sz w:val="16"/>
                      </w:rPr>
                    </w:pPr>
                  </w:p>
                  <w:p w:rsidR="002D7AD7" w:rsidRDefault="002D7AD7" w:rsidP="008244DC">
                    <w:pPr>
                      <w:ind w:left="-90"/>
                      <w:rPr>
                        <w:sz w:val="16"/>
                      </w:rPr>
                    </w:pPr>
                    <w:r>
                      <w:rPr>
                        <w:rFonts w:hint="eastAsia"/>
                      </w:rPr>
                      <w:t>E</w:t>
                    </w:r>
                  </w:p>
                  <w:p w:rsidR="002D7AD7" w:rsidRDefault="002D7AD7" w:rsidP="008244DC">
                    <w:pPr>
                      <w:ind w:left="-90"/>
                      <w:rPr>
                        <w:sz w:val="10"/>
                      </w:rPr>
                    </w:pPr>
                  </w:p>
                  <w:p w:rsidR="002D7AD7" w:rsidRDefault="002D7AD7" w:rsidP="008244DC">
                    <w:pPr>
                      <w:ind w:left="-90"/>
                      <w:rPr>
                        <w:sz w:val="16"/>
                      </w:rPr>
                    </w:pPr>
                  </w:p>
                  <w:p w:rsidR="002D7AD7" w:rsidRDefault="002D7AD7" w:rsidP="008244DC">
                    <w:pPr>
                      <w:ind w:left="-90"/>
                      <w:rPr>
                        <w:sz w:val="16"/>
                      </w:rPr>
                    </w:pPr>
                  </w:p>
                  <w:p w:rsidR="002D7AD7" w:rsidRDefault="002D7AD7" w:rsidP="008244DC">
                    <w:pPr>
                      <w:ind w:left="-90"/>
                    </w:pPr>
                    <w:r>
                      <w:rPr>
                        <w:rFonts w:hint="eastAsia"/>
                      </w:rPr>
                      <w:t>F</w:t>
                    </w:r>
                  </w:p>
                  <w:p w:rsidR="002D7AD7" w:rsidRDefault="002D7AD7" w:rsidP="008244DC">
                    <w:pPr>
                      <w:ind w:left="-90"/>
                      <w:rPr>
                        <w:sz w:val="10"/>
                      </w:rPr>
                    </w:pPr>
                  </w:p>
                  <w:p w:rsidR="002D7AD7" w:rsidRDefault="002D7AD7" w:rsidP="008244DC">
                    <w:pPr>
                      <w:ind w:left="-90"/>
                      <w:rPr>
                        <w:sz w:val="16"/>
                      </w:rPr>
                    </w:pPr>
                  </w:p>
                  <w:p w:rsidR="002D7AD7" w:rsidRDefault="002D7AD7" w:rsidP="008244DC">
                    <w:pPr>
                      <w:ind w:left="-90"/>
                      <w:rPr>
                        <w:sz w:val="16"/>
                      </w:rPr>
                    </w:pPr>
                  </w:p>
                  <w:p w:rsidR="002D7AD7" w:rsidRDefault="002D7AD7" w:rsidP="008244DC">
                    <w:pPr>
                      <w:ind w:left="-90"/>
                      <w:rPr>
                        <w:sz w:val="16"/>
                      </w:rPr>
                    </w:pPr>
                    <w:r>
                      <w:rPr>
                        <w:rFonts w:hint="eastAsia"/>
                      </w:rPr>
                      <w:t>G</w:t>
                    </w:r>
                  </w:p>
                  <w:p w:rsidR="002D7AD7" w:rsidRDefault="002D7AD7" w:rsidP="008244DC">
                    <w:pPr>
                      <w:ind w:left="-90"/>
                      <w:rPr>
                        <w:sz w:val="10"/>
                      </w:rPr>
                    </w:pPr>
                  </w:p>
                  <w:p w:rsidR="002D7AD7" w:rsidRDefault="002D7AD7" w:rsidP="008244DC">
                    <w:pPr>
                      <w:ind w:left="-90"/>
                      <w:rPr>
                        <w:sz w:val="16"/>
                      </w:rPr>
                    </w:pPr>
                  </w:p>
                  <w:p w:rsidR="002D7AD7" w:rsidRDefault="002D7AD7" w:rsidP="008244DC">
                    <w:pPr>
                      <w:ind w:left="-90"/>
                      <w:rPr>
                        <w:sz w:val="16"/>
                      </w:rPr>
                    </w:pPr>
                  </w:p>
                  <w:p w:rsidR="002D7AD7" w:rsidRDefault="002D7AD7" w:rsidP="008244DC">
                    <w:pPr>
                      <w:ind w:left="-90"/>
                      <w:rPr>
                        <w:sz w:val="16"/>
                      </w:rPr>
                    </w:pPr>
                    <w:r>
                      <w:rPr>
                        <w:rFonts w:hint="eastAsia"/>
                      </w:rPr>
                      <w:t>H</w:t>
                    </w:r>
                  </w:p>
                  <w:p w:rsidR="002D7AD7" w:rsidRDefault="002D7AD7" w:rsidP="008244DC">
                    <w:pPr>
                      <w:ind w:left="-90"/>
                      <w:rPr>
                        <w:sz w:val="10"/>
                      </w:rPr>
                    </w:pPr>
                  </w:p>
                  <w:p w:rsidR="002D7AD7" w:rsidRDefault="002D7AD7" w:rsidP="008244DC">
                    <w:pPr>
                      <w:ind w:left="-90"/>
                      <w:rPr>
                        <w:sz w:val="16"/>
                      </w:rPr>
                    </w:pPr>
                  </w:p>
                  <w:p w:rsidR="002D7AD7" w:rsidRDefault="002D7AD7" w:rsidP="008244DC">
                    <w:pPr>
                      <w:ind w:left="-90"/>
                      <w:rPr>
                        <w:sz w:val="16"/>
                      </w:rPr>
                    </w:pPr>
                  </w:p>
                  <w:p w:rsidR="002D7AD7" w:rsidRDefault="002D7AD7" w:rsidP="008244DC">
                    <w:pPr>
                      <w:ind w:left="-90"/>
                      <w:rPr>
                        <w:sz w:val="16"/>
                      </w:rPr>
                    </w:pPr>
                    <w:r>
                      <w:rPr>
                        <w:rFonts w:hint="eastAsia"/>
                      </w:rPr>
                      <w:t>I</w:t>
                    </w:r>
                  </w:p>
                  <w:p w:rsidR="002D7AD7" w:rsidRDefault="002D7AD7" w:rsidP="008244DC">
                    <w:pPr>
                      <w:ind w:left="-90"/>
                      <w:rPr>
                        <w:sz w:val="10"/>
                      </w:rPr>
                    </w:pPr>
                  </w:p>
                  <w:p w:rsidR="002D7AD7" w:rsidRDefault="002D7AD7" w:rsidP="008244DC">
                    <w:pPr>
                      <w:ind w:left="-90"/>
                      <w:rPr>
                        <w:sz w:val="16"/>
                      </w:rPr>
                    </w:pPr>
                  </w:p>
                  <w:p w:rsidR="002D7AD7" w:rsidRDefault="002D7AD7" w:rsidP="008244DC">
                    <w:pPr>
                      <w:ind w:left="-90"/>
                      <w:rPr>
                        <w:sz w:val="16"/>
                      </w:rPr>
                    </w:pPr>
                  </w:p>
                  <w:p w:rsidR="002D7AD7" w:rsidRDefault="002D7AD7" w:rsidP="008244DC">
                    <w:pPr>
                      <w:ind w:left="-90"/>
                      <w:rPr>
                        <w:sz w:val="16"/>
                      </w:rPr>
                    </w:pPr>
                    <w:r>
                      <w:rPr>
                        <w:rFonts w:hint="eastAsia"/>
                      </w:rPr>
                      <w:t>J</w:t>
                    </w:r>
                  </w:p>
                  <w:p w:rsidR="002D7AD7" w:rsidRDefault="002D7AD7" w:rsidP="008244DC">
                    <w:pPr>
                      <w:ind w:left="-90"/>
                      <w:rPr>
                        <w:sz w:val="10"/>
                      </w:rPr>
                    </w:pPr>
                  </w:p>
                  <w:p w:rsidR="002D7AD7" w:rsidRDefault="002D7AD7" w:rsidP="008244DC">
                    <w:pPr>
                      <w:ind w:left="-90"/>
                      <w:rPr>
                        <w:sz w:val="16"/>
                      </w:rPr>
                    </w:pPr>
                  </w:p>
                  <w:p w:rsidR="002D7AD7" w:rsidRDefault="002D7AD7" w:rsidP="008244DC">
                    <w:pPr>
                      <w:ind w:left="-90"/>
                      <w:rPr>
                        <w:sz w:val="16"/>
                      </w:rPr>
                    </w:pPr>
                  </w:p>
                  <w:p w:rsidR="002D7AD7" w:rsidRDefault="002D7AD7" w:rsidP="008244DC">
                    <w:pPr>
                      <w:ind w:left="-90"/>
                      <w:rPr>
                        <w:sz w:val="16"/>
                      </w:rPr>
                    </w:pPr>
                    <w:r>
                      <w:rPr>
                        <w:rFonts w:hint="eastAsia"/>
                      </w:rPr>
                      <w:t>K</w:t>
                    </w:r>
                  </w:p>
                  <w:p w:rsidR="002D7AD7" w:rsidRDefault="002D7AD7" w:rsidP="008244DC">
                    <w:pPr>
                      <w:ind w:left="-90"/>
                      <w:rPr>
                        <w:sz w:val="10"/>
                      </w:rPr>
                    </w:pPr>
                  </w:p>
                  <w:p w:rsidR="002D7AD7" w:rsidRDefault="002D7AD7" w:rsidP="008244DC">
                    <w:pPr>
                      <w:ind w:left="-90"/>
                      <w:rPr>
                        <w:sz w:val="16"/>
                      </w:rPr>
                    </w:pPr>
                  </w:p>
                  <w:p w:rsidR="002D7AD7" w:rsidRDefault="002D7AD7" w:rsidP="008244DC">
                    <w:pPr>
                      <w:ind w:left="-90"/>
                      <w:rPr>
                        <w:sz w:val="16"/>
                      </w:rPr>
                    </w:pPr>
                  </w:p>
                  <w:p w:rsidR="002D7AD7" w:rsidRDefault="002D7AD7" w:rsidP="008244DC">
                    <w:pPr>
                      <w:ind w:left="-90"/>
                      <w:rPr>
                        <w:sz w:val="16"/>
                      </w:rPr>
                    </w:pPr>
                    <w:r>
                      <w:rPr>
                        <w:rFonts w:hint="eastAsia"/>
                      </w:rPr>
                      <w:t>L</w:t>
                    </w:r>
                  </w:p>
                  <w:p w:rsidR="002D7AD7" w:rsidRDefault="002D7AD7" w:rsidP="008244DC">
                    <w:pPr>
                      <w:ind w:left="-90"/>
                      <w:rPr>
                        <w:sz w:val="10"/>
                      </w:rPr>
                    </w:pPr>
                  </w:p>
                  <w:p w:rsidR="002D7AD7" w:rsidRDefault="002D7AD7" w:rsidP="008244DC">
                    <w:pPr>
                      <w:ind w:left="-90"/>
                      <w:rPr>
                        <w:sz w:val="16"/>
                      </w:rPr>
                    </w:pPr>
                  </w:p>
                  <w:p w:rsidR="002D7AD7" w:rsidRDefault="002D7AD7" w:rsidP="008244DC">
                    <w:pPr>
                      <w:ind w:left="-90"/>
                      <w:rPr>
                        <w:sz w:val="16"/>
                      </w:rPr>
                    </w:pPr>
                  </w:p>
                  <w:p w:rsidR="002D7AD7" w:rsidRDefault="002D7AD7" w:rsidP="008244DC">
                    <w:pPr>
                      <w:ind w:left="-90"/>
                      <w:rPr>
                        <w:sz w:val="16"/>
                      </w:rPr>
                    </w:pPr>
                    <w:r>
                      <w:rPr>
                        <w:rFonts w:hint="eastAsia"/>
                      </w:rPr>
                      <w:t>M</w:t>
                    </w:r>
                  </w:p>
                  <w:p w:rsidR="002D7AD7" w:rsidRDefault="002D7AD7" w:rsidP="008244DC">
                    <w:pPr>
                      <w:ind w:left="-90"/>
                      <w:rPr>
                        <w:sz w:val="10"/>
                      </w:rPr>
                    </w:pPr>
                  </w:p>
                  <w:p w:rsidR="002D7AD7" w:rsidRDefault="002D7AD7" w:rsidP="008244DC">
                    <w:pPr>
                      <w:ind w:left="-90"/>
                      <w:rPr>
                        <w:sz w:val="16"/>
                      </w:rPr>
                    </w:pPr>
                  </w:p>
                  <w:p w:rsidR="002D7AD7" w:rsidRDefault="002D7AD7" w:rsidP="008244DC">
                    <w:pPr>
                      <w:ind w:left="-90"/>
                      <w:rPr>
                        <w:sz w:val="16"/>
                      </w:rPr>
                    </w:pPr>
                  </w:p>
                  <w:p w:rsidR="002D7AD7" w:rsidRDefault="002D7AD7" w:rsidP="008244DC">
                    <w:pPr>
                      <w:ind w:left="-90"/>
                      <w:rPr>
                        <w:sz w:val="16"/>
                      </w:rPr>
                    </w:pPr>
                    <w:r>
                      <w:rPr>
                        <w:rFonts w:hint="eastAsia"/>
                      </w:rPr>
                      <w:t>N</w:t>
                    </w:r>
                  </w:p>
                  <w:p w:rsidR="002D7AD7" w:rsidRDefault="002D7AD7" w:rsidP="008244DC">
                    <w:pPr>
                      <w:ind w:left="-90"/>
                      <w:rPr>
                        <w:sz w:val="10"/>
                      </w:rPr>
                    </w:pPr>
                  </w:p>
                  <w:p w:rsidR="002D7AD7" w:rsidRDefault="002D7AD7" w:rsidP="008244DC">
                    <w:pPr>
                      <w:ind w:left="-90"/>
                      <w:rPr>
                        <w:sz w:val="16"/>
                      </w:rPr>
                    </w:pPr>
                  </w:p>
                  <w:p w:rsidR="002D7AD7" w:rsidRDefault="002D7AD7" w:rsidP="008244DC">
                    <w:pPr>
                      <w:ind w:left="-90"/>
                      <w:rPr>
                        <w:sz w:val="16"/>
                      </w:rPr>
                    </w:pPr>
                  </w:p>
                  <w:p w:rsidR="002D7AD7" w:rsidRDefault="002D7AD7" w:rsidP="008244DC">
                    <w:pPr>
                      <w:ind w:left="-90"/>
                      <w:rPr>
                        <w:sz w:val="16"/>
                      </w:rPr>
                    </w:pPr>
                    <w:r>
                      <w:rPr>
                        <w:rFonts w:hint="eastAsia"/>
                      </w:rPr>
                      <w:t>O</w:t>
                    </w:r>
                  </w:p>
                  <w:p w:rsidR="002D7AD7" w:rsidRDefault="002D7AD7" w:rsidP="008244DC">
                    <w:pPr>
                      <w:ind w:left="-90"/>
                      <w:rPr>
                        <w:sz w:val="10"/>
                      </w:rPr>
                    </w:pPr>
                  </w:p>
                  <w:p w:rsidR="002D7AD7" w:rsidRDefault="002D7AD7" w:rsidP="008244DC">
                    <w:pPr>
                      <w:ind w:left="-90"/>
                      <w:rPr>
                        <w:sz w:val="16"/>
                      </w:rPr>
                    </w:pPr>
                  </w:p>
                  <w:p w:rsidR="002D7AD7" w:rsidRDefault="002D7AD7" w:rsidP="008244DC">
                    <w:pPr>
                      <w:ind w:left="-90"/>
                      <w:rPr>
                        <w:sz w:val="16"/>
                      </w:rPr>
                    </w:pPr>
                  </w:p>
                  <w:p w:rsidR="002D7AD7" w:rsidRDefault="002D7AD7" w:rsidP="008244DC">
                    <w:pPr>
                      <w:ind w:left="-90"/>
                      <w:rPr>
                        <w:sz w:val="16"/>
                      </w:rPr>
                    </w:pPr>
                    <w:r>
                      <w:rPr>
                        <w:rFonts w:hint="eastAsia"/>
                      </w:rPr>
                      <w:t>P</w:t>
                    </w:r>
                  </w:p>
                  <w:p w:rsidR="002D7AD7" w:rsidRDefault="002D7AD7" w:rsidP="008244DC">
                    <w:pPr>
                      <w:ind w:left="-90"/>
                      <w:rPr>
                        <w:sz w:val="10"/>
                      </w:rPr>
                    </w:pPr>
                  </w:p>
                  <w:p w:rsidR="002D7AD7" w:rsidRDefault="002D7AD7" w:rsidP="008244DC">
                    <w:pPr>
                      <w:ind w:left="-90"/>
                      <w:rPr>
                        <w:sz w:val="16"/>
                      </w:rPr>
                    </w:pPr>
                  </w:p>
                  <w:p w:rsidR="002D7AD7" w:rsidRDefault="002D7AD7" w:rsidP="008244DC">
                    <w:pPr>
                      <w:ind w:left="-90"/>
                      <w:rPr>
                        <w:sz w:val="16"/>
                      </w:rPr>
                    </w:pPr>
                  </w:p>
                  <w:p w:rsidR="002D7AD7" w:rsidRDefault="002D7AD7" w:rsidP="008244DC">
                    <w:pPr>
                      <w:ind w:left="-90"/>
                      <w:rPr>
                        <w:sz w:val="16"/>
                      </w:rPr>
                    </w:pPr>
                    <w:r>
                      <w:rPr>
                        <w:rFonts w:hint="eastAsia"/>
                      </w:rPr>
                      <w:t>Q</w:t>
                    </w:r>
                  </w:p>
                  <w:p w:rsidR="002D7AD7" w:rsidRDefault="002D7AD7" w:rsidP="008244DC">
                    <w:pPr>
                      <w:ind w:left="-90"/>
                      <w:rPr>
                        <w:sz w:val="10"/>
                      </w:rPr>
                    </w:pPr>
                  </w:p>
                  <w:p w:rsidR="002D7AD7" w:rsidRDefault="002D7AD7" w:rsidP="008244DC">
                    <w:pPr>
                      <w:ind w:left="-90"/>
                      <w:rPr>
                        <w:sz w:val="16"/>
                      </w:rPr>
                    </w:pPr>
                  </w:p>
                  <w:p w:rsidR="002D7AD7" w:rsidRDefault="002D7AD7" w:rsidP="008244DC">
                    <w:pPr>
                      <w:ind w:left="-90"/>
                      <w:rPr>
                        <w:sz w:val="16"/>
                      </w:rPr>
                    </w:pPr>
                  </w:p>
                  <w:p w:rsidR="002D7AD7" w:rsidRDefault="002D7AD7" w:rsidP="008244DC">
                    <w:pPr>
                      <w:ind w:left="-90"/>
                      <w:rPr>
                        <w:sz w:val="16"/>
                      </w:rPr>
                    </w:pPr>
                    <w:r>
                      <w:rPr>
                        <w:rFonts w:hint="eastAsia"/>
                      </w:rPr>
                      <w:t>R</w:t>
                    </w:r>
                  </w:p>
                  <w:p w:rsidR="002D7AD7" w:rsidRDefault="002D7AD7" w:rsidP="008244DC">
                    <w:pPr>
                      <w:ind w:left="-90"/>
                      <w:rPr>
                        <w:sz w:val="10"/>
                      </w:rPr>
                    </w:pPr>
                  </w:p>
                  <w:p w:rsidR="002D7AD7" w:rsidRDefault="002D7AD7" w:rsidP="008244DC">
                    <w:pPr>
                      <w:ind w:left="-90"/>
                      <w:rPr>
                        <w:sz w:val="16"/>
                      </w:rPr>
                    </w:pPr>
                  </w:p>
                  <w:p w:rsidR="002D7AD7" w:rsidRDefault="002D7AD7" w:rsidP="008244DC">
                    <w:pPr>
                      <w:ind w:left="-90"/>
                      <w:rPr>
                        <w:sz w:val="16"/>
                      </w:rPr>
                    </w:pPr>
                  </w:p>
                  <w:p w:rsidR="002D7AD7" w:rsidRDefault="002D7AD7" w:rsidP="008244DC">
                    <w:pPr>
                      <w:ind w:left="-90"/>
                      <w:rPr>
                        <w:sz w:val="16"/>
                      </w:rPr>
                    </w:pPr>
                    <w:r>
                      <w:rPr>
                        <w:rFonts w:hint="eastAsia"/>
                      </w:rPr>
                      <w:t>S</w:t>
                    </w:r>
                  </w:p>
                  <w:p w:rsidR="002D7AD7" w:rsidRDefault="002D7AD7" w:rsidP="008244DC">
                    <w:pPr>
                      <w:ind w:left="-90"/>
                      <w:rPr>
                        <w:sz w:val="10"/>
                      </w:rPr>
                    </w:pPr>
                  </w:p>
                  <w:p w:rsidR="002D7AD7" w:rsidRDefault="002D7AD7" w:rsidP="008244DC">
                    <w:pPr>
                      <w:ind w:left="-90"/>
                      <w:rPr>
                        <w:sz w:val="16"/>
                      </w:rPr>
                    </w:pPr>
                  </w:p>
                  <w:p w:rsidR="002D7AD7" w:rsidRDefault="002D7AD7" w:rsidP="008244DC">
                    <w:pPr>
                      <w:ind w:left="-90"/>
                      <w:rPr>
                        <w:sz w:val="16"/>
                      </w:rPr>
                    </w:pPr>
                  </w:p>
                  <w:p w:rsidR="002D7AD7" w:rsidRDefault="002D7AD7" w:rsidP="008244DC">
                    <w:pPr>
                      <w:ind w:left="-90"/>
                      <w:rPr>
                        <w:sz w:val="16"/>
                      </w:rPr>
                    </w:pPr>
                    <w:r>
                      <w:rPr>
                        <w:rFonts w:hint="eastAsia"/>
                      </w:rPr>
                      <w:t>T</w:t>
                    </w:r>
                  </w:p>
                  <w:p w:rsidR="002D7AD7" w:rsidRDefault="002D7AD7" w:rsidP="008244DC">
                    <w:pPr>
                      <w:ind w:left="-90"/>
                      <w:rPr>
                        <w:sz w:val="10"/>
                      </w:rPr>
                    </w:pPr>
                  </w:p>
                  <w:p w:rsidR="002D7AD7" w:rsidRDefault="002D7AD7" w:rsidP="008244DC">
                    <w:pPr>
                      <w:ind w:left="-90"/>
                      <w:rPr>
                        <w:sz w:val="16"/>
                      </w:rPr>
                    </w:pPr>
                  </w:p>
                  <w:p w:rsidR="002D7AD7" w:rsidRDefault="002D7AD7" w:rsidP="008244DC">
                    <w:pPr>
                      <w:ind w:left="-90"/>
                      <w:rPr>
                        <w:sz w:val="16"/>
                      </w:rPr>
                    </w:pPr>
                  </w:p>
                  <w:p w:rsidR="002D7AD7" w:rsidRDefault="002D7AD7" w:rsidP="008244DC">
                    <w:pPr>
                      <w:ind w:left="-90"/>
                      <w:rPr>
                        <w:sz w:val="16"/>
                      </w:rPr>
                    </w:pPr>
                    <w:r>
                      <w:rPr>
                        <w:rFonts w:hint="eastAsia"/>
                      </w:rPr>
                      <w:t>U</w:t>
                    </w:r>
                  </w:p>
                  <w:p w:rsidR="002D7AD7" w:rsidRDefault="002D7AD7" w:rsidP="008244DC">
                    <w:pPr>
                      <w:ind w:left="-90"/>
                      <w:rPr>
                        <w:sz w:val="10"/>
                      </w:rPr>
                    </w:pPr>
                  </w:p>
                  <w:p w:rsidR="002D7AD7" w:rsidRDefault="002D7AD7" w:rsidP="008244DC">
                    <w:pPr>
                      <w:ind w:left="-90"/>
                      <w:rPr>
                        <w:sz w:val="16"/>
                      </w:rPr>
                    </w:pPr>
                  </w:p>
                  <w:p w:rsidR="002D7AD7" w:rsidRDefault="002D7AD7" w:rsidP="008244DC">
                    <w:pPr>
                      <w:ind w:left="-90"/>
                      <w:rPr>
                        <w:sz w:val="16"/>
                      </w:rPr>
                    </w:pPr>
                  </w:p>
                  <w:p w:rsidR="002D7AD7" w:rsidRDefault="002D7AD7" w:rsidP="008244DC">
                    <w:pPr>
                      <w:ind w:left="-90"/>
                    </w:pPr>
                    <w:r>
                      <w:rPr>
                        <w:rFonts w:hint="eastAsia"/>
                      </w:rPr>
                      <w:t>V</w:t>
                    </w:r>
                  </w:p>
                </w:txbxContent>
              </v:textbox>
              <w10:wrap anchorx="page"/>
            </v:shape>
          </w:pict>
        </mc:Fallback>
      </mc:AlternateContent>
    </w:r>
    <w:r>
      <w:rPr>
        <w:rStyle w:val="PageNumber"/>
        <w:b w:val="0"/>
        <w:bCs w:val="0"/>
        <w:sz w:val="28"/>
      </w:rPr>
      <w:tab/>
    </w:r>
    <w:r>
      <w:rPr>
        <w:noProof/>
        <w:lang w:val="en-US"/>
      </w:rPr>
      <mc:AlternateContent>
        <mc:Choice Requires="wps">
          <w:drawing>
            <wp:anchor distT="0" distB="0" distL="114300" distR="114300" simplePos="0" relativeHeight="251656192" behindDoc="0" locked="0" layoutInCell="1" allowOverlap="1" wp14:anchorId="2C11F0DE" wp14:editId="47523383">
              <wp:simplePos x="0" y="0"/>
              <wp:positionH relativeFrom="column">
                <wp:posOffset>-903946</wp:posOffset>
              </wp:positionH>
              <wp:positionV relativeFrom="paragraph">
                <wp:posOffset>45720</wp:posOffset>
              </wp:positionV>
              <wp:extent cx="356755" cy="9982835"/>
              <wp:effectExtent l="0" t="0" r="5715"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755" cy="9982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39C4" w:rsidRDefault="00A239C4">
                          <w:r>
                            <w:rPr>
                              <w:rFonts w:hint="eastAsia"/>
                            </w:rPr>
                            <w:t>A</w:t>
                          </w:r>
                        </w:p>
                        <w:p w:rsidR="00A239C4" w:rsidRDefault="00A239C4">
                          <w:pPr>
                            <w:rPr>
                              <w:sz w:val="10"/>
                            </w:rPr>
                          </w:pPr>
                        </w:p>
                        <w:p w:rsidR="00A239C4" w:rsidRDefault="00A239C4">
                          <w:pPr>
                            <w:rPr>
                              <w:sz w:val="16"/>
                            </w:rPr>
                          </w:pPr>
                        </w:p>
                        <w:p w:rsidR="00A239C4" w:rsidRDefault="00A239C4">
                          <w:pPr>
                            <w:rPr>
                              <w:sz w:val="16"/>
                            </w:rPr>
                          </w:pPr>
                        </w:p>
                        <w:p w:rsidR="00A239C4" w:rsidRDefault="00A239C4">
                          <w:r>
                            <w:rPr>
                              <w:rFonts w:hint="eastAsia"/>
                            </w:rPr>
                            <w:t>B</w:t>
                          </w:r>
                        </w:p>
                        <w:p w:rsidR="00A239C4" w:rsidRDefault="00A239C4">
                          <w:pPr>
                            <w:rPr>
                              <w:sz w:val="10"/>
                            </w:rPr>
                          </w:pPr>
                        </w:p>
                        <w:p w:rsidR="00A239C4" w:rsidRDefault="00A239C4">
                          <w:pPr>
                            <w:rPr>
                              <w:sz w:val="16"/>
                            </w:rPr>
                          </w:pPr>
                        </w:p>
                        <w:p w:rsidR="00A239C4" w:rsidRDefault="00A239C4">
                          <w:pPr>
                            <w:rPr>
                              <w:sz w:val="16"/>
                            </w:rPr>
                          </w:pPr>
                        </w:p>
                        <w:p w:rsidR="00A239C4" w:rsidRDefault="00A239C4">
                          <w:pPr>
                            <w:rPr>
                              <w:sz w:val="16"/>
                            </w:rPr>
                          </w:pPr>
                          <w:r>
                            <w:rPr>
                              <w:rFonts w:hint="eastAsia"/>
                            </w:rPr>
                            <w:t>C</w:t>
                          </w:r>
                        </w:p>
                        <w:p w:rsidR="00A239C4" w:rsidRDefault="00A239C4">
                          <w:pPr>
                            <w:rPr>
                              <w:sz w:val="10"/>
                            </w:rPr>
                          </w:pPr>
                        </w:p>
                        <w:p w:rsidR="00A239C4" w:rsidRDefault="00A239C4">
                          <w:pPr>
                            <w:rPr>
                              <w:sz w:val="16"/>
                            </w:rPr>
                          </w:pPr>
                        </w:p>
                        <w:p w:rsidR="00A239C4" w:rsidRDefault="00A239C4">
                          <w:pPr>
                            <w:rPr>
                              <w:sz w:val="16"/>
                            </w:rPr>
                          </w:pPr>
                        </w:p>
                        <w:p w:rsidR="00A239C4" w:rsidRDefault="00A239C4">
                          <w:r>
                            <w:rPr>
                              <w:rFonts w:hint="eastAsia"/>
                            </w:rPr>
                            <w:t>D</w:t>
                          </w:r>
                        </w:p>
                        <w:p w:rsidR="00A239C4" w:rsidRDefault="00A239C4">
                          <w:pPr>
                            <w:rPr>
                              <w:sz w:val="10"/>
                            </w:rPr>
                          </w:pPr>
                        </w:p>
                        <w:p w:rsidR="00A239C4" w:rsidRDefault="00A239C4">
                          <w:pPr>
                            <w:rPr>
                              <w:sz w:val="16"/>
                            </w:rPr>
                          </w:pPr>
                        </w:p>
                        <w:p w:rsidR="00A239C4" w:rsidRDefault="00A239C4">
                          <w:pPr>
                            <w:rPr>
                              <w:sz w:val="16"/>
                            </w:rPr>
                          </w:pPr>
                        </w:p>
                        <w:p w:rsidR="00A239C4" w:rsidRDefault="00A239C4">
                          <w:pPr>
                            <w:rPr>
                              <w:sz w:val="16"/>
                            </w:rPr>
                          </w:pPr>
                          <w:r>
                            <w:rPr>
                              <w:rFonts w:hint="eastAsia"/>
                            </w:rPr>
                            <w:t>E</w:t>
                          </w:r>
                        </w:p>
                        <w:p w:rsidR="00A239C4" w:rsidRDefault="00A239C4">
                          <w:pPr>
                            <w:rPr>
                              <w:sz w:val="10"/>
                            </w:rPr>
                          </w:pPr>
                        </w:p>
                        <w:p w:rsidR="00A239C4" w:rsidRDefault="00A239C4">
                          <w:pPr>
                            <w:rPr>
                              <w:sz w:val="16"/>
                            </w:rPr>
                          </w:pPr>
                        </w:p>
                        <w:p w:rsidR="00A239C4" w:rsidRDefault="00A239C4">
                          <w:pPr>
                            <w:rPr>
                              <w:sz w:val="16"/>
                            </w:rPr>
                          </w:pPr>
                        </w:p>
                        <w:p w:rsidR="00A239C4" w:rsidRDefault="00A239C4">
                          <w:r>
                            <w:rPr>
                              <w:rFonts w:hint="eastAsia"/>
                            </w:rPr>
                            <w:t>F</w:t>
                          </w:r>
                        </w:p>
                        <w:p w:rsidR="00A239C4" w:rsidRDefault="00A239C4">
                          <w:pPr>
                            <w:rPr>
                              <w:sz w:val="10"/>
                            </w:rPr>
                          </w:pPr>
                        </w:p>
                        <w:p w:rsidR="00A239C4" w:rsidRDefault="00A239C4">
                          <w:pPr>
                            <w:rPr>
                              <w:sz w:val="16"/>
                            </w:rPr>
                          </w:pPr>
                        </w:p>
                        <w:p w:rsidR="00A239C4" w:rsidRDefault="00A239C4">
                          <w:pPr>
                            <w:rPr>
                              <w:sz w:val="16"/>
                            </w:rPr>
                          </w:pPr>
                        </w:p>
                        <w:p w:rsidR="00A239C4" w:rsidRDefault="00A239C4">
                          <w:pPr>
                            <w:rPr>
                              <w:sz w:val="16"/>
                            </w:rPr>
                          </w:pPr>
                          <w:r>
                            <w:rPr>
                              <w:rFonts w:hint="eastAsia"/>
                            </w:rPr>
                            <w:t>G</w:t>
                          </w:r>
                        </w:p>
                        <w:p w:rsidR="00A239C4" w:rsidRDefault="00A239C4">
                          <w:pPr>
                            <w:rPr>
                              <w:sz w:val="10"/>
                            </w:rPr>
                          </w:pPr>
                        </w:p>
                        <w:p w:rsidR="00A239C4" w:rsidRDefault="00A239C4">
                          <w:pPr>
                            <w:rPr>
                              <w:sz w:val="16"/>
                            </w:rPr>
                          </w:pPr>
                        </w:p>
                        <w:p w:rsidR="00A239C4" w:rsidRDefault="00A239C4">
                          <w:pPr>
                            <w:rPr>
                              <w:sz w:val="16"/>
                            </w:rPr>
                          </w:pPr>
                        </w:p>
                        <w:p w:rsidR="00A239C4" w:rsidRDefault="00A239C4">
                          <w:pPr>
                            <w:rPr>
                              <w:sz w:val="16"/>
                            </w:rPr>
                          </w:pPr>
                          <w:r>
                            <w:rPr>
                              <w:rFonts w:hint="eastAsia"/>
                            </w:rPr>
                            <w:t>H</w:t>
                          </w:r>
                        </w:p>
                        <w:p w:rsidR="00A239C4" w:rsidRDefault="00A239C4">
                          <w:pPr>
                            <w:rPr>
                              <w:sz w:val="10"/>
                            </w:rPr>
                          </w:pPr>
                        </w:p>
                        <w:p w:rsidR="00A239C4" w:rsidRDefault="00A239C4">
                          <w:pPr>
                            <w:rPr>
                              <w:sz w:val="16"/>
                            </w:rPr>
                          </w:pPr>
                        </w:p>
                        <w:p w:rsidR="00A239C4" w:rsidRDefault="00A239C4">
                          <w:pPr>
                            <w:rPr>
                              <w:sz w:val="16"/>
                            </w:rPr>
                          </w:pPr>
                        </w:p>
                        <w:p w:rsidR="00A239C4" w:rsidRDefault="00A239C4">
                          <w:pPr>
                            <w:rPr>
                              <w:sz w:val="16"/>
                            </w:rPr>
                          </w:pPr>
                          <w:r>
                            <w:rPr>
                              <w:rFonts w:hint="eastAsia"/>
                            </w:rPr>
                            <w:t>I</w:t>
                          </w:r>
                        </w:p>
                        <w:p w:rsidR="00A239C4" w:rsidRDefault="00A239C4">
                          <w:pPr>
                            <w:rPr>
                              <w:sz w:val="10"/>
                            </w:rPr>
                          </w:pPr>
                        </w:p>
                        <w:p w:rsidR="00A239C4" w:rsidRDefault="00A239C4">
                          <w:pPr>
                            <w:rPr>
                              <w:sz w:val="16"/>
                            </w:rPr>
                          </w:pPr>
                        </w:p>
                        <w:p w:rsidR="00A239C4" w:rsidRDefault="00A239C4">
                          <w:pPr>
                            <w:rPr>
                              <w:sz w:val="16"/>
                            </w:rPr>
                          </w:pPr>
                        </w:p>
                        <w:p w:rsidR="00A239C4" w:rsidRDefault="00A239C4">
                          <w:pPr>
                            <w:rPr>
                              <w:sz w:val="16"/>
                            </w:rPr>
                          </w:pPr>
                          <w:r>
                            <w:rPr>
                              <w:rFonts w:hint="eastAsia"/>
                            </w:rPr>
                            <w:t>J</w:t>
                          </w:r>
                        </w:p>
                        <w:p w:rsidR="00A239C4" w:rsidRDefault="00A239C4">
                          <w:pPr>
                            <w:rPr>
                              <w:sz w:val="10"/>
                            </w:rPr>
                          </w:pPr>
                        </w:p>
                        <w:p w:rsidR="00A239C4" w:rsidRDefault="00A239C4">
                          <w:pPr>
                            <w:rPr>
                              <w:sz w:val="16"/>
                            </w:rPr>
                          </w:pPr>
                        </w:p>
                        <w:p w:rsidR="00A239C4" w:rsidRDefault="00A239C4">
                          <w:pPr>
                            <w:rPr>
                              <w:sz w:val="16"/>
                            </w:rPr>
                          </w:pPr>
                        </w:p>
                        <w:p w:rsidR="00A239C4" w:rsidRDefault="00A239C4">
                          <w:pPr>
                            <w:rPr>
                              <w:sz w:val="16"/>
                            </w:rPr>
                          </w:pPr>
                          <w:r>
                            <w:rPr>
                              <w:rFonts w:hint="eastAsia"/>
                            </w:rPr>
                            <w:t>K</w:t>
                          </w:r>
                        </w:p>
                        <w:p w:rsidR="00A239C4" w:rsidRDefault="00A239C4">
                          <w:pPr>
                            <w:rPr>
                              <w:sz w:val="10"/>
                            </w:rPr>
                          </w:pPr>
                        </w:p>
                        <w:p w:rsidR="00A239C4" w:rsidRDefault="00A239C4">
                          <w:pPr>
                            <w:rPr>
                              <w:sz w:val="16"/>
                            </w:rPr>
                          </w:pPr>
                        </w:p>
                        <w:p w:rsidR="00A239C4" w:rsidRDefault="00A239C4">
                          <w:pPr>
                            <w:rPr>
                              <w:sz w:val="16"/>
                            </w:rPr>
                          </w:pPr>
                        </w:p>
                        <w:p w:rsidR="00A239C4" w:rsidRDefault="00A239C4">
                          <w:pPr>
                            <w:rPr>
                              <w:sz w:val="16"/>
                            </w:rPr>
                          </w:pPr>
                          <w:r>
                            <w:rPr>
                              <w:rFonts w:hint="eastAsia"/>
                            </w:rPr>
                            <w:t>L</w:t>
                          </w:r>
                        </w:p>
                        <w:p w:rsidR="00A239C4" w:rsidRDefault="00A239C4">
                          <w:pPr>
                            <w:rPr>
                              <w:sz w:val="10"/>
                            </w:rPr>
                          </w:pPr>
                        </w:p>
                        <w:p w:rsidR="00A239C4" w:rsidRDefault="00A239C4">
                          <w:pPr>
                            <w:rPr>
                              <w:sz w:val="16"/>
                            </w:rPr>
                          </w:pPr>
                        </w:p>
                        <w:p w:rsidR="00A239C4" w:rsidRDefault="00A239C4">
                          <w:pPr>
                            <w:rPr>
                              <w:sz w:val="16"/>
                            </w:rPr>
                          </w:pPr>
                        </w:p>
                        <w:p w:rsidR="00A239C4" w:rsidRDefault="00A239C4">
                          <w:pPr>
                            <w:rPr>
                              <w:sz w:val="16"/>
                            </w:rPr>
                          </w:pPr>
                          <w:r>
                            <w:rPr>
                              <w:rFonts w:hint="eastAsia"/>
                            </w:rPr>
                            <w:t>M</w:t>
                          </w:r>
                        </w:p>
                        <w:p w:rsidR="00A239C4" w:rsidRDefault="00A239C4">
                          <w:pPr>
                            <w:rPr>
                              <w:sz w:val="10"/>
                            </w:rPr>
                          </w:pPr>
                        </w:p>
                        <w:p w:rsidR="00A239C4" w:rsidRDefault="00A239C4">
                          <w:pPr>
                            <w:rPr>
                              <w:sz w:val="16"/>
                            </w:rPr>
                          </w:pPr>
                        </w:p>
                        <w:p w:rsidR="00A239C4" w:rsidRDefault="00A239C4">
                          <w:pPr>
                            <w:rPr>
                              <w:sz w:val="16"/>
                            </w:rPr>
                          </w:pPr>
                        </w:p>
                        <w:p w:rsidR="00A239C4" w:rsidRDefault="00A239C4">
                          <w:pPr>
                            <w:rPr>
                              <w:sz w:val="16"/>
                            </w:rPr>
                          </w:pPr>
                          <w:r>
                            <w:rPr>
                              <w:rFonts w:hint="eastAsia"/>
                            </w:rPr>
                            <w:t>N</w:t>
                          </w:r>
                        </w:p>
                        <w:p w:rsidR="00A239C4" w:rsidRDefault="00A239C4">
                          <w:pPr>
                            <w:rPr>
                              <w:sz w:val="10"/>
                            </w:rPr>
                          </w:pPr>
                        </w:p>
                        <w:p w:rsidR="00A239C4" w:rsidRDefault="00A239C4">
                          <w:pPr>
                            <w:rPr>
                              <w:sz w:val="16"/>
                            </w:rPr>
                          </w:pPr>
                        </w:p>
                        <w:p w:rsidR="00A239C4" w:rsidRDefault="00A239C4">
                          <w:pPr>
                            <w:rPr>
                              <w:sz w:val="16"/>
                            </w:rPr>
                          </w:pPr>
                        </w:p>
                        <w:p w:rsidR="00A239C4" w:rsidRDefault="00A239C4">
                          <w:pPr>
                            <w:rPr>
                              <w:sz w:val="16"/>
                            </w:rPr>
                          </w:pPr>
                          <w:r>
                            <w:rPr>
                              <w:rFonts w:hint="eastAsia"/>
                            </w:rPr>
                            <w:t>O</w:t>
                          </w:r>
                        </w:p>
                        <w:p w:rsidR="00A239C4" w:rsidRDefault="00A239C4">
                          <w:pPr>
                            <w:rPr>
                              <w:sz w:val="10"/>
                            </w:rPr>
                          </w:pPr>
                        </w:p>
                        <w:p w:rsidR="00A239C4" w:rsidRDefault="00A239C4">
                          <w:pPr>
                            <w:rPr>
                              <w:sz w:val="16"/>
                            </w:rPr>
                          </w:pPr>
                        </w:p>
                        <w:p w:rsidR="00A239C4" w:rsidRDefault="00A239C4">
                          <w:pPr>
                            <w:rPr>
                              <w:sz w:val="16"/>
                            </w:rPr>
                          </w:pPr>
                        </w:p>
                        <w:p w:rsidR="00A239C4" w:rsidRDefault="00A239C4">
                          <w:pPr>
                            <w:rPr>
                              <w:sz w:val="16"/>
                            </w:rPr>
                          </w:pPr>
                          <w:r>
                            <w:rPr>
                              <w:rFonts w:hint="eastAsia"/>
                            </w:rPr>
                            <w:t>P</w:t>
                          </w:r>
                        </w:p>
                        <w:p w:rsidR="00A239C4" w:rsidRDefault="00A239C4">
                          <w:pPr>
                            <w:rPr>
                              <w:sz w:val="10"/>
                            </w:rPr>
                          </w:pPr>
                        </w:p>
                        <w:p w:rsidR="00A239C4" w:rsidRDefault="00A239C4">
                          <w:pPr>
                            <w:rPr>
                              <w:sz w:val="16"/>
                            </w:rPr>
                          </w:pPr>
                        </w:p>
                        <w:p w:rsidR="00A239C4" w:rsidRDefault="00A239C4">
                          <w:pPr>
                            <w:rPr>
                              <w:sz w:val="16"/>
                            </w:rPr>
                          </w:pPr>
                        </w:p>
                        <w:p w:rsidR="00A239C4" w:rsidRDefault="00A239C4">
                          <w:pPr>
                            <w:rPr>
                              <w:sz w:val="16"/>
                            </w:rPr>
                          </w:pPr>
                          <w:r>
                            <w:rPr>
                              <w:rFonts w:hint="eastAsia"/>
                            </w:rPr>
                            <w:t>Q</w:t>
                          </w:r>
                        </w:p>
                        <w:p w:rsidR="00A239C4" w:rsidRDefault="00A239C4">
                          <w:pPr>
                            <w:rPr>
                              <w:sz w:val="10"/>
                            </w:rPr>
                          </w:pPr>
                        </w:p>
                        <w:p w:rsidR="00A239C4" w:rsidRDefault="00A239C4">
                          <w:pPr>
                            <w:rPr>
                              <w:sz w:val="16"/>
                            </w:rPr>
                          </w:pPr>
                        </w:p>
                        <w:p w:rsidR="00A239C4" w:rsidRDefault="00A239C4">
                          <w:pPr>
                            <w:rPr>
                              <w:sz w:val="16"/>
                            </w:rPr>
                          </w:pPr>
                        </w:p>
                        <w:p w:rsidR="00A239C4" w:rsidRDefault="00A239C4">
                          <w:pPr>
                            <w:rPr>
                              <w:sz w:val="16"/>
                            </w:rPr>
                          </w:pPr>
                          <w:r>
                            <w:rPr>
                              <w:rFonts w:hint="eastAsia"/>
                            </w:rPr>
                            <w:t>R</w:t>
                          </w:r>
                        </w:p>
                        <w:p w:rsidR="00A239C4" w:rsidRDefault="00A239C4">
                          <w:pPr>
                            <w:rPr>
                              <w:sz w:val="10"/>
                            </w:rPr>
                          </w:pPr>
                        </w:p>
                        <w:p w:rsidR="00A239C4" w:rsidRDefault="00A239C4">
                          <w:pPr>
                            <w:rPr>
                              <w:sz w:val="16"/>
                            </w:rPr>
                          </w:pPr>
                        </w:p>
                        <w:p w:rsidR="00A239C4" w:rsidRDefault="00A239C4">
                          <w:pPr>
                            <w:rPr>
                              <w:sz w:val="16"/>
                            </w:rPr>
                          </w:pPr>
                        </w:p>
                        <w:p w:rsidR="00A239C4" w:rsidRDefault="00A239C4">
                          <w:pPr>
                            <w:rPr>
                              <w:sz w:val="16"/>
                            </w:rPr>
                          </w:pPr>
                          <w:r>
                            <w:rPr>
                              <w:rFonts w:hint="eastAsia"/>
                            </w:rPr>
                            <w:t>S</w:t>
                          </w:r>
                        </w:p>
                        <w:p w:rsidR="00A239C4" w:rsidRDefault="00A239C4">
                          <w:pPr>
                            <w:rPr>
                              <w:sz w:val="10"/>
                            </w:rPr>
                          </w:pPr>
                        </w:p>
                        <w:p w:rsidR="00A239C4" w:rsidRDefault="00A239C4">
                          <w:pPr>
                            <w:rPr>
                              <w:sz w:val="16"/>
                            </w:rPr>
                          </w:pPr>
                        </w:p>
                        <w:p w:rsidR="00A239C4" w:rsidRDefault="00A239C4">
                          <w:pPr>
                            <w:rPr>
                              <w:sz w:val="16"/>
                            </w:rPr>
                          </w:pPr>
                        </w:p>
                        <w:p w:rsidR="00A239C4" w:rsidRDefault="00A239C4">
                          <w:pPr>
                            <w:rPr>
                              <w:sz w:val="16"/>
                            </w:rPr>
                          </w:pPr>
                          <w:r>
                            <w:rPr>
                              <w:rFonts w:hint="eastAsia"/>
                            </w:rPr>
                            <w:t>T</w:t>
                          </w:r>
                        </w:p>
                        <w:p w:rsidR="00A239C4" w:rsidRDefault="00A239C4">
                          <w:pPr>
                            <w:rPr>
                              <w:sz w:val="10"/>
                            </w:rPr>
                          </w:pPr>
                        </w:p>
                        <w:p w:rsidR="00A239C4" w:rsidRDefault="00A239C4">
                          <w:pPr>
                            <w:rPr>
                              <w:sz w:val="16"/>
                            </w:rPr>
                          </w:pPr>
                        </w:p>
                        <w:p w:rsidR="00A239C4" w:rsidRDefault="00A239C4">
                          <w:pPr>
                            <w:rPr>
                              <w:sz w:val="16"/>
                            </w:rPr>
                          </w:pPr>
                        </w:p>
                        <w:p w:rsidR="00A239C4" w:rsidRDefault="00A239C4">
                          <w:pPr>
                            <w:rPr>
                              <w:sz w:val="16"/>
                            </w:rPr>
                          </w:pPr>
                          <w:r>
                            <w:rPr>
                              <w:rFonts w:hint="eastAsia"/>
                            </w:rPr>
                            <w:t>U</w:t>
                          </w:r>
                        </w:p>
                        <w:p w:rsidR="00A239C4" w:rsidRDefault="00A239C4">
                          <w:pPr>
                            <w:rPr>
                              <w:sz w:val="10"/>
                            </w:rPr>
                          </w:pPr>
                        </w:p>
                        <w:p w:rsidR="00A239C4" w:rsidRDefault="00A239C4">
                          <w:pPr>
                            <w:rPr>
                              <w:sz w:val="16"/>
                            </w:rPr>
                          </w:pPr>
                        </w:p>
                        <w:p w:rsidR="00A239C4" w:rsidRDefault="00A239C4">
                          <w:pPr>
                            <w:rPr>
                              <w:sz w:val="16"/>
                            </w:rPr>
                          </w:pPr>
                        </w:p>
                        <w:p w:rsidR="00A239C4" w:rsidRDefault="00A239C4">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1F0DE" id="Text Box 4" o:spid="_x0000_s1028" type="#_x0000_t202" style="position:absolute;margin-left:-71.2pt;margin-top:3.6pt;width:28.1pt;height:786.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" stroked="f">
              <v:textbox>
                <w:txbxContent>
                  <w:p w:rsidR="002D7AD7" w:rsidRDefault="002D7AD7">
                    <w:r>
                      <w:rPr>
                        <w:rFonts w:hint="eastAsia"/>
                      </w:rPr>
                      <w:t>A</w:t>
                    </w:r>
                  </w:p>
                  <w:p w:rsidR="002D7AD7" w:rsidRDefault="002D7AD7">
                    <w:pPr>
                      <w:rPr>
                        <w:sz w:val="10"/>
                      </w:rPr>
                    </w:pPr>
                  </w:p>
                  <w:p w:rsidR="002D7AD7" w:rsidRDefault="002D7AD7">
                    <w:pPr>
                      <w:rPr>
                        <w:sz w:val="16"/>
                      </w:rPr>
                    </w:pPr>
                  </w:p>
                  <w:p w:rsidR="002D7AD7" w:rsidRDefault="002D7AD7">
                    <w:pPr>
                      <w:rPr>
                        <w:sz w:val="16"/>
                      </w:rPr>
                    </w:pPr>
                  </w:p>
                  <w:p w:rsidR="002D7AD7" w:rsidRDefault="002D7AD7">
                    <w:r>
                      <w:rPr>
                        <w:rFonts w:hint="eastAsia"/>
                      </w:rPr>
                      <w:t>B</w:t>
                    </w:r>
                  </w:p>
                  <w:p w:rsidR="002D7AD7" w:rsidRDefault="002D7AD7">
                    <w:pPr>
                      <w:rPr>
                        <w:sz w:val="10"/>
                      </w:rPr>
                    </w:pPr>
                  </w:p>
                  <w:p w:rsidR="002D7AD7" w:rsidRDefault="002D7AD7">
                    <w:pPr>
                      <w:rPr>
                        <w:sz w:val="16"/>
                      </w:rPr>
                    </w:pPr>
                  </w:p>
                  <w:p w:rsidR="002D7AD7" w:rsidRDefault="002D7AD7">
                    <w:pPr>
                      <w:rPr>
                        <w:sz w:val="16"/>
                      </w:rPr>
                    </w:pPr>
                  </w:p>
                  <w:p w:rsidR="002D7AD7" w:rsidRDefault="002D7AD7">
                    <w:pPr>
                      <w:rPr>
                        <w:sz w:val="16"/>
                      </w:rPr>
                    </w:pPr>
                    <w:r>
                      <w:rPr>
                        <w:rFonts w:hint="eastAsia"/>
                      </w:rPr>
                      <w:t>C</w:t>
                    </w:r>
                  </w:p>
                  <w:p w:rsidR="002D7AD7" w:rsidRDefault="002D7AD7">
                    <w:pPr>
                      <w:rPr>
                        <w:sz w:val="10"/>
                      </w:rPr>
                    </w:pPr>
                  </w:p>
                  <w:p w:rsidR="002D7AD7" w:rsidRDefault="002D7AD7">
                    <w:pPr>
                      <w:rPr>
                        <w:sz w:val="16"/>
                      </w:rPr>
                    </w:pPr>
                  </w:p>
                  <w:p w:rsidR="002D7AD7" w:rsidRDefault="002D7AD7">
                    <w:pPr>
                      <w:rPr>
                        <w:sz w:val="16"/>
                      </w:rPr>
                    </w:pPr>
                  </w:p>
                  <w:p w:rsidR="002D7AD7" w:rsidRDefault="002D7AD7">
                    <w:r>
                      <w:rPr>
                        <w:rFonts w:hint="eastAsia"/>
                      </w:rPr>
                      <w:t>D</w:t>
                    </w:r>
                  </w:p>
                  <w:p w:rsidR="002D7AD7" w:rsidRDefault="002D7AD7">
                    <w:pPr>
                      <w:rPr>
                        <w:sz w:val="10"/>
                      </w:rPr>
                    </w:pPr>
                  </w:p>
                  <w:p w:rsidR="002D7AD7" w:rsidRDefault="002D7AD7">
                    <w:pPr>
                      <w:rPr>
                        <w:sz w:val="16"/>
                      </w:rPr>
                    </w:pPr>
                  </w:p>
                  <w:p w:rsidR="002D7AD7" w:rsidRDefault="002D7AD7">
                    <w:pPr>
                      <w:rPr>
                        <w:sz w:val="16"/>
                      </w:rPr>
                    </w:pPr>
                  </w:p>
                  <w:p w:rsidR="002D7AD7" w:rsidRDefault="002D7AD7">
                    <w:pPr>
                      <w:rPr>
                        <w:sz w:val="16"/>
                      </w:rPr>
                    </w:pPr>
                    <w:r>
                      <w:rPr>
                        <w:rFonts w:hint="eastAsia"/>
                      </w:rPr>
                      <w:t>E</w:t>
                    </w:r>
                  </w:p>
                  <w:p w:rsidR="002D7AD7" w:rsidRDefault="002D7AD7">
                    <w:pPr>
                      <w:rPr>
                        <w:sz w:val="10"/>
                      </w:rPr>
                    </w:pPr>
                  </w:p>
                  <w:p w:rsidR="002D7AD7" w:rsidRDefault="002D7AD7">
                    <w:pPr>
                      <w:rPr>
                        <w:sz w:val="16"/>
                      </w:rPr>
                    </w:pPr>
                  </w:p>
                  <w:p w:rsidR="002D7AD7" w:rsidRDefault="002D7AD7">
                    <w:pPr>
                      <w:rPr>
                        <w:sz w:val="16"/>
                      </w:rPr>
                    </w:pPr>
                  </w:p>
                  <w:p w:rsidR="002D7AD7" w:rsidRDefault="002D7AD7">
                    <w:r>
                      <w:rPr>
                        <w:rFonts w:hint="eastAsia"/>
                      </w:rPr>
                      <w:t>F</w:t>
                    </w:r>
                  </w:p>
                  <w:p w:rsidR="002D7AD7" w:rsidRDefault="002D7AD7">
                    <w:pPr>
                      <w:rPr>
                        <w:sz w:val="10"/>
                      </w:rPr>
                    </w:pPr>
                  </w:p>
                  <w:p w:rsidR="002D7AD7" w:rsidRDefault="002D7AD7">
                    <w:pPr>
                      <w:rPr>
                        <w:sz w:val="16"/>
                      </w:rPr>
                    </w:pPr>
                  </w:p>
                  <w:p w:rsidR="002D7AD7" w:rsidRDefault="002D7AD7">
                    <w:pPr>
                      <w:rPr>
                        <w:sz w:val="16"/>
                      </w:rPr>
                    </w:pPr>
                  </w:p>
                  <w:p w:rsidR="002D7AD7" w:rsidRDefault="002D7AD7">
                    <w:pPr>
                      <w:rPr>
                        <w:sz w:val="16"/>
                      </w:rPr>
                    </w:pPr>
                    <w:r>
                      <w:rPr>
                        <w:rFonts w:hint="eastAsia"/>
                      </w:rPr>
                      <w:t>G</w:t>
                    </w:r>
                  </w:p>
                  <w:p w:rsidR="002D7AD7" w:rsidRDefault="002D7AD7">
                    <w:pPr>
                      <w:rPr>
                        <w:sz w:val="10"/>
                      </w:rPr>
                    </w:pPr>
                  </w:p>
                  <w:p w:rsidR="002D7AD7" w:rsidRDefault="002D7AD7">
                    <w:pPr>
                      <w:rPr>
                        <w:sz w:val="16"/>
                      </w:rPr>
                    </w:pPr>
                  </w:p>
                  <w:p w:rsidR="002D7AD7" w:rsidRDefault="002D7AD7">
                    <w:pPr>
                      <w:rPr>
                        <w:sz w:val="16"/>
                      </w:rPr>
                    </w:pPr>
                  </w:p>
                  <w:p w:rsidR="002D7AD7" w:rsidRDefault="002D7AD7">
                    <w:pPr>
                      <w:rPr>
                        <w:sz w:val="16"/>
                      </w:rPr>
                    </w:pPr>
                    <w:r>
                      <w:rPr>
                        <w:rFonts w:hint="eastAsia"/>
                      </w:rPr>
                      <w:t>H</w:t>
                    </w:r>
                  </w:p>
                  <w:p w:rsidR="002D7AD7" w:rsidRDefault="002D7AD7">
                    <w:pPr>
                      <w:rPr>
                        <w:sz w:val="10"/>
                      </w:rPr>
                    </w:pPr>
                  </w:p>
                  <w:p w:rsidR="002D7AD7" w:rsidRDefault="002D7AD7">
                    <w:pPr>
                      <w:rPr>
                        <w:sz w:val="16"/>
                      </w:rPr>
                    </w:pPr>
                  </w:p>
                  <w:p w:rsidR="002D7AD7" w:rsidRDefault="002D7AD7">
                    <w:pPr>
                      <w:rPr>
                        <w:sz w:val="16"/>
                      </w:rPr>
                    </w:pPr>
                  </w:p>
                  <w:p w:rsidR="002D7AD7" w:rsidRDefault="002D7AD7">
                    <w:pPr>
                      <w:rPr>
                        <w:sz w:val="16"/>
                      </w:rPr>
                    </w:pPr>
                    <w:r>
                      <w:rPr>
                        <w:rFonts w:hint="eastAsia"/>
                      </w:rPr>
                      <w:t>I</w:t>
                    </w:r>
                  </w:p>
                  <w:p w:rsidR="002D7AD7" w:rsidRDefault="002D7AD7">
                    <w:pPr>
                      <w:rPr>
                        <w:sz w:val="10"/>
                      </w:rPr>
                    </w:pPr>
                  </w:p>
                  <w:p w:rsidR="002D7AD7" w:rsidRDefault="002D7AD7">
                    <w:pPr>
                      <w:rPr>
                        <w:sz w:val="16"/>
                      </w:rPr>
                    </w:pPr>
                  </w:p>
                  <w:p w:rsidR="002D7AD7" w:rsidRDefault="002D7AD7">
                    <w:pPr>
                      <w:rPr>
                        <w:sz w:val="16"/>
                      </w:rPr>
                    </w:pPr>
                  </w:p>
                  <w:p w:rsidR="002D7AD7" w:rsidRDefault="002D7AD7">
                    <w:pPr>
                      <w:rPr>
                        <w:sz w:val="16"/>
                      </w:rPr>
                    </w:pPr>
                    <w:r>
                      <w:rPr>
                        <w:rFonts w:hint="eastAsia"/>
                      </w:rPr>
                      <w:t>J</w:t>
                    </w:r>
                  </w:p>
                  <w:p w:rsidR="002D7AD7" w:rsidRDefault="002D7AD7">
                    <w:pPr>
                      <w:rPr>
                        <w:sz w:val="10"/>
                      </w:rPr>
                    </w:pPr>
                  </w:p>
                  <w:p w:rsidR="002D7AD7" w:rsidRDefault="002D7AD7">
                    <w:pPr>
                      <w:rPr>
                        <w:sz w:val="16"/>
                      </w:rPr>
                    </w:pPr>
                  </w:p>
                  <w:p w:rsidR="002D7AD7" w:rsidRDefault="002D7AD7">
                    <w:pPr>
                      <w:rPr>
                        <w:sz w:val="16"/>
                      </w:rPr>
                    </w:pPr>
                  </w:p>
                  <w:p w:rsidR="002D7AD7" w:rsidRDefault="002D7AD7">
                    <w:pPr>
                      <w:rPr>
                        <w:sz w:val="16"/>
                      </w:rPr>
                    </w:pPr>
                    <w:r>
                      <w:rPr>
                        <w:rFonts w:hint="eastAsia"/>
                      </w:rPr>
                      <w:t>K</w:t>
                    </w:r>
                  </w:p>
                  <w:p w:rsidR="002D7AD7" w:rsidRDefault="002D7AD7">
                    <w:pPr>
                      <w:rPr>
                        <w:sz w:val="10"/>
                      </w:rPr>
                    </w:pPr>
                  </w:p>
                  <w:p w:rsidR="002D7AD7" w:rsidRDefault="002D7AD7">
                    <w:pPr>
                      <w:rPr>
                        <w:sz w:val="16"/>
                      </w:rPr>
                    </w:pPr>
                  </w:p>
                  <w:p w:rsidR="002D7AD7" w:rsidRDefault="002D7AD7">
                    <w:pPr>
                      <w:rPr>
                        <w:sz w:val="16"/>
                      </w:rPr>
                    </w:pPr>
                  </w:p>
                  <w:p w:rsidR="002D7AD7" w:rsidRDefault="002D7AD7">
                    <w:pPr>
                      <w:rPr>
                        <w:sz w:val="16"/>
                      </w:rPr>
                    </w:pPr>
                    <w:r>
                      <w:rPr>
                        <w:rFonts w:hint="eastAsia"/>
                      </w:rPr>
                      <w:t>L</w:t>
                    </w:r>
                  </w:p>
                  <w:p w:rsidR="002D7AD7" w:rsidRDefault="002D7AD7">
                    <w:pPr>
                      <w:rPr>
                        <w:sz w:val="10"/>
                      </w:rPr>
                    </w:pPr>
                  </w:p>
                  <w:p w:rsidR="002D7AD7" w:rsidRDefault="002D7AD7">
                    <w:pPr>
                      <w:rPr>
                        <w:sz w:val="16"/>
                      </w:rPr>
                    </w:pPr>
                  </w:p>
                  <w:p w:rsidR="002D7AD7" w:rsidRDefault="002D7AD7">
                    <w:pPr>
                      <w:rPr>
                        <w:sz w:val="16"/>
                      </w:rPr>
                    </w:pPr>
                  </w:p>
                  <w:p w:rsidR="002D7AD7" w:rsidRDefault="002D7AD7">
                    <w:pPr>
                      <w:rPr>
                        <w:sz w:val="16"/>
                      </w:rPr>
                    </w:pPr>
                    <w:r>
                      <w:rPr>
                        <w:rFonts w:hint="eastAsia"/>
                      </w:rPr>
                      <w:t>M</w:t>
                    </w:r>
                  </w:p>
                  <w:p w:rsidR="002D7AD7" w:rsidRDefault="002D7AD7">
                    <w:pPr>
                      <w:rPr>
                        <w:sz w:val="10"/>
                      </w:rPr>
                    </w:pPr>
                  </w:p>
                  <w:p w:rsidR="002D7AD7" w:rsidRDefault="002D7AD7">
                    <w:pPr>
                      <w:rPr>
                        <w:sz w:val="16"/>
                      </w:rPr>
                    </w:pPr>
                  </w:p>
                  <w:p w:rsidR="002D7AD7" w:rsidRDefault="002D7AD7">
                    <w:pPr>
                      <w:rPr>
                        <w:sz w:val="16"/>
                      </w:rPr>
                    </w:pPr>
                  </w:p>
                  <w:p w:rsidR="002D7AD7" w:rsidRDefault="002D7AD7">
                    <w:pPr>
                      <w:rPr>
                        <w:sz w:val="16"/>
                      </w:rPr>
                    </w:pPr>
                    <w:r>
                      <w:rPr>
                        <w:rFonts w:hint="eastAsia"/>
                      </w:rPr>
                      <w:t>N</w:t>
                    </w:r>
                  </w:p>
                  <w:p w:rsidR="002D7AD7" w:rsidRDefault="002D7AD7">
                    <w:pPr>
                      <w:rPr>
                        <w:sz w:val="10"/>
                      </w:rPr>
                    </w:pPr>
                  </w:p>
                  <w:p w:rsidR="002D7AD7" w:rsidRDefault="002D7AD7">
                    <w:pPr>
                      <w:rPr>
                        <w:sz w:val="16"/>
                      </w:rPr>
                    </w:pPr>
                  </w:p>
                  <w:p w:rsidR="002D7AD7" w:rsidRDefault="002D7AD7">
                    <w:pPr>
                      <w:rPr>
                        <w:sz w:val="16"/>
                      </w:rPr>
                    </w:pPr>
                  </w:p>
                  <w:p w:rsidR="002D7AD7" w:rsidRDefault="002D7AD7">
                    <w:pPr>
                      <w:rPr>
                        <w:sz w:val="16"/>
                      </w:rPr>
                    </w:pPr>
                    <w:r>
                      <w:rPr>
                        <w:rFonts w:hint="eastAsia"/>
                      </w:rPr>
                      <w:t>O</w:t>
                    </w:r>
                  </w:p>
                  <w:p w:rsidR="002D7AD7" w:rsidRDefault="002D7AD7">
                    <w:pPr>
                      <w:rPr>
                        <w:sz w:val="10"/>
                      </w:rPr>
                    </w:pPr>
                  </w:p>
                  <w:p w:rsidR="002D7AD7" w:rsidRDefault="002D7AD7">
                    <w:pPr>
                      <w:rPr>
                        <w:sz w:val="16"/>
                      </w:rPr>
                    </w:pPr>
                  </w:p>
                  <w:p w:rsidR="002D7AD7" w:rsidRDefault="002D7AD7">
                    <w:pPr>
                      <w:rPr>
                        <w:sz w:val="16"/>
                      </w:rPr>
                    </w:pPr>
                  </w:p>
                  <w:p w:rsidR="002D7AD7" w:rsidRDefault="002D7AD7">
                    <w:pPr>
                      <w:rPr>
                        <w:sz w:val="16"/>
                      </w:rPr>
                    </w:pPr>
                    <w:r>
                      <w:rPr>
                        <w:rFonts w:hint="eastAsia"/>
                      </w:rPr>
                      <w:t>P</w:t>
                    </w:r>
                  </w:p>
                  <w:p w:rsidR="002D7AD7" w:rsidRDefault="002D7AD7">
                    <w:pPr>
                      <w:rPr>
                        <w:sz w:val="10"/>
                      </w:rPr>
                    </w:pPr>
                  </w:p>
                  <w:p w:rsidR="002D7AD7" w:rsidRDefault="002D7AD7">
                    <w:pPr>
                      <w:rPr>
                        <w:sz w:val="16"/>
                      </w:rPr>
                    </w:pPr>
                  </w:p>
                  <w:p w:rsidR="002D7AD7" w:rsidRDefault="002D7AD7">
                    <w:pPr>
                      <w:rPr>
                        <w:sz w:val="16"/>
                      </w:rPr>
                    </w:pPr>
                  </w:p>
                  <w:p w:rsidR="002D7AD7" w:rsidRDefault="002D7AD7">
                    <w:pPr>
                      <w:rPr>
                        <w:sz w:val="16"/>
                      </w:rPr>
                    </w:pPr>
                    <w:r>
                      <w:rPr>
                        <w:rFonts w:hint="eastAsia"/>
                      </w:rPr>
                      <w:t>Q</w:t>
                    </w:r>
                  </w:p>
                  <w:p w:rsidR="002D7AD7" w:rsidRDefault="002D7AD7">
                    <w:pPr>
                      <w:rPr>
                        <w:sz w:val="10"/>
                      </w:rPr>
                    </w:pPr>
                  </w:p>
                  <w:p w:rsidR="002D7AD7" w:rsidRDefault="002D7AD7">
                    <w:pPr>
                      <w:rPr>
                        <w:sz w:val="16"/>
                      </w:rPr>
                    </w:pPr>
                  </w:p>
                  <w:p w:rsidR="002D7AD7" w:rsidRDefault="002D7AD7">
                    <w:pPr>
                      <w:rPr>
                        <w:sz w:val="16"/>
                      </w:rPr>
                    </w:pPr>
                  </w:p>
                  <w:p w:rsidR="002D7AD7" w:rsidRDefault="002D7AD7">
                    <w:pPr>
                      <w:rPr>
                        <w:sz w:val="16"/>
                      </w:rPr>
                    </w:pPr>
                    <w:r>
                      <w:rPr>
                        <w:rFonts w:hint="eastAsia"/>
                      </w:rPr>
                      <w:t>R</w:t>
                    </w:r>
                  </w:p>
                  <w:p w:rsidR="002D7AD7" w:rsidRDefault="002D7AD7">
                    <w:pPr>
                      <w:rPr>
                        <w:sz w:val="10"/>
                      </w:rPr>
                    </w:pPr>
                  </w:p>
                  <w:p w:rsidR="002D7AD7" w:rsidRDefault="002D7AD7">
                    <w:pPr>
                      <w:rPr>
                        <w:sz w:val="16"/>
                      </w:rPr>
                    </w:pPr>
                  </w:p>
                  <w:p w:rsidR="002D7AD7" w:rsidRDefault="002D7AD7">
                    <w:pPr>
                      <w:rPr>
                        <w:sz w:val="16"/>
                      </w:rPr>
                    </w:pPr>
                  </w:p>
                  <w:p w:rsidR="002D7AD7" w:rsidRDefault="002D7AD7">
                    <w:pPr>
                      <w:rPr>
                        <w:sz w:val="16"/>
                      </w:rPr>
                    </w:pPr>
                    <w:r>
                      <w:rPr>
                        <w:rFonts w:hint="eastAsia"/>
                      </w:rPr>
                      <w:t>S</w:t>
                    </w:r>
                  </w:p>
                  <w:p w:rsidR="002D7AD7" w:rsidRDefault="002D7AD7">
                    <w:pPr>
                      <w:rPr>
                        <w:sz w:val="10"/>
                      </w:rPr>
                    </w:pPr>
                  </w:p>
                  <w:p w:rsidR="002D7AD7" w:rsidRDefault="002D7AD7">
                    <w:pPr>
                      <w:rPr>
                        <w:sz w:val="16"/>
                      </w:rPr>
                    </w:pPr>
                  </w:p>
                  <w:p w:rsidR="002D7AD7" w:rsidRDefault="002D7AD7">
                    <w:pPr>
                      <w:rPr>
                        <w:sz w:val="16"/>
                      </w:rPr>
                    </w:pPr>
                  </w:p>
                  <w:p w:rsidR="002D7AD7" w:rsidRDefault="002D7AD7">
                    <w:pPr>
                      <w:rPr>
                        <w:sz w:val="16"/>
                      </w:rPr>
                    </w:pPr>
                    <w:r>
                      <w:rPr>
                        <w:rFonts w:hint="eastAsia"/>
                      </w:rPr>
                      <w:t>T</w:t>
                    </w:r>
                  </w:p>
                  <w:p w:rsidR="002D7AD7" w:rsidRDefault="002D7AD7">
                    <w:pPr>
                      <w:rPr>
                        <w:sz w:val="10"/>
                      </w:rPr>
                    </w:pPr>
                  </w:p>
                  <w:p w:rsidR="002D7AD7" w:rsidRDefault="002D7AD7">
                    <w:pPr>
                      <w:rPr>
                        <w:sz w:val="16"/>
                      </w:rPr>
                    </w:pPr>
                  </w:p>
                  <w:p w:rsidR="002D7AD7" w:rsidRDefault="002D7AD7">
                    <w:pPr>
                      <w:rPr>
                        <w:sz w:val="16"/>
                      </w:rPr>
                    </w:pPr>
                  </w:p>
                  <w:p w:rsidR="002D7AD7" w:rsidRDefault="002D7AD7">
                    <w:pPr>
                      <w:rPr>
                        <w:sz w:val="16"/>
                      </w:rPr>
                    </w:pPr>
                    <w:r>
                      <w:rPr>
                        <w:rFonts w:hint="eastAsia"/>
                      </w:rPr>
                      <w:t>U</w:t>
                    </w:r>
                  </w:p>
                  <w:p w:rsidR="002D7AD7" w:rsidRDefault="002D7AD7">
                    <w:pPr>
                      <w:rPr>
                        <w:sz w:val="10"/>
                      </w:rPr>
                    </w:pPr>
                  </w:p>
                  <w:p w:rsidR="002D7AD7" w:rsidRDefault="002D7AD7">
                    <w:pPr>
                      <w:rPr>
                        <w:sz w:val="16"/>
                      </w:rPr>
                    </w:pPr>
                  </w:p>
                  <w:p w:rsidR="002D7AD7" w:rsidRDefault="002D7AD7">
                    <w:pPr>
                      <w:rPr>
                        <w:sz w:val="16"/>
                      </w:rPr>
                    </w:pPr>
                  </w:p>
                  <w:p w:rsidR="002D7AD7" w:rsidRDefault="002D7AD7">
                    <w:r>
                      <w:rPr>
                        <w:rFonts w:hint="eastAsia"/>
                      </w:rPr>
                      <w:t>V</w:t>
                    </w:r>
                  </w:p>
                </w:txbxContent>
              </v:textbox>
            </v:shape>
          </w:pict>
        </mc:Fallback>
      </mc:AlternateContent>
    </w:r>
    <w:r>
      <w:rPr>
        <w:rStyle w:val="PageNumber"/>
        <w:rFonts w:hint="eastAsia"/>
        <w:b w:val="0"/>
        <w:bCs w:val="0"/>
        <w:sz w:val="28"/>
      </w:rPr>
      <w:t xml:space="preserve">-  </w:t>
    </w:r>
    <w:r>
      <w:rPr>
        <w:rStyle w:val="PageNumber"/>
        <w:b w:val="0"/>
        <w:bCs w:val="0"/>
        <w:sz w:val="28"/>
      </w:rPr>
      <w:fldChar w:fldCharType="begin"/>
    </w:r>
    <w:r>
      <w:rPr>
        <w:rStyle w:val="PageNumber"/>
        <w:b w:val="0"/>
        <w:bCs w:val="0"/>
        <w:sz w:val="28"/>
      </w:rPr>
      <w:instrText xml:space="preserve"> PAGE </w:instrText>
    </w:r>
    <w:r>
      <w:rPr>
        <w:rStyle w:val="PageNumber"/>
        <w:b w:val="0"/>
        <w:bCs w:val="0"/>
        <w:sz w:val="28"/>
      </w:rPr>
      <w:fldChar w:fldCharType="separate"/>
    </w:r>
    <w:r w:rsidR="000D0B6B">
      <w:rPr>
        <w:rStyle w:val="PageNumber"/>
        <w:b w:val="0"/>
        <w:bCs w:val="0"/>
        <w:noProof/>
        <w:sz w:val="28"/>
      </w:rPr>
      <w:t>26</w:t>
    </w:r>
    <w:r>
      <w:rPr>
        <w:rStyle w:val="PageNumber"/>
        <w:b w:val="0"/>
        <w:bCs w:val="0"/>
        <w:sz w:val="28"/>
      </w:rPr>
      <w:fldChar w:fldCharType="end"/>
    </w:r>
    <w:r>
      <w:rPr>
        <w:rStyle w:val="PageNumber"/>
        <w:rFonts w:hint="eastAsia"/>
        <w:b w:val="0"/>
        <w:bCs w:val="0"/>
        <w:sz w:val="28"/>
      </w:rPr>
      <w:t xml:space="preserve">  -</w:t>
    </w:r>
    <w:r>
      <w:rPr>
        <w:rStyle w:val="PageNumber"/>
        <w:b w:val="0"/>
        <w:bCs w:val="0"/>
        <w:sz w:val="28"/>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9C4" w:rsidRDefault="00A239C4">
    <w:r>
      <w:rPr>
        <w:noProof/>
        <w:lang w:val="en-US"/>
      </w:rPr>
      <mc:AlternateContent>
        <mc:Choice Requires="wps">
          <w:drawing>
            <wp:anchor distT="0" distB="0" distL="114300" distR="114300" simplePos="0" relativeHeight="251659264" behindDoc="0" locked="0" layoutInCell="1" allowOverlap="1" wp14:anchorId="34B775C9" wp14:editId="7D2E7416">
              <wp:simplePos x="0" y="0"/>
              <wp:positionH relativeFrom="page">
                <wp:posOffset>6998325</wp:posOffset>
              </wp:positionH>
              <wp:positionV relativeFrom="paragraph">
                <wp:posOffset>43180</wp:posOffset>
              </wp:positionV>
              <wp:extent cx="629920" cy="10099675"/>
              <wp:effectExtent l="0" t="0"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920" cy="10099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39C4" w:rsidRDefault="00A239C4" w:rsidP="008244DC">
                          <w:pPr>
                            <w:ind w:left="-90"/>
                          </w:pPr>
                          <w:r>
                            <w:rPr>
                              <w:rFonts w:hint="eastAsia"/>
                            </w:rPr>
                            <w:t>A</w:t>
                          </w:r>
                        </w:p>
                        <w:p w:rsidR="00A239C4" w:rsidRDefault="00A239C4" w:rsidP="008244DC">
                          <w:pPr>
                            <w:ind w:left="-90"/>
                            <w:rPr>
                              <w:sz w:val="10"/>
                            </w:rPr>
                          </w:pPr>
                        </w:p>
                        <w:p w:rsidR="00A239C4" w:rsidRDefault="00A239C4" w:rsidP="008244DC">
                          <w:pPr>
                            <w:ind w:left="-90"/>
                            <w:rPr>
                              <w:sz w:val="16"/>
                            </w:rPr>
                          </w:pPr>
                        </w:p>
                        <w:p w:rsidR="00A239C4" w:rsidRDefault="00A239C4" w:rsidP="008244DC">
                          <w:pPr>
                            <w:ind w:left="-90"/>
                            <w:rPr>
                              <w:sz w:val="16"/>
                            </w:rPr>
                          </w:pPr>
                        </w:p>
                        <w:p w:rsidR="00A239C4" w:rsidRDefault="00A239C4" w:rsidP="008244DC">
                          <w:pPr>
                            <w:pStyle w:val="Heading6"/>
                            <w:ind w:left="-90"/>
                          </w:pPr>
                          <w:r>
                            <w:rPr>
                              <w:rFonts w:hint="eastAsia"/>
                            </w:rPr>
                            <w:t>B</w:t>
                          </w:r>
                        </w:p>
                        <w:p w:rsidR="00A239C4" w:rsidRDefault="00A239C4" w:rsidP="008244DC">
                          <w:pPr>
                            <w:ind w:left="-90"/>
                            <w:rPr>
                              <w:sz w:val="10"/>
                            </w:rPr>
                          </w:pPr>
                        </w:p>
                        <w:p w:rsidR="00A239C4" w:rsidRDefault="00A239C4" w:rsidP="008244DC">
                          <w:pPr>
                            <w:ind w:left="-90"/>
                            <w:rPr>
                              <w:sz w:val="16"/>
                            </w:rPr>
                          </w:pPr>
                        </w:p>
                        <w:p w:rsidR="00A239C4" w:rsidRDefault="00A239C4" w:rsidP="008244DC">
                          <w:pPr>
                            <w:ind w:left="-90"/>
                            <w:rPr>
                              <w:sz w:val="16"/>
                            </w:rPr>
                          </w:pPr>
                        </w:p>
                        <w:p w:rsidR="00A239C4" w:rsidRDefault="00A239C4" w:rsidP="008244DC">
                          <w:pPr>
                            <w:ind w:left="-90"/>
                            <w:rPr>
                              <w:sz w:val="16"/>
                            </w:rPr>
                          </w:pPr>
                          <w:r>
                            <w:rPr>
                              <w:rFonts w:hint="eastAsia"/>
                            </w:rPr>
                            <w:t>C</w:t>
                          </w:r>
                        </w:p>
                        <w:p w:rsidR="00A239C4" w:rsidRDefault="00A239C4" w:rsidP="008244DC">
                          <w:pPr>
                            <w:ind w:left="-90"/>
                            <w:rPr>
                              <w:sz w:val="10"/>
                            </w:rPr>
                          </w:pPr>
                        </w:p>
                        <w:p w:rsidR="00A239C4" w:rsidRDefault="00A239C4" w:rsidP="008244DC">
                          <w:pPr>
                            <w:ind w:left="-90"/>
                            <w:rPr>
                              <w:sz w:val="16"/>
                            </w:rPr>
                          </w:pPr>
                        </w:p>
                        <w:p w:rsidR="00A239C4" w:rsidRDefault="00A239C4" w:rsidP="008244DC">
                          <w:pPr>
                            <w:ind w:left="-90"/>
                            <w:rPr>
                              <w:sz w:val="16"/>
                            </w:rPr>
                          </w:pPr>
                        </w:p>
                        <w:p w:rsidR="00A239C4" w:rsidRDefault="00A239C4" w:rsidP="008244DC">
                          <w:pPr>
                            <w:ind w:left="-90"/>
                          </w:pPr>
                          <w:r>
                            <w:rPr>
                              <w:rFonts w:hint="eastAsia"/>
                            </w:rPr>
                            <w:t>D</w:t>
                          </w:r>
                        </w:p>
                        <w:p w:rsidR="00A239C4" w:rsidRDefault="00A239C4" w:rsidP="008244DC">
                          <w:pPr>
                            <w:ind w:left="-90"/>
                            <w:rPr>
                              <w:sz w:val="10"/>
                            </w:rPr>
                          </w:pPr>
                        </w:p>
                        <w:p w:rsidR="00A239C4" w:rsidRDefault="00A239C4" w:rsidP="008244DC">
                          <w:pPr>
                            <w:ind w:left="-90"/>
                            <w:rPr>
                              <w:sz w:val="16"/>
                            </w:rPr>
                          </w:pPr>
                        </w:p>
                        <w:p w:rsidR="00A239C4" w:rsidRDefault="00A239C4" w:rsidP="008244DC">
                          <w:pPr>
                            <w:ind w:left="-90"/>
                            <w:rPr>
                              <w:sz w:val="16"/>
                            </w:rPr>
                          </w:pPr>
                        </w:p>
                        <w:p w:rsidR="00A239C4" w:rsidRDefault="00A239C4" w:rsidP="008244DC">
                          <w:pPr>
                            <w:ind w:left="-90"/>
                            <w:rPr>
                              <w:sz w:val="16"/>
                            </w:rPr>
                          </w:pPr>
                          <w:r>
                            <w:rPr>
                              <w:rFonts w:hint="eastAsia"/>
                            </w:rPr>
                            <w:t>E</w:t>
                          </w:r>
                        </w:p>
                        <w:p w:rsidR="00A239C4" w:rsidRDefault="00A239C4" w:rsidP="008244DC">
                          <w:pPr>
                            <w:ind w:left="-90"/>
                            <w:rPr>
                              <w:sz w:val="10"/>
                            </w:rPr>
                          </w:pPr>
                        </w:p>
                        <w:p w:rsidR="00A239C4" w:rsidRDefault="00A239C4" w:rsidP="008244DC">
                          <w:pPr>
                            <w:ind w:left="-90"/>
                            <w:rPr>
                              <w:sz w:val="16"/>
                            </w:rPr>
                          </w:pPr>
                        </w:p>
                        <w:p w:rsidR="00A239C4" w:rsidRDefault="00A239C4" w:rsidP="008244DC">
                          <w:pPr>
                            <w:ind w:left="-90"/>
                            <w:rPr>
                              <w:sz w:val="16"/>
                            </w:rPr>
                          </w:pPr>
                        </w:p>
                        <w:p w:rsidR="00A239C4" w:rsidRDefault="00A239C4" w:rsidP="008244DC">
                          <w:pPr>
                            <w:ind w:left="-90"/>
                          </w:pPr>
                          <w:r>
                            <w:rPr>
                              <w:rFonts w:hint="eastAsia"/>
                            </w:rPr>
                            <w:t>F</w:t>
                          </w:r>
                        </w:p>
                        <w:p w:rsidR="00A239C4" w:rsidRDefault="00A239C4" w:rsidP="008244DC">
                          <w:pPr>
                            <w:ind w:left="-90"/>
                            <w:rPr>
                              <w:sz w:val="10"/>
                            </w:rPr>
                          </w:pPr>
                        </w:p>
                        <w:p w:rsidR="00A239C4" w:rsidRDefault="00A239C4" w:rsidP="008244DC">
                          <w:pPr>
                            <w:ind w:left="-90"/>
                            <w:rPr>
                              <w:sz w:val="16"/>
                            </w:rPr>
                          </w:pPr>
                        </w:p>
                        <w:p w:rsidR="00A239C4" w:rsidRDefault="00A239C4" w:rsidP="008244DC">
                          <w:pPr>
                            <w:ind w:left="-90"/>
                            <w:rPr>
                              <w:sz w:val="16"/>
                            </w:rPr>
                          </w:pPr>
                        </w:p>
                        <w:p w:rsidR="00A239C4" w:rsidRDefault="00A239C4" w:rsidP="008244DC">
                          <w:pPr>
                            <w:ind w:left="-90"/>
                            <w:rPr>
                              <w:sz w:val="16"/>
                            </w:rPr>
                          </w:pPr>
                          <w:r>
                            <w:rPr>
                              <w:rFonts w:hint="eastAsia"/>
                            </w:rPr>
                            <w:t>G</w:t>
                          </w:r>
                        </w:p>
                        <w:p w:rsidR="00A239C4" w:rsidRDefault="00A239C4" w:rsidP="008244DC">
                          <w:pPr>
                            <w:ind w:left="-90"/>
                            <w:rPr>
                              <w:sz w:val="10"/>
                            </w:rPr>
                          </w:pPr>
                        </w:p>
                        <w:p w:rsidR="00A239C4" w:rsidRDefault="00A239C4" w:rsidP="008244DC">
                          <w:pPr>
                            <w:ind w:left="-90"/>
                            <w:rPr>
                              <w:sz w:val="16"/>
                            </w:rPr>
                          </w:pPr>
                        </w:p>
                        <w:p w:rsidR="00A239C4" w:rsidRDefault="00A239C4" w:rsidP="008244DC">
                          <w:pPr>
                            <w:ind w:left="-90"/>
                            <w:rPr>
                              <w:sz w:val="16"/>
                            </w:rPr>
                          </w:pPr>
                        </w:p>
                        <w:p w:rsidR="00A239C4" w:rsidRDefault="00A239C4" w:rsidP="008244DC">
                          <w:pPr>
                            <w:ind w:left="-90"/>
                            <w:rPr>
                              <w:sz w:val="16"/>
                            </w:rPr>
                          </w:pPr>
                          <w:r>
                            <w:rPr>
                              <w:rFonts w:hint="eastAsia"/>
                            </w:rPr>
                            <w:t>H</w:t>
                          </w:r>
                        </w:p>
                        <w:p w:rsidR="00A239C4" w:rsidRDefault="00A239C4" w:rsidP="008244DC">
                          <w:pPr>
                            <w:ind w:left="-90"/>
                            <w:rPr>
                              <w:sz w:val="10"/>
                            </w:rPr>
                          </w:pPr>
                        </w:p>
                        <w:p w:rsidR="00A239C4" w:rsidRDefault="00A239C4" w:rsidP="008244DC">
                          <w:pPr>
                            <w:ind w:left="-90"/>
                            <w:rPr>
                              <w:sz w:val="16"/>
                            </w:rPr>
                          </w:pPr>
                        </w:p>
                        <w:p w:rsidR="00A239C4" w:rsidRDefault="00A239C4" w:rsidP="008244DC">
                          <w:pPr>
                            <w:ind w:left="-90"/>
                            <w:rPr>
                              <w:sz w:val="16"/>
                            </w:rPr>
                          </w:pPr>
                        </w:p>
                        <w:p w:rsidR="00A239C4" w:rsidRDefault="00A239C4" w:rsidP="008244DC">
                          <w:pPr>
                            <w:ind w:left="-90"/>
                            <w:rPr>
                              <w:sz w:val="16"/>
                            </w:rPr>
                          </w:pPr>
                          <w:r>
                            <w:rPr>
                              <w:rFonts w:hint="eastAsia"/>
                            </w:rPr>
                            <w:t>I</w:t>
                          </w:r>
                        </w:p>
                        <w:p w:rsidR="00A239C4" w:rsidRDefault="00A239C4" w:rsidP="008244DC">
                          <w:pPr>
                            <w:ind w:left="-90"/>
                            <w:rPr>
                              <w:sz w:val="10"/>
                            </w:rPr>
                          </w:pPr>
                        </w:p>
                        <w:p w:rsidR="00A239C4" w:rsidRDefault="00A239C4" w:rsidP="008244DC">
                          <w:pPr>
                            <w:ind w:left="-90"/>
                            <w:rPr>
                              <w:sz w:val="16"/>
                            </w:rPr>
                          </w:pPr>
                        </w:p>
                        <w:p w:rsidR="00A239C4" w:rsidRDefault="00A239C4" w:rsidP="008244DC">
                          <w:pPr>
                            <w:ind w:left="-90"/>
                            <w:rPr>
                              <w:sz w:val="16"/>
                            </w:rPr>
                          </w:pPr>
                        </w:p>
                        <w:p w:rsidR="00A239C4" w:rsidRDefault="00A239C4" w:rsidP="008244DC">
                          <w:pPr>
                            <w:ind w:left="-90"/>
                            <w:rPr>
                              <w:sz w:val="16"/>
                            </w:rPr>
                          </w:pPr>
                          <w:r>
                            <w:rPr>
                              <w:rFonts w:hint="eastAsia"/>
                            </w:rPr>
                            <w:t>J</w:t>
                          </w:r>
                        </w:p>
                        <w:p w:rsidR="00A239C4" w:rsidRDefault="00A239C4" w:rsidP="008244DC">
                          <w:pPr>
                            <w:ind w:left="-90"/>
                            <w:rPr>
                              <w:sz w:val="10"/>
                            </w:rPr>
                          </w:pPr>
                        </w:p>
                        <w:p w:rsidR="00A239C4" w:rsidRDefault="00A239C4" w:rsidP="008244DC">
                          <w:pPr>
                            <w:ind w:left="-90"/>
                            <w:rPr>
                              <w:sz w:val="16"/>
                            </w:rPr>
                          </w:pPr>
                        </w:p>
                        <w:p w:rsidR="00A239C4" w:rsidRDefault="00A239C4" w:rsidP="008244DC">
                          <w:pPr>
                            <w:ind w:left="-90"/>
                            <w:rPr>
                              <w:sz w:val="16"/>
                            </w:rPr>
                          </w:pPr>
                        </w:p>
                        <w:p w:rsidR="00A239C4" w:rsidRDefault="00A239C4" w:rsidP="008244DC">
                          <w:pPr>
                            <w:ind w:left="-90"/>
                            <w:rPr>
                              <w:sz w:val="16"/>
                            </w:rPr>
                          </w:pPr>
                          <w:r>
                            <w:rPr>
                              <w:rFonts w:hint="eastAsia"/>
                            </w:rPr>
                            <w:t>K</w:t>
                          </w:r>
                        </w:p>
                        <w:p w:rsidR="00A239C4" w:rsidRDefault="00A239C4" w:rsidP="008244DC">
                          <w:pPr>
                            <w:ind w:left="-90"/>
                            <w:rPr>
                              <w:sz w:val="10"/>
                            </w:rPr>
                          </w:pPr>
                        </w:p>
                        <w:p w:rsidR="00A239C4" w:rsidRDefault="00A239C4" w:rsidP="008244DC">
                          <w:pPr>
                            <w:ind w:left="-90"/>
                            <w:rPr>
                              <w:sz w:val="16"/>
                            </w:rPr>
                          </w:pPr>
                        </w:p>
                        <w:p w:rsidR="00A239C4" w:rsidRDefault="00A239C4" w:rsidP="008244DC">
                          <w:pPr>
                            <w:ind w:left="-90"/>
                            <w:rPr>
                              <w:sz w:val="16"/>
                            </w:rPr>
                          </w:pPr>
                        </w:p>
                        <w:p w:rsidR="00A239C4" w:rsidRDefault="00A239C4" w:rsidP="008244DC">
                          <w:pPr>
                            <w:ind w:left="-90"/>
                            <w:rPr>
                              <w:sz w:val="16"/>
                            </w:rPr>
                          </w:pPr>
                          <w:r>
                            <w:rPr>
                              <w:rFonts w:hint="eastAsia"/>
                            </w:rPr>
                            <w:t>L</w:t>
                          </w:r>
                        </w:p>
                        <w:p w:rsidR="00A239C4" w:rsidRDefault="00A239C4" w:rsidP="008244DC">
                          <w:pPr>
                            <w:ind w:left="-90"/>
                            <w:rPr>
                              <w:sz w:val="10"/>
                            </w:rPr>
                          </w:pPr>
                        </w:p>
                        <w:p w:rsidR="00A239C4" w:rsidRDefault="00A239C4" w:rsidP="008244DC">
                          <w:pPr>
                            <w:ind w:left="-90"/>
                            <w:rPr>
                              <w:sz w:val="16"/>
                            </w:rPr>
                          </w:pPr>
                        </w:p>
                        <w:p w:rsidR="00A239C4" w:rsidRDefault="00A239C4" w:rsidP="008244DC">
                          <w:pPr>
                            <w:ind w:left="-90"/>
                            <w:rPr>
                              <w:sz w:val="16"/>
                            </w:rPr>
                          </w:pPr>
                        </w:p>
                        <w:p w:rsidR="00A239C4" w:rsidRDefault="00A239C4" w:rsidP="008244DC">
                          <w:pPr>
                            <w:ind w:left="-90"/>
                            <w:rPr>
                              <w:sz w:val="16"/>
                            </w:rPr>
                          </w:pPr>
                          <w:r>
                            <w:rPr>
                              <w:rFonts w:hint="eastAsia"/>
                            </w:rPr>
                            <w:t>M</w:t>
                          </w:r>
                        </w:p>
                        <w:p w:rsidR="00A239C4" w:rsidRDefault="00A239C4" w:rsidP="008244DC">
                          <w:pPr>
                            <w:ind w:left="-90"/>
                            <w:rPr>
                              <w:sz w:val="10"/>
                            </w:rPr>
                          </w:pPr>
                        </w:p>
                        <w:p w:rsidR="00A239C4" w:rsidRDefault="00A239C4" w:rsidP="008244DC">
                          <w:pPr>
                            <w:ind w:left="-90"/>
                            <w:rPr>
                              <w:sz w:val="16"/>
                            </w:rPr>
                          </w:pPr>
                        </w:p>
                        <w:p w:rsidR="00A239C4" w:rsidRDefault="00A239C4" w:rsidP="008244DC">
                          <w:pPr>
                            <w:ind w:left="-90"/>
                            <w:rPr>
                              <w:sz w:val="16"/>
                            </w:rPr>
                          </w:pPr>
                        </w:p>
                        <w:p w:rsidR="00A239C4" w:rsidRDefault="00A239C4" w:rsidP="008244DC">
                          <w:pPr>
                            <w:ind w:left="-90"/>
                            <w:rPr>
                              <w:sz w:val="16"/>
                            </w:rPr>
                          </w:pPr>
                          <w:r>
                            <w:rPr>
                              <w:rFonts w:hint="eastAsia"/>
                            </w:rPr>
                            <w:t>N</w:t>
                          </w:r>
                        </w:p>
                        <w:p w:rsidR="00A239C4" w:rsidRDefault="00A239C4" w:rsidP="008244DC">
                          <w:pPr>
                            <w:ind w:left="-90"/>
                            <w:rPr>
                              <w:sz w:val="10"/>
                            </w:rPr>
                          </w:pPr>
                        </w:p>
                        <w:p w:rsidR="00A239C4" w:rsidRDefault="00A239C4" w:rsidP="008244DC">
                          <w:pPr>
                            <w:ind w:left="-90"/>
                            <w:rPr>
                              <w:sz w:val="16"/>
                            </w:rPr>
                          </w:pPr>
                        </w:p>
                        <w:p w:rsidR="00A239C4" w:rsidRDefault="00A239C4" w:rsidP="008244DC">
                          <w:pPr>
                            <w:ind w:left="-90"/>
                            <w:rPr>
                              <w:sz w:val="16"/>
                            </w:rPr>
                          </w:pPr>
                        </w:p>
                        <w:p w:rsidR="00A239C4" w:rsidRDefault="00A239C4" w:rsidP="008244DC">
                          <w:pPr>
                            <w:ind w:left="-90"/>
                            <w:rPr>
                              <w:sz w:val="16"/>
                            </w:rPr>
                          </w:pPr>
                          <w:r>
                            <w:rPr>
                              <w:rFonts w:hint="eastAsia"/>
                            </w:rPr>
                            <w:t>O</w:t>
                          </w:r>
                        </w:p>
                        <w:p w:rsidR="00A239C4" w:rsidRDefault="00A239C4" w:rsidP="008244DC">
                          <w:pPr>
                            <w:ind w:left="-90"/>
                            <w:rPr>
                              <w:sz w:val="10"/>
                            </w:rPr>
                          </w:pPr>
                        </w:p>
                        <w:p w:rsidR="00A239C4" w:rsidRDefault="00A239C4" w:rsidP="008244DC">
                          <w:pPr>
                            <w:ind w:left="-90"/>
                            <w:rPr>
                              <w:sz w:val="16"/>
                            </w:rPr>
                          </w:pPr>
                        </w:p>
                        <w:p w:rsidR="00A239C4" w:rsidRDefault="00A239C4" w:rsidP="008244DC">
                          <w:pPr>
                            <w:ind w:left="-90"/>
                            <w:rPr>
                              <w:sz w:val="16"/>
                            </w:rPr>
                          </w:pPr>
                        </w:p>
                        <w:p w:rsidR="00A239C4" w:rsidRDefault="00A239C4" w:rsidP="008244DC">
                          <w:pPr>
                            <w:ind w:left="-90"/>
                            <w:rPr>
                              <w:sz w:val="16"/>
                            </w:rPr>
                          </w:pPr>
                          <w:r>
                            <w:rPr>
                              <w:rFonts w:hint="eastAsia"/>
                            </w:rPr>
                            <w:t>P</w:t>
                          </w:r>
                        </w:p>
                        <w:p w:rsidR="00A239C4" w:rsidRDefault="00A239C4" w:rsidP="008244DC">
                          <w:pPr>
                            <w:ind w:left="-90"/>
                            <w:rPr>
                              <w:sz w:val="10"/>
                            </w:rPr>
                          </w:pPr>
                        </w:p>
                        <w:p w:rsidR="00A239C4" w:rsidRDefault="00A239C4" w:rsidP="008244DC">
                          <w:pPr>
                            <w:ind w:left="-90"/>
                            <w:rPr>
                              <w:sz w:val="16"/>
                            </w:rPr>
                          </w:pPr>
                        </w:p>
                        <w:p w:rsidR="00A239C4" w:rsidRDefault="00A239C4" w:rsidP="008244DC">
                          <w:pPr>
                            <w:ind w:left="-90"/>
                            <w:rPr>
                              <w:sz w:val="16"/>
                            </w:rPr>
                          </w:pPr>
                        </w:p>
                        <w:p w:rsidR="00A239C4" w:rsidRDefault="00A239C4" w:rsidP="008244DC">
                          <w:pPr>
                            <w:ind w:left="-90"/>
                            <w:rPr>
                              <w:sz w:val="16"/>
                            </w:rPr>
                          </w:pPr>
                          <w:r>
                            <w:rPr>
                              <w:rFonts w:hint="eastAsia"/>
                            </w:rPr>
                            <w:t>Q</w:t>
                          </w:r>
                        </w:p>
                        <w:p w:rsidR="00A239C4" w:rsidRDefault="00A239C4" w:rsidP="008244DC">
                          <w:pPr>
                            <w:ind w:left="-90"/>
                            <w:rPr>
                              <w:sz w:val="10"/>
                            </w:rPr>
                          </w:pPr>
                        </w:p>
                        <w:p w:rsidR="00A239C4" w:rsidRDefault="00A239C4" w:rsidP="008244DC">
                          <w:pPr>
                            <w:ind w:left="-90"/>
                            <w:rPr>
                              <w:sz w:val="16"/>
                            </w:rPr>
                          </w:pPr>
                        </w:p>
                        <w:p w:rsidR="00A239C4" w:rsidRDefault="00A239C4" w:rsidP="008244DC">
                          <w:pPr>
                            <w:ind w:left="-90"/>
                            <w:rPr>
                              <w:sz w:val="16"/>
                            </w:rPr>
                          </w:pPr>
                        </w:p>
                        <w:p w:rsidR="00A239C4" w:rsidRDefault="00A239C4" w:rsidP="008244DC">
                          <w:pPr>
                            <w:ind w:left="-90"/>
                            <w:rPr>
                              <w:sz w:val="16"/>
                            </w:rPr>
                          </w:pPr>
                          <w:r>
                            <w:rPr>
                              <w:rFonts w:hint="eastAsia"/>
                            </w:rPr>
                            <w:t>R</w:t>
                          </w:r>
                        </w:p>
                        <w:p w:rsidR="00A239C4" w:rsidRDefault="00A239C4" w:rsidP="008244DC">
                          <w:pPr>
                            <w:ind w:left="-90"/>
                            <w:rPr>
                              <w:sz w:val="10"/>
                            </w:rPr>
                          </w:pPr>
                        </w:p>
                        <w:p w:rsidR="00A239C4" w:rsidRDefault="00A239C4" w:rsidP="008244DC">
                          <w:pPr>
                            <w:ind w:left="-90"/>
                            <w:rPr>
                              <w:sz w:val="16"/>
                            </w:rPr>
                          </w:pPr>
                        </w:p>
                        <w:p w:rsidR="00A239C4" w:rsidRDefault="00A239C4" w:rsidP="008244DC">
                          <w:pPr>
                            <w:ind w:left="-90"/>
                            <w:rPr>
                              <w:sz w:val="16"/>
                            </w:rPr>
                          </w:pPr>
                        </w:p>
                        <w:p w:rsidR="00A239C4" w:rsidRDefault="00A239C4" w:rsidP="008244DC">
                          <w:pPr>
                            <w:ind w:left="-90"/>
                            <w:rPr>
                              <w:sz w:val="16"/>
                            </w:rPr>
                          </w:pPr>
                          <w:r>
                            <w:rPr>
                              <w:rFonts w:hint="eastAsia"/>
                            </w:rPr>
                            <w:t>S</w:t>
                          </w:r>
                        </w:p>
                        <w:p w:rsidR="00A239C4" w:rsidRDefault="00A239C4" w:rsidP="008244DC">
                          <w:pPr>
                            <w:ind w:left="-90"/>
                            <w:rPr>
                              <w:sz w:val="10"/>
                            </w:rPr>
                          </w:pPr>
                        </w:p>
                        <w:p w:rsidR="00A239C4" w:rsidRDefault="00A239C4" w:rsidP="008244DC">
                          <w:pPr>
                            <w:ind w:left="-90"/>
                            <w:rPr>
                              <w:sz w:val="16"/>
                            </w:rPr>
                          </w:pPr>
                        </w:p>
                        <w:p w:rsidR="00A239C4" w:rsidRDefault="00A239C4" w:rsidP="008244DC">
                          <w:pPr>
                            <w:ind w:left="-90"/>
                            <w:rPr>
                              <w:sz w:val="16"/>
                            </w:rPr>
                          </w:pPr>
                        </w:p>
                        <w:p w:rsidR="00A239C4" w:rsidRDefault="00A239C4" w:rsidP="008244DC">
                          <w:pPr>
                            <w:ind w:left="-90"/>
                            <w:rPr>
                              <w:sz w:val="16"/>
                            </w:rPr>
                          </w:pPr>
                          <w:r>
                            <w:rPr>
                              <w:rFonts w:hint="eastAsia"/>
                            </w:rPr>
                            <w:t>T</w:t>
                          </w:r>
                        </w:p>
                        <w:p w:rsidR="00A239C4" w:rsidRDefault="00A239C4" w:rsidP="008244DC">
                          <w:pPr>
                            <w:ind w:left="-90"/>
                            <w:rPr>
                              <w:sz w:val="10"/>
                            </w:rPr>
                          </w:pPr>
                        </w:p>
                        <w:p w:rsidR="00A239C4" w:rsidRDefault="00A239C4" w:rsidP="008244DC">
                          <w:pPr>
                            <w:ind w:left="-90"/>
                            <w:rPr>
                              <w:sz w:val="16"/>
                            </w:rPr>
                          </w:pPr>
                        </w:p>
                        <w:p w:rsidR="00A239C4" w:rsidRDefault="00A239C4" w:rsidP="008244DC">
                          <w:pPr>
                            <w:ind w:left="-90"/>
                            <w:rPr>
                              <w:sz w:val="16"/>
                            </w:rPr>
                          </w:pPr>
                        </w:p>
                        <w:p w:rsidR="00A239C4" w:rsidRDefault="00A239C4" w:rsidP="008244DC">
                          <w:pPr>
                            <w:ind w:left="-90"/>
                            <w:rPr>
                              <w:sz w:val="16"/>
                            </w:rPr>
                          </w:pPr>
                          <w:r>
                            <w:rPr>
                              <w:rFonts w:hint="eastAsia"/>
                            </w:rPr>
                            <w:t>U</w:t>
                          </w:r>
                        </w:p>
                        <w:p w:rsidR="00A239C4" w:rsidRDefault="00A239C4" w:rsidP="008244DC">
                          <w:pPr>
                            <w:ind w:left="-90"/>
                            <w:rPr>
                              <w:sz w:val="10"/>
                            </w:rPr>
                          </w:pPr>
                        </w:p>
                        <w:p w:rsidR="00A239C4" w:rsidRDefault="00A239C4" w:rsidP="008244DC">
                          <w:pPr>
                            <w:ind w:left="-90"/>
                            <w:rPr>
                              <w:sz w:val="16"/>
                            </w:rPr>
                          </w:pPr>
                        </w:p>
                        <w:p w:rsidR="00A239C4" w:rsidRDefault="00A239C4" w:rsidP="008244DC">
                          <w:pPr>
                            <w:ind w:left="-90"/>
                            <w:rPr>
                              <w:sz w:val="16"/>
                            </w:rPr>
                          </w:pPr>
                        </w:p>
                        <w:p w:rsidR="00A239C4" w:rsidRDefault="00A239C4" w:rsidP="008244DC">
                          <w:pPr>
                            <w:ind w:left="-90"/>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B775C9" id="_x0000_t202" coordsize="21600,21600" o:spt="202" path="m,l,21600r21600,l21600,xe">
              <v:stroke joinstyle="miter"/>
              <v:path gradientshapeok="t" o:connecttype="rect"/>
            </v:shapetype>
            <v:shape id="Text Box 13" o:spid="_x0000_s1029" type="#_x0000_t202" style="position:absolute;left:0;text-align:left;margin-left:551.05pt;margin-top:3.4pt;width:49.6pt;height:795.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" stroked="f">
              <v:textbox>
                <w:txbxContent>
                  <w:p w:rsidR="002D7AD7" w:rsidRDefault="002D7AD7" w:rsidP="008244DC">
                    <w:pPr>
                      <w:ind w:left="-90"/>
                    </w:pPr>
                    <w:r>
                      <w:rPr>
                        <w:rFonts w:hint="eastAsia"/>
                      </w:rPr>
                      <w:t>A</w:t>
                    </w:r>
                  </w:p>
                  <w:p w:rsidR="002D7AD7" w:rsidRDefault="002D7AD7" w:rsidP="008244DC">
                    <w:pPr>
                      <w:ind w:left="-90"/>
                      <w:rPr>
                        <w:sz w:val="10"/>
                      </w:rPr>
                    </w:pPr>
                  </w:p>
                  <w:p w:rsidR="002D7AD7" w:rsidRDefault="002D7AD7" w:rsidP="008244DC">
                    <w:pPr>
                      <w:ind w:left="-90"/>
                      <w:rPr>
                        <w:sz w:val="16"/>
                      </w:rPr>
                    </w:pPr>
                  </w:p>
                  <w:p w:rsidR="002D7AD7" w:rsidRDefault="002D7AD7" w:rsidP="008244DC">
                    <w:pPr>
                      <w:ind w:left="-90"/>
                      <w:rPr>
                        <w:sz w:val="16"/>
                      </w:rPr>
                    </w:pPr>
                  </w:p>
                  <w:p w:rsidR="002D7AD7" w:rsidRDefault="002D7AD7" w:rsidP="008244DC">
                    <w:pPr>
                      <w:pStyle w:val="Heading6"/>
                      <w:ind w:left="-90"/>
                    </w:pPr>
                    <w:r>
                      <w:rPr>
                        <w:rFonts w:hint="eastAsia"/>
                      </w:rPr>
                      <w:t>B</w:t>
                    </w:r>
                  </w:p>
                  <w:p w:rsidR="002D7AD7" w:rsidRDefault="002D7AD7" w:rsidP="008244DC">
                    <w:pPr>
                      <w:ind w:left="-90"/>
                      <w:rPr>
                        <w:sz w:val="10"/>
                      </w:rPr>
                    </w:pPr>
                  </w:p>
                  <w:p w:rsidR="002D7AD7" w:rsidRDefault="002D7AD7" w:rsidP="008244DC">
                    <w:pPr>
                      <w:ind w:left="-90"/>
                      <w:rPr>
                        <w:sz w:val="16"/>
                      </w:rPr>
                    </w:pPr>
                  </w:p>
                  <w:p w:rsidR="002D7AD7" w:rsidRDefault="002D7AD7" w:rsidP="008244DC">
                    <w:pPr>
                      <w:ind w:left="-90"/>
                      <w:rPr>
                        <w:sz w:val="16"/>
                      </w:rPr>
                    </w:pPr>
                  </w:p>
                  <w:p w:rsidR="002D7AD7" w:rsidRDefault="002D7AD7" w:rsidP="008244DC">
                    <w:pPr>
                      <w:ind w:left="-90"/>
                      <w:rPr>
                        <w:sz w:val="16"/>
                      </w:rPr>
                    </w:pPr>
                    <w:r>
                      <w:rPr>
                        <w:rFonts w:hint="eastAsia"/>
                      </w:rPr>
                      <w:t>C</w:t>
                    </w:r>
                  </w:p>
                  <w:p w:rsidR="002D7AD7" w:rsidRDefault="002D7AD7" w:rsidP="008244DC">
                    <w:pPr>
                      <w:ind w:left="-90"/>
                      <w:rPr>
                        <w:sz w:val="10"/>
                      </w:rPr>
                    </w:pPr>
                  </w:p>
                  <w:p w:rsidR="002D7AD7" w:rsidRDefault="002D7AD7" w:rsidP="008244DC">
                    <w:pPr>
                      <w:ind w:left="-90"/>
                      <w:rPr>
                        <w:sz w:val="16"/>
                      </w:rPr>
                    </w:pPr>
                  </w:p>
                  <w:p w:rsidR="002D7AD7" w:rsidRDefault="002D7AD7" w:rsidP="008244DC">
                    <w:pPr>
                      <w:ind w:left="-90"/>
                      <w:rPr>
                        <w:sz w:val="16"/>
                      </w:rPr>
                    </w:pPr>
                  </w:p>
                  <w:p w:rsidR="002D7AD7" w:rsidRDefault="002D7AD7" w:rsidP="008244DC">
                    <w:pPr>
                      <w:ind w:left="-90"/>
                    </w:pPr>
                    <w:r>
                      <w:rPr>
                        <w:rFonts w:hint="eastAsia"/>
                      </w:rPr>
                      <w:t>D</w:t>
                    </w:r>
                  </w:p>
                  <w:p w:rsidR="002D7AD7" w:rsidRDefault="002D7AD7" w:rsidP="008244DC">
                    <w:pPr>
                      <w:ind w:left="-90"/>
                      <w:rPr>
                        <w:sz w:val="10"/>
                      </w:rPr>
                    </w:pPr>
                  </w:p>
                  <w:p w:rsidR="002D7AD7" w:rsidRDefault="002D7AD7" w:rsidP="008244DC">
                    <w:pPr>
                      <w:ind w:left="-90"/>
                      <w:rPr>
                        <w:sz w:val="16"/>
                      </w:rPr>
                    </w:pPr>
                  </w:p>
                  <w:p w:rsidR="002D7AD7" w:rsidRDefault="002D7AD7" w:rsidP="008244DC">
                    <w:pPr>
                      <w:ind w:left="-90"/>
                      <w:rPr>
                        <w:sz w:val="16"/>
                      </w:rPr>
                    </w:pPr>
                  </w:p>
                  <w:p w:rsidR="002D7AD7" w:rsidRDefault="002D7AD7" w:rsidP="008244DC">
                    <w:pPr>
                      <w:ind w:left="-90"/>
                      <w:rPr>
                        <w:sz w:val="16"/>
                      </w:rPr>
                    </w:pPr>
                    <w:r>
                      <w:rPr>
                        <w:rFonts w:hint="eastAsia"/>
                      </w:rPr>
                      <w:t>E</w:t>
                    </w:r>
                  </w:p>
                  <w:p w:rsidR="002D7AD7" w:rsidRDefault="002D7AD7" w:rsidP="008244DC">
                    <w:pPr>
                      <w:ind w:left="-90"/>
                      <w:rPr>
                        <w:sz w:val="10"/>
                      </w:rPr>
                    </w:pPr>
                  </w:p>
                  <w:p w:rsidR="002D7AD7" w:rsidRDefault="002D7AD7" w:rsidP="008244DC">
                    <w:pPr>
                      <w:ind w:left="-90"/>
                      <w:rPr>
                        <w:sz w:val="16"/>
                      </w:rPr>
                    </w:pPr>
                  </w:p>
                  <w:p w:rsidR="002D7AD7" w:rsidRDefault="002D7AD7" w:rsidP="008244DC">
                    <w:pPr>
                      <w:ind w:left="-90"/>
                      <w:rPr>
                        <w:sz w:val="16"/>
                      </w:rPr>
                    </w:pPr>
                  </w:p>
                  <w:p w:rsidR="002D7AD7" w:rsidRDefault="002D7AD7" w:rsidP="008244DC">
                    <w:pPr>
                      <w:ind w:left="-90"/>
                    </w:pPr>
                    <w:r>
                      <w:rPr>
                        <w:rFonts w:hint="eastAsia"/>
                      </w:rPr>
                      <w:t>F</w:t>
                    </w:r>
                  </w:p>
                  <w:p w:rsidR="002D7AD7" w:rsidRDefault="002D7AD7" w:rsidP="008244DC">
                    <w:pPr>
                      <w:ind w:left="-90"/>
                      <w:rPr>
                        <w:sz w:val="10"/>
                      </w:rPr>
                    </w:pPr>
                  </w:p>
                  <w:p w:rsidR="002D7AD7" w:rsidRDefault="002D7AD7" w:rsidP="008244DC">
                    <w:pPr>
                      <w:ind w:left="-90"/>
                      <w:rPr>
                        <w:sz w:val="16"/>
                      </w:rPr>
                    </w:pPr>
                  </w:p>
                  <w:p w:rsidR="002D7AD7" w:rsidRDefault="002D7AD7" w:rsidP="008244DC">
                    <w:pPr>
                      <w:ind w:left="-90"/>
                      <w:rPr>
                        <w:sz w:val="16"/>
                      </w:rPr>
                    </w:pPr>
                  </w:p>
                  <w:p w:rsidR="002D7AD7" w:rsidRDefault="002D7AD7" w:rsidP="008244DC">
                    <w:pPr>
                      <w:ind w:left="-90"/>
                      <w:rPr>
                        <w:sz w:val="16"/>
                      </w:rPr>
                    </w:pPr>
                    <w:r>
                      <w:rPr>
                        <w:rFonts w:hint="eastAsia"/>
                      </w:rPr>
                      <w:t>G</w:t>
                    </w:r>
                  </w:p>
                  <w:p w:rsidR="002D7AD7" w:rsidRDefault="002D7AD7" w:rsidP="008244DC">
                    <w:pPr>
                      <w:ind w:left="-90"/>
                      <w:rPr>
                        <w:sz w:val="10"/>
                      </w:rPr>
                    </w:pPr>
                  </w:p>
                  <w:p w:rsidR="002D7AD7" w:rsidRDefault="002D7AD7" w:rsidP="008244DC">
                    <w:pPr>
                      <w:ind w:left="-90"/>
                      <w:rPr>
                        <w:sz w:val="16"/>
                      </w:rPr>
                    </w:pPr>
                  </w:p>
                  <w:p w:rsidR="002D7AD7" w:rsidRDefault="002D7AD7" w:rsidP="008244DC">
                    <w:pPr>
                      <w:ind w:left="-90"/>
                      <w:rPr>
                        <w:sz w:val="16"/>
                      </w:rPr>
                    </w:pPr>
                  </w:p>
                  <w:p w:rsidR="002D7AD7" w:rsidRDefault="002D7AD7" w:rsidP="008244DC">
                    <w:pPr>
                      <w:ind w:left="-90"/>
                      <w:rPr>
                        <w:sz w:val="16"/>
                      </w:rPr>
                    </w:pPr>
                    <w:r>
                      <w:rPr>
                        <w:rFonts w:hint="eastAsia"/>
                      </w:rPr>
                      <w:t>H</w:t>
                    </w:r>
                  </w:p>
                  <w:p w:rsidR="002D7AD7" w:rsidRDefault="002D7AD7" w:rsidP="008244DC">
                    <w:pPr>
                      <w:ind w:left="-90"/>
                      <w:rPr>
                        <w:sz w:val="10"/>
                      </w:rPr>
                    </w:pPr>
                  </w:p>
                  <w:p w:rsidR="002D7AD7" w:rsidRDefault="002D7AD7" w:rsidP="008244DC">
                    <w:pPr>
                      <w:ind w:left="-90"/>
                      <w:rPr>
                        <w:sz w:val="16"/>
                      </w:rPr>
                    </w:pPr>
                  </w:p>
                  <w:p w:rsidR="002D7AD7" w:rsidRDefault="002D7AD7" w:rsidP="008244DC">
                    <w:pPr>
                      <w:ind w:left="-90"/>
                      <w:rPr>
                        <w:sz w:val="16"/>
                      </w:rPr>
                    </w:pPr>
                  </w:p>
                  <w:p w:rsidR="002D7AD7" w:rsidRDefault="002D7AD7" w:rsidP="008244DC">
                    <w:pPr>
                      <w:ind w:left="-90"/>
                      <w:rPr>
                        <w:sz w:val="16"/>
                      </w:rPr>
                    </w:pPr>
                    <w:r>
                      <w:rPr>
                        <w:rFonts w:hint="eastAsia"/>
                      </w:rPr>
                      <w:t>I</w:t>
                    </w:r>
                  </w:p>
                  <w:p w:rsidR="002D7AD7" w:rsidRDefault="002D7AD7" w:rsidP="008244DC">
                    <w:pPr>
                      <w:ind w:left="-90"/>
                      <w:rPr>
                        <w:sz w:val="10"/>
                      </w:rPr>
                    </w:pPr>
                  </w:p>
                  <w:p w:rsidR="002D7AD7" w:rsidRDefault="002D7AD7" w:rsidP="008244DC">
                    <w:pPr>
                      <w:ind w:left="-90"/>
                      <w:rPr>
                        <w:sz w:val="16"/>
                      </w:rPr>
                    </w:pPr>
                  </w:p>
                  <w:p w:rsidR="002D7AD7" w:rsidRDefault="002D7AD7" w:rsidP="008244DC">
                    <w:pPr>
                      <w:ind w:left="-90"/>
                      <w:rPr>
                        <w:sz w:val="16"/>
                      </w:rPr>
                    </w:pPr>
                  </w:p>
                  <w:p w:rsidR="002D7AD7" w:rsidRDefault="002D7AD7" w:rsidP="008244DC">
                    <w:pPr>
                      <w:ind w:left="-90"/>
                      <w:rPr>
                        <w:sz w:val="16"/>
                      </w:rPr>
                    </w:pPr>
                    <w:r>
                      <w:rPr>
                        <w:rFonts w:hint="eastAsia"/>
                      </w:rPr>
                      <w:t>J</w:t>
                    </w:r>
                  </w:p>
                  <w:p w:rsidR="002D7AD7" w:rsidRDefault="002D7AD7" w:rsidP="008244DC">
                    <w:pPr>
                      <w:ind w:left="-90"/>
                      <w:rPr>
                        <w:sz w:val="10"/>
                      </w:rPr>
                    </w:pPr>
                  </w:p>
                  <w:p w:rsidR="002D7AD7" w:rsidRDefault="002D7AD7" w:rsidP="008244DC">
                    <w:pPr>
                      <w:ind w:left="-90"/>
                      <w:rPr>
                        <w:sz w:val="16"/>
                      </w:rPr>
                    </w:pPr>
                  </w:p>
                  <w:p w:rsidR="002D7AD7" w:rsidRDefault="002D7AD7" w:rsidP="008244DC">
                    <w:pPr>
                      <w:ind w:left="-90"/>
                      <w:rPr>
                        <w:sz w:val="16"/>
                      </w:rPr>
                    </w:pPr>
                  </w:p>
                  <w:p w:rsidR="002D7AD7" w:rsidRDefault="002D7AD7" w:rsidP="008244DC">
                    <w:pPr>
                      <w:ind w:left="-90"/>
                      <w:rPr>
                        <w:sz w:val="16"/>
                      </w:rPr>
                    </w:pPr>
                    <w:r>
                      <w:rPr>
                        <w:rFonts w:hint="eastAsia"/>
                      </w:rPr>
                      <w:t>K</w:t>
                    </w:r>
                  </w:p>
                  <w:p w:rsidR="002D7AD7" w:rsidRDefault="002D7AD7" w:rsidP="008244DC">
                    <w:pPr>
                      <w:ind w:left="-90"/>
                      <w:rPr>
                        <w:sz w:val="10"/>
                      </w:rPr>
                    </w:pPr>
                  </w:p>
                  <w:p w:rsidR="002D7AD7" w:rsidRDefault="002D7AD7" w:rsidP="008244DC">
                    <w:pPr>
                      <w:ind w:left="-90"/>
                      <w:rPr>
                        <w:sz w:val="16"/>
                      </w:rPr>
                    </w:pPr>
                  </w:p>
                  <w:p w:rsidR="002D7AD7" w:rsidRDefault="002D7AD7" w:rsidP="008244DC">
                    <w:pPr>
                      <w:ind w:left="-90"/>
                      <w:rPr>
                        <w:sz w:val="16"/>
                      </w:rPr>
                    </w:pPr>
                  </w:p>
                  <w:p w:rsidR="002D7AD7" w:rsidRDefault="002D7AD7" w:rsidP="008244DC">
                    <w:pPr>
                      <w:ind w:left="-90"/>
                      <w:rPr>
                        <w:sz w:val="16"/>
                      </w:rPr>
                    </w:pPr>
                    <w:r>
                      <w:rPr>
                        <w:rFonts w:hint="eastAsia"/>
                      </w:rPr>
                      <w:t>L</w:t>
                    </w:r>
                  </w:p>
                  <w:p w:rsidR="002D7AD7" w:rsidRDefault="002D7AD7" w:rsidP="008244DC">
                    <w:pPr>
                      <w:ind w:left="-90"/>
                      <w:rPr>
                        <w:sz w:val="10"/>
                      </w:rPr>
                    </w:pPr>
                  </w:p>
                  <w:p w:rsidR="002D7AD7" w:rsidRDefault="002D7AD7" w:rsidP="008244DC">
                    <w:pPr>
                      <w:ind w:left="-90"/>
                      <w:rPr>
                        <w:sz w:val="16"/>
                      </w:rPr>
                    </w:pPr>
                  </w:p>
                  <w:p w:rsidR="002D7AD7" w:rsidRDefault="002D7AD7" w:rsidP="008244DC">
                    <w:pPr>
                      <w:ind w:left="-90"/>
                      <w:rPr>
                        <w:sz w:val="16"/>
                      </w:rPr>
                    </w:pPr>
                  </w:p>
                  <w:p w:rsidR="002D7AD7" w:rsidRDefault="002D7AD7" w:rsidP="008244DC">
                    <w:pPr>
                      <w:ind w:left="-90"/>
                      <w:rPr>
                        <w:sz w:val="16"/>
                      </w:rPr>
                    </w:pPr>
                    <w:r>
                      <w:rPr>
                        <w:rFonts w:hint="eastAsia"/>
                      </w:rPr>
                      <w:t>M</w:t>
                    </w:r>
                  </w:p>
                  <w:p w:rsidR="002D7AD7" w:rsidRDefault="002D7AD7" w:rsidP="008244DC">
                    <w:pPr>
                      <w:ind w:left="-90"/>
                      <w:rPr>
                        <w:sz w:val="10"/>
                      </w:rPr>
                    </w:pPr>
                  </w:p>
                  <w:p w:rsidR="002D7AD7" w:rsidRDefault="002D7AD7" w:rsidP="008244DC">
                    <w:pPr>
                      <w:ind w:left="-90"/>
                      <w:rPr>
                        <w:sz w:val="16"/>
                      </w:rPr>
                    </w:pPr>
                  </w:p>
                  <w:p w:rsidR="002D7AD7" w:rsidRDefault="002D7AD7" w:rsidP="008244DC">
                    <w:pPr>
                      <w:ind w:left="-90"/>
                      <w:rPr>
                        <w:sz w:val="16"/>
                      </w:rPr>
                    </w:pPr>
                  </w:p>
                  <w:p w:rsidR="002D7AD7" w:rsidRDefault="002D7AD7" w:rsidP="008244DC">
                    <w:pPr>
                      <w:ind w:left="-90"/>
                      <w:rPr>
                        <w:sz w:val="16"/>
                      </w:rPr>
                    </w:pPr>
                    <w:r>
                      <w:rPr>
                        <w:rFonts w:hint="eastAsia"/>
                      </w:rPr>
                      <w:t>N</w:t>
                    </w:r>
                  </w:p>
                  <w:p w:rsidR="002D7AD7" w:rsidRDefault="002D7AD7" w:rsidP="008244DC">
                    <w:pPr>
                      <w:ind w:left="-90"/>
                      <w:rPr>
                        <w:sz w:val="10"/>
                      </w:rPr>
                    </w:pPr>
                  </w:p>
                  <w:p w:rsidR="002D7AD7" w:rsidRDefault="002D7AD7" w:rsidP="008244DC">
                    <w:pPr>
                      <w:ind w:left="-90"/>
                      <w:rPr>
                        <w:sz w:val="16"/>
                      </w:rPr>
                    </w:pPr>
                  </w:p>
                  <w:p w:rsidR="002D7AD7" w:rsidRDefault="002D7AD7" w:rsidP="008244DC">
                    <w:pPr>
                      <w:ind w:left="-90"/>
                      <w:rPr>
                        <w:sz w:val="16"/>
                      </w:rPr>
                    </w:pPr>
                  </w:p>
                  <w:p w:rsidR="002D7AD7" w:rsidRDefault="002D7AD7" w:rsidP="008244DC">
                    <w:pPr>
                      <w:ind w:left="-90"/>
                      <w:rPr>
                        <w:sz w:val="16"/>
                      </w:rPr>
                    </w:pPr>
                    <w:r>
                      <w:rPr>
                        <w:rFonts w:hint="eastAsia"/>
                      </w:rPr>
                      <w:t>O</w:t>
                    </w:r>
                  </w:p>
                  <w:p w:rsidR="002D7AD7" w:rsidRDefault="002D7AD7" w:rsidP="008244DC">
                    <w:pPr>
                      <w:ind w:left="-90"/>
                      <w:rPr>
                        <w:sz w:val="10"/>
                      </w:rPr>
                    </w:pPr>
                  </w:p>
                  <w:p w:rsidR="002D7AD7" w:rsidRDefault="002D7AD7" w:rsidP="008244DC">
                    <w:pPr>
                      <w:ind w:left="-90"/>
                      <w:rPr>
                        <w:sz w:val="16"/>
                      </w:rPr>
                    </w:pPr>
                  </w:p>
                  <w:p w:rsidR="002D7AD7" w:rsidRDefault="002D7AD7" w:rsidP="008244DC">
                    <w:pPr>
                      <w:ind w:left="-90"/>
                      <w:rPr>
                        <w:sz w:val="16"/>
                      </w:rPr>
                    </w:pPr>
                  </w:p>
                  <w:p w:rsidR="002D7AD7" w:rsidRDefault="002D7AD7" w:rsidP="008244DC">
                    <w:pPr>
                      <w:ind w:left="-90"/>
                      <w:rPr>
                        <w:sz w:val="16"/>
                      </w:rPr>
                    </w:pPr>
                    <w:r>
                      <w:rPr>
                        <w:rFonts w:hint="eastAsia"/>
                      </w:rPr>
                      <w:t>P</w:t>
                    </w:r>
                  </w:p>
                  <w:p w:rsidR="002D7AD7" w:rsidRDefault="002D7AD7" w:rsidP="008244DC">
                    <w:pPr>
                      <w:ind w:left="-90"/>
                      <w:rPr>
                        <w:sz w:val="10"/>
                      </w:rPr>
                    </w:pPr>
                  </w:p>
                  <w:p w:rsidR="002D7AD7" w:rsidRDefault="002D7AD7" w:rsidP="008244DC">
                    <w:pPr>
                      <w:ind w:left="-90"/>
                      <w:rPr>
                        <w:sz w:val="16"/>
                      </w:rPr>
                    </w:pPr>
                  </w:p>
                  <w:p w:rsidR="002D7AD7" w:rsidRDefault="002D7AD7" w:rsidP="008244DC">
                    <w:pPr>
                      <w:ind w:left="-90"/>
                      <w:rPr>
                        <w:sz w:val="16"/>
                      </w:rPr>
                    </w:pPr>
                  </w:p>
                  <w:p w:rsidR="002D7AD7" w:rsidRDefault="002D7AD7" w:rsidP="008244DC">
                    <w:pPr>
                      <w:ind w:left="-90"/>
                      <w:rPr>
                        <w:sz w:val="16"/>
                      </w:rPr>
                    </w:pPr>
                    <w:r>
                      <w:rPr>
                        <w:rFonts w:hint="eastAsia"/>
                      </w:rPr>
                      <w:t>Q</w:t>
                    </w:r>
                  </w:p>
                  <w:p w:rsidR="002D7AD7" w:rsidRDefault="002D7AD7" w:rsidP="008244DC">
                    <w:pPr>
                      <w:ind w:left="-90"/>
                      <w:rPr>
                        <w:sz w:val="10"/>
                      </w:rPr>
                    </w:pPr>
                  </w:p>
                  <w:p w:rsidR="002D7AD7" w:rsidRDefault="002D7AD7" w:rsidP="008244DC">
                    <w:pPr>
                      <w:ind w:left="-90"/>
                      <w:rPr>
                        <w:sz w:val="16"/>
                      </w:rPr>
                    </w:pPr>
                  </w:p>
                  <w:p w:rsidR="002D7AD7" w:rsidRDefault="002D7AD7" w:rsidP="008244DC">
                    <w:pPr>
                      <w:ind w:left="-90"/>
                      <w:rPr>
                        <w:sz w:val="16"/>
                      </w:rPr>
                    </w:pPr>
                  </w:p>
                  <w:p w:rsidR="002D7AD7" w:rsidRDefault="002D7AD7" w:rsidP="008244DC">
                    <w:pPr>
                      <w:ind w:left="-90"/>
                      <w:rPr>
                        <w:sz w:val="16"/>
                      </w:rPr>
                    </w:pPr>
                    <w:r>
                      <w:rPr>
                        <w:rFonts w:hint="eastAsia"/>
                      </w:rPr>
                      <w:t>R</w:t>
                    </w:r>
                  </w:p>
                  <w:p w:rsidR="002D7AD7" w:rsidRDefault="002D7AD7" w:rsidP="008244DC">
                    <w:pPr>
                      <w:ind w:left="-90"/>
                      <w:rPr>
                        <w:sz w:val="10"/>
                      </w:rPr>
                    </w:pPr>
                  </w:p>
                  <w:p w:rsidR="002D7AD7" w:rsidRDefault="002D7AD7" w:rsidP="008244DC">
                    <w:pPr>
                      <w:ind w:left="-90"/>
                      <w:rPr>
                        <w:sz w:val="16"/>
                      </w:rPr>
                    </w:pPr>
                  </w:p>
                  <w:p w:rsidR="002D7AD7" w:rsidRDefault="002D7AD7" w:rsidP="008244DC">
                    <w:pPr>
                      <w:ind w:left="-90"/>
                      <w:rPr>
                        <w:sz w:val="16"/>
                      </w:rPr>
                    </w:pPr>
                  </w:p>
                  <w:p w:rsidR="002D7AD7" w:rsidRDefault="002D7AD7" w:rsidP="008244DC">
                    <w:pPr>
                      <w:ind w:left="-90"/>
                      <w:rPr>
                        <w:sz w:val="16"/>
                      </w:rPr>
                    </w:pPr>
                    <w:r>
                      <w:rPr>
                        <w:rFonts w:hint="eastAsia"/>
                      </w:rPr>
                      <w:t>S</w:t>
                    </w:r>
                  </w:p>
                  <w:p w:rsidR="002D7AD7" w:rsidRDefault="002D7AD7" w:rsidP="008244DC">
                    <w:pPr>
                      <w:ind w:left="-90"/>
                      <w:rPr>
                        <w:sz w:val="10"/>
                      </w:rPr>
                    </w:pPr>
                  </w:p>
                  <w:p w:rsidR="002D7AD7" w:rsidRDefault="002D7AD7" w:rsidP="008244DC">
                    <w:pPr>
                      <w:ind w:left="-90"/>
                      <w:rPr>
                        <w:sz w:val="16"/>
                      </w:rPr>
                    </w:pPr>
                  </w:p>
                  <w:p w:rsidR="002D7AD7" w:rsidRDefault="002D7AD7" w:rsidP="008244DC">
                    <w:pPr>
                      <w:ind w:left="-90"/>
                      <w:rPr>
                        <w:sz w:val="16"/>
                      </w:rPr>
                    </w:pPr>
                  </w:p>
                  <w:p w:rsidR="002D7AD7" w:rsidRDefault="002D7AD7" w:rsidP="008244DC">
                    <w:pPr>
                      <w:ind w:left="-90"/>
                      <w:rPr>
                        <w:sz w:val="16"/>
                      </w:rPr>
                    </w:pPr>
                    <w:r>
                      <w:rPr>
                        <w:rFonts w:hint="eastAsia"/>
                      </w:rPr>
                      <w:t>T</w:t>
                    </w:r>
                  </w:p>
                  <w:p w:rsidR="002D7AD7" w:rsidRDefault="002D7AD7" w:rsidP="008244DC">
                    <w:pPr>
                      <w:ind w:left="-90"/>
                      <w:rPr>
                        <w:sz w:val="10"/>
                      </w:rPr>
                    </w:pPr>
                  </w:p>
                  <w:p w:rsidR="002D7AD7" w:rsidRDefault="002D7AD7" w:rsidP="008244DC">
                    <w:pPr>
                      <w:ind w:left="-90"/>
                      <w:rPr>
                        <w:sz w:val="16"/>
                      </w:rPr>
                    </w:pPr>
                  </w:p>
                  <w:p w:rsidR="002D7AD7" w:rsidRDefault="002D7AD7" w:rsidP="008244DC">
                    <w:pPr>
                      <w:ind w:left="-90"/>
                      <w:rPr>
                        <w:sz w:val="16"/>
                      </w:rPr>
                    </w:pPr>
                  </w:p>
                  <w:p w:rsidR="002D7AD7" w:rsidRDefault="002D7AD7" w:rsidP="008244DC">
                    <w:pPr>
                      <w:ind w:left="-90"/>
                      <w:rPr>
                        <w:sz w:val="16"/>
                      </w:rPr>
                    </w:pPr>
                    <w:r>
                      <w:rPr>
                        <w:rFonts w:hint="eastAsia"/>
                      </w:rPr>
                      <w:t>U</w:t>
                    </w:r>
                  </w:p>
                  <w:p w:rsidR="002D7AD7" w:rsidRDefault="002D7AD7" w:rsidP="008244DC">
                    <w:pPr>
                      <w:ind w:left="-90"/>
                      <w:rPr>
                        <w:sz w:val="10"/>
                      </w:rPr>
                    </w:pPr>
                  </w:p>
                  <w:p w:rsidR="002D7AD7" w:rsidRDefault="002D7AD7" w:rsidP="008244DC">
                    <w:pPr>
                      <w:ind w:left="-90"/>
                      <w:rPr>
                        <w:sz w:val="16"/>
                      </w:rPr>
                    </w:pPr>
                  </w:p>
                  <w:p w:rsidR="002D7AD7" w:rsidRDefault="002D7AD7" w:rsidP="008244DC">
                    <w:pPr>
                      <w:ind w:left="-90"/>
                      <w:rPr>
                        <w:sz w:val="16"/>
                      </w:rPr>
                    </w:pPr>
                  </w:p>
                  <w:p w:rsidR="002D7AD7" w:rsidRDefault="002D7AD7" w:rsidP="008244DC">
                    <w:pPr>
                      <w:ind w:left="-90"/>
                    </w:pPr>
                    <w:r>
                      <w:rPr>
                        <w:rFonts w:hint="eastAsia"/>
                      </w:rPr>
                      <w:t>V</w:t>
                    </w:r>
                  </w:p>
                </w:txbxContent>
              </v:textbox>
              <w10:wrap anchorx="page"/>
            </v:shape>
          </w:pict>
        </mc:Fallback>
      </mc:AlternateContent>
    </w:r>
    <w:r>
      <w:rPr>
        <w:noProof/>
        <w:lang w:val="en-US"/>
      </w:rPr>
      <mc:AlternateContent>
        <mc:Choice Requires="wps">
          <w:drawing>
            <wp:anchor distT="0" distB="0" distL="114300" distR="114300" simplePos="0" relativeHeight="251658240" behindDoc="0" locked="0" layoutInCell="1" allowOverlap="1" wp14:anchorId="49C31674" wp14:editId="5C413243">
              <wp:simplePos x="0" y="0"/>
              <wp:positionH relativeFrom="column">
                <wp:posOffset>-909955</wp:posOffset>
              </wp:positionH>
              <wp:positionV relativeFrom="paragraph">
                <wp:posOffset>45720</wp:posOffset>
              </wp:positionV>
              <wp:extent cx="405765" cy="10097135"/>
              <wp:effectExtent l="0" t="0"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 cy="10097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239C4" w:rsidRDefault="00A239C4" w:rsidP="0087327F">
                          <w:r>
                            <w:rPr>
                              <w:rFonts w:hint="eastAsia"/>
                            </w:rPr>
                            <w:t>A</w:t>
                          </w:r>
                        </w:p>
                        <w:p w:rsidR="00A239C4" w:rsidRDefault="00A239C4" w:rsidP="0087327F">
                          <w:pPr>
                            <w:rPr>
                              <w:sz w:val="10"/>
                            </w:rPr>
                          </w:pPr>
                        </w:p>
                        <w:p w:rsidR="00A239C4" w:rsidRDefault="00A239C4" w:rsidP="0087327F">
                          <w:pPr>
                            <w:rPr>
                              <w:sz w:val="16"/>
                            </w:rPr>
                          </w:pPr>
                        </w:p>
                        <w:p w:rsidR="00A239C4" w:rsidRDefault="00A239C4" w:rsidP="0087327F">
                          <w:pPr>
                            <w:rPr>
                              <w:sz w:val="16"/>
                            </w:rPr>
                          </w:pPr>
                        </w:p>
                        <w:p w:rsidR="00A239C4" w:rsidRDefault="00A239C4" w:rsidP="0087327F">
                          <w:r>
                            <w:rPr>
                              <w:rFonts w:hint="eastAsia"/>
                            </w:rPr>
                            <w:t>B</w:t>
                          </w:r>
                        </w:p>
                        <w:p w:rsidR="00A239C4" w:rsidRDefault="00A239C4" w:rsidP="0087327F">
                          <w:pPr>
                            <w:rPr>
                              <w:sz w:val="10"/>
                            </w:rPr>
                          </w:pPr>
                        </w:p>
                        <w:p w:rsidR="00A239C4" w:rsidRDefault="00A239C4" w:rsidP="0087327F">
                          <w:pPr>
                            <w:rPr>
                              <w:sz w:val="16"/>
                            </w:rPr>
                          </w:pPr>
                        </w:p>
                        <w:p w:rsidR="00A239C4" w:rsidRDefault="00A239C4" w:rsidP="0087327F">
                          <w:pPr>
                            <w:rPr>
                              <w:sz w:val="16"/>
                            </w:rPr>
                          </w:pPr>
                        </w:p>
                        <w:p w:rsidR="00A239C4" w:rsidRDefault="00A239C4" w:rsidP="0087327F">
                          <w:pPr>
                            <w:rPr>
                              <w:sz w:val="16"/>
                            </w:rPr>
                          </w:pPr>
                          <w:r>
                            <w:rPr>
                              <w:rFonts w:hint="eastAsia"/>
                            </w:rPr>
                            <w:t>C</w:t>
                          </w:r>
                        </w:p>
                        <w:p w:rsidR="00A239C4" w:rsidRDefault="00A239C4" w:rsidP="0087327F">
                          <w:pPr>
                            <w:rPr>
                              <w:sz w:val="10"/>
                            </w:rPr>
                          </w:pPr>
                        </w:p>
                        <w:p w:rsidR="00A239C4" w:rsidRDefault="00A239C4" w:rsidP="0087327F">
                          <w:pPr>
                            <w:rPr>
                              <w:sz w:val="16"/>
                            </w:rPr>
                          </w:pPr>
                        </w:p>
                        <w:p w:rsidR="00A239C4" w:rsidRDefault="00A239C4" w:rsidP="0087327F">
                          <w:pPr>
                            <w:rPr>
                              <w:sz w:val="16"/>
                            </w:rPr>
                          </w:pPr>
                        </w:p>
                        <w:p w:rsidR="00A239C4" w:rsidRDefault="00A239C4" w:rsidP="0087327F">
                          <w:r>
                            <w:rPr>
                              <w:rFonts w:hint="eastAsia"/>
                            </w:rPr>
                            <w:t>D</w:t>
                          </w:r>
                        </w:p>
                        <w:p w:rsidR="00A239C4" w:rsidRDefault="00A239C4" w:rsidP="0087327F">
                          <w:pPr>
                            <w:rPr>
                              <w:sz w:val="10"/>
                            </w:rPr>
                          </w:pPr>
                        </w:p>
                        <w:p w:rsidR="00A239C4" w:rsidRDefault="00A239C4" w:rsidP="0087327F">
                          <w:pPr>
                            <w:rPr>
                              <w:sz w:val="16"/>
                            </w:rPr>
                          </w:pPr>
                        </w:p>
                        <w:p w:rsidR="00A239C4" w:rsidRDefault="00A239C4" w:rsidP="0087327F">
                          <w:pPr>
                            <w:rPr>
                              <w:sz w:val="16"/>
                            </w:rPr>
                          </w:pPr>
                        </w:p>
                        <w:p w:rsidR="00A239C4" w:rsidRDefault="00A239C4" w:rsidP="0087327F">
                          <w:pPr>
                            <w:rPr>
                              <w:sz w:val="16"/>
                            </w:rPr>
                          </w:pPr>
                          <w:r>
                            <w:rPr>
                              <w:rFonts w:hint="eastAsia"/>
                            </w:rPr>
                            <w:t>E</w:t>
                          </w:r>
                        </w:p>
                        <w:p w:rsidR="00A239C4" w:rsidRDefault="00A239C4" w:rsidP="0087327F">
                          <w:pPr>
                            <w:rPr>
                              <w:sz w:val="10"/>
                            </w:rPr>
                          </w:pPr>
                        </w:p>
                        <w:p w:rsidR="00A239C4" w:rsidRDefault="00A239C4" w:rsidP="0087327F">
                          <w:pPr>
                            <w:rPr>
                              <w:sz w:val="16"/>
                            </w:rPr>
                          </w:pPr>
                        </w:p>
                        <w:p w:rsidR="00A239C4" w:rsidRDefault="00A239C4" w:rsidP="0087327F">
                          <w:pPr>
                            <w:rPr>
                              <w:sz w:val="16"/>
                            </w:rPr>
                          </w:pPr>
                        </w:p>
                        <w:p w:rsidR="00A239C4" w:rsidRDefault="00A239C4" w:rsidP="0087327F">
                          <w:r>
                            <w:rPr>
                              <w:rFonts w:hint="eastAsia"/>
                            </w:rPr>
                            <w:t>F</w:t>
                          </w:r>
                        </w:p>
                        <w:p w:rsidR="00A239C4" w:rsidRDefault="00A239C4" w:rsidP="0087327F">
                          <w:pPr>
                            <w:rPr>
                              <w:sz w:val="10"/>
                            </w:rPr>
                          </w:pPr>
                        </w:p>
                        <w:p w:rsidR="00A239C4" w:rsidRDefault="00A239C4" w:rsidP="0087327F">
                          <w:pPr>
                            <w:rPr>
                              <w:sz w:val="16"/>
                            </w:rPr>
                          </w:pPr>
                        </w:p>
                        <w:p w:rsidR="00A239C4" w:rsidRDefault="00A239C4" w:rsidP="0087327F">
                          <w:pPr>
                            <w:rPr>
                              <w:sz w:val="16"/>
                            </w:rPr>
                          </w:pPr>
                        </w:p>
                        <w:p w:rsidR="00A239C4" w:rsidRDefault="00A239C4" w:rsidP="0087327F">
                          <w:pPr>
                            <w:rPr>
                              <w:sz w:val="16"/>
                            </w:rPr>
                          </w:pPr>
                          <w:r>
                            <w:rPr>
                              <w:rFonts w:hint="eastAsia"/>
                            </w:rPr>
                            <w:t>G</w:t>
                          </w:r>
                        </w:p>
                        <w:p w:rsidR="00A239C4" w:rsidRDefault="00A239C4" w:rsidP="0087327F">
                          <w:pPr>
                            <w:rPr>
                              <w:sz w:val="10"/>
                            </w:rPr>
                          </w:pPr>
                        </w:p>
                        <w:p w:rsidR="00A239C4" w:rsidRDefault="00A239C4" w:rsidP="0087327F">
                          <w:pPr>
                            <w:rPr>
                              <w:sz w:val="16"/>
                            </w:rPr>
                          </w:pPr>
                        </w:p>
                        <w:p w:rsidR="00A239C4" w:rsidRDefault="00A239C4" w:rsidP="0087327F">
                          <w:pPr>
                            <w:rPr>
                              <w:sz w:val="16"/>
                            </w:rPr>
                          </w:pPr>
                        </w:p>
                        <w:p w:rsidR="00A239C4" w:rsidRDefault="00A239C4" w:rsidP="0087327F">
                          <w:pPr>
                            <w:rPr>
                              <w:sz w:val="16"/>
                            </w:rPr>
                          </w:pPr>
                          <w:r>
                            <w:rPr>
                              <w:rFonts w:hint="eastAsia"/>
                            </w:rPr>
                            <w:t>H</w:t>
                          </w:r>
                        </w:p>
                        <w:p w:rsidR="00A239C4" w:rsidRDefault="00A239C4" w:rsidP="0087327F">
                          <w:pPr>
                            <w:rPr>
                              <w:sz w:val="10"/>
                            </w:rPr>
                          </w:pPr>
                        </w:p>
                        <w:p w:rsidR="00A239C4" w:rsidRDefault="00A239C4" w:rsidP="0087327F">
                          <w:pPr>
                            <w:rPr>
                              <w:sz w:val="16"/>
                            </w:rPr>
                          </w:pPr>
                        </w:p>
                        <w:p w:rsidR="00A239C4" w:rsidRDefault="00A239C4" w:rsidP="0087327F">
                          <w:pPr>
                            <w:rPr>
                              <w:sz w:val="16"/>
                            </w:rPr>
                          </w:pPr>
                        </w:p>
                        <w:p w:rsidR="00A239C4" w:rsidRDefault="00A239C4" w:rsidP="0087327F">
                          <w:pPr>
                            <w:rPr>
                              <w:sz w:val="16"/>
                            </w:rPr>
                          </w:pPr>
                          <w:r>
                            <w:rPr>
                              <w:rFonts w:hint="eastAsia"/>
                            </w:rPr>
                            <w:t>I</w:t>
                          </w:r>
                        </w:p>
                        <w:p w:rsidR="00A239C4" w:rsidRDefault="00A239C4" w:rsidP="0087327F">
                          <w:pPr>
                            <w:rPr>
                              <w:sz w:val="10"/>
                            </w:rPr>
                          </w:pPr>
                        </w:p>
                        <w:p w:rsidR="00A239C4" w:rsidRDefault="00A239C4" w:rsidP="0087327F">
                          <w:pPr>
                            <w:rPr>
                              <w:sz w:val="16"/>
                            </w:rPr>
                          </w:pPr>
                        </w:p>
                        <w:p w:rsidR="00A239C4" w:rsidRDefault="00A239C4" w:rsidP="0087327F">
                          <w:pPr>
                            <w:rPr>
                              <w:sz w:val="16"/>
                            </w:rPr>
                          </w:pPr>
                        </w:p>
                        <w:p w:rsidR="00A239C4" w:rsidRDefault="00A239C4" w:rsidP="0087327F">
                          <w:pPr>
                            <w:rPr>
                              <w:sz w:val="16"/>
                            </w:rPr>
                          </w:pPr>
                          <w:r>
                            <w:rPr>
                              <w:rFonts w:hint="eastAsia"/>
                            </w:rPr>
                            <w:t>J</w:t>
                          </w:r>
                        </w:p>
                        <w:p w:rsidR="00A239C4" w:rsidRDefault="00A239C4" w:rsidP="0087327F">
                          <w:pPr>
                            <w:rPr>
                              <w:sz w:val="10"/>
                            </w:rPr>
                          </w:pPr>
                        </w:p>
                        <w:p w:rsidR="00A239C4" w:rsidRDefault="00A239C4" w:rsidP="0087327F">
                          <w:pPr>
                            <w:rPr>
                              <w:sz w:val="16"/>
                            </w:rPr>
                          </w:pPr>
                        </w:p>
                        <w:p w:rsidR="00A239C4" w:rsidRDefault="00A239C4" w:rsidP="0087327F">
                          <w:pPr>
                            <w:rPr>
                              <w:sz w:val="16"/>
                            </w:rPr>
                          </w:pPr>
                        </w:p>
                        <w:p w:rsidR="00A239C4" w:rsidRDefault="00A239C4" w:rsidP="0087327F">
                          <w:pPr>
                            <w:rPr>
                              <w:sz w:val="16"/>
                            </w:rPr>
                          </w:pPr>
                          <w:r>
                            <w:rPr>
                              <w:rFonts w:hint="eastAsia"/>
                            </w:rPr>
                            <w:t>K</w:t>
                          </w:r>
                        </w:p>
                        <w:p w:rsidR="00A239C4" w:rsidRDefault="00A239C4" w:rsidP="0087327F">
                          <w:pPr>
                            <w:rPr>
                              <w:sz w:val="10"/>
                            </w:rPr>
                          </w:pPr>
                        </w:p>
                        <w:p w:rsidR="00A239C4" w:rsidRDefault="00A239C4" w:rsidP="0087327F">
                          <w:pPr>
                            <w:rPr>
                              <w:sz w:val="16"/>
                            </w:rPr>
                          </w:pPr>
                        </w:p>
                        <w:p w:rsidR="00A239C4" w:rsidRDefault="00A239C4" w:rsidP="0087327F">
                          <w:pPr>
                            <w:rPr>
                              <w:sz w:val="16"/>
                            </w:rPr>
                          </w:pPr>
                        </w:p>
                        <w:p w:rsidR="00A239C4" w:rsidRDefault="00A239C4" w:rsidP="0087327F">
                          <w:pPr>
                            <w:rPr>
                              <w:sz w:val="16"/>
                            </w:rPr>
                          </w:pPr>
                          <w:r>
                            <w:rPr>
                              <w:rFonts w:hint="eastAsia"/>
                            </w:rPr>
                            <w:t>L</w:t>
                          </w:r>
                        </w:p>
                        <w:p w:rsidR="00A239C4" w:rsidRDefault="00A239C4" w:rsidP="0087327F">
                          <w:pPr>
                            <w:rPr>
                              <w:sz w:val="10"/>
                            </w:rPr>
                          </w:pPr>
                        </w:p>
                        <w:p w:rsidR="00A239C4" w:rsidRDefault="00A239C4" w:rsidP="0087327F">
                          <w:pPr>
                            <w:rPr>
                              <w:sz w:val="16"/>
                            </w:rPr>
                          </w:pPr>
                        </w:p>
                        <w:p w:rsidR="00A239C4" w:rsidRDefault="00A239C4" w:rsidP="0087327F">
                          <w:pPr>
                            <w:rPr>
                              <w:sz w:val="16"/>
                            </w:rPr>
                          </w:pPr>
                        </w:p>
                        <w:p w:rsidR="00A239C4" w:rsidRDefault="00A239C4" w:rsidP="0087327F">
                          <w:pPr>
                            <w:rPr>
                              <w:sz w:val="16"/>
                            </w:rPr>
                          </w:pPr>
                          <w:r>
                            <w:rPr>
                              <w:rFonts w:hint="eastAsia"/>
                            </w:rPr>
                            <w:t>M</w:t>
                          </w:r>
                        </w:p>
                        <w:p w:rsidR="00A239C4" w:rsidRDefault="00A239C4" w:rsidP="0087327F">
                          <w:pPr>
                            <w:rPr>
                              <w:sz w:val="10"/>
                            </w:rPr>
                          </w:pPr>
                        </w:p>
                        <w:p w:rsidR="00A239C4" w:rsidRDefault="00A239C4" w:rsidP="0087327F">
                          <w:pPr>
                            <w:rPr>
                              <w:sz w:val="16"/>
                            </w:rPr>
                          </w:pPr>
                        </w:p>
                        <w:p w:rsidR="00A239C4" w:rsidRDefault="00A239C4" w:rsidP="0087327F">
                          <w:pPr>
                            <w:rPr>
                              <w:sz w:val="16"/>
                            </w:rPr>
                          </w:pPr>
                        </w:p>
                        <w:p w:rsidR="00A239C4" w:rsidRDefault="00A239C4" w:rsidP="0087327F">
                          <w:pPr>
                            <w:rPr>
                              <w:sz w:val="16"/>
                            </w:rPr>
                          </w:pPr>
                          <w:r>
                            <w:rPr>
                              <w:rFonts w:hint="eastAsia"/>
                            </w:rPr>
                            <w:t>N</w:t>
                          </w:r>
                        </w:p>
                        <w:p w:rsidR="00A239C4" w:rsidRDefault="00A239C4" w:rsidP="0087327F">
                          <w:pPr>
                            <w:rPr>
                              <w:sz w:val="10"/>
                            </w:rPr>
                          </w:pPr>
                        </w:p>
                        <w:p w:rsidR="00A239C4" w:rsidRDefault="00A239C4" w:rsidP="0087327F">
                          <w:pPr>
                            <w:rPr>
                              <w:sz w:val="16"/>
                            </w:rPr>
                          </w:pPr>
                        </w:p>
                        <w:p w:rsidR="00A239C4" w:rsidRDefault="00A239C4" w:rsidP="0087327F">
                          <w:pPr>
                            <w:rPr>
                              <w:sz w:val="16"/>
                            </w:rPr>
                          </w:pPr>
                        </w:p>
                        <w:p w:rsidR="00A239C4" w:rsidRDefault="00A239C4" w:rsidP="0087327F">
                          <w:pPr>
                            <w:rPr>
                              <w:sz w:val="16"/>
                            </w:rPr>
                          </w:pPr>
                          <w:r>
                            <w:rPr>
                              <w:rFonts w:hint="eastAsia"/>
                            </w:rPr>
                            <w:t>O</w:t>
                          </w:r>
                        </w:p>
                        <w:p w:rsidR="00A239C4" w:rsidRDefault="00A239C4" w:rsidP="0087327F">
                          <w:pPr>
                            <w:rPr>
                              <w:sz w:val="10"/>
                            </w:rPr>
                          </w:pPr>
                        </w:p>
                        <w:p w:rsidR="00A239C4" w:rsidRDefault="00A239C4" w:rsidP="0087327F">
                          <w:pPr>
                            <w:rPr>
                              <w:sz w:val="16"/>
                            </w:rPr>
                          </w:pPr>
                        </w:p>
                        <w:p w:rsidR="00A239C4" w:rsidRDefault="00A239C4" w:rsidP="0087327F">
                          <w:pPr>
                            <w:rPr>
                              <w:sz w:val="16"/>
                            </w:rPr>
                          </w:pPr>
                        </w:p>
                        <w:p w:rsidR="00A239C4" w:rsidRDefault="00A239C4" w:rsidP="0087327F">
                          <w:pPr>
                            <w:rPr>
                              <w:sz w:val="16"/>
                            </w:rPr>
                          </w:pPr>
                          <w:r>
                            <w:rPr>
                              <w:rFonts w:hint="eastAsia"/>
                            </w:rPr>
                            <w:t>P</w:t>
                          </w:r>
                        </w:p>
                        <w:p w:rsidR="00A239C4" w:rsidRDefault="00A239C4" w:rsidP="0087327F">
                          <w:pPr>
                            <w:rPr>
                              <w:sz w:val="10"/>
                            </w:rPr>
                          </w:pPr>
                        </w:p>
                        <w:p w:rsidR="00A239C4" w:rsidRDefault="00A239C4" w:rsidP="0087327F">
                          <w:pPr>
                            <w:rPr>
                              <w:sz w:val="16"/>
                            </w:rPr>
                          </w:pPr>
                        </w:p>
                        <w:p w:rsidR="00A239C4" w:rsidRDefault="00A239C4" w:rsidP="0087327F">
                          <w:pPr>
                            <w:rPr>
                              <w:sz w:val="16"/>
                            </w:rPr>
                          </w:pPr>
                        </w:p>
                        <w:p w:rsidR="00A239C4" w:rsidRDefault="00A239C4" w:rsidP="0087327F">
                          <w:pPr>
                            <w:rPr>
                              <w:sz w:val="16"/>
                            </w:rPr>
                          </w:pPr>
                          <w:r>
                            <w:rPr>
                              <w:rFonts w:hint="eastAsia"/>
                            </w:rPr>
                            <w:t>Q</w:t>
                          </w:r>
                        </w:p>
                        <w:p w:rsidR="00A239C4" w:rsidRDefault="00A239C4" w:rsidP="0087327F">
                          <w:pPr>
                            <w:rPr>
                              <w:sz w:val="10"/>
                            </w:rPr>
                          </w:pPr>
                        </w:p>
                        <w:p w:rsidR="00A239C4" w:rsidRDefault="00A239C4" w:rsidP="0087327F">
                          <w:pPr>
                            <w:rPr>
                              <w:sz w:val="16"/>
                            </w:rPr>
                          </w:pPr>
                        </w:p>
                        <w:p w:rsidR="00A239C4" w:rsidRDefault="00A239C4" w:rsidP="0087327F">
                          <w:pPr>
                            <w:rPr>
                              <w:sz w:val="16"/>
                            </w:rPr>
                          </w:pPr>
                        </w:p>
                        <w:p w:rsidR="00A239C4" w:rsidRDefault="00A239C4" w:rsidP="0087327F">
                          <w:pPr>
                            <w:rPr>
                              <w:sz w:val="16"/>
                            </w:rPr>
                          </w:pPr>
                          <w:r>
                            <w:rPr>
                              <w:rFonts w:hint="eastAsia"/>
                            </w:rPr>
                            <w:t>R</w:t>
                          </w:r>
                        </w:p>
                        <w:p w:rsidR="00A239C4" w:rsidRDefault="00A239C4" w:rsidP="0087327F">
                          <w:pPr>
                            <w:rPr>
                              <w:sz w:val="10"/>
                            </w:rPr>
                          </w:pPr>
                        </w:p>
                        <w:p w:rsidR="00A239C4" w:rsidRDefault="00A239C4" w:rsidP="0087327F">
                          <w:pPr>
                            <w:rPr>
                              <w:sz w:val="16"/>
                            </w:rPr>
                          </w:pPr>
                        </w:p>
                        <w:p w:rsidR="00A239C4" w:rsidRDefault="00A239C4" w:rsidP="0087327F">
                          <w:pPr>
                            <w:rPr>
                              <w:sz w:val="16"/>
                            </w:rPr>
                          </w:pPr>
                        </w:p>
                        <w:p w:rsidR="00A239C4" w:rsidRDefault="00A239C4" w:rsidP="0087327F">
                          <w:pPr>
                            <w:rPr>
                              <w:sz w:val="16"/>
                            </w:rPr>
                          </w:pPr>
                          <w:r>
                            <w:rPr>
                              <w:rFonts w:hint="eastAsia"/>
                            </w:rPr>
                            <w:t>S</w:t>
                          </w:r>
                        </w:p>
                        <w:p w:rsidR="00A239C4" w:rsidRDefault="00A239C4" w:rsidP="0087327F">
                          <w:pPr>
                            <w:rPr>
                              <w:sz w:val="10"/>
                            </w:rPr>
                          </w:pPr>
                        </w:p>
                        <w:p w:rsidR="00A239C4" w:rsidRDefault="00A239C4" w:rsidP="0087327F">
                          <w:pPr>
                            <w:rPr>
                              <w:sz w:val="16"/>
                            </w:rPr>
                          </w:pPr>
                        </w:p>
                        <w:p w:rsidR="00A239C4" w:rsidRDefault="00A239C4" w:rsidP="0087327F">
                          <w:pPr>
                            <w:rPr>
                              <w:sz w:val="16"/>
                            </w:rPr>
                          </w:pPr>
                        </w:p>
                        <w:p w:rsidR="00A239C4" w:rsidRDefault="00A239C4" w:rsidP="0087327F">
                          <w:pPr>
                            <w:rPr>
                              <w:sz w:val="16"/>
                            </w:rPr>
                          </w:pPr>
                          <w:r>
                            <w:rPr>
                              <w:rFonts w:hint="eastAsia"/>
                            </w:rPr>
                            <w:t>T</w:t>
                          </w:r>
                        </w:p>
                        <w:p w:rsidR="00A239C4" w:rsidRDefault="00A239C4" w:rsidP="0087327F">
                          <w:pPr>
                            <w:rPr>
                              <w:sz w:val="10"/>
                            </w:rPr>
                          </w:pPr>
                        </w:p>
                        <w:p w:rsidR="00A239C4" w:rsidRDefault="00A239C4" w:rsidP="0087327F">
                          <w:pPr>
                            <w:rPr>
                              <w:sz w:val="16"/>
                            </w:rPr>
                          </w:pPr>
                        </w:p>
                        <w:p w:rsidR="00A239C4" w:rsidRDefault="00A239C4" w:rsidP="0087327F">
                          <w:pPr>
                            <w:rPr>
                              <w:sz w:val="16"/>
                            </w:rPr>
                          </w:pPr>
                        </w:p>
                        <w:p w:rsidR="00A239C4" w:rsidRDefault="00A239C4" w:rsidP="0087327F">
                          <w:pPr>
                            <w:rPr>
                              <w:sz w:val="16"/>
                            </w:rPr>
                          </w:pPr>
                          <w:r>
                            <w:rPr>
                              <w:rFonts w:hint="eastAsia"/>
                            </w:rPr>
                            <w:t>U</w:t>
                          </w:r>
                        </w:p>
                        <w:p w:rsidR="00A239C4" w:rsidRDefault="00A239C4" w:rsidP="0087327F">
                          <w:pPr>
                            <w:rPr>
                              <w:sz w:val="10"/>
                            </w:rPr>
                          </w:pPr>
                        </w:p>
                        <w:p w:rsidR="00A239C4" w:rsidRDefault="00A239C4" w:rsidP="0087327F">
                          <w:pPr>
                            <w:rPr>
                              <w:sz w:val="16"/>
                            </w:rPr>
                          </w:pPr>
                        </w:p>
                        <w:p w:rsidR="00A239C4" w:rsidRDefault="00A239C4" w:rsidP="0087327F">
                          <w:pPr>
                            <w:rPr>
                              <w:sz w:val="16"/>
                            </w:rPr>
                          </w:pPr>
                        </w:p>
                        <w:p w:rsidR="00A239C4" w:rsidRDefault="00A239C4" w:rsidP="0087327F">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31674" id="Text Box 12" o:spid="_x0000_s1030" type="#_x0000_t202" style="position:absolute;left:0;text-align:left;margin-left:-71.65pt;margin-top:3.6pt;width:31.95pt;height:79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" stroked="f">
              <v:textbox>
                <w:txbxContent>
                  <w:p w:rsidR="002D7AD7" w:rsidRDefault="002D7AD7" w:rsidP="0087327F">
                    <w:r>
                      <w:rPr>
                        <w:rFonts w:hint="eastAsia"/>
                      </w:rPr>
                      <w:t>A</w:t>
                    </w:r>
                  </w:p>
                  <w:p w:rsidR="002D7AD7" w:rsidRDefault="002D7AD7" w:rsidP="0087327F">
                    <w:pPr>
                      <w:rPr>
                        <w:sz w:val="10"/>
                      </w:rPr>
                    </w:pPr>
                  </w:p>
                  <w:p w:rsidR="002D7AD7" w:rsidRDefault="002D7AD7" w:rsidP="0087327F">
                    <w:pPr>
                      <w:rPr>
                        <w:sz w:val="16"/>
                      </w:rPr>
                    </w:pPr>
                  </w:p>
                  <w:p w:rsidR="002D7AD7" w:rsidRDefault="002D7AD7" w:rsidP="0087327F">
                    <w:pPr>
                      <w:rPr>
                        <w:sz w:val="16"/>
                      </w:rPr>
                    </w:pPr>
                  </w:p>
                  <w:p w:rsidR="002D7AD7" w:rsidRDefault="002D7AD7" w:rsidP="0087327F">
                    <w:r>
                      <w:rPr>
                        <w:rFonts w:hint="eastAsia"/>
                      </w:rPr>
                      <w:t>B</w:t>
                    </w:r>
                  </w:p>
                  <w:p w:rsidR="002D7AD7" w:rsidRDefault="002D7AD7" w:rsidP="0087327F">
                    <w:pPr>
                      <w:rPr>
                        <w:sz w:val="10"/>
                      </w:rPr>
                    </w:pPr>
                  </w:p>
                  <w:p w:rsidR="002D7AD7" w:rsidRDefault="002D7AD7" w:rsidP="0087327F">
                    <w:pPr>
                      <w:rPr>
                        <w:sz w:val="16"/>
                      </w:rPr>
                    </w:pPr>
                  </w:p>
                  <w:p w:rsidR="002D7AD7" w:rsidRDefault="002D7AD7" w:rsidP="0087327F">
                    <w:pPr>
                      <w:rPr>
                        <w:sz w:val="16"/>
                      </w:rPr>
                    </w:pPr>
                  </w:p>
                  <w:p w:rsidR="002D7AD7" w:rsidRDefault="002D7AD7" w:rsidP="0087327F">
                    <w:pPr>
                      <w:rPr>
                        <w:sz w:val="16"/>
                      </w:rPr>
                    </w:pPr>
                    <w:r>
                      <w:rPr>
                        <w:rFonts w:hint="eastAsia"/>
                      </w:rPr>
                      <w:t>C</w:t>
                    </w:r>
                  </w:p>
                  <w:p w:rsidR="002D7AD7" w:rsidRDefault="002D7AD7" w:rsidP="0087327F">
                    <w:pPr>
                      <w:rPr>
                        <w:sz w:val="10"/>
                      </w:rPr>
                    </w:pPr>
                  </w:p>
                  <w:p w:rsidR="002D7AD7" w:rsidRDefault="002D7AD7" w:rsidP="0087327F">
                    <w:pPr>
                      <w:rPr>
                        <w:sz w:val="16"/>
                      </w:rPr>
                    </w:pPr>
                  </w:p>
                  <w:p w:rsidR="002D7AD7" w:rsidRDefault="002D7AD7" w:rsidP="0087327F">
                    <w:pPr>
                      <w:rPr>
                        <w:sz w:val="16"/>
                      </w:rPr>
                    </w:pPr>
                  </w:p>
                  <w:p w:rsidR="002D7AD7" w:rsidRDefault="002D7AD7" w:rsidP="0087327F">
                    <w:r>
                      <w:rPr>
                        <w:rFonts w:hint="eastAsia"/>
                      </w:rPr>
                      <w:t>D</w:t>
                    </w:r>
                  </w:p>
                  <w:p w:rsidR="002D7AD7" w:rsidRDefault="002D7AD7" w:rsidP="0087327F">
                    <w:pPr>
                      <w:rPr>
                        <w:sz w:val="10"/>
                      </w:rPr>
                    </w:pPr>
                  </w:p>
                  <w:p w:rsidR="002D7AD7" w:rsidRDefault="002D7AD7" w:rsidP="0087327F">
                    <w:pPr>
                      <w:rPr>
                        <w:sz w:val="16"/>
                      </w:rPr>
                    </w:pPr>
                  </w:p>
                  <w:p w:rsidR="002D7AD7" w:rsidRDefault="002D7AD7" w:rsidP="0087327F">
                    <w:pPr>
                      <w:rPr>
                        <w:sz w:val="16"/>
                      </w:rPr>
                    </w:pPr>
                  </w:p>
                  <w:p w:rsidR="002D7AD7" w:rsidRDefault="002D7AD7" w:rsidP="0087327F">
                    <w:pPr>
                      <w:rPr>
                        <w:sz w:val="16"/>
                      </w:rPr>
                    </w:pPr>
                    <w:r>
                      <w:rPr>
                        <w:rFonts w:hint="eastAsia"/>
                      </w:rPr>
                      <w:t>E</w:t>
                    </w:r>
                  </w:p>
                  <w:p w:rsidR="002D7AD7" w:rsidRDefault="002D7AD7" w:rsidP="0087327F">
                    <w:pPr>
                      <w:rPr>
                        <w:sz w:val="10"/>
                      </w:rPr>
                    </w:pPr>
                  </w:p>
                  <w:p w:rsidR="002D7AD7" w:rsidRDefault="002D7AD7" w:rsidP="0087327F">
                    <w:pPr>
                      <w:rPr>
                        <w:sz w:val="16"/>
                      </w:rPr>
                    </w:pPr>
                  </w:p>
                  <w:p w:rsidR="002D7AD7" w:rsidRDefault="002D7AD7" w:rsidP="0087327F">
                    <w:pPr>
                      <w:rPr>
                        <w:sz w:val="16"/>
                      </w:rPr>
                    </w:pPr>
                  </w:p>
                  <w:p w:rsidR="002D7AD7" w:rsidRDefault="002D7AD7" w:rsidP="0087327F">
                    <w:r>
                      <w:rPr>
                        <w:rFonts w:hint="eastAsia"/>
                      </w:rPr>
                      <w:t>F</w:t>
                    </w:r>
                  </w:p>
                  <w:p w:rsidR="002D7AD7" w:rsidRDefault="002D7AD7" w:rsidP="0087327F">
                    <w:pPr>
                      <w:rPr>
                        <w:sz w:val="10"/>
                      </w:rPr>
                    </w:pPr>
                  </w:p>
                  <w:p w:rsidR="002D7AD7" w:rsidRDefault="002D7AD7" w:rsidP="0087327F">
                    <w:pPr>
                      <w:rPr>
                        <w:sz w:val="16"/>
                      </w:rPr>
                    </w:pPr>
                  </w:p>
                  <w:p w:rsidR="002D7AD7" w:rsidRDefault="002D7AD7" w:rsidP="0087327F">
                    <w:pPr>
                      <w:rPr>
                        <w:sz w:val="16"/>
                      </w:rPr>
                    </w:pPr>
                  </w:p>
                  <w:p w:rsidR="002D7AD7" w:rsidRDefault="002D7AD7" w:rsidP="0087327F">
                    <w:pPr>
                      <w:rPr>
                        <w:sz w:val="16"/>
                      </w:rPr>
                    </w:pPr>
                    <w:r>
                      <w:rPr>
                        <w:rFonts w:hint="eastAsia"/>
                      </w:rPr>
                      <w:t>G</w:t>
                    </w:r>
                  </w:p>
                  <w:p w:rsidR="002D7AD7" w:rsidRDefault="002D7AD7" w:rsidP="0087327F">
                    <w:pPr>
                      <w:rPr>
                        <w:sz w:val="10"/>
                      </w:rPr>
                    </w:pPr>
                  </w:p>
                  <w:p w:rsidR="002D7AD7" w:rsidRDefault="002D7AD7" w:rsidP="0087327F">
                    <w:pPr>
                      <w:rPr>
                        <w:sz w:val="16"/>
                      </w:rPr>
                    </w:pPr>
                  </w:p>
                  <w:p w:rsidR="002D7AD7" w:rsidRDefault="002D7AD7" w:rsidP="0087327F">
                    <w:pPr>
                      <w:rPr>
                        <w:sz w:val="16"/>
                      </w:rPr>
                    </w:pPr>
                  </w:p>
                  <w:p w:rsidR="002D7AD7" w:rsidRDefault="002D7AD7" w:rsidP="0087327F">
                    <w:pPr>
                      <w:rPr>
                        <w:sz w:val="16"/>
                      </w:rPr>
                    </w:pPr>
                    <w:r>
                      <w:rPr>
                        <w:rFonts w:hint="eastAsia"/>
                      </w:rPr>
                      <w:t>H</w:t>
                    </w:r>
                  </w:p>
                  <w:p w:rsidR="002D7AD7" w:rsidRDefault="002D7AD7" w:rsidP="0087327F">
                    <w:pPr>
                      <w:rPr>
                        <w:sz w:val="10"/>
                      </w:rPr>
                    </w:pPr>
                  </w:p>
                  <w:p w:rsidR="002D7AD7" w:rsidRDefault="002D7AD7" w:rsidP="0087327F">
                    <w:pPr>
                      <w:rPr>
                        <w:sz w:val="16"/>
                      </w:rPr>
                    </w:pPr>
                  </w:p>
                  <w:p w:rsidR="002D7AD7" w:rsidRDefault="002D7AD7" w:rsidP="0087327F">
                    <w:pPr>
                      <w:rPr>
                        <w:sz w:val="16"/>
                      </w:rPr>
                    </w:pPr>
                  </w:p>
                  <w:p w:rsidR="002D7AD7" w:rsidRDefault="002D7AD7" w:rsidP="0087327F">
                    <w:pPr>
                      <w:rPr>
                        <w:sz w:val="16"/>
                      </w:rPr>
                    </w:pPr>
                    <w:r>
                      <w:rPr>
                        <w:rFonts w:hint="eastAsia"/>
                      </w:rPr>
                      <w:t>I</w:t>
                    </w:r>
                  </w:p>
                  <w:p w:rsidR="002D7AD7" w:rsidRDefault="002D7AD7" w:rsidP="0087327F">
                    <w:pPr>
                      <w:rPr>
                        <w:sz w:val="10"/>
                      </w:rPr>
                    </w:pPr>
                  </w:p>
                  <w:p w:rsidR="002D7AD7" w:rsidRDefault="002D7AD7" w:rsidP="0087327F">
                    <w:pPr>
                      <w:rPr>
                        <w:sz w:val="16"/>
                      </w:rPr>
                    </w:pPr>
                  </w:p>
                  <w:p w:rsidR="002D7AD7" w:rsidRDefault="002D7AD7" w:rsidP="0087327F">
                    <w:pPr>
                      <w:rPr>
                        <w:sz w:val="16"/>
                      </w:rPr>
                    </w:pPr>
                  </w:p>
                  <w:p w:rsidR="002D7AD7" w:rsidRDefault="002D7AD7" w:rsidP="0087327F">
                    <w:pPr>
                      <w:rPr>
                        <w:sz w:val="16"/>
                      </w:rPr>
                    </w:pPr>
                    <w:r>
                      <w:rPr>
                        <w:rFonts w:hint="eastAsia"/>
                      </w:rPr>
                      <w:t>J</w:t>
                    </w:r>
                  </w:p>
                  <w:p w:rsidR="002D7AD7" w:rsidRDefault="002D7AD7" w:rsidP="0087327F">
                    <w:pPr>
                      <w:rPr>
                        <w:sz w:val="10"/>
                      </w:rPr>
                    </w:pPr>
                  </w:p>
                  <w:p w:rsidR="002D7AD7" w:rsidRDefault="002D7AD7" w:rsidP="0087327F">
                    <w:pPr>
                      <w:rPr>
                        <w:sz w:val="16"/>
                      </w:rPr>
                    </w:pPr>
                  </w:p>
                  <w:p w:rsidR="002D7AD7" w:rsidRDefault="002D7AD7" w:rsidP="0087327F">
                    <w:pPr>
                      <w:rPr>
                        <w:sz w:val="16"/>
                      </w:rPr>
                    </w:pPr>
                  </w:p>
                  <w:p w:rsidR="002D7AD7" w:rsidRDefault="002D7AD7" w:rsidP="0087327F">
                    <w:pPr>
                      <w:rPr>
                        <w:sz w:val="16"/>
                      </w:rPr>
                    </w:pPr>
                    <w:r>
                      <w:rPr>
                        <w:rFonts w:hint="eastAsia"/>
                      </w:rPr>
                      <w:t>K</w:t>
                    </w:r>
                  </w:p>
                  <w:p w:rsidR="002D7AD7" w:rsidRDefault="002D7AD7" w:rsidP="0087327F">
                    <w:pPr>
                      <w:rPr>
                        <w:sz w:val="10"/>
                      </w:rPr>
                    </w:pPr>
                  </w:p>
                  <w:p w:rsidR="002D7AD7" w:rsidRDefault="002D7AD7" w:rsidP="0087327F">
                    <w:pPr>
                      <w:rPr>
                        <w:sz w:val="16"/>
                      </w:rPr>
                    </w:pPr>
                  </w:p>
                  <w:p w:rsidR="002D7AD7" w:rsidRDefault="002D7AD7" w:rsidP="0087327F">
                    <w:pPr>
                      <w:rPr>
                        <w:sz w:val="16"/>
                      </w:rPr>
                    </w:pPr>
                  </w:p>
                  <w:p w:rsidR="002D7AD7" w:rsidRDefault="002D7AD7" w:rsidP="0087327F">
                    <w:pPr>
                      <w:rPr>
                        <w:sz w:val="16"/>
                      </w:rPr>
                    </w:pPr>
                    <w:r>
                      <w:rPr>
                        <w:rFonts w:hint="eastAsia"/>
                      </w:rPr>
                      <w:t>L</w:t>
                    </w:r>
                  </w:p>
                  <w:p w:rsidR="002D7AD7" w:rsidRDefault="002D7AD7" w:rsidP="0087327F">
                    <w:pPr>
                      <w:rPr>
                        <w:sz w:val="10"/>
                      </w:rPr>
                    </w:pPr>
                  </w:p>
                  <w:p w:rsidR="002D7AD7" w:rsidRDefault="002D7AD7" w:rsidP="0087327F">
                    <w:pPr>
                      <w:rPr>
                        <w:sz w:val="16"/>
                      </w:rPr>
                    </w:pPr>
                  </w:p>
                  <w:p w:rsidR="002D7AD7" w:rsidRDefault="002D7AD7" w:rsidP="0087327F">
                    <w:pPr>
                      <w:rPr>
                        <w:sz w:val="16"/>
                      </w:rPr>
                    </w:pPr>
                  </w:p>
                  <w:p w:rsidR="002D7AD7" w:rsidRDefault="002D7AD7" w:rsidP="0087327F">
                    <w:pPr>
                      <w:rPr>
                        <w:sz w:val="16"/>
                      </w:rPr>
                    </w:pPr>
                    <w:r>
                      <w:rPr>
                        <w:rFonts w:hint="eastAsia"/>
                      </w:rPr>
                      <w:t>M</w:t>
                    </w:r>
                  </w:p>
                  <w:p w:rsidR="002D7AD7" w:rsidRDefault="002D7AD7" w:rsidP="0087327F">
                    <w:pPr>
                      <w:rPr>
                        <w:sz w:val="10"/>
                      </w:rPr>
                    </w:pPr>
                  </w:p>
                  <w:p w:rsidR="002D7AD7" w:rsidRDefault="002D7AD7" w:rsidP="0087327F">
                    <w:pPr>
                      <w:rPr>
                        <w:sz w:val="16"/>
                      </w:rPr>
                    </w:pPr>
                  </w:p>
                  <w:p w:rsidR="002D7AD7" w:rsidRDefault="002D7AD7" w:rsidP="0087327F">
                    <w:pPr>
                      <w:rPr>
                        <w:sz w:val="16"/>
                      </w:rPr>
                    </w:pPr>
                  </w:p>
                  <w:p w:rsidR="002D7AD7" w:rsidRDefault="002D7AD7" w:rsidP="0087327F">
                    <w:pPr>
                      <w:rPr>
                        <w:sz w:val="16"/>
                      </w:rPr>
                    </w:pPr>
                    <w:r>
                      <w:rPr>
                        <w:rFonts w:hint="eastAsia"/>
                      </w:rPr>
                      <w:t>N</w:t>
                    </w:r>
                  </w:p>
                  <w:p w:rsidR="002D7AD7" w:rsidRDefault="002D7AD7" w:rsidP="0087327F">
                    <w:pPr>
                      <w:rPr>
                        <w:sz w:val="10"/>
                      </w:rPr>
                    </w:pPr>
                  </w:p>
                  <w:p w:rsidR="002D7AD7" w:rsidRDefault="002D7AD7" w:rsidP="0087327F">
                    <w:pPr>
                      <w:rPr>
                        <w:sz w:val="16"/>
                      </w:rPr>
                    </w:pPr>
                  </w:p>
                  <w:p w:rsidR="002D7AD7" w:rsidRDefault="002D7AD7" w:rsidP="0087327F">
                    <w:pPr>
                      <w:rPr>
                        <w:sz w:val="16"/>
                      </w:rPr>
                    </w:pPr>
                  </w:p>
                  <w:p w:rsidR="002D7AD7" w:rsidRDefault="002D7AD7" w:rsidP="0087327F">
                    <w:pPr>
                      <w:rPr>
                        <w:sz w:val="16"/>
                      </w:rPr>
                    </w:pPr>
                    <w:r>
                      <w:rPr>
                        <w:rFonts w:hint="eastAsia"/>
                      </w:rPr>
                      <w:t>O</w:t>
                    </w:r>
                  </w:p>
                  <w:p w:rsidR="002D7AD7" w:rsidRDefault="002D7AD7" w:rsidP="0087327F">
                    <w:pPr>
                      <w:rPr>
                        <w:sz w:val="10"/>
                      </w:rPr>
                    </w:pPr>
                  </w:p>
                  <w:p w:rsidR="002D7AD7" w:rsidRDefault="002D7AD7" w:rsidP="0087327F">
                    <w:pPr>
                      <w:rPr>
                        <w:sz w:val="16"/>
                      </w:rPr>
                    </w:pPr>
                  </w:p>
                  <w:p w:rsidR="002D7AD7" w:rsidRDefault="002D7AD7" w:rsidP="0087327F">
                    <w:pPr>
                      <w:rPr>
                        <w:sz w:val="16"/>
                      </w:rPr>
                    </w:pPr>
                  </w:p>
                  <w:p w:rsidR="002D7AD7" w:rsidRDefault="002D7AD7" w:rsidP="0087327F">
                    <w:pPr>
                      <w:rPr>
                        <w:sz w:val="16"/>
                      </w:rPr>
                    </w:pPr>
                    <w:r>
                      <w:rPr>
                        <w:rFonts w:hint="eastAsia"/>
                      </w:rPr>
                      <w:t>P</w:t>
                    </w:r>
                  </w:p>
                  <w:p w:rsidR="002D7AD7" w:rsidRDefault="002D7AD7" w:rsidP="0087327F">
                    <w:pPr>
                      <w:rPr>
                        <w:sz w:val="10"/>
                      </w:rPr>
                    </w:pPr>
                  </w:p>
                  <w:p w:rsidR="002D7AD7" w:rsidRDefault="002D7AD7" w:rsidP="0087327F">
                    <w:pPr>
                      <w:rPr>
                        <w:sz w:val="16"/>
                      </w:rPr>
                    </w:pPr>
                  </w:p>
                  <w:p w:rsidR="002D7AD7" w:rsidRDefault="002D7AD7" w:rsidP="0087327F">
                    <w:pPr>
                      <w:rPr>
                        <w:sz w:val="16"/>
                      </w:rPr>
                    </w:pPr>
                  </w:p>
                  <w:p w:rsidR="002D7AD7" w:rsidRDefault="002D7AD7" w:rsidP="0087327F">
                    <w:pPr>
                      <w:rPr>
                        <w:sz w:val="16"/>
                      </w:rPr>
                    </w:pPr>
                    <w:r>
                      <w:rPr>
                        <w:rFonts w:hint="eastAsia"/>
                      </w:rPr>
                      <w:t>Q</w:t>
                    </w:r>
                  </w:p>
                  <w:p w:rsidR="002D7AD7" w:rsidRDefault="002D7AD7" w:rsidP="0087327F">
                    <w:pPr>
                      <w:rPr>
                        <w:sz w:val="10"/>
                      </w:rPr>
                    </w:pPr>
                  </w:p>
                  <w:p w:rsidR="002D7AD7" w:rsidRDefault="002D7AD7" w:rsidP="0087327F">
                    <w:pPr>
                      <w:rPr>
                        <w:sz w:val="16"/>
                      </w:rPr>
                    </w:pPr>
                  </w:p>
                  <w:p w:rsidR="002D7AD7" w:rsidRDefault="002D7AD7" w:rsidP="0087327F">
                    <w:pPr>
                      <w:rPr>
                        <w:sz w:val="16"/>
                      </w:rPr>
                    </w:pPr>
                  </w:p>
                  <w:p w:rsidR="002D7AD7" w:rsidRDefault="002D7AD7" w:rsidP="0087327F">
                    <w:pPr>
                      <w:rPr>
                        <w:sz w:val="16"/>
                      </w:rPr>
                    </w:pPr>
                    <w:r>
                      <w:rPr>
                        <w:rFonts w:hint="eastAsia"/>
                      </w:rPr>
                      <w:t>R</w:t>
                    </w:r>
                  </w:p>
                  <w:p w:rsidR="002D7AD7" w:rsidRDefault="002D7AD7" w:rsidP="0087327F">
                    <w:pPr>
                      <w:rPr>
                        <w:sz w:val="10"/>
                      </w:rPr>
                    </w:pPr>
                  </w:p>
                  <w:p w:rsidR="002D7AD7" w:rsidRDefault="002D7AD7" w:rsidP="0087327F">
                    <w:pPr>
                      <w:rPr>
                        <w:sz w:val="16"/>
                      </w:rPr>
                    </w:pPr>
                  </w:p>
                  <w:p w:rsidR="002D7AD7" w:rsidRDefault="002D7AD7" w:rsidP="0087327F">
                    <w:pPr>
                      <w:rPr>
                        <w:sz w:val="16"/>
                      </w:rPr>
                    </w:pPr>
                  </w:p>
                  <w:p w:rsidR="002D7AD7" w:rsidRDefault="002D7AD7" w:rsidP="0087327F">
                    <w:pPr>
                      <w:rPr>
                        <w:sz w:val="16"/>
                      </w:rPr>
                    </w:pPr>
                    <w:r>
                      <w:rPr>
                        <w:rFonts w:hint="eastAsia"/>
                      </w:rPr>
                      <w:t>S</w:t>
                    </w:r>
                  </w:p>
                  <w:p w:rsidR="002D7AD7" w:rsidRDefault="002D7AD7" w:rsidP="0087327F">
                    <w:pPr>
                      <w:rPr>
                        <w:sz w:val="10"/>
                      </w:rPr>
                    </w:pPr>
                  </w:p>
                  <w:p w:rsidR="002D7AD7" w:rsidRDefault="002D7AD7" w:rsidP="0087327F">
                    <w:pPr>
                      <w:rPr>
                        <w:sz w:val="16"/>
                      </w:rPr>
                    </w:pPr>
                  </w:p>
                  <w:p w:rsidR="002D7AD7" w:rsidRDefault="002D7AD7" w:rsidP="0087327F">
                    <w:pPr>
                      <w:rPr>
                        <w:sz w:val="16"/>
                      </w:rPr>
                    </w:pPr>
                  </w:p>
                  <w:p w:rsidR="002D7AD7" w:rsidRDefault="002D7AD7" w:rsidP="0087327F">
                    <w:pPr>
                      <w:rPr>
                        <w:sz w:val="16"/>
                      </w:rPr>
                    </w:pPr>
                    <w:r>
                      <w:rPr>
                        <w:rFonts w:hint="eastAsia"/>
                      </w:rPr>
                      <w:t>T</w:t>
                    </w:r>
                  </w:p>
                  <w:p w:rsidR="002D7AD7" w:rsidRDefault="002D7AD7" w:rsidP="0087327F">
                    <w:pPr>
                      <w:rPr>
                        <w:sz w:val="10"/>
                      </w:rPr>
                    </w:pPr>
                  </w:p>
                  <w:p w:rsidR="002D7AD7" w:rsidRDefault="002D7AD7" w:rsidP="0087327F">
                    <w:pPr>
                      <w:rPr>
                        <w:sz w:val="16"/>
                      </w:rPr>
                    </w:pPr>
                  </w:p>
                  <w:p w:rsidR="002D7AD7" w:rsidRDefault="002D7AD7" w:rsidP="0087327F">
                    <w:pPr>
                      <w:rPr>
                        <w:sz w:val="16"/>
                      </w:rPr>
                    </w:pPr>
                  </w:p>
                  <w:p w:rsidR="002D7AD7" w:rsidRDefault="002D7AD7" w:rsidP="0087327F">
                    <w:pPr>
                      <w:rPr>
                        <w:sz w:val="16"/>
                      </w:rPr>
                    </w:pPr>
                    <w:r>
                      <w:rPr>
                        <w:rFonts w:hint="eastAsia"/>
                      </w:rPr>
                      <w:t>U</w:t>
                    </w:r>
                  </w:p>
                  <w:p w:rsidR="002D7AD7" w:rsidRDefault="002D7AD7" w:rsidP="0087327F">
                    <w:pPr>
                      <w:rPr>
                        <w:sz w:val="10"/>
                      </w:rPr>
                    </w:pPr>
                  </w:p>
                  <w:p w:rsidR="002D7AD7" w:rsidRDefault="002D7AD7" w:rsidP="0087327F">
                    <w:pPr>
                      <w:rPr>
                        <w:sz w:val="16"/>
                      </w:rPr>
                    </w:pPr>
                  </w:p>
                  <w:p w:rsidR="002D7AD7" w:rsidRDefault="002D7AD7" w:rsidP="0087327F">
                    <w:pPr>
                      <w:rPr>
                        <w:sz w:val="16"/>
                      </w:rPr>
                    </w:pPr>
                  </w:p>
                  <w:p w:rsidR="002D7AD7" w:rsidRDefault="002D7AD7" w:rsidP="0087327F">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9E2"/>
    <w:multiLevelType w:val="multilevel"/>
    <w:tmpl w:val="807C993C"/>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13B778D7"/>
    <w:multiLevelType w:val="hybridMultilevel"/>
    <w:tmpl w:val="CD0823E8"/>
    <w:lvl w:ilvl="0" w:tplc="EBDCF6D4">
      <w:start w:val="1"/>
      <w:numFmt w:val="decimal"/>
      <w:pStyle w:val="T-Draft"/>
      <w:lvlText w:val="%1."/>
      <w:lvlJc w:val="left"/>
      <w:pPr>
        <w:ind w:left="0" w:firstLine="0"/>
      </w:pPr>
      <w:rPr>
        <w:rFonts w:hint="eastAsia"/>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E1558"/>
    <w:multiLevelType w:val="hybridMultilevel"/>
    <w:tmpl w:val="DA42B4C2"/>
    <w:lvl w:ilvl="0" w:tplc="19FEABC8">
      <w:start w:val="1"/>
      <w:numFmt w:val="decimal"/>
      <w:lvlText w:val="%1."/>
      <w:lvlJc w:val="left"/>
      <w:pPr>
        <w:ind w:left="1080" w:hanging="720"/>
      </w:pPr>
      <w:rPr>
        <w:rFonts w:hint="default"/>
      </w:rPr>
    </w:lvl>
    <w:lvl w:ilvl="1" w:tplc="E3F852FE">
      <w:start w:val="1"/>
      <w:numFmt w:val="decimal"/>
      <w:lvlText w:val="(%2)"/>
      <w:lvlJc w:val="left"/>
      <w:pPr>
        <w:ind w:left="1440" w:hanging="360"/>
      </w:pPr>
      <w:rPr>
        <w:rFonts w:hint="eastAsia"/>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C16A6"/>
    <w:multiLevelType w:val="multilevel"/>
    <w:tmpl w:val="F8883D02"/>
    <w:numStyleLink w:val="1i"/>
  </w:abstractNum>
  <w:abstractNum w:abstractNumId="4" w15:restartNumberingAfterBreak="0">
    <w:nsid w:val="22DD2546"/>
    <w:multiLevelType w:val="multilevel"/>
    <w:tmpl w:val="84E4A6E2"/>
    <w:styleLink w:val="Iia"/>
    <w:lvl w:ilvl="0">
      <w:start w:val="1"/>
      <w:numFmt w:val="upperRoman"/>
      <w:lvlText w:val="(%1)"/>
      <w:lvlJc w:val="right"/>
      <w:pPr>
        <w:tabs>
          <w:tab w:val="num" w:pos="1440"/>
        </w:tabs>
        <w:ind w:left="1440" w:hanging="360"/>
      </w:pPr>
      <w:rPr>
        <w:rFonts w:hint="eastAsia"/>
      </w:rPr>
    </w:lvl>
    <w:lvl w:ilvl="1">
      <w:start w:val="1"/>
      <w:numFmt w:val="lowerRoman"/>
      <w:lvlText w:val="(%2)"/>
      <w:lvlJc w:val="right"/>
      <w:pPr>
        <w:tabs>
          <w:tab w:val="num" w:pos="2160"/>
        </w:tabs>
        <w:ind w:left="2160" w:hanging="216"/>
      </w:pPr>
      <w:rPr>
        <w:rFonts w:hint="eastAsia"/>
      </w:rPr>
    </w:lvl>
    <w:lvl w:ilvl="2">
      <w:start w:val="1"/>
      <w:numFmt w:val="lowerLetter"/>
      <w:lvlText w:val="(%3)"/>
      <w:lvlJc w:val="right"/>
      <w:pPr>
        <w:tabs>
          <w:tab w:val="num" w:pos="2880"/>
        </w:tabs>
        <w:ind w:left="28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36BB6788"/>
    <w:multiLevelType w:val="multilevel"/>
    <w:tmpl w:val="7C64A4D4"/>
    <w:styleLink w:val="1a"/>
    <w:lvl w:ilvl="0">
      <w:start w:val="1"/>
      <w:numFmt w:val="decimal"/>
      <w:lvlText w:val="(%1)"/>
      <w:lvlJc w:val="right"/>
      <w:pPr>
        <w:tabs>
          <w:tab w:val="num" w:pos="1440"/>
        </w:tabs>
        <w:ind w:left="1440" w:hanging="432"/>
      </w:pPr>
      <w:rPr>
        <w:rFonts w:hint="eastAsia"/>
      </w:rPr>
    </w:lvl>
    <w:lvl w:ilvl="1">
      <w:start w:val="1"/>
      <w:numFmt w:val="lowerLetter"/>
      <w:lvlText w:val="(%2)"/>
      <w:lvlJc w:val="right"/>
      <w:pPr>
        <w:tabs>
          <w:tab w:val="num" w:pos="2160"/>
        </w:tabs>
        <w:ind w:left="2160" w:hanging="288"/>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6" w15:restartNumberingAfterBreak="0">
    <w:nsid w:val="39967D59"/>
    <w:multiLevelType w:val="multilevel"/>
    <w:tmpl w:val="C1E86EA0"/>
    <w:lvl w:ilvl="0">
      <w:start w:val="1"/>
      <w:numFmt w:val="decimal"/>
      <w:pStyle w:val="Sublevel11"/>
      <w:lvlText w:val="%1."/>
      <w:lvlJc w:val="left"/>
      <w:pPr>
        <w:ind w:left="567" w:hanging="567"/>
      </w:pPr>
      <w:rPr>
        <w:rFonts w:hint="default"/>
      </w:rPr>
    </w:lvl>
    <w:lvl w:ilvl="1">
      <w:start w:val="1"/>
      <w:numFmt w:val="decimal"/>
      <w:pStyle w:val="Sublevel2-a"/>
      <w:lvlText w:val="(%2)"/>
      <w:lvlJc w:val="left"/>
      <w:pPr>
        <w:ind w:left="737" w:hanging="510"/>
      </w:pPr>
      <w:rPr>
        <w:rFonts w:hint="default"/>
      </w:rPr>
    </w:lvl>
    <w:lvl w:ilvl="2">
      <w:start w:val="1"/>
      <w:numFmt w:val="lowerLetter"/>
      <w:pStyle w:val="Sublevel3i"/>
      <w:lvlText w:val="(%3)"/>
      <w:lvlJc w:val="left"/>
      <w:pPr>
        <w:tabs>
          <w:tab w:val="num" w:pos="1361"/>
        </w:tabs>
        <w:ind w:left="1077" w:hanging="510"/>
      </w:pPr>
      <w:rPr>
        <w:rFonts w:hint="default"/>
      </w:rPr>
    </w:lvl>
    <w:lvl w:ilvl="3">
      <w:start w:val="1"/>
      <w:numFmt w:val="lowerRoman"/>
      <w:pStyle w:val="Sublevel4"/>
      <w:lvlText w:val="(%4)"/>
      <w:lvlJc w:val="left"/>
      <w:pPr>
        <w:tabs>
          <w:tab w:val="num" w:pos="1871"/>
        </w:tabs>
        <w:ind w:left="1418" w:hanging="51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B480421"/>
    <w:multiLevelType w:val="singleLevel"/>
    <w:tmpl w:val="2FD43C20"/>
    <w:lvl w:ilvl="0">
      <w:start w:val="1"/>
      <w:numFmt w:val="decimal"/>
      <w:pStyle w:val="j-draft"/>
      <w:lvlText w:val="%1."/>
      <w:lvlJc w:val="left"/>
      <w:pPr>
        <w:tabs>
          <w:tab w:val="num" w:pos="360"/>
        </w:tabs>
        <w:ind w:left="0" w:firstLine="0"/>
      </w:pPr>
      <w:rPr>
        <w:rFonts w:hint="eastAsia"/>
        <w:color w:val="auto"/>
        <w:szCs w:val="28"/>
      </w:rPr>
    </w:lvl>
  </w:abstractNum>
  <w:abstractNum w:abstractNumId="8" w15:restartNumberingAfterBreak="0">
    <w:nsid w:val="3BDC1C4D"/>
    <w:multiLevelType w:val="hybridMultilevel"/>
    <w:tmpl w:val="F46218FC"/>
    <w:lvl w:ilvl="0" w:tplc="0409000F">
      <w:start w:val="1"/>
      <w:numFmt w:val="decimal"/>
      <w:lvlText w:val="%1."/>
      <w:lvlJc w:val="left"/>
      <w:pPr>
        <w:ind w:left="858" w:hanging="360"/>
      </w:pPr>
    </w:lvl>
    <w:lvl w:ilvl="1" w:tplc="04090019" w:tentative="1">
      <w:start w:val="1"/>
      <w:numFmt w:val="lowerLetter"/>
      <w:lvlText w:val="%2."/>
      <w:lvlJc w:val="left"/>
      <w:pPr>
        <w:ind w:left="1578" w:hanging="360"/>
      </w:pPr>
    </w:lvl>
    <w:lvl w:ilvl="2" w:tplc="0409001B" w:tentative="1">
      <w:start w:val="1"/>
      <w:numFmt w:val="lowerRoman"/>
      <w:lvlText w:val="%3."/>
      <w:lvlJc w:val="right"/>
      <w:pPr>
        <w:ind w:left="2298" w:hanging="180"/>
      </w:pPr>
    </w:lvl>
    <w:lvl w:ilvl="3" w:tplc="0409000F" w:tentative="1">
      <w:start w:val="1"/>
      <w:numFmt w:val="decimal"/>
      <w:lvlText w:val="%4."/>
      <w:lvlJc w:val="left"/>
      <w:pPr>
        <w:ind w:left="3018" w:hanging="360"/>
      </w:pPr>
    </w:lvl>
    <w:lvl w:ilvl="4" w:tplc="04090019" w:tentative="1">
      <w:start w:val="1"/>
      <w:numFmt w:val="lowerLetter"/>
      <w:lvlText w:val="%5."/>
      <w:lvlJc w:val="left"/>
      <w:pPr>
        <w:ind w:left="3738" w:hanging="360"/>
      </w:pPr>
    </w:lvl>
    <w:lvl w:ilvl="5" w:tplc="0409001B" w:tentative="1">
      <w:start w:val="1"/>
      <w:numFmt w:val="lowerRoman"/>
      <w:lvlText w:val="%6."/>
      <w:lvlJc w:val="right"/>
      <w:pPr>
        <w:ind w:left="4458" w:hanging="180"/>
      </w:pPr>
    </w:lvl>
    <w:lvl w:ilvl="6" w:tplc="0409000F" w:tentative="1">
      <w:start w:val="1"/>
      <w:numFmt w:val="decimal"/>
      <w:lvlText w:val="%7."/>
      <w:lvlJc w:val="left"/>
      <w:pPr>
        <w:ind w:left="5178" w:hanging="360"/>
      </w:pPr>
    </w:lvl>
    <w:lvl w:ilvl="7" w:tplc="04090019" w:tentative="1">
      <w:start w:val="1"/>
      <w:numFmt w:val="lowerLetter"/>
      <w:lvlText w:val="%8."/>
      <w:lvlJc w:val="left"/>
      <w:pPr>
        <w:ind w:left="5898" w:hanging="360"/>
      </w:pPr>
    </w:lvl>
    <w:lvl w:ilvl="8" w:tplc="0409001B" w:tentative="1">
      <w:start w:val="1"/>
      <w:numFmt w:val="lowerRoman"/>
      <w:lvlText w:val="%9."/>
      <w:lvlJc w:val="right"/>
      <w:pPr>
        <w:ind w:left="6618" w:hanging="180"/>
      </w:pPr>
    </w:lvl>
  </w:abstractNum>
  <w:abstractNum w:abstractNumId="9" w15:restartNumberingAfterBreak="0">
    <w:nsid w:val="47ED229B"/>
    <w:multiLevelType w:val="multilevel"/>
    <w:tmpl w:val="F8883D02"/>
    <w:styleLink w:val="1i"/>
    <w:lvl w:ilvl="0">
      <w:start w:val="1"/>
      <w:numFmt w:val="decimal"/>
      <w:lvlText w:val="(%1)"/>
      <w:lvlJc w:val="right"/>
      <w:pPr>
        <w:tabs>
          <w:tab w:val="num" w:pos="1260"/>
        </w:tabs>
        <w:ind w:left="1260" w:hanging="360"/>
      </w:pPr>
      <w:rPr>
        <w:rFonts w:hint="eastAsia"/>
      </w:rPr>
    </w:lvl>
    <w:lvl w:ilvl="1">
      <w:start w:val="1"/>
      <w:numFmt w:val="lowerRoman"/>
      <w:lvlText w:val="(%2)"/>
      <w:lvlJc w:val="right"/>
      <w:pPr>
        <w:tabs>
          <w:tab w:val="num" w:pos="2160"/>
        </w:tabs>
        <w:ind w:left="2160" w:hanging="216"/>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 w15:restartNumberingAfterBreak="0">
    <w:nsid w:val="4B485ADB"/>
    <w:multiLevelType w:val="multilevel"/>
    <w:tmpl w:val="7C64A4D4"/>
    <w:numStyleLink w:val="1a"/>
  </w:abstractNum>
  <w:abstractNum w:abstractNumId="11" w15:restartNumberingAfterBreak="0">
    <w:nsid w:val="4F70399F"/>
    <w:multiLevelType w:val="multilevel"/>
    <w:tmpl w:val="7C64A4D4"/>
    <w:numStyleLink w:val="1a"/>
  </w:abstractNum>
  <w:abstractNum w:abstractNumId="12" w15:restartNumberingAfterBreak="0">
    <w:nsid w:val="56D90807"/>
    <w:multiLevelType w:val="multilevel"/>
    <w:tmpl w:val="84E4A6E2"/>
    <w:numStyleLink w:val="Iia"/>
  </w:abstractNum>
  <w:abstractNum w:abstractNumId="13" w15:restartNumberingAfterBreak="0">
    <w:nsid w:val="587A050D"/>
    <w:multiLevelType w:val="singleLevel"/>
    <w:tmpl w:val="7CA8BD86"/>
    <w:lvl w:ilvl="0">
      <w:start w:val="1"/>
      <w:numFmt w:val="decimal"/>
      <w:pStyle w:val="j-final"/>
      <w:lvlText w:val="%1."/>
      <w:lvlJc w:val="left"/>
      <w:pPr>
        <w:tabs>
          <w:tab w:val="num" w:pos="360"/>
        </w:tabs>
        <w:ind w:left="0" w:firstLine="0"/>
      </w:pPr>
      <w:rPr>
        <w:rFonts w:hint="eastAsia"/>
      </w:rPr>
    </w:lvl>
  </w:abstractNum>
  <w:num w:numId="1">
    <w:abstractNumId w:val="13"/>
  </w:num>
  <w:num w:numId="2">
    <w:abstractNumId w:val="7"/>
  </w:num>
  <w:num w:numId="3">
    <w:abstractNumId w:val="0"/>
  </w:num>
  <w:num w:numId="4">
    <w:abstractNumId w:val="1"/>
  </w:num>
  <w:num w:numId="5">
    <w:abstractNumId w:val="6"/>
  </w:num>
  <w:num w:numId="6">
    <w:abstractNumId w:val="5"/>
  </w:num>
  <w:num w:numId="7">
    <w:abstractNumId w:val="10"/>
  </w:num>
  <w:num w:numId="8">
    <w:abstractNumId w:val="9"/>
  </w:num>
  <w:num w:numId="9">
    <w:abstractNumId w:val="3"/>
  </w:num>
  <w:num w:numId="10">
    <w:abstractNumId w:val="4"/>
  </w:num>
  <w:num w:numId="11">
    <w:abstractNumId w:val="12"/>
  </w:num>
  <w:num w:numId="12">
    <w:abstractNumId w:val="11"/>
  </w:num>
  <w:num w:numId="13">
    <w:abstractNumId w:val="2"/>
  </w:num>
  <w:num w:numId="14">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drawingGridHorizontalSpacing w:val="1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AEA29A9-4FCB-4846-BD6F-BB5409EE319A}"/>
    <w:docVar w:name="dgnword-eventsink" w:val="606038346576"/>
  </w:docVars>
  <w:rsids>
    <w:rsidRoot w:val="00486E58"/>
    <w:rsid w:val="00000F3A"/>
    <w:rsid w:val="00003A46"/>
    <w:rsid w:val="00004D18"/>
    <w:rsid w:val="000050B7"/>
    <w:rsid w:val="0000516C"/>
    <w:rsid w:val="000110CA"/>
    <w:rsid w:val="00011A8A"/>
    <w:rsid w:val="00012F63"/>
    <w:rsid w:val="00013BA4"/>
    <w:rsid w:val="000143C6"/>
    <w:rsid w:val="000166B7"/>
    <w:rsid w:val="000172B7"/>
    <w:rsid w:val="00023E23"/>
    <w:rsid w:val="00023F38"/>
    <w:rsid w:val="00027C51"/>
    <w:rsid w:val="0003059C"/>
    <w:rsid w:val="00030989"/>
    <w:rsid w:val="00030B0F"/>
    <w:rsid w:val="00033154"/>
    <w:rsid w:val="0003606D"/>
    <w:rsid w:val="000368AD"/>
    <w:rsid w:val="0003790E"/>
    <w:rsid w:val="00040A9E"/>
    <w:rsid w:val="000431AB"/>
    <w:rsid w:val="00043D1D"/>
    <w:rsid w:val="00044AF0"/>
    <w:rsid w:val="00044B72"/>
    <w:rsid w:val="00046869"/>
    <w:rsid w:val="000521F3"/>
    <w:rsid w:val="000543E1"/>
    <w:rsid w:val="00056EA1"/>
    <w:rsid w:val="000606C7"/>
    <w:rsid w:val="00061A2C"/>
    <w:rsid w:val="000654E9"/>
    <w:rsid w:val="0007182B"/>
    <w:rsid w:val="0007218A"/>
    <w:rsid w:val="000753E3"/>
    <w:rsid w:val="0007598E"/>
    <w:rsid w:val="00075DD8"/>
    <w:rsid w:val="00081268"/>
    <w:rsid w:val="0008180B"/>
    <w:rsid w:val="00081CC6"/>
    <w:rsid w:val="00086337"/>
    <w:rsid w:val="00086827"/>
    <w:rsid w:val="0008745D"/>
    <w:rsid w:val="00090D47"/>
    <w:rsid w:val="000929CE"/>
    <w:rsid w:val="00092DF8"/>
    <w:rsid w:val="00093882"/>
    <w:rsid w:val="000938F2"/>
    <w:rsid w:val="00093F41"/>
    <w:rsid w:val="000956EE"/>
    <w:rsid w:val="0009741D"/>
    <w:rsid w:val="000A0B09"/>
    <w:rsid w:val="000A402C"/>
    <w:rsid w:val="000A49BA"/>
    <w:rsid w:val="000A6DAF"/>
    <w:rsid w:val="000A7E7F"/>
    <w:rsid w:val="000A7FDA"/>
    <w:rsid w:val="000B09F3"/>
    <w:rsid w:val="000B1CE1"/>
    <w:rsid w:val="000B1FEF"/>
    <w:rsid w:val="000B2889"/>
    <w:rsid w:val="000B3B14"/>
    <w:rsid w:val="000B7B03"/>
    <w:rsid w:val="000B7FAC"/>
    <w:rsid w:val="000C1EC8"/>
    <w:rsid w:val="000C3068"/>
    <w:rsid w:val="000C3583"/>
    <w:rsid w:val="000C4FAB"/>
    <w:rsid w:val="000C6360"/>
    <w:rsid w:val="000C6F10"/>
    <w:rsid w:val="000C7111"/>
    <w:rsid w:val="000C792C"/>
    <w:rsid w:val="000C7938"/>
    <w:rsid w:val="000C7B58"/>
    <w:rsid w:val="000C7E83"/>
    <w:rsid w:val="000D035F"/>
    <w:rsid w:val="000D0874"/>
    <w:rsid w:val="000D0B6B"/>
    <w:rsid w:val="000D3254"/>
    <w:rsid w:val="000D50D6"/>
    <w:rsid w:val="000D7D32"/>
    <w:rsid w:val="000E0A13"/>
    <w:rsid w:val="000E1449"/>
    <w:rsid w:val="000E262E"/>
    <w:rsid w:val="000E54F7"/>
    <w:rsid w:val="000E6F63"/>
    <w:rsid w:val="000E749A"/>
    <w:rsid w:val="000F01F3"/>
    <w:rsid w:val="000F1532"/>
    <w:rsid w:val="000F29E0"/>
    <w:rsid w:val="000F5016"/>
    <w:rsid w:val="000F6E97"/>
    <w:rsid w:val="001004CD"/>
    <w:rsid w:val="001035BD"/>
    <w:rsid w:val="0010380C"/>
    <w:rsid w:val="001067FC"/>
    <w:rsid w:val="00110B94"/>
    <w:rsid w:val="00111020"/>
    <w:rsid w:val="00111D70"/>
    <w:rsid w:val="00117495"/>
    <w:rsid w:val="001205FB"/>
    <w:rsid w:val="00127C14"/>
    <w:rsid w:val="00127EC7"/>
    <w:rsid w:val="00130BA6"/>
    <w:rsid w:val="00130E04"/>
    <w:rsid w:val="0013160D"/>
    <w:rsid w:val="00136152"/>
    <w:rsid w:val="001400C1"/>
    <w:rsid w:val="0014211A"/>
    <w:rsid w:val="0014546D"/>
    <w:rsid w:val="00145BA1"/>
    <w:rsid w:val="00150FBE"/>
    <w:rsid w:val="00152210"/>
    <w:rsid w:val="00153291"/>
    <w:rsid w:val="00154982"/>
    <w:rsid w:val="00155AA8"/>
    <w:rsid w:val="001602BE"/>
    <w:rsid w:val="001605E1"/>
    <w:rsid w:val="00162B8D"/>
    <w:rsid w:val="00162DC3"/>
    <w:rsid w:val="00163B93"/>
    <w:rsid w:val="00164109"/>
    <w:rsid w:val="00166340"/>
    <w:rsid w:val="001719B8"/>
    <w:rsid w:val="00172426"/>
    <w:rsid w:val="00176E3C"/>
    <w:rsid w:val="00177A4F"/>
    <w:rsid w:val="00183A1A"/>
    <w:rsid w:val="00183C3D"/>
    <w:rsid w:val="00184EF7"/>
    <w:rsid w:val="00185002"/>
    <w:rsid w:val="00185E9D"/>
    <w:rsid w:val="001874F2"/>
    <w:rsid w:val="00193703"/>
    <w:rsid w:val="001A09DB"/>
    <w:rsid w:val="001A131E"/>
    <w:rsid w:val="001A45CC"/>
    <w:rsid w:val="001A4DB9"/>
    <w:rsid w:val="001A4E63"/>
    <w:rsid w:val="001A5794"/>
    <w:rsid w:val="001A5D61"/>
    <w:rsid w:val="001B1A87"/>
    <w:rsid w:val="001B319A"/>
    <w:rsid w:val="001B3AFE"/>
    <w:rsid w:val="001B7BA8"/>
    <w:rsid w:val="001B7F50"/>
    <w:rsid w:val="001C0085"/>
    <w:rsid w:val="001C1EB9"/>
    <w:rsid w:val="001C323E"/>
    <w:rsid w:val="001C50C8"/>
    <w:rsid w:val="001C5289"/>
    <w:rsid w:val="001C5348"/>
    <w:rsid w:val="001C5D43"/>
    <w:rsid w:val="001D1B41"/>
    <w:rsid w:val="001D2208"/>
    <w:rsid w:val="001D2474"/>
    <w:rsid w:val="001D36C4"/>
    <w:rsid w:val="001D3F8B"/>
    <w:rsid w:val="001D6F2B"/>
    <w:rsid w:val="001D70BC"/>
    <w:rsid w:val="001D7C63"/>
    <w:rsid w:val="001E0776"/>
    <w:rsid w:val="001E1E01"/>
    <w:rsid w:val="001E20A9"/>
    <w:rsid w:val="001E2C29"/>
    <w:rsid w:val="001E2DEA"/>
    <w:rsid w:val="001E6D73"/>
    <w:rsid w:val="001E75AF"/>
    <w:rsid w:val="001F08AF"/>
    <w:rsid w:val="002045C7"/>
    <w:rsid w:val="0020514F"/>
    <w:rsid w:val="0020749D"/>
    <w:rsid w:val="00216DF9"/>
    <w:rsid w:val="0021759F"/>
    <w:rsid w:val="00221E08"/>
    <w:rsid w:val="00223579"/>
    <w:rsid w:val="00223F1A"/>
    <w:rsid w:val="00224C02"/>
    <w:rsid w:val="00231318"/>
    <w:rsid w:val="002319FD"/>
    <w:rsid w:val="00231AB7"/>
    <w:rsid w:val="00235458"/>
    <w:rsid w:val="00235E96"/>
    <w:rsid w:val="002371D3"/>
    <w:rsid w:val="00240A52"/>
    <w:rsid w:val="002414F4"/>
    <w:rsid w:val="00241DD5"/>
    <w:rsid w:val="00242EDA"/>
    <w:rsid w:val="0024484E"/>
    <w:rsid w:val="002448F8"/>
    <w:rsid w:val="00245971"/>
    <w:rsid w:val="00245AA8"/>
    <w:rsid w:val="00245F64"/>
    <w:rsid w:val="00246737"/>
    <w:rsid w:val="00252F3E"/>
    <w:rsid w:val="00255DB8"/>
    <w:rsid w:val="00260E1F"/>
    <w:rsid w:val="0026167D"/>
    <w:rsid w:val="00262B68"/>
    <w:rsid w:val="00262F90"/>
    <w:rsid w:val="002637C0"/>
    <w:rsid w:val="00265999"/>
    <w:rsid w:val="00265A1E"/>
    <w:rsid w:val="002670F4"/>
    <w:rsid w:val="002672D8"/>
    <w:rsid w:val="002700B9"/>
    <w:rsid w:val="002707DD"/>
    <w:rsid w:val="002720EB"/>
    <w:rsid w:val="0027797E"/>
    <w:rsid w:val="00284B86"/>
    <w:rsid w:val="00284D2D"/>
    <w:rsid w:val="00287265"/>
    <w:rsid w:val="002877C8"/>
    <w:rsid w:val="00292999"/>
    <w:rsid w:val="00296A44"/>
    <w:rsid w:val="002970BA"/>
    <w:rsid w:val="002979E3"/>
    <w:rsid w:val="00297C34"/>
    <w:rsid w:val="002A58BA"/>
    <w:rsid w:val="002A6A79"/>
    <w:rsid w:val="002A7FF2"/>
    <w:rsid w:val="002B255B"/>
    <w:rsid w:val="002B39A2"/>
    <w:rsid w:val="002B6959"/>
    <w:rsid w:val="002C283B"/>
    <w:rsid w:val="002C5B01"/>
    <w:rsid w:val="002C6BE1"/>
    <w:rsid w:val="002C7444"/>
    <w:rsid w:val="002D13DE"/>
    <w:rsid w:val="002D589D"/>
    <w:rsid w:val="002D7AD7"/>
    <w:rsid w:val="002E0BEB"/>
    <w:rsid w:val="002E0FC8"/>
    <w:rsid w:val="002E2127"/>
    <w:rsid w:val="002E4DA7"/>
    <w:rsid w:val="002E5D20"/>
    <w:rsid w:val="002F0749"/>
    <w:rsid w:val="002F177E"/>
    <w:rsid w:val="002F2D62"/>
    <w:rsid w:val="002F557F"/>
    <w:rsid w:val="002F6725"/>
    <w:rsid w:val="002F74EE"/>
    <w:rsid w:val="003162A0"/>
    <w:rsid w:val="00317703"/>
    <w:rsid w:val="003222DD"/>
    <w:rsid w:val="00332A34"/>
    <w:rsid w:val="00333012"/>
    <w:rsid w:val="00334383"/>
    <w:rsid w:val="00334A07"/>
    <w:rsid w:val="00335AC9"/>
    <w:rsid w:val="00335EDC"/>
    <w:rsid w:val="003364FE"/>
    <w:rsid w:val="0033761D"/>
    <w:rsid w:val="00345F4E"/>
    <w:rsid w:val="003465AE"/>
    <w:rsid w:val="003515C1"/>
    <w:rsid w:val="00352CF9"/>
    <w:rsid w:val="00353101"/>
    <w:rsid w:val="00353898"/>
    <w:rsid w:val="00354F4B"/>
    <w:rsid w:val="003555EE"/>
    <w:rsid w:val="003557F5"/>
    <w:rsid w:val="00355E03"/>
    <w:rsid w:val="0035699D"/>
    <w:rsid w:val="00357A31"/>
    <w:rsid w:val="003616DE"/>
    <w:rsid w:val="00362866"/>
    <w:rsid w:val="0036364A"/>
    <w:rsid w:val="00363FC1"/>
    <w:rsid w:val="00365632"/>
    <w:rsid w:val="003672F7"/>
    <w:rsid w:val="00370ED1"/>
    <w:rsid w:val="00374873"/>
    <w:rsid w:val="00384387"/>
    <w:rsid w:val="00386E58"/>
    <w:rsid w:val="003872A5"/>
    <w:rsid w:val="00390EC6"/>
    <w:rsid w:val="00395084"/>
    <w:rsid w:val="003963DF"/>
    <w:rsid w:val="00396536"/>
    <w:rsid w:val="00396610"/>
    <w:rsid w:val="00397A0F"/>
    <w:rsid w:val="003A016D"/>
    <w:rsid w:val="003A13C4"/>
    <w:rsid w:val="003A33B7"/>
    <w:rsid w:val="003A3D1A"/>
    <w:rsid w:val="003A40C2"/>
    <w:rsid w:val="003A6806"/>
    <w:rsid w:val="003A7ABB"/>
    <w:rsid w:val="003B186B"/>
    <w:rsid w:val="003B5CE4"/>
    <w:rsid w:val="003C07C5"/>
    <w:rsid w:val="003C63EA"/>
    <w:rsid w:val="003C6FBA"/>
    <w:rsid w:val="003C7EFF"/>
    <w:rsid w:val="003D041F"/>
    <w:rsid w:val="003D0BA3"/>
    <w:rsid w:val="003D0FE6"/>
    <w:rsid w:val="003D241B"/>
    <w:rsid w:val="003E201D"/>
    <w:rsid w:val="003E24A6"/>
    <w:rsid w:val="003E41BC"/>
    <w:rsid w:val="003E5369"/>
    <w:rsid w:val="003E5DB2"/>
    <w:rsid w:val="003E61FA"/>
    <w:rsid w:val="003E74BD"/>
    <w:rsid w:val="003F3729"/>
    <w:rsid w:val="003F5EB6"/>
    <w:rsid w:val="00400C64"/>
    <w:rsid w:val="00407E55"/>
    <w:rsid w:val="004102AB"/>
    <w:rsid w:val="00410B28"/>
    <w:rsid w:val="004111C2"/>
    <w:rsid w:val="00411885"/>
    <w:rsid w:val="004146E0"/>
    <w:rsid w:val="0042007A"/>
    <w:rsid w:val="00420842"/>
    <w:rsid w:val="004209A5"/>
    <w:rsid w:val="00420FC9"/>
    <w:rsid w:val="00422106"/>
    <w:rsid w:val="004226EE"/>
    <w:rsid w:val="00431BEE"/>
    <w:rsid w:val="00434EEB"/>
    <w:rsid w:val="00434F89"/>
    <w:rsid w:val="004409C9"/>
    <w:rsid w:val="00441132"/>
    <w:rsid w:val="004421FA"/>
    <w:rsid w:val="00447189"/>
    <w:rsid w:val="004517B9"/>
    <w:rsid w:val="00452CF7"/>
    <w:rsid w:val="004540B7"/>
    <w:rsid w:val="00461E37"/>
    <w:rsid w:val="00464A2D"/>
    <w:rsid w:val="004656A3"/>
    <w:rsid w:val="004707D8"/>
    <w:rsid w:val="00472117"/>
    <w:rsid w:val="004731A5"/>
    <w:rsid w:val="004735A9"/>
    <w:rsid w:val="00473FB5"/>
    <w:rsid w:val="00475A61"/>
    <w:rsid w:val="0047735B"/>
    <w:rsid w:val="0047790F"/>
    <w:rsid w:val="0048095F"/>
    <w:rsid w:val="00483BB4"/>
    <w:rsid w:val="0048549E"/>
    <w:rsid w:val="0048567E"/>
    <w:rsid w:val="00486E58"/>
    <w:rsid w:val="004900B6"/>
    <w:rsid w:val="00492775"/>
    <w:rsid w:val="00492AD4"/>
    <w:rsid w:val="00492E6F"/>
    <w:rsid w:val="00492FF8"/>
    <w:rsid w:val="00493489"/>
    <w:rsid w:val="00494064"/>
    <w:rsid w:val="00496D98"/>
    <w:rsid w:val="004A0D5C"/>
    <w:rsid w:val="004A20B2"/>
    <w:rsid w:val="004A3C6F"/>
    <w:rsid w:val="004B0862"/>
    <w:rsid w:val="004B1B72"/>
    <w:rsid w:val="004B3442"/>
    <w:rsid w:val="004B398C"/>
    <w:rsid w:val="004C0FE9"/>
    <w:rsid w:val="004C1BEF"/>
    <w:rsid w:val="004C2CCD"/>
    <w:rsid w:val="004C3F3B"/>
    <w:rsid w:val="004C4009"/>
    <w:rsid w:val="004C553C"/>
    <w:rsid w:val="004C5A44"/>
    <w:rsid w:val="004D12FA"/>
    <w:rsid w:val="004D284B"/>
    <w:rsid w:val="004D4729"/>
    <w:rsid w:val="004D544D"/>
    <w:rsid w:val="004D71BD"/>
    <w:rsid w:val="004D71D5"/>
    <w:rsid w:val="004E1233"/>
    <w:rsid w:val="004E14F8"/>
    <w:rsid w:val="004E1A7C"/>
    <w:rsid w:val="004E3716"/>
    <w:rsid w:val="004E62C0"/>
    <w:rsid w:val="004E65A9"/>
    <w:rsid w:val="004F0333"/>
    <w:rsid w:val="004F068C"/>
    <w:rsid w:val="004F7EE5"/>
    <w:rsid w:val="005021CD"/>
    <w:rsid w:val="00505CA8"/>
    <w:rsid w:val="00506CAA"/>
    <w:rsid w:val="005076C4"/>
    <w:rsid w:val="00512ADF"/>
    <w:rsid w:val="0051486F"/>
    <w:rsid w:val="005157F1"/>
    <w:rsid w:val="00515E9B"/>
    <w:rsid w:val="0051666A"/>
    <w:rsid w:val="00517FAA"/>
    <w:rsid w:val="00520423"/>
    <w:rsid w:val="00520771"/>
    <w:rsid w:val="00522E90"/>
    <w:rsid w:val="0052743E"/>
    <w:rsid w:val="005304A8"/>
    <w:rsid w:val="00532E36"/>
    <w:rsid w:val="00536313"/>
    <w:rsid w:val="005363AB"/>
    <w:rsid w:val="00537A9D"/>
    <w:rsid w:val="00537C1E"/>
    <w:rsid w:val="00537FC4"/>
    <w:rsid w:val="005420CB"/>
    <w:rsid w:val="00543A6D"/>
    <w:rsid w:val="00544DA7"/>
    <w:rsid w:val="005463B2"/>
    <w:rsid w:val="00550672"/>
    <w:rsid w:val="0055182D"/>
    <w:rsid w:val="005578C0"/>
    <w:rsid w:val="00560A9D"/>
    <w:rsid w:val="00561A1B"/>
    <w:rsid w:val="0056302A"/>
    <w:rsid w:val="0056313A"/>
    <w:rsid w:val="0056551F"/>
    <w:rsid w:val="00566CD8"/>
    <w:rsid w:val="00570B66"/>
    <w:rsid w:val="00570E7C"/>
    <w:rsid w:val="00571C6F"/>
    <w:rsid w:val="00571D6A"/>
    <w:rsid w:val="0057224A"/>
    <w:rsid w:val="00573404"/>
    <w:rsid w:val="00574D2B"/>
    <w:rsid w:val="0057593B"/>
    <w:rsid w:val="0057628A"/>
    <w:rsid w:val="005778AF"/>
    <w:rsid w:val="005858D2"/>
    <w:rsid w:val="0058667F"/>
    <w:rsid w:val="00586B20"/>
    <w:rsid w:val="00586FC8"/>
    <w:rsid w:val="0058711C"/>
    <w:rsid w:val="00587A4A"/>
    <w:rsid w:val="00587DA0"/>
    <w:rsid w:val="005939D5"/>
    <w:rsid w:val="00593C0A"/>
    <w:rsid w:val="005A1417"/>
    <w:rsid w:val="005B1326"/>
    <w:rsid w:val="005B1E73"/>
    <w:rsid w:val="005B295A"/>
    <w:rsid w:val="005B375A"/>
    <w:rsid w:val="005C3266"/>
    <w:rsid w:val="005C3420"/>
    <w:rsid w:val="005C4EE1"/>
    <w:rsid w:val="005C6688"/>
    <w:rsid w:val="005D2DD9"/>
    <w:rsid w:val="005D7797"/>
    <w:rsid w:val="005E1B8A"/>
    <w:rsid w:val="005F1500"/>
    <w:rsid w:val="005F15CD"/>
    <w:rsid w:val="005F1CD2"/>
    <w:rsid w:val="005F2163"/>
    <w:rsid w:val="005F3076"/>
    <w:rsid w:val="005F6971"/>
    <w:rsid w:val="00601579"/>
    <w:rsid w:val="0060337E"/>
    <w:rsid w:val="0060477F"/>
    <w:rsid w:val="006048B1"/>
    <w:rsid w:val="00605010"/>
    <w:rsid w:val="0060579B"/>
    <w:rsid w:val="00607D12"/>
    <w:rsid w:val="006148B1"/>
    <w:rsid w:val="006215ED"/>
    <w:rsid w:val="0062228D"/>
    <w:rsid w:val="006235F9"/>
    <w:rsid w:val="00623DD6"/>
    <w:rsid w:val="006244C8"/>
    <w:rsid w:val="006247F6"/>
    <w:rsid w:val="00624F79"/>
    <w:rsid w:val="006267AC"/>
    <w:rsid w:val="00627160"/>
    <w:rsid w:val="00627593"/>
    <w:rsid w:val="00630240"/>
    <w:rsid w:val="00630CA5"/>
    <w:rsid w:val="0063163D"/>
    <w:rsid w:val="00633529"/>
    <w:rsid w:val="00647082"/>
    <w:rsid w:val="00647815"/>
    <w:rsid w:val="00647D38"/>
    <w:rsid w:val="0065087F"/>
    <w:rsid w:val="00651136"/>
    <w:rsid w:val="00651A62"/>
    <w:rsid w:val="00651F4B"/>
    <w:rsid w:val="00653227"/>
    <w:rsid w:val="00653F6B"/>
    <w:rsid w:val="0066130D"/>
    <w:rsid w:val="006615B9"/>
    <w:rsid w:val="006628ED"/>
    <w:rsid w:val="006635D9"/>
    <w:rsid w:val="006648E1"/>
    <w:rsid w:val="00664E56"/>
    <w:rsid w:val="00666E17"/>
    <w:rsid w:val="00667F73"/>
    <w:rsid w:val="00673BDA"/>
    <w:rsid w:val="006749F4"/>
    <w:rsid w:val="00682DC8"/>
    <w:rsid w:val="006905F4"/>
    <w:rsid w:val="00690FCB"/>
    <w:rsid w:val="006917E5"/>
    <w:rsid w:val="0069277F"/>
    <w:rsid w:val="00692AEB"/>
    <w:rsid w:val="00693F9A"/>
    <w:rsid w:val="0069500B"/>
    <w:rsid w:val="006A0D89"/>
    <w:rsid w:val="006A2661"/>
    <w:rsid w:val="006A31CF"/>
    <w:rsid w:val="006A3666"/>
    <w:rsid w:val="006A455B"/>
    <w:rsid w:val="006B1F41"/>
    <w:rsid w:val="006B24C8"/>
    <w:rsid w:val="006B4175"/>
    <w:rsid w:val="006B441F"/>
    <w:rsid w:val="006B5CD0"/>
    <w:rsid w:val="006B659D"/>
    <w:rsid w:val="006C0797"/>
    <w:rsid w:val="006C0DDF"/>
    <w:rsid w:val="006C13BB"/>
    <w:rsid w:val="006C49D4"/>
    <w:rsid w:val="006C4F98"/>
    <w:rsid w:val="006C5801"/>
    <w:rsid w:val="006C6079"/>
    <w:rsid w:val="006C76A0"/>
    <w:rsid w:val="006C7D95"/>
    <w:rsid w:val="006D081A"/>
    <w:rsid w:val="006D0E60"/>
    <w:rsid w:val="006D1C59"/>
    <w:rsid w:val="006D37BB"/>
    <w:rsid w:val="006D4D1C"/>
    <w:rsid w:val="006D4F53"/>
    <w:rsid w:val="006D504D"/>
    <w:rsid w:val="006D6841"/>
    <w:rsid w:val="006E237D"/>
    <w:rsid w:val="006E320B"/>
    <w:rsid w:val="006E3CFE"/>
    <w:rsid w:val="006E72BD"/>
    <w:rsid w:val="006F0621"/>
    <w:rsid w:val="006F075C"/>
    <w:rsid w:val="006F18ED"/>
    <w:rsid w:val="006F20F4"/>
    <w:rsid w:val="006F3724"/>
    <w:rsid w:val="006F58A0"/>
    <w:rsid w:val="007012F3"/>
    <w:rsid w:val="00703923"/>
    <w:rsid w:val="00704341"/>
    <w:rsid w:val="00704AE7"/>
    <w:rsid w:val="00707E49"/>
    <w:rsid w:val="00712F04"/>
    <w:rsid w:val="00714A41"/>
    <w:rsid w:val="00714C6B"/>
    <w:rsid w:val="00714D8B"/>
    <w:rsid w:val="00715CA3"/>
    <w:rsid w:val="00715E66"/>
    <w:rsid w:val="00716016"/>
    <w:rsid w:val="0071633D"/>
    <w:rsid w:val="007166A2"/>
    <w:rsid w:val="007167C8"/>
    <w:rsid w:val="00722373"/>
    <w:rsid w:val="00723B7C"/>
    <w:rsid w:val="00725B7D"/>
    <w:rsid w:val="00727C94"/>
    <w:rsid w:val="007319F1"/>
    <w:rsid w:val="00732EFD"/>
    <w:rsid w:val="0073372C"/>
    <w:rsid w:val="00736596"/>
    <w:rsid w:val="00737B9B"/>
    <w:rsid w:val="00740F82"/>
    <w:rsid w:val="007423DF"/>
    <w:rsid w:val="00743831"/>
    <w:rsid w:val="007444E0"/>
    <w:rsid w:val="00753CF5"/>
    <w:rsid w:val="00754740"/>
    <w:rsid w:val="0076102A"/>
    <w:rsid w:val="00766A92"/>
    <w:rsid w:val="007703AE"/>
    <w:rsid w:val="007709BC"/>
    <w:rsid w:val="00773920"/>
    <w:rsid w:val="00773A81"/>
    <w:rsid w:val="00774BB4"/>
    <w:rsid w:val="00777137"/>
    <w:rsid w:val="00780A8C"/>
    <w:rsid w:val="0078136B"/>
    <w:rsid w:val="00782FB9"/>
    <w:rsid w:val="00787299"/>
    <w:rsid w:val="00787460"/>
    <w:rsid w:val="00791890"/>
    <w:rsid w:val="00792195"/>
    <w:rsid w:val="007921D4"/>
    <w:rsid w:val="0079560C"/>
    <w:rsid w:val="007B10B9"/>
    <w:rsid w:val="007B1C16"/>
    <w:rsid w:val="007B3B2C"/>
    <w:rsid w:val="007B7A4A"/>
    <w:rsid w:val="007C0E00"/>
    <w:rsid w:val="007C4528"/>
    <w:rsid w:val="007C481B"/>
    <w:rsid w:val="007C62C7"/>
    <w:rsid w:val="007C664C"/>
    <w:rsid w:val="007C6A8C"/>
    <w:rsid w:val="007C6FAB"/>
    <w:rsid w:val="007D0452"/>
    <w:rsid w:val="007D14CA"/>
    <w:rsid w:val="007D6A45"/>
    <w:rsid w:val="007D754C"/>
    <w:rsid w:val="007D7BDB"/>
    <w:rsid w:val="007E0329"/>
    <w:rsid w:val="007E21E0"/>
    <w:rsid w:val="007E29BC"/>
    <w:rsid w:val="007E406B"/>
    <w:rsid w:val="007E6FA3"/>
    <w:rsid w:val="007F03E4"/>
    <w:rsid w:val="007F1E03"/>
    <w:rsid w:val="007F28BF"/>
    <w:rsid w:val="007F3533"/>
    <w:rsid w:val="007F5629"/>
    <w:rsid w:val="007F6474"/>
    <w:rsid w:val="00801203"/>
    <w:rsid w:val="00801AF4"/>
    <w:rsid w:val="00803A23"/>
    <w:rsid w:val="00803D7B"/>
    <w:rsid w:val="0080646B"/>
    <w:rsid w:val="00806631"/>
    <w:rsid w:val="008109FF"/>
    <w:rsid w:val="008130A3"/>
    <w:rsid w:val="0081493C"/>
    <w:rsid w:val="008174F4"/>
    <w:rsid w:val="00817DC6"/>
    <w:rsid w:val="0082053C"/>
    <w:rsid w:val="00822590"/>
    <w:rsid w:val="008244DC"/>
    <w:rsid w:val="00825B33"/>
    <w:rsid w:val="008273A3"/>
    <w:rsid w:val="00833D64"/>
    <w:rsid w:val="008365FC"/>
    <w:rsid w:val="00837FEC"/>
    <w:rsid w:val="00840861"/>
    <w:rsid w:val="008427AA"/>
    <w:rsid w:val="008442A1"/>
    <w:rsid w:val="00845DAC"/>
    <w:rsid w:val="008465C3"/>
    <w:rsid w:val="00851E92"/>
    <w:rsid w:val="0085307D"/>
    <w:rsid w:val="00853A07"/>
    <w:rsid w:val="00854298"/>
    <w:rsid w:val="008546CF"/>
    <w:rsid w:val="00857584"/>
    <w:rsid w:val="00857AD6"/>
    <w:rsid w:val="00860987"/>
    <w:rsid w:val="00865722"/>
    <w:rsid w:val="00865B81"/>
    <w:rsid w:val="00867766"/>
    <w:rsid w:val="00867C67"/>
    <w:rsid w:val="00867EDE"/>
    <w:rsid w:val="00871A20"/>
    <w:rsid w:val="0087327F"/>
    <w:rsid w:val="008735BE"/>
    <w:rsid w:val="00874CB3"/>
    <w:rsid w:val="00874E00"/>
    <w:rsid w:val="00876670"/>
    <w:rsid w:val="00877748"/>
    <w:rsid w:val="00880F3E"/>
    <w:rsid w:val="00882CF8"/>
    <w:rsid w:val="0088406A"/>
    <w:rsid w:val="0088514C"/>
    <w:rsid w:val="00885F81"/>
    <w:rsid w:val="00886FCD"/>
    <w:rsid w:val="008922DB"/>
    <w:rsid w:val="00897EEE"/>
    <w:rsid w:val="008A0716"/>
    <w:rsid w:val="008A3AA8"/>
    <w:rsid w:val="008A3EA8"/>
    <w:rsid w:val="008A66D9"/>
    <w:rsid w:val="008A7BDA"/>
    <w:rsid w:val="008B0A75"/>
    <w:rsid w:val="008B0C5C"/>
    <w:rsid w:val="008B1A8A"/>
    <w:rsid w:val="008B6753"/>
    <w:rsid w:val="008B6809"/>
    <w:rsid w:val="008C0A9D"/>
    <w:rsid w:val="008C1B96"/>
    <w:rsid w:val="008C22AC"/>
    <w:rsid w:val="008C24B6"/>
    <w:rsid w:val="008C2BD5"/>
    <w:rsid w:val="008D0D26"/>
    <w:rsid w:val="008D17F3"/>
    <w:rsid w:val="008D197F"/>
    <w:rsid w:val="008D20EB"/>
    <w:rsid w:val="008D532D"/>
    <w:rsid w:val="008D789B"/>
    <w:rsid w:val="008E1986"/>
    <w:rsid w:val="008E3597"/>
    <w:rsid w:val="008E47D5"/>
    <w:rsid w:val="008E4EEB"/>
    <w:rsid w:val="008F3F99"/>
    <w:rsid w:val="008F450A"/>
    <w:rsid w:val="008F5142"/>
    <w:rsid w:val="00901215"/>
    <w:rsid w:val="009021A0"/>
    <w:rsid w:val="009024E9"/>
    <w:rsid w:val="00902992"/>
    <w:rsid w:val="00904065"/>
    <w:rsid w:val="00912160"/>
    <w:rsid w:val="009129AF"/>
    <w:rsid w:val="0091678F"/>
    <w:rsid w:val="009174CD"/>
    <w:rsid w:val="00924B6E"/>
    <w:rsid w:val="00927240"/>
    <w:rsid w:val="00931BC5"/>
    <w:rsid w:val="00931D46"/>
    <w:rsid w:val="0093212E"/>
    <w:rsid w:val="00932CAB"/>
    <w:rsid w:val="00934131"/>
    <w:rsid w:val="009350C6"/>
    <w:rsid w:val="00936DFF"/>
    <w:rsid w:val="00940E47"/>
    <w:rsid w:val="0094264F"/>
    <w:rsid w:val="00944061"/>
    <w:rsid w:val="009440F1"/>
    <w:rsid w:val="00944607"/>
    <w:rsid w:val="00945FE6"/>
    <w:rsid w:val="0095160E"/>
    <w:rsid w:val="00953450"/>
    <w:rsid w:val="00953D1C"/>
    <w:rsid w:val="00954DD2"/>
    <w:rsid w:val="00963607"/>
    <w:rsid w:val="00963ABF"/>
    <w:rsid w:val="009648BC"/>
    <w:rsid w:val="0097170D"/>
    <w:rsid w:val="00971A05"/>
    <w:rsid w:val="00972210"/>
    <w:rsid w:val="009722FF"/>
    <w:rsid w:val="009739AC"/>
    <w:rsid w:val="00974720"/>
    <w:rsid w:val="00974C86"/>
    <w:rsid w:val="009766A3"/>
    <w:rsid w:val="00986AD4"/>
    <w:rsid w:val="00987548"/>
    <w:rsid w:val="00990799"/>
    <w:rsid w:val="00993B10"/>
    <w:rsid w:val="00994705"/>
    <w:rsid w:val="0099564C"/>
    <w:rsid w:val="00996BD9"/>
    <w:rsid w:val="009A1714"/>
    <w:rsid w:val="009A3C19"/>
    <w:rsid w:val="009A4A81"/>
    <w:rsid w:val="009A5035"/>
    <w:rsid w:val="009A5627"/>
    <w:rsid w:val="009A5DCC"/>
    <w:rsid w:val="009A7636"/>
    <w:rsid w:val="009B20A5"/>
    <w:rsid w:val="009B3C36"/>
    <w:rsid w:val="009B73B1"/>
    <w:rsid w:val="009B7B40"/>
    <w:rsid w:val="009C0FFD"/>
    <w:rsid w:val="009C2001"/>
    <w:rsid w:val="009C23F2"/>
    <w:rsid w:val="009C2B2F"/>
    <w:rsid w:val="009C3B4E"/>
    <w:rsid w:val="009C44A4"/>
    <w:rsid w:val="009C4832"/>
    <w:rsid w:val="009C5C0B"/>
    <w:rsid w:val="009C685E"/>
    <w:rsid w:val="009C6984"/>
    <w:rsid w:val="009D3318"/>
    <w:rsid w:val="009D5E6E"/>
    <w:rsid w:val="009E090F"/>
    <w:rsid w:val="009E30BE"/>
    <w:rsid w:val="009E7E74"/>
    <w:rsid w:val="009F04F8"/>
    <w:rsid w:val="009F22E5"/>
    <w:rsid w:val="009F38AF"/>
    <w:rsid w:val="009F553A"/>
    <w:rsid w:val="009F6C82"/>
    <w:rsid w:val="00A039A1"/>
    <w:rsid w:val="00A0593F"/>
    <w:rsid w:val="00A103F4"/>
    <w:rsid w:val="00A1089D"/>
    <w:rsid w:val="00A12D66"/>
    <w:rsid w:val="00A13C7F"/>
    <w:rsid w:val="00A20C09"/>
    <w:rsid w:val="00A22D7F"/>
    <w:rsid w:val="00A239C4"/>
    <w:rsid w:val="00A30A43"/>
    <w:rsid w:val="00A34406"/>
    <w:rsid w:val="00A36575"/>
    <w:rsid w:val="00A4218F"/>
    <w:rsid w:val="00A4363F"/>
    <w:rsid w:val="00A472BA"/>
    <w:rsid w:val="00A477BF"/>
    <w:rsid w:val="00A47F4D"/>
    <w:rsid w:val="00A5075C"/>
    <w:rsid w:val="00A508D0"/>
    <w:rsid w:val="00A5222F"/>
    <w:rsid w:val="00A5244F"/>
    <w:rsid w:val="00A535BF"/>
    <w:rsid w:val="00A53901"/>
    <w:rsid w:val="00A570D5"/>
    <w:rsid w:val="00A5714B"/>
    <w:rsid w:val="00A60B0D"/>
    <w:rsid w:val="00A65BAB"/>
    <w:rsid w:val="00A66483"/>
    <w:rsid w:val="00A66877"/>
    <w:rsid w:val="00A718C2"/>
    <w:rsid w:val="00A71903"/>
    <w:rsid w:val="00A73E6F"/>
    <w:rsid w:val="00A7739A"/>
    <w:rsid w:val="00A8390D"/>
    <w:rsid w:val="00A87F98"/>
    <w:rsid w:val="00A95387"/>
    <w:rsid w:val="00A96896"/>
    <w:rsid w:val="00A96DAD"/>
    <w:rsid w:val="00A97FCE"/>
    <w:rsid w:val="00AA0167"/>
    <w:rsid w:val="00AA07D7"/>
    <w:rsid w:val="00AA5569"/>
    <w:rsid w:val="00AA7C24"/>
    <w:rsid w:val="00AB1EBB"/>
    <w:rsid w:val="00AB2217"/>
    <w:rsid w:val="00AB2DBB"/>
    <w:rsid w:val="00AB3F84"/>
    <w:rsid w:val="00AB3FB5"/>
    <w:rsid w:val="00AB583F"/>
    <w:rsid w:val="00AB7202"/>
    <w:rsid w:val="00AB72A8"/>
    <w:rsid w:val="00AB7F73"/>
    <w:rsid w:val="00AC04F1"/>
    <w:rsid w:val="00AC474C"/>
    <w:rsid w:val="00AD1A68"/>
    <w:rsid w:val="00AD31D6"/>
    <w:rsid w:val="00AD7CCF"/>
    <w:rsid w:val="00AD7F54"/>
    <w:rsid w:val="00AE2B86"/>
    <w:rsid w:val="00AE3C80"/>
    <w:rsid w:val="00AE3ECD"/>
    <w:rsid w:val="00AE40AE"/>
    <w:rsid w:val="00AE7DFB"/>
    <w:rsid w:val="00AF35A4"/>
    <w:rsid w:val="00AF3F07"/>
    <w:rsid w:val="00AF538D"/>
    <w:rsid w:val="00AF5725"/>
    <w:rsid w:val="00B02671"/>
    <w:rsid w:val="00B03ADC"/>
    <w:rsid w:val="00B04056"/>
    <w:rsid w:val="00B11196"/>
    <w:rsid w:val="00B11E23"/>
    <w:rsid w:val="00B15B08"/>
    <w:rsid w:val="00B179A7"/>
    <w:rsid w:val="00B17E87"/>
    <w:rsid w:val="00B205B2"/>
    <w:rsid w:val="00B20FB8"/>
    <w:rsid w:val="00B235C7"/>
    <w:rsid w:val="00B246FB"/>
    <w:rsid w:val="00B26BE6"/>
    <w:rsid w:val="00B272B7"/>
    <w:rsid w:val="00B32754"/>
    <w:rsid w:val="00B33D9C"/>
    <w:rsid w:val="00B3535A"/>
    <w:rsid w:val="00B3685C"/>
    <w:rsid w:val="00B40086"/>
    <w:rsid w:val="00B406F0"/>
    <w:rsid w:val="00B41118"/>
    <w:rsid w:val="00B4162D"/>
    <w:rsid w:val="00B4260E"/>
    <w:rsid w:val="00B4311A"/>
    <w:rsid w:val="00B4326D"/>
    <w:rsid w:val="00B43FF2"/>
    <w:rsid w:val="00B44CEA"/>
    <w:rsid w:val="00B466E7"/>
    <w:rsid w:val="00B46FAF"/>
    <w:rsid w:val="00B5081E"/>
    <w:rsid w:val="00B52B3C"/>
    <w:rsid w:val="00B52B93"/>
    <w:rsid w:val="00B54A7E"/>
    <w:rsid w:val="00B563A3"/>
    <w:rsid w:val="00B5792D"/>
    <w:rsid w:val="00B60202"/>
    <w:rsid w:val="00B61758"/>
    <w:rsid w:val="00B627D5"/>
    <w:rsid w:val="00B70D2E"/>
    <w:rsid w:val="00B712FC"/>
    <w:rsid w:val="00B717A6"/>
    <w:rsid w:val="00B73939"/>
    <w:rsid w:val="00B752DC"/>
    <w:rsid w:val="00B75882"/>
    <w:rsid w:val="00B7761F"/>
    <w:rsid w:val="00B810A2"/>
    <w:rsid w:val="00B828CC"/>
    <w:rsid w:val="00B82A18"/>
    <w:rsid w:val="00B86E0E"/>
    <w:rsid w:val="00B91FF6"/>
    <w:rsid w:val="00B9251F"/>
    <w:rsid w:val="00B97B72"/>
    <w:rsid w:val="00BA1CF3"/>
    <w:rsid w:val="00BA46B5"/>
    <w:rsid w:val="00BA58DA"/>
    <w:rsid w:val="00BA5B54"/>
    <w:rsid w:val="00BA60DD"/>
    <w:rsid w:val="00BA7851"/>
    <w:rsid w:val="00BB0621"/>
    <w:rsid w:val="00BB2F1D"/>
    <w:rsid w:val="00BB5C73"/>
    <w:rsid w:val="00BB776C"/>
    <w:rsid w:val="00BB7BF3"/>
    <w:rsid w:val="00BB7DB4"/>
    <w:rsid w:val="00BC1F46"/>
    <w:rsid w:val="00BD021C"/>
    <w:rsid w:val="00BD4EBA"/>
    <w:rsid w:val="00BE2DBC"/>
    <w:rsid w:val="00BE497F"/>
    <w:rsid w:val="00BE58AD"/>
    <w:rsid w:val="00BE7469"/>
    <w:rsid w:val="00BF12AD"/>
    <w:rsid w:val="00BF2E43"/>
    <w:rsid w:val="00BF35A4"/>
    <w:rsid w:val="00BF62EA"/>
    <w:rsid w:val="00BF6CA9"/>
    <w:rsid w:val="00BF6FC4"/>
    <w:rsid w:val="00BF7C1B"/>
    <w:rsid w:val="00BF7D7D"/>
    <w:rsid w:val="00C02808"/>
    <w:rsid w:val="00C12ED5"/>
    <w:rsid w:val="00C2255B"/>
    <w:rsid w:val="00C22DB8"/>
    <w:rsid w:val="00C268C5"/>
    <w:rsid w:val="00C2720C"/>
    <w:rsid w:val="00C27AD0"/>
    <w:rsid w:val="00C3318A"/>
    <w:rsid w:val="00C4026D"/>
    <w:rsid w:val="00C403BC"/>
    <w:rsid w:val="00C41EF1"/>
    <w:rsid w:val="00C45449"/>
    <w:rsid w:val="00C45709"/>
    <w:rsid w:val="00C578A9"/>
    <w:rsid w:val="00C57D93"/>
    <w:rsid w:val="00C6200A"/>
    <w:rsid w:val="00C621D3"/>
    <w:rsid w:val="00C62D26"/>
    <w:rsid w:val="00C651CB"/>
    <w:rsid w:val="00C65F3B"/>
    <w:rsid w:val="00C706D5"/>
    <w:rsid w:val="00C721D2"/>
    <w:rsid w:val="00C77E85"/>
    <w:rsid w:val="00C84A6C"/>
    <w:rsid w:val="00C85A6F"/>
    <w:rsid w:val="00C91C5C"/>
    <w:rsid w:val="00C95763"/>
    <w:rsid w:val="00C957DC"/>
    <w:rsid w:val="00C966A0"/>
    <w:rsid w:val="00C976FC"/>
    <w:rsid w:val="00CA34F5"/>
    <w:rsid w:val="00CA4252"/>
    <w:rsid w:val="00CB0862"/>
    <w:rsid w:val="00CB25F5"/>
    <w:rsid w:val="00CB30AE"/>
    <w:rsid w:val="00CC1A89"/>
    <w:rsid w:val="00CC36E5"/>
    <w:rsid w:val="00CC3A3B"/>
    <w:rsid w:val="00CC5AE7"/>
    <w:rsid w:val="00CC62E3"/>
    <w:rsid w:val="00CD0B96"/>
    <w:rsid w:val="00CD2F61"/>
    <w:rsid w:val="00CD406E"/>
    <w:rsid w:val="00CD558A"/>
    <w:rsid w:val="00CD6B13"/>
    <w:rsid w:val="00CD747D"/>
    <w:rsid w:val="00CE014F"/>
    <w:rsid w:val="00CE1B9F"/>
    <w:rsid w:val="00CF3ED2"/>
    <w:rsid w:val="00CF3FB1"/>
    <w:rsid w:val="00CF6D5C"/>
    <w:rsid w:val="00D0051E"/>
    <w:rsid w:val="00D0080B"/>
    <w:rsid w:val="00D00F18"/>
    <w:rsid w:val="00D01D69"/>
    <w:rsid w:val="00D03381"/>
    <w:rsid w:val="00D03DA0"/>
    <w:rsid w:val="00D041D3"/>
    <w:rsid w:val="00D04E1D"/>
    <w:rsid w:val="00D122B5"/>
    <w:rsid w:val="00D12E36"/>
    <w:rsid w:val="00D14486"/>
    <w:rsid w:val="00D24191"/>
    <w:rsid w:val="00D2624C"/>
    <w:rsid w:val="00D27961"/>
    <w:rsid w:val="00D32924"/>
    <w:rsid w:val="00D345A9"/>
    <w:rsid w:val="00D345BA"/>
    <w:rsid w:val="00D355CD"/>
    <w:rsid w:val="00D378E1"/>
    <w:rsid w:val="00D45FB2"/>
    <w:rsid w:val="00D50BDF"/>
    <w:rsid w:val="00D51036"/>
    <w:rsid w:val="00D51AF6"/>
    <w:rsid w:val="00D537E9"/>
    <w:rsid w:val="00D556F9"/>
    <w:rsid w:val="00D57FB2"/>
    <w:rsid w:val="00D57FF9"/>
    <w:rsid w:val="00D659AA"/>
    <w:rsid w:val="00D66D3D"/>
    <w:rsid w:val="00D70A57"/>
    <w:rsid w:val="00D719D8"/>
    <w:rsid w:val="00D72AD2"/>
    <w:rsid w:val="00D81626"/>
    <w:rsid w:val="00D81699"/>
    <w:rsid w:val="00D850B4"/>
    <w:rsid w:val="00D858F0"/>
    <w:rsid w:val="00D85A4A"/>
    <w:rsid w:val="00D91B49"/>
    <w:rsid w:val="00D9234A"/>
    <w:rsid w:val="00D92483"/>
    <w:rsid w:val="00D9542D"/>
    <w:rsid w:val="00D971C5"/>
    <w:rsid w:val="00DA120F"/>
    <w:rsid w:val="00DA2B13"/>
    <w:rsid w:val="00DA48FA"/>
    <w:rsid w:val="00DA4A61"/>
    <w:rsid w:val="00DA78FA"/>
    <w:rsid w:val="00DB011F"/>
    <w:rsid w:val="00DB07F1"/>
    <w:rsid w:val="00DB418E"/>
    <w:rsid w:val="00DB6571"/>
    <w:rsid w:val="00DB7E86"/>
    <w:rsid w:val="00DC0714"/>
    <w:rsid w:val="00DC07B6"/>
    <w:rsid w:val="00DC5325"/>
    <w:rsid w:val="00DC5A9B"/>
    <w:rsid w:val="00DC66E1"/>
    <w:rsid w:val="00DC7C41"/>
    <w:rsid w:val="00DC7FDD"/>
    <w:rsid w:val="00DD330D"/>
    <w:rsid w:val="00DD33D5"/>
    <w:rsid w:val="00DD383F"/>
    <w:rsid w:val="00DD5538"/>
    <w:rsid w:val="00DD679B"/>
    <w:rsid w:val="00DD7D66"/>
    <w:rsid w:val="00DE083C"/>
    <w:rsid w:val="00DE28B9"/>
    <w:rsid w:val="00DE3F51"/>
    <w:rsid w:val="00DE4639"/>
    <w:rsid w:val="00DE5BF3"/>
    <w:rsid w:val="00DF0609"/>
    <w:rsid w:val="00DF42EC"/>
    <w:rsid w:val="00E01337"/>
    <w:rsid w:val="00E01419"/>
    <w:rsid w:val="00E015E9"/>
    <w:rsid w:val="00E055EF"/>
    <w:rsid w:val="00E05982"/>
    <w:rsid w:val="00E07DDC"/>
    <w:rsid w:val="00E10745"/>
    <w:rsid w:val="00E10E3B"/>
    <w:rsid w:val="00E13811"/>
    <w:rsid w:val="00E14078"/>
    <w:rsid w:val="00E2002D"/>
    <w:rsid w:val="00E22771"/>
    <w:rsid w:val="00E23B1D"/>
    <w:rsid w:val="00E23D20"/>
    <w:rsid w:val="00E26324"/>
    <w:rsid w:val="00E2718B"/>
    <w:rsid w:val="00E30F22"/>
    <w:rsid w:val="00E31B2B"/>
    <w:rsid w:val="00E332AA"/>
    <w:rsid w:val="00E3789F"/>
    <w:rsid w:val="00E42324"/>
    <w:rsid w:val="00E42470"/>
    <w:rsid w:val="00E42C11"/>
    <w:rsid w:val="00E43A5D"/>
    <w:rsid w:val="00E46269"/>
    <w:rsid w:val="00E470AA"/>
    <w:rsid w:val="00E4715B"/>
    <w:rsid w:val="00E47247"/>
    <w:rsid w:val="00E55285"/>
    <w:rsid w:val="00E56294"/>
    <w:rsid w:val="00E5666E"/>
    <w:rsid w:val="00E56A02"/>
    <w:rsid w:val="00E620F4"/>
    <w:rsid w:val="00E65E5D"/>
    <w:rsid w:val="00E66495"/>
    <w:rsid w:val="00E70605"/>
    <w:rsid w:val="00E734E5"/>
    <w:rsid w:val="00E73671"/>
    <w:rsid w:val="00E74343"/>
    <w:rsid w:val="00E77946"/>
    <w:rsid w:val="00E77F5F"/>
    <w:rsid w:val="00E85F32"/>
    <w:rsid w:val="00E86DAC"/>
    <w:rsid w:val="00E94491"/>
    <w:rsid w:val="00E95309"/>
    <w:rsid w:val="00E95873"/>
    <w:rsid w:val="00E95D19"/>
    <w:rsid w:val="00EA2C09"/>
    <w:rsid w:val="00EA3396"/>
    <w:rsid w:val="00EA360D"/>
    <w:rsid w:val="00EA41EB"/>
    <w:rsid w:val="00EA4CEB"/>
    <w:rsid w:val="00EA5138"/>
    <w:rsid w:val="00EA7C1F"/>
    <w:rsid w:val="00EB31F9"/>
    <w:rsid w:val="00EB3CAF"/>
    <w:rsid w:val="00EC1F68"/>
    <w:rsid w:val="00EC443E"/>
    <w:rsid w:val="00EC4DCF"/>
    <w:rsid w:val="00EC63A9"/>
    <w:rsid w:val="00EC68C8"/>
    <w:rsid w:val="00ED1762"/>
    <w:rsid w:val="00ED1AA3"/>
    <w:rsid w:val="00ED3A52"/>
    <w:rsid w:val="00ED5A00"/>
    <w:rsid w:val="00ED7469"/>
    <w:rsid w:val="00EE0BB5"/>
    <w:rsid w:val="00EE1A56"/>
    <w:rsid w:val="00EE26C3"/>
    <w:rsid w:val="00EE6AEE"/>
    <w:rsid w:val="00EF0C30"/>
    <w:rsid w:val="00EF4A78"/>
    <w:rsid w:val="00F00D5D"/>
    <w:rsid w:val="00F01238"/>
    <w:rsid w:val="00F013D1"/>
    <w:rsid w:val="00F01E03"/>
    <w:rsid w:val="00F01F96"/>
    <w:rsid w:val="00F03BC0"/>
    <w:rsid w:val="00F06397"/>
    <w:rsid w:val="00F1151E"/>
    <w:rsid w:val="00F116FB"/>
    <w:rsid w:val="00F12AFF"/>
    <w:rsid w:val="00F14231"/>
    <w:rsid w:val="00F14FBA"/>
    <w:rsid w:val="00F155A0"/>
    <w:rsid w:val="00F1624F"/>
    <w:rsid w:val="00F16390"/>
    <w:rsid w:val="00F22D41"/>
    <w:rsid w:val="00F22FE3"/>
    <w:rsid w:val="00F258C6"/>
    <w:rsid w:val="00F317D6"/>
    <w:rsid w:val="00F338DB"/>
    <w:rsid w:val="00F3624F"/>
    <w:rsid w:val="00F37A7A"/>
    <w:rsid w:val="00F41097"/>
    <w:rsid w:val="00F43C31"/>
    <w:rsid w:val="00F443D7"/>
    <w:rsid w:val="00F45951"/>
    <w:rsid w:val="00F4606A"/>
    <w:rsid w:val="00F52054"/>
    <w:rsid w:val="00F61387"/>
    <w:rsid w:val="00F627E2"/>
    <w:rsid w:val="00F668E5"/>
    <w:rsid w:val="00F67A1A"/>
    <w:rsid w:val="00F70D93"/>
    <w:rsid w:val="00F71795"/>
    <w:rsid w:val="00F73490"/>
    <w:rsid w:val="00F7699C"/>
    <w:rsid w:val="00F803F6"/>
    <w:rsid w:val="00F82A4F"/>
    <w:rsid w:val="00F82F31"/>
    <w:rsid w:val="00F832EA"/>
    <w:rsid w:val="00F8381B"/>
    <w:rsid w:val="00F863DC"/>
    <w:rsid w:val="00F87108"/>
    <w:rsid w:val="00F93BF9"/>
    <w:rsid w:val="00F96150"/>
    <w:rsid w:val="00F968B6"/>
    <w:rsid w:val="00FA0583"/>
    <w:rsid w:val="00FA12F2"/>
    <w:rsid w:val="00FA1C1B"/>
    <w:rsid w:val="00FA5CF4"/>
    <w:rsid w:val="00FB0AB3"/>
    <w:rsid w:val="00FB19BB"/>
    <w:rsid w:val="00FB2CA6"/>
    <w:rsid w:val="00FB60AB"/>
    <w:rsid w:val="00FB6314"/>
    <w:rsid w:val="00FC008A"/>
    <w:rsid w:val="00FC12AE"/>
    <w:rsid w:val="00FC278B"/>
    <w:rsid w:val="00FD0ED5"/>
    <w:rsid w:val="00FD20B1"/>
    <w:rsid w:val="00FD418B"/>
    <w:rsid w:val="00FD4F3D"/>
    <w:rsid w:val="00FD706D"/>
    <w:rsid w:val="00FD7424"/>
    <w:rsid w:val="00FE05C5"/>
    <w:rsid w:val="00FE0A72"/>
    <w:rsid w:val="00FE40C8"/>
    <w:rsid w:val="00FE447F"/>
    <w:rsid w:val="00FE4958"/>
    <w:rsid w:val="00FE4CC5"/>
    <w:rsid w:val="00FE603B"/>
    <w:rsid w:val="00FF0B4A"/>
    <w:rsid w:val="00FF2430"/>
    <w:rsid w:val="00FF3FEF"/>
    <w:rsid w:val="00FF6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2FC6F8"/>
  <w15:chartTrackingRefBased/>
  <w15:docId w15:val="{194E2851-6D22-4F3D-A814-A0333F40F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E74"/>
    <w:pPr>
      <w:kinsoku w:val="0"/>
      <w:overflowPunct w:val="0"/>
      <w:autoSpaceDE w:val="0"/>
      <w:autoSpaceDN w:val="0"/>
      <w:adjustRightInd w:val="0"/>
      <w:snapToGrid w:val="0"/>
      <w:jc w:val="both"/>
    </w:pPr>
    <w:rPr>
      <w:rFonts w:eastAsia="MingLiU"/>
      <w:b/>
      <w:snapToGrid w:val="0"/>
      <w:lang w:val="en-GB"/>
    </w:rPr>
  </w:style>
  <w:style w:type="paragraph" w:styleId="Heading1">
    <w:name w:val="heading 1"/>
    <w:basedOn w:val="Normal"/>
    <w:next w:val="Normal"/>
    <w:qFormat/>
    <w:rsid w:val="009E7E74"/>
    <w:pPr>
      <w:keepNext/>
      <w:spacing w:after="120"/>
      <w:jc w:val="center"/>
      <w:outlineLvl w:val="0"/>
    </w:pPr>
    <w:rPr>
      <w:rFonts w:eastAsia="宋体"/>
    </w:rPr>
  </w:style>
  <w:style w:type="paragraph" w:styleId="Heading2">
    <w:name w:val="heading 2"/>
    <w:basedOn w:val="Normal"/>
    <w:next w:val="NormalIndent"/>
    <w:qFormat/>
    <w:rsid w:val="009E7E74"/>
    <w:pPr>
      <w:keepNext/>
      <w:tabs>
        <w:tab w:val="left" w:pos="1440"/>
        <w:tab w:val="left" w:pos="2160"/>
      </w:tabs>
      <w:spacing w:line="600" w:lineRule="auto"/>
      <w:outlineLvl w:val="1"/>
    </w:pPr>
    <w:rPr>
      <w:rFonts w:eastAsia="宋体"/>
      <w:b w:val="0"/>
      <w:i/>
    </w:rPr>
  </w:style>
  <w:style w:type="paragraph" w:styleId="Heading3">
    <w:name w:val="heading 3"/>
    <w:basedOn w:val="Normal"/>
    <w:next w:val="NormalIndent"/>
    <w:qFormat/>
    <w:rsid w:val="009E7E74"/>
    <w:pPr>
      <w:keepNext/>
      <w:tabs>
        <w:tab w:val="left" w:pos="1440"/>
        <w:tab w:val="left" w:pos="2160"/>
      </w:tabs>
      <w:spacing w:line="600" w:lineRule="auto"/>
      <w:outlineLvl w:val="2"/>
    </w:pPr>
    <w:rPr>
      <w:rFonts w:eastAsia="宋体"/>
      <w:b w:val="0"/>
      <w:u w:val="single"/>
    </w:rPr>
  </w:style>
  <w:style w:type="paragraph" w:styleId="Heading4">
    <w:name w:val="heading 4"/>
    <w:basedOn w:val="Normal"/>
    <w:next w:val="NormalIndent"/>
    <w:qFormat/>
    <w:rsid w:val="009E7E74"/>
    <w:pPr>
      <w:keepNext/>
      <w:tabs>
        <w:tab w:val="left" w:pos="720"/>
      </w:tabs>
      <w:jc w:val="right"/>
      <w:outlineLvl w:val="3"/>
    </w:pPr>
    <w:rPr>
      <w:rFonts w:eastAsia="宋体"/>
      <w:b w:val="0"/>
    </w:rPr>
  </w:style>
  <w:style w:type="paragraph" w:styleId="Heading5">
    <w:name w:val="heading 5"/>
    <w:basedOn w:val="Normal"/>
    <w:next w:val="NormalIndent"/>
    <w:qFormat/>
    <w:rsid w:val="009E7E74"/>
    <w:pPr>
      <w:keepNext/>
      <w:tabs>
        <w:tab w:val="left" w:pos="720"/>
      </w:tabs>
      <w:jc w:val="left"/>
      <w:outlineLvl w:val="4"/>
    </w:pPr>
    <w:rPr>
      <w:rFonts w:eastAsia="宋体"/>
      <w:b w:val="0"/>
    </w:rPr>
  </w:style>
  <w:style w:type="paragraph" w:styleId="Heading6">
    <w:name w:val="heading 6"/>
    <w:basedOn w:val="Normal"/>
    <w:next w:val="Normal"/>
    <w:qFormat/>
    <w:rsid w:val="009E7E74"/>
    <w:pPr>
      <w:keepNext/>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next w:val="Normal"/>
    <w:semiHidden/>
    <w:rsid w:val="009E7E74"/>
    <w:pPr>
      <w:widowControl w:val="0"/>
      <w:textAlignment w:val="top"/>
    </w:pPr>
    <w:rPr>
      <w:rFonts w:eastAsia="PMingLiU"/>
    </w:rPr>
  </w:style>
  <w:style w:type="paragraph" w:styleId="Footer">
    <w:name w:val="footer"/>
    <w:basedOn w:val="Normal"/>
    <w:semiHidden/>
    <w:rsid w:val="009E7E74"/>
    <w:pPr>
      <w:tabs>
        <w:tab w:val="center" w:pos="4153"/>
        <w:tab w:val="right" w:pos="8306"/>
      </w:tabs>
    </w:pPr>
  </w:style>
  <w:style w:type="paragraph" w:styleId="Header">
    <w:name w:val="header"/>
    <w:basedOn w:val="Normal"/>
    <w:semiHidden/>
    <w:rsid w:val="009E7E74"/>
    <w:pPr>
      <w:jc w:val="center"/>
    </w:pPr>
    <w:rPr>
      <w:b w:val="0"/>
      <w:sz w:val="24"/>
    </w:rPr>
  </w:style>
  <w:style w:type="paragraph" w:customStyle="1" w:styleId="normal1">
    <w:name w:val="normal1"/>
    <w:basedOn w:val="Normal"/>
    <w:rsid w:val="009E7E74"/>
    <w:pPr>
      <w:tabs>
        <w:tab w:val="left" w:pos="1411"/>
      </w:tabs>
      <w:jc w:val="center"/>
    </w:pPr>
    <w:rPr>
      <w:b w:val="0"/>
      <w:sz w:val="28"/>
    </w:rPr>
  </w:style>
  <w:style w:type="paragraph" w:customStyle="1" w:styleId="normal2">
    <w:name w:val="normal2"/>
    <w:rsid w:val="009E7E74"/>
    <w:pPr>
      <w:kinsoku w:val="0"/>
      <w:overflowPunct w:val="0"/>
      <w:autoSpaceDE w:val="0"/>
      <w:autoSpaceDN w:val="0"/>
      <w:adjustRightInd w:val="0"/>
      <w:snapToGrid w:val="0"/>
      <w:jc w:val="center"/>
    </w:pPr>
    <w:rPr>
      <w:caps/>
      <w:kern w:val="28"/>
      <w:sz w:val="28"/>
      <w:szCs w:val="28"/>
      <w:lang w:val="en-GB" w:eastAsia="en-US"/>
    </w:rPr>
  </w:style>
  <w:style w:type="paragraph" w:customStyle="1" w:styleId="normal3">
    <w:name w:val="normal3"/>
    <w:rsid w:val="009E7E74"/>
    <w:pPr>
      <w:tabs>
        <w:tab w:val="center" w:pos="4500"/>
        <w:tab w:val="right" w:pos="9000"/>
      </w:tabs>
      <w:kinsoku w:val="0"/>
      <w:overflowPunct w:val="0"/>
      <w:autoSpaceDE w:val="0"/>
      <w:autoSpaceDN w:val="0"/>
      <w:adjustRightInd w:val="0"/>
      <w:spacing w:after="60"/>
      <w:jc w:val="center"/>
    </w:pPr>
    <w:rPr>
      <w:rFonts w:eastAsia="MingLiU"/>
      <w:b/>
      <w:caps/>
      <w:sz w:val="28"/>
      <w:lang w:val="en-GB" w:eastAsia="en-US"/>
    </w:rPr>
  </w:style>
  <w:style w:type="paragraph" w:customStyle="1" w:styleId="normal4">
    <w:name w:val="normal4"/>
    <w:basedOn w:val="normal1"/>
    <w:next w:val="normal1"/>
    <w:rsid w:val="009E7E74"/>
    <w:pPr>
      <w:spacing w:after="240"/>
      <w:jc w:val="right"/>
    </w:pPr>
    <w:rPr>
      <w:caps/>
    </w:rPr>
  </w:style>
  <w:style w:type="paragraph" w:customStyle="1" w:styleId="j-subparagraph">
    <w:name w:val="j-subparagraph"/>
    <w:basedOn w:val="Normal"/>
    <w:rsid w:val="009E7E74"/>
    <w:pPr>
      <w:tabs>
        <w:tab w:val="left" w:pos="1440"/>
      </w:tabs>
      <w:kinsoku/>
      <w:overflowPunct/>
      <w:autoSpaceDE/>
      <w:autoSpaceDN/>
      <w:adjustRightInd/>
      <w:spacing w:before="120" w:line="360" w:lineRule="auto"/>
      <w:ind w:left="2160" w:hanging="720"/>
    </w:pPr>
    <w:rPr>
      <w:rFonts w:eastAsia="宋体"/>
      <w:b w:val="0"/>
      <w:snapToGrid/>
      <w:kern w:val="2"/>
      <w:sz w:val="28"/>
    </w:rPr>
  </w:style>
  <w:style w:type="character" w:styleId="PageNumber">
    <w:name w:val="page number"/>
    <w:semiHidden/>
    <w:rsid w:val="009E7E74"/>
    <w:rPr>
      <w:bCs/>
      <w:szCs w:val="24"/>
    </w:rPr>
  </w:style>
  <w:style w:type="paragraph" w:customStyle="1" w:styleId="j-draft">
    <w:name w:val="j-draft"/>
    <w:basedOn w:val="Normal"/>
    <w:rsid w:val="006215ED"/>
    <w:pPr>
      <w:numPr>
        <w:numId w:val="2"/>
      </w:numPr>
      <w:tabs>
        <w:tab w:val="left" w:pos="1418"/>
      </w:tabs>
      <w:spacing w:before="360" w:line="360" w:lineRule="auto"/>
    </w:pPr>
    <w:rPr>
      <w:b w:val="0"/>
      <w:sz w:val="28"/>
    </w:rPr>
  </w:style>
  <w:style w:type="paragraph" w:customStyle="1" w:styleId="j-heading">
    <w:name w:val="j-heading"/>
    <w:basedOn w:val="Heading4"/>
    <w:next w:val="j-draft"/>
    <w:rsid w:val="00245F64"/>
    <w:pPr>
      <w:tabs>
        <w:tab w:val="clear" w:pos="720"/>
      </w:tabs>
      <w:spacing w:before="360" w:line="360" w:lineRule="auto"/>
      <w:jc w:val="left"/>
    </w:pPr>
    <w:rPr>
      <w:i/>
      <w:sz w:val="28"/>
    </w:rPr>
  </w:style>
  <w:style w:type="paragraph" w:customStyle="1" w:styleId="j-quotation">
    <w:name w:val="j-quotation"/>
    <w:next w:val="BodyText"/>
    <w:rsid w:val="006215ED"/>
    <w:pPr>
      <w:tabs>
        <w:tab w:val="left" w:pos="1418"/>
      </w:tabs>
      <w:kinsoku w:val="0"/>
      <w:overflowPunct w:val="0"/>
      <w:autoSpaceDE w:val="0"/>
      <w:autoSpaceDN w:val="0"/>
      <w:adjustRightInd w:val="0"/>
      <w:snapToGrid w:val="0"/>
      <w:spacing w:before="180" w:after="60"/>
      <w:ind w:left="1418" w:right="737"/>
      <w:jc w:val="both"/>
    </w:pPr>
    <w:rPr>
      <w:sz w:val="24"/>
      <w:lang w:val="en-GB" w:eastAsia="en-US"/>
    </w:rPr>
  </w:style>
  <w:style w:type="paragraph" w:styleId="BodyText">
    <w:name w:val="Body Text"/>
    <w:basedOn w:val="j-draft"/>
    <w:next w:val="j-draft"/>
    <w:semiHidden/>
    <w:rsid w:val="009E7E74"/>
    <w:pPr>
      <w:numPr>
        <w:numId w:val="0"/>
      </w:numPr>
      <w:tabs>
        <w:tab w:val="clear" w:pos="1418"/>
      </w:tabs>
    </w:pPr>
  </w:style>
  <w:style w:type="paragraph" w:customStyle="1" w:styleId="j-final">
    <w:name w:val="j-final"/>
    <w:basedOn w:val="Normal"/>
    <w:rsid w:val="009E7E74"/>
    <w:pPr>
      <w:numPr>
        <w:numId w:val="1"/>
      </w:numPr>
      <w:tabs>
        <w:tab w:val="clear" w:pos="360"/>
        <w:tab w:val="left" w:pos="1440"/>
      </w:tabs>
      <w:kinsoku/>
      <w:overflowPunct/>
      <w:autoSpaceDE/>
      <w:autoSpaceDN/>
      <w:adjustRightInd/>
      <w:spacing w:before="360" w:line="360" w:lineRule="auto"/>
    </w:pPr>
    <w:rPr>
      <w:rFonts w:eastAsia="宋体"/>
      <w:b w:val="0"/>
      <w:snapToGrid/>
      <w:kern w:val="2"/>
      <w:sz w:val="28"/>
    </w:rPr>
  </w:style>
  <w:style w:type="paragraph" w:customStyle="1" w:styleId="Style1">
    <w:name w:val="Style1"/>
    <w:basedOn w:val="j-quotation"/>
    <w:rsid w:val="009E7E74"/>
    <w:pPr>
      <w:kinsoku/>
      <w:overflowPunct/>
      <w:autoSpaceDE/>
      <w:autoSpaceDN/>
      <w:adjustRightInd/>
      <w:spacing w:before="0" w:after="0"/>
      <w:ind w:left="0" w:right="0"/>
    </w:pPr>
    <w:rPr>
      <w:kern w:val="2"/>
      <w:sz w:val="28"/>
      <w:lang w:eastAsia="zh-CN"/>
    </w:rPr>
  </w:style>
  <w:style w:type="paragraph" w:customStyle="1" w:styleId="J-BodyText">
    <w:name w:val="J-Body Text"/>
    <w:basedOn w:val="Normal"/>
    <w:next w:val="Normal"/>
    <w:rsid w:val="009E7E74"/>
    <w:pPr>
      <w:keepNext/>
      <w:widowControl w:val="0"/>
      <w:spacing w:after="240"/>
      <w:ind w:left="720" w:hanging="720"/>
      <w:textAlignment w:val="baseline"/>
    </w:pPr>
    <w:rPr>
      <w:rFonts w:eastAsia="PMingLiU"/>
      <w:b w:val="0"/>
      <w:sz w:val="28"/>
    </w:rPr>
  </w:style>
  <w:style w:type="paragraph" w:styleId="NormalWeb">
    <w:name w:val="Normal (Web)"/>
    <w:basedOn w:val="Normal"/>
    <w:uiPriority w:val="99"/>
    <w:rsid w:val="009E7E74"/>
    <w:pPr>
      <w:kinsoku/>
      <w:overflowPunct/>
      <w:autoSpaceDE/>
      <w:autoSpaceDN/>
      <w:adjustRightInd/>
      <w:snapToGrid/>
      <w:spacing w:before="100" w:beforeAutospacing="1" w:after="100" w:afterAutospacing="1"/>
      <w:jc w:val="left"/>
    </w:pPr>
    <w:rPr>
      <w:rFonts w:ascii="Arial Unicode MS" w:eastAsia="Arial Unicode MS" w:hAnsi="Arial Unicode MS" w:cs="Arial Unicode MS"/>
      <w:b w:val="0"/>
      <w:snapToGrid/>
      <w:sz w:val="24"/>
      <w:szCs w:val="24"/>
      <w:lang w:val="en-US" w:eastAsia="en-US"/>
    </w:rPr>
  </w:style>
  <w:style w:type="paragraph" w:customStyle="1" w:styleId="Quote1">
    <w:name w:val="Quote1"/>
    <w:basedOn w:val="Normal"/>
    <w:rsid w:val="009E7E74"/>
    <w:pPr>
      <w:kinsoku/>
      <w:overflowPunct/>
      <w:autoSpaceDE/>
      <w:autoSpaceDN/>
      <w:adjustRightInd/>
      <w:snapToGrid/>
      <w:spacing w:before="100" w:beforeAutospacing="1" w:after="100" w:afterAutospacing="1"/>
      <w:jc w:val="left"/>
    </w:pPr>
    <w:rPr>
      <w:rFonts w:ascii="Arial Unicode MS" w:eastAsia="Arial Unicode MS" w:hAnsi="Arial Unicode MS" w:cs="Arial Unicode MS"/>
      <w:b w:val="0"/>
      <w:snapToGrid/>
      <w:sz w:val="24"/>
      <w:szCs w:val="24"/>
      <w:lang w:val="en-US" w:eastAsia="en-US"/>
    </w:rPr>
  </w:style>
  <w:style w:type="paragraph" w:customStyle="1" w:styleId="altd">
    <w:name w:val="altd"/>
    <w:basedOn w:val="Normal"/>
    <w:rsid w:val="009E7E74"/>
    <w:pPr>
      <w:tabs>
        <w:tab w:val="left" w:pos="1418"/>
        <w:tab w:val="left" w:pos="2268"/>
        <w:tab w:val="left" w:pos="3119"/>
        <w:tab w:val="center" w:pos="4320"/>
        <w:tab w:val="right" w:pos="9072"/>
      </w:tabs>
      <w:kinsoku/>
      <w:adjustRightInd/>
      <w:spacing w:before="600" w:line="600" w:lineRule="exact"/>
      <w:ind w:firstLine="1411"/>
      <w:jc w:val="left"/>
    </w:pPr>
    <w:rPr>
      <w:b w:val="0"/>
      <w:snapToGrid/>
      <w:sz w:val="28"/>
    </w:rPr>
  </w:style>
  <w:style w:type="paragraph" w:customStyle="1" w:styleId="Draft">
    <w:name w:val="Draft"/>
    <w:basedOn w:val="Normal"/>
    <w:rsid w:val="009E7E74"/>
    <w:pPr>
      <w:tabs>
        <w:tab w:val="left" w:pos="1440"/>
        <w:tab w:val="center" w:pos="4320"/>
        <w:tab w:val="right" w:pos="9072"/>
      </w:tabs>
      <w:kinsoku/>
      <w:overflowPunct/>
      <w:autoSpaceDE/>
      <w:autoSpaceDN/>
      <w:adjustRightInd/>
      <w:spacing w:line="600" w:lineRule="exact"/>
      <w:jc w:val="left"/>
    </w:pPr>
    <w:rPr>
      <w:rFonts w:eastAsia="宋体"/>
      <w:b w:val="0"/>
      <w:snapToGrid/>
      <w:sz w:val="28"/>
    </w:rPr>
  </w:style>
  <w:style w:type="paragraph" w:customStyle="1" w:styleId="Final">
    <w:name w:val="Final"/>
    <w:basedOn w:val="Draft"/>
    <w:rsid w:val="009E7E74"/>
    <w:pPr>
      <w:spacing w:line="360" w:lineRule="auto"/>
    </w:pPr>
  </w:style>
  <w:style w:type="paragraph" w:customStyle="1" w:styleId="Quotation">
    <w:name w:val="Quotation"/>
    <w:basedOn w:val="Normal"/>
    <w:rsid w:val="009E7E74"/>
    <w:pPr>
      <w:tabs>
        <w:tab w:val="left" w:pos="1440"/>
        <w:tab w:val="left" w:pos="1872"/>
        <w:tab w:val="left" w:pos="2304"/>
        <w:tab w:val="center" w:pos="4320"/>
        <w:tab w:val="right" w:pos="9072"/>
      </w:tabs>
      <w:kinsoku/>
      <w:overflowPunct/>
      <w:autoSpaceDE/>
      <w:autoSpaceDN/>
      <w:adjustRightInd/>
      <w:spacing w:before="240"/>
      <w:ind w:left="1440" w:right="720"/>
      <w:jc w:val="left"/>
    </w:pPr>
    <w:rPr>
      <w:rFonts w:eastAsia="宋体"/>
      <w:b w:val="0"/>
      <w:snapToGrid/>
      <w:kern w:val="2"/>
      <w:sz w:val="24"/>
    </w:rPr>
  </w:style>
  <w:style w:type="paragraph" w:customStyle="1" w:styleId="hspace">
    <w:name w:val="hspace"/>
    <w:basedOn w:val="Draft"/>
    <w:rsid w:val="009E7E74"/>
  </w:style>
  <w:style w:type="paragraph" w:styleId="BodyTextIndent">
    <w:name w:val="Body Text Indent"/>
    <w:basedOn w:val="Normal"/>
    <w:semiHidden/>
    <w:rsid w:val="009E7E74"/>
    <w:pPr>
      <w:tabs>
        <w:tab w:val="center" w:pos="5740"/>
      </w:tabs>
      <w:ind w:left="300" w:hanging="300"/>
    </w:pPr>
    <w:rPr>
      <w:b w:val="0"/>
      <w:bCs/>
      <w:sz w:val="28"/>
    </w:rPr>
  </w:style>
  <w:style w:type="character" w:styleId="CommentReference">
    <w:name w:val="annotation reference"/>
    <w:semiHidden/>
    <w:rsid w:val="009E7E74"/>
    <w:rPr>
      <w:sz w:val="16"/>
      <w:szCs w:val="16"/>
    </w:rPr>
  </w:style>
  <w:style w:type="paragraph" w:styleId="CommentText">
    <w:name w:val="annotation text"/>
    <w:basedOn w:val="Normal"/>
    <w:semiHidden/>
    <w:rsid w:val="009E7E74"/>
  </w:style>
  <w:style w:type="paragraph" w:customStyle="1" w:styleId="T-Head">
    <w:name w:val="T-Head"/>
    <w:basedOn w:val="Normal"/>
    <w:next w:val="Normal"/>
    <w:rsid w:val="009E7E74"/>
    <w:pPr>
      <w:keepNext/>
      <w:kinsoku/>
      <w:overflowPunct/>
      <w:autoSpaceDE/>
      <w:autoSpaceDN/>
      <w:adjustRightInd/>
      <w:snapToGrid/>
      <w:spacing w:before="480" w:line="360" w:lineRule="auto"/>
    </w:pPr>
    <w:rPr>
      <w:rFonts w:eastAsia="宋体"/>
      <w:b w:val="0"/>
      <w:i/>
      <w:snapToGrid/>
      <w:kern w:val="2"/>
      <w:sz w:val="28"/>
      <w:u w:val="single"/>
      <w:lang w:val="en-US"/>
    </w:rPr>
  </w:style>
  <w:style w:type="paragraph" w:styleId="FootnoteText">
    <w:name w:val="footnote text"/>
    <w:basedOn w:val="Normal"/>
    <w:link w:val="FootnoteTextChar"/>
    <w:unhideWhenUsed/>
    <w:rsid w:val="00586FC8"/>
    <w:pPr>
      <w:tabs>
        <w:tab w:val="left" w:pos="274"/>
      </w:tabs>
      <w:kinsoku/>
      <w:overflowPunct/>
      <w:autoSpaceDE/>
      <w:autoSpaceDN/>
      <w:adjustRightInd/>
      <w:snapToGrid/>
      <w:jc w:val="left"/>
    </w:pPr>
    <w:rPr>
      <w:rFonts w:eastAsia="宋体"/>
      <w:b w:val="0"/>
      <w:snapToGrid/>
    </w:rPr>
  </w:style>
  <w:style w:type="character" w:customStyle="1" w:styleId="FootnoteTextChar">
    <w:name w:val="Footnote Text Char"/>
    <w:link w:val="FootnoteText"/>
    <w:rsid w:val="00586FC8"/>
    <w:rPr>
      <w:lang w:val="en-GB"/>
    </w:rPr>
  </w:style>
  <w:style w:type="character" w:styleId="FootnoteReference">
    <w:name w:val="footnote reference"/>
    <w:uiPriority w:val="99"/>
    <w:unhideWhenUsed/>
    <w:rsid w:val="003555EE"/>
    <w:rPr>
      <w:vertAlign w:val="superscript"/>
    </w:rPr>
  </w:style>
  <w:style w:type="paragraph" w:styleId="EndnoteText">
    <w:name w:val="endnote text"/>
    <w:basedOn w:val="Normal"/>
    <w:link w:val="EndnoteTextChar"/>
    <w:uiPriority w:val="99"/>
    <w:semiHidden/>
    <w:unhideWhenUsed/>
    <w:rsid w:val="002C5B01"/>
  </w:style>
  <w:style w:type="character" w:customStyle="1" w:styleId="EndnoteTextChar">
    <w:name w:val="Endnote Text Char"/>
    <w:link w:val="EndnoteText"/>
    <w:uiPriority w:val="99"/>
    <w:semiHidden/>
    <w:rsid w:val="002C5B01"/>
    <w:rPr>
      <w:rFonts w:eastAsia="MingLiU"/>
      <w:b/>
      <w:snapToGrid w:val="0"/>
      <w:lang w:val="en-GB"/>
    </w:rPr>
  </w:style>
  <w:style w:type="character" w:styleId="EndnoteReference">
    <w:name w:val="endnote reference"/>
    <w:uiPriority w:val="99"/>
    <w:semiHidden/>
    <w:unhideWhenUsed/>
    <w:rsid w:val="002C5B01"/>
    <w:rPr>
      <w:vertAlign w:val="superscript"/>
    </w:rPr>
  </w:style>
  <w:style w:type="paragraph" w:customStyle="1" w:styleId="sh">
    <w:name w:val="sh"/>
    <w:basedOn w:val="Normal"/>
    <w:rsid w:val="00292999"/>
    <w:pPr>
      <w:tabs>
        <w:tab w:val="left" w:pos="720"/>
        <w:tab w:val="left" w:pos="1440"/>
        <w:tab w:val="center" w:pos="4320"/>
        <w:tab w:val="right" w:pos="9072"/>
      </w:tabs>
      <w:kinsoku/>
      <w:overflowPunct/>
      <w:autoSpaceDE/>
      <w:autoSpaceDN/>
      <w:adjustRightInd/>
      <w:snapToGrid/>
      <w:jc w:val="left"/>
    </w:pPr>
    <w:rPr>
      <w:rFonts w:eastAsia="宋体"/>
      <w:b w:val="0"/>
      <w:snapToGrid/>
      <w:sz w:val="28"/>
      <w:lang w:val="en-US"/>
    </w:rPr>
  </w:style>
  <w:style w:type="character" w:styleId="Hyperlink">
    <w:name w:val="Hyperlink"/>
    <w:uiPriority w:val="99"/>
    <w:unhideWhenUsed/>
    <w:rsid w:val="004F7EE5"/>
    <w:rPr>
      <w:color w:val="0000FF"/>
      <w:u w:val="single"/>
    </w:rPr>
  </w:style>
  <w:style w:type="paragraph" w:customStyle="1" w:styleId="ar-draft">
    <w:name w:val="ar-draft"/>
    <w:basedOn w:val="Normal"/>
    <w:qFormat/>
    <w:rsid w:val="004F0333"/>
    <w:pPr>
      <w:numPr>
        <w:numId w:val="3"/>
      </w:numPr>
      <w:tabs>
        <w:tab w:val="left" w:pos="1440"/>
      </w:tabs>
      <w:kinsoku/>
      <w:overflowPunct/>
      <w:autoSpaceDE/>
      <w:autoSpaceDN/>
      <w:adjustRightInd/>
      <w:spacing w:before="360" w:line="360" w:lineRule="auto"/>
    </w:pPr>
    <w:rPr>
      <w:b w:val="0"/>
      <w:snapToGrid/>
      <w:sz w:val="28"/>
    </w:rPr>
  </w:style>
  <w:style w:type="paragraph" w:customStyle="1" w:styleId="ar-heading1">
    <w:name w:val="ar-heading1"/>
    <w:basedOn w:val="Normal"/>
    <w:rsid w:val="004F0333"/>
    <w:pPr>
      <w:keepNext/>
      <w:tabs>
        <w:tab w:val="left" w:pos="1440"/>
        <w:tab w:val="center" w:pos="4320"/>
        <w:tab w:val="right" w:pos="9072"/>
      </w:tabs>
      <w:kinsoku/>
      <w:overflowPunct/>
      <w:autoSpaceDE/>
      <w:autoSpaceDN/>
      <w:adjustRightInd/>
      <w:spacing w:before="360" w:line="360" w:lineRule="auto"/>
      <w:jc w:val="left"/>
    </w:pPr>
    <w:rPr>
      <w:b w:val="0"/>
      <w:i/>
      <w:snapToGrid/>
      <w:sz w:val="28"/>
    </w:rPr>
  </w:style>
  <w:style w:type="paragraph" w:customStyle="1" w:styleId="ar-quotation">
    <w:name w:val="ar-quotation"/>
    <w:basedOn w:val="Normal"/>
    <w:rsid w:val="0014546D"/>
    <w:pPr>
      <w:tabs>
        <w:tab w:val="left" w:pos="1440"/>
        <w:tab w:val="left" w:pos="2160"/>
      </w:tabs>
      <w:kinsoku/>
      <w:overflowPunct/>
      <w:autoSpaceDE/>
      <w:autoSpaceDN/>
      <w:adjustRightInd/>
      <w:spacing w:before="240"/>
      <w:ind w:left="1440" w:right="734"/>
    </w:pPr>
    <w:rPr>
      <w:b w:val="0"/>
      <w:snapToGrid/>
      <w:sz w:val="24"/>
    </w:rPr>
  </w:style>
  <w:style w:type="paragraph" w:customStyle="1" w:styleId="T-Draft">
    <w:name w:val="T-Draft"/>
    <w:basedOn w:val="Normal"/>
    <w:rsid w:val="001E2DEA"/>
    <w:pPr>
      <w:numPr>
        <w:numId w:val="4"/>
      </w:numPr>
      <w:tabs>
        <w:tab w:val="left" w:pos="1440"/>
      </w:tabs>
      <w:kinsoku/>
      <w:overflowPunct/>
      <w:autoSpaceDE/>
      <w:autoSpaceDN/>
      <w:adjustRightInd/>
      <w:spacing w:before="360" w:line="360" w:lineRule="auto"/>
    </w:pPr>
    <w:rPr>
      <w:rFonts w:eastAsia="宋体"/>
      <w:b w:val="0"/>
      <w:snapToGrid/>
      <w:sz w:val="28"/>
    </w:rPr>
  </w:style>
  <w:style w:type="paragraph" w:styleId="BalloonText">
    <w:name w:val="Balloon Text"/>
    <w:basedOn w:val="Normal"/>
    <w:link w:val="BalloonTextChar"/>
    <w:uiPriority w:val="99"/>
    <w:semiHidden/>
    <w:unhideWhenUsed/>
    <w:rsid w:val="00D32924"/>
    <w:rPr>
      <w:rFonts w:ascii="Tahoma" w:hAnsi="Tahoma" w:cs="Tahoma"/>
      <w:sz w:val="16"/>
      <w:szCs w:val="16"/>
    </w:rPr>
  </w:style>
  <w:style w:type="character" w:customStyle="1" w:styleId="BalloonTextChar">
    <w:name w:val="Balloon Text Char"/>
    <w:link w:val="BalloonText"/>
    <w:uiPriority w:val="99"/>
    <w:semiHidden/>
    <w:rsid w:val="00D32924"/>
    <w:rPr>
      <w:rFonts w:ascii="Tahoma" w:eastAsia="MingLiU" w:hAnsi="Tahoma" w:cs="Tahoma"/>
      <w:b/>
      <w:snapToGrid w:val="0"/>
      <w:sz w:val="16"/>
      <w:szCs w:val="16"/>
      <w:lang w:val="en-GB"/>
    </w:rPr>
  </w:style>
  <w:style w:type="paragraph" w:styleId="ListParagraph">
    <w:name w:val="List Paragraph"/>
    <w:basedOn w:val="Normal"/>
    <w:uiPriority w:val="34"/>
    <w:qFormat/>
    <w:rsid w:val="00D32924"/>
    <w:pPr>
      <w:kinsoku/>
      <w:overflowPunct/>
      <w:autoSpaceDE/>
      <w:autoSpaceDN/>
      <w:adjustRightInd/>
      <w:snapToGrid/>
      <w:spacing w:after="200" w:line="276" w:lineRule="auto"/>
      <w:ind w:left="720"/>
      <w:contextualSpacing/>
      <w:jc w:val="left"/>
    </w:pPr>
    <w:rPr>
      <w:rFonts w:ascii="Calibri" w:eastAsia="宋体" w:hAnsi="Calibri"/>
      <w:b w:val="0"/>
      <w:snapToGrid/>
      <w:sz w:val="22"/>
      <w:szCs w:val="22"/>
      <w:lang w:eastAsia="zh-TW"/>
    </w:rPr>
  </w:style>
  <w:style w:type="character" w:styleId="Emphasis">
    <w:name w:val="Emphasis"/>
    <w:uiPriority w:val="20"/>
    <w:qFormat/>
    <w:rsid w:val="00D32924"/>
    <w:rPr>
      <w:i/>
      <w:iCs/>
    </w:rPr>
  </w:style>
  <w:style w:type="character" w:styleId="Strong">
    <w:name w:val="Strong"/>
    <w:uiPriority w:val="22"/>
    <w:qFormat/>
    <w:rsid w:val="00D32924"/>
    <w:rPr>
      <w:b/>
      <w:bCs/>
    </w:rPr>
  </w:style>
  <w:style w:type="character" w:customStyle="1" w:styleId="Chi">
    <w:name w:val="Chi"/>
    <w:uiPriority w:val="1"/>
    <w:rsid w:val="00BA1CF3"/>
    <w:rPr>
      <w:spacing w:val="10"/>
    </w:rPr>
  </w:style>
  <w:style w:type="table" w:customStyle="1" w:styleId="PartiesTable">
    <w:name w:val="Parties Table"/>
    <w:basedOn w:val="TableNormal"/>
    <w:rsid w:val="00BA1CF3"/>
    <w:pPr>
      <w:jc w:val="center"/>
    </w:pPr>
    <w:rPr>
      <w:sz w:val="28"/>
      <w:lang w:eastAsia="en-US"/>
    </w:rPr>
    <w:tblPr>
      <w:jc w:val="center"/>
      <w:tblCellMar>
        <w:left w:w="115" w:type="dxa"/>
        <w:bottom w:w="120" w:type="dxa"/>
        <w:right w:w="115" w:type="dxa"/>
      </w:tblCellMar>
    </w:tblPr>
    <w:trPr>
      <w:cantSplit/>
      <w:jc w:val="center"/>
    </w:trPr>
    <w:tblStylePr w:type="lastCol">
      <w:pPr>
        <w:wordWrap/>
        <w:jc w:val="right"/>
      </w:pPr>
    </w:tblStylePr>
  </w:style>
  <w:style w:type="table" w:customStyle="1" w:styleId="URTable">
    <w:name w:val="U&amp;R Table"/>
    <w:basedOn w:val="TableNormal"/>
    <w:rsid w:val="00774BB4"/>
    <w:pPr>
      <w:tabs>
        <w:tab w:val="left" w:pos="360"/>
      </w:tabs>
      <w:ind w:left="360" w:hanging="360"/>
    </w:pPr>
    <w:rPr>
      <w:sz w:val="28"/>
      <w:lang w:eastAsia="en-US"/>
    </w:rPr>
    <w:tblPr>
      <w:jc w:val="center"/>
      <w:tblCellMar>
        <w:left w:w="115" w:type="dxa"/>
        <w:bottom w:w="200" w:type="dxa"/>
        <w:right w:w="115" w:type="dxa"/>
      </w:tblCellMar>
    </w:tblPr>
    <w:trPr>
      <w:cantSplit/>
      <w:jc w:val="center"/>
    </w:trPr>
    <w:tblStylePr w:type="firstRow">
      <w:pPr>
        <w:wordWrap/>
        <w:ind w:leftChars="0" w:left="0" w:rightChars="0" w:right="0" w:firstLineChars="0" w:firstLine="0"/>
        <w:jc w:val="center"/>
      </w:pPr>
      <w:tblPr/>
      <w:tcPr>
        <w:tcMar>
          <w:top w:w="1440" w:type="dxa"/>
          <w:left w:w="0" w:type="nil"/>
          <w:bottom w:w="720" w:type="dxa"/>
          <w:right w:w="0" w:type="nil"/>
        </w:tcMar>
      </w:tcPr>
    </w:tblStylePr>
  </w:style>
  <w:style w:type="paragraph" w:styleId="BlockText">
    <w:name w:val="Block Text"/>
    <w:basedOn w:val="Normal"/>
    <w:semiHidden/>
    <w:rsid w:val="001874F2"/>
    <w:pPr>
      <w:kinsoku/>
      <w:overflowPunct/>
      <w:autoSpaceDE/>
      <w:autoSpaceDN/>
      <w:adjustRightInd/>
      <w:snapToGrid/>
      <w:spacing w:after="120"/>
      <w:ind w:left="1440" w:right="1440"/>
    </w:pPr>
    <w:rPr>
      <w:rFonts w:eastAsia="宋体"/>
      <w:b w:val="0"/>
      <w:snapToGrid/>
      <w:kern w:val="2"/>
      <w:sz w:val="28"/>
    </w:rPr>
  </w:style>
  <w:style w:type="paragraph" w:customStyle="1" w:styleId="paraundersub-heading">
    <w:name w:val="para under sub-heading"/>
    <w:basedOn w:val="Normal"/>
    <w:next w:val="Normal"/>
    <w:rsid w:val="00877748"/>
    <w:pPr>
      <w:tabs>
        <w:tab w:val="num" w:pos="360"/>
      </w:tabs>
      <w:kinsoku/>
      <w:overflowPunct/>
      <w:autoSpaceDE/>
      <w:autoSpaceDN/>
      <w:adjustRightInd/>
      <w:spacing w:before="120" w:line="360" w:lineRule="auto"/>
    </w:pPr>
    <w:rPr>
      <w:rFonts w:eastAsia="宋体"/>
      <w:b w:val="0"/>
      <w:snapToGrid/>
      <w:sz w:val="28"/>
    </w:rPr>
  </w:style>
  <w:style w:type="paragraph" w:customStyle="1" w:styleId="Sublevel2-a">
    <w:name w:val="Sublevel 2 - a"/>
    <w:basedOn w:val="Normal"/>
    <w:link w:val="Sublevel2-aChar"/>
    <w:qFormat/>
    <w:rsid w:val="00FF3FEF"/>
    <w:pPr>
      <w:numPr>
        <w:ilvl w:val="1"/>
        <w:numId w:val="5"/>
      </w:numPr>
      <w:suppressAutoHyphens/>
      <w:kinsoku/>
      <w:overflowPunct/>
      <w:autoSpaceDE/>
      <w:autoSpaceDN/>
      <w:adjustRightInd/>
      <w:snapToGrid/>
      <w:spacing w:after="120"/>
    </w:pPr>
    <w:rPr>
      <w:rFonts w:eastAsia="PMingLiU"/>
      <w:b w:val="0"/>
      <w:snapToGrid/>
      <w:sz w:val="26"/>
      <w:szCs w:val="24"/>
      <w:lang w:val="en-US" w:eastAsia="zh-TW"/>
    </w:rPr>
  </w:style>
  <w:style w:type="paragraph" w:customStyle="1" w:styleId="Sublevel11">
    <w:name w:val="Sublevel 1 (1)"/>
    <w:basedOn w:val="Normal"/>
    <w:link w:val="Sublevel11Char"/>
    <w:qFormat/>
    <w:rsid w:val="00FF3FEF"/>
    <w:pPr>
      <w:numPr>
        <w:numId w:val="5"/>
      </w:numPr>
      <w:suppressAutoHyphens/>
      <w:kinsoku/>
      <w:overflowPunct/>
      <w:autoSpaceDE/>
      <w:autoSpaceDN/>
      <w:adjustRightInd/>
      <w:snapToGrid/>
      <w:spacing w:after="320" w:line="360" w:lineRule="auto"/>
      <w:ind w:left="562" w:hanging="562"/>
    </w:pPr>
    <w:rPr>
      <w:rFonts w:eastAsia="PMingLiU"/>
      <w:b w:val="0"/>
      <w:snapToGrid/>
      <w:sz w:val="26"/>
      <w:szCs w:val="24"/>
      <w:lang w:val="en-US" w:eastAsia="zh-TW"/>
    </w:rPr>
  </w:style>
  <w:style w:type="character" w:customStyle="1" w:styleId="Sublevel2-aChar">
    <w:name w:val="Sublevel 2 - a Char"/>
    <w:link w:val="Sublevel2-a"/>
    <w:rsid w:val="00FF3FEF"/>
    <w:rPr>
      <w:rFonts w:eastAsia="PMingLiU"/>
      <w:sz w:val="26"/>
      <w:szCs w:val="24"/>
      <w:lang w:eastAsia="zh-TW"/>
    </w:rPr>
  </w:style>
  <w:style w:type="paragraph" w:customStyle="1" w:styleId="Sublevel3i">
    <w:name w:val="Sublevel 3 (i)"/>
    <w:basedOn w:val="Normal"/>
    <w:qFormat/>
    <w:rsid w:val="00FF3FEF"/>
    <w:pPr>
      <w:numPr>
        <w:ilvl w:val="2"/>
        <w:numId w:val="5"/>
      </w:numPr>
      <w:tabs>
        <w:tab w:val="clear" w:pos="1361"/>
        <w:tab w:val="num" w:pos="1080"/>
      </w:tabs>
      <w:suppressAutoHyphens/>
      <w:kinsoku/>
      <w:overflowPunct/>
      <w:autoSpaceDE/>
      <w:autoSpaceDN/>
      <w:adjustRightInd/>
      <w:snapToGrid/>
      <w:spacing w:after="120"/>
    </w:pPr>
    <w:rPr>
      <w:rFonts w:eastAsia="PMingLiU"/>
      <w:b w:val="0"/>
      <w:snapToGrid/>
      <w:sz w:val="26"/>
      <w:szCs w:val="24"/>
      <w:lang w:val="en-US" w:eastAsia="zh-HK"/>
    </w:rPr>
  </w:style>
  <w:style w:type="character" w:customStyle="1" w:styleId="Sublevel11Char">
    <w:name w:val="Sublevel 1 (1) Char"/>
    <w:link w:val="Sublevel11"/>
    <w:rsid w:val="00FF3FEF"/>
    <w:rPr>
      <w:rFonts w:eastAsia="PMingLiU"/>
      <w:sz w:val="26"/>
      <w:szCs w:val="24"/>
      <w:lang w:eastAsia="zh-TW"/>
    </w:rPr>
  </w:style>
  <w:style w:type="paragraph" w:customStyle="1" w:styleId="Sublevel4">
    <w:name w:val="Sublevel 4"/>
    <w:basedOn w:val="Normal"/>
    <w:qFormat/>
    <w:rsid w:val="00FF3FEF"/>
    <w:pPr>
      <w:numPr>
        <w:ilvl w:val="3"/>
        <w:numId w:val="5"/>
      </w:numPr>
      <w:suppressAutoHyphens/>
      <w:kinsoku/>
      <w:overflowPunct/>
      <w:autoSpaceDE/>
      <w:autoSpaceDN/>
      <w:adjustRightInd/>
      <w:snapToGrid/>
      <w:spacing w:after="120"/>
      <w:ind w:left="1417" w:hanging="510"/>
    </w:pPr>
    <w:rPr>
      <w:rFonts w:eastAsia="PMingLiU"/>
      <w:b w:val="0"/>
      <w:snapToGrid/>
      <w:sz w:val="26"/>
      <w:szCs w:val="24"/>
      <w:lang w:val="en-US" w:eastAsia="zh-TW"/>
    </w:rPr>
  </w:style>
  <w:style w:type="numbering" w:customStyle="1" w:styleId="1a">
    <w:name w:val="(1)(a)"/>
    <w:uiPriority w:val="99"/>
    <w:rsid w:val="00506CAA"/>
    <w:pPr>
      <w:numPr>
        <w:numId w:val="6"/>
      </w:numPr>
    </w:pPr>
  </w:style>
  <w:style w:type="numbering" w:customStyle="1" w:styleId="1i">
    <w:name w:val="(1)(i)"/>
    <w:uiPriority w:val="99"/>
    <w:rsid w:val="00F155A0"/>
    <w:pPr>
      <w:numPr>
        <w:numId w:val="8"/>
      </w:numPr>
    </w:pPr>
  </w:style>
  <w:style w:type="numbering" w:customStyle="1" w:styleId="Iia">
    <w:name w:val="(I)(i)(a)"/>
    <w:uiPriority w:val="99"/>
    <w:rsid w:val="00716016"/>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75758">
      <w:bodyDiv w:val="1"/>
      <w:marLeft w:val="0"/>
      <w:marRight w:val="0"/>
      <w:marTop w:val="0"/>
      <w:marBottom w:val="0"/>
      <w:divBdr>
        <w:top w:val="none" w:sz="0" w:space="0" w:color="auto"/>
        <w:left w:val="none" w:sz="0" w:space="0" w:color="auto"/>
        <w:bottom w:val="none" w:sz="0" w:space="0" w:color="auto"/>
        <w:right w:val="none" w:sz="0" w:space="0" w:color="auto"/>
      </w:divBdr>
      <w:divsChild>
        <w:div w:id="616831481">
          <w:marLeft w:val="0"/>
          <w:marRight w:val="0"/>
          <w:marTop w:val="0"/>
          <w:marBottom w:val="0"/>
          <w:divBdr>
            <w:top w:val="none" w:sz="0" w:space="0" w:color="auto"/>
            <w:left w:val="none" w:sz="0" w:space="0" w:color="auto"/>
            <w:bottom w:val="none" w:sz="0" w:space="0" w:color="auto"/>
            <w:right w:val="none" w:sz="0" w:space="0" w:color="auto"/>
          </w:divBdr>
        </w:div>
      </w:divsChild>
    </w:div>
    <w:div w:id="738752371">
      <w:bodyDiv w:val="1"/>
      <w:marLeft w:val="0"/>
      <w:marRight w:val="0"/>
      <w:marTop w:val="0"/>
      <w:marBottom w:val="0"/>
      <w:divBdr>
        <w:top w:val="none" w:sz="0" w:space="0" w:color="auto"/>
        <w:left w:val="none" w:sz="0" w:space="0" w:color="auto"/>
        <w:bottom w:val="none" w:sz="0" w:space="0" w:color="auto"/>
        <w:right w:val="none" w:sz="0" w:space="0" w:color="auto"/>
      </w:divBdr>
      <w:divsChild>
        <w:div w:id="1850371314">
          <w:marLeft w:val="0"/>
          <w:marRight w:val="0"/>
          <w:marTop w:val="0"/>
          <w:marBottom w:val="150"/>
          <w:divBdr>
            <w:top w:val="none" w:sz="0" w:space="0" w:color="auto"/>
            <w:left w:val="none" w:sz="0" w:space="0" w:color="auto"/>
            <w:bottom w:val="none" w:sz="0" w:space="0" w:color="auto"/>
            <w:right w:val="none" w:sz="0" w:space="0" w:color="auto"/>
          </w:divBdr>
          <w:divsChild>
            <w:div w:id="61128277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87222748">
      <w:bodyDiv w:val="1"/>
      <w:marLeft w:val="0"/>
      <w:marRight w:val="0"/>
      <w:marTop w:val="0"/>
      <w:marBottom w:val="0"/>
      <w:divBdr>
        <w:top w:val="none" w:sz="0" w:space="0" w:color="auto"/>
        <w:left w:val="none" w:sz="0" w:space="0" w:color="auto"/>
        <w:bottom w:val="none" w:sz="0" w:space="0" w:color="auto"/>
        <w:right w:val="none" w:sz="0" w:space="0" w:color="auto"/>
      </w:divBdr>
    </w:div>
    <w:div w:id="1707634131">
      <w:bodyDiv w:val="1"/>
      <w:marLeft w:val="0"/>
      <w:marRight w:val="0"/>
      <w:marTop w:val="0"/>
      <w:marBottom w:val="0"/>
      <w:divBdr>
        <w:top w:val="none" w:sz="0" w:space="0" w:color="auto"/>
        <w:left w:val="none" w:sz="0" w:space="0" w:color="auto"/>
        <w:bottom w:val="none" w:sz="0" w:space="0" w:color="auto"/>
        <w:right w:val="none" w:sz="0" w:space="0" w:color="auto"/>
      </w:divBdr>
      <w:divsChild>
        <w:div w:id="1366369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82E64-A03F-4BEB-97DA-8578107B2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2558</TotalTime>
  <Pages>26</Pages>
  <Words>6434</Words>
  <Characters>36674</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43022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ManWah Lam</dc:creator>
  <cp:keywords/>
  <cp:lastModifiedBy>Leung Ka Yee</cp:lastModifiedBy>
  <cp:revision>120</cp:revision>
  <cp:lastPrinted>2021-02-10T01:38:00Z</cp:lastPrinted>
  <dcterms:created xsi:type="dcterms:W3CDTF">2018-11-16T06:09:00Z</dcterms:created>
  <dcterms:modified xsi:type="dcterms:W3CDTF">2021-02-10T01:38:00Z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urce">
    <vt:lpwstr>Erica</vt:lpwstr>
  </property>
</Properties>
</file>