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0B20" w:rsidRPr="00414E19" w:rsidRDefault="008C0B20" w:rsidP="008C0B20">
      <w:pPr>
        <w:jc w:val="right"/>
        <w:rPr>
          <w:b/>
          <w:sz w:val="28"/>
          <w:szCs w:val="28"/>
        </w:rPr>
      </w:pPr>
      <w:r w:rsidRPr="00414E19">
        <w:rPr>
          <w:b/>
          <w:sz w:val="28"/>
          <w:szCs w:val="28"/>
        </w:rPr>
        <w:t>FAC</w:t>
      </w:r>
      <w:r w:rsidR="00405A85" w:rsidRPr="00414E19">
        <w:rPr>
          <w:b/>
          <w:sz w:val="28"/>
          <w:szCs w:val="28"/>
        </w:rPr>
        <w:t>C</w:t>
      </w:r>
      <w:r w:rsidRPr="00414E19">
        <w:rPr>
          <w:b/>
          <w:sz w:val="28"/>
          <w:szCs w:val="28"/>
        </w:rPr>
        <w:t xml:space="preserve"> No. </w:t>
      </w:r>
      <w:r w:rsidR="00405A85" w:rsidRPr="00414E19">
        <w:rPr>
          <w:b/>
          <w:sz w:val="28"/>
          <w:szCs w:val="28"/>
        </w:rPr>
        <w:t>1</w:t>
      </w:r>
      <w:r w:rsidRPr="00414E19">
        <w:rPr>
          <w:b/>
          <w:sz w:val="28"/>
          <w:szCs w:val="28"/>
        </w:rPr>
        <w:t xml:space="preserve"> of 20</w:t>
      </w:r>
      <w:r w:rsidR="00405A85" w:rsidRPr="00414E19">
        <w:rPr>
          <w:b/>
          <w:sz w:val="28"/>
          <w:szCs w:val="28"/>
        </w:rPr>
        <w:t>20</w:t>
      </w:r>
    </w:p>
    <w:p w:rsidR="008C0B20" w:rsidRPr="00414E19" w:rsidRDefault="008C0B20" w:rsidP="008C0B20">
      <w:pPr>
        <w:jc w:val="right"/>
        <w:rPr>
          <w:b/>
          <w:sz w:val="28"/>
          <w:szCs w:val="28"/>
        </w:rPr>
      </w:pPr>
      <w:r w:rsidRPr="00414E19">
        <w:rPr>
          <w:b/>
          <w:sz w:val="28"/>
          <w:szCs w:val="28"/>
        </w:rPr>
        <w:t>[20</w:t>
      </w:r>
      <w:r w:rsidR="00420280" w:rsidRPr="00414E19">
        <w:rPr>
          <w:b/>
          <w:sz w:val="28"/>
          <w:szCs w:val="28"/>
        </w:rPr>
        <w:t>20</w:t>
      </w:r>
      <w:r w:rsidRPr="00414E19">
        <w:rPr>
          <w:b/>
          <w:sz w:val="28"/>
          <w:szCs w:val="28"/>
        </w:rPr>
        <w:t xml:space="preserve">] HKCFA </w:t>
      </w:r>
      <w:r w:rsidR="00036F13">
        <w:rPr>
          <w:b/>
          <w:sz w:val="28"/>
          <w:szCs w:val="28"/>
        </w:rPr>
        <w:t>29</w:t>
      </w:r>
    </w:p>
    <w:p w:rsidR="00456116" w:rsidRPr="00414E19" w:rsidRDefault="00456116" w:rsidP="00872AF3">
      <w:pPr>
        <w:spacing w:before="120"/>
        <w:jc w:val="center"/>
        <w:rPr>
          <w:sz w:val="28"/>
          <w:szCs w:val="28"/>
        </w:rPr>
      </w:pPr>
    </w:p>
    <w:p w:rsidR="008C0B20" w:rsidRPr="00414E19" w:rsidRDefault="008C0B20" w:rsidP="008C0B20">
      <w:pPr>
        <w:jc w:val="center"/>
        <w:rPr>
          <w:b/>
          <w:bCs/>
          <w:sz w:val="28"/>
          <w:szCs w:val="28"/>
        </w:rPr>
      </w:pPr>
      <w:r w:rsidRPr="00414E19">
        <w:rPr>
          <w:b/>
          <w:bCs/>
          <w:sz w:val="28"/>
          <w:szCs w:val="28"/>
        </w:rPr>
        <w:t>IN THE COURT OF FINAL APPEAL OF THE</w:t>
      </w:r>
    </w:p>
    <w:p w:rsidR="008C0B20" w:rsidRPr="00414E19" w:rsidRDefault="008C0B20" w:rsidP="008C0B20">
      <w:pPr>
        <w:jc w:val="center"/>
        <w:rPr>
          <w:sz w:val="28"/>
          <w:szCs w:val="28"/>
        </w:rPr>
      </w:pPr>
      <w:r w:rsidRPr="00414E19">
        <w:rPr>
          <w:b/>
          <w:bCs/>
          <w:sz w:val="28"/>
          <w:szCs w:val="28"/>
        </w:rPr>
        <w:t>HONG KONG SPECIAL ADMINISTRATIVE REGION</w:t>
      </w:r>
    </w:p>
    <w:p w:rsidR="008C0B20" w:rsidRPr="00414E19" w:rsidRDefault="008C0B20" w:rsidP="008C0B20">
      <w:pPr>
        <w:jc w:val="center"/>
        <w:rPr>
          <w:sz w:val="28"/>
          <w:szCs w:val="28"/>
        </w:rPr>
      </w:pPr>
    </w:p>
    <w:p w:rsidR="008C0B20" w:rsidRPr="00414E19" w:rsidRDefault="008C0B20" w:rsidP="00697CE2">
      <w:pPr>
        <w:jc w:val="center"/>
        <w:rPr>
          <w:b/>
          <w:bCs/>
          <w:sz w:val="28"/>
          <w:szCs w:val="28"/>
        </w:rPr>
      </w:pPr>
      <w:r w:rsidRPr="00414E19">
        <w:rPr>
          <w:b/>
          <w:bCs/>
          <w:sz w:val="28"/>
          <w:szCs w:val="28"/>
        </w:rPr>
        <w:t xml:space="preserve">FINAL APPEAL NO. </w:t>
      </w:r>
      <w:r w:rsidR="00405A85" w:rsidRPr="00414E19">
        <w:rPr>
          <w:b/>
          <w:bCs/>
          <w:sz w:val="28"/>
          <w:szCs w:val="28"/>
        </w:rPr>
        <w:t>1</w:t>
      </w:r>
      <w:r w:rsidRPr="00414E19">
        <w:rPr>
          <w:b/>
          <w:bCs/>
          <w:sz w:val="28"/>
          <w:szCs w:val="28"/>
        </w:rPr>
        <w:t xml:space="preserve"> OF 20</w:t>
      </w:r>
      <w:r w:rsidR="00405A85" w:rsidRPr="00414E19">
        <w:rPr>
          <w:b/>
          <w:bCs/>
          <w:sz w:val="28"/>
          <w:szCs w:val="28"/>
        </w:rPr>
        <w:t>20</w:t>
      </w:r>
      <w:r w:rsidRPr="00414E19">
        <w:rPr>
          <w:b/>
          <w:bCs/>
          <w:sz w:val="28"/>
          <w:szCs w:val="28"/>
        </w:rPr>
        <w:t xml:space="preserve"> (C</w:t>
      </w:r>
      <w:r w:rsidR="00AD6314" w:rsidRPr="00414E19">
        <w:rPr>
          <w:b/>
          <w:bCs/>
          <w:sz w:val="28"/>
          <w:szCs w:val="28"/>
        </w:rPr>
        <w:t>RIMINAL</w:t>
      </w:r>
      <w:r w:rsidRPr="00414E19">
        <w:rPr>
          <w:b/>
          <w:bCs/>
          <w:sz w:val="28"/>
          <w:szCs w:val="28"/>
        </w:rPr>
        <w:t>)</w:t>
      </w:r>
    </w:p>
    <w:p w:rsidR="008C0B20" w:rsidRPr="00414E19" w:rsidRDefault="008C0B20" w:rsidP="00697CE2">
      <w:pPr>
        <w:jc w:val="center"/>
        <w:rPr>
          <w:b/>
          <w:sz w:val="28"/>
          <w:szCs w:val="28"/>
        </w:rPr>
      </w:pPr>
      <w:r w:rsidRPr="00414E19">
        <w:rPr>
          <w:sz w:val="28"/>
          <w:szCs w:val="28"/>
        </w:rPr>
        <w:t xml:space="preserve">(ON APPEAL FROM </w:t>
      </w:r>
      <w:r w:rsidR="00405A85" w:rsidRPr="00414E19">
        <w:rPr>
          <w:szCs w:val="28"/>
        </w:rPr>
        <w:t xml:space="preserve">HCMA </w:t>
      </w:r>
      <w:r w:rsidR="00405A85" w:rsidRPr="00414E19">
        <w:rPr>
          <w:rFonts w:hint="eastAsia"/>
          <w:szCs w:val="28"/>
        </w:rPr>
        <w:t>NO</w:t>
      </w:r>
      <w:r w:rsidR="00405A85" w:rsidRPr="00414E19">
        <w:rPr>
          <w:szCs w:val="28"/>
        </w:rPr>
        <w:t>S</w:t>
      </w:r>
      <w:r w:rsidR="00405A85" w:rsidRPr="00414E19">
        <w:rPr>
          <w:rFonts w:hint="eastAsia"/>
          <w:szCs w:val="28"/>
        </w:rPr>
        <w:t>.</w:t>
      </w:r>
      <w:r w:rsidR="00405A85" w:rsidRPr="00414E19">
        <w:rPr>
          <w:szCs w:val="28"/>
        </w:rPr>
        <w:t xml:space="preserve"> 381-399, 401-402, 404-405 AND 415</w:t>
      </w:r>
      <w:r w:rsidR="00405A85" w:rsidRPr="00414E19">
        <w:rPr>
          <w:rFonts w:hint="eastAsia"/>
          <w:szCs w:val="28"/>
        </w:rPr>
        <w:t xml:space="preserve"> OF 20</w:t>
      </w:r>
      <w:r w:rsidR="00405A85" w:rsidRPr="00414E19">
        <w:rPr>
          <w:szCs w:val="28"/>
        </w:rPr>
        <w:t>18 (CONSOLIDATED)</w:t>
      </w:r>
      <w:r w:rsidRPr="00414E19">
        <w:rPr>
          <w:sz w:val="28"/>
          <w:szCs w:val="28"/>
        </w:rPr>
        <w:t>)</w:t>
      </w:r>
    </w:p>
    <w:p w:rsidR="008C0B20" w:rsidRPr="00414E19" w:rsidRDefault="008C0B20" w:rsidP="004423E6">
      <w:pPr>
        <w:pStyle w:val="MF"/>
        <w:tabs>
          <w:tab w:val="clear" w:pos="1440"/>
          <w:tab w:val="clear" w:pos="4320"/>
          <w:tab w:val="clear" w:pos="8280"/>
          <w:tab w:val="clear" w:pos="9000"/>
          <w:tab w:val="center" w:pos="4536"/>
        </w:tabs>
        <w:spacing w:before="120"/>
        <w:rPr>
          <w:szCs w:val="28"/>
          <w:lang w:eastAsia="zh-TW"/>
        </w:rPr>
      </w:pPr>
      <w:r w:rsidRPr="00414E19">
        <w:rPr>
          <w:szCs w:val="28"/>
        </w:rPr>
        <w:t>_______________________</w:t>
      </w:r>
      <w:r w:rsidR="00B11E75" w:rsidRPr="00414E19">
        <w:rPr>
          <w:szCs w:val="28"/>
        </w:rPr>
        <w:t>__</w:t>
      </w:r>
    </w:p>
    <w:p w:rsidR="00456116" w:rsidRPr="00414E19" w:rsidRDefault="00456116" w:rsidP="004423E6">
      <w:pPr>
        <w:spacing w:before="120"/>
        <w:rPr>
          <w:sz w:val="28"/>
          <w:szCs w:val="28"/>
        </w:rPr>
      </w:pPr>
    </w:p>
    <w:p w:rsidR="00DD112E" w:rsidRPr="00414E19" w:rsidRDefault="00697CE2" w:rsidP="004423E6">
      <w:pPr>
        <w:spacing w:before="120"/>
        <w:rPr>
          <w:sz w:val="28"/>
          <w:szCs w:val="28"/>
        </w:rPr>
      </w:pPr>
      <w:r w:rsidRPr="00414E19">
        <w:rPr>
          <w:sz w:val="28"/>
          <w:szCs w:val="28"/>
        </w:rPr>
        <w:t>BETWEEN</w:t>
      </w:r>
    </w:p>
    <w:p w:rsidR="00F730F6" w:rsidRPr="00414E19" w:rsidRDefault="00F730F6" w:rsidP="004423E6">
      <w:pPr>
        <w:spacing w:before="120"/>
        <w:rPr>
          <w:sz w:val="28"/>
          <w:szCs w:val="28"/>
        </w:rPr>
      </w:pPr>
    </w:p>
    <w:tbl>
      <w:tblPr>
        <w:tblW w:w="9072" w:type="dxa"/>
        <w:tblLook w:val="04A0" w:firstRow="1" w:lastRow="0" w:firstColumn="1" w:lastColumn="0" w:noHBand="0" w:noVBand="1"/>
      </w:tblPr>
      <w:tblGrid>
        <w:gridCol w:w="2410"/>
        <w:gridCol w:w="284"/>
        <w:gridCol w:w="3606"/>
        <w:gridCol w:w="7"/>
        <w:gridCol w:w="101"/>
        <w:gridCol w:w="90"/>
        <w:gridCol w:w="2574"/>
      </w:tblGrid>
      <w:tr w:rsidR="0072797E" w:rsidRPr="00414E19" w:rsidTr="00F730F6">
        <w:trPr>
          <w:trHeight w:val="576"/>
        </w:trPr>
        <w:tc>
          <w:tcPr>
            <w:tcW w:w="2694" w:type="dxa"/>
            <w:gridSpan w:val="2"/>
            <w:shd w:val="clear" w:color="auto" w:fill="auto"/>
          </w:tcPr>
          <w:p w:rsidR="0072797E" w:rsidRPr="00414E19" w:rsidRDefault="0072797E" w:rsidP="00BA5DE8">
            <w:pPr>
              <w:rPr>
                <w:b/>
                <w:color w:val="000000"/>
              </w:rPr>
            </w:pPr>
          </w:p>
        </w:tc>
        <w:tc>
          <w:tcPr>
            <w:tcW w:w="3606" w:type="dxa"/>
            <w:shd w:val="clear" w:color="auto" w:fill="auto"/>
          </w:tcPr>
          <w:p w:rsidR="0072797E" w:rsidRPr="00414E19" w:rsidRDefault="0072797E" w:rsidP="00BA5DE8">
            <w:pPr>
              <w:jc w:val="center"/>
              <w:rPr>
                <w:b/>
                <w:color w:val="000000"/>
              </w:rPr>
            </w:pPr>
            <w:r w:rsidRPr="00414E19">
              <w:rPr>
                <w:b/>
                <w:color w:val="000000"/>
              </w:rPr>
              <w:t>HKSAR</w:t>
            </w:r>
          </w:p>
        </w:tc>
        <w:tc>
          <w:tcPr>
            <w:tcW w:w="2772" w:type="dxa"/>
            <w:gridSpan w:val="4"/>
            <w:shd w:val="clear" w:color="auto" w:fill="auto"/>
          </w:tcPr>
          <w:p w:rsidR="0072797E" w:rsidRPr="00414E19" w:rsidRDefault="0072797E" w:rsidP="00BA5DE8">
            <w:pPr>
              <w:jc w:val="right"/>
              <w:rPr>
                <w:b/>
                <w:color w:val="000000"/>
              </w:rPr>
            </w:pPr>
            <w:r w:rsidRPr="00414E19">
              <w:rPr>
                <w:b/>
              </w:rPr>
              <w:t>Respondent</w:t>
            </w:r>
          </w:p>
        </w:tc>
      </w:tr>
      <w:tr w:rsidR="0072797E" w:rsidRPr="00414E19" w:rsidTr="00F730F6">
        <w:trPr>
          <w:trHeight w:val="576"/>
        </w:trPr>
        <w:tc>
          <w:tcPr>
            <w:tcW w:w="2694" w:type="dxa"/>
            <w:gridSpan w:val="2"/>
            <w:shd w:val="clear" w:color="auto" w:fill="auto"/>
          </w:tcPr>
          <w:p w:rsidR="0072797E" w:rsidRPr="00414E19" w:rsidRDefault="0072797E" w:rsidP="00BA5DE8">
            <w:pPr>
              <w:rPr>
                <w:b/>
                <w:color w:val="000000"/>
              </w:rPr>
            </w:pPr>
          </w:p>
        </w:tc>
        <w:tc>
          <w:tcPr>
            <w:tcW w:w="3606" w:type="dxa"/>
            <w:shd w:val="clear" w:color="auto" w:fill="auto"/>
          </w:tcPr>
          <w:p w:rsidR="0072797E" w:rsidRPr="00414E19" w:rsidRDefault="0072797E" w:rsidP="00BA5DE8">
            <w:pPr>
              <w:jc w:val="center"/>
              <w:rPr>
                <w:b/>
                <w:color w:val="000000"/>
              </w:rPr>
            </w:pPr>
            <w:r w:rsidRPr="00414E19">
              <w:rPr>
                <w:b/>
                <w:color w:val="000000"/>
              </w:rPr>
              <w:t>and</w:t>
            </w:r>
          </w:p>
        </w:tc>
        <w:tc>
          <w:tcPr>
            <w:tcW w:w="2772" w:type="dxa"/>
            <w:gridSpan w:val="4"/>
            <w:shd w:val="clear" w:color="auto" w:fill="auto"/>
          </w:tcPr>
          <w:p w:rsidR="0072797E" w:rsidRPr="00414E19" w:rsidRDefault="0072797E" w:rsidP="00BA5DE8">
            <w:pPr>
              <w:jc w:val="right"/>
              <w:rPr>
                <w:b/>
                <w:color w:val="000000"/>
              </w:rPr>
            </w:pPr>
          </w:p>
        </w:tc>
      </w:tr>
      <w:tr w:rsidR="0072797E" w:rsidRPr="00414E19" w:rsidTr="00F730F6">
        <w:trPr>
          <w:trHeight w:val="576"/>
        </w:trPr>
        <w:tc>
          <w:tcPr>
            <w:tcW w:w="2694" w:type="dxa"/>
            <w:gridSpan w:val="2"/>
            <w:shd w:val="clear" w:color="auto" w:fill="auto"/>
          </w:tcPr>
          <w:p w:rsidR="0072797E" w:rsidRPr="00414E19" w:rsidRDefault="0072797E" w:rsidP="00BA5DE8">
            <w:pPr>
              <w:rPr>
                <w:b/>
                <w:color w:val="000000"/>
              </w:rPr>
            </w:pPr>
          </w:p>
        </w:tc>
        <w:tc>
          <w:tcPr>
            <w:tcW w:w="3606" w:type="dxa"/>
            <w:shd w:val="clear" w:color="auto" w:fill="auto"/>
          </w:tcPr>
          <w:p w:rsidR="0072797E" w:rsidRPr="00414E19" w:rsidRDefault="0072797E" w:rsidP="00BA5DE8">
            <w:pPr>
              <w:widowControl w:val="0"/>
              <w:autoSpaceDE w:val="0"/>
              <w:autoSpaceDN w:val="0"/>
              <w:adjustRightInd w:val="0"/>
              <w:jc w:val="center"/>
              <w:textAlignment w:val="baseline"/>
              <w:rPr>
                <w:b/>
                <w:kern w:val="2"/>
              </w:rPr>
            </w:pPr>
            <w:r w:rsidRPr="00414E19">
              <w:rPr>
                <w:b/>
              </w:rPr>
              <w:t>YUONG HO CHEUNG</w:t>
            </w:r>
          </w:p>
        </w:tc>
        <w:tc>
          <w:tcPr>
            <w:tcW w:w="2772" w:type="dxa"/>
            <w:gridSpan w:val="4"/>
            <w:shd w:val="clear" w:color="auto" w:fill="auto"/>
          </w:tcPr>
          <w:p w:rsidR="00371449" w:rsidRPr="00414E19" w:rsidRDefault="0072797E" w:rsidP="00DD112E">
            <w:pPr>
              <w:jc w:val="right"/>
              <w:rPr>
                <w:b/>
              </w:rPr>
            </w:pPr>
            <w:r w:rsidRPr="00414E19">
              <w:rPr>
                <w:b/>
              </w:rPr>
              <w:t>1</w:t>
            </w:r>
            <w:r w:rsidRPr="00414E19">
              <w:rPr>
                <w:b/>
                <w:vertAlign w:val="superscript"/>
              </w:rPr>
              <w:t>st</w:t>
            </w:r>
            <w:r w:rsidRPr="00414E19">
              <w:rPr>
                <w:b/>
              </w:rPr>
              <w:t xml:space="preserve"> App</w:t>
            </w:r>
            <w:r w:rsidR="00DD112E" w:rsidRPr="00414E19">
              <w:rPr>
                <w:b/>
              </w:rPr>
              <w:t>ell</w:t>
            </w:r>
            <w:r w:rsidR="00371449" w:rsidRPr="00414E19">
              <w:rPr>
                <w:b/>
              </w:rPr>
              <w:t>ant (Appellant in</w:t>
            </w:r>
          </w:p>
          <w:p w:rsidR="0072797E" w:rsidRPr="00414E19" w:rsidRDefault="0072797E" w:rsidP="00DD112E">
            <w:pPr>
              <w:jc w:val="right"/>
              <w:rPr>
                <w:b/>
              </w:rPr>
            </w:pPr>
            <w:r w:rsidRPr="00414E19">
              <w:rPr>
                <w:b/>
              </w:rPr>
              <w:t>HCMA 381/2018)</w:t>
            </w:r>
          </w:p>
        </w:tc>
      </w:tr>
      <w:tr w:rsidR="0072797E" w:rsidRPr="00414E19" w:rsidTr="00F730F6">
        <w:trPr>
          <w:trHeight w:val="576"/>
        </w:trPr>
        <w:tc>
          <w:tcPr>
            <w:tcW w:w="2694" w:type="dxa"/>
            <w:gridSpan w:val="2"/>
            <w:shd w:val="clear" w:color="auto" w:fill="auto"/>
          </w:tcPr>
          <w:p w:rsidR="0072797E" w:rsidRPr="00414E19" w:rsidRDefault="0072797E" w:rsidP="00BA5DE8">
            <w:pPr>
              <w:rPr>
                <w:b/>
                <w:color w:val="000000"/>
              </w:rPr>
            </w:pPr>
          </w:p>
        </w:tc>
        <w:tc>
          <w:tcPr>
            <w:tcW w:w="3606" w:type="dxa"/>
            <w:shd w:val="clear" w:color="auto" w:fill="auto"/>
          </w:tcPr>
          <w:p w:rsidR="0072797E" w:rsidRPr="00414E19" w:rsidRDefault="0072797E" w:rsidP="00BA5DE8">
            <w:pPr>
              <w:widowControl w:val="0"/>
              <w:autoSpaceDE w:val="0"/>
              <w:autoSpaceDN w:val="0"/>
              <w:adjustRightInd w:val="0"/>
              <w:jc w:val="center"/>
              <w:textAlignment w:val="baseline"/>
              <w:rPr>
                <w:b/>
                <w:kern w:val="2"/>
              </w:rPr>
            </w:pPr>
            <w:r w:rsidRPr="00414E19">
              <w:rPr>
                <w:b/>
                <w:kern w:val="2"/>
              </w:rPr>
              <w:t>YIP WAI MING</w:t>
            </w:r>
          </w:p>
        </w:tc>
        <w:tc>
          <w:tcPr>
            <w:tcW w:w="2772" w:type="dxa"/>
            <w:gridSpan w:val="4"/>
            <w:shd w:val="clear" w:color="auto" w:fill="auto"/>
          </w:tcPr>
          <w:p w:rsidR="00371449" w:rsidRPr="00414E19" w:rsidRDefault="0072797E" w:rsidP="00BA5DE8">
            <w:pPr>
              <w:jc w:val="right"/>
              <w:rPr>
                <w:b/>
              </w:rPr>
            </w:pPr>
            <w:r w:rsidRPr="00414E19">
              <w:rPr>
                <w:b/>
              </w:rPr>
              <w:t>2</w:t>
            </w:r>
            <w:r w:rsidRPr="00414E19">
              <w:rPr>
                <w:b/>
                <w:vertAlign w:val="superscript"/>
              </w:rPr>
              <w:t>nd</w:t>
            </w:r>
            <w:r w:rsidRPr="00414E19">
              <w:rPr>
                <w:b/>
              </w:rPr>
              <w:t xml:space="preserve"> </w:t>
            </w:r>
            <w:r w:rsidR="00DD112E" w:rsidRPr="00414E19">
              <w:rPr>
                <w:b/>
              </w:rPr>
              <w:t>Appellant</w:t>
            </w:r>
            <w:r w:rsidR="00371449" w:rsidRPr="00414E19">
              <w:rPr>
                <w:b/>
              </w:rPr>
              <w:t xml:space="preserve"> (Appellant in</w:t>
            </w:r>
          </w:p>
          <w:p w:rsidR="0072797E" w:rsidRPr="00414E19" w:rsidRDefault="0072797E" w:rsidP="00BA5DE8">
            <w:pPr>
              <w:jc w:val="right"/>
              <w:rPr>
                <w:b/>
              </w:rPr>
            </w:pPr>
            <w:r w:rsidRPr="00414E19">
              <w:rPr>
                <w:b/>
              </w:rPr>
              <w:t xml:space="preserve">HCMA 382/2018) </w:t>
            </w:r>
          </w:p>
        </w:tc>
      </w:tr>
      <w:tr w:rsidR="0072797E" w:rsidRPr="00414E19" w:rsidTr="00F730F6">
        <w:trPr>
          <w:trHeight w:val="576"/>
        </w:trPr>
        <w:tc>
          <w:tcPr>
            <w:tcW w:w="2694" w:type="dxa"/>
            <w:gridSpan w:val="2"/>
            <w:shd w:val="clear" w:color="auto" w:fill="auto"/>
          </w:tcPr>
          <w:p w:rsidR="0072797E" w:rsidRPr="00414E19" w:rsidRDefault="0072797E" w:rsidP="00BA5DE8">
            <w:pPr>
              <w:rPr>
                <w:b/>
                <w:color w:val="000000"/>
              </w:rPr>
            </w:pPr>
          </w:p>
        </w:tc>
        <w:tc>
          <w:tcPr>
            <w:tcW w:w="3613" w:type="dxa"/>
            <w:gridSpan w:val="2"/>
            <w:shd w:val="clear" w:color="auto" w:fill="auto"/>
          </w:tcPr>
          <w:p w:rsidR="0072797E" w:rsidRPr="00414E19" w:rsidRDefault="0072797E" w:rsidP="00BA5DE8">
            <w:pPr>
              <w:widowControl w:val="0"/>
              <w:autoSpaceDE w:val="0"/>
              <w:autoSpaceDN w:val="0"/>
              <w:adjustRightInd w:val="0"/>
              <w:jc w:val="center"/>
              <w:textAlignment w:val="baseline"/>
              <w:rPr>
                <w:b/>
                <w:kern w:val="2"/>
              </w:rPr>
            </w:pPr>
            <w:r w:rsidRPr="00414E19">
              <w:rPr>
                <w:b/>
                <w:kern w:val="2"/>
              </w:rPr>
              <w:t>YIP KA SHING</w:t>
            </w:r>
          </w:p>
        </w:tc>
        <w:tc>
          <w:tcPr>
            <w:tcW w:w="2765" w:type="dxa"/>
            <w:gridSpan w:val="3"/>
            <w:shd w:val="clear" w:color="auto" w:fill="auto"/>
          </w:tcPr>
          <w:p w:rsidR="00371449" w:rsidRPr="00414E19" w:rsidRDefault="0072797E" w:rsidP="00BA5DE8">
            <w:pPr>
              <w:jc w:val="right"/>
              <w:rPr>
                <w:b/>
              </w:rPr>
            </w:pPr>
            <w:r w:rsidRPr="00414E19">
              <w:rPr>
                <w:b/>
              </w:rPr>
              <w:t>3</w:t>
            </w:r>
            <w:r w:rsidRPr="00414E19">
              <w:rPr>
                <w:b/>
                <w:vertAlign w:val="superscript"/>
              </w:rPr>
              <w:t>rd</w:t>
            </w:r>
            <w:r w:rsidRPr="00414E19">
              <w:rPr>
                <w:b/>
              </w:rPr>
              <w:t xml:space="preserve"> </w:t>
            </w:r>
            <w:r w:rsidR="00DD112E" w:rsidRPr="00414E19">
              <w:rPr>
                <w:b/>
              </w:rPr>
              <w:t>Appellant</w:t>
            </w:r>
            <w:r w:rsidR="00371449" w:rsidRPr="00414E19">
              <w:rPr>
                <w:b/>
              </w:rPr>
              <w:t xml:space="preserve"> (Appellant in</w:t>
            </w:r>
          </w:p>
          <w:p w:rsidR="0072797E" w:rsidRPr="00414E19" w:rsidRDefault="0072797E" w:rsidP="00BA5DE8">
            <w:pPr>
              <w:jc w:val="right"/>
              <w:rPr>
                <w:b/>
              </w:rPr>
            </w:pPr>
            <w:r w:rsidRPr="00414E19">
              <w:rPr>
                <w:b/>
              </w:rPr>
              <w:t>HCMA 383/2018)</w:t>
            </w:r>
          </w:p>
        </w:tc>
      </w:tr>
      <w:tr w:rsidR="0072797E" w:rsidRPr="00414E19" w:rsidTr="00F730F6">
        <w:trPr>
          <w:trHeight w:val="576"/>
        </w:trPr>
        <w:tc>
          <w:tcPr>
            <w:tcW w:w="2410" w:type="dxa"/>
            <w:shd w:val="clear" w:color="auto" w:fill="auto"/>
          </w:tcPr>
          <w:p w:rsidR="0072797E" w:rsidRPr="00414E19" w:rsidRDefault="0072797E" w:rsidP="00BA5DE8">
            <w:pPr>
              <w:rPr>
                <w:b/>
                <w:color w:val="000000"/>
              </w:rPr>
            </w:pPr>
          </w:p>
        </w:tc>
        <w:tc>
          <w:tcPr>
            <w:tcW w:w="4088" w:type="dxa"/>
            <w:gridSpan w:val="5"/>
            <w:shd w:val="clear" w:color="auto" w:fill="auto"/>
          </w:tcPr>
          <w:p w:rsidR="0072797E" w:rsidRPr="00414E19" w:rsidRDefault="0072797E" w:rsidP="00BA5DE8">
            <w:pPr>
              <w:widowControl w:val="0"/>
              <w:autoSpaceDE w:val="0"/>
              <w:autoSpaceDN w:val="0"/>
              <w:adjustRightInd w:val="0"/>
              <w:jc w:val="center"/>
              <w:textAlignment w:val="baseline"/>
              <w:rPr>
                <w:b/>
                <w:kern w:val="2"/>
              </w:rPr>
            </w:pPr>
            <w:r w:rsidRPr="00414E19">
              <w:rPr>
                <w:b/>
                <w:kern w:val="2"/>
              </w:rPr>
              <w:t>CHOW KWOK KWONG ALAN</w:t>
            </w:r>
          </w:p>
        </w:tc>
        <w:tc>
          <w:tcPr>
            <w:tcW w:w="2574" w:type="dxa"/>
            <w:shd w:val="clear" w:color="auto" w:fill="auto"/>
          </w:tcPr>
          <w:p w:rsidR="00371449" w:rsidRPr="00414E19" w:rsidRDefault="0072797E" w:rsidP="00BA5DE8">
            <w:pPr>
              <w:jc w:val="right"/>
              <w:rPr>
                <w:b/>
              </w:rPr>
            </w:pPr>
            <w:r w:rsidRPr="00414E19">
              <w:rPr>
                <w:b/>
              </w:rPr>
              <w:t>4</w:t>
            </w:r>
            <w:r w:rsidRPr="00414E19">
              <w:rPr>
                <w:b/>
                <w:vertAlign w:val="superscript"/>
              </w:rPr>
              <w:t>th</w:t>
            </w:r>
            <w:r w:rsidRPr="00414E19">
              <w:rPr>
                <w:b/>
              </w:rPr>
              <w:t xml:space="preserve"> </w:t>
            </w:r>
            <w:r w:rsidR="00DD112E" w:rsidRPr="00414E19">
              <w:rPr>
                <w:b/>
              </w:rPr>
              <w:t>Appellant</w:t>
            </w:r>
            <w:r w:rsidR="00371449" w:rsidRPr="00414E19">
              <w:rPr>
                <w:b/>
              </w:rPr>
              <w:t xml:space="preserve"> (Appellant in</w:t>
            </w:r>
          </w:p>
          <w:p w:rsidR="0072797E" w:rsidRPr="00414E19" w:rsidRDefault="0072797E" w:rsidP="00BA5DE8">
            <w:pPr>
              <w:jc w:val="right"/>
              <w:rPr>
                <w:b/>
              </w:rPr>
            </w:pPr>
            <w:r w:rsidRPr="00414E19">
              <w:rPr>
                <w:b/>
              </w:rPr>
              <w:t>HCMA 384/2018)</w:t>
            </w:r>
          </w:p>
        </w:tc>
      </w:tr>
      <w:tr w:rsidR="0072797E" w:rsidRPr="00414E19" w:rsidTr="00F730F6">
        <w:trPr>
          <w:trHeight w:val="576"/>
        </w:trPr>
        <w:tc>
          <w:tcPr>
            <w:tcW w:w="2694" w:type="dxa"/>
            <w:gridSpan w:val="2"/>
            <w:shd w:val="clear" w:color="auto" w:fill="auto"/>
          </w:tcPr>
          <w:p w:rsidR="0072797E" w:rsidRPr="00414E19" w:rsidRDefault="0072797E" w:rsidP="00BA5DE8">
            <w:pPr>
              <w:rPr>
                <w:b/>
                <w:color w:val="000000"/>
              </w:rPr>
            </w:pPr>
          </w:p>
        </w:tc>
        <w:tc>
          <w:tcPr>
            <w:tcW w:w="3613" w:type="dxa"/>
            <w:gridSpan w:val="2"/>
            <w:shd w:val="clear" w:color="auto" w:fill="auto"/>
          </w:tcPr>
          <w:p w:rsidR="0072797E" w:rsidRPr="00414E19" w:rsidRDefault="0072797E" w:rsidP="00BA5DE8">
            <w:pPr>
              <w:widowControl w:val="0"/>
              <w:autoSpaceDE w:val="0"/>
              <w:autoSpaceDN w:val="0"/>
              <w:adjustRightInd w:val="0"/>
              <w:jc w:val="center"/>
              <w:textAlignment w:val="baseline"/>
              <w:rPr>
                <w:b/>
                <w:kern w:val="2"/>
              </w:rPr>
            </w:pPr>
            <w:r w:rsidRPr="00414E19">
              <w:rPr>
                <w:b/>
                <w:kern w:val="2"/>
              </w:rPr>
              <w:t>CHAN PAK KAY ANDREW</w:t>
            </w:r>
          </w:p>
        </w:tc>
        <w:tc>
          <w:tcPr>
            <w:tcW w:w="2765" w:type="dxa"/>
            <w:gridSpan w:val="3"/>
            <w:shd w:val="clear" w:color="auto" w:fill="auto"/>
          </w:tcPr>
          <w:p w:rsidR="00371449" w:rsidRPr="00414E19" w:rsidRDefault="0072797E" w:rsidP="00BA5DE8">
            <w:pPr>
              <w:jc w:val="right"/>
              <w:rPr>
                <w:b/>
              </w:rPr>
            </w:pPr>
            <w:r w:rsidRPr="00414E19">
              <w:rPr>
                <w:b/>
              </w:rPr>
              <w:t>5</w:t>
            </w:r>
            <w:r w:rsidRPr="00414E19">
              <w:rPr>
                <w:b/>
                <w:vertAlign w:val="superscript"/>
              </w:rPr>
              <w:t>th</w:t>
            </w:r>
            <w:r w:rsidRPr="00414E19">
              <w:rPr>
                <w:b/>
              </w:rPr>
              <w:t xml:space="preserve"> </w:t>
            </w:r>
            <w:r w:rsidR="00DD112E" w:rsidRPr="00414E19">
              <w:rPr>
                <w:b/>
              </w:rPr>
              <w:t>Appellant</w:t>
            </w:r>
            <w:r w:rsidR="00371449" w:rsidRPr="00414E19">
              <w:rPr>
                <w:b/>
              </w:rPr>
              <w:t xml:space="preserve"> (Appellant in</w:t>
            </w:r>
          </w:p>
          <w:p w:rsidR="0072797E" w:rsidRPr="00414E19" w:rsidRDefault="0072797E" w:rsidP="00BA5DE8">
            <w:pPr>
              <w:jc w:val="right"/>
              <w:rPr>
                <w:b/>
              </w:rPr>
            </w:pPr>
            <w:r w:rsidRPr="00414E19">
              <w:rPr>
                <w:b/>
              </w:rPr>
              <w:t>HCMA 385/2018)</w:t>
            </w:r>
          </w:p>
        </w:tc>
      </w:tr>
      <w:tr w:rsidR="0072797E" w:rsidRPr="00414E19" w:rsidTr="00F730F6">
        <w:trPr>
          <w:trHeight w:val="576"/>
        </w:trPr>
        <w:tc>
          <w:tcPr>
            <w:tcW w:w="2694" w:type="dxa"/>
            <w:gridSpan w:val="2"/>
            <w:shd w:val="clear" w:color="auto" w:fill="auto"/>
          </w:tcPr>
          <w:p w:rsidR="0072797E" w:rsidRPr="00414E19" w:rsidRDefault="0072797E" w:rsidP="00BA5DE8">
            <w:pPr>
              <w:rPr>
                <w:b/>
                <w:color w:val="000000"/>
              </w:rPr>
            </w:pPr>
          </w:p>
        </w:tc>
        <w:tc>
          <w:tcPr>
            <w:tcW w:w="3606" w:type="dxa"/>
            <w:shd w:val="clear" w:color="auto" w:fill="auto"/>
          </w:tcPr>
          <w:p w:rsidR="0072797E" w:rsidRPr="00414E19" w:rsidRDefault="0072797E" w:rsidP="00BA5DE8">
            <w:pPr>
              <w:widowControl w:val="0"/>
              <w:autoSpaceDE w:val="0"/>
              <w:autoSpaceDN w:val="0"/>
              <w:adjustRightInd w:val="0"/>
              <w:jc w:val="center"/>
              <w:textAlignment w:val="baseline"/>
              <w:rPr>
                <w:b/>
                <w:kern w:val="2"/>
              </w:rPr>
            </w:pPr>
            <w:r w:rsidRPr="00414E19">
              <w:rPr>
                <w:b/>
                <w:kern w:val="2"/>
              </w:rPr>
              <w:t>LAM YAN MING</w:t>
            </w:r>
          </w:p>
        </w:tc>
        <w:tc>
          <w:tcPr>
            <w:tcW w:w="2772" w:type="dxa"/>
            <w:gridSpan w:val="4"/>
            <w:shd w:val="clear" w:color="auto" w:fill="auto"/>
          </w:tcPr>
          <w:p w:rsidR="00371449" w:rsidRPr="00414E19" w:rsidRDefault="0072797E" w:rsidP="00BA5DE8">
            <w:pPr>
              <w:jc w:val="right"/>
              <w:rPr>
                <w:b/>
              </w:rPr>
            </w:pPr>
            <w:r w:rsidRPr="00414E19">
              <w:rPr>
                <w:b/>
              </w:rPr>
              <w:t>6</w:t>
            </w:r>
            <w:r w:rsidRPr="00414E19">
              <w:rPr>
                <w:b/>
                <w:vertAlign w:val="superscript"/>
              </w:rPr>
              <w:t>th</w:t>
            </w:r>
            <w:r w:rsidRPr="00414E19">
              <w:rPr>
                <w:b/>
              </w:rPr>
              <w:t xml:space="preserve"> </w:t>
            </w:r>
            <w:r w:rsidR="00DD112E" w:rsidRPr="00414E19">
              <w:rPr>
                <w:b/>
              </w:rPr>
              <w:t>Appellant</w:t>
            </w:r>
            <w:r w:rsidR="00371449" w:rsidRPr="00414E19">
              <w:rPr>
                <w:b/>
              </w:rPr>
              <w:t xml:space="preserve"> (Appellant in</w:t>
            </w:r>
          </w:p>
          <w:p w:rsidR="0072797E" w:rsidRPr="00414E19" w:rsidRDefault="0072797E" w:rsidP="00BA5DE8">
            <w:pPr>
              <w:jc w:val="right"/>
              <w:rPr>
                <w:b/>
              </w:rPr>
            </w:pPr>
            <w:r w:rsidRPr="00414E19">
              <w:rPr>
                <w:b/>
              </w:rPr>
              <w:t>HCMA 386/2018)</w:t>
            </w:r>
          </w:p>
        </w:tc>
      </w:tr>
      <w:tr w:rsidR="0072797E" w:rsidRPr="00414E19" w:rsidTr="00F730F6">
        <w:trPr>
          <w:trHeight w:val="576"/>
        </w:trPr>
        <w:tc>
          <w:tcPr>
            <w:tcW w:w="2694" w:type="dxa"/>
            <w:gridSpan w:val="2"/>
            <w:shd w:val="clear" w:color="auto" w:fill="auto"/>
          </w:tcPr>
          <w:p w:rsidR="0072797E" w:rsidRPr="00414E19" w:rsidRDefault="0072797E" w:rsidP="00BA5DE8">
            <w:pPr>
              <w:rPr>
                <w:b/>
                <w:color w:val="000000"/>
              </w:rPr>
            </w:pPr>
          </w:p>
        </w:tc>
        <w:tc>
          <w:tcPr>
            <w:tcW w:w="3606" w:type="dxa"/>
            <w:shd w:val="clear" w:color="auto" w:fill="auto"/>
          </w:tcPr>
          <w:p w:rsidR="0072797E" w:rsidRPr="00414E19" w:rsidRDefault="0072797E" w:rsidP="00BA5DE8">
            <w:pPr>
              <w:widowControl w:val="0"/>
              <w:autoSpaceDE w:val="0"/>
              <w:autoSpaceDN w:val="0"/>
              <w:adjustRightInd w:val="0"/>
              <w:jc w:val="center"/>
              <w:textAlignment w:val="baseline"/>
              <w:rPr>
                <w:b/>
                <w:kern w:val="2"/>
              </w:rPr>
            </w:pPr>
            <w:r w:rsidRPr="00414E19">
              <w:rPr>
                <w:b/>
                <w:kern w:val="2"/>
              </w:rPr>
              <w:t>WONG WAI KEUNG</w:t>
            </w:r>
          </w:p>
        </w:tc>
        <w:tc>
          <w:tcPr>
            <w:tcW w:w="2772" w:type="dxa"/>
            <w:gridSpan w:val="4"/>
            <w:shd w:val="clear" w:color="auto" w:fill="auto"/>
          </w:tcPr>
          <w:p w:rsidR="00371449" w:rsidRPr="00414E19" w:rsidRDefault="0072797E" w:rsidP="00BA5DE8">
            <w:pPr>
              <w:jc w:val="right"/>
              <w:rPr>
                <w:b/>
              </w:rPr>
            </w:pPr>
            <w:r w:rsidRPr="00414E19">
              <w:rPr>
                <w:b/>
              </w:rPr>
              <w:t>7</w:t>
            </w:r>
            <w:r w:rsidRPr="00414E19">
              <w:rPr>
                <w:b/>
                <w:vertAlign w:val="superscript"/>
              </w:rPr>
              <w:t>th</w:t>
            </w:r>
            <w:r w:rsidRPr="00414E19">
              <w:rPr>
                <w:b/>
              </w:rPr>
              <w:t xml:space="preserve"> </w:t>
            </w:r>
            <w:r w:rsidR="00DD112E" w:rsidRPr="00414E19">
              <w:rPr>
                <w:b/>
              </w:rPr>
              <w:t>Appellant</w:t>
            </w:r>
            <w:r w:rsidR="00371449" w:rsidRPr="00414E19">
              <w:rPr>
                <w:b/>
              </w:rPr>
              <w:t xml:space="preserve"> (Appellant in</w:t>
            </w:r>
          </w:p>
          <w:p w:rsidR="0072797E" w:rsidRPr="00414E19" w:rsidRDefault="0072797E" w:rsidP="00BA5DE8">
            <w:pPr>
              <w:jc w:val="right"/>
              <w:rPr>
                <w:b/>
              </w:rPr>
            </w:pPr>
            <w:r w:rsidRPr="00414E19">
              <w:rPr>
                <w:b/>
              </w:rPr>
              <w:t>HCMA 387/2018)</w:t>
            </w:r>
          </w:p>
        </w:tc>
      </w:tr>
      <w:tr w:rsidR="0072797E" w:rsidRPr="00414E19" w:rsidTr="00F730F6">
        <w:trPr>
          <w:trHeight w:val="576"/>
        </w:trPr>
        <w:tc>
          <w:tcPr>
            <w:tcW w:w="2694" w:type="dxa"/>
            <w:gridSpan w:val="2"/>
            <w:shd w:val="clear" w:color="auto" w:fill="auto"/>
          </w:tcPr>
          <w:p w:rsidR="0072797E" w:rsidRPr="00414E19" w:rsidRDefault="0072797E" w:rsidP="00BA5DE8">
            <w:pPr>
              <w:rPr>
                <w:b/>
                <w:color w:val="000000"/>
              </w:rPr>
            </w:pPr>
          </w:p>
        </w:tc>
        <w:tc>
          <w:tcPr>
            <w:tcW w:w="3606" w:type="dxa"/>
            <w:shd w:val="clear" w:color="auto" w:fill="auto"/>
          </w:tcPr>
          <w:p w:rsidR="0072797E" w:rsidRPr="00414E19" w:rsidRDefault="0072797E" w:rsidP="00BA5DE8">
            <w:pPr>
              <w:widowControl w:val="0"/>
              <w:autoSpaceDE w:val="0"/>
              <w:autoSpaceDN w:val="0"/>
              <w:adjustRightInd w:val="0"/>
              <w:jc w:val="center"/>
              <w:textAlignment w:val="baseline"/>
              <w:rPr>
                <w:b/>
                <w:kern w:val="2"/>
              </w:rPr>
            </w:pPr>
            <w:r w:rsidRPr="00414E19">
              <w:rPr>
                <w:b/>
                <w:kern w:val="2"/>
              </w:rPr>
              <w:t>TSANG KWOK MING</w:t>
            </w:r>
          </w:p>
        </w:tc>
        <w:tc>
          <w:tcPr>
            <w:tcW w:w="2772" w:type="dxa"/>
            <w:gridSpan w:val="4"/>
            <w:shd w:val="clear" w:color="auto" w:fill="auto"/>
          </w:tcPr>
          <w:p w:rsidR="00371449" w:rsidRPr="00414E19" w:rsidRDefault="0072797E" w:rsidP="00BA5DE8">
            <w:pPr>
              <w:jc w:val="right"/>
              <w:rPr>
                <w:b/>
              </w:rPr>
            </w:pPr>
            <w:r w:rsidRPr="00414E19">
              <w:rPr>
                <w:b/>
              </w:rPr>
              <w:t>8</w:t>
            </w:r>
            <w:r w:rsidRPr="00414E19">
              <w:rPr>
                <w:b/>
                <w:vertAlign w:val="superscript"/>
              </w:rPr>
              <w:t>th</w:t>
            </w:r>
            <w:r w:rsidRPr="00414E19">
              <w:rPr>
                <w:b/>
              </w:rPr>
              <w:t xml:space="preserve"> </w:t>
            </w:r>
            <w:r w:rsidR="00DD112E" w:rsidRPr="00414E19">
              <w:rPr>
                <w:b/>
              </w:rPr>
              <w:t>Appellant</w:t>
            </w:r>
            <w:r w:rsidR="00371449" w:rsidRPr="00414E19">
              <w:rPr>
                <w:b/>
              </w:rPr>
              <w:t xml:space="preserve"> (Appellant in</w:t>
            </w:r>
          </w:p>
          <w:p w:rsidR="0072797E" w:rsidRPr="00414E19" w:rsidRDefault="0072797E" w:rsidP="00BA5DE8">
            <w:pPr>
              <w:jc w:val="right"/>
              <w:rPr>
                <w:b/>
              </w:rPr>
            </w:pPr>
            <w:r w:rsidRPr="00414E19">
              <w:rPr>
                <w:b/>
              </w:rPr>
              <w:t>HCMA 388/2018)</w:t>
            </w:r>
          </w:p>
        </w:tc>
      </w:tr>
      <w:tr w:rsidR="0072797E" w:rsidRPr="00414E19" w:rsidTr="00F730F6">
        <w:trPr>
          <w:trHeight w:val="576"/>
        </w:trPr>
        <w:tc>
          <w:tcPr>
            <w:tcW w:w="2694" w:type="dxa"/>
            <w:gridSpan w:val="2"/>
            <w:shd w:val="clear" w:color="auto" w:fill="auto"/>
          </w:tcPr>
          <w:p w:rsidR="0072797E" w:rsidRPr="00414E19" w:rsidRDefault="0072797E" w:rsidP="00BA5DE8">
            <w:pPr>
              <w:rPr>
                <w:b/>
                <w:color w:val="000000"/>
              </w:rPr>
            </w:pPr>
          </w:p>
        </w:tc>
        <w:tc>
          <w:tcPr>
            <w:tcW w:w="3606" w:type="dxa"/>
            <w:shd w:val="clear" w:color="auto" w:fill="auto"/>
          </w:tcPr>
          <w:p w:rsidR="0072797E" w:rsidRPr="00414E19" w:rsidRDefault="0072797E" w:rsidP="00BA5DE8">
            <w:pPr>
              <w:widowControl w:val="0"/>
              <w:autoSpaceDE w:val="0"/>
              <w:autoSpaceDN w:val="0"/>
              <w:adjustRightInd w:val="0"/>
              <w:jc w:val="center"/>
              <w:textAlignment w:val="baseline"/>
              <w:rPr>
                <w:b/>
                <w:kern w:val="2"/>
              </w:rPr>
            </w:pPr>
            <w:r w:rsidRPr="00414E19">
              <w:rPr>
                <w:b/>
                <w:kern w:val="2"/>
              </w:rPr>
              <w:t>HUI KWOK WAI</w:t>
            </w:r>
          </w:p>
        </w:tc>
        <w:tc>
          <w:tcPr>
            <w:tcW w:w="2772" w:type="dxa"/>
            <w:gridSpan w:val="4"/>
            <w:shd w:val="clear" w:color="auto" w:fill="auto"/>
          </w:tcPr>
          <w:p w:rsidR="00371449" w:rsidRPr="00414E19" w:rsidRDefault="0072797E" w:rsidP="00BA5DE8">
            <w:pPr>
              <w:jc w:val="right"/>
              <w:rPr>
                <w:b/>
              </w:rPr>
            </w:pPr>
            <w:r w:rsidRPr="00414E19">
              <w:rPr>
                <w:b/>
              </w:rPr>
              <w:t>9</w:t>
            </w:r>
            <w:r w:rsidRPr="00414E19">
              <w:rPr>
                <w:b/>
                <w:vertAlign w:val="superscript"/>
              </w:rPr>
              <w:t>th</w:t>
            </w:r>
            <w:r w:rsidRPr="00414E19">
              <w:rPr>
                <w:b/>
              </w:rPr>
              <w:t xml:space="preserve"> </w:t>
            </w:r>
            <w:r w:rsidR="00DD112E" w:rsidRPr="00414E19">
              <w:rPr>
                <w:b/>
              </w:rPr>
              <w:t>Appellant</w:t>
            </w:r>
            <w:r w:rsidR="00371449" w:rsidRPr="00414E19">
              <w:rPr>
                <w:b/>
              </w:rPr>
              <w:t xml:space="preserve"> (Appellant in</w:t>
            </w:r>
          </w:p>
          <w:p w:rsidR="0072797E" w:rsidRPr="00414E19" w:rsidRDefault="0072797E" w:rsidP="00BA5DE8">
            <w:pPr>
              <w:jc w:val="right"/>
              <w:rPr>
                <w:b/>
              </w:rPr>
            </w:pPr>
            <w:r w:rsidRPr="00414E19">
              <w:rPr>
                <w:b/>
              </w:rPr>
              <w:t>HCMA 389/2018)</w:t>
            </w:r>
          </w:p>
        </w:tc>
      </w:tr>
      <w:tr w:rsidR="0072797E" w:rsidRPr="00414E19" w:rsidTr="00F730F6">
        <w:trPr>
          <w:trHeight w:val="576"/>
        </w:trPr>
        <w:tc>
          <w:tcPr>
            <w:tcW w:w="2694" w:type="dxa"/>
            <w:gridSpan w:val="2"/>
            <w:shd w:val="clear" w:color="auto" w:fill="auto"/>
          </w:tcPr>
          <w:p w:rsidR="0072797E" w:rsidRPr="00414E19" w:rsidRDefault="0072797E" w:rsidP="00BA5DE8">
            <w:pPr>
              <w:rPr>
                <w:b/>
                <w:color w:val="000000"/>
              </w:rPr>
            </w:pPr>
          </w:p>
        </w:tc>
        <w:tc>
          <w:tcPr>
            <w:tcW w:w="3606" w:type="dxa"/>
            <w:shd w:val="clear" w:color="auto" w:fill="auto"/>
          </w:tcPr>
          <w:p w:rsidR="0072797E" w:rsidRPr="00414E19" w:rsidRDefault="0072797E" w:rsidP="00BA5DE8">
            <w:pPr>
              <w:widowControl w:val="0"/>
              <w:autoSpaceDE w:val="0"/>
              <w:autoSpaceDN w:val="0"/>
              <w:adjustRightInd w:val="0"/>
              <w:jc w:val="center"/>
              <w:textAlignment w:val="baseline"/>
              <w:rPr>
                <w:b/>
                <w:kern w:val="2"/>
              </w:rPr>
            </w:pPr>
            <w:r w:rsidRPr="00414E19">
              <w:rPr>
                <w:b/>
                <w:kern w:val="2"/>
              </w:rPr>
              <w:t>LEE HING LUNG GARY</w:t>
            </w:r>
          </w:p>
        </w:tc>
        <w:tc>
          <w:tcPr>
            <w:tcW w:w="2772" w:type="dxa"/>
            <w:gridSpan w:val="4"/>
            <w:shd w:val="clear" w:color="auto" w:fill="auto"/>
          </w:tcPr>
          <w:p w:rsidR="00371449" w:rsidRPr="00414E19" w:rsidRDefault="0072797E" w:rsidP="00BA5DE8">
            <w:pPr>
              <w:jc w:val="right"/>
              <w:rPr>
                <w:b/>
              </w:rPr>
            </w:pPr>
            <w:r w:rsidRPr="00414E19">
              <w:rPr>
                <w:b/>
              </w:rPr>
              <w:t>10</w:t>
            </w:r>
            <w:r w:rsidRPr="00414E19">
              <w:rPr>
                <w:b/>
                <w:vertAlign w:val="superscript"/>
              </w:rPr>
              <w:t>th</w:t>
            </w:r>
            <w:r w:rsidRPr="00414E19">
              <w:rPr>
                <w:b/>
              </w:rPr>
              <w:t xml:space="preserve"> </w:t>
            </w:r>
            <w:r w:rsidR="00DD112E" w:rsidRPr="00414E19">
              <w:rPr>
                <w:b/>
              </w:rPr>
              <w:t>Appellant</w:t>
            </w:r>
            <w:r w:rsidR="00371449" w:rsidRPr="00414E19">
              <w:rPr>
                <w:b/>
              </w:rPr>
              <w:t xml:space="preserve"> (Appellant in</w:t>
            </w:r>
          </w:p>
          <w:p w:rsidR="0072797E" w:rsidRPr="00414E19" w:rsidRDefault="0072797E" w:rsidP="00BA5DE8">
            <w:pPr>
              <w:jc w:val="right"/>
              <w:rPr>
                <w:b/>
              </w:rPr>
            </w:pPr>
            <w:r w:rsidRPr="00414E19">
              <w:rPr>
                <w:b/>
              </w:rPr>
              <w:t>HCMA 390/2018)</w:t>
            </w:r>
          </w:p>
        </w:tc>
      </w:tr>
      <w:tr w:rsidR="0072797E" w:rsidRPr="00414E19" w:rsidTr="00F730F6">
        <w:trPr>
          <w:trHeight w:val="576"/>
        </w:trPr>
        <w:tc>
          <w:tcPr>
            <w:tcW w:w="2694" w:type="dxa"/>
            <w:gridSpan w:val="2"/>
            <w:shd w:val="clear" w:color="auto" w:fill="auto"/>
          </w:tcPr>
          <w:p w:rsidR="0072797E" w:rsidRPr="00414E19" w:rsidRDefault="0072797E" w:rsidP="00BA5DE8">
            <w:pPr>
              <w:rPr>
                <w:b/>
                <w:color w:val="000000"/>
              </w:rPr>
            </w:pPr>
          </w:p>
        </w:tc>
        <w:tc>
          <w:tcPr>
            <w:tcW w:w="3606" w:type="dxa"/>
            <w:shd w:val="clear" w:color="auto" w:fill="auto"/>
          </w:tcPr>
          <w:p w:rsidR="0072797E" w:rsidRPr="00414E19" w:rsidRDefault="0072797E" w:rsidP="00BA5DE8">
            <w:pPr>
              <w:widowControl w:val="0"/>
              <w:autoSpaceDE w:val="0"/>
              <w:autoSpaceDN w:val="0"/>
              <w:adjustRightInd w:val="0"/>
              <w:jc w:val="center"/>
              <w:textAlignment w:val="baseline"/>
              <w:rPr>
                <w:b/>
                <w:kern w:val="2"/>
              </w:rPr>
            </w:pPr>
            <w:r w:rsidRPr="00414E19">
              <w:rPr>
                <w:b/>
                <w:kern w:val="2"/>
              </w:rPr>
              <w:t>LAU KIN FUNG BOSCO</w:t>
            </w:r>
          </w:p>
        </w:tc>
        <w:tc>
          <w:tcPr>
            <w:tcW w:w="2772" w:type="dxa"/>
            <w:gridSpan w:val="4"/>
            <w:shd w:val="clear" w:color="auto" w:fill="auto"/>
          </w:tcPr>
          <w:p w:rsidR="00371449" w:rsidRPr="00414E19" w:rsidRDefault="0072797E" w:rsidP="00BA5DE8">
            <w:pPr>
              <w:jc w:val="right"/>
              <w:rPr>
                <w:b/>
              </w:rPr>
            </w:pPr>
            <w:r w:rsidRPr="00414E19">
              <w:rPr>
                <w:b/>
              </w:rPr>
              <w:t>11</w:t>
            </w:r>
            <w:r w:rsidRPr="00414E19">
              <w:rPr>
                <w:b/>
                <w:vertAlign w:val="superscript"/>
              </w:rPr>
              <w:t>th</w:t>
            </w:r>
            <w:r w:rsidRPr="00414E19">
              <w:rPr>
                <w:b/>
              </w:rPr>
              <w:t xml:space="preserve"> </w:t>
            </w:r>
            <w:r w:rsidR="00DD112E" w:rsidRPr="00414E19">
              <w:rPr>
                <w:b/>
              </w:rPr>
              <w:t>Appellant</w:t>
            </w:r>
            <w:r w:rsidR="00371449" w:rsidRPr="00414E19">
              <w:rPr>
                <w:b/>
              </w:rPr>
              <w:t xml:space="preserve"> (Appellant in</w:t>
            </w:r>
          </w:p>
          <w:p w:rsidR="0072797E" w:rsidRPr="00414E19" w:rsidRDefault="0072797E" w:rsidP="00BA5DE8">
            <w:pPr>
              <w:jc w:val="right"/>
              <w:rPr>
                <w:b/>
              </w:rPr>
            </w:pPr>
            <w:r w:rsidRPr="00414E19">
              <w:rPr>
                <w:b/>
              </w:rPr>
              <w:t>HCMA 391/2018)</w:t>
            </w:r>
          </w:p>
        </w:tc>
      </w:tr>
      <w:tr w:rsidR="0072797E" w:rsidRPr="00414E19" w:rsidTr="00F730F6">
        <w:trPr>
          <w:trHeight w:val="576"/>
        </w:trPr>
        <w:tc>
          <w:tcPr>
            <w:tcW w:w="2694" w:type="dxa"/>
            <w:gridSpan w:val="2"/>
            <w:shd w:val="clear" w:color="auto" w:fill="auto"/>
          </w:tcPr>
          <w:p w:rsidR="0072797E" w:rsidRPr="00414E19" w:rsidRDefault="0072797E" w:rsidP="00BA5DE8">
            <w:pPr>
              <w:rPr>
                <w:b/>
                <w:color w:val="000000"/>
              </w:rPr>
            </w:pPr>
          </w:p>
        </w:tc>
        <w:tc>
          <w:tcPr>
            <w:tcW w:w="3606" w:type="dxa"/>
            <w:shd w:val="clear" w:color="auto" w:fill="auto"/>
          </w:tcPr>
          <w:p w:rsidR="0072797E" w:rsidRPr="00414E19" w:rsidRDefault="0072797E" w:rsidP="00BA5DE8">
            <w:pPr>
              <w:widowControl w:val="0"/>
              <w:autoSpaceDE w:val="0"/>
              <w:autoSpaceDN w:val="0"/>
              <w:adjustRightInd w:val="0"/>
              <w:jc w:val="center"/>
              <w:textAlignment w:val="baseline"/>
              <w:rPr>
                <w:b/>
                <w:kern w:val="2"/>
              </w:rPr>
            </w:pPr>
            <w:r w:rsidRPr="00414E19">
              <w:rPr>
                <w:b/>
                <w:kern w:val="2"/>
              </w:rPr>
              <w:t>TSE KEE BO</w:t>
            </w:r>
          </w:p>
        </w:tc>
        <w:tc>
          <w:tcPr>
            <w:tcW w:w="2772" w:type="dxa"/>
            <w:gridSpan w:val="4"/>
            <w:shd w:val="clear" w:color="auto" w:fill="auto"/>
          </w:tcPr>
          <w:p w:rsidR="00371449" w:rsidRPr="00414E19" w:rsidRDefault="0072797E" w:rsidP="00BA5DE8">
            <w:pPr>
              <w:jc w:val="right"/>
              <w:rPr>
                <w:b/>
              </w:rPr>
            </w:pPr>
            <w:r w:rsidRPr="00414E19">
              <w:rPr>
                <w:b/>
              </w:rPr>
              <w:t>12</w:t>
            </w:r>
            <w:r w:rsidRPr="00414E19">
              <w:rPr>
                <w:b/>
                <w:vertAlign w:val="superscript"/>
              </w:rPr>
              <w:t>th</w:t>
            </w:r>
            <w:r w:rsidR="00DD112E" w:rsidRPr="00414E19">
              <w:rPr>
                <w:b/>
              </w:rPr>
              <w:t xml:space="preserve"> Appellant</w:t>
            </w:r>
            <w:r w:rsidR="00371449" w:rsidRPr="00414E19">
              <w:rPr>
                <w:b/>
              </w:rPr>
              <w:t xml:space="preserve"> (Appellant in</w:t>
            </w:r>
          </w:p>
          <w:p w:rsidR="0072797E" w:rsidRPr="00414E19" w:rsidRDefault="0072797E" w:rsidP="00BA5DE8">
            <w:pPr>
              <w:jc w:val="right"/>
              <w:rPr>
                <w:b/>
              </w:rPr>
            </w:pPr>
            <w:r w:rsidRPr="00414E19">
              <w:rPr>
                <w:b/>
              </w:rPr>
              <w:t>HCMA 392/2018)</w:t>
            </w:r>
          </w:p>
        </w:tc>
      </w:tr>
      <w:tr w:rsidR="0072797E" w:rsidRPr="00414E19" w:rsidTr="00F730F6">
        <w:trPr>
          <w:trHeight w:val="576"/>
        </w:trPr>
        <w:tc>
          <w:tcPr>
            <w:tcW w:w="2694" w:type="dxa"/>
            <w:gridSpan w:val="2"/>
            <w:shd w:val="clear" w:color="auto" w:fill="auto"/>
          </w:tcPr>
          <w:p w:rsidR="0072797E" w:rsidRPr="00414E19" w:rsidRDefault="0072797E" w:rsidP="00BA5DE8">
            <w:pPr>
              <w:rPr>
                <w:b/>
                <w:color w:val="000000"/>
              </w:rPr>
            </w:pPr>
          </w:p>
        </w:tc>
        <w:tc>
          <w:tcPr>
            <w:tcW w:w="3606" w:type="dxa"/>
            <w:shd w:val="clear" w:color="auto" w:fill="auto"/>
          </w:tcPr>
          <w:p w:rsidR="0072797E" w:rsidRPr="00414E19" w:rsidRDefault="0072797E" w:rsidP="00BA5DE8">
            <w:pPr>
              <w:widowControl w:val="0"/>
              <w:autoSpaceDE w:val="0"/>
              <w:autoSpaceDN w:val="0"/>
              <w:adjustRightInd w:val="0"/>
              <w:jc w:val="center"/>
              <w:textAlignment w:val="baseline"/>
              <w:rPr>
                <w:b/>
                <w:kern w:val="2"/>
              </w:rPr>
            </w:pPr>
            <w:r w:rsidRPr="00414E19">
              <w:rPr>
                <w:b/>
                <w:kern w:val="2"/>
              </w:rPr>
              <w:t>TONG PO HIN</w:t>
            </w:r>
          </w:p>
        </w:tc>
        <w:tc>
          <w:tcPr>
            <w:tcW w:w="2772" w:type="dxa"/>
            <w:gridSpan w:val="4"/>
            <w:shd w:val="clear" w:color="auto" w:fill="auto"/>
          </w:tcPr>
          <w:p w:rsidR="00371449" w:rsidRPr="00414E19" w:rsidRDefault="0072797E" w:rsidP="00BA5DE8">
            <w:pPr>
              <w:jc w:val="right"/>
              <w:rPr>
                <w:b/>
              </w:rPr>
            </w:pPr>
            <w:r w:rsidRPr="00414E19">
              <w:rPr>
                <w:b/>
              </w:rPr>
              <w:t>13</w:t>
            </w:r>
            <w:r w:rsidRPr="00414E19">
              <w:rPr>
                <w:b/>
                <w:vertAlign w:val="superscript"/>
              </w:rPr>
              <w:t>th</w:t>
            </w:r>
            <w:r w:rsidRPr="00414E19">
              <w:rPr>
                <w:b/>
              </w:rPr>
              <w:t xml:space="preserve"> </w:t>
            </w:r>
            <w:r w:rsidR="00DD112E" w:rsidRPr="00414E19">
              <w:rPr>
                <w:b/>
              </w:rPr>
              <w:t>Appellant</w:t>
            </w:r>
            <w:r w:rsidR="00371449" w:rsidRPr="00414E19">
              <w:rPr>
                <w:b/>
              </w:rPr>
              <w:t xml:space="preserve"> (Appellant in</w:t>
            </w:r>
          </w:p>
          <w:p w:rsidR="0072797E" w:rsidRPr="00414E19" w:rsidRDefault="0072797E" w:rsidP="00BA5DE8">
            <w:pPr>
              <w:jc w:val="right"/>
              <w:rPr>
                <w:b/>
              </w:rPr>
            </w:pPr>
            <w:r w:rsidRPr="00414E19">
              <w:rPr>
                <w:b/>
              </w:rPr>
              <w:t>HCMA 393/2018)</w:t>
            </w:r>
          </w:p>
        </w:tc>
      </w:tr>
      <w:tr w:rsidR="0072797E" w:rsidRPr="00414E19" w:rsidTr="00F730F6">
        <w:trPr>
          <w:trHeight w:val="576"/>
        </w:trPr>
        <w:tc>
          <w:tcPr>
            <w:tcW w:w="2694" w:type="dxa"/>
            <w:gridSpan w:val="2"/>
            <w:shd w:val="clear" w:color="auto" w:fill="auto"/>
          </w:tcPr>
          <w:p w:rsidR="0072797E" w:rsidRPr="00414E19" w:rsidRDefault="0072797E" w:rsidP="00BA5DE8">
            <w:pPr>
              <w:rPr>
                <w:b/>
                <w:color w:val="000000"/>
              </w:rPr>
            </w:pPr>
          </w:p>
        </w:tc>
        <w:tc>
          <w:tcPr>
            <w:tcW w:w="3606" w:type="dxa"/>
            <w:shd w:val="clear" w:color="auto" w:fill="auto"/>
          </w:tcPr>
          <w:p w:rsidR="0072797E" w:rsidRPr="00414E19" w:rsidRDefault="0072797E" w:rsidP="00BA5DE8">
            <w:pPr>
              <w:widowControl w:val="0"/>
              <w:autoSpaceDE w:val="0"/>
              <w:autoSpaceDN w:val="0"/>
              <w:adjustRightInd w:val="0"/>
              <w:jc w:val="center"/>
              <w:textAlignment w:val="baseline"/>
              <w:rPr>
                <w:b/>
                <w:kern w:val="2"/>
              </w:rPr>
            </w:pPr>
            <w:r w:rsidRPr="00414E19">
              <w:rPr>
                <w:b/>
                <w:kern w:val="2"/>
              </w:rPr>
              <w:t>WONG SAI MING</w:t>
            </w:r>
          </w:p>
        </w:tc>
        <w:tc>
          <w:tcPr>
            <w:tcW w:w="2772" w:type="dxa"/>
            <w:gridSpan w:val="4"/>
            <w:shd w:val="clear" w:color="auto" w:fill="auto"/>
          </w:tcPr>
          <w:p w:rsidR="00371449" w:rsidRPr="00414E19" w:rsidRDefault="0072797E" w:rsidP="00BA5DE8">
            <w:pPr>
              <w:jc w:val="right"/>
              <w:rPr>
                <w:b/>
              </w:rPr>
            </w:pPr>
            <w:r w:rsidRPr="00414E19">
              <w:rPr>
                <w:b/>
              </w:rPr>
              <w:t>14</w:t>
            </w:r>
            <w:r w:rsidRPr="00414E19">
              <w:rPr>
                <w:b/>
                <w:vertAlign w:val="superscript"/>
              </w:rPr>
              <w:t>th</w:t>
            </w:r>
            <w:r w:rsidRPr="00414E19">
              <w:rPr>
                <w:b/>
              </w:rPr>
              <w:t xml:space="preserve"> </w:t>
            </w:r>
            <w:r w:rsidR="00DD112E" w:rsidRPr="00414E19">
              <w:rPr>
                <w:b/>
              </w:rPr>
              <w:t>Appellant</w:t>
            </w:r>
            <w:r w:rsidR="00371449" w:rsidRPr="00414E19">
              <w:rPr>
                <w:b/>
              </w:rPr>
              <w:t xml:space="preserve"> (Appellant in</w:t>
            </w:r>
          </w:p>
          <w:p w:rsidR="0072797E" w:rsidRPr="00414E19" w:rsidRDefault="0072797E" w:rsidP="00BA5DE8">
            <w:pPr>
              <w:jc w:val="right"/>
              <w:rPr>
                <w:b/>
              </w:rPr>
            </w:pPr>
            <w:r w:rsidRPr="00414E19">
              <w:rPr>
                <w:b/>
              </w:rPr>
              <w:t>HCMA 394/2018)</w:t>
            </w:r>
          </w:p>
        </w:tc>
      </w:tr>
      <w:tr w:rsidR="0072797E" w:rsidRPr="00414E19" w:rsidTr="00F730F6">
        <w:trPr>
          <w:trHeight w:val="576"/>
        </w:trPr>
        <w:tc>
          <w:tcPr>
            <w:tcW w:w="2694" w:type="dxa"/>
            <w:gridSpan w:val="2"/>
            <w:shd w:val="clear" w:color="auto" w:fill="auto"/>
          </w:tcPr>
          <w:p w:rsidR="0072797E" w:rsidRPr="00414E19" w:rsidRDefault="0072797E" w:rsidP="00BA5DE8">
            <w:pPr>
              <w:rPr>
                <w:b/>
                <w:color w:val="000000"/>
              </w:rPr>
            </w:pPr>
          </w:p>
        </w:tc>
        <w:tc>
          <w:tcPr>
            <w:tcW w:w="3606" w:type="dxa"/>
            <w:shd w:val="clear" w:color="auto" w:fill="auto"/>
          </w:tcPr>
          <w:p w:rsidR="0072797E" w:rsidRPr="00414E19" w:rsidRDefault="0072797E" w:rsidP="00BA5DE8">
            <w:pPr>
              <w:widowControl w:val="0"/>
              <w:autoSpaceDE w:val="0"/>
              <w:autoSpaceDN w:val="0"/>
              <w:adjustRightInd w:val="0"/>
              <w:jc w:val="center"/>
              <w:textAlignment w:val="baseline"/>
              <w:rPr>
                <w:b/>
                <w:kern w:val="2"/>
              </w:rPr>
            </w:pPr>
            <w:r w:rsidRPr="00414E19">
              <w:rPr>
                <w:b/>
                <w:kern w:val="2"/>
              </w:rPr>
              <w:t>LI SUI LEUNG</w:t>
            </w:r>
          </w:p>
        </w:tc>
        <w:tc>
          <w:tcPr>
            <w:tcW w:w="2772" w:type="dxa"/>
            <w:gridSpan w:val="4"/>
            <w:shd w:val="clear" w:color="auto" w:fill="auto"/>
          </w:tcPr>
          <w:p w:rsidR="00371449" w:rsidRPr="00414E19" w:rsidRDefault="0072797E" w:rsidP="00BA5DE8">
            <w:pPr>
              <w:jc w:val="right"/>
              <w:rPr>
                <w:b/>
              </w:rPr>
            </w:pPr>
            <w:r w:rsidRPr="00414E19">
              <w:rPr>
                <w:b/>
              </w:rPr>
              <w:t>15</w:t>
            </w:r>
            <w:r w:rsidRPr="00414E19">
              <w:rPr>
                <w:b/>
                <w:vertAlign w:val="superscript"/>
              </w:rPr>
              <w:t>th</w:t>
            </w:r>
            <w:r w:rsidRPr="00414E19">
              <w:rPr>
                <w:b/>
              </w:rPr>
              <w:t xml:space="preserve"> </w:t>
            </w:r>
            <w:r w:rsidR="00DD112E" w:rsidRPr="00414E19">
              <w:rPr>
                <w:b/>
              </w:rPr>
              <w:t>Appellant</w:t>
            </w:r>
            <w:r w:rsidR="00371449" w:rsidRPr="00414E19">
              <w:rPr>
                <w:b/>
              </w:rPr>
              <w:t xml:space="preserve"> (Appellant in</w:t>
            </w:r>
          </w:p>
          <w:p w:rsidR="0072797E" w:rsidRPr="00414E19" w:rsidRDefault="0072797E" w:rsidP="00BA5DE8">
            <w:pPr>
              <w:jc w:val="right"/>
              <w:rPr>
                <w:b/>
              </w:rPr>
            </w:pPr>
            <w:r w:rsidRPr="00414E19">
              <w:rPr>
                <w:b/>
              </w:rPr>
              <w:t>HCMA 395/2018)</w:t>
            </w:r>
          </w:p>
        </w:tc>
      </w:tr>
      <w:tr w:rsidR="0072797E" w:rsidRPr="00414E19" w:rsidTr="00F730F6">
        <w:trPr>
          <w:trHeight w:val="576"/>
        </w:trPr>
        <w:tc>
          <w:tcPr>
            <w:tcW w:w="2694" w:type="dxa"/>
            <w:gridSpan w:val="2"/>
            <w:shd w:val="clear" w:color="auto" w:fill="auto"/>
          </w:tcPr>
          <w:p w:rsidR="0072797E" w:rsidRPr="00414E19" w:rsidRDefault="0072797E" w:rsidP="00BA5DE8">
            <w:pPr>
              <w:rPr>
                <w:b/>
                <w:color w:val="000000"/>
              </w:rPr>
            </w:pPr>
          </w:p>
        </w:tc>
        <w:tc>
          <w:tcPr>
            <w:tcW w:w="3606" w:type="dxa"/>
            <w:shd w:val="clear" w:color="auto" w:fill="auto"/>
          </w:tcPr>
          <w:p w:rsidR="0072797E" w:rsidRPr="00414E19" w:rsidRDefault="0072797E" w:rsidP="00BA5DE8">
            <w:pPr>
              <w:widowControl w:val="0"/>
              <w:autoSpaceDE w:val="0"/>
              <w:autoSpaceDN w:val="0"/>
              <w:adjustRightInd w:val="0"/>
              <w:jc w:val="center"/>
              <w:textAlignment w:val="baseline"/>
              <w:rPr>
                <w:b/>
                <w:kern w:val="2"/>
              </w:rPr>
            </w:pPr>
            <w:r w:rsidRPr="00414E19">
              <w:rPr>
                <w:b/>
                <w:kern w:val="2"/>
              </w:rPr>
              <w:t>LEE KWOK LEUNG</w:t>
            </w:r>
          </w:p>
        </w:tc>
        <w:tc>
          <w:tcPr>
            <w:tcW w:w="2772" w:type="dxa"/>
            <w:gridSpan w:val="4"/>
            <w:shd w:val="clear" w:color="auto" w:fill="auto"/>
          </w:tcPr>
          <w:p w:rsidR="00371449" w:rsidRPr="00414E19" w:rsidRDefault="0072797E" w:rsidP="00BA5DE8">
            <w:pPr>
              <w:jc w:val="right"/>
              <w:rPr>
                <w:b/>
              </w:rPr>
            </w:pPr>
            <w:r w:rsidRPr="00414E19">
              <w:rPr>
                <w:b/>
              </w:rPr>
              <w:t>16</w:t>
            </w:r>
            <w:r w:rsidRPr="00414E19">
              <w:rPr>
                <w:b/>
                <w:vertAlign w:val="superscript"/>
              </w:rPr>
              <w:t>th</w:t>
            </w:r>
            <w:r w:rsidRPr="00414E19">
              <w:rPr>
                <w:b/>
              </w:rPr>
              <w:t xml:space="preserve"> </w:t>
            </w:r>
            <w:r w:rsidR="00DD112E" w:rsidRPr="00414E19">
              <w:rPr>
                <w:b/>
              </w:rPr>
              <w:t>Appellant</w:t>
            </w:r>
            <w:r w:rsidR="00371449" w:rsidRPr="00414E19">
              <w:rPr>
                <w:b/>
              </w:rPr>
              <w:t xml:space="preserve"> (Appellant in</w:t>
            </w:r>
          </w:p>
          <w:p w:rsidR="0072797E" w:rsidRPr="00414E19" w:rsidRDefault="0072797E" w:rsidP="00BA5DE8">
            <w:pPr>
              <w:jc w:val="right"/>
              <w:rPr>
                <w:b/>
              </w:rPr>
            </w:pPr>
            <w:r w:rsidRPr="00414E19">
              <w:rPr>
                <w:b/>
              </w:rPr>
              <w:t>HCMA 396/2018)</w:t>
            </w:r>
          </w:p>
        </w:tc>
      </w:tr>
      <w:tr w:rsidR="0072797E" w:rsidRPr="00414E19" w:rsidTr="00F730F6">
        <w:trPr>
          <w:trHeight w:val="576"/>
        </w:trPr>
        <w:tc>
          <w:tcPr>
            <w:tcW w:w="2694" w:type="dxa"/>
            <w:gridSpan w:val="2"/>
            <w:shd w:val="clear" w:color="auto" w:fill="auto"/>
          </w:tcPr>
          <w:p w:rsidR="0072797E" w:rsidRPr="00414E19" w:rsidRDefault="0072797E" w:rsidP="00BA5DE8">
            <w:pPr>
              <w:rPr>
                <w:b/>
                <w:color w:val="000000"/>
              </w:rPr>
            </w:pPr>
          </w:p>
        </w:tc>
        <w:tc>
          <w:tcPr>
            <w:tcW w:w="3606" w:type="dxa"/>
            <w:shd w:val="clear" w:color="auto" w:fill="auto"/>
          </w:tcPr>
          <w:p w:rsidR="0072797E" w:rsidRPr="00414E19" w:rsidRDefault="0072797E" w:rsidP="00BA5DE8">
            <w:pPr>
              <w:widowControl w:val="0"/>
              <w:autoSpaceDE w:val="0"/>
              <w:autoSpaceDN w:val="0"/>
              <w:adjustRightInd w:val="0"/>
              <w:jc w:val="center"/>
              <w:textAlignment w:val="baseline"/>
              <w:rPr>
                <w:b/>
                <w:kern w:val="2"/>
              </w:rPr>
            </w:pPr>
            <w:r w:rsidRPr="00414E19">
              <w:rPr>
                <w:b/>
                <w:kern w:val="2"/>
              </w:rPr>
              <w:t>CHUNG TZE CHUN IVAN</w:t>
            </w:r>
          </w:p>
        </w:tc>
        <w:tc>
          <w:tcPr>
            <w:tcW w:w="2772" w:type="dxa"/>
            <w:gridSpan w:val="4"/>
            <w:shd w:val="clear" w:color="auto" w:fill="auto"/>
          </w:tcPr>
          <w:p w:rsidR="00371449" w:rsidRPr="00414E19" w:rsidRDefault="0072797E" w:rsidP="00BA5DE8">
            <w:pPr>
              <w:jc w:val="right"/>
              <w:rPr>
                <w:b/>
              </w:rPr>
            </w:pPr>
            <w:r w:rsidRPr="00414E19">
              <w:rPr>
                <w:b/>
              </w:rPr>
              <w:t>17</w:t>
            </w:r>
            <w:r w:rsidRPr="00414E19">
              <w:rPr>
                <w:b/>
                <w:vertAlign w:val="superscript"/>
              </w:rPr>
              <w:t>th</w:t>
            </w:r>
            <w:r w:rsidRPr="00414E19">
              <w:rPr>
                <w:b/>
              </w:rPr>
              <w:t xml:space="preserve"> </w:t>
            </w:r>
            <w:r w:rsidR="00DD112E" w:rsidRPr="00414E19">
              <w:rPr>
                <w:b/>
              </w:rPr>
              <w:t xml:space="preserve">Appellant </w:t>
            </w:r>
            <w:r w:rsidR="00371449" w:rsidRPr="00414E19">
              <w:rPr>
                <w:b/>
              </w:rPr>
              <w:t>(Appellant in</w:t>
            </w:r>
          </w:p>
          <w:p w:rsidR="0072797E" w:rsidRPr="00414E19" w:rsidRDefault="0072797E" w:rsidP="00BA5DE8">
            <w:pPr>
              <w:jc w:val="right"/>
              <w:rPr>
                <w:b/>
              </w:rPr>
            </w:pPr>
            <w:r w:rsidRPr="00414E19">
              <w:rPr>
                <w:b/>
              </w:rPr>
              <w:t>HCMA 397/2018)</w:t>
            </w:r>
          </w:p>
        </w:tc>
      </w:tr>
      <w:tr w:rsidR="0072797E" w:rsidRPr="00414E19" w:rsidTr="00F730F6">
        <w:trPr>
          <w:trHeight w:val="576"/>
        </w:trPr>
        <w:tc>
          <w:tcPr>
            <w:tcW w:w="2410" w:type="dxa"/>
            <w:shd w:val="clear" w:color="auto" w:fill="auto"/>
          </w:tcPr>
          <w:p w:rsidR="0072797E" w:rsidRPr="00414E19" w:rsidRDefault="0072797E" w:rsidP="00BA5DE8">
            <w:pPr>
              <w:rPr>
                <w:b/>
                <w:color w:val="000000"/>
              </w:rPr>
            </w:pPr>
          </w:p>
        </w:tc>
        <w:tc>
          <w:tcPr>
            <w:tcW w:w="3998" w:type="dxa"/>
            <w:gridSpan w:val="4"/>
            <w:shd w:val="clear" w:color="auto" w:fill="auto"/>
          </w:tcPr>
          <w:p w:rsidR="0072797E" w:rsidRPr="00414E19" w:rsidRDefault="0072797E" w:rsidP="00BA5DE8">
            <w:pPr>
              <w:widowControl w:val="0"/>
              <w:autoSpaceDE w:val="0"/>
              <w:autoSpaceDN w:val="0"/>
              <w:adjustRightInd w:val="0"/>
              <w:jc w:val="center"/>
              <w:textAlignment w:val="baseline"/>
              <w:rPr>
                <w:b/>
                <w:kern w:val="2"/>
              </w:rPr>
            </w:pPr>
            <w:r w:rsidRPr="00414E19">
              <w:rPr>
                <w:b/>
                <w:kern w:val="2"/>
              </w:rPr>
              <w:t>CHEUNG YUK FUNG ADRAIN</w:t>
            </w:r>
          </w:p>
        </w:tc>
        <w:tc>
          <w:tcPr>
            <w:tcW w:w="2664" w:type="dxa"/>
            <w:gridSpan w:val="2"/>
            <w:shd w:val="clear" w:color="auto" w:fill="auto"/>
          </w:tcPr>
          <w:p w:rsidR="00371449" w:rsidRPr="00414E19" w:rsidRDefault="0072797E" w:rsidP="00BA5DE8">
            <w:pPr>
              <w:jc w:val="right"/>
              <w:rPr>
                <w:b/>
              </w:rPr>
            </w:pPr>
            <w:r w:rsidRPr="00414E19">
              <w:rPr>
                <w:b/>
              </w:rPr>
              <w:t>18</w:t>
            </w:r>
            <w:r w:rsidRPr="00414E19">
              <w:rPr>
                <w:b/>
                <w:vertAlign w:val="superscript"/>
              </w:rPr>
              <w:t>th</w:t>
            </w:r>
            <w:r w:rsidRPr="00414E19">
              <w:rPr>
                <w:b/>
              </w:rPr>
              <w:t xml:space="preserve"> </w:t>
            </w:r>
            <w:r w:rsidR="00DD112E" w:rsidRPr="00414E19">
              <w:rPr>
                <w:b/>
              </w:rPr>
              <w:t>Appellant</w:t>
            </w:r>
            <w:r w:rsidR="00371449" w:rsidRPr="00414E19">
              <w:rPr>
                <w:b/>
              </w:rPr>
              <w:t xml:space="preserve"> (Appellant in</w:t>
            </w:r>
          </w:p>
          <w:p w:rsidR="0072797E" w:rsidRPr="00414E19" w:rsidRDefault="0072797E" w:rsidP="00BA5DE8">
            <w:pPr>
              <w:jc w:val="right"/>
              <w:rPr>
                <w:b/>
              </w:rPr>
            </w:pPr>
            <w:r w:rsidRPr="00414E19">
              <w:rPr>
                <w:b/>
              </w:rPr>
              <w:t>HCMA 398/2018)</w:t>
            </w:r>
          </w:p>
        </w:tc>
      </w:tr>
      <w:tr w:rsidR="0072797E" w:rsidRPr="00414E19" w:rsidTr="00F730F6">
        <w:trPr>
          <w:trHeight w:val="576"/>
        </w:trPr>
        <w:tc>
          <w:tcPr>
            <w:tcW w:w="2694" w:type="dxa"/>
            <w:gridSpan w:val="2"/>
            <w:shd w:val="clear" w:color="auto" w:fill="auto"/>
          </w:tcPr>
          <w:p w:rsidR="0072797E" w:rsidRPr="00414E19" w:rsidRDefault="0072797E" w:rsidP="00BA5DE8">
            <w:pPr>
              <w:rPr>
                <w:b/>
                <w:color w:val="000000"/>
              </w:rPr>
            </w:pPr>
          </w:p>
        </w:tc>
        <w:tc>
          <w:tcPr>
            <w:tcW w:w="3606" w:type="dxa"/>
            <w:shd w:val="clear" w:color="auto" w:fill="auto"/>
          </w:tcPr>
          <w:p w:rsidR="0072797E" w:rsidRPr="00414E19" w:rsidRDefault="0072797E" w:rsidP="00BA5DE8">
            <w:pPr>
              <w:widowControl w:val="0"/>
              <w:autoSpaceDE w:val="0"/>
              <w:autoSpaceDN w:val="0"/>
              <w:adjustRightInd w:val="0"/>
              <w:jc w:val="center"/>
              <w:textAlignment w:val="baseline"/>
              <w:rPr>
                <w:b/>
                <w:kern w:val="2"/>
              </w:rPr>
            </w:pPr>
            <w:r w:rsidRPr="00414E19">
              <w:rPr>
                <w:b/>
                <w:kern w:val="2"/>
              </w:rPr>
              <w:t>WONG SIU PONG</w:t>
            </w:r>
          </w:p>
        </w:tc>
        <w:tc>
          <w:tcPr>
            <w:tcW w:w="2772" w:type="dxa"/>
            <w:gridSpan w:val="4"/>
            <w:shd w:val="clear" w:color="auto" w:fill="auto"/>
          </w:tcPr>
          <w:p w:rsidR="00371449" w:rsidRPr="00414E19" w:rsidRDefault="0072797E" w:rsidP="00BA5DE8">
            <w:pPr>
              <w:jc w:val="right"/>
              <w:rPr>
                <w:b/>
              </w:rPr>
            </w:pPr>
            <w:r w:rsidRPr="00414E19">
              <w:rPr>
                <w:b/>
              </w:rPr>
              <w:t>19</w:t>
            </w:r>
            <w:r w:rsidRPr="00414E19">
              <w:rPr>
                <w:b/>
                <w:vertAlign w:val="superscript"/>
              </w:rPr>
              <w:t>th</w:t>
            </w:r>
            <w:r w:rsidRPr="00414E19">
              <w:rPr>
                <w:b/>
              </w:rPr>
              <w:t xml:space="preserve"> </w:t>
            </w:r>
            <w:r w:rsidR="00DD112E" w:rsidRPr="00414E19">
              <w:rPr>
                <w:b/>
              </w:rPr>
              <w:t xml:space="preserve">Appellant </w:t>
            </w:r>
            <w:r w:rsidR="00371449" w:rsidRPr="00414E19">
              <w:rPr>
                <w:b/>
              </w:rPr>
              <w:t>(Appellant in</w:t>
            </w:r>
          </w:p>
          <w:p w:rsidR="0072797E" w:rsidRPr="00414E19" w:rsidRDefault="0072797E" w:rsidP="00BA5DE8">
            <w:pPr>
              <w:jc w:val="right"/>
              <w:rPr>
                <w:b/>
              </w:rPr>
            </w:pPr>
            <w:r w:rsidRPr="00414E19">
              <w:rPr>
                <w:b/>
              </w:rPr>
              <w:t>HCMA 399/2018)</w:t>
            </w:r>
          </w:p>
        </w:tc>
      </w:tr>
      <w:tr w:rsidR="0072797E" w:rsidRPr="00414E19" w:rsidTr="00F730F6">
        <w:trPr>
          <w:trHeight w:val="576"/>
        </w:trPr>
        <w:tc>
          <w:tcPr>
            <w:tcW w:w="2694" w:type="dxa"/>
            <w:gridSpan w:val="2"/>
            <w:shd w:val="clear" w:color="auto" w:fill="auto"/>
          </w:tcPr>
          <w:p w:rsidR="0072797E" w:rsidRPr="00414E19" w:rsidRDefault="0072797E" w:rsidP="00BA5DE8">
            <w:pPr>
              <w:rPr>
                <w:b/>
                <w:color w:val="000000"/>
              </w:rPr>
            </w:pPr>
          </w:p>
        </w:tc>
        <w:tc>
          <w:tcPr>
            <w:tcW w:w="3606" w:type="dxa"/>
            <w:shd w:val="clear" w:color="auto" w:fill="auto"/>
          </w:tcPr>
          <w:p w:rsidR="0072797E" w:rsidRPr="00414E19" w:rsidRDefault="0072797E" w:rsidP="00BA5DE8">
            <w:pPr>
              <w:widowControl w:val="0"/>
              <w:autoSpaceDE w:val="0"/>
              <w:autoSpaceDN w:val="0"/>
              <w:adjustRightInd w:val="0"/>
              <w:jc w:val="center"/>
              <w:textAlignment w:val="baseline"/>
              <w:rPr>
                <w:b/>
                <w:kern w:val="2"/>
              </w:rPr>
            </w:pPr>
            <w:r w:rsidRPr="00414E19">
              <w:rPr>
                <w:b/>
                <w:kern w:val="2"/>
              </w:rPr>
              <w:t>WONG TAK MING</w:t>
            </w:r>
          </w:p>
        </w:tc>
        <w:tc>
          <w:tcPr>
            <w:tcW w:w="2772" w:type="dxa"/>
            <w:gridSpan w:val="4"/>
            <w:shd w:val="clear" w:color="auto" w:fill="auto"/>
          </w:tcPr>
          <w:p w:rsidR="00371449" w:rsidRPr="00414E19" w:rsidRDefault="0072797E" w:rsidP="00BA5DE8">
            <w:pPr>
              <w:jc w:val="right"/>
              <w:rPr>
                <w:b/>
              </w:rPr>
            </w:pPr>
            <w:r w:rsidRPr="00414E19">
              <w:rPr>
                <w:b/>
              </w:rPr>
              <w:t>20</w:t>
            </w:r>
            <w:r w:rsidRPr="00414E19">
              <w:rPr>
                <w:b/>
                <w:vertAlign w:val="superscript"/>
              </w:rPr>
              <w:t>th</w:t>
            </w:r>
            <w:r w:rsidRPr="00414E19">
              <w:rPr>
                <w:b/>
              </w:rPr>
              <w:t xml:space="preserve"> </w:t>
            </w:r>
            <w:r w:rsidR="00DD112E" w:rsidRPr="00414E19">
              <w:rPr>
                <w:b/>
              </w:rPr>
              <w:t>Appellant</w:t>
            </w:r>
            <w:r w:rsidR="00371449" w:rsidRPr="00414E19">
              <w:rPr>
                <w:b/>
              </w:rPr>
              <w:t xml:space="preserve"> (Appellant in</w:t>
            </w:r>
          </w:p>
          <w:p w:rsidR="0072797E" w:rsidRPr="00414E19" w:rsidRDefault="0072797E" w:rsidP="00BA5DE8">
            <w:pPr>
              <w:jc w:val="right"/>
              <w:rPr>
                <w:b/>
              </w:rPr>
            </w:pPr>
            <w:r w:rsidRPr="00414E19">
              <w:rPr>
                <w:b/>
              </w:rPr>
              <w:t>HCMA 401/2018)</w:t>
            </w:r>
          </w:p>
        </w:tc>
      </w:tr>
      <w:tr w:rsidR="0072797E" w:rsidRPr="00414E19" w:rsidTr="00F730F6">
        <w:trPr>
          <w:trHeight w:val="576"/>
        </w:trPr>
        <w:tc>
          <w:tcPr>
            <w:tcW w:w="2694" w:type="dxa"/>
            <w:gridSpan w:val="2"/>
            <w:shd w:val="clear" w:color="auto" w:fill="auto"/>
          </w:tcPr>
          <w:p w:rsidR="0072797E" w:rsidRPr="00414E19" w:rsidRDefault="0072797E" w:rsidP="00BA5DE8">
            <w:pPr>
              <w:rPr>
                <w:b/>
                <w:color w:val="000000"/>
              </w:rPr>
            </w:pPr>
          </w:p>
        </w:tc>
        <w:tc>
          <w:tcPr>
            <w:tcW w:w="3606" w:type="dxa"/>
            <w:shd w:val="clear" w:color="auto" w:fill="auto"/>
          </w:tcPr>
          <w:p w:rsidR="0072797E" w:rsidRPr="00414E19" w:rsidRDefault="0072797E" w:rsidP="00BA5DE8">
            <w:pPr>
              <w:widowControl w:val="0"/>
              <w:autoSpaceDE w:val="0"/>
              <w:autoSpaceDN w:val="0"/>
              <w:adjustRightInd w:val="0"/>
              <w:jc w:val="center"/>
              <w:textAlignment w:val="baseline"/>
              <w:rPr>
                <w:b/>
                <w:kern w:val="2"/>
              </w:rPr>
            </w:pPr>
            <w:r w:rsidRPr="00414E19">
              <w:rPr>
                <w:b/>
                <w:kern w:val="2"/>
              </w:rPr>
              <w:t>KONG CHEUK LAI</w:t>
            </w:r>
          </w:p>
        </w:tc>
        <w:tc>
          <w:tcPr>
            <w:tcW w:w="2772" w:type="dxa"/>
            <w:gridSpan w:val="4"/>
            <w:shd w:val="clear" w:color="auto" w:fill="auto"/>
          </w:tcPr>
          <w:p w:rsidR="00371449" w:rsidRPr="00414E19" w:rsidRDefault="0072797E" w:rsidP="00BA5DE8">
            <w:pPr>
              <w:jc w:val="right"/>
              <w:rPr>
                <w:b/>
              </w:rPr>
            </w:pPr>
            <w:r w:rsidRPr="00414E19">
              <w:rPr>
                <w:b/>
              </w:rPr>
              <w:t>21</w:t>
            </w:r>
            <w:r w:rsidRPr="00414E19">
              <w:rPr>
                <w:b/>
                <w:vertAlign w:val="superscript"/>
              </w:rPr>
              <w:t>st</w:t>
            </w:r>
            <w:r w:rsidRPr="00414E19">
              <w:rPr>
                <w:b/>
              </w:rPr>
              <w:t xml:space="preserve"> </w:t>
            </w:r>
            <w:r w:rsidR="00DD112E" w:rsidRPr="00414E19">
              <w:rPr>
                <w:b/>
              </w:rPr>
              <w:t>Appellant</w:t>
            </w:r>
            <w:r w:rsidR="00371449" w:rsidRPr="00414E19">
              <w:rPr>
                <w:b/>
              </w:rPr>
              <w:t xml:space="preserve"> (Appellant in</w:t>
            </w:r>
          </w:p>
          <w:p w:rsidR="0072797E" w:rsidRPr="00414E19" w:rsidRDefault="0072797E" w:rsidP="00BA5DE8">
            <w:pPr>
              <w:jc w:val="right"/>
              <w:rPr>
                <w:b/>
              </w:rPr>
            </w:pPr>
            <w:r w:rsidRPr="00414E19">
              <w:rPr>
                <w:b/>
              </w:rPr>
              <w:t>HCMA 402/2018)</w:t>
            </w:r>
          </w:p>
        </w:tc>
      </w:tr>
      <w:tr w:rsidR="0072797E" w:rsidRPr="00414E19" w:rsidTr="00F730F6">
        <w:trPr>
          <w:trHeight w:val="576"/>
        </w:trPr>
        <w:tc>
          <w:tcPr>
            <w:tcW w:w="2694" w:type="dxa"/>
            <w:gridSpan w:val="2"/>
            <w:shd w:val="clear" w:color="auto" w:fill="auto"/>
          </w:tcPr>
          <w:p w:rsidR="0072797E" w:rsidRPr="00414E19" w:rsidRDefault="0072797E" w:rsidP="00BA5DE8">
            <w:pPr>
              <w:rPr>
                <w:b/>
                <w:color w:val="000000"/>
              </w:rPr>
            </w:pPr>
          </w:p>
        </w:tc>
        <w:tc>
          <w:tcPr>
            <w:tcW w:w="3606" w:type="dxa"/>
            <w:shd w:val="clear" w:color="auto" w:fill="auto"/>
          </w:tcPr>
          <w:p w:rsidR="0072797E" w:rsidRPr="00414E19" w:rsidRDefault="0072797E" w:rsidP="00BA5DE8">
            <w:pPr>
              <w:widowControl w:val="0"/>
              <w:autoSpaceDE w:val="0"/>
              <w:autoSpaceDN w:val="0"/>
              <w:adjustRightInd w:val="0"/>
              <w:jc w:val="center"/>
              <w:textAlignment w:val="baseline"/>
              <w:rPr>
                <w:b/>
                <w:kern w:val="2"/>
              </w:rPr>
            </w:pPr>
            <w:r w:rsidRPr="00414E19">
              <w:rPr>
                <w:b/>
                <w:kern w:val="2"/>
              </w:rPr>
              <w:t>FAN WING YAU</w:t>
            </w:r>
          </w:p>
        </w:tc>
        <w:tc>
          <w:tcPr>
            <w:tcW w:w="2772" w:type="dxa"/>
            <w:gridSpan w:val="4"/>
            <w:shd w:val="clear" w:color="auto" w:fill="auto"/>
          </w:tcPr>
          <w:p w:rsidR="00371449" w:rsidRPr="00414E19" w:rsidRDefault="0072797E" w:rsidP="00BA5DE8">
            <w:pPr>
              <w:jc w:val="right"/>
              <w:rPr>
                <w:b/>
              </w:rPr>
            </w:pPr>
            <w:r w:rsidRPr="00414E19">
              <w:rPr>
                <w:b/>
              </w:rPr>
              <w:t>22</w:t>
            </w:r>
            <w:r w:rsidRPr="00414E19">
              <w:rPr>
                <w:b/>
                <w:vertAlign w:val="superscript"/>
              </w:rPr>
              <w:t>nd</w:t>
            </w:r>
            <w:r w:rsidRPr="00414E19">
              <w:rPr>
                <w:b/>
              </w:rPr>
              <w:t xml:space="preserve"> </w:t>
            </w:r>
            <w:r w:rsidR="00DD112E" w:rsidRPr="00414E19">
              <w:rPr>
                <w:b/>
              </w:rPr>
              <w:t>Appellant</w:t>
            </w:r>
            <w:r w:rsidR="00371449" w:rsidRPr="00414E19">
              <w:rPr>
                <w:b/>
              </w:rPr>
              <w:t xml:space="preserve"> (Appellant in</w:t>
            </w:r>
          </w:p>
          <w:p w:rsidR="0072797E" w:rsidRPr="00414E19" w:rsidRDefault="0072797E" w:rsidP="00BA5DE8">
            <w:pPr>
              <w:jc w:val="right"/>
              <w:rPr>
                <w:b/>
              </w:rPr>
            </w:pPr>
            <w:r w:rsidRPr="00414E19">
              <w:rPr>
                <w:b/>
              </w:rPr>
              <w:t>HCMA 404/2018)</w:t>
            </w:r>
          </w:p>
        </w:tc>
      </w:tr>
      <w:tr w:rsidR="0072797E" w:rsidRPr="00414E19" w:rsidTr="00F730F6">
        <w:trPr>
          <w:trHeight w:val="576"/>
        </w:trPr>
        <w:tc>
          <w:tcPr>
            <w:tcW w:w="2694" w:type="dxa"/>
            <w:gridSpan w:val="2"/>
            <w:shd w:val="clear" w:color="auto" w:fill="auto"/>
          </w:tcPr>
          <w:p w:rsidR="0072797E" w:rsidRPr="00414E19" w:rsidRDefault="0072797E" w:rsidP="00BA5DE8">
            <w:pPr>
              <w:rPr>
                <w:b/>
                <w:color w:val="000000"/>
              </w:rPr>
            </w:pPr>
          </w:p>
        </w:tc>
        <w:tc>
          <w:tcPr>
            <w:tcW w:w="3606" w:type="dxa"/>
            <w:shd w:val="clear" w:color="auto" w:fill="auto"/>
          </w:tcPr>
          <w:p w:rsidR="0072797E" w:rsidRPr="00414E19" w:rsidRDefault="0072797E" w:rsidP="00BA5DE8">
            <w:pPr>
              <w:widowControl w:val="0"/>
              <w:autoSpaceDE w:val="0"/>
              <w:autoSpaceDN w:val="0"/>
              <w:adjustRightInd w:val="0"/>
              <w:jc w:val="center"/>
              <w:textAlignment w:val="baseline"/>
              <w:rPr>
                <w:b/>
                <w:kern w:val="2"/>
              </w:rPr>
            </w:pPr>
            <w:r w:rsidRPr="00414E19">
              <w:rPr>
                <w:b/>
                <w:kern w:val="2"/>
              </w:rPr>
              <w:t>LAM KIN FAT</w:t>
            </w:r>
          </w:p>
        </w:tc>
        <w:tc>
          <w:tcPr>
            <w:tcW w:w="2772" w:type="dxa"/>
            <w:gridSpan w:val="4"/>
            <w:shd w:val="clear" w:color="auto" w:fill="auto"/>
          </w:tcPr>
          <w:p w:rsidR="00371449" w:rsidRPr="00414E19" w:rsidRDefault="0072797E" w:rsidP="00BA5DE8">
            <w:pPr>
              <w:jc w:val="right"/>
              <w:rPr>
                <w:b/>
              </w:rPr>
            </w:pPr>
            <w:r w:rsidRPr="00414E19">
              <w:rPr>
                <w:b/>
              </w:rPr>
              <w:t>23</w:t>
            </w:r>
            <w:r w:rsidRPr="00414E19">
              <w:rPr>
                <w:b/>
                <w:vertAlign w:val="superscript"/>
              </w:rPr>
              <w:t>rd</w:t>
            </w:r>
            <w:r w:rsidRPr="00414E19">
              <w:rPr>
                <w:b/>
              </w:rPr>
              <w:t xml:space="preserve"> </w:t>
            </w:r>
            <w:r w:rsidR="00DD112E" w:rsidRPr="00414E19">
              <w:rPr>
                <w:b/>
              </w:rPr>
              <w:t>Appellant</w:t>
            </w:r>
            <w:r w:rsidR="00371449" w:rsidRPr="00414E19">
              <w:rPr>
                <w:b/>
              </w:rPr>
              <w:t xml:space="preserve"> (Appellant in</w:t>
            </w:r>
          </w:p>
          <w:p w:rsidR="0072797E" w:rsidRPr="00414E19" w:rsidRDefault="0072797E" w:rsidP="00BA5DE8">
            <w:pPr>
              <w:jc w:val="right"/>
              <w:rPr>
                <w:b/>
              </w:rPr>
            </w:pPr>
            <w:r w:rsidRPr="00414E19">
              <w:rPr>
                <w:b/>
              </w:rPr>
              <w:t>HCMA 405/2018)</w:t>
            </w:r>
          </w:p>
        </w:tc>
      </w:tr>
      <w:tr w:rsidR="0072797E" w:rsidRPr="00414E19" w:rsidTr="00F730F6">
        <w:trPr>
          <w:trHeight w:val="576"/>
        </w:trPr>
        <w:tc>
          <w:tcPr>
            <w:tcW w:w="2694" w:type="dxa"/>
            <w:gridSpan w:val="2"/>
            <w:shd w:val="clear" w:color="auto" w:fill="auto"/>
          </w:tcPr>
          <w:p w:rsidR="0072797E" w:rsidRPr="00414E19" w:rsidRDefault="0072797E" w:rsidP="00BA5DE8">
            <w:pPr>
              <w:rPr>
                <w:b/>
                <w:color w:val="000000"/>
              </w:rPr>
            </w:pPr>
          </w:p>
        </w:tc>
        <w:tc>
          <w:tcPr>
            <w:tcW w:w="3606" w:type="dxa"/>
            <w:shd w:val="clear" w:color="auto" w:fill="auto"/>
          </w:tcPr>
          <w:p w:rsidR="0072797E" w:rsidRPr="00414E19" w:rsidRDefault="0072797E" w:rsidP="00BA5DE8">
            <w:pPr>
              <w:widowControl w:val="0"/>
              <w:autoSpaceDE w:val="0"/>
              <w:autoSpaceDN w:val="0"/>
              <w:adjustRightInd w:val="0"/>
              <w:jc w:val="center"/>
              <w:textAlignment w:val="baseline"/>
              <w:rPr>
                <w:b/>
                <w:kern w:val="2"/>
              </w:rPr>
            </w:pPr>
            <w:r w:rsidRPr="00414E19">
              <w:rPr>
                <w:b/>
                <w:kern w:val="2"/>
              </w:rPr>
              <w:t>CHICK WAI HO</w:t>
            </w:r>
          </w:p>
        </w:tc>
        <w:tc>
          <w:tcPr>
            <w:tcW w:w="2772" w:type="dxa"/>
            <w:gridSpan w:val="4"/>
            <w:shd w:val="clear" w:color="auto" w:fill="auto"/>
          </w:tcPr>
          <w:p w:rsidR="00371449" w:rsidRPr="00414E19" w:rsidRDefault="0072797E" w:rsidP="00BA5DE8">
            <w:pPr>
              <w:jc w:val="right"/>
              <w:rPr>
                <w:b/>
              </w:rPr>
            </w:pPr>
            <w:r w:rsidRPr="00414E19">
              <w:rPr>
                <w:b/>
              </w:rPr>
              <w:t>24</w:t>
            </w:r>
            <w:r w:rsidRPr="00414E19">
              <w:rPr>
                <w:b/>
                <w:vertAlign w:val="superscript"/>
              </w:rPr>
              <w:t>th</w:t>
            </w:r>
            <w:r w:rsidRPr="00414E19">
              <w:rPr>
                <w:b/>
              </w:rPr>
              <w:t xml:space="preserve"> </w:t>
            </w:r>
            <w:r w:rsidR="00DD112E" w:rsidRPr="00414E19">
              <w:rPr>
                <w:b/>
              </w:rPr>
              <w:t>Appellant</w:t>
            </w:r>
            <w:r w:rsidR="00371449" w:rsidRPr="00414E19">
              <w:rPr>
                <w:b/>
              </w:rPr>
              <w:t xml:space="preserve"> (Appellant in</w:t>
            </w:r>
          </w:p>
          <w:p w:rsidR="0072797E" w:rsidRPr="00414E19" w:rsidRDefault="0072797E" w:rsidP="00BA5DE8">
            <w:pPr>
              <w:jc w:val="right"/>
              <w:rPr>
                <w:b/>
              </w:rPr>
            </w:pPr>
            <w:r w:rsidRPr="00414E19">
              <w:rPr>
                <w:b/>
              </w:rPr>
              <w:t>HCMA 415/2018)</w:t>
            </w:r>
          </w:p>
        </w:tc>
      </w:tr>
    </w:tbl>
    <w:p w:rsidR="00697CE2" w:rsidRPr="00414E19" w:rsidRDefault="00697CE2" w:rsidP="008302C8">
      <w:pPr>
        <w:pStyle w:val="MF"/>
        <w:tabs>
          <w:tab w:val="clear" w:pos="1440"/>
          <w:tab w:val="clear" w:pos="4320"/>
          <w:tab w:val="clear" w:pos="8280"/>
          <w:tab w:val="clear" w:pos="9000"/>
        </w:tabs>
        <w:rPr>
          <w:szCs w:val="28"/>
          <w:lang w:eastAsia="zh-TW"/>
        </w:rPr>
      </w:pPr>
      <w:r w:rsidRPr="00414E19">
        <w:rPr>
          <w:szCs w:val="28"/>
        </w:rPr>
        <w:t>_____________</w:t>
      </w:r>
      <w:r w:rsidR="00B11E75" w:rsidRPr="00414E19">
        <w:rPr>
          <w:szCs w:val="28"/>
        </w:rPr>
        <w:t>__</w:t>
      </w:r>
      <w:r w:rsidRPr="00414E19">
        <w:rPr>
          <w:szCs w:val="28"/>
        </w:rPr>
        <w:t>__________</w:t>
      </w:r>
    </w:p>
    <w:p w:rsidR="008C0B20" w:rsidRPr="00414E19" w:rsidRDefault="008C0B20" w:rsidP="008C0B20">
      <w:pPr>
        <w:spacing w:before="120"/>
        <w:rPr>
          <w:bCs/>
          <w:sz w:val="28"/>
          <w:szCs w:val="28"/>
        </w:rPr>
      </w:pPr>
    </w:p>
    <w:p w:rsidR="00B11E75" w:rsidRPr="00414E19" w:rsidRDefault="00B11E75" w:rsidP="008C0B20">
      <w:pPr>
        <w:pStyle w:val="Bob1"/>
        <w:numPr>
          <w:ilvl w:val="0"/>
          <w:numId w:val="0"/>
        </w:numPr>
        <w:spacing w:before="120" w:after="0" w:line="240" w:lineRule="auto"/>
        <w:ind w:left="720" w:hanging="720"/>
        <w:rPr>
          <w:b/>
        </w:rPr>
      </w:pPr>
    </w:p>
    <w:tbl>
      <w:tblPr>
        <w:tblW w:w="9214" w:type="dxa"/>
        <w:tblInd w:w="108" w:type="dxa"/>
        <w:tblLook w:val="0000" w:firstRow="0" w:lastRow="0" w:firstColumn="0" w:lastColumn="0" w:noHBand="0" w:noVBand="0"/>
      </w:tblPr>
      <w:tblGrid>
        <w:gridCol w:w="2772"/>
        <w:gridCol w:w="6442"/>
      </w:tblGrid>
      <w:tr w:rsidR="008C0B20" w:rsidRPr="00414E19" w:rsidTr="009D0202">
        <w:trPr>
          <w:trHeight w:val="1062"/>
        </w:trPr>
        <w:tc>
          <w:tcPr>
            <w:tcW w:w="2772" w:type="dxa"/>
          </w:tcPr>
          <w:p w:rsidR="008C0B20" w:rsidRPr="00414E19" w:rsidRDefault="008C0B20" w:rsidP="006657B5">
            <w:pPr>
              <w:ind w:left="-15" w:right="-180"/>
              <w:rPr>
                <w:sz w:val="28"/>
                <w:szCs w:val="28"/>
              </w:rPr>
            </w:pPr>
            <w:r w:rsidRPr="00414E19">
              <w:rPr>
                <w:sz w:val="28"/>
                <w:szCs w:val="28"/>
              </w:rPr>
              <w:t>Before:</w:t>
            </w:r>
          </w:p>
        </w:tc>
        <w:tc>
          <w:tcPr>
            <w:tcW w:w="6442" w:type="dxa"/>
          </w:tcPr>
          <w:p w:rsidR="008C0B20" w:rsidRPr="00414E19" w:rsidRDefault="008C0B20" w:rsidP="006657B5">
            <w:pPr>
              <w:rPr>
                <w:sz w:val="28"/>
                <w:szCs w:val="28"/>
              </w:rPr>
            </w:pPr>
            <w:r w:rsidRPr="00414E19">
              <w:rPr>
                <w:sz w:val="28"/>
                <w:szCs w:val="28"/>
              </w:rPr>
              <w:t xml:space="preserve">Chief Justice Ma, </w:t>
            </w:r>
            <w:proofErr w:type="spellStart"/>
            <w:r w:rsidRPr="00414E19">
              <w:rPr>
                <w:sz w:val="28"/>
                <w:szCs w:val="28"/>
              </w:rPr>
              <w:t>Mr</w:t>
            </w:r>
            <w:proofErr w:type="spellEnd"/>
            <w:r w:rsidRPr="00414E19">
              <w:rPr>
                <w:sz w:val="28"/>
                <w:szCs w:val="28"/>
              </w:rPr>
              <w:t xml:space="preserve"> Justice Ribeiro PJ,</w:t>
            </w:r>
          </w:p>
          <w:p w:rsidR="008C0B20" w:rsidRPr="00414E19" w:rsidRDefault="008C0B20" w:rsidP="006657B5">
            <w:pPr>
              <w:rPr>
                <w:sz w:val="28"/>
                <w:szCs w:val="28"/>
              </w:rPr>
            </w:pPr>
            <w:proofErr w:type="spellStart"/>
            <w:r w:rsidRPr="00414E19">
              <w:rPr>
                <w:sz w:val="28"/>
                <w:szCs w:val="28"/>
              </w:rPr>
              <w:t>Mr</w:t>
            </w:r>
            <w:proofErr w:type="spellEnd"/>
            <w:r w:rsidRPr="00414E19">
              <w:rPr>
                <w:sz w:val="28"/>
                <w:szCs w:val="28"/>
              </w:rPr>
              <w:t xml:space="preserve"> Justice </w:t>
            </w:r>
            <w:proofErr w:type="spellStart"/>
            <w:r w:rsidRPr="00414E19">
              <w:rPr>
                <w:sz w:val="28"/>
                <w:szCs w:val="28"/>
              </w:rPr>
              <w:t>Fok</w:t>
            </w:r>
            <w:proofErr w:type="spellEnd"/>
            <w:r w:rsidRPr="00414E19">
              <w:rPr>
                <w:sz w:val="28"/>
                <w:szCs w:val="28"/>
              </w:rPr>
              <w:t xml:space="preserve"> PJ</w:t>
            </w:r>
            <w:r w:rsidR="00BB0306" w:rsidRPr="00414E19">
              <w:rPr>
                <w:sz w:val="28"/>
                <w:szCs w:val="28"/>
              </w:rPr>
              <w:t>,</w:t>
            </w:r>
            <w:r w:rsidRPr="00414E19">
              <w:rPr>
                <w:sz w:val="28"/>
                <w:szCs w:val="28"/>
              </w:rPr>
              <w:t xml:space="preserve"> </w:t>
            </w:r>
            <w:proofErr w:type="spellStart"/>
            <w:r w:rsidR="00BB0306" w:rsidRPr="00414E19">
              <w:rPr>
                <w:sz w:val="28"/>
                <w:szCs w:val="28"/>
              </w:rPr>
              <w:t>Mr</w:t>
            </w:r>
            <w:proofErr w:type="spellEnd"/>
            <w:r w:rsidR="00BB0306" w:rsidRPr="00414E19">
              <w:rPr>
                <w:sz w:val="28"/>
                <w:szCs w:val="28"/>
              </w:rPr>
              <w:t xml:space="preserve"> Justice </w:t>
            </w:r>
            <w:r w:rsidR="008302C8" w:rsidRPr="00414E19">
              <w:rPr>
                <w:sz w:val="28"/>
                <w:szCs w:val="28"/>
              </w:rPr>
              <w:t>Ch</w:t>
            </w:r>
            <w:r w:rsidR="00E92B69" w:rsidRPr="00414E19">
              <w:rPr>
                <w:sz w:val="28"/>
                <w:szCs w:val="28"/>
              </w:rPr>
              <w:t xml:space="preserve">eung </w:t>
            </w:r>
            <w:r w:rsidR="00BB0306" w:rsidRPr="00414E19">
              <w:rPr>
                <w:sz w:val="28"/>
                <w:szCs w:val="28"/>
              </w:rPr>
              <w:t xml:space="preserve">PJ </w:t>
            </w:r>
            <w:r w:rsidRPr="00414E19">
              <w:rPr>
                <w:sz w:val="28"/>
                <w:szCs w:val="28"/>
              </w:rPr>
              <w:t>and</w:t>
            </w:r>
          </w:p>
          <w:p w:rsidR="008C0B20" w:rsidRPr="00414E19" w:rsidRDefault="00E92B69" w:rsidP="00B11E75">
            <w:pPr>
              <w:rPr>
                <w:sz w:val="28"/>
                <w:szCs w:val="28"/>
              </w:rPr>
            </w:pPr>
            <w:r w:rsidRPr="00414E19">
              <w:rPr>
                <w:sz w:val="28"/>
                <w:szCs w:val="28"/>
              </w:rPr>
              <w:t xml:space="preserve">Lord </w:t>
            </w:r>
            <w:proofErr w:type="spellStart"/>
            <w:r w:rsidRPr="00414E19">
              <w:rPr>
                <w:sz w:val="28"/>
                <w:szCs w:val="28"/>
              </w:rPr>
              <w:t>Sumption</w:t>
            </w:r>
            <w:proofErr w:type="spellEnd"/>
            <w:r w:rsidR="008302C8" w:rsidRPr="00414E19">
              <w:rPr>
                <w:sz w:val="28"/>
                <w:szCs w:val="28"/>
              </w:rPr>
              <w:t xml:space="preserve"> </w:t>
            </w:r>
            <w:r w:rsidR="00DA3E55" w:rsidRPr="00414E19">
              <w:rPr>
                <w:sz w:val="28"/>
                <w:szCs w:val="28"/>
              </w:rPr>
              <w:t>NPJ</w:t>
            </w:r>
          </w:p>
          <w:p w:rsidR="00DA3E55" w:rsidRPr="00414E19" w:rsidRDefault="00DA3E55" w:rsidP="00B11E75">
            <w:pPr>
              <w:rPr>
                <w:sz w:val="28"/>
                <w:szCs w:val="28"/>
              </w:rPr>
            </w:pPr>
          </w:p>
        </w:tc>
      </w:tr>
      <w:tr w:rsidR="008C0B20" w:rsidRPr="00414E19" w:rsidTr="009D0202">
        <w:trPr>
          <w:trHeight w:val="720"/>
        </w:trPr>
        <w:tc>
          <w:tcPr>
            <w:tcW w:w="2772" w:type="dxa"/>
          </w:tcPr>
          <w:p w:rsidR="00880080" w:rsidRPr="00414E19" w:rsidRDefault="008C0B20" w:rsidP="00DA3E55">
            <w:pPr>
              <w:adjustRightInd w:val="0"/>
              <w:snapToGrid w:val="0"/>
              <w:ind w:left="-14" w:right="-187"/>
              <w:jc w:val="left"/>
              <w:rPr>
                <w:sz w:val="28"/>
                <w:szCs w:val="28"/>
              </w:rPr>
            </w:pPr>
            <w:r w:rsidRPr="00414E19">
              <w:rPr>
                <w:sz w:val="28"/>
                <w:szCs w:val="28"/>
              </w:rPr>
              <w:t>Date</w:t>
            </w:r>
            <w:r w:rsidR="00DA3E55" w:rsidRPr="00414E19">
              <w:rPr>
                <w:sz w:val="28"/>
                <w:szCs w:val="28"/>
              </w:rPr>
              <w:t xml:space="preserve"> of Hearing</w:t>
            </w:r>
            <w:r w:rsidR="00AD430D" w:rsidRPr="00414E19">
              <w:rPr>
                <w:sz w:val="28"/>
                <w:szCs w:val="28"/>
              </w:rPr>
              <w:t>:</w:t>
            </w:r>
          </w:p>
        </w:tc>
        <w:tc>
          <w:tcPr>
            <w:tcW w:w="6442" w:type="dxa"/>
          </w:tcPr>
          <w:p w:rsidR="008C0B20" w:rsidRPr="00414E19" w:rsidRDefault="00E92B69" w:rsidP="008302C8">
            <w:pPr>
              <w:adjustRightInd w:val="0"/>
              <w:snapToGrid w:val="0"/>
              <w:jc w:val="left"/>
              <w:rPr>
                <w:sz w:val="28"/>
                <w:szCs w:val="28"/>
              </w:rPr>
            </w:pPr>
            <w:r w:rsidRPr="00414E19">
              <w:rPr>
                <w:sz w:val="28"/>
                <w:szCs w:val="28"/>
              </w:rPr>
              <w:t>1 September</w:t>
            </w:r>
            <w:r w:rsidR="00DA3E55" w:rsidRPr="00414E19">
              <w:rPr>
                <w:sz w:val="28"/>
                <w:szCs w:val="28"/>
              </w:rPr>
              <w:t xml:space="preserve"> 20</w:t>
            </w:r>
            <w:r w:rsidR="008302C8" w:rsidRPr="00414E19">
              <w:rPr>
                <w:sz w:val="28"/>
                <w:szCs w:val="28"/>
              </w:rPr>
              <w:t>20</w:t>
            </w:r>
          </w:p>
        </w:tc>
      </w:tr>
      <w:tr w:rsidR="008C0B20" w:rsidRPr="00414E19" w:rsidTr="009D0202">
        <w:trPr>
          <w:trHeight w:val="720"/>
        </w:trPr>
        <w:tc>
          <w:tcPr>
            <w:tcW w:w="2772" w:type="dxa"/>
          </w:tcPr>
          <w:p w:rsidR="008C0B20" w:rsidRPr="00414E19" w:rsidRDefault="008C0B20" w:rsidP="00456116">
            <w:pPr>
              <w:ind w:left="-15" w:right="-180"/>
              <w:jc w:val="left"/>
              <w:rPr>
                <w:sz w:val="28"/>
                <w:szCs w:val="28"/>
              </w:rPr>
            </w:pPr>
            <w:r w:rsidRPr="00414E19">
              <w:rPr>
                <w:sz w:val="28"/>
                <w:szCs w:val="28"/>
              </w:rPr>
              <w:t xml:space="preserve">Date of Judgment: </w:t>
            </w:r>
          </w:p>
          <w:p w:rsidR="00880080" w:rsidRPr="00414E19" w:rsidRDefault="00880080" w:rsidP="00456116">
            <w:pPr>
              <w:ind w:left="-15" w:right="-180"/>
              <w:jc w:val="left"/>
              <w:rPr>
                <w:sz w:val="28"/>
                <w:szCs w:val="28"/>
              </w:rPr>
            </w:pPr>
          </w:p>
        </w:tc>
        <w:tc>
          <w:tcPr>
            <w:tcW w:w="6442" w:type="dxa"/>
          </w:tcPr>
          <w:p w:rsidR="008C0B20" w:rsidRPr="00414E19" w:rsidRDefault="004B3940" w:rsidP="004B3940">
            <w:pPr>
              <w:jc w:val="left"/>
              <w:rPr>
                <w:sz w:val="28"/>
                <w:szCs w:val="28"/>
              </w:rPr>
            </w:pPr>
            <w:r w:rsidRPr="00414E19">
              <w:rPr>
                <w:sz w:val="28"/>
                <w:szCs w:val="28"/>
              </w:rPr>
              <w:t>1</w:t>
            </w:r>
            <w:r w:rsidR="00BB0306" w:rsidRPr="00414E19">
              <w:rPr>
                <w:sz w:val="28"/>
                <w:szCs w:val="28"/>
              </w:rPr>
              <w:t xml:space="preserve"> </w:t>
            </w:r>
            <w:r w:rsidR="00E92B69" w:rsidRPr="00414E19">
              <w:rPr>
                <w:sz w:val="28"/>
                <w:szCs w:val="28"/>
              </w:rPr>
              <w:t xml:space="preserve">September </w:t>
            </w:r>
            <w:r w:rsidR="008302C8" w:rsidRPr="00414E19">
              <w:rPr>
                <w:sz w:val="28"/>
                <w:szCs w:val="28"/>
              </w:rPr>
              <w:t>2020</w:t>
            </w:r>
          </w:p>
        </w:tc>
      </w:tr>
      <w:tr w:rsidR="004B3940" w:rsidRPr="00414E19" w:rsidTr="009D0202">
        <w:trPr>
          <w:trHeight w:val="720"/>
        </w:trPr>
        <w:tc>
          <w:tcPr>
            <w:tcW w:w="2772" w:type="dxa"/>
          </w:tcPr>
          <w:p w:rsidR="004B3940" w:rsidRPr="00414E19" w:rsidRDefault="004B3940" w:rsidP="00456116">
            <w:pPr>
              <w:ind w:left="-15" w:right="-180"/>
              <w:jc w:val="left"/>
              <w:rPr>
                <w:sz w:val="28"/>
                <w:szCs w:val="28"/>
              </w:rPr>
            </w:pPr>
            <w:r w:rsidRPr="00414E19">
              <w:rPr>
                <w:sz w:val="28"/>
                <w:szCs w:val="28"/>
                <w:lang w:eastAsia="zh-CN"/>
              </w:rPr>
              <w:t>Date of Reasons for Judgment:</w:t>
            </w:r>
          </w:p>
        </w:tc>
        <w:tc>
          <w:tcPr>
            <w:tcW w:w="6442" w:type="dxa"/>
          </w:tcPr>
          <w:p w:rsidR="004B3940" w:rsidRPr="00414E19" w:rsidRDefault="004B3940" w:rsidP="004B3940">
            <w:pPr>
              <w:jc w:val="left"/>
              <w:rPr>
                <w:sz w:val="28"/>
                <w:szCs w:val="28"/>
                <w:lang w:eastAsia="zh-CN"/>
              </w:rPr>
            </w:pPr>
          </w:p>
          <w:p w:rsidR="004B3940" w:rsidRPr="00414E19" w:rsidRDefault="00036F13" w:rsidP="004B3940">
            <w:pPr>
              <w:jc w:val="left"/>
              <w:rPr>
                <w:sz w:val="28"/>
                <w:szCs w:val="28"/>
              </w:rPr>
            </w:pPr>
            <w:r>
              <w:rPr>
                <w:sz w:val="28"/>
                <w:szCs w:val="28"/>
                <w:lang w:eastAsia="zh-CN"/>
              </w:rPr>
              <w:t>23</w:t>
            </w:r>
            <w:bookmarkStart w:id="0" w:name="_GoBack"/>
            <w:bookmarkEnd w:id="0"/>
            <w:r w:rsidR="004B3940" w:rsidRPr="00036F13">
              <w:rPr>
                <w:sz w:val="28"/>
                <w:szCs w:val="28"/>
                <w:lang w:eastAsia="zh-CN"/>
              </w:rPr>
              <w:t xml:space="preserve"> </w:t>
            </w:r>
            <w:r w:rsidR="004B3940" w:rsidRPr="00414E19">
              <w:rPr>
                <w:sz w:val="28"/>
                <w:szCs w:val="28"/>
              </w:rPr>
              <w:t>September</w:t>
            </w:r>
            <w:r w:rsidR="004B3940" w:rsidRPr="00414E19">
              <w:rPr>
                <w:sz w:val="28"/>
                <w:szCs w:val="28"/>
                <w:lang w:eastAsia="zh-CN"/>
              </w:rPr>
              <w:t xml:space="preserve"> 2020</w:t>
            </w:r>
          </w:p>
        </w:tc>
      </w:tr>
    </w:tbl>
    <w:p w:rsidR="008C0B20" w:rsidRPr="00414E19" w:rsidRDefault="008C0B20" w:rsidP="008C0B20">
      <w:pPr>
        <w:spacing w:before="120"/>
        <w:rPr>
          <w:b/>
          <w:sz w:val="28"/>
          <w:szCs w:val="28"/>
        </w:rPr>
      </w:pPr>
    </w:p>
    <w:tbl>
      <w:tblPr>
        <w:tblW w:w="9214" w:type="dxa"/>
        <w:tblInd w:w="108" w:type="dxa"/>
        <w:tblLook w:val="04A0" w:firstRow="1" w:lastRow="0" w:firstColumn="1" w:lastColumn="0" w:noHBand="0" w:noVBand="1"/>
      </w:tblPr>
      <w:tblGrid>
        <w:gridCol w:w="2160"/>
        <w:gridCol w:w="4678"/>
        <w:gridCol w:w="2376"/>
      </w:tblGrid>
      <w:tr w:rsidR="008C0B20" w:rsidRPr="00414E19" w:rsidTr="004B3940">
        <w:trPr>
          <w:trHeight w:val="864"/>
        </w:trPr>
        <w:tc>
          <w:tcPr>
            <w:tcW w:w="2160" w:type="dxa"/>
            <w:shd w:val="clear" w:color="auto" w:fill="auto"/>
            <w:vAlign w:val="center"/>
          </w:tcPr>
          <w:p w:rsidR="008C0B20" w:rsidRPr="00414E19" w:rsidRDefault="008C0B20" w:rsidP="006657B5">
            <w:pPr>
              <w:ind w:left="-15" w:right="-180"/>
              <w:rPr>
                <w:b/>
                <w:bCs/>
                <w:sz w:val="28"/>
                <w:szCs w:val="28"/>
              </w:rPr>
            </w:pPr>
          </w:p>
        </w:tc>
        <w:tc>
          <w:tcPr>
            <w:tcW w:w="4678" w:type="dxa"/>
            <w:tcBorders>
              <w:top w:val="single" w:sz="4" w:space="0" w:color="auto"/>
              <w:bottom w:val="single" w:sz="4" w:space="0" w:color="auto"/>
            </w:tcBorders>
            <w:shd w:val="clear" w:color="auto" w:fill="auto"/>
            <w:vAlign w:val="center"/>
          </w:tcPr>
          <w:p w:rsidR="008C0B20" w:rsidRPr="00414E19" w:rsidRDefault="004B3940" w:rsidP="006657B5">
            <w:pPr>
              <w:spacing w:before="120" w:after="120"/>
              <w:jc w:val="center"/>
              <w:rPr>
                <w:b/>
                <w:bCs/>
                <w:sz w:val="28"/>
                <w:szCs w:val="28"/>
              </w:rPr>
            </w:pPr>
            <w:r w:rsidRPr="00414E19">
              <w:rPr>
                <w:b/>
                <w:bCs/>
                <w:spacing w:val="40"/>
                <w:sz w:val="28"/>
                <w:szCs w:val="28"/>
              </w:rPr>
              <w:t xml:space="preserve">REASONS FOR </w:t>
            </w:r>
            <w:r w:rsidR="008C0B20" w:rsidRPr="00414E19">
              <w:rPr>
                <w:b/>
                <w:bCs/>
                <w:spacing w:val="40"/>
                <w:sz w:val="28"/>
                <w:szCs w:val="28"/>
              </w:rPr>
              <w:t>JUDGMENT</w:t>
            </w:r>
          </w:p>
        </w:tc>
        <w:tc>
          <w:tcPr>
            <w:tcW w:w="2376" w:type="dxa"/>
            <w:shd w:val="clear" w:color="auto" w:fill="auto"/>
            <w:vAlign w:val="center"/>
          </w:tcPr>
          <w:p w:rsidR="008C0B20" w:rsidRPr="00414E19" w:rsidRDefault="008C0B20" w:rsidP="006657B5">
            <w:pPr>
              <w:rPr>
                <w:b/>
                <w:bCs/>
                <w:sz w:val="28"/>
                <w:szCs w:val="28"/>
              </w:rPr>
            </w:pPr>
          </w:p>
        </w:tc>
      </w:tr>
    </w:tbl>
    <w:p w:rsidR="00AA6D0D" w:rsidRPr="00414E19" w:rsidRDefault="00AA6D0D" w:rsidP="00AA6D0D">
      <w:pPr>
        <w:adjustRightInd w:val="0"/>
        <w:snapToGrid w:val="0"/>
        <w:spacing w:before="120" w:after="120" w:line="360" w:lineRule="auto"/>
        <w:outlineLvl w:val="0"/>
        <w:rPr>
          <w:sz w:val="28"/>
          <w:szCs w:val="28"/>
        </w:rPr>
      </w:pPr>
    </w:p>
    <w:p w:rsidR="00340DA7" w:rsidRPr="00414E19" w:rsidRDefault="00340DA7" w:rsidP="00340DA7">
      <w:pPr>
        <w:snapToGrid w:val="0"/>
        <w:spacing w:before="120" w:after="240" w:line="360" w:lineRule="auto"/>
        <w:rPr>
          <w:sz w:val="28"/>
          <w:szCs w:val="28"/>
        </w:rPr>
      </w:pPr>
      <w:r w:rsidRPr="00414E19">
        <w:rPr>
          <w:sz w:val="28"/>
          <w:szCs w:val="28"/>
        </w:rPr>
        <w:t>Chief Justice Ma:</w:t>
      </w:r>
    </w:p>
    <w:p w:rsidR="00340DA7" w:rsidRPr="00414E19" w:rsidRDefault="00340DA7" w:rsidP="00340DA7">
      <w:pPr>
        <w:pStyle w:val="ListParagraph"/>
        <w:numPr>
          <w:ilvl w:val="0"/>
          <w:numId w:val="1"/>
        </w:numPr>
        <w:tabs>
          <w:tab w:val="left" w:pos="1440"/>
        </w:tabs>
        <w:snapToGrid w:val="0"/>
        <w:spacing w:before="120" w:after="360" w:line="360" w:lineRule="auto"/>
        <w:ind w:left="0" w:firstLine="0"/>
        <w:contextualSpacing w:val="0"/>
        <w:rPr>
          <w:sz w:val="28"/>
          <w:szCs w:val="28"/>
        </w:rPr>
      </w:pPr>
      <w:r w:rsidRPr="00414E19">
        <w:rPr>
          <w:sz w:val="28"/>
          <w:szCs w:val="28"/>
        </w:rPr>
        <w:t xml:space="preserve">I agree with the Reasons for Judgment of </w:t>
      </w:r>
      <w:proofErr w:type="spellStart"/>
      <w:r w:rsidRPr="00414E19">
        <w:rPr>
          <w:sz w:val="28"/>
          <w:szCs w:val="28"/>
        </w:rPr>
        <w:t>Mr</w:t>
      </w:r>
      <w:proofErr w:type="spellEnd"/>
      <w:r w:rsidRPr="00414E19">
        <w:rPr>
          <w:sz w:val="28"/>
          <w:szCs w:val="28"/>
        </w:rPr>
        <w:t xml:space="preserve"> Justice </w:t>
      </w:r>
      <w:proofErr w:type="spellStart"/>
      <w:r w:rsidRPr="00414E19">
        <w:rPr>
          <w:sz w:val="28"/>
          <w:szCs w:val="28"/>
        </w:rPr>
        <w:t>Fok</w:t>
      </w:r>
      <w:proofErr w:type="spellEnd"/>
      <w:r w:rsidRPr="00414E19">
        <w:rPr>
          <w:sz w:val="28"/>
          <w:szCs w:val="28"/>
        </w:rPr>
        <w:t xml:space="preserve"> PJ.</w:t>
      </w:r>
    </w:p>
    <w:p w:rsidR="00340DA7" w:rsidRPr="00414E19" w:rsidRDefault="00340DA7" w:rsidP="00340DA7">
      <w:pPr>
        <w:snapToGrid w:val="0"/>
        <w:spacing w:before="120" w:after="240" w:line="360" w:lineRule="auto"/>
        <w:rPr>
          <w:sz w:val="28"/>
          <w:szCs w:val="28"/>
        </w:rPr>
      </w:pPr>
      <w:proofErr w:type="spellStart"/>
      <w:r w:rsidRPr="00414E19">
        <w:rPr>
          <w:sz w:val="28"/>
          <w:szCs w:val="28"/>
        </w:rPr>
        <w:t>Mr</w:t>
      </w:r>
      <w:proofErr w:type="spellEnd"/>
      <w:r w:rsidRPr="00414E19">
        <w:rPr>
          <w:sz w:val="28"/>
          <w:szCs w:val="28"/>
        </w:rPr>
        <w:t xml:space="preserve"> Justice Ribeiro PJ:</w:t>
      </w:r>
    </w:p>
    <w:p w:rsidR="00340DA7" w:rsidRPr="00414E19" w:rsidRDefault="00340DA7" w:rsidP="00340DA7">
      <w:pPr>
        <w:pStyle w:val="ListParagraph"/>
        <w:numPr>
          <w:ilvl w:val="0"/>
          <w:numId w:val="1"/>
        </w:numPr>
        <w:tabs>
          <w:tab w:val="left" w:pos="1440"/>
        </w:tabs>
        <w:snapToGrid w:val="0"/>
        <w:spacing w:before="120" w:after="360" w:line="360" w:lineRule="auto"/>
        <w:ind w:left="0" w:firstLine="0"/>
        <w:contextualSpacing w:val="0"/>
        <w:rPr>
          <w:sz w:val="28"/>
          <w:szCs w:val="28"/>
        </w:rPr>
      </w:pPr>
      <w:r w:rsidRPr="00414E19">
        <w:rPr>
          <w:sz w:val="28"/>
          <w:szCs w:val="28"/>
        </w:rPr>
        <w:t xml:space="preserve">I agree with the Reasons for Judgment of </w:t>
      </w:r>
      <w:proofErr w:type="spellStart"/>
      <w:r w:rsidRPr="00414E19">
        <w:rPr>
          <w:sz w:val="28"/>
          <w:szCs w:val="28"/>
        </w:rPr>
        <w:t>Mr</w:t>
      </w:r>
      <w:proofErr w:type="spellEnd"/>
      <w:r w:rsidRPr="00414E19">
        <w:rPr>
          <w:sz w:val="28"/>
          <w:szCs w:val="28"/>
        </w:rPr>
        <w:t xml:space="preserve"> Justice </w:t>
      </w:r>
      <w:proofErr w:type="spellStart"/>
      <w:r w:rsidRPr="00414E19">
        <w:rPr>
          <w:sz w:val="28"/>
          <w:szCs w:val="28"/>
        </w:rPr>
        <w:t>Fok</w:t>
      </w:r>
      <w:proofErr w:type="spellEnd"/>
      <w:r w:rsidRPr="00414E19">
        <w:rPr>
          <w:sz w:val="28"/>
          <w:szCs w:val="28"/>
        </w:rPr>
        <w:t xml:space="preserve"> PJ.</w:t>
      </w:r>
    </w:p>
    <w:p w:rsidR="00340DA7" w:rsidRPr="00414E19" w:rsidRDefault="00340DA7" w:rsidP="00340DA7">
      <w:pPr>
        <w:snapToGrid w:val="0"/>
        <w:spacing w:before="120" w:after="240" w:line="360" w:lineRule="auto"/>
        <w:rPr>
          <w:sz w:val="28"/>
          <w:szCs w:val="28"/>
        </w:rPr>
      </w:pPr>
      <w:proofErr w:type="spellStart"/>
      <w:r w:rsidRPr="00414E19">
        <w:rPr>
          <w:sz w:val="28"/>
          <w:szCs w:val="28"/>
        </w:rPr>
        <w:t>Mr</w:t>
      </w:r>
      <w:proofErr w:type="spellEnd"/>
      <w:r w:rsidRPr="00414E19">
        <w:rPr>
          <w:sz w:val="28"/>
          <w:szCs w:val="28"/>
        </w:rPr>
        <w:t xml:space="preserve"> Justice </w:t>
      </w:r>
      <w:proofErr w:type="spellStart"/>
      <w:r w:rsidRPr="00414E19">
        <w:rPr>
          <w:sz w:val="28"/>
          <w:szCs w:val="28"/>
        </w:rPr>
        <w:t>Fok</w:t>
      </w:r>
      <w:proofErr w:type="spellEnd"/>
      <w:r w:rsidRPr="00414E19">
        <w:rPr>
          <w:sz w:val="28"/>
          <w:szCs w:val="28"/>
        </w:rPr>
        <w:t xml:space="preserve"> PJ:</w:t>
      </w:r>
    </w:p>
    <w:p w:rsidR="00340DA7" w:rsidRPr="00414E19" w:rsidRDefault="00340DA7" w:rsidP="00340DA7">
      <w:pPr>
        <w:tabs>
          <w:tab w:val="left" w:pos="720"/>
        </w:tabs>
        <w:snapToGrid w:val="0"/>
        <w:spacing w:before="120" w:after="240" w:line="360" w:lineRule="auto"/>
        <w:outlineLvl w:val="0"/>
        <w:rPr>
          <w:b/>
          <w:sz w:val="28"/>
          <w:szCs w:val="28"/>
        </w:rPr>
      </w:pPr>
      <w:r w:rsidRPr="00414E19">
        <w:rPr>
          <w:b/>
          <w:i/>
          <w:sz w:val="28"/>
          <w:szCs w:val="28"/>
        </w:rPr>
        <w:t>A.</w:t>
      </w:r>
      <w:r w:rsidRPr="00414E19">
        <w:rPr>
          <w:b/>
          <w:i/>
          <w:sz w:val="28"/>
          <w:szCs w:val="28"/>
        </w:rPr>
        <w:tab/>
        <w:t>Introduction</w:t>
      </w:r>
    </w:p>
    <w:p w:rsidR="00340DA7" w:rsidRPr="00414E19" w:rsidRDefault="00340DA7" w:rsidP="00340DA7">
      <w:pPr>
        <w:pStyle w:val="ListParagraph"/>
        <w:numPr>
          <w:ilvl w:val="0"/>
          <w:numId w:val="1"/>
        </w:numPr>
        <w:tabs>
          <w:tab w:val="left" w:pos="1440"/>
        </w:tabs>
        <w:snapToGrid w:val="0"/>
        <w:spacing w:before="120" w:after="360" w:line="360" w:lineRule="auto"/>
        <w:ind w:left="0" w:firstLine="0"/>
        <w:contextualSpacing w:val="0"/>
        <w:rPr>
          <w:sz w:val="28"/>
          <w:szCs w:val="28"/>
        </w:rPr>
      </w:pPr>
      <w:r w:rsidRPr="00414E19">
        <w:rPr>
          <w:sz w:val="28"/>
          <w:szCs w:val="28"/>
        </w:rPr>
        <w:t xml:space="preserve">Over the past decade, a form of transport has developed in many cities around the world from the use of new computer and internet technologies, including mapping and payment software </w:t>
      </w:r>
      <w:proofErr w:type="spellStart"/>
      <w:r w:rsidRPr="00414E19">
        <w:rPr>
          <w:sz w:val="28"/>
          <w:szCs w:val="28"/>
        </w:rPr>
        <w:t>programmes</w:t>
      </w:r>
      <w:proofErr w:type="spellEnd"/>
      <w:r w:rsidRPr="00414E19">
        <w:rPr>
          <w:sz w:val="28"/>
          <w:szCs w:val="28"/>
        </w:rPr>
        <w:t xml:space="preserve">, that enable drivers of cars </w:t>
      </w:r>
      <w:r w:rsidRPr="00414E19">
        <w:rPr>
          <w:sz w:val="28"/>
          <w:szCs w:val="28"/>
        </w:rPr>
        <w:lastRenderedPageBreak/>
        <w:t>and passengers to locate one another, whether or not through third parties, and to request, provide and pay for carriage through the medium of their smartphones.  The question that arises in this appeal is whether, in this jurisdiction, drivers who carry passengers in this manner can be guilty of the offence of contravening s.52(3) of the Road Traffic Ordinance (Cap.374) (“the RTO”).  On the facts of this case, for the reasons which follow, an affirmative answer must be given to that question.  Consequently, at the hearing, after hearing counsel for the appellants, the Court dismissed the appeal for reasons to be given in due course.  These are my reasons for dismissing the appeal.</w:t>
      </w:r>
    </w:p>
    <w:p w:rsidR="00340DA7" w:rsidRPr="00414E19" w:rsidRDefault="00340DA7" w:rsidP="00340DA7">
      <w:pPr>
        <w:pStyle w:val="ListParagraph"/>
        <w:numPr>
          <w:ilvl w:val="0"/>
          <w:numId w:val="1"/>
        </w:numPr>
        <w:tabs>
          <w:tab w:val="left" w:pos="1440"/>
        </w:tabs>
        <w:snapToGrid w:val="0"/>
        <w:spacing w:before="120" w:after="240" w:line="360" w:lineRule="auto"/>
        <w:ind w:left="0" w:firstLine="0"/>
        <w:contextualSpacing w:val="0"/>
        <w:rPr>
          <w:sz w:val="28"/>
          <w:szCs w:val="28"/>
        </w:rPr>
      </w:pPr>
      <w:r w:rsidRPr="00414E19">
        <w:rPr>
          <w:sz w:val="28"/>
          <w:szCs w:val="28"/>
        </w:rPr>
        <w:t>By s.52(3) of the RTO, it is provided that:</w:t>
      </w:r>
    </w:p>
    <w:p w:rsidR="00340DA7" w:rsidRPr="00414E19" w:rsidRDefault="00340DA7" w:rsidP="00340DA7">
      <w:pPr>
        <w:pStyle w:val="ListParagraph"/>
        <w:snapToGrid w:val="0"/>
        <w:spacing w:after="120"/>
        <w:ind w:right="720"/>
        <w:contextualSpacing w:val="0"/>
        <w:rPr>
          <w:sz w:val="24"/>
          <w:szCs w:val="24"/>
        </w:rPr>
      </w:pPr>
      <w:r w:rsidRPr="00414E19">
        <w:rPr>
          <w:sz w:val="24"/>
          <w:szCs w:val="24"/>
        </w:rPr>
        <w:t>“(3)</w:t>
      </w:r>
      <w:r w:rsidRPr="00414E19">
        <w:rPr>
          <w:sz w:val="24"/>
          <w:szCs w:val="24"/>
        </w:rPr>
        <w:tab/>
        <w:t>No person shall—</w:t>
      </w:r>
    </w:p>
    <w:p w:rsidR="00340DA7" w:rsidRPr="00414E19" w:rsidRDefault="00340DA7" w:rsidP="00340DA7">
      <w:pPr>
        <w:pStyle w:val="ListParagraph"/>
        <w:tabs>
          <w:tab w:val="left" w:pos="2160"/>
        </w:tabs>
        <w:snapToGrid w:val="0"/>
        <w:spacing w:after="120"/>
        <w:ind w:left="2160" w:right="720" w:hanging="720"/>
        <w:contextualSpacing w:val="0"/>
        <w:rPr>
          <w:sz w:val="24"/>
          <w:szCs w:val="24"/>
        </w:rPr>
      </w:pPr>
      <w:r w:rsidRPr="00414E19">
        <w:rPr>
          <w:sz w:val="24"/>
          <w:szCs w:val="24"/>
        </w:rPr>
        <w:t>(a)</w:t>
      </w:r>
      <w:r w:rsidRPr="00414E19">
        <w:rPr>
          <w:sz w:val="24"/>
          <w:szCs w:val="24"/>
        </w:rPr>
        <w:tab/>
        <w:t>drive or use a motor vehicle; or</w:t>
      </w:r>
    </w:p>
    <w:p w:rsidR="00340DA7" w:rsidRPr="00414E19" w:rsidRDefault="00340DA7" w:rsidP="00340DA7">
      <w:pPr>
        <w:pStyle w:val="ListParagraph"/>
        <w:tabs>
          <w:tab w:val="left" w:pos="2160"/>
        </w:tabs>
        <w:snapToGrid w:val="0"/>
        <w:spacing w:after="120"/>
        <w:ind w:left="2160" w:right="720" w:hanging="720"/>
        <w:contextualSpacing w:val="0"/>
        <w:rPr>
          <w:sz w:val="24"/>
          <w:szCs w:val="24"/>
        </w:rPr>
      </w:pPr>
      <w:r w:rsidRPr="00414E19">
        <w:rPr>
          <w:sz w:val="24"/>
          <w:szCs w:val="24"/>
        </w:rPr>
        <w:t>(b)</w:t>
      </w:r>
      <w:r w:rsidRPr="00414E19">
        <w:rPr>
          <w:sz w:val="24"/>
          <w:szCs w:val="24"/>
        </w:rPr>
        <w:tab/>
        <w:t>suffer or permit a motor vehicle to be driven or used, for the carriage of passengers for hire or reward unless –</w:t>
      </w:r>
    </w:p>
    <w:p w:rsidR="00340DA7" w:rsidRPr="00414E19" w:rsidRDefault="00340DA7" w:rsidP="00340DA7">
      <w:pPr>
        <w:pStyle w:val="ListParagraph"/>
        <w:tabs>
          <w:tab w:val="left" w:pos="2880"/>
        </w:tabs>
        <w:snapToGrid w:val="0"/>
        <w:spacing w:after="120"/>
        <w:ind w:left="2880" w:right="720" w:hanging="720"/>
        <w:contextualSpacing w:val="0"/>
        <w:rPr>
          <w:sz w:val="24"/>
          <w:szCs w:val="24"/>
        </w:rPr>
      </w:pPr>
      <w:r w:rsidRPr="00414E19">
        <w:rPr>
          <w:sz w:val="24"/>
          <w:szCs w:val="24"/>
        </w:rPr>
        <w:t>(</w:t>
      </w:r>
      <w:proofErr w:type="spellStart"/>
      <w:r w:rsidRPr="00414E19">
        <w:rPr>
          <w:sz w:val="24"/>
          <w:szCs w:val="24"/>
        </w:rPr>
        <w:t>i</w:t>
      </w:r>
      <w:proofErr w:type="spellEnd"/>
      <w:r w:rsidRPr="00414E19">
        <w:rPr>
          <w:sz w:val="24"/>
          <w:szCs w:val="24"/>
        </w:rPr>
        <w:t>)</w:t>
      </w:r>
      <w:r w:rsidRPr="00414E19">
        <w:rPr>
          <w:sz w:val="24"/>
          <w:szCs w:val="24"/>
        </w:rPr>
        <w:tab/>
        <w:t>the vehicle is licensed as a public bus, public light bus or taxi;</w:t>
      </w:r>
    </w:p>
    <w:p w:rsidR="00340DA7" w:rsidRPr="00414E19" w:rsidRDefault="00340DA7" w:rsidP="00340DA7">
      <w:pPr>
        <w:pStyle w:val="ListParagraph"/>
        <w:tabs>
          <w:tab w:val="left" w:pos="2880"/>
        </w:tabs>
        <w:snapToGrid w:val="0"/>
        <w:spacing w:after="120"/>
        <w:ind w:left="2880" w:right="720" w:hanging="720"/>
        <w:contextualSpacing w:val="0"/>
        <w:rPr>
          <w:sz w:val="24"/>
          <w:szCs w:val="24"/>
        </w:rPr>
      </w:pPr>
      <w:r w:rsidRPr="00414E19">
        <w:rPr>
          <w:sz w:val="24"/>
          <w:szCs w:val="24"/>
        </w:rPr>
        <w:t>(ii)</w:t>
      </w:r>
      <w:r w:rsidRPr="00414E19">
        <w:rPr>
          <w:sz w:val="24"/>
          <w:szCs w:val="24"/>
        </w:rPr>
        <w:tab/>
        <w:t xml:space="preserve">the vehicle is licensed as a private bus and the passengers are students, teachers or employees of an educational institution, disabled persons, or persons employed to assist disabled persons; </w:t>
      </w:r>
    </w:p>
    <w:p w:rsidR="00340DA7" w:rsidRPr="00414E19" w:rsidRDefault="00340DA7" w:rsidP="00340DA7">
      <w:pPr>
        <w:pStyle w:val="ListParagraph"/>
        <w:tabs>
          <w:tab w:val="left" w:pos="2880"/>
        </w:tabs>
        <w:snapToGrid w:val="0"/>
        <w:spacing w:after="120"/>
        <w:ind w:left="2880" w:right="720" w:hanging="720"/>
        <w:contextualSpacing w:val="0"/>
        <w:rPr>
          <w:sz w:val="24"/>
          <w:szCs w:val="24"/>
        </w:rPr>
      </w:pPr>
      <w:r w:rsidRPr="00414E19">
        <w:rPr>
          <w:sz w:val="24"/>
          <w:szCs w:val="24"/>
        </w:rPr>
        <w:t>(</w:t>
      </w:r>
      <w:proofErr w:type="spellStart"/>
      <w:r w:rsidRPr="00414E19">
        <w:rPr>
          <w:sz w:val="24"/>
          <w:szCs w:val="24"/>
        </w:rPr>
        <w:t>iia</w:t>
      </w:r>
      <w:proofErr w:type="spellEnd"/>
      <w:r w:rsidRPr="00414E19">
        <w:rPr>
          <w:sz w:val="24"/>
          <w:szCs w:val="24"/>
        </w:rPr>
        <w:t>)</w:t>
      </w:r>
      <w:r w:rsidRPr="00414E19">
        <w:rPr>
          <w:sz w:val="24"/>
          <w:szCs w:val="24"/>
        </w:rPr>
        <w:tab/>
        <w:t>the vehicle is licensed as a private light bus and is used—</w:t>
      </w:r>
    </w:p>
    <w:p w:rsidR="00340DA7" w:rsidRPr="00414E19" w:rsidRDefault="00340DA7" w:rsidP="00340DA7">
      <w:pPr>
        <w:pStyle w:val="ListParagraph"/>
        <w:tabs>
          <w:tab w:val="left" w:pos="3600"/>
        </w:tabs>
        <w:snapToGrid w:val="0"/>
        <w:spacing w:after="120"/>
        <w:ind w:left="3600" w:right="720" w:hanging="720"/>
        <w:contextualSpacing w:val="0"/>
        <w:rPr>
          <w:sz w:val="24"/>
          <w:szCs w:val="24"/>
        </w:rPr>
      </w:pPr>
      <w:r w:rsidRPr="00414E19">
        <w:rPr>
          <w:sz w:val="24"/>
          <w:szCs w:val="24"/>
        </w:rPr>
        <w:t>(A)</w:t>
      </w:r>
      <w:r w:rsidRPr="00414E19">
        <w:rPr>
          <w:sz w:val="24"/>
          <w:szCs w:val="24"/>
        </w:rPr>
        <w:tab/>
        <w:t>as a school private light bus; or</w:t>
      </w:r>
    </w:p>
    <w:p w:rsidR="00340DA7" w:rsidRPr="00414E19" w:rsidRDefault="00340DA7" w:rsidP="00340DA7">
      <w:pPr>
        <w:pStyle w:val="ListParagraph"/>
        <w:tabs>
          <w:tab w:val="left" w:pos="3600"/>
        </w:tabs>
        <w:snapToGrid w:val="0"/>
        <w:spacing w:after="120"/>
        <w:ind w:left="3600" w:right="720" w:hanging="720"/>
        <w:contextualSpacing w:val="0"/>
        <w:rPr>
          <w:sz w:val="24"/>
          <w:szCs w:val="24"/>
        </w:rPr>
      </w:pPr>
      <w:r w:rsidRPr="00414E19">
        <w:rPr>
          <w:sz w:val="24"/>
          <w:szCs w:val="24"/>
        </w:rPr>
        <w:t>(B)</w:t>
      </w:r>
      <w:r w:rsidRPr="00414E19">
        <w:rPr>
          <w:sz w:val="24"/>
          <w:szCs w:val="24"/>
        </w:rPr>
        <w:tab/>
        <w:t xml:space="preserve">exclusively for the carriage of persons who are disabled persons and persons assisting them; or </w:t>
      </w:r>
    </w:p>
    <w:p w:rsidR="00340DA7" w:rsidRPr="00414E19" w:rsidRDefault="00340DA7" w:rsidP="00245C41">
      <w:pPr>
        <w:pStyle w:val="ListParagraph"/>
        <w:tabs>
          <w:tab w:val="left" w:pos="2880"/>
        </w:tabs>
        <w:snapToGrid w:val="0"/>
        <w:spacing w:after="120"/>
        <w:ind w:left="2880" w:right="720" w:hanging="720"/>
        <w:contextualSpacing w:val="0"/>
        <w:rPr>
          <w:sz w:val="28"/>
          <w:szCs w:val="28"/>
        </w:rPr>
      </w:pPr>
      <w:r w:rsidRPr="00414E19">
        <w:rPr>
          <w:sz w:val="24"/>
          <w:szCs w:val="24"/>
        </w:rPr>
        <w:t>(iii)</w:t>
      </w:r>
      <w:r w:rsidRPr="00414E19">
        <w:rPr>
          <w:sz w:val="24"/>
          <w:szCs w:val="24"/>
        </w:rPr>
        <w:tab/>
        <w:t>a hire car permit is in force in respect of the vehicle.”</w:t>
      </w:r>
    </w:p>
    <w:p w:rsidR="00340DA7" w:rsidRPr="00414E19" w:rsidRDefault="00340DA7" w:rsidP="00245C41">
      <w:pPr>
        <w:pStyle w:val="ListParagraph"/>
        <w:snapToGrid w:val="0"/>
        <w:ind w:left="0"/>
        <w:contextualSpacing w:val="0"/>
        <w:rPr>
          <w:sz w:val="28"/>
          <w:szCs w:val="28"/>
        </w:rPr>
      </w:pPr>
    </w:p>
    <w:p w:rsidR="00340DA7" w:rsidRPr="00414E19" w:rsidRDefault="00340DA7" w:rsidP="00340DA7">
      <w:pPr>
        <w:pStyle w:val="ListParagraph"/>
        <w:numPr>
          <w:ilvl w:val="0"/>
          <w:numId w:val="1"/>
        </w:numPr>
        <w:tabs>
          <w:tab w:val="left" w:pos="1440"/>
        </w:tabs>
        <w:snapToGrid w:val="0"/>
        <w:spacing w:before="120" w:after="240" w:line="360" w:lineRule="auto"/>
        <w:ind w:left="0" w:firstLine="0"/>
        <w:contextualSpacing w:val="0"/>
        <w:rPr>
          <w:sz w:val="28"/>
          <w:szCs w:val="28"/>
        </w:rPr>
      </w:pPr>
      <w:r w:rsidRPr="00414E19">
        <w:rPr>
          <w:sz w:val="28"/>
          <w:szCs w:val="28"/>
        </w:rPr>
        <w:t>Contravention of the prohibition in s.52(3) is an offence under s.52(10) of the RTO which relevantly provides:</w:t>
      </w:r>
    </w:p>
    <w:p w:rsidR="00340DA7" w:rsidRPr="00414E19" w:rsidRDefault="00340DA7" w:rsidP="00340DA7">
      <w:pPr>
        <w:pStyle w:val="ListParagraph"/>
        <w:snapToGrid w:val="0"/>
        <w:spacing w:after="120"/>
        <w:ind w:left="1440" w:right="720" w:hanging="720"/>
        <w:contextualSpacing w:val="0"/>
        <w:rPr>
          <w:sz w:val="24"/>
          <w:szCs w:val="24"/>
        </w:rPr>
      </w:pPr>
      <w:r w:rsidRPr="00414E19">
        <w:rPr>
          <w:sz w:val="24"/>
          <w:szCs w:val="24"/>
        </w:rPr>
        <w:t>“(10)</w:t>
      </w:r>
      <w:r w:rsidRPr="00414E19">
        <w:rPr>
          <w:sz w:val="24"/>
          <w:szCs w:val="24"/>
        </w:rPr>
        <w:tab/>
        <w:t>Any person who contravenes—</w:t>
      </w:r>
    </w:p>
    <w:p w:rsidR="00340DA7" w:rsidRPr="00414E19" w:rsidRDefault="00340DA7" w:rsidP="00245C41">
      <w:pPr>
        <w:pStyle w:val="ListParagraph"/>
        <w:tabs>
          <w:tab w:val="left" w:pos="2160"/>
        </w:tabs>
        <w:snapToGrid w:val="0"/>
        <w:spacing w:after="120"/>
        <w:ind w:left="2160" w:right="720" w:hanging="720"/>
        <w:contextualSpacing w:val="0"/>
        <w:rPr>
          <w:sz w:val="28"/>
          <w:szCs w:val="28"/>
        </w:rPr>
      </w:pPr>
      <w:r w:rsidRPr="00414E19">
        <w:rPr>
          <w:sz w:val="24"/>
          <w:szCs w:val="24"/>
        </w:rPr>
        <w:t>(a)</w:t>
      </w:r>
      <w:r w:rsidRPr="00414E19">
        <w:rPr>
          <w:sz w:val="24"/>
          <w:szCs w:val="24"/>
        </w:rPr>
        <w:tab/>
        <w:t xml:space="preserve">this section, other than subsection (2) [concerning user of an unlicensed rickshaw], commits an offence and is liable in the case of a first conviction for that offence to a fine of $5,000 and </w:t>
      </w:r>
      <w:r w:rsidRPr="00414E19">
        <w:rPr>
          <w:sz w:val="24"/>
          <w:szCs w:val="24"/>
        </w:rPr>
        <w:lastRenderedPageBreak/>
        <w:t>to imprisonment for 3 months, and in the case of a second or subsequent conviction for that offence to a fine of $10,000 and to imprisonment for 6 months”.</w:t>
      </w:r>
      <w:r w:rsidRPr="00414E19">
        <w:rPr>
          <w:sz w:val="28"/>
          <w:szCs w:val="28"/>
        </w:rPr>
        <w:t xml:space="preserve"> </w:t>
      </w:r>
    </w:p>
    <w:p w:rsidR="00340DA7" w:rsidRPr="00414E19" w:rsidRDefault="00340DA7" w:rsidP="00245C41">
      <w:pPr>
        <w:pStyle w:val="ListParagraph"/>
        <w:snapToGrid w:val="0"/>
        <w:contextualSpacing w:val="0"/>
        <w:rPr>
          <w:sz w:val="28"/>
          <w:szCs w:val="28"/>
        </w:rPr>
      </w:pPr>
    </w:p>
    <w:p w:rsidR="00340DA7" w:rsidRPr="00414E19" w:rsidRDefault="00340DA7" w:rsidP="00340DA7">
      <w:pPr>
        <w:pStyle w:val="ListParagraph"/>
        <w:numPr>
          <w:ilvl w:val="0"/>
          <w:numId w:val="1"/>
        </w:numPr>
        <w:tabs>
          <w:tab w:val="left" w:pos="1440"/>
        </w:tabs>
        <w:snapToGrid w:val="0"/>
        <w:spacing w:before="120" w:after="360" w:line="360" w:lineRule="auto"/>
        <w:ind w:left="0" w:firstLine="0"/>
        <w:contextualSpacing w:val="0"/>
        <w:rPr>
          <w:sz w:val="28"/>
          <w:szCs w:val="28"/>
        </w:rPr>
      </w:pPr>
      <w:r w:rsidRPr="00414E19">
        <w:rPr>
          <w:sz w:val="28"/>
          <w:szCs w:val="28"/>
        </w:rPr>
        <w:t>The appellants each faced a single charge of “driving a motor vehicle for the carriage of passengers for hire or reward without a hire car permit” contrary to s.52(3) and s.52(10) of the RTO.</w:t>
      </w:r>
    </w:p>
    <w:p w:rsidR="00340DA7" w:rsidRPr="00414E19" w:rsidRDefault="00340DA7" w:rsidP="00340DA7">
      <w:pPr>
        <w:pStyle w:val="ListParagraph"/>
        <w:numPr>
          <w:ilvl w:val="0"/>
          <w:numId w:val="1"/>
        </w:numPr>
        <w:tabs>
          <w:tab w:val="left" w:pos="1440"/>
        </w:tabs>
        <w:snapToGrid w:val="0"/>
        <w:spacing w:before="120" w:after="360" w:line="360" w:lineRule="auto"/>
        <w:ind w:left="0" w:firstLine="0"/>
        <w:contextualSpacing w:val="0"/>
        <w:rPr>
          <w:sz w:val="28"/>
          <w:szCs w:val="28"/>
        </w:rPr>
      </w:pPr>
      <w:r w:rsidRPr="00414E19">
        <w:rPr>
          <w:sz w:val="28"/>
          <w:szCs w:val="28"/>
        </w:rPr>
        <w:t>On the relevant dates charged, the appellants each drove and carried passengers in a private car in the following circumstances.  The passengers, 21 of whom were undercover police officers and three of whom were civilians, had each used the Uber App on their smartphones to request a ride from a specified location to another specified location.  The appellants respectively drove to the appointed places to pick up the passengers and then drove the passengers to their specified destinations.  At the end of each trip, the fare was paid for by the passenger by a credit card transfer to an Uber entity and the passenger was notified by the Uber App of the amount paid.  Although there was no direct evidence of the receipt by the appellants of any payments relating directly to the particular trips, there was some evidence of Uber paying remuneration to some of them.  There was no hire car permit in force in respect of any of the motor vehicles driven by the appellants.</w:t>
      </w:r>
    </w:p>
    <w:p w:rsidR="00340DA7" w:rsidRPr="00414E19" w:rsidRDefault="00340DA7" w:rsidP="00340DA7">
      <w:pPr>
        <w:pStyle w:val="ListParagraph"/>
        <w:numPr>
          <w:ilvl w:val="0"/>
          <w:numId w:val="1"/>
        </w:numPr>
        <w:tabs>
          <w:tab w:val="left" w:pos="1440"/>
        </w:tabs>
        <w:snapToGrid w:val="0"/>
        <w:spacing w:before="120" w:after="240" w:line="360" w:lineRule="auto"/>
        <w:ind w:left="0" w:firstLine="0"/>
        <w:contextualSpacing w:val="0"/>
        <w:rPr>
          <w:sz w:val="28"/>
          <w:szCs w:val="28"/>
        </w:rPr>
      </w:pPr>
      <w:r w:rsidRPr="00414E19">
        <w:rPr>
          <w:sz w:val="28"/>
          <w:szCs w:val="28"/>
        </w:rPr>
        <w:t>On 17 July 2018, the appellants were each convicted by a magistrate of the offence charged and sentenced to fines ranging from HK$3,000 to HK$4,500.</w:t>
      </w:r>
      <w:r w:rsidRPr="00414E19">
        <w:rPr>
          <w:rStyle w:val="FootnoteReference"/>
          <w:sz w:val="28"/>
          <w:szCs w:val="28"/>
        </w:rPr>
        <w:footnoteReference w:id="1"/>
      </w:r>
      <w:r w:rsidRPr="00414E19">
        <w:rPr>
          <w:sz w:val="28"/>
          <w:szCs w:val="28"/>
        </w:rPr>
        <w:t xml:space="preserve">  On 13 September 2019, their appeals against conviction to the Court of First Instance were dismissed.</w:t>
      </w:r>
      <w:r w:rsidRPr="00414E19">
        <w:rPr>
          <w:rStyle w:val="FootnoteReference"/>
          <w:sz w:val="28"/>
          <w:szCs w:val="28"/>
        </w:rPr>
        <w:footnoteReference w:id="2"/>
      </w:r>
      <w:r w:rsidRPr="00414E19">
        <w:rPr>
          <w:sz w:val="28"/>
          <w:szCs w:val="28"/>
        </w:rPr>
        <w:t xml:space="preserve">  On 29 November 2019, the judge refused to </w:t>
      </w:r>
      <w:r w:rsidRPr="00414E19">
        <w:rPr>
          <w:sz w:val="28"/>
          <w:szCs w:val="28"/>
        </w:rPr>
        <w:lastRenderedPageBreak/>
        <w:t>certify that points of law of great and general importance were involved in his judgment.</w:t>
      </w:r>
      <w:r w:rsidRPr="00414E19">
        <w:rPr>
          <w:rStyle w:val="FootnoteReference"/>
          <w:sz w:val="28"/>
          <w:szCs w:val="28"/>
        </w:rPr>
        <w:footnoteReference w:id="3"/>
      </w:r>
      <w:r w:rsidRPr="00414E19">
        <w:rPr>
          <w:sz w:val="28"/>
          <w:szCs w:val="28"/>
        </w:rPr>
        <w:t xml:space="preserve">  On 20 March 2020, the Appeal Committee granted leave to appeal to the Court of Final Appeal on the following question of law:</w:t>
      </w:r>
    </w:p>
    <w:p w:rsidR="00340DA7" w:rsidRPr="00414E19" w:rsidRDefault="00340DA7" w:rsidP="00245C41">
      <w:pPr>
        <w:pStyle w:val="ListParagraph"/>
        <w:snapToGrid w:val="0"/>
        <w:spacing w:after="120"/>
        <w:ind w:right="720"/>
        <w:contextualSpacing w:val="0"/>
        <w:rPr>
          <w:sz w:val="24"/>
          <w:szCs w:val="24"/>
        </w:rPr>
      </w:pPr>
      <w:r w:rsidRPr="00414E19">
        <w:rPr>
          <w:sz w:val="24"/>
          <w:szCs w:val="24"/>
        </w:rPr>
        <w:t>“What, on the true construction of the Road Traffic Ordinance, Cap.374, are the elements of the s.52(3) offence with which the applicants were charged, and in particular, what is the proper construction of the phrase ‘for the carriage of passengers for hire or reward’ as used in that sub-section?”</w:t>
      </w:r>
      <w:r w:rsidRPr="00414E19">
        <w:rPr>
          <w:rStyle w:val="FootnoteReference"/>
          <w:sz w:val="24"/>
          <w:szCs w:val="24"/>
        </w:rPr>
        <w:t xml:space="preserve"> </w:t>
      </w:r>
      <w:r w:rsidRPr="00414E19">
        <w:rPr>
          <w:rStyle w:val="FootnoteReference"/>
          <w:sz w:val="24"/>
          <w:szCs w:val="24"/>
        </w:rPr>
        <w:footnoteReference w:id="4"/>
      </w:r>
    </w:p>
    <w:p w:rsidR="00340DA7" w:rsidRPr="00414E19" w:rsidRDefault="00340DA7" w:rsidP="00245C41">
      <w:pPr>
        <w:pStyle w:val="ListParagraph"/>
        <w:snapToGrid w:val="0"/>
        <w:ind w:left="0"/>
        <w:contextualSpacing w:val="0"/>
        <w:rPr>
          <w:sz w:val="28"/>
          <w:szCs w:val="28"/>
        </w:rPr>
      </w:pPr>
    </w:p>
    <w:p w:rsidR="00340DA7" w:rsidRPr="00414E19" w:rsidRDefault="00340DA7" w:rsidP="00340DA7">
      <w:pPr>
        <w:pStyle w:val="ListParagraph"/>
        <w:snapToGrid w:val="0"/>
        <w:spacing w:before="120" w:after="240" w:line="360" w:lineRule="auto"/>
        <w:ind w:left="0"/>
        <w:contextualSpacing w:val="0"/>
        <w:rPr>
          <w:b/>
          <w:i/>
          <w:sz w:val="28"/>
          <w:szCs w:val="28"/>
        </w:rPr>
      </w:pPr>
      <w:r w:rsidRPr="00414E19">
        <w:rPr>
          <w:b/>
          <w:i/>
          <w:sz w:val="28"/>
          <w:szCs w:val="28"/>
        </w:rPr>
        <w:t>B.</w:t>
      </w:r>
      <w:r w:rsidRPr="00414E19">
        <w:rPr>
          <w:b/>
          <w:i/>
          <w:sz w:val="28"/>
          <w:szCs w:val="28"/>
        </w:rPr>
        <w:tab/>
        <w:t>The legislative scheme</w:t>
      </w:r>
    </w:p>
    <w:p w:rsidR="00340DA7" w:rsidRPr="00414E19" w:rsidRDefault="00340DA7" w:rsidP="00830F37">
      <w:pPr>
        <w:pStyle w:val="ListParagraph"/>
        <w:numPr>
          <w:ilvl w:val="0"/>
          <w:numId w:val="1"/>
        </w:numPr>
        <w:tabs>
          <w:tab w:val="left" w:pos="1440"/>
        </w:tabs>
        <w:snapToGrid w:val="0"/>
        <w:spacing w:before="120" w:after="360" w:line="360" w:lineRule="auto"/>
        <w:ind w:left="0" w:firstLine="0"/>
        <w:contextualSpacing w:val="0"/>
        <w:rPr>
          <w:sz w:val="28"/>
          <w:szCs w:val="28"/>
        </w:rPr>
      </w:pPr>
      <w:r w:rsidRPr="00414E19">
        <w:rPr>
          <w:sz w:val="28"/>
          <w:szCs w:val="28"/>
        </w:rPr>
        <w:t>The issue to be addressed in this judgment, as will be seen when the appellants’ case is discussed below, is one of statutory construction of s.52(3) of the RTO.  It is therefore convenient to begin by setting out the legislative scheme in which that provision falls.</w:t>
      </w:r>
    </w:p>
    <w:p w:rsidR="00340DA7" w:rsidRPr="00414E19" w:rsidRDefault="00340DA7" w:rsidP="00830F37">
      <w:pPr>
        <w:pStyle w:val="ListParagraph"/>
        <w:snapToGrid w:val="0"/>
        <w:spacing w:before="120" w:after="240" w:line="360" w:lineRule="auto"/>
        <w:ind w:left="0"/>
        <w:contextualSpacing w:val="0"/>
        <w:rPr>
          <w:b/>
          <w:i/>
          <w:sz w:val="28"/>
          <w:szCs w:val="28"/>
        </w:rPr>
      </w:pPr>
      <w:r w:rsidRPr="00414E19">
        <w:rPr>
          <w:b/>
          <w:i/>
          <w:sz w:val="28"/>
          <w:szCs w:val="28"/>
        </w:rPr>
        <w:t>B.1</w:t>
      </w:r>
      <w:r w:rsidRPr="00414E19">
        <w:rPr>
          <w:b/>
          <w:i/>
          <w:sz w:val="28"/>
          <w:szCs w:val="28"/>
        </w:rPr>
        <w:tab/>
        <w:t>Prohibition on certain types of user of vehicles</w:t>
      </w:r>
    </w:p>
    <w:p w:rsidR="00340DA7" w:rsidRPr="00414E19" w:rsidRDefault="00340DA7" w:rsidP="00830F37">
      <w:pPr>
        <w:pStyle w:val="ListParagraph"/>
        <w:numPr>
          <w:ilvl w:val="0"/>
          <w:numId w:val="1"/>
        </w:numPr>
        <w:tabs>
          <w:tab w:val="left" w:pos="1440"/>
        </w:tabs>
        <w:snapToGrid w:val="0"/>
        <w:spacing w:before="120" w:after="360" w:line="360" w:lineRule="auto"/>
        <w:ind w:left="0" w:firstLine="0"/>
        <w:contextualSpacing w:val="0"/>
        <w:rPr>
          <w:sz w:val="28"/>
          <w:szCs w:val="28"/>
        </w:rPr>
      </w:pPr>
      <w:r w:rsidRPr="00414E19">
        <w:rPr>
          <w:sz w:val="28"/>
          <w:szCs w:val="28"/>
        </w:rPr>
        <w:t xml:space="preserve">As might be expected from its subject matter, the RTO is an ordinance of considerable breadth.  Its long title states that it is “[t]o provide for the regulation of road traffic and the use of vehicles and roads (including private roads) and for other purposes connected therewith.”  In addition to the principal ordinance, there are regulations in subsidiary legislation covering activities including the construction and maintenance of vehicles, driving </w:t>
      </w:r>
      <w:proofErr w:type="spellStart"/>
      <w:r w:rsidRPr="00414E19">
        <w:rPr>
          <w:sz w:val="28"/>
          <w:szCs w:val="28"/>
        </w:rPr>
        <w:t>licences</w:t>
      </w:r>
      <w:proofErr w:type="spellEnd"/>
      <w:r w:rsidRPr="00414E19">
        <w:rPr>
          <w:sz w:val="28"/>
          <w:szCs w:val="28"/>
        </w:rPr>
        <w:t>, parking, public service vehicles, the registration and licensing of vehicles, safety equipment, traffic control and so forth.</w:t>
      </w:r>
    </w:p>
    <w:p w:rsidR="00340DA7" w:rsidRPr="00414E19" w:rsidRDefault="00340DA7" w:rsidP="00830F37">
      <w:pPr>
        <w:pStyle w:val="ListParagraph"/>
        <w:numPr>
          <w:ilvl w:val="0"/>
          <w:numId w:val="1"/>
        </w:numPr>
        <w:tabs>
          <w:tab w:val="left" w:pos="1440"/>
        </w:tabs>
        <w:snapToGrid w:val="0"/>
        <w:spacing w:before="120" w:after="240" w:line="360" w:lineRule="auto"/>
        <w:ind w:left="0" w:firstLine="0"/>
        <w:contextualSpacing w:val="0"/>
        <w:rPr>
          <w:sz w:val="28"/>
          <w:szCs w:val="28"/>
        </w:rPr>
      </w:pPr>
      <w:r w:rsidRPr="00414E19">
        <w:rPr>
          <w:sz w:val="28"/>
          <w:szCs w:val="28"/>
        </w:rPr>
        <w:t xml:space="preserve">Part 6 of the RTO is headed “Use, Sale and Hire of Vehicles” and s.52 is the first section in that part.  The heading of s.52 itself is “Restriction on </w:t>
      </w:r>
      <w:r w:rsidRPr="00414E19">
        <w:rPr>
          <w:sz w:val="28"/>
          <w:szCs w:val="28"/>
        </w:rPr>
        <w:lastRenderedPageBreak/>
        <w:t>the use of vehicles” and it contains a series of prohibitions in respect of various types of vehicles and activities.  The prohibitions apply unless the vehicles concerned have been properly licensed.  Section 52 essentially imposes a licensing regime as its regulatory purpose.</w:t>
      </w:r>
    </w:p>
    <w:p w:rsidR="00340DA7" w:rsidRPr="00414E19" w:rsidRDefault="00340DA7" w:rsidP="00830F37">
      <w:pPr>
        <w:pStyle w:val="ListParagraph"/>
        <w:numPr>
          <w:ilvl w:val="1"/>
          <w:numId w:val="1"/>
        </w:numPr>
        <w:tabs>
          <w:tab w:val="left" w:pos="1440"/>
        </w:tabs>
        <w:snapToGrid w:val="0"/>
        <w:spacing w:before="120" w:after="240" w:line="360" w:lineRule="auto"/>
        <w:contextualSpacing w:val="0"/>
        <w:rPr>
          <w:sz w:val="28"/>
          <w:szCs w:val="28"/>
        </w:rPr>
      </w:pPr>
      <w:r w:rsidRPr="00414E19">
        <w:rPr>
          <w:sz w:val="28"/>
          <w:szCs w:val="28"/>
        </w:rPr>
        <w:t xml:space="preserve">In </w:t>
      </w:r>
      <w:r w:rsidRPr="00414E19">
        <w:rPr>
          <w:i/>
          <w:sz w:val="28"/>
          <w:szCs w:val="28"/>
        </w:rPr>
        <w:t xml:space="preserve">HKSAR v Cheung </w:t>
      </w:r>
      <w:proofErr w:type="spellStart"/>
      <w:r w:rsidRPr="00414E19">
        <w:rPr>
          <w:i/>
          <w:sz w:val="28"/>
          <w:szCs w:val="28"/>
        </w:rPr>
        <w:t>Wai</w:t>
      </w:r>
      <w:proofErr w:type="spellEnd"/>
      <w:r w:rsidRPr="00414E19">
        <w:rPr>
          <w:i/>
          <w:sz w:val="28"/>
          <w:szCs w:val="28"/>
        </w:rPr>
        <w:t xml:space="preserve"> </w:t>
      </w:r>
      <w:proofErr w:type="spellStart"/>
      <w:r w:rsidRPr="00414E19">
        <w:rPr>
          <w:i/>
          <w:sz w:val="28"/>
          <w:szCs w:val="28"/>
        </w:rPr>
        <w:t>Kwong</w:t>
      </w:r>
      <w:proofErr w:type="spellEnd"/>
      <w:r w:rsidRPr="00414E19">
        <w:rPr>
          <w:sz w:val="28"/>
          <w:szCs w:val="28"/>
        </w:rPr>
        <w:t>, the Court addressed the prohibition in s.52(1) and made certain observations about the legislative purpose of licensing under that provision.</w:t>
      </w:r>
      <w:r w:rsidRPr="00414E19">
        <w:rPr>
          <w:rStyle w:val="FootnoteReference"/>
          <w:sz w:val="28"/>
          <w:szCs w:val="28"/>
        </w:rPr>
        <w:footnoteReference w:id="5"/>
      </w:r>
    </w:p>
    <w:p w:rsidR="00340DA7" w:rsidRPr="00414E19" w:rsidRDefault="00340DA7" w:rsidP="00830F37">
      <w:pPr>
        <w:pStyle w:val="ListParagraph"/>
        <w:numPr>
          <w:ilvl w:val="1"/>
          <w:numId w:val="1"/>
        </w:numPr>
        <w:tabs>
          <w:tab w:val="left" w:pos="1440"/>
        </w:tabs>
        <w:snapToGrid w:val="0"/>
        <w:spacing w:before="120" w:after="240" w:line="360" w:lineRule="auto"/>
        <w:contextualSpacing w:val="0"/>
        <w:rPr>
          <w:sz w:val="28"/>
          <w:szCs w:val="28"/>
        </w:rPr>
      </w:pPr>
      <w:r w:rsidRPr="00414E19">
        <w:rPr>
          <w:sz w:val="28"/>
          <w:szCs w:val="28"/>
        </w:rPr>
        <w:t>In this appeal, we are concerned with the prohibitions in s.52(3), namely on (a) the driving or use of a motor vehicle for the carriage of passengers for hire or reward, and (b) the suffering or permitting of a motor vehicle to be driven or used for the carriage of passengers for hire or reward, unless the vehicle is licensed as a public bus, public light bus or taxi (s.52(3)(</w:t>
      </w:r>
      <w:proofErr w:type="spellStart"/>
      <w:r w:rsidRPr="00414E19">
        <w:rPr>
          <w:sz w:val="28"/>
          <w:szCs w:val="28"/>
        </w:rPr>
        <w:t>i</w:t>
      </w:r>
      <w:proofErr w:type="spellEnd"/>
      <w:r w:rsidRPr="00414E19">
        <w:rPr>
          <w:sz w:val="28"/>
          <w:szCs w:val="28"/>
        </w:rPr>
        <w:t>)), or is licensed as a private bus or private light bus and used for particular types of carriage (s.52(3)(ii) and (</w:t>
      </w:r>
      <w:proofErr w:type="spellStart"/>
      <w:r w:rsidRPr="00414E19">
        <w:rPr>
          <w:sz w:val="28"/>
          <w:szCs w:val="28"/>
        </w:rPr>
        <w:t>iia</w:t>
      </w:r>
      <w:proofErr w:type="spellEnd"/>
      <w:r w:rsidRPr="00414E19">
        <w:rPr>
          <w:sz w:val="28"/>
          <w:szCs w:val="28"/>
        </w:rPr>
        <w:t>)), or is a private car and there is a hire car permit</w:t>
      </w:r>
      <w:r w:rsidRPr="00414E19">
        <w:rPr>
          <w:rStyle w:val="FootnoteReference"/>
          <w:sz w:val="28"/>
          <w:szCs w:val="28"/>
        </w:rPr>
        <w:footnoteReference w:id="6"/>
      </w:r>
      <w:r w:rsidRPr="00414E19">
        <w:rPr>
          <w:sz w:val="28"/>
          <w:szCs w:val="28"/>
        </w:rPr>
        <w:t xml:space="preserve"> in force in respect of it (s.52(3)(iii)).</w:t>
      </w:r>
    </w:p>
    <w:p w:rsidR="00340DA7" w:rsidRPr="00414E19" w:rsidRDefault="00340DA7" w:rsidP="00830F37">
      <w:pPr>
        <w:pStyle w:val="ListParagraph"/>
        <w:numPr>
          <w:ilvl w:val="1"/>
          <w:numId w:val="1"/>
        </w:numPr>
        <w:tabs>
          <w:tab w:val="left" w:pos="1440"/>
        </w:tabs>
        <w:snapToGrid w:val="0"/>
        <w:spacing w:before="120" w:after="240" w:line="360" w:lineRule="auto"/>
        <w:contextualSpacing w:val="0"/>
        <w:rPr>
          <w:sz w:val="28"/>
          <w:szCs w:val="28"/>
        </w:rPr>
      </w:pPr>
      <w:r w:rsidRPr="00414E19">
        <w:rPr>
          <w:sz w:val="28"/>
          <w:szCs w:val="28"/>
        </w:rPr>
        <w:t>It is relevant to note one of the other prohibitions in s.52, namely s.52(6) which provides that: “No person shall permit or suffer a motor vehicle which is licensed as a private car, private light bus or private bus to stand or ply for hire or reward.”</w:t>
      </w:r>
    </w:p>
    <w:p w:rsidR="00340DA7" w:rsidRPr="00414E19" w:rsidRDefault="00340DA7" w:rsidP="00830F37">
      <w:pPr>
        <w:pStyle w:val="ListParagraph"/>
        <w:numPr>
          <w:ilvl w:val="1"/>
          <w:numId w:val="1"/>
        </w:numPr>
        <w:tabs>
          <w:tab w:val="left" w:pos="1440"/>
        </w:tabs>
        <w:snapToGrid w:val="0"/>
        <w:spacing w:before="120" w:after="360" w:line="360" w:lineRule="auto"/>
        <w:contextualSpacing w:val="0"/>
        <w:rPr>
          <w:sz w:val="28"/>
          <w:szCs w:val="28"/>
        </w:rPr>
      </w:pPr>
      <w:r w:rsidRPr="00414E19">
        <w:rPr>
          <w:sz w:val="28"/>
          <w:szCs w:val="28"/>
        </w:rPr>
        <w:t>As will be seen, these or similar prohibitions have been part of the road traffic legislation in Hong Kong for many years.</w:t>
      </w:r>
    </w:p>
    <w:p w:rsidR="00340DA7" w:rsidRPr="00414E19" w:rsidRDefault="00340DA7" w:rsidP="00830F37">
      <w:pPr>
        <w:pStyle w:val="ListParagraph"/>
        <w:snapToGrid w:val="0"/>
        <w:spacing w:before="120" w:after="240" w:line="360" w:lineRule="auto"/>
        <w:ind w:left="0"/>
        <w:contextualSpacing w:val="0"/>
        <w:rPr>
          <w:b/>
          <w:i/>
          <w:sz w:val="28"/>
          <w:szCs w:val="28"/>
        </w:rPr>
      </w:pPr>
      <w:r w:rsidRPr="00414E19">
        <w:rPr>
          <w:b/>
          <w:i/>
          <w:sz w:val="28"/>
          <w:szCs w:val="28"/>
        </w:rPr>
        <w:lastRenderedPageBreak/>
        <w:t>B.2</w:t>
      </w:r>
      <w:r w:rsidRPr="00414E19">
        <w:rPr>
          <w:b/>
          <w:i/>
          <w:sz w:val="28"/>
          <w:szCs w:val="28"/>
        </w:rPr>
        <w:tab/>
        <w:t>The hire car permit regime</w:t>
      </w:r>
    </w:p>
    <w:p w:rsidR="00340DA7" w:rsidRPr="00414E19" w:rsidRDefault="00340DA7" w:rsidP="00830F37">
      <w:pPr>
        <w:pStyle w:val="ListParagraph"/>
        <w:numPr>
          <w:ilvl w:val="0"/>
          <w:numId w:val="1"/>
        </w:numPr>
        <w:tabs>
          <w:tab w:val="left" w:pos="1440"/>
        </w:tabs>
        <w:snapToGrid w:val="0"/>
        <w:spacing w:before="120" w:after="360" w:line="360" w:lineRule="auto"/>
        <w:ind w:left="0" w:firstLine="0"/>
        <w:contextualSpacing w:val="0"/>
        <w:rPr>
          <w:sz w:val="28"/>
          <w:szCs w:val="28"/>
        </w:rPr>
      </w:pPr>
      <w:r w:rsidRPr="00414E19">
        <w:rPr>
          <w:sz w:val="28"/>
          <w:szCs w:val="28"/>
        </w:rPr>
        <w:t>Section 52(3) applies to motor vehicles, which, as defined,</w:t>
      </w:r>
      <w:r w:rsidRPr="00414E19">
        <w:rPr>
          <w:rStyle w:val="FootnoteReference"/>
          <w:sz w:val="28"/>
          <w:szCs w:val="28"/>
        </w:rPr>
        <w:footnoteReference w:id="7"/>
      </w:r>
      <w:r w:rsidRPr="00414E19">
        <w:rPr>
          <w:sz w:val="28"/>
          <w:szCs w:val="28"/>
        </w:rPr>
        <w:t xml:space="preserve"> covers any mechanically propelled vehicle.  The present case is concerned, within that definition, with private cars.  The prohibition in s.52(3) does not apply to a private car in respect of which a hire car permit is in force.</w:t>
      </w:r>
    </w:p>
    <w:p w:rsidR="00340DA7" w:rsidRPr="00414E19" w:rsidRDefault="00340DA7" w:rsidP="00830F37">
      <w:pPr>
        <w:pStyle w:val="ListParagraph"/>
        <w:numPr>
          <w:ilvl w:val="0"/>
          <w:numId w:val="1"/>
        </w:numPr>
        <w:tabs>
          <w:tab w:val="left" w:pos="1440"/>
        </w:tabs>
        <w:snapToGrid w:val="0"/>
        <w:spacing w:before="120" w:after="360" w:line="360" w:lineRule="auto"/>
        <w:ind w:left="0" w:firstLine="0"/>
        <w:contextualSpacing w:val="0"/>
        <w:rPr>
          <w:sz w:val="28"/>
          <w:szCs w:val="28"/>
        </w:rPr>
      </w:pPr>
      <w:r w:rsidRPr="00414E19">
        <w:rPr>
          <w:sz w:val="28"/>
          <w:szCs w:val="28"/>
        </w:rPr>
        <w:t xml:space="preserve">The regulations concerning hire car permits are contained in Part III of the Road Traffic (Public Service Vehicles) Regulations (Cap.374D).  A “hire car permit” is defined in reg. 13 as “a hire car permit referred to in regulation 14(1)” and the Commissioner for Transport is </w:t>
      </w:r>
      <w:proofErr w:type="spellStart"/>
      <w:r w:rsidRPr="00414E19">
        <w:rPr>
          <w:sz w:val="28"/>
          <w:szCs w:val="28"/>
        </w:rPr>
        <w:t>authorised</w:t>
      </w:r>
      <w:proofErr w:type="spellEnd"/>
      <w:r w:rsidRPr="00414E19">
        <w:rPr>
          <w:sz w:val="28"/>
          <w:szCs w:val="28"/>
        </w:rPr>
        <w:t xml:space="preserve"> under reg. 14(1) to issue, in respect of private cars, hire car permits for various types of services, including a private hire car service.  The other hire car services, namely hotel, tour, airport or school hire car services are not relevant to the present case.</w:t>
      </w:r>
    </w:p>
    <w:p w:rsidR="00340DA7" w:rsidRPr="00414E19" w:rsidRDefault="00340DA7" w:rsidP="00830F37">
      <w:pPr>
        <w:pStyle w:val="ListParagraph"/>
        <w:numPr>
          <w:ilvl w:val="0"/>
          <w:numId w:val="1"/>
        </w:numPr>
        <w:tabs>
          <w:tab w:val="left" w:pos="1440"/>
        </w:tabs>
        <w:snapToGrid w:val="0"/>
        <w:spacing w:before="120" w:after="240" w:line="360" w:lineRule="auto"/>
        <w:ind w:left="0" w:firstLine="0"/>
        <w:contextualSpacing w:val="0"/>
        <w:rPr>
          <w:sz w:val="28"/>
          <w:szCs w:val="28"/>
        </w:rPr>
      </w:pPr>
      <w:r w:rsidRPr="00414E19">
        <w:rPr>
          <w:sz w:val="28"/>
          <w:szCs w:val="28"/>
        </w:rPr>
        <w:t>Restrictions on the issue of hire car permits and the considerations for their issue are contained in reg. 15.  The matters to which the Commissioner for Transport may have regard to in determining whether to issue a hire car permit</w:t>
      </w:r>
      <w:r w:rsidR="00C03DAF" w:rsidRPr="00414E19">
        <w:rPr>
          <w:sz w:val="28"/>
          <w:szCs w:val="28"/>
        </w:rPr>
        <w:t xml:space="preserve"> for a private hire car service</w:t>
      </w:r>
      <w:r w:rsidRPr="00414E19">
        <w:rPr>
          <w:sz w:val="28"/>
          <w:szCs w:val="28"/>
        </w:rPr>
        <w:t xml:space="preserve"> include:</w:t>
      </w:r>
    </w:p>
    <w:p w:rsidR="00340DA7" w:rsidRPr="00414E19" w:rsidRDefault="00340DA7" w:rsidP="00830F37">
      <w:pPr>
        <w:pStyle w:val="ListParagraph"/>
        <w:tabs>
          <w:tab w:val="left" w:pos="1440"/>
        </w:tabs>
        <w:snapToGrid w:val="0"/>
        <w:spacing w:after="120"/>
        <w:ind w:left="1440" w:right="720" w:hanging="720"/>
        <w:contextualSpacing w:val="0"/>
        <w:rPr>
          <w:sz w:val="24"/>
          <w:szCs w:val="24"/>
        </w:rPr>
      </w:pPr>
      <w:r w:rsidRPr="00414E19">
        <w:rPr>
          <w:sz w:val="24"/>
          <w:szCs w:val="24"/>
        </w:rPr>
        <w:t>“(a)</w:t>
      </w:r>
      <w:r w:rsidRPr="00414E19">
        <w:rPr>
          <w:sz w:val="24"/>
          <w:szCs w:val="24"/>
        </w:rPr>
        <w:tab/>
        <w:t>the extent to which the area from which the applicant proposes to operate the private hire car service is served by public transport;</w:t>
      </w:r>
    </w:p>
    <w:p w:rsidR="00340DA7" w:rsidRPr="00414E19" w:rsidRDefault="00340DA7" w:rsidP="00830F37">
      <w:pPr>
        <w:pStyle w:val="ListParagraph"/>
        <w:tabs>
          <w:tab w:val="left" w:pos="1440"/>
        </w:tabs>
        <w:snapToGrid w:val="0"/>
        <w:spacing w:after="120"/>
        <w:ind w:left="1440" w:right="720" w:hanging="720"/>
        <w:contextualSpacing w:val="0"/>
        <w:rPr>
          <w:sz w:val="24"/>
          <w:szCs w:val="24"/>
        </w:rPr>
      </w:pPr>
      <w:r w:rsidRPr="00414E19">
        <w:rPr>
          <w:sz w:val="24"/>
          <w:szCs w:val="24"/>
        </w:rPr>
        <w:t>(b)</w:t>
      </w:r>
      <w:r w:rsidRPr="00414E19">
        <w:rPr>
          <w:sz w:val="24"/>
          <w:szCs w:val="24"/>
        </w:rPr>
        <w:tab/>
        <w:t xml:space="preserve">whether the applicant is able reasonably to demonstrate that a private hire car service is required </w:t>
      </w:r>
      <w:r w:rsidR="00C03DAF" w:rsidRPr="00414E19">
        <w:rPr>
          <w:sz w:val="24"/>
          <w:szCs w:val="24"/>
        </w:rPr>
        <w:t>in</w:t>
      </w:r>
      <w:r w:rsidRPr="00414E19">
        <w:rPr>
          <w:sz w:val="24"/>
          <w:szCs w:val="24"/>
        </w:rPr>
        <w:t xml:space="preserve"> the area from which he proposes to operate; and</w:t>
      </w:r>
    </w:p>
    <w:p w:rsidR="00340DA7" w:rsidRPr="00414E19" w:rsidRDefault="00340DA7" w:rsidP="00245C41">
      <w:pPr>
        <w:pStyle w:val="ListParagraph"/>
        <w:tabs>
          <w:tab w:val="left" w:pos="1440"/>
        </w:tabs>
        <w:snapToGrid w:val="0"/>
        <w:spacing w:after="120"/>
        <w:ind w:left="1440" w:right="720" w:hanging="720"/>
        <w:contextualSpacing w:val="0"/>
        <w:rPr>
          <w:sz w:val="28"/>
          <w:szCs w:val="28"/>
        </w:rPr>
      </w:pPr>
      <w:r w:rsidRPr="00414E19">
        <w:rPr>
          <w:sz w:val="24"/>
          <w:szCs w:val="24"/>
        </w:rPr>
        <w:t>(c)</w:t>
      </w:r>
      <w:r w:rsidRPr="00414E19">
        <w:rPr>
          <w:sz w:val="24"/>
          <w:szCs w:val="24"/>
        </w:rPr>
        <w:tab/>
        <w:t>whether the applicant has, in the area from which he proposes to operate the private hire car service, a place which, in the opinion of the Commissioner, is a suitable place to park the private car when it is available for hire.”</w:t>
      </w:r>
      <w:r w:rsidRPr="00414E19">
        <w:rPr>
          <w:rStyle w:val="FootnoteReference"/>
          <w:sz w:val="24"/>
          <w:szCs w:val="24"/>
        </w:rPr>
        <w:footnoteReference w:id="8"/>
      </w:r>
    </w:p>
    <w:p w:rsidR="00340DA7" w:rsidRPr="00414E19" w:rsidRDefault="00340DA7" w:rsidP="00245C41">
      <w:pPr>
        <w:pStyle w:val="ListParagraph"/>
        <w:snapToGrid w:val="0"/>
        <w:ind w:left="0"/>
        <w:contextualSpacing w:val="0"/>
        <w:rPr>
          <w:sz w:val="28"/>
          <w:szCs w:val="28"/>
        </w:rPr>
      </w:pPr>
    </w:p>
    <w:p w:rsidR="00340DA7" w:rsidRPr="00414E19" w:rsidRDefault="00340DA7" w:rsidP="00830F37">
      <w:pPr>
        <w:pStyle w:val="ListParagraph"/>
        <w:numPr>
          <w:ilvl w:val="0"/>
          <w:numId w:val="1"/>
        </w:numPr>
        <w:tabs>
          <w:tab w:val="left" w:pos="1440"/>
        </w:tabs>
        <w:snapToGrid w:val="0"/>
        <w:spacing w:before="120" w:after="360" w:line="360" w:lineRule="auto"/>
        <w:ind w:left="0" w:firstLine="0"/>
        <w:contextualSpacing w:val="0"/>
        <w:rPr>
          <w:sz w:val="28"/>
          <w:szCs w:val="28"/>
        </w:rPr>
      </w:pPr>
      <w:r w:rsidRPr="00414E19">
        <w:rPr>
          <w:sz w:val="28"/>
          <w:szCs w:val="28"/>
        </w:rPr>
        <w:lastRenderedPageBreak/>
        <w:t>The Commissioner for Transport has power to limit the number of permits issued at any time for any type of hire car permit (reg. 19), fees are payable in respect of hire car permits (reg. 20) and provision is made for offences and penalties for breach of the conditions to which the hire car permit is subject (reg. 21), those conditions being set out in Schedule 3 (reg. 14(5)).</w:t>
      </w:r>
    </w:p>
    <w:p w:rsidR="00340DA7" w:rsidRPr="00414E19" w:rsidRDefault="00340DA7" w:rsidP="00830F37">
      <w:pPr>
        <w:pStyle w:val="ListParagraph"/>
        <w:snapToGrid w:val="0"/>
        <w:spacing w:before="120" w:after="240" w:line="360" w:lineRule="auto"/>
        <w:ind w:left="0"/>
        <w:contextualSpacing w:val="0"/>
        <w:rPr>
          <w:b/>
          <w:i/>
          <w:sz w:val="28"/>
          <w:szCs w:val="28"/>
        </w:rPr>
      </w:pPr>
      <w:r w:rsidRPr="00414E19">
        <w:rPr>
          <w:b/>
          <w:i/>
          <w:sz w:val="28"/>
          <w:szCs w:val="28"/>
        </w:rPr>
        <w:t>B.3</w:t>
      </w:r>
      <w:r w:rsidRPr="00414E19">
        <w:rPr>
          <w:b/>
          <w:i/>
          <w:sz w:val="28"/>
          <w:szCs w:val="28"/>
        </w:rPr>
        <w:tab/>
        <w:t>Legislative history</w:t>
      </w:r>
    </w:p>
    <w:p w:rsidR="00340DA7" w:rsidRPr="00414E19" w:rsidRDefault="00340DA7" w:rsidP="00830F37">
      <w:pPr>
        <w:pStyle w:val="ListParagraph"/>
        <w:numPr>
          <w:ilvl w:val="0"/>
          <w:numId w:val="1"/>
        </w:numPr>
        <w:tabs>
          <w:tab w:val="left" w:pos="1440"/>
        </w:tabs>
        <w:snapToGrid w:val="0"/>
        <w:spacing w:before="120" w:after="360" w:line="360" w:lineRule="auto"/>
        <w:ind w:left="0" w:firstLine="0"/>
        <w:contextualSpacing w:val="0"/>
        <w:rPr>
          <w:sz w:val="28"/>
          <w:szCs w:val="28"/>
        </w:rPr>
      </w:pPr>
      <w:r w:rsidRPr="00414E19">
        <w:rPr>
          <w:sz w:val="28"/>
          <w:szCs w:val="28"/>
        </w:rPr>
        <w:t>Since the parties each made submissions in their respective printed cases on the legislative history of the prohibition in s.52(3) and the hire car permit system, it is convenient now to set out some of the history.</w:t>
      </w:r>
    </w:p>
    <w:p w:rsidR="00340DA7" w:rsidRPr="00414E19" w:rsidRDefault="00340DA7" w:rsidP="00830F37">
      <w:pPr>
        <w:pStyle w:val="ListParagraph"/>
        <w:numPr>
          <w:ilvl w:val="0"/>
          <w:numId w:val="1"/>
        </w:numPr>
        <w:tabs>
          <w:tab w:val="left" w:pos="1440"/>
        </w:tabs>
        <w:snapToGrid w:val="0"/>
        <w:spacing w:before="120" w:after="360" w:line="360" w:lineRule="auto"/>
        <w:ind w:left="0" w:firstLine="0"/>
        <w:contextualSpacing w:val="0"/>
        <w:rPr>
          <w:sz w:val="28"/>
          <w:szCs w:val="28"/>
        </w:rPr>
      </w:pPr>
      <w:r w:rsidRPr="00414E19">
        <w:rPr>
          <w:sz w:val="28"/>
          <w:szCs w:val="28"/>
        </w:rPr>
        <w:t>There have been prohibitions on the carriage of passengers for hire or reward and on plying for hire for many years.  These prohibitions date back as long ago as the Vehicles and Public Traffic Ordinance 1883,</w:t>
      </w:r>
      <w:r w:rsidRPr="00414E19">
        <w:rPr>
          <w:rStyle w:val="FootnoteReference"/>
          <w:sz w:val="28"/>
          <w:szCs w:val="28"/>
        </w:rPr>
        <w:footnoteReference w:id="9"/>
      </w:r>
      <w:r w:rsidRPr="00414E19">
        <w:rPr>
          <w:sz w:val="28"/>
          <w:szCs w:val="28"/>
        </w:rPr>
        <w:t xml:space="preserve"> s.2 of which provided: “[n]o vehicle shall ply or be let for hire for the carriage of passengers, unless the owner thereof has obtained a </w:t>
      </w:r>
      <w:proofErr w:type="spellStart"/>
      <w:r w:rsidRPr="00414E19">
        <w:rPr>
          <w:sz w:val="28"/>
          <w:szCs w:val="28"/>
        </w:rPr>
        <w:t>licence</w:t>
      </w:r>
      <w:proofErr w:type="spellEnd"/>
      <w:r w:rsidRPr="00414E19">
        <w:rPr>
          <w:sz w:val="28"/>
          <w:szCs w:val="28"/>
        </w:rPr>
        <w:t xml:space="preserve"> for the same …”.  That ordinance was replaced by the Vehicles and Traffic Regulation Ordinance 1912,</w:t>
      </w:r>
      <w:r w:rsidRPr="00414E19">
        <w:rPr>
          <w:rStyle w:val="FootnoteReference"/>
          <w:sz w:val="28"/>
          <w:szCs w:val="28"/>
        </w:rPr>
        <w:footnoteReference w:id="10"/>
      </w:r>
      <w:r w:rsidRPr="00414E19">
        <w:rPr>
          <w:sz w:val="28"/>
          <w:szCs w:val="28"/>
        </w:rPr>
        <w:t xml:space="preserve"> which introduced a distinction between “private” and “public” vehicles.  A “public vehicle”</w:t>
      </w:r>
      <w:r w:rsidR="0071635D" w:rsidRPr="00414E19">
        <w:rPr>
          <w:sz w:val="28"/>
          <w:szCs w:val="28"/>
        </w:rPr>
        <w:t>, as provided in s.2(h),</w:t>
      </w:r>
      <w:r w:rsidRPr="00414E19">
        <w:rPr>
          <w:sz w:val="28"/>
          <w:szCs w:val="28"/>
        </w:rPr>
        <w:t xml:space="preserve"> included “every vehicle which plies for hire or is from time to time let out for hire or</w:t>
      </w:r>
      <w:r w:rsidR="008735AA" w:rsidRPr="00414E19">
        <w:rPr>
          <w:sz w:val="28"/>
          <w:szCs w:val="28"/>
        </w:rPr>
        <w:t xml:space="preserve"> is</w:t>
      </w:r>
      <w:r w:rsidRPr="00414E19">
        <w:rPr>
          <w:sz w:val="28"/>
          <w:szCs w:val="28"/>
        </w:rPr>
        <w:t xml:space="preserve"> intended to be let out for hire”.</w:t>
      </w:r>
    </w:p>
    <w:p w:rsidR="00340DA7" w:rsidRPr="00414E19" w:rsidRDefault="00340DA7" w:rsidP="00830F37">
      <w:pPr>
        <w:pStyle w:val="ListParagraph"/>
        <w:numPr>
          <w:ilvl w:val="0"/>
          <w:numId w:val="1"/>
        </w:numPr>
        <w:tabs>
          <w:tab w:val="left" w:pos="1440"/>
        </w:tabs>
        <w:snapToGrid w:val="0"/>
        <w:spacing w:before="120" w:after="240" w:line="360" w:lineRule="auto"/>
        <w:ind w:left="0" w:firstLine="0"/>
        <w:contextualSpacing w:val="0"/>
        <w:rPr>
          <w:sz w:val="28"/>
          <w:szCs w:val="28"/>
        </w:rPr>
      </w:pPr>
      <w:r w:rsidRPr="00414E19">
        <w:rPr>
          <w:sz w:val="28"/>
          <w:szCs w:val="28"/>
        </w:rPr>
        <w:t xml:space="preserve">The prohibitions on the carriage of passengers for hire or reward and on plying for hire continued to apply after 1912 in respect of private vehicles but were contained in various iterations of the subsidiary legislation rather than the </w:t>
      </w:r>
      <w:r w:rsidRPr="00414E19">
        <w:rPr>
          <w:sz w:val="28"/>
          <w:szCs w:val="28"/>
        </w:rPr>
        <w:lastRenderedPageBreak/>
        <w:t>principal ordinance.  For example, the Road Traffic (Registration and Licensing of Vehicles) (Amendment) Regulations 1961</w:t>
      </w:r>
      <w:r w:rsidRPr="00414E19">
        <w:rPr>
          <w:rStyle w:val="FootnoteReference"/>
          <w:sz w:val="28"/>
          <w:szCs w:val="28"/>
        </w:rPr>
        <w:footnoteReference w:id="11"/>
      </w:r>
      <w:r w:rsidRPr="00414E19">
        <w:rPr>
          <w:sz w:val="28"/>
          <w:szCs w:val="28"/>
        </w:rPr>
        <w:t xml:space="preserve"> provided, by reg. 26, that:</w:t>
      </w:r>
    </w:p>
    <w:p w:rsidR="00340DA7" w:rsidRPr="00414E19" w:rsidRDefault="00340DA7" w:rsidP="00830F37">
      <w:pPr>
        <w:pStyle w:val="ListParagraph"/>
        <w:tabs>
          <w:tab w:val="left" w:pos="1440"/>
        </w:tabs>
        <w:snapToGrid w:val="0"/>
        <w:spacing w:after="120"/>
        <w:ind w:left="1440" w:right="720" w:hanging="720"/>
        <w:contextualSpacing w:val="0"/>
        <w:rPr>
          <w:sz w:val="24"/>
          <w:szCs w:val="24"/>
        </w:rPr>
      </w:pPr>
      <w:r w:rsidRPr="00414E19">
        <w:rPr>
          <w:sz w:val="24"/>
          <w:szCs w:val="24"/>
        </w:rPr>
        <w:t>“(1)</w:t>
      </w:r>
      <w:r w:rsidRPr="00414E19">
        <w:rPr>
          <w:sz w:val="24"/>
          <w:szCs w:val="24"/>
        </w:rPr>
        <w:tab/>
        <w:t>No person shall drive or use, or permit or suffer to be driven or used, any motor vehicle for a purpose other than that for which it is registered.</w:t>
      </w:r>
    </w:p>
    <w:p w:rsidR="00340DA7" w:rsidRPr="00414E19" w:rsidRDefault="00340DA7" w:rsidP="00830F37">
      <w:pPr>
        <w:pStyle w:val="ListParagraph"/>
        <w:tabs>
          <w:tab w:val="left" w:pos="1440"/>
        </w:tabs>
        <w:snapToGrid w:val="0"/>
        <w:spacing w:after="120"/>
        <w:ind w:left="1440" w:right="720" w:hanging="720"/>
        <w:contextualSpacing w:val="0"/>
        <w:rPr>
          <w:sz w:val="24"/>
          <w:szCs w:val="24"/>
        </w:rPr>
      </w:pPr>
      <w:r w:rsidRPr="00414E19">
        <w:rPr>
          <w:sz w:val="24"/>
          <w:szCs w:val="24"/>
        </w:rPr>
        <w:t>(2)</w:t>
      </w:r>
      <w:r w:rsidRPr="00414E19">
        <w:rPr>
          <w:sz w:val="24"/>
          <w:szCs w:val="24"/>
        </w:rPr>
        <w:tab/>
        <w:t>No person shall drive, or use, or permit or suffer to be driven or used, for the carriage of passengers for hire or reward, any motor vehicle which is registered as a private car, as a private omnibus, as a goods vehicle or as a dual-purpose vehicle for use as a private car and as a goods vehicle.</w:t>
      </w:r>
    </w:p>
    <w:p w:rsidR="00340DA7" w:rsidRPr="00414E19" w:rsidRDefault="00340DA7" w:rsidP="00830F37">
      <w:pPr>
        <w:pStyle w:val="ListParagraph"/>
        <w:tabs>
          <w:tab w:val="left" w:pos="1440"/>
        </w:tabs>
        <w:snapToGrid w:val="0"/>
        <w:spacing w:after="120"/>
        <w:ind w:left="1440" w:right="720" w:hanging="720"/>
        <w:contextualSpacing w:val="0"/>
        <w:rPr>
          <w:sz w:val="24"/>
          <w:szCs w:val="24"/>
        </w:rPr>
      </w:pPr>
      <w:r w:rsidRPr="00414E19">
        <w:rPr>
          <w:sz w:val="24"/>
          <w:szCs w:val="24"/>
        </w:rPr>
        <w:t>(3)</w:t>
      </w:r>
      <w:r w:rsidRPr="00414E19">
        <w:rPr>
          <w:sz w:val="24"/>
          <w:szCs w:val="24"/>
        </w:rPr>
        <w:tab/>
        <w:t>No person shall solicit, or attempt to solicit, any person for hire or reward to travel in any vehicle which is registered as a private car, as a private omnibus, as a goods vehicle or as a dual-purpose vehicle for use as a private car and as a goods vehicle.</w:t>
      </w:r>
    </w:p>
    <w:p w:rsidR="00340DA7" w:rsidRPr="00414E19" w:rsidRDefault="00340DA7" w:rsidP="00245C41">
      <w:pPr>
        <w:pStyle w:val="ListParagraph"/>
        <w:tabs>
          <w:tab w:val="left" w:pos="1440"/>
        </w:tabs>
        <w:snapToGrid w:val="0"/>
        <w:spacing w:after="120"/>
        <w:ind w:left="1440" w:right="720" w:hanging="720"/>
        <w:contextualSpacing w:val="0"/>
        <w:rPr>
          <w:sz w:val="28"/>
          <w:szCs w:val="28"/>
        </w:rPr>
      </w:pPr>
      <w:r w:rsidRPr="00414E19">
        <w:rPr>
          <w:sz w:val="24"/>
          <w:szCs w:val="24"/>
        </w:rPr>
        <w:t>(4)</w:t>
      </w:r>
      <w:r w:rsidRPr="00414E19">
        <w:rPr>
          <w:sz w:val="24"/>
          <w:szCs w:val="24"/>
        </w:rPr>
        <w:tab/>
        <w:t>No person shall permit or suffer a motor vehicle which is registered as a private car or as a private omnibus to stand or ply for hire or reward.”</w:t>
      </w:r>
    </w:p>
    <w:p w:rsidR="00340DA7" w:rsidRPr="00414E19" w:rsidRDefault="00340DA7" w:rsidP="00245C41">
      <w:pPr>
        <w:pStyle w:val="ListParagraph"/>
        <w:tabs>
          <w:tab w:val="left" w:pos="1440"/>
        </w:tabs>
        <w:snapToGrid w:val="0"/>
        <w:ind w:left="1440" w:right="720" w:hanging="720"/>
        <w:contextualSpacing w:val="0"/>
        <w:rPr>
          <w:sz w:val="28"/>
          <w:szCs w:val="28"/>
        </w:rPr>
      </w:pPr>
    </w:p>
    <w:p w:rsidR="00340DA7" w:rsidRPr="00414E19" w:rsidRDefault="00340DA7" w:rsidP="00830F37">
      <w:pPr>
        <w:pStyle w:val="ListParagraph"/>
        <w:numPr>
          <w:ilvl w:val="0"/>
          <w:numId w:val="1"/>
        </w:numPr>
        <w:tabs>
          <w:tab w:val="left" w:pos="1440"/>
        </w:tabs>
        <w:snapToGrid w:val="0"/>
        <w:spacing w:before="120" w:after="240" w:line="360" w:lineRule="auto"/>
        <w:ind w:left="0" w:firstLine="0"/>
        <w:contextualSpacing w:val="0"/>
        <w:rPr>
          <w:sz w:val="28"/>
          <w:szCs w:val="28"/>
        </w:rPr>
      </w:pPr>
      <w:r w:rsidRPr="00414E19">
        <w:rPr>
          <w:sz w:val="28"/>
          <w:szCs w:val="28"/>
        </w:rPr>
        <w:t>In 1977, significant amendments to the legislation were made by the Road Traffic (Amendment) (No.2) Ordinance 1977.</w:t>
      </w:r>
      <w:r w:rsidRPr="00414E19">
        <w:rPr>
          <w:rStyle w:val="FootnoteReference"/>
          <w:sz w:val="28"/>
          <w:szCs w:val="28"/>
        </w:rPr>
        <w:footnoteReference w:id="12"/>
      </w:r>
      <w:r w:rsidRPr="00414E19">
        <w:rPr>
          <w:sz w:val="28"/>
          <w:szCs w:val="28"/>
        </w:rPr>
        <w:t xml:space="preserve">  These were introduced to address two mischiefs, namely (</w:t>
      </w:r>
      <w:proofErr w:type="spellStart"/>
      <w:r w:rsidRPr="00414E19">
        <w:rPr>
          <w:sz w:val="28"/>
          <w:szCs w:val="28"/>
        </w:rPr>
        <w:t>i</w:t>
      </w:r>
      <w:proofErr w:type="spellEnd"/>
      <w:r w:rsidRPr="00414E19">
        <w:rPr>
          <w:sz w:val="28"/>
          <w:szCs w:val="28"/>
        </w:rPr>
        <w:t>) illegal public car hiring (colloquially known as “</w:t>
      </w:r>
      <w:r w:rsidRPr="00414E19">
        <w:rPr>
          <w:i/>
          <w:sz w:val="28"/>
          <w:szCs w:val="28"/>
        </w:rPr>
        <w:t xml:space="preserve">hung </w:t>
      </w:r>
      <w:proofErr w:type="spellStart"/>
      <w:r w:rsidRPr="00414E19">
        <w:rPr>
          <w:i/>
          <w:sz w:val="28"/>
          <w:szCs w:val="28"/>
        </w:rPr>
        <w:t>pais</w:t>
      </w:r>
      <w:proofErr w:type="spellEnd"/>
      <w:r w:rsidRPr="00414E19">
        <w:rPr>
          <w:sz w:val="28"/>
          <w:szCs w:val="28"/>
        </w:rPr>
        <w:t>”) and (ii) illegal private car hiring (colloquially known as “</w:t>
      </w:r>
      <w:proofErr w:type="spellStart"/>
      <w:r w:rsidRPr="00414E19">
        <w:rPr>
          <w:i/>
          <w:sz w:val="28"/>
          <w:szCs w:val="28"/>
        </w:rPr>
        <w:t>pak</w:t>
      </w:r>
      <w:proofErr w:type="spellEnd"/>
      <w:r w:rsidRPr="00414E19">
        <w:rPr>
          <w:i/>
          <w:sz w:val="28"/>
          <w:szCs w:val="28"/>
        </w:rPr>
        <w:t xml:space="preserve"> </w:t>
      </w:r>
      <w:proofErr w:type="spellStart"/>
      <w:r w:rsidRPr="00414E19">
        <w:rPr>
          <w:i/>
          <w:sz w:val="28"/>
          <w:szCs w:val="28"/>
        </w:rPr>
        <w:t>pais</w:t>
      </w:r>
      <w:proofErr w:type="spellEnd"/>
      <w:r w:rsidRPr="00414E19">
        <w:rPr>
          <w:sz w:val="28"/>
          <w:szCs w:val="28"/>
        </w:rPr>
        <w:t>”).  This was achieved by:</w:t>
      </w:r>
    </w:p>
    <w:p w:rsidR="00340DA7" w:rsidRPr="00414E19" w:rsidRDefault="00340DA7" w:rsidP="00830F37">
      <w:pPr>
        <w:pStyle w:val="ListParagraph"/>
        <w:numPr>
          <w:ilvl w:val="1"/>
          <w:numId w:val="1"/>
        </w:numPr>
        <w:tabs>
          <w:tab w:val="left" w:pos="1440"/>
        </w:tabs>
        <w:snapToGrid w:val="0"/>
        <w:spacing w:before="120" w:after="240" w:line="360" w:lineRule="auto"/>
        <w:contextualSpacing w:val="0"/>
        <w:rPr>
          <w:sz w:val="28"/>
          <w:szCs w:val="28"/>
        </w:rPr>
      </w:pPr>
      <w:r w:rsidRPr="00414E19">
        <w:rPr>
          <w:sz w:val="28"/>
          <w:szCs w:val="28"/>
        </w:rPr>
        <w:t xml:space="preserve">providing for a route to </w:t>
      </w:r>
      <w:r w:rsidR="00832893" w:rsidRPr="00414E19">
        <w:rPr>
          <w:sz w:val="28"/>
          <w:szCs w:val="28"/>
        </w:rPr>
        <w:t>“</w:t>
      </w:r>
      <w:r w:rsidRPr="00414E19">
        <w:rPr>
          <w:sz w:val="28"/>
          <w:szCs w:val="28"/>
        </w:rPr>
        <w:t>reregister as a taxi a motor vehicle which immediately prior thereto was registered as a public car” upon payment of a premium;</w:t>
      </w:r>
      <w:r w:rsidRPr="00414E19">
        <w:rPr>
          <w:rStyle w:val="FootnoteReference"/>
          <w:sz w:val="28"/>
          <w:szCs w:val="28"/>
        </w:rPr>
        <w:footnoteReference w:id="13"/>
      </w:r>
      <w:r w:rsidRPr="00414E19">
        <w:rPr>
          <w:sz w:val="28"/>
          <w:szCs w:val="28"/>
        </w:rPr>
        <w:t xml:space="preserve"> </w:t>
      </w:r>
    </w:p>
    <w:p w:rsidR="00340DA7" w:rsidRPr="00414E19" w:rsidRDefault="00340DA7" w:rsidP="00830F37">
      <w:pPr>
        <w:pStyle w:val="ListParagraph"/>
        <w:numPr>
          <w:ilvl w:val="1"/>
          <w:numId w:val="1"/>
        </w:numPr>
        <w:tabs>
          <w:tab w:val="left" w:pos="1440"/>
        </w:tabs>
        <w:snapToGrid w:val="0"/>
        <w:spacing w:before="120" w:after="240" w:line="360" w:lineRule="auto"/>
        <w:contextualSpacing w:val="0"/>
        <w:rPr>
          <w:sz w:val="28"/>
          <w:szCs w:val="28"/>
        </w:rPr>
      </w:pPr>
      <w:r w:rsidRPr="00414E19">
        <w:rPr>
          <w:sz w:val="28"/>
          <w:szCs w:val="28"/>
        </w:rPr>
        <w:t xml:space="preserve">abolishing the former class of motor vehicles known as “public cars” by providing that the registration of a vehicle as a public car would </w:t>
      </w:r>
      <w:r w:rsidRPr="00414E19">
        <w:rPr>
          <w:sz w:val="28"/>
          <w:szCs w:val="28"/>
        </w:rPr>
        <w:lastRenderedPageBreak/>
        <w:t xml:space="preserve">cease to have effect from the expiry of the vehicle </w:t>
      </w:r>
      <w:proofErr w:type="spellStart"/>
      <w:r w:rsidRPr="00414E19">
        <w:rPr>
          <w:sz w:val="28"/>
          <w:szCs w:val="28"/>
        </w:rPr>
        <w:t>licence</w:t>
      </w:r>
      <w:proofErr w:type="spellEnd"/>
      <w:r w:rsidRPr="00414E19">
        <w:rPr>
          <w:sz w:val="28"/>
          <w:szCs w:val="28"/>
        </w:rPr>
        <w:t xml:space="preserve"> in force for that car at the commencement of the amending section;</w:t>
      </w:r>
      <w:r w:rsidRPr="00414E19">
        <w:rPr>
          <w:rStyle w:val="FootnoteReference"/>
          <w:sz w:val="28"/>
          <w:szCs w:val="28"/>
        </w:rPr>
        <w:footnoteReference w:id="14"/>
      </w:r>
      <w:r w:rsidRPr="00414E19">
        <w:rPr>
          <w:sz w:val="28"/>
          <w:szCs w:val="28"/>
        </w:rPr>
        <w:t xml:space="preserve"> and</w:t>
      </w:r>
    </w:p>
    <w:p w:rsidR="00340DA7" w:rsidRPr="00414E19" w:rsidRDefault="00340DA7" w:rsidP="00830F37">
      <w:pPr>
        <w:pStyle w:val="ListParagraph"/>
        <w:numPr>
          <w:ilvl w:val="1"/>
          <w:numId w:val="1"/>
        </w:numPr>
        <w:snapToGrid w:val="0"/>
        <w:spacing w:before="120" w:after="360" w:line="360" w:lineRule="auto"/>
        <w:contextualSpacing w:val="0"/>
        <w:rPr>
          <w:sz w:val="28"/>
          <w:szCs w:val="28"/>
        </w:rPr>
      </w:pPr>
      <w:r w:rsidRPr="00414E19">
        <w:rPr>
          <w:sz w:val="28"/>
          <w:szCs w:val="28"/>
        </w:rPr>
        <w:t>introducing regulations under which the Commissioner for Transport might grant or cancel “permits authorizing the use of private cars for the carriage of passengers for hire or reward”.</w:t>
      </w:r>
      <w:r w:rsidRPr="00414E19">
        <w:rPr>
          <w:rStyle w:val="FootnoteReference"/>
          <w:sz w:val="28"/>
          <w:szCs w:val="28"/>
        </w:rPr>
        <w:footnoteReference w:id="15"/>
      </w:r>
    </w:p>
    <w:p w:rsidR="00340DA7" w:rsidRPr="00414E19" w:rsidRDefault="00340DA7" w:rsidP="00830F37">
      <w:pPr>
        <w:pStyle w:val="ListParagraph"/>
        <w:numPr>
          <w:ilvl w:val="0"/>
          <w:numId w:val="1"/>
        </w:numPr>
        <w:tabs>
          <w:tab w:val="left" w:pos="1440"/>
        </w:tabs>
        <w:snapToGrid w:val="0"/>
        <w:spacing w:before="120" w:after="360" w:line="360" w:lineRule="auto"/>
        <w:ind w:left="0" w:firstLine="0"/>
        <w:contextualSpacing w:val="0"/>
        <w:rPr>
          <w:sz w:val="28"/>
          <w:szCs w:val="28"/>
        </w:rPr>
      </w:pPr>
      <w:r w:rsidRPr="00414E19">
        <w:rPr>
          <w:sz w:val="28"/>
          <w:szCs w:val="28"/>
        </w:rPr>
        <w:t xml:space="preserve">Therefore, from the date of those amendments in 1977, public cars had to be re-registered as taxis, or they would become private cars when their then current vehicle </w:t>
      </w:r>
      <w:proofErr w:type="spellStart"/>
      <w:r w:rsidRPr="00414E19">
        <w:rPr>
          <w:sz w:val="28"/>
          <w:szCs w:val="28"/>
        </w:rPr>
        <w:t>licence</w:t>
      </w:r>
      <w:proofErr w:type="spellEnd"/>
      <w:r w:rsidRPr="00414E19">
        <w:rPr>
          <w:sz w:val="28"/>
          <w:szCs w:val="28"/>
        </w:rPr>
        <w:t xml:space="preserve"> expired, and private cars could carry passengers for hire or reward if </w:t>
      </w:r>
      <w:proofErr w:type="spellStart"/>
      <w:r w:rsidRPr="00414E19">
        <w:rPr>
          <w:sz w:val="28"/>
          <w:szCs w:val="28"/>
        </w:rPr>
        <w:t>authorised</w:t>
      </w:r>
      <w:proofErr w:type="spellEnd"/>
      <w:r w:rsidRPr="00414E19">
        <w:rPr>
          <w:sz w:val="28"/>
          <w:szCs w:val="28"/>
        </w:rPr>
        <w:t xml:space="preserve"> by a permit issued by the Commissioner </w:t>
      </w:r>
      <w:r w:rsidR="00832893" w:rsidRPr="00414E19">
        <w:rPr>
          <w:sz w:val="28"/>
          <w:szCs w:val="28"/>
        </w:rPr>
        <w:t>for</w:t>
      </w:r>
      <w:r w:rsidRPr="00414E19">
        <w:rPr>
          <w:sz w:val="28"/>
          <w:szCs w:val="28"/>
        </w:rPr>
        <w:t xml:space="preserve"> Transport.</w:t>
      </w:r>
    </w:p>
    <w:p w:rsidR="00340DA7" w:rsidRPr="00414E19" w:rsidRDefault="00340DA7" w:rsidP="0007781A">
      <w:pPr>
        <w:pStyle w:val="ListParagraph"/>
        <w:numPr>
          <w:ilvl w:val="0"/>
          <w:numId w:val="1"/>
        </w:numPr>
        <w:tabs>
          <w:tab w:val="left" w:pos="1440"/>
        </w:tabs>
        <w:snapToGrid w:val="0"/>
        <w:spacing w:before="120" w:after="240" w:line="360" w:lineRule="auto"/>
        <w:ind w:left="0" w:firstLine="0"/>
        <w:contextualSpacing w:val="0"/>
        <w:rPr>
          <w:sz w:val="28"/>
          <w:szCs w:val="28"/>
        </w:rPr>
      </w:pPr>
      <w:r w:rsidRPr="00414E19">
        <w:rPr>
          <w:sz w:val="28"/>
          <w:szCs w:val="28"/>
        </w:rPr>
        <w:t>Moving the second reading of the Road Traffic (Amendment) (No.2) Bill 1977, the Secretary for the Environment explained that:</w:t>
      </w:r>
    </w:p>
    <w:p w:rsidR="00340DA7" w:rsidRPr="00414E19" w:rsidRDefault="00340DA7" w:rsidP="00EC4EC8">
      <w:pPr>
        <w:pStyle w:val="ListParagraph"/>
        <w:snapToGrid w:val="0"/>
        <w:spacing w:after="120"/>
        <w:ind w:right="720" w:firstLine="720"/>
        <w:contextualSpacing w:val="0"/>
        <w:rPr>
          <w:sz w:val="28"/>
          <w:szCs w:val="28"/>
        </w:rPr>
      </w:pPr>
      <w:r w:rsidRPr="00414E19">
        <w:rPr>
          <w:sz w:val="24"/>
          <w:szCs w:val="24"/>
        </w:rPr>
        <w:t>“… this bill has four main purposes.  First, it seeks to abolish the present category of public hire car and to provide for these cars to be converted to taxis on payment of a premium if their owners so wish.  Secondly, it will provide for the issue of contract hire permits to owners of private cars who wish to operate hire services on a strictly controlled basis, or to public hire car owners who do not wish to convert their vehicles to taxis.  …”</w:t>
      </w:r>
      <w:r w:rsidRPr="00414E19">
        <w:rPr>
          <w:rStyle w:val="FootnoteReference"/>
          <w:sz w:val="24"/>
          <w:szCs w:val="24"/>
        </w:rPr>
        <w:footnoteReference w:id="16"/>
      </w:r>
    </w:p>
    <w:p w:rsidR="00340DA7" w:rsidRPr="00414E19" w:rsidRDefault="00340DA7" w:rsidP="00245C41">
      <w:pPr>
        <w:pStyle w:val="ListParagraph"/>
        <w:snapToGrid w:val="0"/>
        <w:ind w:left="0"/>
        <w:contextualSpacing w:val="0"/>
        <w:rPr>
          <w:sz w:val="28"/>
          <w:szCs w:val="28"/>
        </w:rPr>
      </w:pPr>
    </w:p>
    <w:p w:rsidR="00340DA7" w:rsidRPr="00414E19" w:rsidRDefault="00340DA7" w:rsidP="0007781A">
      <w:pPr>
        <w:pStyle w:val="ListParagraph"/>
        <w:numPr>
          <w:ilvl w:val="0"/>
          <w:numId w:val="1"/>
        </w:numPr>
        <w:tabs>
          <w:tab w:val="left" w:pos="1440"/>
        </w:tabs>
        <w:snapToGrid w:val="0"/>
        <w:spacing w:before="120" w:after="240" w:line="360" w:lineRule="auto"/>
        <w:ind w:left="0" w:firstLine="0"/>
        <w:contextualSpacing w:val="0"/>
        <w:rPr>
          <w:sz w:val="28"/>
          <w:szCs w:val="28"/>
        </w:rPr>
      </w:pPr>
      <w:r w:rsidRPr="00414E19">
        <w:rPr>
          <w:i/>
          <w:sz w:val="28"/>
          <w:szCs w:val="28"/>
        </w:rPr>
        <w:t xml:space="preserve">Hung </w:t>
      </w:r>
      <w:proofErr w:type="spellStart"/>
      <w:r w:rsidRPr="00414E19">
        <w:rPr>
          <w:i/>
          <w:sz w:val="28"/>
          <w:szCs w:val="28"/>
        </w:rPr>
        <w:t>pais</w:t>
      </w:r>
      <w:proofErr w:type="spellEnd"/>
      <w:r w:rsidRPr="00414E19">
        <w:rPr>
          <w:sz w:val="28"/>
          <w:szCs w:val="28"/>
        </w:rPr>
        <w:t xml:space="preserve">, registered as “public cars”, were undesirable because, with red </w:t>
      </w:r>
      <w:proofErr w:type="spellStart"/>
      <w:r w:rsidRPr="00414E19">
        <w:rPr>
          <w:sz w:val="28"/>
          <w:szCs w:val="28"/>
        </w:rPr>
        <w:t>licence</w:t>
      </w:r>
      <w:proofErr w:type="spellEnd"/>
      <w:r w:rsidRPr="00414E19">
        <w:rPr>
          <w:sz w:val="28"/>
          <w:szCs w:val="28"/>
        </w:rPr>
        <w:t xml:space="preserve"> plates, they were well placed to impersonate taxis and to enjoy the privileges of being a taxi without having to observe the same controls and costs.  As the Secretary explained:</w:t>
      </w:r>
    </w:p>
    <w:p w:rsidR="00340DA7" w:rsidRPr="00414E19" w:rsidRDefault="00340DA7" w:rsidP="00832893">
      <w:pPr>
        <w:pStyle w:val="ListParagraph"/>
        <w:snapToGrid w:val="0"/>
        <w:spacing w:after="120"/>
        <w:ind w:right="720" w:firstLine="720"/>
        <w:contextualSpacing w:val="0"/>
        <w:rPr>
          <w:sz w:val="24"/>
          <w:szCs w:val="24"/>
        </w:rPr>
      </w:pPr>
      <w:r w:rsidRPr="00414E19">
        <w:rPr>
          <w:sz w:val="24"/>
          <w:szCs w:val="24"/>
        </w:rPr>
        <w:t xml:space="preserve">“… these cars are distinguishable by the fact that they carry a red number plate.  But many of them are painted to resemble taxis and carry some form of meter.  Although they are intended to be hired by pre-arranged contract only </w:t>
      </w:r>
      <w:r w:rsidRPr="00414E19">
        <w:rPr>
          <w:sz w:val="24"/>
          <w:szCs w:val="24"/>
        </w:rPr>
        <w:lastRenderedPageBreak/>
        <w:t>and it is illegal for them to ply for hire on the streets as if they were taxis, the great majority of them do act as if they were taxis for at least a part of the day.  Not being taxis, however, they charge what fares they like and pick and choose the journeys they are willing to undertake.  Nevertheless, the public are encouraged to support the illegal operations of these vehicles, partly because they look like taxis and partly because of the shortage of legal taxis in relation to the demand.</w:t>
      </w:r>
    </w:p>
    <w:p w:rsidR="00340DA7" w:rsidRPr="00414E19" w:rsidRDefault="00340DA7" w:rsidP="00832893">
      <w:pPr>
        <w:pStyle w:val="ListParagraph"/>
        <w:snapToGrid w:val="0"/>
        <w:spacing w:after="120"/>
        <w:ind w:right="720" w:firstLine="720"/>
        <w:contextualSpacing w:val="0"/>
        <w:rPr>
          <w:sz w:val="28"/>
          <w:szCs w:val="28"/>
        </w:rPr>
      </w:pPr>
      <w:r w:rsidRPr="00414E19">
        <w:rPr>
          <w:sz w:val="24"/>
          <w:szCs w:val="24"/>
        </w:rPr>
        <w:t>At present there are more than 1,300 of these public hire cars and it is obviously wrong that the majority of them should continue to be permitted to ply for hire as taxis</w:t>
      </w:r>
      <w:r w:rsidR="002051C5" w:rsidRPr="00414E19">
        <w:rPr>
          <w:sz w:val="24"/>
          <w:szCs w:val="24"/>
        </w:rPr>
        <w:t>,</w:t>
      </w:r>
      <w:r w:rsidRPr="00414E19">
        <w:rPr>
          <w:sz w:val="24"/>
          <w:szCs w:val="24"/>
        </w:rPr>
        <w:t xml:space="preserve"> without having paid the proper premium for the privilege and without being subject to the controls which are placed on taxi operators, including the carrying of the appropriate insurance for the protection of passengers.  Nevertheless, the success of these illegal operations demonstrates a real public demand for the services which they provide.  Having reviewed the situation, therefore, the Government has decided that public hire car operators should be given the opportunity to convert their vehicles to taxis on payment of a premium …”.</w:t>
      </w:r>
      <w:r w:rsidRPr="00414E19">
        <w:rPr>
          <w:rStyle w:val="FootnoteReference"/>
          <w:sz w:val="24"/>
          <w:szCs w:val="24"/>
        </w:rPr>
        <w:footnoteReference w:id="17"/>
      </w:r>
    </w:p>
    <w:p w:rsidR="00340DA7" w:rsidRPr="00414E19" w:rsidRDefault="00340DA7" w:rsidP="00245C41">
      <w:pPr>
        <w:pStyle w:val="ListParagraph"/>
        <w:snapToGrid w:val="0"/>
        <w:contextualSpacing w:val="0"/>
        <w:rPr>
          <w:sz w:val="28"/>
          <w:szCs w:val="28"/>
        </w:rPr>
      </w:pPr>
    </w:p>
    <w:p w:rsidR="00340DA7" w:rsidRPr="00414E19" w:rsidRDefault="00340DA7" w:rsidP="0007781A">
      <w:pPr>
        <w:pStyle w:val="ListParagraph"/>
        <w:numPr>
          <w:ilvl w:val="0"/>
          <w:numId w:val="1"/>
        </w:numPr>
        <w:tabs>
          <w:tab w:val="left" w:pos="1440"/>
        </w:tabs>
        <w:snapToGrid w:val="0"/>
        <w:spacing w:before="120" w:after="240" w:line="360" w:lineRule="auto"/>
        <w:ind w:left="0" w:firstLine="0"/>
        <w:contextualSpacing w:val="0"/>
        <w:rPr>
          <w:sz w:val="28"/>
          <w:szCs w:val="28"/>
        </w:rPr>
      </w:pPr>
      <w:r w:rsidRPr="00414E19">
        <w:rPr>
          <w:sz w:val="28"/>
          <w:szCs w:val="28"/>
        </w:rPr>
        <w:t xml:space="preserve">Similar reasoning also applied to </w:t>
      </w:r>
      <w:proofErr w:type="spellStart"/>
      <w:r w:rsidRPr="00414E19">
        <w:rPr>
          <w:i/>
          <w:sz w:val="28"/>
          <w:szCs w:val="28"/>
        </w:rPr>
        <w:t>pak</w:t>
      </w:r>
      <w:proofErr w:type="spellEnd"/>
      <w:r w:rsidRPr="00414E19">
        <w:rPr>
          <w:i/>
          <w:sz w:val="28"/>
          <w:szCs w:val="28"/>
        </w:rPr>
        <w:t xml:space="preserve"> </w:t>
      </w:r>
      <w:proofErr w:type="spellStart"/>
      <w:r w:rsidRPr="00414E19">
        <w:rPr>
          <w:i/>
          <w:sz w:val="28"/>
          <w:szCs w:val="28"/>
        </w:rPr>
        <w:t>pais</w:t>
      </w:r>
      <w:proofErr w:type="spellEnd"/>
      <w:r w:rsidRPr="00414E19">
        <w:rPr>
          <w:sz w:val="28"/>
          <w:szCs w:val="28"/>
        </w:rPr>
        <w:t xml:space="preserve"> offering themselves for hire.  In the same speech, the Secretary stated:</w:t>
      </w:r>
    </w:p>
    <w:p w:rsidR="00340DA7" w:rsidRPr="00414E19" w:rsidRDefault="00340DA7" w:rsidP="00B920D6">
      <w:pPr>
        <w:pStyle w:val="ListParagraph"/>
        <w:snapToGrid w:val="0"/>
        <w:spacing w:after="120"/>
        <w:ind w:right="720" w:firstLine="720"/>
        <w:contextualSpacing w:val="0"/>
        <w:rPr>
          <w:sz w:val="24"/>
          <w:szCs w:val="24"/>
        </w:rPr>
      </w:pPr>
      <w:r w:rsidRPr="00414E19">
        <w:rPr>
          <w:sz w:val="24"/>
          <w:szCs w:val="24"/>
        </w:rPr>
        <w:t xml:space="preserve">“I turn now, Sir, to a further type of illegal operation which it is intended, by this bill, to bring under control.  I refer here to the </w:t>
      </w:r>
      <w:proofErr w:type="spellStart"/>
      <w:r w:rsidRPr="00414E19">
        <w:rPr>
          <w:sz w:val="24"/>
          <w:szCs w:val="24"/>
        </w:rPr>
        <w:t>socalled</w:t>
      </w:r>
      <w:proofErr w:type="spellEnd"/>
      <w:r w:rsidR="002051C5" w:rsidRPr="00414E19">
        <w:rPr>
          <w:sz w:val="24"/>
          <w:szCs w:val="24"/>
        </w:rPr>
        <w:t xml:space="preserve"> [(sic)]</w:t>
      </w:r>
      <w:r w:rsidRPr="00414E19">
        <w:rPr>
          <w:sz w:val="24"/>
          <w:szCs w:val="24"/>
        </w:rPr>
        <w:t xml:space="preserve"> ‘</w:t>
      </w:r>
      <w:proofErr w:type="spellStart"/>
      <w:r w:rsidRPr="00414E19">
        <w:rPr>
          <w:sz w:val="24"/>
          <w:szCs w:val="24"/>
        </w:rPr>
        <w:t>pak</w:t>
      </w:r>
      <w:proofErr w:type="spellEnd"/>
      <w:r w:rsidRPr="00414E19">
        <w:rPr>
          <w:sz w:val="24"/>
          <w:szCs w:val="24"/>
        </w:rPr>
        <w:t xml:space="preserve"> </w:t>
      </w:r>
      <w:proofErr w:type="spellStart"/>
      <w:r w:rsidRPr="00414E19">
        <w:rPr>
          <w:sz w:val="24"/>
          <w:szCs w:val="24"/>
        </w:rPr>
        <w:t>pai</w:t>
      </w:r>
      <w:proofErr w:type="spellEnd"/>
      <w:r w:rsidRPr="00414E19">
        <w:rPr>
          <w:sz w:val="24"/>
          <w:szCs w:val="24"/>
        </w:rPr>
        <w:t xml:space="preserve">’ or private car offering itself for hire.  While many </w:t>
      </w:r>
      <w:proofErr w:type="spellStart"/>
      <w:r w:rsidRPr="00414E19">
        <w:rPr>
          <w:sz w:val="24"/>
          <w:szCs w:val="24"/>
        </w:rPr>
        <w:t>pak</w:t>
      </w:r>
      <w:proofErr w:type="spellEnd"/>
      <w:r w:rsidRPr="00414E19">
        <w:rPr>
          <w:sz w:val="24"/>
          <w:szCs w:val="24"/>
        </w:rPr>
        <w:t xml:space="preserve"> </w:t>
      </w:r>
      <w:proofErr w:type="spellStart"/>
      <w:r w:rsidRPr="00414E19">
        <w:rPr>
          <w:sz w:val="24"/>
          <w:szCs w:val="24"/>
        </w:rPr>
        <w:t>pais</w:t>
      </w:r>
      <w:proofErr w:type="spellEnd"/>
      <w:r w:rsidRPr="00414E19">
        <w:rPr>
          <w:sz w:val="24"/>
          <w:szCs w:val="24"/>
        </w:rPr>
        <w:t xml:space="preserve"> perform a useful social function by providing personalized transport on a regular basis between homes, offices and schools, often operating from a particular building or block of flats, others function almost wholly as pirate taxis by plying for hire on the streets.  None of them are effectively under any form of control as regards their mode of operation, the mechanical state of their vehicle or the insurance they carry for the protection of their passengers.</w:t>
      </w:r>
    </w:p>
    <w:p w:rsidR="00340DA7" w:rsidRPr="00414E19" w:rsidRDefault="00340DA7" w:rsidP="00B920D6">
      <w:pPr>
        <w:pStyle w:val="ListParagraph"/>
        <w:snapToGrid w:val="0"/>
        <w:spacing w:after="120"/>
        <w:ind w:right="720" w:firstLine="720"/>
        <w:contextualSpacing w:val="0"/>
        <w:rPr>
          <w:sz w:val="24"/>
          <w:szCs w:val="24"/>
        </w:rPr>
      </w:pPr>
      <w:r w:rsidRPr="00414E19">
        <w:rPr>
          <w:sz w:val="24"/>
          <w:szCs w:val="24"/>
        </w:rPr>
        <w:t xml:space="preserve">Clause 3 of the bill seeks to regularize this situation by providing for the issue by the Commissioner </w:t>
      </w:r>
      <w:r w:rsidR="002051C5" w:rsidRPr="00414E19">
        <w:rPr>
          <w:sz w:val="24"/>
          <w:szCs w:val="24"/>
        </w:rPr>
        <w:t>for</w:t>
      </w:r>
      <w:r w:rsidRPr="00414E19">
        <w:rPr>
          <w:sz w:val="24"/>
          <w:szCs w:val="24"/>
        </w:rPr>
        <w:t xml:space="preserve"> Transport of contract hire car permits. If this bill is passed into law, draft regulations laying down conditions for the issue of these permits will subsequently be put to the Governor in Council to be made.  What is intended, however, is that, for a fee of $500 per annum, or $175 for four months, a private car owner, whose vehicle has been inspected and found to be mechanically sound and who is fully insured against third party risks, can be issued with a contract hire car permit.  The conditions of the permit will be that the vehicle should only be operated from a designated address, that it should have no distinctive markings and that its permit should be displayed but not be visible from outside the vehicle.  The object of these last two conditions will be to discourage the driver from plying for hire and the public from hailing the car on the street.  Public hire car operators who do not opt to convert to taxis will </w:t>
      </w:r>
      <w:r w:rsidRPr="00414E19">
        <w:rPr>
          <w:sz w:val="24"/>
          <w:szCs w:val="24"/>
        </w:rPr>
        <w:lastRenderedPageBreak/>
        <w:t xml:space="preserve">also be eligible to apply for contract hire car permits.  I should add that, in certain cases, for instance cars run by hotels to provide a service </w:t>
      </w:r>
      <w:r w:rsidR="002051C5" w:rsidRPr="00414E19">
        <w:rPr>
          <w:sz w:val="24"/>
          <w:szCs w:val="24"/>
        </w:rPr>
        <w:t>for</w:t>
      </w:r>
      <w:r w:rsidRPr="00414E19">
        <w:rPr>
          <w:sz w:val="24"/>
          <w:szCs w:val="24"/>
        </w:rPr>
        <w:t xml:space="preserve"> their guests, the Commissioner for Transport will be empowered to permit distinctive markings to be used, as these would not mislead the general public into trying to hail the car.</w:t>
      </w:r>
    </w:p>
    <w:p w:rsidR="00EF61FC" w:rsidRPr="00414E19" w:rsidRDefault="00EF61FC" w:rsidP="00B920D6">
      <w:pPr>
        <w:pStyle w:val="ListParagraph"/>
        <w:snapToGrid w:val="0"/>
        <w:spacing w:after="120"/>
        <w:ind w:right="720" w:firstLine="720"/>
        <w:contextualSpacing w:val="0"/>
        <w:rPr>
          <w:sz w:val="24"/>
          <w:szCs w:val="24"/>
        </w:rPr>
      </w:pPr>
      <w:r w:rsidRPr="00414E19">
        <w:rPr>
          <w:sz w:val="24"/>
          <w:szCs w:val="24"/>
        </w:rPr>
        <w:t>…</w:t>
      </w:r>
    </w:p>
    <w:p w:rsidR="00340DA7" w:rsidRPr="00414E19" w:rsidRDefault="00340DA7" w:rsidP="00245C41">
      <w:pPr>
        <w:pStyle w:val="ListParagraph"/>
        <w:snapToGrid w:val="0"/>
        <w:spacing w:after="120"/>
        <w:ind w:right="720" w:firstLine="720"/>
        <w:contextualSpacing w:val="0"/>
        <w:rPr>
          <w:sz w:val="28"/>
          <w:szCs w:val="28"/>
        </w:rPr>
      </w:pPr>
      <w:r w:rsidRPr="00414E19">
        <w:rPr>
          <w:sz w:val="24"/>
          <w:szCs w:val="24"/>
        </w:rPr>
        <w:t>Sir, if this bill is enacted it will, I hope, bring a much needed measure of control and regulation to the operation of hire cars and the taxi trade, to the benefit of the legitimate operators themselves as well as to the general public who make use of their services.”</w:t>
      </w:r>
      <w:r w:rsidRPr="00414E19">
        <w:rPr>
          <w:rStyle w:val="FootnoteReference"/>
          <w:sz w:val="24"/>
          <w:szCs w:val="24"/>
        </w:rPr>
        <w:footnoteReference w:id="18"/>
      </w:r>
    </w:p>
    <w:p w:rsidR="00685301" w:rsidRPr="00414E19" w:rsidRDefault="00685301" w:rsidP="00245C41">
      <w:pPr>
        <w:pStyle w:val="ListParagraph"/>
        <w:tabs>
          <w:tab w:val="left" w:pos="1440"/>
        </w:tabs>
        <w:snapToGrid w:val="0"/>
        <w:ind w:left="0"/>
        <w:contextualSpacing w:val="0"/>
        <w:rPr>
          <w:sz w:val="28"/>
          <w:szCs w:val="28"/>
        </w:rPr>
      </w:pPr>
    </w:p>
    <w:p w:rsidR="00340DA7" w:rsidRPr="00414E19" w:rsidRDefault="00340DA7" w:rsidP="00B920D6">
      <w:pPr>
        <w:pStyle w:val="ListParagraph"/>
        <w:numPr>
          <w:ilvl w:val="0"/>
          <w:numId w:val="1"/>
        </w:numPr>
        <w:tabs>
          <w:tab w:val="left" w:pos="1440"/>
        </w:tabs>
        <w:snapToGrid w:val="0"/>
        <w:spacing w:before="120" w:after="360" w:line="360" w:lineRule="auto"/>
        <w:ind w:left="0" w:firstLine="0"/>
        <w:contextualSpacing w:val="0"/>
        <w:rPr>
          <w:sz w:val="28"/>
          <w:szCs w:val="28"/>
        </w:rPr>
      </w:pPr>
      <w:r w:rsidRPr="00414E19">
        <w:rPr>
          <w:sz w:val="28"/>
          <w:szCs w:val="28"/>
        </w:rPr>
        <w:t xml:space="preserve">The hire car permit regime therefore introduced a distinction between legitimate and illegitimate </w:t>
      </w:r>
      <w:proofErr w:type="spellStart"/>
      <w:r w:rsidRPr="00414E19">
        <w:rPr>
          <w:i/>
          <w:sz w:val="28"/>
          <w:szCs w:val="28"/>
        </w:rPr>
        <w:t>pak</w:t>
      </w:r>
      <w:proofErr w:type="spellEnd"/>
      <w:r w:rsidRPr="00414E19">
        <w:rPr>
          <w:i/>
          <w:sz w:val="28"/>
          <w:szCs w:val="28"/>
        </w:rPr>
        <w:t xml:space="preserve"> </w:t>
      </w:r>
      <w:proofErr w:type="spellStart"/>
      <w:r w:rsidRPr="00414E19">
        <w:rPr>
          <w:i/>
          <w:sz w:val="28"/>
          <w:szCs w:val="28"/>
        </w:rPr>
        <w:t>pais</w:t>
      </w:r>
      <w:proofErr w:type="spellEnd"/>
      <w:r w:rsidRPr="00414E19">
        <w:rPr>
          <w:sz w:val="28"/>
          <w:szCs w:val="28"/>
        </w:rPr>
        <w:t xml:space="preserve">, that is those with, and those without, a hire car </w:t>
      </w:r>
      <w:proofErr w:type="gramStart"/>
      <w:r w:rsidRPr="00414E19">
        <w:rPr>
          <w:sz w:val="28"/>
          <w:szCs w:val="28"/>
        </w:rPr>
        <w:t>permit</w:t>
      </w:r>
      <w:proofErr w:type="gramEnd"/>
      <w:r w:rsidRPr="00414E19">
        <w:rPr>
          <w:sz w:val="28"/>
          <w:szCs w:val="28"/>
        </w:rPr>
        <w:t>.  This distinction is important because it underlies the subsequent enactment of regulations to refine the regime.</w:t>
      </w:r>
    </w:p>
    <w:p w:rsidR="00340DA7" w:rsidRPr="00414E19" w:rsidRDefault="00340DA7" w:rsidP="00B920D6">
      <w:pPr>
        <w:pStyle w:val="ListParagraph"/>
        <w:numPr>
          <w:ilvl w:val="0"/>
          <w:numId w:val="1"/>
        </w:numPr>
        <w:tabs>
          <w:tab w:val="left" w:pos="1440"/>
        </w:tabs>
        <w:snapToGrid w:val="0"/>
        <w:spacing w:before="120" w:after="240" w:line="360" w:lineRule="auto"/>
        <w:ind w:left="0" w:firstLine="0"/>
        <w:contextualSpacing w:val="0"/>
        <w:rPr>
          <w:sz w:val="28"/>
          <w:szCs w:val="28"/>
        </w:rPr>
      </w:pPr>
      <w:r w:rsidRPr="00414E19">
        <w:rPr>
          <w:sz w:val="28"/>
          <w:szCs w:val="28"/>
        </w:rPr>
        <w:t>The statutory regime for hire car permits was introduced by amendments to subsidiary legislation.  By the Road Traffic (Registration and Licensing of Vehicles) (Amendment) Regulations 1977,</w:t>
      </w:r>
      <w:r w:rsidRPr="00414E19">
        <w:rPr>
          <w:rStyle w:val="FootnoteReference"/>
          <w:sz w:val="28"/>
          <w:szCs w:val="28"/>
        </w:rPr>
        <w:footnoteReference w:id="19"/>
      </w:r>
      <w:r w:rsidRPr="00414E19">
        <w:rPr>
          <w:sz w:val="28"/>
          <w:szCs w:val="28"/>
        </w:rPr>
        <w:t xml:space="preserve"> a new Part IIA (consisting of regulations 29B, 29C and 29D) was added to those regulations which provided for the issue of hire car permits by application, and upon payment of the prescribed fee, to the Commissioner </w:t>
      </w:r>
      <w:r w:rsidR="00EF61FC" w:rsidRPr="00414E19">
        <w:rPr>
          <w:sz w:val="28"/>
          <w:szCs w:val="28"/>
        </w:rPr>
        <w:t>for</w:t>
      </w:r>
      <w:r w:rsidRPr="00414E19">
        <w:rPr>
          <w:sz w:val="28"/>
          <w:szCs w:val="28"/>
        </w:rPr>
        <w:t xml:space="preserve"> Transport.  There was also added to those regulations a prohibition in these terms:</w:t>
      </w:r>
    </w:p>
    <w:p w:rsidR="00340DA7" w:rsidRPr="00414E19" w:rsidRDefault="00340DA7" w:rsidP="00245C41">
      <w:pPr>
        <w:pStyle w:val="ListParagraph"/>
        <w:snapToGrid w:val="0"/>
        <w:spacing w:after="120"/>
        <w:ind w:right="720"/>
        <w:contextualSpacing w:val="0"/>
        <w:rPr>
          <w:sz w:val="24"/>
          <w:szCs w:val="24"/>
        </w:rPr>
      </w:pPr>
      <w:r w:rsidRPr="00414E19">
        <w:rPr>
          <w:sz w:val="24"/>
          <w:szCs w:val="24"/>
        </w:rPr>
        <w:t>“(2A)</w:t>
      </w:r>
      <w:r w:rsidRPr="00414E19">
        <w:rPr>
          <w:sz w:val="24"/>
          <w:szCs w:val="24"/>
        </w:rPr>
        <w:tab/>
        <w:t>No person shall drive or use, or suffer or permit to be driven or used, any motor vehicle which is registered as a private car for the carriage of passengers for hire or reward unless there is in force in respect of that vehicle a hire car permit issued under regulation 29C.”</w:t>
      </w:r>
    </w:p>
    <w:p w:rsidR="00340DA7" w:rsidRPr="00414E19" w:rsidRDefault="00340DA7" w:rsidP="00245C41">
      <w:pPr>
        <w:pStyle w:val="ListParagraph"/>
        <w:snapToGrid w:val="0"/>
        <w:contextualSpacing w:val="0"/>
        <w:rPr>
          <w:sz w:val="28"/>
          <w:szCs w:val="28"/>
        </w:rPr>
      </w:pPr>
    </w:p>
    <w:p w:rsidR="00340DA7" w:rsidRPr="00414E19" w:rsidRDefault="00340DA7" w:rsidP="00B920D6">
      <w:pPr>
        <w:pStyle w:val="ListParagraph"/>
        <w:numPr>
          <w:ilvl w:val="0"/>
          <w:numId w:val="1"/>
        </w:numPr>
        <w:tabs>
          <w:tab w:val="left" w:pos="1440"/>
        </w:tabs>
        <w:snapToGrid w:val="0"/>
        <w:spacing w:before="120" w:after="240" w:line="360" w:lineRule="auto"/>
        <w:ind w:left="0" w:firstLine="0"/>
        <w:contextualSpacing w:val="0"/>
        <w:rPr>
          <w:sz w:val="28"/>
          <w:szCs w:val="28"/>
        </w:rPr>
      </w:pPr>
      <w:r w:rsidRPr="00414E19">
        <w:rPr>
          <w:sz w:val="28"/>
          <w:szCs w:val="28"/>
        </w:rPr>
        <w:t>The Road Traffic (Registration and Licensing of Vehicles) Regulations were then amended in 1981</w:t>
      </w:r>
      <w:r w:rsidRPr="00414E19">
        <w:rPr>
          <w:rStyle w:val="FootnoteReference"/>
          <w:sz w:val="28"/>
          <w:szCs w:val="28"/>
        </w:rPr>
        <w:footnoteReference w:id="20"/>
      </w:r>
      <w:r w:rsidRPr="00414E19">
        <w:rPr>
          <w:sz w:val="28"/>
          <w:szCs w:val="28"/>
        </w:rPr>
        <w:t xml:space="preserve"> to include more detailed provisions for </w:t>
      </w:r>
      <w:r w:rsidRPr="00414E19">
        <w:rPr>
          <w:sz w:val="28"/>
          <w:szCs w:val="28"/>
        </w:rPr>
        <w:lastRenderedPageBreak/>
        <w:t>hire car permits.  These included the introduction of separate types of hire car services for hotel, tour, airport, school and private hire car services.  Restrictions on the issue of hire car permits and the considerations for their issue were contained in regulation 29D.  In respect of hire car permits for a private hire car service, regulation 29</w:t>
      </w:r>
      <w:proofErr w:type="gramStart"/>
      <w:r w:rsidRPr="00414E19">
        <w:rPr>
          <w:sz w:val="28"/>
          <w:szCs w:val="28"/>
        </w:rPr>
        <w:t>D(</w:t>
      </w:r>
      <w:proofErr w:type="gramEnd"/>
      <w:r w:rsidRPr="00414E19">
        <w:rPr>
          <w:sz w:val="28"/>
          <w:szCs w:val="28"/>
        </w:rPr>
        <w:t>5) provided:</w:t>
      </w:r>
    </w:p>
    <w:p w:rsidR="00340DA7" w:rsidRPr="00414E19" w:rsidRDefault="00340DA7" w:rsidP="00B920D6">
      <w:pPr>
        <w:pStyle w:val="ListParagraph"/>
        <w:snapToGrid w:val="0"/>
        <w:spacing w:after="120"/>
        <w:ind w:right="720"/>
        <w:contextualSpacing w:val="0"/>
        <w:rPr>
          <w:sz w:val="24"/>
          <w:szCs w:val="24"/>
        </w:rPr>
      </w:pPr>
      <w:r w:rsidRPr="00414E19">
        <w:rPr>
          <w:sz w:val="24"/>
          <w:szCs w:val="24"/>
        </w:rPr>
        <w:t>“A hire car permit for a private hire car service may only be issued to the registered owner of the private car and, in determining whether to issue such a hire car permit, the Commissioner may have regard to, amongst other matters –</w:t>
      </w:r>
    </w:p>
    <w:p w:rsidR="00340DA7" w:rsidRPr="00414E19" w:rsidRDefault="00340DA7" w:rsidP="00B920D6">
      <w:pPr>
        <w:pStyle w:val="ListParagraph"/>
        <w:tabs>
          <w:tab w:val="left" w:pos="1440"/>
        </w:tabs>
        <w:snapToGrid w:val="0"/>
        <w:spacing w:after="120"/>
        <w:ind w:left="1440" w:right="720" w:hanging="720"/>
        <w:contextualSpacing w:val="0"/>
        <w:rPr>
          <w:sz w:val="24"/>
          <w:szCs w:val="24"/>
        </w:rPr>
      </w:pPr>
      <w:r w:rsidRPr="00414E19">
        <w:rPr>
          <w:sz w:val="24"/>
          <w:szCs w:val="24"/>
        </w:rPr>
        <w:t>(a)</w:t>
      </w:r>
      <w:r w:rsidRPr="00414E19">
        <w:rPr>
          <w:sz w:val="24"/>
          <w:szCs w:val="24"/>
        </w:rPr>
        <w:tab/>
        <w:t>the extent to which the area from which the applicant proposes to operate the private hire car service is served by public transport;</w:t>
      </w:r>
    </w:p>
    <w:p w:rsidR="00340DA7" w:rsidRPr="00414E19" w:rsidRDefault="00340DA7" w:rsidP="00B920D6">
      <w:pPr>
        <w:pStyle w:val="ListParagraph"/>
        <w:tabs>
          <w:tab w:val="left" w:pos="1440"/>
        </w:tabs>
        <w:snapToGrid w:val="0"/>
        <w:spacing w:after="120"/>
        <w:ind w:left="1440" w:right="720" w:hanging="720"/>
        <w:contextualSpacing w:val="0"/>
        <w:rPr>
          <w:sz w:val="24"/>
          <w:szCs w:val="24"/>
        </w:rPr>
      </w:pPr>
      <w:r w:rsidRPr="00414E19">
        <w:rPr>
          <w:sz w:val="24"/>
          <w:szCs w:val="24"/>
        </w:rPr>
        <w:t>(b)</w:t>
      </w:r>
      <w:r w:rsidRPr="00414E19">
        <w:rPr>
          <w:sz w:val="24"/>
          <w:szCs w:val="24"/>
        </w:rPr>
        <w:tab/>
        <w:t xml:space="preserve">whether the applicant is able reasonably to demonstrate that a private hire car service is required </w:t>
      </w:r>
      <w:r w:rsidR="003A492D">
        <w:rPr>
          <w:sz w:val="24"/>
          <w:szCs w:val="24"/>
        </w:rPr>
        <w:t>in</w:t>
      </w:r>
      <w:r w:rsidRPr="00414E19">
        <w:rPr>
          <w:sz w:val="24"/>
          <w:szCs w:val="24"/>
        </w:rPr>
        <w:t xml:space="preserve"> the area from which he proposes to operate; and</w:t>
      </w:r>
    </w:p>
    <w:p w:rsidR="00340DA7" w:rsidRPr="00414E19" w:rsidRDefault="00340DA7" w:rsidP="00245C41">
      <w:pPr>
        <w:pStyle w:val="ListParagraph"/>
        <w:tabs>
          <w:tab w:val="left" w:pos="1440"/>
        </w:tabs>
        <w:snapToGrid w:val="0"/>
        <w:spacing w:after="120"/>
        <w:ind w:left="1440" w:right="720" w:hanging="720"/>
        <w:contextualSpacing w:val="0"/>
        <w:rPr>
          <w:sz w:val="28"/>
          <w:szCs w:val="28"/>
        </w:rPr>
      </w:pPr>
      <w:r w:rsidRPr="00414E19">
        <w:rPr>
          <w:sz w:val="24"/>
          <w:szCs w:val="24"/>
        </w:rPr>
        <w:t>(c)</w:t>
      </w:r>
      <w:r w:rsidRPr="00414E19">
        <w:rPr>
          <w:sz w:val="24"/>
          <w:szCs w:val="24"/>
        </w:rPr>
        <w:tab/>
        <w:t>whether the applicant has, in the area from which he proposes to operate the private hire car service, a place which, in the opinion of the Commissioner, is a suitable place to park the private car when it is available for hire.”</w:t>
      </w:r>
    </w:p>
    <w:p w:rsidR="00340DA7" w:rsidRPr="00414E19" w:rsidRDefault="00340DA7" w:rsidP="00245C41">
      <w:pPr>
        <w:pStyle w:val="ListParagraph"/>
        <w:snapToGrid w:val="0"/>
        <w:contextualSpacing w:val="0"/>
        <w:rPr>
          <w:sz w:val="28"/>
          <w:szCs w:val="28"/>
        </w:rPr>
      </w:pPr>
    </w:p>
    <w:p w:rsidR="00340DA7" w:rsidRPr="00414E19" w:rsidRDefault="00340DA7" w:rsidP="00B920D6">
      <w:pPr>
        <w:pStyle w:val="ListParagraph"/>
        <w:numPr>
          <w:ilvl w:val="0"/>
          <w:numId w:val="1"/>
        </w:numPr>
        <w:tabs>
          <w:tab w:val="left" w:pos="1440"/>
        </w:tabs>
        <w:snapToGrid w:val="0"/>
        <w:spacing w:before="120" w:after="240" w:line="360" w:lineRule="auto"/>
        <w:ind w:left="0" w:firstLine="0"/>
        <w:contextualSpacing w:val="0"/>
        <w:rPr>
          <w:sz w:val="28"/>
          <w:szCs w:val="28"/>
        </w:rPr>
      </w:pPr>
      <w:r w:rsidRPr="00414E19">
        <w:rPr>
          <w:sz w:val="28"/>
          <w:szCs w:val="28"/>
        </w:rPr>
        <w:t xml:space="preserve">In moving the second reading of the Road Traffic (Amendment) Bill 1981, the Secretary </w:t>
      </w:r>
      <w:r w:rsidR="00EF61FC" w:rsidRPr="00414E19">
        <w:rPr>
          <w:sz w:val="28"/>
          <w:szCs w:val="28"/>
        </w:rPr>
        <w:t>for</w:t>
      </w:r>
      <w:r w:rsidRPr="00414E19">
        <w:rPr>
          <w:sz w:val="28"/>
          <w:szCs w:val="28"/>
        </w:rPr>
        <w:t xml:space="preserve"> the Environment re-stated the objective of the hire car permit regime and explained:</w:t>
      </w:r>
    </w:p>
    <w:p w:rsidR="00340DA7" w:rsidRPr="00414E19" w:rsidRDefault="00340DA7" w:rsidP="00B920D6">
      <w:pPr>
        <w:pStyle w:val="ListParagraph"/>
        <w:snapToGrid w:val="0"/>
        <w:spacing w:after="120"/>
        <w:ind w:right="720" w:firstLine="720"/>
        <w:contextualSpacing w:val="0"/>
        <w:rPr>
          <w:sz w:val="24"/>
          <w:szCs w:val="24"/>
        </w:rPr>
      </w:pPr>
      <w:r w:rsidRPr="00414E19">
        <w:rPr>
          <w:sz w:val="24"/>
          <w:szCs w:val="24"/>
        </w:rPr>
        <w:t>“The purpose of this Bill is to augment and clarify the provisions for the issue of contract hire</w:t>
      </w:r>
      <w:r w:rsidR="00EF61FC" w:rsidRPr="00414E19">
        <w:rPr>
          <w:sz w:val="24"/>
          <w:szCs w:val="24"/>
        </w:rPr>
        <w:t xml:space="preserve"> car</w:t>
      </w:r>
      <w:r w:rsidRPr="00414E19">
        <w:rPr>
          <w:sz w:val="24"/>
          <w:szCs w:val="24"/>
        </w:rPr>
        <w:t xml:space="preserve"> permits which were included in the amendments to the Road Traffic Ordinance enacted in June 1977.  The intention behind those amendments was to provide existing </w:t>
      </w:r>
      <w:proofErr w:type="spellStart"/>
      <w:r w:rsidRPr="00414E19">
        <w:rPr>
          <w:sz w:val="24"/>
          <w:szCs w:val="24"/>
        </w:rPr>
        <w:t>pak</w:t>
      </w:r>
      <w:proofErr w:type="spellEnd"/>
      <w:r w:rsidRPr="00414E19">
        <w:rPr>
          <w:sz w:val="24"/>
          <w:szCs w:val="24"/>
        </w:rPr>
        <w:t xml:space="preserve"> </w:t>
      </w:r>
      <w:proofErr w:type="spellStart"/>
      <w:r w:rsidRPr="00414E19">
        <w:rPr>
          <w:sz w:val="24"/>
          <w:szCs w:val="24"/>
        </w:rPr>
        <w:t>pai</w:t>
      </w:r>
      <w:proofErr w:type="spellEnd"/>
      <w:r w:rsidRPr="00414E19">
        <w:rPr>
          <w:sz w:val="24"/>
          <w:szCs w:val="24"/>
        </w:rPr>
        <w:t xml:space="preserve"> operators with the general opportunity to legalize their operations.  This Bill, by spelling out the proposed arrangements for the issue of permits, seeks to provide safeguards for the contract hire care scheme when it is brought fully into effect to ensure that this original purpose is maintained.</w:t>
      </w:r>
    </w:p>
    <w:p w:rsidR="00EF61FC" w:rsidRPr="00414E19" w:rsidRDefault="00EF61FC" w:rsidP="00B920D6">
      <w:pPr>
        <w:pStyle w:val="ListParagraph"/>
        <w:snapToGrid w:val="0"/>
        <w:spacing w:after="120"/>
        <w:ind w:right="720" w:firstLine="720"/>
        <w:contextualSpacing w:val="0"/>
        <w:rPr>
          <w:sz w:val="24"/>
          <w:szCs w:val="24"/>
        </w:rPr>
      </w:pPr>
      <w:r w:rsidRPr="00414E19">
        <w:rPr>
          <w:sz w:val="24"/>
          <w:szCs w:val="24"/>
        </w:rPr>
        <w:t>…</w:t>
      </w:r>
    </w:p>
    <w:p w:rsidR="00340DA7" w:rsidRPr="00414E19" w:rsidRDefault="00340DA7" w:rsidP="00245C41">
      <w:pPr>
        <w:pStyle w:val="ListParagraph"/>
        <w:snapToGrid w:val="0"/>
        <w:spacing w:after="120"/>
        <w:ind w:right="720" w:firstLine="720"/>
        <w:contextualSpacing w:val="0"/>
        <w:rPr>
          <w:sz w:val="28"/>
          <w:szCs w:val="28"/>
        </w:rPr>
      </w:pPr>
      <w:r w:rsidRPr="00414E19">
        <w:rPr>
          <w:sz w:val="24"/>
          <w:szCs w:val="24"/>
        </w:rPr>
        <w:t xml:space="preserve">Here I must emphasize again that the primary objective of the scheme, in accordance with the intentions of previous legislation, is to provide an opportunity for existing and </w:t>
      </w:r>
      <w:r w:rsidRPr="00414E19">
        <w:rPr>
          <w:i/>
          <w:sz w:val="24"/>
          <w:szCs w:val="24"/>
        </w:rPr>
        <w:t>bona fide</w:t>
      </w:r>
      <w:r w:rsidRPr="00414E19">
        <w:rPr>
          <w:sz w:val="24"/>
          <w:szCs w:val="24"/>
        </w:rPr>
        <w:t xml:space="preserve"> </w:t>
      </w:r>
      <w:proofErr w:type="spellStart"/>
      <w:r w:rsidRPr="00414E19">
        <w:rPr>
          <w:sz w:val="24"/>
          <w:szCs w:val="24"/>
        </w:rPr>
        <w:t>pak</w:t>
      </w:r>
      <w:proofErr w:type="spellEnd"/>
      <w:r w:rsidRPr="00414E19">
        <w:rPr>
          <w:sz w:val="24"/>
          <w:szCs w:val="24"/>
        </w:rPr>
        <w:t xml:space="preserve"> </w:t>
      </w:r>
      <w:proofErr w:type="spellStart"/>
      <w:r w:rsidRPr="00414E19">
        <w:rPr>
          <w:sz w:val="24"/>
          <w:szCs w:val="24"/>
        </w:rPr>
        <w:t>pai</w:t>
      </w:r>
      <w:proofErr w:type="spellEnd"/>
      <w:r w:rsidRPr="00414E19">
        <w:rPr>
          <w:sz w:val="24"/>
          <w:szCs w:val="24"/>
        </w:rPr>
        <w:t xml:space="preserve"> operators to legalize their business under certain controlled conditions.  The operators concerned would be well advised to avail themselves of this opportunity because, thereafter, all illegal carrying without a contract hire</w:t>
      </w:r>
      <w:r w:rsidR="002F269B" w:rsidRPr="00414E19">
        <w:rPr>
          <w:sz w:val="24"/>
          <w:szCs w:val="24"/>
        </w:rPr>
        <w:t xml:space="preserve"> car</w:t>
      </w:r>
      <w:r w:rsidRPr="00414E19">
        <w:rPr>
          <w:sz w:val="24"/>
          <w:szCs w:val="24"/>
        </w:rPr>
        <w:t xml:space="preserve"> permit and all plying and soliciting for hire or reward by vehicles other than taxis will be subject to stiffer legal sanctions, such as the impounding of vehicles and the suspension of vehicle </w:t>
      </w:r>
      <w:proofErr w:type="spellStart"/>
      <w:r w:rsidRPr="00414E19">
        <w:rPr>
          <w:sz w:val="24"/>
          <w:szCs w:val="24"/>
        </w:rPr>
        <w:lastRenderedPageBreak/>
        <w:t>licences</w:t>
      </w:r>
      <w:proofErr w:type="spellEnd"/>
      <w:r w:rsidRPr="00414E19">
        <w:rPr>
          <w:sz w:val="24"/>
          <w:szCs w:val="24"/>
        </w:rPr>
        <w:t>, in addition to the existing penalties of a $1,000 fine and imprisonment for three months for a first offence and six months for subsequent conviction</w:t>
      </w:r>
      <w:r w:rsidR="002F269B" w:rsidRPr="00414E19">
        <w:rPr>
          <w:sz w:val="24"/>
          <w:szCs w:val="24"/>
        </w:rPr>
        <w:t>s</w:t>
      </w:r>
      <w:r w:rsidRPr="00414E19">
        <w:rPr>
          <w:sz w:val="24"/>
          <w:szCs w:val="24"/>
        </w:rPr>
        <w:t>. …”.</w:t>
      </w:r>
      <w:r w:rsidRPr="00414E19">
        <w:rPr>
          <w:rStyle w:val="FootnoteReference"/>
          <w:sz w:val="24"/>
          <w:szCs w:val="24"/>
        </w:rPr>
        <w:footnoteReference w:id="21"/>
      </w:r>
    </w:p>
    <w:p w:rsidR="00340DA7" w:rsidRPr="00414E19" w:rsidRDefault="00340DA7" w:rsidP="00245C41">
      <w:pPr>
        <w:pStyle w:val="ListParagraph"/>
        <w:snapToGrid w:val="0"/>
        <w:contextualSpacing w:val="0"/>
        <w:rPr>
          <w:sz w:val="28"/>
          <w:szCs w:val="28"/>
        </w:rPr>
      </w:pPr>
    </w:p>
    <w:p w:rsidR="00340DA7" w:rsidRPr="00414E19" w:rsidRDefault="00340DA7" w:rsidP="00B920D6">
      <w:pPr>
        <w:pStyle w:val="ListParagraph"/>
        <w:numPr>
          <w:ilvl w:val="0"/>
          <w:numId w:val="1"/>
        </w:numPr>
        <w:tabs>
          <w:tab w:val="left" w:pos="1440"/>
        </w:tabs>
        <w:snapToGrid w:val="0"/>
        <w:spacing w:before="120" w:after="360" w:line="360" w:lineRule="auto"/>
        <w:ind w:left="0" w:firstLine="0"/>
        <w:contextualSpacing w:val="0"/>
        <w:rPr>
          <w:sz w:val="28"/>
          <w:szCs w:val="28"/>
        </w:rPr>
      </w:pPr>
      <w:r w:rsidRPr="00414E19">
        <w:rPr>
          <w:sz w:val="28"/>
          <w:szCs w:val="28"/>
        </w:rPr>
        <w:t>In 1982, a general revision of the Road Traffic Ordinance and its subsidiary legislation was carried out in response to the fragmentary structure of the old legislation which was considered to</w:t>
      </w:r>
      <w:r w:rsidR="002F269B" w:rsidRPr="00414E19">
        <w:rPr>
          <w:sz w:val="28"/>
          <w:szCs w:val="28"/>
        </w:rPr>
        <w:t xml:space="preserve"> have</w:t>
      </w:r>
      <w:r w:rsidRPr="00414E19">
        <w:rPr>
          <w:sz w:val="28"/>
          <w:szCs w:val="28"/>
        </w:rPr>
        <w:t xml:space="preserve"> be</w:t>
      </w:r>
      <w:r w:rsidR="002F269B" w:rsidRPr="00414E19">
        <w:rPr>
          <w:sz w:val="28"/>
          <w:szCs w:val="28"/>
        </w:rPr>
        <w:t>come</w:t>
      </w:r>
      <w:r w:rsidRPr="00414E19">
        <w:rPr>
          <w:sz w:val="28"/>
          <w:szCs w:val="28"/>
        </w:rPr>
        <w:t xml:space="preserve"> “unnecessarily complicated, confusing and cumbersome</w:t>
      </w:r>
      <w:r w:rsidR="002F269B" w:rsidRPr="00414E19">
        <w:rPr>
          <w:sz w:val="28"/>
          <w:szCs w:val="28"/>
        </w:rPr>
        <w:t>.</w:t>
      </w:r>
      <w:r w:rsidRPr="00414E19">
        <w:rPr>
          <w:sz w:val="28"/>
          <w:szCs w:val="28"/>
        </w:rPr>
        <w:t>”</w:t>
      </w:r>
      <w:r w:rsidRPr="00414E19">
        <w:rPr>
          <w:rStyle w:val="FootnoteReference"/>
          <w:sz w:val="28"/>
          <w:szCs w:val="28"/>
        </w:rPr>
        <w:footnoteReference w:id="22"/>
      </w:r>
      <w:r w:rsidRPr="00414E19">
        <w:rPr>
          <w:sz w:val="28"/>
          <w:szCs w:val="28"/>
        </w:rPr>
        <w:t xml:space="preserve">  This led to the enactment of the current RTO.</w:t>
      </w:r>
    </w:p>
    <w:p w:rsidR="00340DA7" w:rsidRPr="00414E19" w:rsidRDefault="00340DA7" w:rsidP="000671E7">
      <w:pPr>
        <w:pStyle w:val="ListParagraph"/>
        <w:spacing w:before="120" w:after="240" w:line="360" w:lineRule="auto"/>
        <w:ind w:left="0"/>
        <w:contextualSpacing w:val="0"/>
        <w:rPr>
          <w:b/>
          <w:i/>
          <w:sz w:val="28"/>
          <w:szCs w:val="28"/>
        </w:rPr>
      </w:pPr>
      <w:r w:rsidRPr="00414E19">
        <w:rPr>
          <w:b/>
          <w:i/>
          <w:sz w:val="28"/>
          <w:szCs w:val="28"/>
        </w:rPr>
        <w:t>C.</w:t>
      </w:r>
      <w:r w:rsidRPr="00414E19">
        <w:rPr>
          <w:b/>
          <w:i/>
          <w:sz w:val="28"/>
          <w:szCs w:val="28"/>
        </w:rPr>
        <w:tab/>
        <w:t>The appellants’ contentions on this appeal</w:t>
      </w:r>
    </w:p>
    <w:p w:rsidR="00340DA7" w:rsidRPr="00414E19" w:rsidRDefault="00340DA7" w:rsidP="000671E7">
      <w:pPr>
        <w:pStyle w:val="ListParagraph"/>
        <w:numPr>
          <w:ilvl w:val="0"/>
          <w:numId w:val="1"/>
        </w:numPr>
        <w:tabs>
          <w:tab w:val="left" w:pos="1440"/>
        </w:tabs>
        <w:snapToGrid w:val="0"/>
        <w:spacing w:before="120" w:after="360" w:line="360" w:lineRule="auto"/>
        <w:ind w:left="0" w:firstLine="0"/>
        <w:contextualSpacing w:val="0"/>
        <w:rPr>
          <w:sz w:val="28"/>
          <w:szCs w:val="28"/>
        </w:rPr>
      </w:pPr>
      <w:r w:rsidRPr="00414E19">
        <w:rPr>
          <w:sz w:val="28"/>
          <w:szCs w:val="28"/>
        </w:rPr>
        <w:t xml:space="preserve">The appellants challenge their convictions on the basis that, on the facts found, the offence in s.52(3) of the RTO was not established.  Essentially, the contention advanced on behalf of the appellants by </w:t>
      </w:r>
      <w:proofErr w:type="spellStart"/>
      <w:r w:rsidRPr="00414E19">
        <w:rPr>
          <w:sz w:val="28"/>
          <w:szCs w:val="28"/>
        </w:rPr>
        <w:t>Mr</w:t>
      </w:r>
      <w:proofErr w:type="spellEnd"/>
      <w:r w:rsidRPr="00414E19">
        <w:rPr>
          <w:sz w:val="28"/>
          <w:szCs w:val="28"/>
        </w:rPr>
        <w:t xml:space="preserve"> Jonathan Caplan QC</w:t>
      </w:r>
      <w:r w:rsidRPr="00414E19">
        <w:rPr>
          <w:rStyle w:val="FootnoteReference"/>
          <w:sz w:val="28"/>
          <w:szCs w:val="28"/>
        </w:rPr>
        <w:footnoteReference w:id="23"/>
      </w:r>
      <w:r w:rsidRPr="00414E19">
        <w:rPr>
          <w:sz w:val="28"/>
          <w:szCs w:val="28"/>
        </w:rPr>
        <w:t xml:space="preserve"> is that, on its true construction, the phrase “for the carriage of passengers for hire or reward” in s.52(3) requires that, for the offence to be proved against them, each of the appellant drivers had to be shown to be driving for the purpose of fulfilling a direct agreement for carriage between themselves and the passenger carried from which each driver was to be rewarded.</w:t>
      </w:r>
    </w:p>
    <w:p w:rsidR="00340DA7" w:rsidRPr="00414E19" w:rsidRDefault="00340DA7" w:rsidP="000671E7">
      <w:pPr>
        <w:pStyle w:val="ListParagraph"/>
        <w:numPr>
          <w:ilvl w:val="0"/>
          <w:numId w:val="1"/>
        </w:numPr>
        <w:tabs>
          <w:tab w:val="left" w:pos="1440"/>
        </w:tabs>
        <w:snapToGrid w:val="0"/>
        <w:spacing w:before="120" w:after="360" w:line="360" w:lineRule="auto"/>
        <w:ind w:left="0" w:firstLine="0"/>
        <w:contextualSpacing w:val="0"/>
        <w:rPr>
          <w:sz w:val="28"/>
          <w:szCs w:val="28"/>
        </w:rPr>
      </w:pPr>
      <w:r w:rsidRPr="00414E19">
        <w:rPr>
          <w:sz w:val="28"/>
          <w:szCs w:val="28"/>
        </w:rPr>
        <w:t>The magistrate</w:t>
      </w:r>
      <w:r w:rsidRPr="00414E19">
        <w:rPr>
          <w:rStyle w:val="FootnoteReference"/>
          <w:sz w:val="28"/>
          <w:szCs w:val="28"/>
        </w:rPr>
        <w:footnoteReference w:id="24"/>
      </w:r>
      <w:r w:rsidRPr="00414E19">
        <w:rPr>
          <w:sz w:val="28"/>
          <w:szCs w:val="28"/>
        </w:rPr>
        <w:t xml:space="preserve"> and the judge</w:t>
      </w:r>
      <w:r w:rsidRPr="00414E19">
        <w:rPr>
          <w:rStyle w:val="FootnoteReference"/>
          <w:sz w:val="28"/>
          <w:szCs w:val="28"/>
        </w:rPr>
        <w:footnoteReference w:id="25"/>
      </w:r>
      <w:r w:rsidRPr="00414E19">
        <w:rPr>
          <w:sz w:val="28"/>
          <w:szCs w:val="28"/>
        </w:rPr>
        <w:t xml:space="preserve"> below both rejected this contention and, in this Court, </w:t>
      </w:r>
      <w:proofErr w:type="spellStart"/>
      <w:r w:rsidRPr="00414E19">
        <w:rPr>
          <w:sz w:val="28"/>
          <w:szCs w:val="28"/>
        </w:rPr>
        <w:t>Mr</w:t>
      </w:r>
      <w:proofErr w:type="spellEnd"/>
      <w:r w:rsidRPr="00414E19">
        <w:rPr>
          <w:sz w:val="28"/>
          <w:szCs w:val="28"/>
        </w:rPr>
        <w:t xml:space="preserve"> William Tam SC,</w:t>
      </w:r>
      <w:r w:rsidRPr="00414E19">
        <w:rPr>
          <w:rStyle w:val="FootnoteReference"/>
          <w:sz w:val="28"/>
          <w:szCs w:val="28"/>
        </w:rPr>
        <w:footnoteReference w:id="26"/>
      </w:r>
      <w:r w:rsidRPr="00414E19">
        <w:rPr>
          <w:sz w:val="28"/>
          <w:szCs w:val="28"/>
        </w:rPr>
        <w:t xml:space="preserve"> for the respondent, submitted that they were correct to do so.</w:t>
      </w:r>
    </w:p>
    <w:p w:rsidR="00340DA7" w:rsidRPr="00414E19" w:rsidRDefault="00340DA7" w:rsidP="000671E7">
      <w:pPr>
        <w:pStyle w:val="ListParagraph"/>
        <w:numPr>
          <w:ilvl w:val="0"/>
          <w:numId w:val="1"/>
        </w:numPr>
        <w:tabs>
          <w:tab w:val="left" w:pos="1440"/>
        </w:tabs>
        <w:snapToGrid w:val="0"/>
        <w:spacing w:before="120" w:after="360" w:line="360" w:lineRule="auto"/>
        <w:ind w:left="0" w:firstLine="0"/>
        <w:contextualSpacing w:val="0"/>
        <w:rPr>
          <w:sz w:val="28"/>
          <w:szCs w:val="28"/>
        </w:rPr>
      </w:pPr>
      <w:r w:rsidRPr="00414E19">
        <w:rPr>
          <w:sz w:val="28"/>
          <w:szCs w:val="28"/>
        </w:rPr>
        <w:lastRenderedPageBreak/>
        <w:t>In this Court, the appellants advanced four bases for such a construction of s.52(3): (</w:t>
      </w:r>
      <w:proofErr w:type="spellStart"/>
      <w:r w:rsidRPr="00414E19">
        <w:rPr>
          <w:sz w:val="28"/>
          <w:szCs w:val="28"/>
        </w:rPr>
        <w:t>i</w:t>
      </w:r>
      <w:proofErr w:type="spellEnd"/>
      <w:r w:rsidRPr="00414E19">
        <w:rPr>
          <w:sz w:val="28"/>
          <w:szCs w:val="28"/>
        </w:rPr>
        <w:t>) the wording of s.52(3) of the RTO; (ii) the legislative purpose of the provision; (iii) previous case law; and (iv) the technological advances since the enactment of the provision.</w:t>
      </w:r>
    </w:p>
    <w:p w:rsidR="00340DA7" w:rsidRPr="00414E19" w:rsidRDefault="00340DA7" w:rsidP="000671E7">
      <w:pPr>
        <w:pStyle w:val="ListParagraph"/>
        <w:snapToGrid w:val="0"/>
        <w:spacing w:before="120" w:after="240" w:line="360" w:lineRule="auto"/>
        <w:ind w:left="0"/>
        <w:contextualSpacing w:val="0"/>
        <w:rPr>
          <w:b/>
          <w:i/>
          <w:sz w:val="28"/>
          <w:szCs w:val="28"/>
        </w:rPr>
      </w:pPr>
      <w:r w:rsidRPr="00414E19">
        <w:rPr>
          <w:b/>
          <w:i/>
          <w:sz w:val="28"/>
          <w:szCs w:val="28"/>
        </w:rPr>
        <w:t>D.</w:t>
      </w:r>
      <w:r w:rsidRPr="00414E19">
        <w:rPr>
          <w:b/>
          <w:i/>
          <w:sz w:val="28"/>
          <w:szCs w:val="28"/>
        </w:rPr>
        <w:tab/>
        <w:t>The proper construction of “for the carriage of passengers for hire or reward” in s.52(3)</w:t>
      </w:r>
    </w:p>
    <w:p w:rsidR="00340DA7" w:rsidRPr="00414E19" w:rsidRDefault="00340DA7" w:rsidP="000671E7">
      <w:pPr>
        <w:pStyle w:val="ListParagraph"/>
        <w:numPr>
          <w:ilvl w:val="0"/>
          <w:numId w:val="1"/>
        </w:numPr>
        <w:tabs>
          <w:tab w:val="left" w:pos="1440"/>
        </w:tabs>
        <w:snapToGrid w:val="0"/>
        <w:spacing w:before="120" w:after="360" w:line="360" w:lineRule="auto"/>
        <w:ind w:left="0" w:firstLine="0"/>
        <w:contextualSpacing w:val="0"/>
        <w:rPr>
          <w:sz w:val="28"/>
          <w:szCs w:val="28"/>
        </w:rPr>
      </w:pPr>
      <w:r w:rsidRPr="00414E19">
        <w:rPr>
          <w:sz w:val="28"/>
          <w:szCs w:val="28"/>
        </w:rPr>
        <w:t>It is now long-established in Hong Kong that the exercise of statutory construction involves “an integrated consideration of text, context and purpose”</w:t>
      </w:r>
      <w:r w:rsidRPr="00414E19">
        <w:rPr>
          <w:rStyle w:val="FootnoteReference"/>
          <w:sz w:val="28"/>
          <w:szCs w:val="28"/>
        </w:rPr>
        <w:footnoteReference w:id="27"/>
      </w:r>
      <w:r w:rsidRPr="00414E19">
        <w:rPr>
          <w:sz w:val="28"/>
          <w:szCs w:val="28"/>
        </w:rPr>
        <w:t xml:space="preserve"> of the provision to be construed.  The context of a statutory provision includes other provisions of the statute itself and, in seeking to ascertain its purpose, a statement made by the responsible official of the Government in relation to the bill in the Legislative Council may, sometimes, be used.</w:t>
      </w:r>
      <w:r w:rsidRPr="00414E19">
        <w:rPr>
          <w:rStyle w:val="FootnoteReference"/>
          <w:sz w:val="28"/>
          <w:szCs w:val="28"/>
        </w:rPr>
        <w:footnoteReference w:id="28"/>
      </w:r>
    </w:p>
    <w:p w:rsidR="00340DA7" w:rsidRPr="00414E19" w:rsidRDefault="00340DA7" w:rsidP="000671E7">
      <w:pPr>
        <w:pStyle w:val="ListParagraph"/>
        <w:numPr>
          <w:ilvl w:val="0"/>
          <w:numId w:val="1"/>
        </w:numPr>
        <w:tabs>
          <w:tab w:val="left" w:pos="1440"/>
        </w:tabs>
        <w:snapToGrid w:val="0"/>
        <w:spacing w:before="120" w:after="360" w:line="360" w:lineRule="auto"/>
        <w:ind w:left="0" w:firstLine="0"/>
        <w:contextualSpacing w:val="0"/>
        <w:rPr>
          <w:sz w:val="28"/>
          <w:szCs w:val="28"/>
        </w:rPr>
      </w:pPr>
      <w:r w:rsidRPr="00414E19">
        <w:rPr>
          <w:sz w:val="28"/>
          <w:szCs w:val="28"/>
        </w:rPr>
        <w:t>Applying those principles of statutory construction, and for the reasons that follow, I would reject the appellants’ construction of s.52(3), namely that the phrase “for the carriage of passengers for hire or reward” requires a direct agreement for carriage between the driver and passenger concerned.  Whether considered individually or cumulatively, the bases advanced by the appellants do not provide a sound support for their construction of s.52(3).</w:t>
      </w:r>
    </w:p>
    <w:p w:rsidR="00340DA7" w:rsidRPr="00414E19" w:rsidRDefault="00340DA7" w:rsidP="000671E7">
      <w:pPr>
        <w:pStyle w:val="ListParagraph"/>
        <w:snapToGrid w:val="0"/>
        <w:spacing w:before="120" w:after="240" w:line="360" w:lineRule="auto"/>
        <w:ind w:left="0"/>
        <w:contextualSpacing w:val="0"/>
        <w:rPr>
          <w:b/>
          <w:i/>
          <w:sz w:val="28"/>
          <w:szCs w:val="28"/>
        </w:rPr>
      </w:pPr>
      <w:r w:rsidRPr="00414E19">
        <w:rPr>
          <w:b/>
          <w:i/>
          <w:sz w:val="28"/>
          <w:szCs w:val="28"/>
        </w:rPr>
        <w:t>D.1</w:t>
      </w:r>
      <w:r w:rsidRPr="00414E19">
        <w:rPr>
          <w:b/>
          <w:i/>
          <w:sz w:val="28"/>
          <w:szCs w:val="28"/>
        </w:rPr>
        <w:tab/>
        <w:t>The wording of s.52(3)</w:t>
      </w:r>
    </w:p>
    <w:p w:rsidR="00340DA7" w:rsidRPr="00414E19" w:rsidRDefault="00340DA7" w:rsidP="000671E7">
      <w:pPr>
        <w:pStyle w:val="ListParagraph"/>
        <w:numPr>
          <w:ilvl w:val="0"/>
          <w:numId w:val="1"/>
        </w:numPr>
        <w:tabs>
          <w:tab w:val="left" w:pos="1440"/>
        </w:tabs>
        <w:snapToGrid w:val="0"/>
        <w:spacing w:before="120" w:after="360" w:line="360" w:lineRule="auto"/>
        <w:ind w:left="0" w:firstLine="0"/>
        <w:contextualSpacing w:val="0"/>
        <w:rPr>
          <w:sz w:val="28"/>
          <w:szCs w:val="28"/>
        </w:rPr>
      </w:pPr>
      <w:r w:rsidRPr="00414E19">
        <w:rPr>
          <w:sz w:val="28"/>
          <w:szCs w:val="28"/>
        </w:rPr>
        <w:t>In the printed Case for the Appellants, it was contended</w:t>
      </w:r>
      <w:r w:rsidRPr="00414E19">
        <w:rPr>
          <w:rStyle w:val="FootnoteReference"/>
          <w:sz w:val="28"/>
          <w:szCs w:val="28"/>
        </w:rPr>
        <w:footnoteReference w:id="29"/>
      </w:r>
      <w:r w:rsidRPr="00414E19">
        <w:rPr>
          <w:sz w:val="28"/>
          <w:szCs w:val="28"/>
        </w:rPr>
        <w:t xml:space="preserve"> that the use of the connecting word “for” twice in the phrase “for the carriage of passengers for hire or reward” in s.52(3) links the “hire or reward” and the </w:t>
      </w:r>
      <w:r w:rsidRPr="00414E19">
        <w:rPr>
          <w:sz w:val="28"/>
          <w:szCs w:val="28"/>
        </w:rPr>
        <w:lastRenderedPageBreak/>
        <w:t>“carriage of passengers”, therefore requiring a direct causative link between (</w:t>
      </w:r>
      <w:proofErr w:type="spellStart"/>
      <w:r w:rsidRPr="00414E19">
        <w:rPr>
          <w:sz w:val="28"/>
          <w:szCs w:val="28"/>
        </w:rPr>
        <w:t>i</w:t>
      </w:r>
      <w:proofErr w:type="spellEnd"/>
      <w:r w:rsidRPr="00414E19">
        <w:rPr>
          <w:sz w:val="28"/>
          <w:szCs w:val="28"/>
        </w:rPr>
        <w:t xml:space="preserve">) the defendant’s act of driving, (ii) his carriage of passengers, and (iii) his reward “that is to be derived directly from that singular act of driving passengers”.  He must, it was submitted, be driving for the sole purpose of the carriage of passengers for reward and “the offence is proven only if the Appellants were driving for the sole purpose of fulfilling a direct agreement for carriage between himself and the passenger (i.e. </w:t>
      </w:r>
      <w:r w:rsidRPr="00414E19">
        <w:rPr>
          <w:i/>
          <w:sz w:val="28"/>
          <w:szCs w:val="28"/>
        </w:rPr>
        <w:t>for</w:t>
      </w:r>
      <w:r w:rsidRPr="00414E19">
        <w:rPr>
          <w:sz w:val="28"/>
          <w:szCs w:val="28"/>
        </w:rPr>
        <w:t xml:space="preserve"> the carriage of passengers) </w:t>
      </w:r>
      <w:r w:rsidRPr="00414E19">
        <w:rPr>
          <w:i/>
          <w:sz w:val="28"/>
          <w:szCs w:val="28"/>
        </w:rPr>
        <w:t>from which</w:t>
      </w:r>
      <w:r w:rsidRPr="00414E19">
        <w:rPr>
          <w:sz w:val="28"/>
          <w:szCs w:val="28"/>
        </w:rPr>
        <w:t xml:space="preserve"> he was to be rewarded (i.e. </w:t>
      </w:r>
      <w:r w:rsidRPr="00414E19">
        <w:rPr>
          <w:i/>
          <w:sz w:val="28"/>
          <w:szCs w:val="28"/>
        </w:rPr>
        <w:t>for</w:t>
      </w:r>
      <w:r w:rsidRPr="00414E19">
        <w:rPr>
          <w:sz w:val="28"/>
          <w:szCs w:val="28"/>
        </w:rPr>
        <w:t xml:space="preserve"> hire or reward)”.</w:t>
      </w:r>
      <w:r w:rsidRPr="00414E19">
        <w:rPr>
          <w:rStyle w:val="FootnoteReference"/>
          <w:sz w:val="28"/>
          <w:szCs w:val="28"/>
        </w:rPr>
        <w:footnoteReference w:id="30"/>
      </w:r>
    </w:p>
    <w:p w:rsidR="00340DA7" w:rsidRPr="00414E19" w:rsidRDefault="00340DA7" w:rsidP="000671E7">
      <w:pPr>
        <w:pStyle w:val="ListParagraph"/>
        <w:numPr>
          <w:ilvl w:val="0"/>
          <w:numId w:val="1"/>
        </w:numPr>
        <w:tabs>
          <w:tab w:val="left" w:pos="1440"/>
        </w:tabs>
        <w:snapToGrid w:val="0"/>
        <w:spacing w:before="120" w:after="360" w:line="360" w:lineRule="auto"/>
        <w:ind w:left="0" w:firstLine="0"/>
        <w:contextualSpacing w:val="0"/>
        <w:rPr>
          <w:sz w:val="28"/>
          <w:szCs w:val="28"/>
        </w:rPr>
      </w:pPr>
      <w:r w:rsidRPr="00414E19">
        <w:rPr>
          <w:sz w:val="28"/>
          <w:szCs w:val="28"/>
        </w:rPr>
        <w:t>Whilst there can be little doubt that s.52(3) requires there to be a link between the carriage of passengers and the hire or reward, it does not follow that the link must take the form of a single bipartite contract between the driver and his passenger.  On the contrary, such a construction of s.52(3) would make no sense in the context of the driver of a public bus or public light bus (s.52(3)(</w:t>
      </w:r>
      <w:proofErr w:type="spellStart"/>
      <w:r w:rsidRPr="00414E19">
        <w:rPr>
          <w:sz w:val="28"/>
          <w:szCs w:val="28"/>
        </w:rPr>
        <w:t>i</w:t>
      </w:r>
      <w:proofErr w:type="spellEnd"/>
      <w:r w:rsidRPr="00414E19">
        <w:rPr>
          <w:sz w:val="28"/>
          <w:szCs w:val="28"/>
        </w:rPr>
        <w:t>)), since the contract for the carriage would be between the passenger and the bus company; similarly, for a private bus (s.52(3)(ii)) or private light bus (s.52(</w:t>
      </w:r>
      <w:proofErr w:type="gramStart"/>
      <w:r w:rsidRPr="00414E19">
        <w:rPr>
          <w:sz w:val="28"/>
          <w:szCs w:val="28"/>
        </w:rPr>
        <w:t>3)(</w:t>
      </w:r>
      <w:proofErr w:type="spellStart"/>
      <w:proofErr w:type="gramEnd"/>
      <w:r w:rsidRPr="00414E19">
        <w:rPr>
          <w:sz w:val="28"/>
          <w:szCs w:val="28"/>
        </w:rPr>
        <w:t>iia</w:t>
      </w:r>
      <w:proofErr w:type="spellEnd"/>
      <w:r w:rsidRPr="00414E19">
        <w:rPr>
          <w:sz w:val="28"/>
          <w:szCs w:val="28"/>
        </w:rPr>
        <w:t>)).  In addition, it would not sit with the distinction between the persons who drive the motor vehicle and the persons who use, suffer or permit the vehicle to be driven.  Those words (“use”, “suffer or permit”) indicate that someone other than the driver may be involved in the carriage.</w:t>
      </w:r>
    </w:p>
    <w:p w:rsidR="00340DA7" w:rsidRPr="00414E19" w:rsidRDefault="00340DA7" w:rsidP="000671E7">
      <w:pPr>
        <w:pStyle w:val="ListParagraph"/>
        <w:numPr>
          <w:ilvl w:val="0"/>
          <w:numId w:val="1"/>
        </w:numPr>
        <w:tabs>
          <w:tab w:val="left" w:pos="1440"/>
        </w:tabs>
        <w:snapToGrid w:val="0"/>
        <w:spacing w:before="120" w:after="360" w:line="360" w:lineRule="auto"/>
        <w:ind w:left="0" w:firstLine="0"/>
        <w:contextualSpacing w:val="0"/>
        <w:rPr>
          <w:sz w:val="28"/>
          <w:szCs w:val="28"/>
        </w:rPr>
      </w:pPr>
      <w:r w:rsidRPr="00414E19">
        <w:rPr>
          <w:sz w:val="28"/>
          <w:szCs w:val="28"/>
        </w:rPr>
        <w:t xml:space="preserve">The context of s.52(3) therefore suggests that the words “for hire or reward” are to be read as referring to the nature or circumstance of the carriage rather than requiring the direct agreement contended for by the appellants.  These words focus on the nature of the carriage of the passenger in the motor vehicle.  The essential inquiry in most, if not, all cases is this: is the carriage of the </w:t>
      </w:r>
      <w:r w:rsidRPr="00414E19">
        <w:rPr>
          <w:sz w:val="28"/>
          <w:szCs w:val="28"/>
        </w:rPr>
        <w:lastRenderedPageBreak/>
        <w:t>passenger for hire or reward, whether by or from the passenger (the usual case) or someone else?</w:t>
      </w:r>
    </w:p>
    <w:p w:rsidR="00340DA7" w:rsidRPr="00414E19" w:rsidRDefault="00340DA7" w:rsidP="000671E7">
      <w:pPr>
        <w:pStyle w:val="ListParagraph"/>
        <w:numPr>
          <w:ilvl w:val="0"/>
          <w:numId w:val="1"/>
        </w:numPr>
        <w:tabs>
          <w:tab w:val="left" w:pos="1440"/>
        </w:tabs>
        <w:snapToGrid w:val="0"/>
        <w:spacing w:before="120" w:after="360" w:line="360" w:lineRule="auto"/>
        <w:ind w:left="0" w:firstLine="0"/>
        <w:contextualSpacing w:val="0"/>
        <w:rPr>
          <w:sz w:val="28"/>
          <w:szCs w:val="28"/>
        </w:rPr>
      </w:pPr>
      <w:r w:rsidRPr="00414E19">
        <w:rPr>
          <w:sz w:val="28"/>
          <w:szCs w:val="28"/>
        </w:rPr>
        <w:t xml:space="preserve">To illustrate this, one may take the example, put to counsel for the appellants by Lord </w:t>
      </w:r>
      <w:proofErr w:type="spellStart"/>
      <w:r w:rsidRPr="00414E19">
        <w:rPr>
          <w:sz w:val="28"/>
          <w:szCs w:val="28"/>
        </w:rPr>
        <w:t>Sumption</w:t>
      </w:r>
      <w:proofErr w:type="spellEnd"/>
      <w:r w:rsidRPr="00414E19">
        <w:rPr>
          <w:sz w:val="28"/>
          <w:szCs w:val="28"/>
        </w:rPr>
        <w:t xml:space="preserve"> NPJ at the hearing, of a taxi company that operates a fleet of 20 taxis and which takes telephone bookings for carriage from members of the public.  If a caller telephoned and ordered a taxi to collect them (or their child) from their home and to drive them to a given destination on the basis that payment would be made to the taxi company by cash tendered at the end of the journey to the driver as the company’s agent, there is no reason why, as a matter of the language, the driver would not be properly described as driving the vehicle for the carriage of passengers for hire or reward.</w:t>
      </w:r>
    </w:p>
    <w:p w:rsidR="00340DA7" w:rsidRPr="00414E19" w:rsidRDefault="00340DA7" w:rsidP="000671E7">
      <w:pPr>
        <w:pStyle w:val="ListParagraph"/>
        <w:snapToGrid w:val="0"/>
        <w:spacing w:before="120" w:after="240" w:line="360" w:lineRule="auto"/>
        <w:ind w:left="0"/>
        <w:contextualSpacing w:val="0"/>
        <w:rPr>
          <w:b/>
          <w:i/>
          <w:sz w:val="28"/>
          <w:szCs w:val="28"/>
        </w:rPr>
      </w:pPr>
      <w:r w:rsidRPr="00414E19">
        <w:rPr>
          <w:b/>
          <w:i/>
          <w:sz w:val="28"/>
          <w:szCs w:val="28"/>
        </w:rPr>
        <w:t>D.2</w:t>
      </w:r>
      <w:r w:rsidRPr="00414E19">
        <w:rPr>
          <w:b/>
          <w:i/>
          <w:sz w:val="28"/>
          <w:szCs w:val="28"/>
        </w:rPr>
        <w:tab/>
        <w:t>The legislative purpose of s.52(3)</w:t>
      </w:r>
    </w:p>
    <w:p w:rsidR="00340DA7" w:rsidRPr="00414E19" w:rsidRDefault="00340DA7" w:rsidP="000671E7">
      <w:pPr>
        <w:pStyle w:val="ListParagraph"/>
        <w:numPr>
          <w:ilvl w:val="0"/>
          <w:numId w:val="1"/>
        </w:numPr>
        <w:tabs>
          <w:tab w:val="left" w:pos="1440"/>
        </w:tabs>
        <w:snapToGrid w:val="0"/>
        <w:spacing w:before="120" w:after="360" w:line="360" w:lineRule="auto"/>
        <w:ind w:left="0" w:firstLine="0"/>
        <w:contextualSpacing w:val="0"/>
        <w:rPr>
          <w:sz w:val="28"/>
          <w:szCs w:val="28"/>
        </w:rPr>
      </w:pPr>
      <w:r w:rsidRPr="00414E19">
        <w:rPr>
          <w:sz w:val="28"/>
          <w:szCs w:val="28"/>
        </w:rPr>
        <w:t>The appellants also contended in their printed case</w:t>
      </w:r>
      <w:r w:rsidRPr="00414E19">
        <w:rPr>
          <w:rStyle w:val="FootnoteReference"/>
          <w:sz w:val="28"/>
          <w:szCs w:val="28"/>
        </w:rPr>
        <w:footnoteReference w:id="31"/>
      </w:r>
      <w:r w:rsidRPr="00414E19">
        <w:rPr>
          <w:sz w:val="28"/>
          <w:szCs w:val="28"/>
        </w:rPr>
        <w:t xml:space="preserve"> that the legislative purpose of s.52(3) was to prevent all cars, other than taxis, from plying for hire on the streets and that the abolition of “public hire cars” as a class of vehicle was to stop them plying for hire on the streets as if they were taxis.  This mischief was also the reason for the controls imposed over </w:t>
      </w:r>
      <w:proofErr w:type="spellStart"/>
      <w:r w:rsidRPr="00414E19">
        <w:rPr>
          <w:i/>
          <w:sz w:val="28"/>
          <w:szCs w:val="28"/>
        </w:rPr>
        <w:t>pak</w:t>
      </w:r>
      <w:proofErr w:type="spellEnd"/>
      <w:r w:rsidRPr="00414E19">
        <w:rPr>
          <w:i/>
          <w:sz w:val="28"/>
          <w:szCs w:val="28"/>
        </w:rPr>
        <w:t xml:space="preserve"> </w:t>
      </w:r>
      <w:proofErr w:type="spellStart"/>
      <w:r w:rsidRPr="00414E19">
        <w:rPr>
          <w:i/>
          <w:sz w:val="28"/>
          <w:szCs w:val="28"/>
        </w:rPr>
        <w:t>pais</w:t>
      </w:r>
      <w:proofErr w:type="spellEnd"/>
      <w:r w:rsidRPr="00414E19">
        <w:rPr>
          <w:sz w:val="28"/>
          <w:szCs w:val="28"/>
        </w:rPr>
        <w:t xml:space="preserve"> by the introduction of the hire car permit regime.</w:t>
      </w:r>
    </w:p>
    <w:p w:rsidR="00340DA7" w:rsidRPr="00414E19" w:rsidRDefault="00340DA7" w:rsidP="000671E7">
      <w:pPr>
        <w:pStyle w:val="ListParagraph"/>
        <w:numPr>
          <w:ilvl w:val="0"/>
          <w:numId w:val="1"/>
        </w:numPr>
        <w:tabs>
          <w:tab w:val="left" w:pos="1440"/>
        </w:tabs>
        <w:snapToGrid w:val="0"/>
        <w:spacing w:before="120" w:after="360" w:line="360" w:lineRule="auto"/>
        <w:ind w:left="0" w:firstLine="0"/>
        <w:contextualSpacing w:val="0"/>
        <w:rPr>
          <w:sz w:val="28"/>
          <w:szCs w:val="28"/>
        </w:rPr>
      </w:pPr>
      <w:r w:rsidRPr="00414E19">
        <w:rPr>
          <w:sz w:val="28"/>
          <w:szCs w:val="28"/>
        </w:rPr>
        <w:t xml:space="preserve">It was further contended that, adopting a purposive approach, s.52(3) must be construed restrictively otherwise a driver under an extraneous contract, such as a chauffeur driving under an employment contract, would also be caught when carrying his employer’s friends of family or his employer’s employees or </w:t>
      </w:r>
      <w:r w:rsidRPr="00414E19">
        <w:rPr>
          <w:sz w:val="28"/>
          <w:szCs w:val="28"/>
        </w:rPr>
        <w:lastRenderedPageBreak/>
        <w:t>work associates.  It was clearly not the intention of the legislature, the appellants contended, to target this sort of normal business or economic activity.</w:t>
      </w:r>
      <w:r w:rsidRPr="00414E19">
        <w:rPr>
          <w:rStyle w:val="FootnoteReference"/>
          <w:sz w:val="28"/>
          <w:szCs w:val="28"/>
        </w:rPr>
        <w:footnoteReference w:id="32"/>
      </w:r>
      <w:r w:rsidRPr="00414E19">
        <w:rPr>
          <w:sz w:val="28"/>
          <w:szCs w:val="28"/>
        </w:rPr>
        <w:t xml:space="preserve">  </w:t>
      </w:r>
    </w:p>
    <w:p w:rsidR="00340DA7" w:rsidRPr="00414E19" w:rsidRDefault="00340DA7" w:rsidP="000671E7">
      <w:pPr>
        <w:pStyle w:val="ListParagraph"/>
        <w:numPr>
          <w:ilvl w:val="0"/>
          <w:numId w:val="1"/>
        </w:numPr>
        <w:tabs>
          <w:tab w:val="left" w:pos="1440"/>
        </w:tabs>
        <w:snapToGrid w:val="0"/>
        <w:spacing w:before="120" w:after="360" w:line="360" w:lineRule="auto"/>
        <w:ind w:left="0" w:firstLine="0"/>
        <w:contextualSpacing w:val="0"/>
        <w:rPr>
          <w:sz w:val="28"/>
          <w:szCs w:val="28"/>
        </w:rPr>
      </w:pPr>
      <w:r w:rsidRPr="00414E19">
        <w:rPr>
          <w:sz w:val="28"/>
          <w:szCs w:val="28"/>
        </w:rPr>
        <w:t>That the legislative purpose of s.52(3) is limited solely to a prohibition on plying for hire is, however, too narrow a description of the legislative purpose of s.52(3).  I have already touched on this in Sections B.2 and B.3 above.</w:t>
      </w:r>
    </w:p>
    <w:p w:rsidR="00340DA7" w:rsidRPr="00414E19" w:rsidRDefault="00340DA7" w:rsidP="000671E7">
      <w:pPr>
        <w:pStyle w:val="ListParagraph"/>
        <w:numPr>
          <w:ilvl w:val="0"/>
          <w:numId w:val="1"/>
        </w:numPr>
        <w:tabs>
          <w:tab w:val="left" w:pos="1440"/>
        </w:tabs>
        <w:snapToGrid w:val="0"/>
        <w:spacing w:before="120" w:after="360" w:line="360" w:lineRule="auto"/>
        <w:ind w:left="0" w:firstLine="0"/>
        <w:contextualSpacing w:val="0"/>
        <w:rPr>
          <w:sz w:val="28"/>
          <w:szCs w:val="28"/>
        </w:rPr>
      </w:pPr>
      <w:r w:rsidRPr="00414E19">
        <w:rPr>
          <w:sz w:val="28"/>
          <w:szCs w:val="28"/>
        </w:rPr>
        <w:t xml:space="preserve">There are clearly multiple legislative purposes served by the RTO and its various provisions.  In </w:t>
      </w:r>
      <w:r w:rsidRPr="00414E19">
        <w:rPr>
          <w:i/>
          <w:sz w:val="28"/>
          <w:szCs w:val="28"/>
        </w:rPr>
        <w:t xml:space="preserve">Cheung </w:t>
      </w:r>
      <w:proofErr w:type="spellStart"/>
      <w:r w:rsidRPr="00414E19">
        <w:rPr>
          <w:i/>
          <w:sz w:val="28"/>
          <w:szCs w:val="28"/>
        </w:rPr>
        <w:t>Wai</w:t>
      </w:r>
      <w:proofErr w:type="spellEnd"/>
      <w:r w:rsidRPr="00414E19">
        <w:rPr>
          <w:i/>
          <w:sz w:val="28"/>
          <w:szCs w:val="28"/>
        </w:rPr>
        <w:t xml:space="preserve"> </w:t>
      </w:r>
      <w:proofErr w:type="spellStart"/>
      <w:r w:rsidRPr="00414E19">
        <w:rPr>
          <w:i/>
          <w:sz w:val="28"/>
          <w:szCs w:val="28"/>
        </w:rPr>
        <w:t>Kwong</w:t>
      </w:r>
      <w:proofErr w:type="spellEnd"/>
      <w:r w:rsidRPr="00414E19">
        <w:rPr>
          <w:sz w:val="28"/>
          <w:szCs w:val="28"/>
        </w:rPr>
        <w:t>, where the Court was concerned with the prohibition in s.52(1) of the RTO on the use of a vehicle unless registered and licensed, the legislative purposes were identified as including revenue generation, administrative regulation and road safety.</w:t>
      </w:r>
      <w:r w:rsidRPr="00414E19">
        <w:rPr>
          <w:rStyle w:val="FootnoteReference"/>
          <w:sz w:val="28"/>
          <w:szCs w:val="28"/>
        </w:rPr>
        <w:footnoteReference w:id="33"/>
      </w:r>
      <w:r w:rsidRPr="00414E19">
        <w:rPr>
          <w:sz w:val="28"/>
          <w:szCs w:val="28"/>
        </w:rPr>
        <w:t xml:space="preserve">  The prohibitions in s.52(3) on the carriage of passengers for hire or reward unless a relevant </w:t>
      </w:r>
      <w:proofErr w:type="spellStart"/>
      <w:r w:rsidRPr="00414E19">
        <w:rPr>
          <w:sz w:val="28"/>
          <w:szCs w:val="28"/>
        </w:rPr>
        <w:t>licence</w:t>
      </w:r>
      <w:proofErr w:type="spellEnd"/>
      <w:r w:rsidRPr="00414E19">
        <w:rPr>
          <w:sz w:val="28"/>
          <w:szCs w:val="28"/>
        </w:rPr>
        <w:t xml:space="preserve"> or hire car permit is in force for the vehicle in question also serve those same legislative purposes.  There is also an additional legislative purpose of s.52(3), read in the context of the RTO as a whole, which is the regulation of transport services businesses provided by a range of vehicles, including buses, taxis and private cars.</w:t>
      </w:r>
    </w:p>
    <w:p w:rsidR="00340DA7" w:rsidRPr="00414E19" w:rsidRDefault="00340DA7" w:rsidP="000671E7">
      <w:pPr>
        <w:pStyle w:val="ListParagraph"/>
        <w:numPr>
          <w:ilvl w:val="0"/>
          <w:numId w:val="1"/>
        </w:numPr>
        <w:tabs>
          <w:tab w:val="left" w:pos="1440"/>
        </w:tabs>
        <w:snapToGrid w:val="0"/>
        <w:spacing w:before="120" w:after="240" w:line="360" w:lineRule="auto"/>
        <w:ind w:left="0" w:firstLine="0"/>
        <w:contextualSpacing w:val="0"/>
        <w:rPr>
          <w:sz w:val="28"/>
          <w:szCs w:val="28"/>
        </w:rPr>
      </w:pPr>
      <w:r w:rsidRPr="00414E19">
        <w:rPr>
          <w:sz w:val="28"/>
          <w:szCs w:val="28"/>
        </w:rPr>
        <w:t>In this regard, it is relevant to note that there are various statutory provisions regulating such transport services businesses.  Thus:</w:t>
      </w:r>
    </w:p>
    <w:p w:rsidR="00340DA7" w:rsidRPr="00414E19" w:rsidRDefault="00340DA7" w:rsidP="00EE108D">
      <w:pPr>
        <w:pStyle w:val="ListParagraph"/>
        <w:numPr>
          <w:ilvl w:val="1"/>
          <w:numId w:val="1"/>
        </w:numPr>
        <w:tabs>
          <w:tab w:val="left" w:pos="1440"/>
        </w:tabs>
        <w:snapToGrid w:val="0"/>
        <w:spacing w:before="120" w:after="240" w:line="360" w:lineRule="auto"/>
        <w:contextualSpacing w:val="0"/>
        <w:rPr>
          <w:sz w:val="28"/>
          <w:szCs w:val="28"/>
        </w:rPr>
      </w:pPr>
      <w:r w:rsidRPr="00414E19">
        <w:rPr>
          <w:sz w:val="28"/>
          <w:szCs w:val="28"/>
        </w:rPr>
        <w:t xml:space="preserve">Public service vehicles are defined in s.2 of the RTO as “any motor vehicle registered as a public bus, public light bus or taxi, or as a private car in respect of which a hire car permit is in force” and such vehicles are subject to regulations for their licensing and operations </w:t>
      </w:r>
      <w:r w:rsidRPr="00414E19">
        <w:rPr>
          <w:sz w:val="28"/>
          <w:szCs w:val="28"/>
        </w:rPr>
        <w:lastRenderedPageBreak/>
        <w:t>in the Public Bus Services Ordinance (Cap.230), Public Bus Services Regulations (Cap.230A), and Road Traffic (Public Service Vehicles) Regulations (Cap.374D).</w:t>
      </w:r>
    </w:p>
    <w:p w:rsidR="00340DA7" w:rsidRPr="00414E19" w:rsidRDefault="00340DA7" w:rsidP="00EE108D">
      <w:pPr>
        <w:pStyle w:val="ListParagraph"/>
        <w:numPr>
          <w:ilvl w:val="1"/>
          <w:numId w:val="1"/>
        </w:numPr>
        <w:tabs>
          <w:tab w:val="left" w:pos="1440"/>
        </w:tabs>
        <w:snapToGrid w:val="0"/>
        <w:spacing w:before="120" w:after="240" w:line="360" w:lineRule="auto"/>
        <w:contextualSpacing w:val="0"/>
        <w:rPr>
          <w:sz w:val="28"/>
          <w:szCs w:val="28"/>
        </w:rPr>
      </w:pPr>
      <w:r w:rsidRPr="00414E19">
        <w:rPr>
          <w:sz w:val="28"/>
          <w:szCs w:val="28"/>
        </w:rPr>
        <w:t xml:space="preserve">Taxis are subject to the requirement of a taxi </w:t>
      </w:r>
      <w:proofErr w:type="spellStart"/>
      <w:r w:rsidRPr="00414E19">
        <w:rPr>
          <w:sz w:val="28"/>
          <w:szCs w:val="28"/>
        </w:rPr>
        <w:t>licence</w:t>
      </w:r>
      <w:proofErr w:type="spellEnd"/>
      <w:r w:rsidRPr="00414E19">
        <w:rPr>
          <w:sz w:val="28"/>
          <w:szCs w:val="28"/>
        </w:rPr>
        <w:t xml:space="preserve"> (RTO, ss.22(1) and 25), and licensing and public safety requirements, namely:</w:t>
      </w:r>
    </w:p>
    <w:p w:rsidR="00340DA7" w:rsidRPr="00414E19" w:rsidRDefault="00340DA7" w:rsidP="00EE108D">
      <w:pPr>
        <w:pStyle w:val="ListParagraph"/>
        <w:numPr>
          <w:ilvl w:val="2"/>
          <w:numId w:val="1"/>
        </w:numPr>
        <w:tabs>
          <w:tab w:val="left" w:pos="2160"/>
        </w:tabs>
        <w:snapToGrid w:val="0"/>
        <w:spacing w:before="120" w:after="240" w:line="360" w:lineRule="auto"/>
        <w:contextualSpacing w:val="0"/>
        <w:rPr>
          <w:sz w:val="28"/>
          <w:szCs w:val="28"/>
        </w:rPr>
      </w:pPr>
      <w:r w:rsidRPr="00414E19">
        <w:rPr>
          <w:sz w:val="28"/>
          <w:szCs w:val="28"/>
        </w:rPr>
        <w:t xml:space="preserve">the requirement in Part III of the Road Traffic (Construction and Maintenance of Vehicles) Regulations (Cap.374A) that the taxi pass a vehicle examination every year for the </w:t>
      </w:r>
      <w:proofErr w:type="spellStart"/>
      <w:r w:rsidRPr="00414E19">
        <w:rPr>
          <w:sz w:val="28"/>
          <w:szCs w:val="28"/>
        </w:rPr>
        <w:t>licence</w:t>
      </w:r>
      <w:proofErr w:type="spellEnd"/>
      <w:r w:rsidRPr="00414E19">
        <w:rPr>
          <w:sz w:val="28"/>
          <w:szCs w:val="28"/>
        </w:rPr>
        <w:t xml:space="preserve"> to be renewed;</w:t>
      </w:r>
    </w:p>
    <w:p w:rsidR="00340DA7" w:rsidRPr="00414E19" w:rsidRDefault="00340DA7" w:rsidP="00EE108D">
      <w:pPr>
        <w:pStyle w:val="ListParagraph"/>
        <w:numPr>
          <w:ilvl w:val="2"/>
          <w:numId w:val="1"/>
        </w:numPr>
        <w:tabs>
          <w:tab w:val="left" w:pos="2160"/>
        </w:tabs>
        <w:snapToGrid w:val="0"/>
        <w:spacing w:before="120" w:after="240" w:line="360" w:lineRule="auto"/>
        <w:contextualSpacing w:val="0"/>
        <w:rPr>
          <w:sz w:val="28"/>
          <w:szCs w:val="28"/>
        </w:rPr>
      </w:pPr>
      <w:r w:rsidRPr="00414E19">
        <w:rPr>
          <w:sz w:val="28"/>
          <w:szCs w:val="28"/>
        </w:rPr>
        <w:t xml:space="preserve">the provision that a person cannot obtain a taxi driving </w:t>
      </w:r>
      <w:proofErr w:type="spellStart"/>
      <w:r w:rsidRPr="00414E19">
        <w:rPr>
          <w:sz w:val="28"/>
          <w:szCs w:val="28"/>
        </w:rPr>
        <w:t>licence</w:t>
      </w:r>
      <w:proofErr w:type="spellEnd"/>
      <w:r w:rsidRPr="00414E19">
        <w:rPr>
          <w:sz w:val="28"/>
          <w:szCs w:val="28"/>
        </w:rPr>
        <w:t xml:space="preserve"> unless he has at least three years’ driving experience and does not have any serious driving conviction within the previous five years (Road Traffic (Driving </w:t>
      </w:r>
      <w:proofErr w:type="spellStart"/>
      <w:r w:rsidRPr="00414E19">
        <w:rPr>
          <w:sz w:val="28"/>
          <w:szCs w:val="28"/>
        </w:rPr>
        <w:t>Licences</w:t>
      </w:r>
      <w:proofErr w:type="spellEnd"/>
      <w:r w:rsidRPr="00414E19">
        <w:rPr>
          <w:sz w:val="28"/>
          <w:szCs w:val="28"/>
        </w:rPr>
        <w:t>) Regulations, Cap.374B, reg. 8), and the requirement that he be tested on his familiarity with the taxi regulations and local places and routes (Cap.374B, reg. 33 and Schedule 8); and</w:t>
      </w:r>
    </w:p>
    <w:p w:rsidR="00340DA7" w:rsidRPr="00414E19" w:rsidRDefault="00340DA7" w:rsidP="00EE108D">
      <w:pPr>
        <w:pStyle w:val="ListParagraph"/>
        <w:numPr>
          <w:ilvl w:val="2"/>
          <w:numId w:val="1"/>
        </w:numPr>
        <w:tabs>
          <w:tab w:val="left" w:pos="2160"/>
        </w:tabs>
        <w:snapToGrid w:val="0"/>
        <w:spacing w:before="120" w:after="240" w:line="360" w:lineRule="auto"/>
        <w:contextualSpacing w:val="0"/>
        <w:rPr>
          <w:sz w:val="28"/>
          <w:szCs w:val="28"/>
        </w:rPr>
      </w:pPr>
      <w:r w:rsidRPr="00414E19">
        <w:rPr>
          <w:sz w:val="28"/>
          <w:szCs w:val="28"/>
        </w:rPr>
        <w:t xml:space="preserve">the requirements that taxis take the most direct practicable route and charge a fare according to a prescribed schedule of fares (Cap.374D, </w:t>
      </w:r>
      <w:proofErr w:type="spellStart"/>
      <w:r w:rsidRPr="00414E19">
        <w:rPr>
          <w:sz w:val="28"/>
          <w:szCs w:val="28"/>
        </w:rPr>
        <w:t>regs</w:t>
      </w:r>
      <w:proofErr w:type="spellEnd"/>
      <w:r w:rsidRPr="00414E19">
        <w:rPr>
          <w:sz w:val="28"/>
          <w:szCs w:val="28"/>
        </w:rPr>
        <w:t>. 37(d) and 47); the fare must be calculated by taximeter, to be tested every six months (Cap.374A, reg. 44(1)).</w:t>
      </w:r>
    </w:p>
    <w:p w:rsidR="00340DA7" w:rsidRPr="00414E19" w:rsidRDefault="00340DA7" w:rsidP="00EE108D">
      <w:pPr>
        <w:pStyle w:val="ListParagraph"/>
        <w:numPr>
          <w:ilvl w:val="1"/>
          <w:numId w:val="1"/>
        </w:numPr>
        <w:tabs>
          <w:tab w:val="left" w:pos="1440"/>
        </w:tabs>
        <w:snapToGrid w:val="0"/>
        <w:spacing w:before="120" w:after="240" w:line="360" w:lineRule="auto"/>
        <w:contextualSpacing w:val="0"/>
        <w:rPr>
          <w:sz w:val="28"/>
          <w:szCs w:val="28"/>
        </w:rPr>
      </w:pPr>
      <w:r w:rsidRPr="00414E19">
        <w:rPr>
          <w:sz w:val="28"/>
          <w:szCs w:val="28"/>
        </w:rPr>
        <w:t>Public buses are operated under franchises granted under</w:t>
      </w:r>
      <w:r w:rsidR="00BB1E76" w:rsidRPr="00414E19">
        <w:rPr>
          <w:sz w:val="28"/>
          <w:szCs w:val="28"/>
        </w:rPr>
        <w:t xml:space="preserve"> s.5 of</w:t>
      </w:r>
      <w:r w:rsidRPr="00414E19">
        <w:rPr>
          <w:sz w:val="28"/>
          <w:szCs w:val="28"/>
        </w:rPr>
        <w:t xml:space="preserve"> the Public Bus Services Ordinance (Cap.230), which require</w:t>
      </w:r>
      <w:r w:rsidR="00BB1E76" w:rsidRPr="00414E19">
        <w:rPr>
          <w:sz w:val="28"/>
          <w:szCs w:val="28"/>
        </w:rPr>
        <w:t>s</w:t>
      </w:r>
      <w:r w:rsidRPr="00414E19">
        <w:rPr>
          <w:sz w:val="28"/>
          <w:szCs w:val="28"/>
        </w:rPr>
        <w:t xml:space="preserve"> that: the franchisee must provide a proper and efficient service (s.12) and comply with the condition of the franchise (s.5(3)(c)); the bus service may only operate on specified routes (s.11) and its operation </w:t>
      </w:r>
      <w:r w:rsidRPr="00414E19">
        <w:rPr>
          <w:sz w:val="28"/>
          <w:szCs w:val="28"/>
        </w:rPr>
        <w:lastRenderedPageBreak/>
        <w:t>is subject to controls over matters such as fares, routes and frequency (ss.13-16A).</w:t>
      </w:r>
    </w:p>
    <w:p w:rsidR="00340DA7" w:rsidRPr="00414E19" w:rsidRDefault="00340DA7" w:rsidP="00EE108D">
      <w:pPr>
        <w:pStyle w:val="ListParagraph"/>
        <w:numPr>
          <w:ilvl w:val="1"/>
          <w:numId w:val="1"/>
        </w:numPr>
        <w:tabs>
          <w:tab w:val="left" w:pos="1440"/>
        </w:tabs>
        <w:snapToGrid w:val="0"/>
        <w:spacing w:before="120" w:after="240" w:line="360" w:lineRule="auto"/>
        <w:contextualSpacing w:val="0"/>
        <w:rPr>
          <w:sz w:val="28"/>
          <w:szCs w:val="28"/>
        </w:rPr>
      </w:pPr>
      <w:r w:rsidRPr="00414E19">
        <w:rPr>
          <w:sz w:val="28"/>
          <w:szCs w:val="28"/>
        </w:rPr>
        <w:t xml:space="preserve">Non-franchised public buses and public light buses are operated under passenger service </w:t>
      </w:r>
      <w:proofErr w:type="spellStart"/>
      <w:r w:rsidRPr="00414E19">
        <w:rPr>
          <w:sz w:val="28"/>
          <w:szCs w:val="28"/>
        </w:rPr>
        <w:t>licences</w:t>
      </w:r>
      <w:proofErr w:type="spellEnd"/>
      <w:r w:rsidRPr="00414E19">
        <w:rPr>
          <w:sz w:val="28"/>
          <w:szCs w:val="28"/>
        </w:rPr>
        <w:t xml:space="preserve"> granted under s.27 of the RTO and the Road Traffic (Public Service Vehicles) Regulations (Cap.374D), Part II, pursuant to which:</w:t>
      </w:r>
    </w:p>
    <w:p w:rsidR="00340DA7" w:rsidRPr="00414E19" w:rsidRDefault="00340DA7" w:rsidP="00EE108D">
      <w:pPr>
        <w:pStyle w:val="ListParagraph"/>
        <w:numPr>
          <w:ilvl w:val="2"/>
          <w:numId w:val="1"/>
        </w:numPr>
        <w:tabs>
          <w:tab w:val="left" w:pos="2160"/>
        </w:tabs>
        <w:snapToGrid w:val="0"/>
        <w:spacing w:before="120" w:after="240" w:line="360" w:lineRule="auto"/>
        <w:contextualSpacing w:val="0"/>
        <w:rPr>
          <w:sz w:val="28"/>
          <w:szCs w:val="28"/>
        </w:rPr>
      </w:pPr>
      <w:r w:rsidRPr="00414E19">
        <w:rPr>
          <w:sz w:val="28"/>
          <w:szCs w:val="28"/>
        </w:rPr>
        <w:t xml:space="preserve">each passenger service </w:t>
      </w:r>
      <w:proofErr w:type="spellStart"/>
      <w:r w:rsidRPr="00414E19">
        <w:rPr>
          <w:sz w:val="28"/>
          <w:szCs w:val="28"/>
        </w:rPr>
        <w:t>licence</w:t>
      </w:r>
      <w:proofErr w:type="spellEnd"/>
      <w:r w:rsidRPr="00414E19">
        <w:rPr>
          <w:sz w:val="28"/>
          <w:szCs w:val="28"/>
        </w:rPr>
        <w:t xml:space="preserve"> is granted at a fee payable to the Government (Cap.374D, reg. 10) and is valid for no more than five years (Cap.374D, reg. 6);</w:t>
      </w:r>
    </w:p>
    <w:p w:rsidR="00340DA7" w:rsidRPr="00414E19" w:rsidRDefault="00340DA7" w:rsidP="00EE108D">
      <w:pPr>
        <w:pStyle w:val="ListParagraph"/>
        <w:numPr>
          <w:ilvl w:val="2"/>
          <w:numId w:val="1"/>
        </w:numPr>
        <w:tabs>
          <w:tab w:val="left" w:pos="2160"/>
        </w:tabs>
        <w:snapToGrid w:val="0"/>
        <w:spacing w:before="120" w:after="240" w:line="360" w:lineRule="auto"/>
        <w:contextualSpacing w:val="0"/>
        <w:rPr>
          <w:sz w:val="28"/>
          <w:szCs w:val="28"/>
        </w:rPr>
      </w:pPr>
      <w:r w:rsidRPr="00414E19">
        <w:rPr>
          <w:sz w:val="28"/>
          <w:szCs w:val="28"/>
        </w:rPr>
        <w:t xml:space="preserve">the issue and renewal of passenger service </w:t>
      </w:r>
      <w:proofErr w:type="spellStart"/>
      <w:r w:rsidRPr="00414E19">
        <w:rPr>
          <w:sz w:val="28"/>
          <w:szCs w:val="28"/>
        </w:rPr>
        <w:t>licences</w:t>
      </w:r>
      <w:proofErr w:type="spellEnd"/>
      <w:r w:rsidRPr="00414E19">
        <w:rPr>
          <w:sz w:val="28"/>
          <w:szCs w:val="28"/>
        </w:rPr>
        <w:t xml:space="preserve"> are subject to policy considerations such as road traffic conditions and operator’s standard of service (Cap.374, s.28); and</w:t>
      </w:r>
    </w:p>
    <w:p w:rsidR="00340DA7" w:rsidRPr="00414E19" w:rsidRDefault="00340DA7" w:rsidP="00685301">
      <w:pPr>
        <w:pStyle w:val="ListParagraph"/>
        <w:numPr>
          <w:ilvl w:val="2"/>
          <w:numId w:val="1"/>
        </w:numPr>
        <w:tabs>
          <w:tab w:val="left" w:pos="2160"/>
        </w:tabs>
        <w:snapToGrid w:val="0"/>
        <w:spacing w:before="120" w:after="240" w:line="360" w:lineRule="auto"/>
        <w:contextualSpacing w:val="0"/>
        <w:rPr>
          <w:sz w:val="28"/>
          <w:szCs w:val="28"/>
        </w:rPr>
      </w:pPr>
      <w:r w:rsidRPr="00414E19">
        <w:rPr>
          <w:sz w:val="28"/>
          <w:szCs w:val="28"/>
        </w:rPr>
        <w:t xml:space="preserve">conditions may be imposed on passenger service </w:t>
      </w:r>
      <w:proofErr w:type="spellStart"/>
      <w:r w:rsidRPr="00414E19">
        <w:rPr>
          <w:sz w:val="28"/>
          <w:szCs w:val="28"/>
        </w:rPr>
        <w:t>licences</w:t>
      </w:r>
      <w:proofErr w:type="spellEnd"/>
      <w:r w:rsidRPr="00414E19">
        <w:rPr>
          <w:sz w:val="28"/>
          <w:szCs w:val="28"/>
        </w:rPr>
        <w:t xml:space="preserve"> regarding the use of vehicles, such as the number or type of vehicles, the areas and routes, stopping and pick-up points, fares to be charged and freque</w:t>
      </w:r>
      <w:r w:rsidR="00BE1551" w:rsidRPr="00414E19">
        <w:rPr>
          <w:sz w:val="28"/>
          <w:szCs w:val="28"/>
        </w:rPr>
        <w:t>ncy and period of service (Cap.</w:t>
      </w:r>
      <w:r w:rsidRPr="00414E19">
        <w:rPr>
          <w:sz w:val="28"/>
          <w:szCs w:val="28"/>
        </w:rPr>
        <w:t>374, s.29</w:t>
      </w:r>
      <w:r w:rsidR="00C935F4" w:rsidRPr="00414E19">
        <w:rPr>
          <w:sz w:val="28"/>
          <w:szCs w:val="28"/>
        </w:rPr>
        <w:t>(1)(b)</w:t>
      </w:r>
      <w:r w:rsidRPr="00414E19">
        <w:rPr>
          <w:sz w:val="28"/>
          <w:szCs w:val="28"/>
        </w:rPr>
        <w:t>).</w:t>
      </w:r>
    </w:p>
    <w:p w:rsidR="00340DA7" w:rsidRPr="00414E19" w:rsidRDefault="00340DA7" w:rsidP="00EE108D">
      <w:pPr>
        <w:pStyle w:val="ListParagraph"/>
        <w:numPr>
          <w:ilvl w:val="1"/>
          <w:numId w:val="1"/>
        </w:numPr>
        <w:tabs>
          <w:tab w:val="left" w:pos="1440"/>
        </w:tabs>
        <w:snapToGrid w:val="0"/>
        <w:spacing w:before="120" w:after="240" w:line="360" w:lineRule="auto"/>
        <w:contextualSpacing w:val="0"/>
        <w:rPr>
          <w:sz w:val="28"/>
          <w:szCs w:val="28"/>
        </w:rPr>
      </w:pPr>
      <w:r w:rsidRPr="00414E19">
        <w:rPr>
          <w:sz w:val="28"/>
          <w:szCs w:val="28"/>
        </w:rPr>
        <w:t>Public buses and public light buses are subject to detailed requirements regarding:</w:t>
      </w:r>
    </w:p>
    <w:p w:rsidR="00340DA7" w:rsidRPr="00414E19" w:rsidRDefault="00340DA7" w:rsidP="00EE108D">
      <w:pPr>
        <w:pStyle w:val="ListParagraph"/>
        <w:numPr>
          <w:ilvl w:val="2"/>
          <w:numId w:val="1"/>
        </w:numPr>
        <w:tabs>
          <w:tab w:val="left" w:pos="2160"/>
        </w:tabs>
        <w:snapToGrid w:val="0"/>
        <w:spacing w:before="120" w:after="240" w:line="360" w:lineRule="auto"/>
        <w:contextualSpacing w:val="0"/>
        <w:rPr>
          <w:sz w:val="28"/>
          <w:szCs w:val="28"/>
        </w:rPr>
      </w:pPr>
      <w:r w:rsidRPr="00414E19">
        <w:rPr>
          <w:sz w:val="28"/>
          <w:szCs w:val="28"/>
        </w:rPr>
        <w:t>their construction and maintenance (Road Traffic (Construction and Maintenance of Vehicles) Regulations (Cap.374A), Part III);</w:t>
      </w:r>
    </w:p>
    <w:p w:rsidR="00340DA7" w:rsidRPr="00414E19" w:rsidRDefault="00340DA7" w:rsidP="00EE108D">
      <w:pPr>
        <w:pStyle w:val="ListParagraph"/>
        <w:numPr>
          <w:ilvl w:val="2"/>
          <w:numId w:val="1"/>
        </w:numPr>
        <w:tabs>
          <w:tab w:val="left" w:pos="2160"/>
        </w:tabs>
        <w:snapToGrid w:val="0"/>
        <w:spacing w:before="120" w:after="240" w:line="360" w:lineRule="auto"/>
        <w:contextualSpacing w:val="0"/>
        <w:rPr>
          <w:sz w:val="28"/>
          <w:szCs w:val="28"/>
        </w:rPr>
      </w:pPr>
      <w:r w:rsidRPr="00414E19">
        <w:rPr>
          <w:sz w:val="28"/>
          <w:szCs w:val="28"/>
        </w:rPr>
        <w:t>the picking up and setting down of passengers (Cap.374D, reg. 33);</w:t>
      </w:r>
    </w:p>
    <w:p w:rsidR="00340DA7" w:rsidRPr="00414E19" w:rsidRDefault="00340DA7" w:rsidP="00EE108D">
      <w:pPr>
        <w:pStyle w:val="ListParagraph"/>
        <w:numPr>
          <w:ilvl w:val="2"/>
          <w:numId w:val="1"/>
        </w:numPr>
        <w:tabs>
          <w:tab w:val="left" w:pos="2160"/>
        </w:tabs>
        <w:snapToGrid w:val="0"/>
        <w:spacing w:before="120" w:after="240" w:line="360" w:lineRule="auto"/>
        <w:contextualSpacing w:val="0"/>
        <w:rPr>
          <w:sz w:val="28"/>
          <w:szCs w:val="28"/>
        </w:rPr>
      </w:pPr>
      <w:r w:rsidRPr="00414E19">
        <w:rPr>
          <w:sz w:val="28"/>
          <w:szCs w:val="28"/>
        </w:rPr>
        <w:lastRenderedPageBreak/>
        <w:t xml:space="preserve">the cleanliness and conduct of drivers and passengers (Cap.374D, </w:t>
      </w:r>
      <w:proofErr w:type="spellStart"/>
      <w:r w:rsidRPr="00414E19">
        <w:rPr>
          <w:sz w:val="28"/>
          <w:szCs w:val="28"/>
        </w:rPr>
        <w:t>regs</w:t>
      </w:r>
      <w:proofErr w:type="spellEnd"/>
      <w:r w:rsidRPr="00414E19">
        <w:rPr>
          <w:sz w:val="28"/>
          <w:szCs w:val="28"/>
        </w:rPr>
        <w:t>. 44-46); and</w:t>
      </w:r>
    </w:p>
    <w:p w:rsidR="00340DA7" w:rsidRPr="00414E19" w:rsidRDefault="00340DA7" w:rsidP="00EE108D">
      <w:pPr>
        <w:pStyle w:val="ListParagraph"/>
        <w:numPr>
          <w:ilvl w:val="2"/>
          <w:numId w:val="1"/>
        </w:numPr>
        <w:tabs>
          <w:tab w:val="left" w:pos="2160"/>
        </w:tabs>
        <w:snapToGrid w:val="0"/>
        <w:spacing w:before="120" w:after="240" w:line="360" w:lineRule="auto"/>
        <w:contextualSpacing w:val="0"/>
        <w:rPr>
          <w:sz w:val="28"/>
          <w:szCs w:val="28"/>
        </w:rPr>
      </w:pPr>
      <w:r w:rsidRPr="00414E19">
        <w:rPr>
          <w:sz w:val="28"/>
          <w:szCs w:val="28"/>
        </w:rPr>
        <w:t xml:space="preserve">the need for an applicant for a driving </w:t>
      </w:r>
      <w:proofErr w:type="spellStart"/>
      <w:r w:rsidRPr="00414E19">
        <w:rPr>
          <w:sz w:val="28"/>
          <w:szCs w:val="28"/>
        </w:rPr>
        <w:t>licence</w:t>
      </w:r>
      <w:proofErr w:type="spellEnd"/>
      <w:r w:rsidRPr="00414E19">
        <w:rPr>
          <w:sz w:val="28"/>
          <w:szCs w:val="28"/>
        </w:rPr>
        <w:t xml:space="preserve"> for a public light bus to complete a pre-service course (Cap.374B, reg. 8A).</w:t>
      </w:r>
    </w:p>
    <w:p w:rsidR="00340DA7" w:rsidRPr="00414E19" w:rsidRDefault="00340DA7" w:rsidP="00EE108D">
      <w:pPr>
        <w:pStyle w:val="ListParagraph"/>
        <w:numPr>
          <w:ilvl w:val="1"/>
          <w:numId w:val="1"/>
        </w:numPr>
        <w:snapToGrid w:val="0"/>
        <w:spacing w:before="120" w:after="360" w:line="360" w:lineRule="auto"/>
        <w:contextualSpacing w:val="0"/>
        <w:rPr>
          <w:sz w:val="28"/>
          <w:szCs w:val="28"/>
        </w:rPr>
      </w:pPr>
      <w:r w:rsidRPr="00414E19">
        <w:rPr>
          <w:sz w:val="28"/>
          <w:szCs w:val="28"/>
        </w:rPr>
        <w:t>Hire car permits are issued only if the</w:t>
      </w:r>
      <w:r w:rsidR="00531035" w:rsidRPr="00414E19">
        <w:rPr>
          <w:sz w:val="28"/>
          <w:szCs w:val="28"/>
        </w:rPr>
        <w:t xml:space="preserve"> Commissioner for Transport is satisfied that the requisite policy of insurance and vehicle </w:t>
      </w:r>
      <w:proofErr w:type="spellStart"/>
      <w:r w:rsidR="00531035" w:rsidRPr="00414E19">
        <w:rPr>
          <w:sz w:val="28"/>
          <w:szCs w:val="28"/>
        </w:rPr>
        <w:t>licence</w:t>
      </w:r>
      <w:proofErr w:type="spellEnd"/>
      <w:r w:rsidR="00531035" w:rsidRPr="00414E19">
        <w:rPr>
          <w:sz w:val="28"/>
          <w:szCs w:val="28"/>
        </w:rPr>
        <w:t xml:space="preserve"> are in force and that the type of hire car service is reasonably required (Cap.374D, reg. 14(3)).  In determining whether to issue a hire car permit, the Commissioner will have regard to the various matters stipulated in relation to each type of hire car service (Cap.374D, reg. 15).  The matters relevant to the issue of a hire car permit for a private hire car service are those specified in reg. 15(5) (set out at [14] above).  The respondent informed the </w:t>
      </w:r>
      <w:r w:rsidRPr="00414E19">
        <w:rPr>
          <w:sz w:val="28"/>
          <w:szCs w:val="28"/>
        </w:rPr>
        <w:t>Court that there are currently 1,040 private hire car permits in force, as against 18,163 taxis curren</w:t>
      </w:r>
      <w:r w:rsidR="00986A9A" w:rsidRPr="00414E19">
        <w:rPr>
          <w:sz w:val="28"/>
          <w:szCs w:val="28"/>
        </w:rPr>
        <w:t>tly in operation in Hong Kong.</w:t>
      </w:r>
      <w:r w:rsidRPr="00414E19">
        <w:rPr>
          <w:rStyle w:val="FootnoteReference"/>
          <w:sz w:val="28"/>
          <w:szCs w:val="28"/>
        </w:rPr>
        <w:footnoteReference w:id="34"/>
      </w:r>
    </w:p>
    <w:p w:rsidR="00340DA7" w:rsidRPr="00414E19" w:rsidRDefault="00340DA7" w:rsidP="00A37452">
      <w:pPr>
        <w:pStyle w:val="ListParagraph"/>
        <w:numPr>
          <w:ilvl w:val="0"/>
          <w:numId w:val="1"/>
        </w:numPr>
        <w:tabs>
          <w:tab w:val="left" w:pos="1440"/>
        </w:tabs>
        <w:snapToGrid w:val="0"/>
        <w:spacing w:before="120" w:after="360" w:line="360" w:lineRule="auto"/>
        <w:ind w:left="0" w:firstLine="0"/>
        <w:contextualSpacing w:val="0"/>
        <w:rPr>
          <w:sz w:val="28"/>
          <w:szCs w:val="28"/>
        </w:rPr>
      </w:pPr>
      <w:r w:rsidRPr="00414E19">
        <w:rPr>
          <w:sz w:val="28"/>
          <w:szCs w:val="28"/>
        </w:rPr>
        <w:t>The various regulations referred to in the preceding paragraph demonstrate clearly that vehicular passenger carriage in Hong Kong is</w:t>
      </w:r>
      <w:r w:rsidR="00986A9A" w:rsidRPr="00414E19">
        <w:rPr>
          <w:sz w:val="28"/>
          <w:szCs w:val="28"/>
        </w:rPr>
        <w:t xml:space="preserve"> intended to be </w:t>
      </w:r>
      <w:r w:rsidRPr="00414E19">
        <w:rPr>
          <w:sz w:val="28"/>
          <w:szCs w:val="28"/>
        </w:rPr>
        <w:t>operated on a strictly controlled basis.  A comprehensive</w:t>
      </w:r>
      <w:r w:rsidR="00986A9A" w:rsidRPr="00414E19">
        <w:rPr>
          <w:sz w:val="28"/>
          <w:szCs w:val="28"/>
        </w:rPr>
        <w:t xml:space="preserve"> statutory</w:t>
      </w:r>
      <w:r w:rsidRPr="00414E19">
        <w:rPr>
          <w:sz w:val="28"/>
          <w:szCs w:val="28"/>
        </w:rPr>
        <w:t xml:space="preserve"> regime</w:t>
      </w:r>
      <w:r w:rsidR="00986A9A" w:rsidRPr="00414E19">
        <w:rPr>
          <w:sz w:val="28"/>
          <w:szCs w:val="28"/>
        </w:rPr>
        <w:t xml:space="preserve"> has been established </w:t>
      </w:r>
      <w:r w:rsidRPr="00414E19">
        <w:rPr>
          <w:sz w:val="28"/>
          <w:szCs w:val="28"/>
        </w:rPr>
        <w:t xml:space="preserve">for the regulation and control of the operational standards, safety and quality of the various services in question.  These regulations form part of the context and purpose in which s.52(3) is to be construed.  As the Court noted in </w:t>
      </w:r>
      <w:r w:rsidRPr="00414E19">
        <w:rPr>
          <w:i/>
          <w:sz w:val="28"/>
          <w:szCs w:val="28"/>
        </w:rPr>
        <w:t>HKSAR v Ho Loy</w:t>
      </w:r>
      <w:r w:rsidRPr="00414E19">
        <w:rPr>
          <w:sz w:val="28"/>
          <w:szCs w:val="28"/>
        </w:rPr>
        <w:t>,</w:t>
      </w:r>
      <w:r w:rsidRPr="00414E19">
        <w:rPr>
          <w:rStyle w:val="FootnoteReference"/>
          <w:sz w:val="28"/>
          <w:szCs w:val="28"/>
        </w:rPr>
        <w:footnoteReference w:id="35"/>
      </w:r>
      <w:r w:rsidRPr="00414E19">
        <w:rPr>
          <w:sz w:val="28"/>
          <w:szCs w:val="28"/>
        </w:rPr>
        <w:t xml:space="preserve"> where the issue concerned regulations requiring compliance with a traffic sign, there is an important public interest in the statutory </w:t>
      </w:r>
      <w:r w:rsidRPr="00414E19">
        <w:rPr>
          <w:sz w:val="28"/>
          <w:szCs w:val="28"/>
        </w:rPr>
        <w:lastRenderedPageBreak/>
        <w:t>purpose of RTO provisions concerning the maintenance of road safety.</w:t>
      </w:r>
      <w:r w:rsidRPr="00414E19">
        <w:rPr>
          <w:rStyle w:val="FootnoteReference"/>
          <w:sz w:val="28"/>
          <w:szCs w:val="28"/>
        </w:rPr>
        <w:footnoteReference w:id="36"/>
      </w:r>
      <w:r w:rsidRPr="00414E19">
        <w:rPr>
          <w:sz w:val="28"/>
          <w:szCs w:val="28"/>
        </w:rPr>
        <w:t xml:space="preserve">  This public interest is also engaged in relation to the provision of passenger transport services.</w:t>
      </w:r>
    </w:p>
    <w:p w:rsidR="00340DA7" w:rsidRPr="00414E19" w:rsidRDefault="00340DA7" w:rsidP="00A37452">
      <w:pPr>
        <w:pStyle w:val="ListParagraph"/>
        <w:numPr>
          <w:ilvl w:val="0"/>
          <w:numId w:val="1"/>
        </w:numPr>
        <w:tabs>
          <w:tab w:val="num" w:pos="1440"/>
        </w:tabs>
        <w:snapToGrid w:val="0"/>
        <w:spacing w:before="120" w:after="240" w:line="360" w:lineRule="auto"/>
        <w:ind w:left="0" w:firstLine="0"/>
        <w:contextualSpacing w:val="0"/>
        <w:rPr>
          <w:sz w:val="28"/>
          <w:szCs w:val="28"/>
        </w:rPr>
      </w:pPr>
      <w:r w:rsidRPr="00414E19">
        <w:rPr>
          <w:sz w:val="28"/>
          <w:szCs w:val="28"/>
        </w:rPr>
        <w:t xml:space="preserve">That the legislative purpose of the hire car permit regime is not limited to private vehicles plying for hire on the streets is also reinforced by reference to the Secretary for the Environment’s speech moving the second reading of the Road Traffic (Amendment) Bill 1981 (set out at [27] above), in particular his reference to the fact that, after the implementation of the scheme under which </w:t>
      </w:r>
      <w:proofErr w:type="spellStart"/>
      <w:r w:rsidRPr="00414E19">
        <w:rPr>
          <w:i/>
          <w:sz w:val="28"/>
          <w:szCs w:val="28"/>
        </w:rPr>
        <w:t>pak</w:t>
      </w:r>
      <w:proofErr w:type="spellEnd"/>
      <w:r w:rsidRPr="00414E19">
        <w:rPr>
          <w:i/>
          <w:sz w:val="28"/>
          <w:szCs w:val="28"/>
        </w:rPr>
        <w:t xml:space="preserve"> </w:t>
      </w:r>
      <w:proofErr w:type="spellStart"/>
      <w:r w:rsidRPr="00414E19">
        <w:rPr>
          <w:i/>
          <w:sz w:val="28"/>
          <w:szCs w:val="28"/>
        </w:rPr>
        <w:t>pai</w:t>
      </w:r>
      <w:proofErr w:type="spellEnd"/>
      <w:r w:rsidRPr="00414E19">
        <w:rPr>
          <w:i/>
          <w:sz w:val="28"/>
          <w:szCs w:val="28"/>
        </w:rPr>
        <w:t xml:space="preserve"> </w:t>
      </w:r>
      <w:r w:rsidRPr="00414E19">
        <w:rPr>
          <w:sz w:val="28"/>
          <w:szCs w:val="28"/>
        </w:rPr>
        <w:t xml:space="preserve">operators could </w:t>
      </w:r>
      <w:proofErr w:type="spellStart"/>
      <w:r w:rsidRPr="00414E19">
        <w:rPr>
          <w:sz w:val="28"/>
          <w:szCs w:val="28"/>
        </w:rPr>
        <w:t>legalise</w:t>
      </w:r>
      <w:proofErr w:type="spellEnd"/>
      <w:r w:rsidRPr="00414E19">
        <w:rPr>
          <w:sz w:val="28"/>
          <w:szCs w:val="28"/>
        </w:rPr>
        <w:t xml:space="preserve"> their businesses under “controlled conditions”:</w:t>
      </w:r>
    </w:p>
    <w:p w:rsidR="00340DA7" w:rsidRPr="00414E19" w:rsidRDefault="00340DA7" w:rsidP="00245C41">
      <w:pPr>
        <w:pStyle w:val="ListParagraph"/>
        <w:snapToGrid w:val="0"/>
        <w:spacing w:after="120"/>
        <w:ind w:right="720"/>
        <w:contextualSpacing w:val="0"/>
        <w:rPr>
          <w:sz w:val="24"/>
          <w:szCs w:val="24"/>
        </w:rPr>
      </w:pPr>
      <w:r w:rsidRPr="00414E19">
        <w:rPr>
          <w:sz w:val="24"/>
          <w:szCs w:val="24"/>
        </w:rPr>
        <w:t>“… all illegal carrying without a contract hire</w:t>
      </w:r>
      <w:r w:rsidR="00974D51" w:rsidRPr="00414E19">
        <w:rPr>
          <w:sz w:val="24"/>
          <w:szCs w:val="24"/>
        </w:rPr>
        <w:t xml:space="preserve"> car</w:t>
      </w:r>
      <w:r w:rsidRPr="00414E19">
        <w:rPr>
          <w:sz w:val="24"/>
          <w:szCs w:val="24"/>
        </w:rPr>
        <w:t xml:space="preserve"> permit </w:t>
      </w:r>
      <w:r w:rsidRPr="00414E19">
        <w:rPr>
          <w:b/>
          <w:i/>
          <w:sz w:val="24"/>
          <w:szCs w:val="24"/>
        </w:rPr>
        <w:t>and</w:t>
      </w:r>
      <w:r w:rsidRPr="00414E19">
        <w:rPr>
          <w:sz w:val="24"/>
          <w:szCs w:val="24"/>
        </w:rPr>
        <w:t xml:space="preserve"> all plying and soliciting for hire or reward by vehicles other than taxis will be subject to stiffer legal sanctions”.  (Emphasis added)</w:t>
      </w:r>
    </w:p>
    <w:p w:rsidR="00340DA7" w:rsidRPr="00414E19" w:rsidRDefault="00340DA7" w:rsidP="00245C41">
      <w:pPr>
        <w:pStyle w:val="ListParagraph"/>
        <w:snapToGrid w:val="0"/>
        <w:contextualSpacing w:val="0"/>
        <w:rPr>
          <w:sz w:val="28"/>
          <w:szCs w:val="28"/>
        </w:rPr>
      </w:pPr>
    </w:p>
    <w:p w:rsidR="00340DA7" w:rsidRPr="00414E19" w:rsidRDefault="00340DA7" w:rsidP="00A37452">
      <w:pPr>
        <w:pStyle w:val="ListParagraph"/>
        <w:numPr>
          <w:ilvl w:val="0"/>
          <w:numId w:val="1"/>
        </w:numPr>
        <w:tabs>
          <w:tab w:val="left" w:pos="1440"/>
        </w:tabs>
        <w:snapToGrid w:val="0"/>
        <w:spacing w:before="120" w:after="360" w:line="360" w:lineRule="auto"/>
        <w:ind w:left="0" w:firstLine="0"/>
        <w:contextualSpacing w:val="0"/>
        <w:rPr>
          <w:sz w:val="28"/>
          <w:szCs w:val="28"/>
        </w:rPr>
      </w:pPr>
      <w:r w:rsidRPr="00414E19">
        <w:rPr>
          <w:sz w:val="28"/>
          <w:szCs w:val="28"/>
        </w:rPr>
        <w:t xml:space="preserve">In any event, that the provisions of s.52(3) are not limited to the </w:t>
      </w:r>
      <w:proofErr w:type="spellStart"/>
      <w:r w:rsidRPr="00414E19">
        <w:rPr>
          <w:i/>
          <w:sz w:val="28"/>
          <w:szCs w:val="28"/>
        </w:rPr>
        <w:t>pak</w:t>
      </w:r>
      <w:proofErr w:type="spellEnd"/>
      <w:r w:rsidRPr="00414E19">
        <w:rPr>
          <w:i/>
          <w:sz w:val="28"/>
          <w:szCs w:val="28"/>
        </w:rPr>
        <w:t xml:space="preserve"> </w:t>
      </w:r>
      <w:proofErr w:type="spellStart"/>
      <w:r w:rsidRPr="00414E19">
        <w:rPr>
          <w:i/>
          <w:sz w:val="28"/>
          <w:szCs w:val="28"/>
        </w:rPr>
        <w:t>pai</w:t>
      </w:r>
      <w:proofErr w:type="spellEnd"/>
      <w:r w:rsidRPr="00414E19">
        <w:rPr>
          <w:sz w:val="28"/>
          <w:szCs w:val="28"/>
        </w:rPr>
        <w:t xml:space="preserve"> plying for hire on the streets is also demonstrated by the use of the prohibition against certain vehicles standing or plying for hire or reward in s.52(6).  If s.52(3) were limited to the situation of a private hire car that was plying for hire or reward on the streets, there would be no need specifically to include a redundant prohibition of that activity in s.52(6).  It must be assumed that the legislature intended a distinction between the two types of carriage activities in the two sub-sections.  Since s.52(3) must include more than just the activity of plying for hire in the streets, the natural contextual meaning is that it extends to cover commercial carriage services to passengers for payment which are operated by a business entity even where the individual drivers have no separate agreement with the passengers being carried.</w:t>
      </w:r>
    </w:p>
    <w:p w:rsidR="00340DA7" w:rsidRPr="00414E19" w:rsidRDefault="00340DA7" w:rsidP="00A37452">
      <w:pPr>
        <w:pStyle w:val="ListParagraph"/>
        <w:numPr>
          <w:ilvl w:val="0"/>
          <w:numId w:val="1"/>
        </w:numPr>
        <w:tabs>
          <w:tab w:val="left" w:pos="1440"/>
        </w:tabs>
        <w:snapToGrid w:val="0"/>
        <w:spacing w:before="120" w:after="360" w:line="360" w:lineRule="auto"/>
        <w:ind w:left="0" w:firstLine="0"/>
        <w:contextualSpacing w:val="0"/>
        <w:rPr>
          <w:sz w:val="28"/>
          <w:szCs w:val="28"/>
        </w:rPr>
      </w:pPr>
      <w:r w:rsidRPr="00414E19">
        <w:rPr>
          <w:sz w:val="28"/>
          <w:szCs w:val="28"/>
        </w:rPr>
        <w:lastRenderedPageBreak/>
        <w:t>The appellants made the point</w:t>
      </w:r>
      <w:r w:rsidRPr="00414E19">
        <w:rPr>
          <w:rStyle w:val="FootnoteReference"/>
          <w:sz w:val="28"/>
          <w:szCs w:val="28"/>
        </w:rPr>
        <w:footnoteReference w:id="37"/>
      </w:r>
      <w:r w:rsidRPr="00414E19">
        <w:rPr>
          <w:sz w:val="28"/>
          <w:szCs w:val="28"/>
        </w:rPr>
        <w:t xml:space="preserve"> that there is no complaint here about the appellants not having valid third party insurance or their vehicles not being mechanically sound.  Whilst this may be so, it does not detract from the lack of supervision of the mechanical soundness of their vehicles as compared with taxis.  Nor does it necessarily mean that the more expensive third party insurance for commercial carriage, as opposed to domestic carriage, will have been arranged.</w:t>
      </w:r>
    </w:p>
    <w:p w:rsidR="00340DA7" w:rsidRPr="00414E19" w:rsidRDefault="00340DA7" w:rsidP="00A37452">
      <w:pPr>
        <w:pStyle w:val="ListParagraph"/>
        <w:numPr>
          <w:ilvl w:val="0"/>
          <w:numId w:val="1"/>
        </w:numPr>
        <w:tabs>
          <w:tab w:val="left" w:pos="1440"/>
        </w:tabs>
        <w:snapToGrid w:val="0"/>
        <w:spacing w:before="120" w:after="360" w:line="360" w:lineRule="auto"/>
        <w:ind w:left="0" w:firstLine="0"/>
        <w:contextualSpacing w:val="0"/>
        <w:rPr>
          <w:sz w:val="28"/>
          <w:szCs w:val="28"/>
        </w:rPr>
      </w:pPr>
      <w:r w:rsidRPr="00414E19">
        <w:rPr>
          <w:sz w:val="28"/>
          <w:szCs w:val="28"/>
        </w:rPr>
        <w:t>The appellants’ argument (see [39] above) that the construction of s.52(3) must be interpreted restrictively or else the offence could be committed by employed chauffeurs carrying passengers for their employers is unconvincing.  There will, of course, be cases which raise a legitimate question as to whether a driver is using a vehicle for the carriage of passengers for hire or reward.  An employed chauffeur who drives his employer’s spouse or child in the course of his employment will not usually be carrying a passenger for hire or reward in the sense that phrase should be understood in s.52(3).  This is because, although he is paid to carry the passengers, his carriage of the employer’s spouse or child is a natural way of his employer using the car as a private car and not part of a separate business arrangement for carriage.</w:t>
      </w:r>
    </w:p>
    <w:p w:rsidR="00340DA7" w:rsidRPr="00414E19" w:rsidRDefault="00340DA7" w:rsidP="00A37452">
      <w:pPr>
        <w:pStyle w:val="ListParagraph"/>
        <w:numPr>
          <w:ilvl w:val="0"/>
          <w:numId w:val="1"/>
        </w:numPr>
        <w:tabs>
          <w:tab w:val="left" w:pos="1440"/>
        </w:tabs>
        <w:snapToGrid w:val="0"/>
        <w:spacing w:before="120" w:after="240" w:line="360" w:lineRule="auto"/>
        <w:ind w:left="0" w:firstLine="0"/>
        <w:contextualSpacing w:val="0"/>
        <w:rPr>
          <w:sz w:val="28"/>
          <w:szCs w:val="28"/>
        </w:rPr>
      </w:pPr>
      <w:r w:rsidRPr="00414E19">
        <w:rPr>
          <w:sz w:val="28"/>
          <w:szCs w:val="28"/>
        </w:rPr>
        <w:t xml:space="preserve">The hire or reward arrangement envisaged in s.52(3) is a business one.  In this context, it is useful to refer to the House of Lords’ decision in </w:t>
      </w:r>
      <w:r w:rsidRPr="00414E19">
        <w:rPr>
          <w:i/>
          <w:sz w:val="28"/>
          <w:szCs w:val="28"/>
        </w:rPr>
        <w:t>Albert v Motor Insurers’ Bureau</w:t>
      </w:r>
      <w:r w:rsidRPr="00414E19">
        <w:rPr>
          <w:sz w:val="28"/>
          <w:szCs w:val="28"/>
        </w:rPr>
        <w:t>.</w:t>
      </w:r>
      <w:r w:rsidRPr="00414E19">
        <w:rPr>
          <w:rStyle w:val="FootnoteReference"/>
          <w:sz w:val="28"/>
          <w:szCs w:val="28"/>
        </w:rPr>
        <w:footnoteReference w:id="38"/>
      </w:r>
      <w:r w:rsidRPr="00414E19">
        <w:rPr>
          <w:sz w:val="28"/>
          <w:szCs w:val="28"/>
        </w:rPr>
        <w:t xml:space="preserve">   Although the issue in that case concerned whether a particular arrangement was carriage that required the driver to have compulsory third party insurance, the ratio of the decision was that </w:t>
      </w:r>
      <w:r w:rsidR="00957EC6" w:rsidRPr="00414E19">
        <w:rPr>
          <w:sz w:val="28"/>
          <w:szCs w:val="28"/>
        </w:rPr>
        <w:t>“</w:t>
      </w:r>
      <w:r w:rsidR="00974D51" w:rsidRPr="00414E19">
        <w:rPr>
          <w:sz w:val="28"/>
          <w:szCs w:val="28"/>
        </w:rPr>
        <w:t>‘</w:t>
      </w:r>
      <w:r w:rsidRPr="00414E19">
        <w:rPr>
          <w:sz w:val="28"/>
          <w:szCs w:val="28"/>
        </w:rPr>
        <w:t>a vehicle in which passengers are carried for hire or reward</w:t>
      </w:r>
      <w:r w:rsidR="00974D51" w:rsidRPr="00414E19">
        <w:rPr>
          <w:sz w:val="28"/>
          <w:szCs w:val="28"/>
        </w:rPr>
        <w:t>’</w:t>
      </w:r>
      <w:r w:rsidRPr="00414E19">
        <w:rPr>
          <w:sz w:val="28"/>
          <w:szCs w:val="28"/>
        </w:rPr>
        <w:t xml:space="preserve"> meant a vehicle used for the systematic carrying of passengers for reward, not necessarily on a contractual basis, going </w:t>
      </w:r>
      <w:r w:rsidRPr="00414E19">
        <w:rPr>
          <w:sz w:val="28"/>
          <w:szCs w:val="28"/>
        </w:rPr>
        <w:lastRenderedPageBreak/>
        <w:t>beyond the bounds of mere social kindness and amounting to a business activity”.</w:t>
      </w:r>
      <w:r w:rsidRPr="00414E19">
        <w:rPr>
          <w:rStyle w:val="FootnoteReference"/>
          <w:sz w:val="28"/>
          <w:szCs w:val="28"/>
        </w:rPr>
        <w:footnoteReference w:id="39"/>
      </w:r>
      <w:r w:rsidRPr="00414E19">
        <w:rPr>
          <w:sz w:val="28"/>
          <w:szCs w:val="28"/>
        </w:rPr>
        <w:t xml:space="preserve">  The point is perhaps most helpfully expressed by Lord Pearson in his speech where he said:</w:t>
      </w:r>
    </w:p>
    <w:p w:rsidR="00340DA7" w:rsidRPr="00414E19" w:rsidRDefault="00340DA7" w:rsidP="00245C41">
      <w:pPr>
        <w:pStyle w:val="ListParagraph"/>
        <w:snapToGrid w:val="0"/>
        <w:spacing w:after="120"/>
        <w:ind w:right="720"/>
        <w:contextualSpacing w:val="0"/>
        <w:rPr>
          <w:sz w:val="24"/>
          <w:szCs w:val="24"/>
        </w:rPr>
      </w:pPr>
      <w:r w:rsidRPr="00414E19">
        <w:rPr>
          <w:sz w:val="24"/>
          <w:szCs w:val="24"/>
        </w:rPr>
        <w:t xml:space="preserve">“One cannot fail to observe that a private motor car has passenger seats.  The owner-driver of a private motor car can very easily be helpful and obliging to friends and acquaintances by giving them lifts in his car.  He may himself like to have company on his journeys, but still he is conferring a </w:t>
      </w:r>
      <w:proofErr w:type="spellStart"/>
      <w:r w:rsidRPr="00414E19">
        <w:rPr>
          <w:sz w:val="24"/>
          <w:szCs w:val="24"/>
        </w:rPr>
        <w:t>favour</w:t>
      </w:r>
      <w:proofErr w:type="spellEnd"/>
      <w:r w:rsidRPr="00414E19">
        <w:rPr>
          <w:sz w:val="24"/>
          <w:szCs w:val="24"/>
        </w:rPr>
        <w:t xml:space="preserve">.  The passengers may, especially when this happens frequently, think it fitting that they should in return for the </w:t>
      </w:r>
      <w:proofErr w:type="spellStart"/>
      <w:r w:rsidRPr="00414E19">
        <w:rPr>
          <w:sz w:val="24"/>
          <w:szCs w:val="24"/>
        </w:rPr>
        <w:t>favour</w:t>
      </w:r>
      <w:proofErr w:type="spellEnd"/>
      <w:r w:rsidRPr="00414E19">
        <w:rPr>
          <w:sz w:val="24"/>
          <w:szCs w:val="24"/>
        </w:rPr>
        <w:t xml:space="preserve"> confer some benefit on the owner-driver.  Many co-operative or reciprocal arrangements, which are natural uses of a private motor car, were suggested in the course of</w:t>
      </w:r>
      <w:r w:rsidR="00957EC6" w:rsidRPr="00414E19">
        <w:rPr>
          <w:sz w:val="24"/>
          <w:szCs w:val="24"/>
        </w:rPr>
        <w:t xml:space="preserve"> the</w:t>
      </w:r>
      <w:r w:rsidRPr="00414E19">
        <w:rPr>
          <w:sz w:val="24"/>
          <w:szCs w:val="24"/>
        </w:rPr>
        <w:t xml:space="preserve"> argument.  For instance, A and B may for their weekly game of golf travel to the golf course in A’s car driven by A, and B make his contribution by paying for A’s lunch or green fee or for the petrol that is bought on the journey.  Mothers of children going to the same school may take turns at driving the children to and from the school.  A party of men living in the same village and going to work in a city may take turns at driving the party in their respective cars.  So long as such arrangements do not acquire the character of business arrangements they should be regarded as natural ways of using a private car as such and should not be regarded as involving the carriage of passengers for hire or reward.”</w:t>
      </w:r>
      <w:r w:rsidRPr="00414E19">
        <w:rPr>
          <w:rStyle w:val="FootnoteReference"/>
          <w:sz w:val="24"/>
          <w:szCs w:val="24"/>
        </w:rPr>
        <w:footnoteReference w:id="40"/>
      </w:r>
    </w:p>
    <w:p w:rsidR="00340DA7" w:rsidRPr="00414E19" w:rsidRDefault="00340DA7" w:rsidP="00245C41">
      <w:pPr>
        <w:pStyle w:val="ListParagraph"/>
        <w:snapToGrid w:val="0"/>
        <w:ind w:left="0"/>
        <w:contextualSpacing w:val="0"/>
        <w:rPr>
          <w:sz w:val="28"/>
          <w:szCs w:val="28"/>
        </w:rPr>
      </w:pPr>
    </w:p>
    <w:p w:rsidR="00340DA7" w:rsidRPr="00414E19" w:rsidRDefault="00340DA7" w:rsidP="002C746C">
      <w:pPr>
        <w:pStyle w:val="ListParagraph"/>
        <w:numPr>
          <w:ilvl w:val="0"/>
          <w:numId w:val="1"/>
        </w:numPr>
        <w:tabs>
          <w:tab w:val="left" w:pos="1440"/>
        </w:tabs>
        <w:snapToGrid w:val="0"/>
        <w:spacing w:before="120" w:after="360" w:line="360" w:lineRule="auto"/>
        <w:ind w:left="0" w:firstLine="0"/>
        <w:contextualSpacing w:val="0"/>
        <w:rPr>
          <w:sz w:val="28"/>
          <w:szCs w:val="28"/>
        </w:rPr>
      </w:pPr>
      <w:r w:rsidRPr="00414E19">
        <w:rPr>
          <w:sz w:val="28"/>
          <w:szCs w:val="28"/>
        </w:rPr>
        <w:t xml:space="preserve">Carriage will be for hire or reward, therefore, only where it constitutes “something more than </w:t>
      </w:r>
      <w:r w:rsidR="00957EC6" w:rsidRPr="00414E19">
        <w:rPr>
          <w:sz w:val="28"/>
          <w:szCs w:val="28"/>
        </w:rPr>
        <w:t>a</w:t>
      </w:r>
      <w:r w:rsidRPr="00414E19">
        <w:rPr>
          <w:sz w:val="28"/>
          <w:szCs w:val="28"/>
        </w:rPr>
        <w:t xml:space="preserve"> friendly arrangement such as was found to exist in </w:t>
      </w:r>
      <w:r w:rsidRPr="00414E19">
        <w:rPr>
          <w:i/>
          <w:sz w:val="28"/>
          <w:szCs w:val="28"/>
        </w:rPr>
        <w:t>Coward’s Case</w:t>
      </w:r>
      <w:r w:rsidRPr="00414E19">
        <w:rPr>
          <w:sz w:val="28"/>
          <w:szCs w:val="28"/>
        </w:rPr>
        <w:t>”.</w:t>
      </w:r>
      <w:r w:rsidRPr="00414E19">
        <w:rPr>
          <w:rStyle w:val="FootnoteReference"/>
          <w:sz w:val="28"/>
          <w:szCs w:val="28"/>
        </w:rPr>
        <w:footnoteReference w:id="41"/>
      </w:r>
      <w:r w:rsidRPr="00414E19">
        <w:rPr>
          <w:sz w:val="28"/>
          <w:szCs w:val="28"/>
        </w:rPr>
        <w:t xml:space="preserve">  The example of the employed chauffeur carrying passengers at the direction of his employer for his private purposes (which is not the case before us) can therefore be contrasted with the present case, where the appellants were providing a service to the public of on demand pick up of passengers and carriage to a destination of their choice, in return for payment from Uber for that carriage.  This transportation service had the clear character of </w:t>
      </w:r>
      <w:r w:rsidRPr="00414E19">
        <w:rPr>
          <w:sz w:val="28"/>
          <w:szCs w:val="28"/>
        </w:rPr>
        <w:lastRenderedPageBreak/>
        <w:t>a separate business arrangement for carriage and was not merely ancillary to some other form of employment as a driver.</w:t>
      </w:r>
    </w:p>
    <w:p w:rsidR="00340DA7" w:rsidRPr="00414E19" w:rsidRDefault="00340DA7" w:rsidP="002C746C">
      <w:pPr>
        <w:pStyle w:val="ListParagraph"/>
        <w:snapToGrid w:val="0"/>
        <w:spacing w:before="120" w:after="240" w:line="360" w:lineRule="auto"/>
        <w:ind w:left="0"/>
        <w:contextualSpacing w:val="0"/>
        <w:rPr>
          <w:b/>
          <w:i/>
          <w:sz w:val="28"/>
          <w:szCs w:val="28"/>
        </w:rPr>
      </w:pPr>
      <w:r w:rsidRPr="00414E19">
        <w:rPr>
          <w:b/>
          <w:i/>
          <w:sz w:val="28"/>
          <w:szCs w:val="28"/>
        </w:rPr>
        <w:t>D.3</w:t>
      </w:r>
      <w:r w:rsidRPr="00414E19">
        <w:rPr>
          <w:b/>
          <w:i/>
          <w:sz w:val="28"/>
          <w:szCs w:val="28"/>
        </w:rPr>
        <w:tab/>
        <w:t>The case law argument</w:t>
      </w:r>
    </w:p>
    <w:p w:rsidR="00340DA7" w:rsidRPr="00414E19" w:rsidRDefault="00340DA7" w:rsidP="00A37452">
      <w:pPr>
        <w:pStyle w:val="ListParagraph"/>
        <w:numPr>
          <w:ilvl w:val="0"/>
          <w:numId w:val="1"/>
        </w:numPr>
        <w:tabs>
          <w:tab w:val="left" w:pos="1440"/>
        </w:tabs>
        <w:snapToGrid w:val="0"/>
        <w:spacing w:before="120" w:after="360" w:line="360" w:lineRule="auto"/>
        <w:ind w:left="0" w:firstLine="0"/>
        <w:contextualSpacing w:val="0"/>
        <w:rPr>
          <w:sz w:val="28"/>
          <w:szCs w:val="28"/>
        </w:rPr>
      </w:pPr>
      <w:r w:rsidRPr="00414E19">
        <w:rPr>
          <w:sz w:val="28"/>
          <w:szCs w:val="28"/>
        </w:rPr>
        <w:t xml:space="preserve">The appellants cited two cases concerning prosecutions of </w:t>
      </w:r>
      <w:proofErr w:type="spellStart"/>
      <w:r w:rsidRPr="00414E19">
        <w:rPr>
          <w:i/>
          <w:sz w:val="28"/>
          <w:szCs w:val="28"/>
        </w:rPr>
        <w:t>pak</w:t>
      </w:r>
      <w:proofErr w:type="spellEnd"/>
      <w:r w:rsidRPr="00414E19">
        <w:rPr>
          <w:i/>
          <w:sz w:val="28"/>
          <w:szCs w:val="28"/>
        </w:rPr>
        <w:t xml:space="preserve"> </w:t>
      </w:r>
      <w:proofErr w:type="spellStart"/>
      <w:r w:rsidRPr="00414E19">
        <w:rPr>
          <w:i/>
          <w:sz w:val="28"/>
          <w:szCs w:val="28"/>
        </w:rPr>
        <w:t>pai</w:t>
      </w:r>
      <w:proofErr w:type="spellEnd"/>
      <w:r w:rsidRPr="00414E19">
        <w:rPr>
          <w:sz w:val="28"/>
          <w:szCs w:val="28"/>
        </w:rPr>
        <w:t xml:space="preserve"> drivers as being consistent with their construction of s.52(3).  These were </w:t>
      </w:r>
      <w:proofErr w:type="spellStart"/>
      <w:r w:rsidRPr="00414E19">
        <w:rPr>
          <w:i/>
          <w:sz w:val="28"/>
          <w:szCs w:val="28"/>
        </w:rPr>
        <w:t>Kwong</w:t>
      </w:r>
      <w:proofErr w:type="spellEnd"/>
      <w:r w:rsidRPr="00414E19">
        <w:rPr>
          <w:i/>
          <w:sz w:val="28"/>
          <w:szCs w:val="28"/>
        </w:rPr>
        <w:t xml:space="preserve"> Pak-yam v The Queen</w:t>
      </w:r>
      <w:r w:rsidRPr="00414E19">
        <w:rPr>
          <w:rStyle w:val="FootnoteReference"/>
          <w:sz w:val="28"/>
          <w:szCs w:val="28"/>
        </w:rPr>
        <w:footnoteReference w:id="42"/>
      </w:r>
      <w:r w:rsidRPr="00414E19">
        <w:rPr>
          <w:sz w:val="28"/>
          <w:szCs w:val="28"/>
        </w:rPr>
        <w:t xml:space="preserve"> and </w:t>
      </w:r>
      <w:r w:rsidRPr="00414E19">
        <w:rPr>
          <w:i/>
          <w:sz w:val="28"/>
          <w:szCs w:val="28"/>
        </w:rPr>
        <w:t xml:space="preserve">Ngai </w:t>
      </w:r>
      <w:proofErr w:type="spellStart"/>
      <w:r w:rsidRPr="00414E19">
        <w:rPr>
          <w:i/>
          <w:sz w:val="28"/>
          <w:szCs w:val="28"/>
        </w:rPr>
        <w:t>Kam-chung</w:t>
      </w:r>
      <w:proofErr w:type="spellEnd"/>
      <w:r w:rsidRPr="00414E19">
        <w:rPr>
          <w:i/>
          <w:sz w:val="28"/>
          <w:szCs w:val="28"/>
        </w:rPr>
        <w:t xml:space="preserve"> v The Queen</w:t>
      </w:r>
      <w:r w:rsidRPr="00414E19">
        <w:rPr>
          <w:sz w:val="28"/>
          <w:szCs w:val="28"/>
        </w:rPr>
        <w:t>.</w:t>
      </w:r>
      <w:r w:rsidRPr="00414E19">
        <w:rPr>
          <w:rStyle w:val="FootnoteReference"/>
          <w:sz w:val="28"/>
          <w:szCs w:val="28"/>
        </w:rPr>
        <w:footnoteReference w:id="43"/>
      </w:r>
    </w:p>
    <w:p w:rsidR="00340DA7" w:rsidRPr="00414E19" w:rsidRDefault="00340DA7" w:rsidP="00A37452">
      <w:pPr>
        <w:pStyle w:val="ListParagraph"/>
        <w:numPr>
          <w:ilvl w:val="0"/>
          <w:numId w:val="1"/>
        </w:numPr>
        <w:tabs>
          <w:tab w:val="left" w:pos="1440"/>
        </w:tabs>
        <w:snapToGrid w:val="0"/>
        <w:spacing w:before="120" w:after="360" w:line="360" w:lineRule="auto"/>
        <w:ind w:left="0" w:firstLine="0"/>
        <w:contextualSpacing w:val="0"/>
        <w:rPr>
          <w:sz w:val="28"/>
          <w:szCs w:val="28"/>
        </w:rPr>
      </w:pPr>
      <w:r w:rsidRPr="00414E19">
        <w:rPr>
          <w:sz w:val="28"/>
          <w:szCs w:val="28"/>
        </w:rPr>
        <w:t>Those were cases of drivers who solicited passengers and carried them from one point to another in return for payment of a fare.  They were held to have carried the passengers for reward.  The cases were therefore both cases of bipartite direct contracts between the passengers and the drivers.  The comments of Huggins J (as he then was) relied upon by the appellants as to the need for a contract between the driver and his passenger were case specific and, since he was not deciding the issue based on the facts of the present appeals, do not lend support to the appellants’ construction of s.52(3).  He was certainly not purporting to construe s.52(3) as only being applicable in a bipartite direct contractual situation.</w:t>
      </w:r>
    </w:p>
    <w:p w:rsidR="00340DA7" w:rsidRPr="00414E19" w:rsidRDefault="00340DA7" w:rsidP="00A37452">
      <w:pPr>
        <w:pStyle w:val="ListParagraph"/>
        <w:snapToGrid w:val="0"/>
        <w:spacing w:before="120" w:after="240" w:line="360" w:lineRule="auto"/>
        <w:ind w:left="0"/>
        <w:contextualSpacing w:val="0"/>
        <w:rPr>
          <w:b/>
          <w:i/>
          <w:sz w:val="28"/>
          <w:szCs w:val="28"/>
        </w:rPr>
      </w:pPr>
      <w:r w:rsidRPr="00414E19">
        <w:rPr>
          <w:b/>
          <w:i/>
          <w:sz w:val="28"/>
          <w:szCs w:val="28"/>
        </w:rPr>
        <w:t>D.4</w:t>
      </w:r>
      <w:r w:rsidRPr="00414E19">
        <w:rPr>
          <w:b/>
          <w:i/>
          <w:sz w:val="28"/>
          <w:szCs w:val="28"/>
        </w:rPr>
        <w:tab/>
        <w:t>The new technology contention</w:t>
      </w:r>
    </w:p>
    <w:p w:rsidR="00340DA7" w:rsidRPr="00414E19" w:rsidRDefault="00340DA7" w:rsidP="00A37452">
      <w:pPr>
        <w:pStyle w:val="ListParagraph"/>
        <w:numPr>
          <w:ilvl w:val="0"/>
          <w:numId w:val="1"/>
        </w:numPr>
        <w:tabs>
          <w:tab w:val="left" w:pos="1440"/>
        </w:tabs>
        <w:snapToGrid w:val="0"/>
        <w:spacing w:before="120" w:after="360" w:line="360" w:lineRule="auto"/>
        <w:ind w:left="0" w:firstLine="0"/>
        <w:contextualSpacing w:val="0"/>
        <w:rPr>
          <w:sz w:val="28"/>
          <w:szCs w:val="28"/>
        </w:rPr>
      </w:pPr>
      <w:r w:rsidRPr="00414E19">
        <w:rPr>
          <w:sz w:val="28"/>
          <w:szCs w:val="28"/>
        </w:rPr>
        <w:t xml:space="preserve">The appellants contended that the business model of the Uber App was not in the contemplation of the legislature when enacting s.52(3), so it cannot have been the legislative intent to </w:t>
      </w:r>
      <w:proofErr w:type="spellStart"/>
      <w:r w:rsidRPr="00414E19">
        <w:rPr>
          <w:sz w:val="28"/>
          <w:szCs w:val="28"/>
        </w:rPr>
        <w:t>criminalise</w:t>
      </w:r>
      <w:proofErr w:type="spellEnd"/>
      <w:r w:rsidRPr="00414E19">
        <w:rPr>
          <w:sz w:val="28"/>
          <w:szCs w:val="28"/>
        </w:rPr>
        <w:t xml:space="preserve"> the conduct leading to the charges against the appellants.  Reliance was placed on the case of </w:t>
      </w:r>
      <w:r w:rsidRPr="00414E19">
        <w:rPr>
          <w:i/>
          <w:sz w:val="28"/>
          <w:szCs w:val="28"/>
        </w:rPr>
        <w:t xml:space="preserve">Transport for London </w:t>
      </w:r>
      <w:r w:rsidRPr="00414E19">
        <w:rPr>
          <w:i/>
          <w:sz w:val="28"/>
          <w:szCs w:val="28"/>
        </w:rPr>
        <w:lastRenderedPageBreak/>
        <w:t>v Uber London Ltd</w:t>
      </w:r>
      <w:r w:rsidRPr="00414E19">
        <w:rPr>
          <w:rStyle w:val="FootnoteReference"/>
          <w:sz w:val="28"/>
          <w:szCs w:val="28"/>
        </w:rPr>
        <w:footnoteReference w:id="44"/>
      </w:r>
      <w:r w:rsidRPr="00414E19">
        <w:rPr>
          <w:sz w:val="28"/>
          <w:szCs w:val="28"/>
        </w:rPr>
        <w:t xml:space="preserve"> in support of the contention that an updating interpretation of s.52(3) to take into account this new technology was not warranted.  </w:t>
      </w:r>
    </w:p>
    <w:p w:rsidR="00340DA7" w:rsidRPr="00414E19" w:rsidRDefault="00340DA7" w:rsidP="00A37452">
      <w:pPr>
        <w:pStyle w:val="ListParagraph"/>
        <w:numPr>
          <w:ilvl w:val="0"/>
          <w:numId w:val="1"/>
        </w:numPr>
        <w:tabs>
          <w:tab w:val="left" w:pos="1440"/>
        </w:tabs>
        <w:snapToGrid w:val="0"/>
        <w:spacing w:before="120" w:after="360" w:line="360" w:lineRule="auto"/>
        <w:ind w:left="0" w:firstLine="0"/>
        <w:contextualSpacing w:val="0"/>
        <w:rPr>
          <w:sz w:val="28"/>
          <w:szCs w:val="28"/>
        </w:rPr>
      </w:pPr>
      <w:r w:rsidRPr="00414E19">
        <w:rPr>
          <w:sz w:val="28"/>
          <w:szCs w:val="28"/>
        </w:rPr>
        <w:t xml:space="preserve">Whilst it may be true to say that the Uber App was not in the specific contemplation of the legislature in 1982, it does not follow that the activity in which the appellants were engaged was not part of the mischief which the provisions of the RTO were intended to address.  Since the offence also catches the user of a vehicle, as distinct from its driver, as well as anyone who suffers or permits it to be driven for the carriage of passengers for hire or reward, it does not follow that, if a </w:t>
      </w:r>
      <w:proofErr w:type="spellStart"/>
      <w:r w:rsidRPr="00414E19">
        <w:rPr>
          <w:i/>
          <w:sz w:val="28"/>
          <w:szCs w:val="28"/>
        </w:rPr>
        <w:t>pak</w:t>
      </w:r>
      <w:proofErr w:type="spellEnd"/>
      <w:r w:rsidRPr="00414E19">
        <w:rPr>
          <w:i/>
          <w:sz w:val="28"/>
          <w:szCs w:val="28"/>
        </w:rPr>
        <w:t xml:space="preserve"> </w:t>
      </w:r>
      <w:proofErr w:type="spellStart"/>
      <w:r w:rsidRPr="00414E19">
        <w:rPr>
          <w:i/>
          <w:sz w:val="28"/>
          <w:szCs w:val="28"/>
        </w:rPr>
        <w:t>pai</w:t>
      </w:r>
      <w:proofErr w:type="spellEnd"/>
      <w:r w:rsidRPr="00414E19">
        <w:rPr>
          <w:sz w:val="28"/>
          <w:szCs w:val="28"/>
        </w:rPr>
        <w:t xml:space="preserve"> driver had used a third party dispatcher to receive requests for rides and to act as an accounting middleman in the commercial arrangement, that such activity would not have been within the mischief of the offence.  On the contrary, there is no obvious reason why that activity would not have been within the prohibition.</w:t>
      </w:r>
    </w:p>
    <w:p w:rsidR="00340DA7" w:rsidRPr="00414E19" w:rsidRDefault="00340DA7" w:rsidP="00A37452">
      <w:pPr>
        <w:pStyle w:val="ListParagraph"/>
        <w:numPr>
          <w:ilvl w:val="0"/>
          <w:numId w:val="1"/>
        </w:numPr>
        <w:tabs>
          <w:tab w:val="left" w:pos="1440"/>
        </w:tabs>
        <w:snapToGrid w:val="0"/>
        <w:spacing w:before="120" w:after="360" w:line="360" w:lineRule="auto"/>
        <w:ind w:left="0" w:firstLine="0"/>
        <w:contextualSpacing w:val="0"/>
        <w:rPr>
          <w:sz w:val="28"/>
          <w:szCs w:val="28"/>
        </w:rPr>
      </w:pPr>
      <w:r w:rsidRPr="00414E19">
        <w:rPr>
          <w:sz w:val="28"/>
          <w:szCs w:val="28"/>
        </w:rPr>
        <w:t xml:space="preserve">The </w:t>
      </w:r>
      <w:r w:rsidRPr="00414E19">
        <w:rPr>
          <w:i/>
          <w:sz w:val="28"/>
          <w:szCs w:val="28"/>
        </w:rPr>
        <w:t>Transport for London</w:t>
      </w:r>
      <w:r w:rsidRPr="00414E19">
        <w:rPr>
          <w:sz w:val="28"/>
          <w:szCs w:val="28"/>
        </w:rPr>
        <w:t xml:space="preserve"> case is distinguishable.  The issue there concerned the meaning of the word “taximeter” in s.11 of the Private Hire Vehicles (London) Act 1998 and the question was whether the Uber smartphone application provided to drivers that enabled information to be relayed to a server to calculate a fare was a taximeter within that provision.  It was held that the essence of a taximeter was a device for calculating fares whereas the smartphone was a device for recording time and distance and not for calculating the fare.  Accordingly, a smartphone was not a taximeter.</w:t>
      </w:r>
    </w:p>
    <w:p w:rsidR="00340DA7" w:rsidRPr="00414E19" w:rsidRDefault="00340DA7" w:rsidP="00A37452">
      <w:pPr>
        <w:pStyle w:val="ListParagraph"/>
        <w:numPr>
          <w:ilvl w:val="0"/>
          <w:numId w:val="1"/>
        </w:numPr>
        <w:tabs>
          <w:tab w:val="left" w:pos="1440"/>
        </w:tabs>
        <w:snapToGrid w:val="0"/>
        <w:spacing w:before="120" w:after="360" w:line="360" w:lineRule="auto"/>
        <w:ind w:left="0" w:firstLine="0"/>
        <w:contextualSpacing w:val="0"/>
        <w:rPr>
          <w:sz w:val="28"/>
          <w:szCs w:val="28"/>
        </w:rPr>
      </w:pPr>
      <w:r w:rsidRPr="00414E19">
        <w:rPr>
          <w:sz w:val="28"/>
          <w:szCs w:val="28"/>
        </w:rPr>
        <w:t xml:space="preserve">Instead, the present case raises the question of whether, merely because the Uber platform was used by passengers to request the appellants to pick them up and to give them the destination to which they wished to be carried, </w:t>
      </w:r>
      <w:r w:rsidRPr="00414E19">
        <w:rPr>
          <w:sz w:val="28"/>
          <w:szCs w:val="28"/>
        </w:rPr>
        <w:lastRenderedPageBreak/>
        <w:t xml:space="preserve">in return for a payment by the passenger to Uber and by Uber to the appellants, this falls outside the legislative intent of s.52(3) because that platform did not exist in 1982.  For the reasons set out above, there is no good reason to hold that it does.  This is simply an application of the principle that a statute is “always speaking”: see </w:t>
      </w:r>
      <w:r w:rsidRPr="00414E19">
        <w:rPr>
          <w:i/>
          <w:sz w:val="28"/>
          <w:szCs w:val="28"/>
        </w:rPr>
        <w:t>HKSAR v Wong Yuk Man</w:t>
      </w:r>
      <w:r w:rsidRPr="00414E19">
        <w:rPr>
          <w:sz w:val="28"/>
          <w:szCs w:val="28"/>
        </w:rPr>
        <w:t xml:space="preserve"> (2012) 15 HKCFAR 712 at [27] and </w:t>
      </w:r>
      <w:r w:rsidRPr="00414E19">
        <w:rPr>
          <w:i/>
          <w:sz w:val="28"/>
          <w:szCs w:val="28"/>
        </w:rPr>
        <w:t>R (</w:t>
      </w:r>
      <w:proofErr w:type="spellStart"/>
      <w:r w:rsidRPr="00414E19">
        <w:rPr>
          <w:i/>
          <w:sz w:val="28"/>
          <w:szCs w:val="28"/>
        </w:rPr>
        <w:t>Quintavalle</w:t>
      </w:r>
      <w:proofErr w:type="spellEnd"/>
      <w:r w:rsidRPr="00414E19">
        <w:rPr>
          <w:i/>
          <w:sz w:val="28"/>
          <w:szCs w:val="28"/>
        </w:rPr>
        <w:t>) v Health Secretary</w:t>
      </w:r>
      <w:r w:rsidRPr="00414E19">
        <w:rPr>
          <w:sz w:val="28"/>
          <w:szCs w:val="28"/>
        </w:rPr>
        <w:t xml:space="preserve"> [2003] 2 AC 687 per Lord Bingham at [9]</w:t>
      </w:r>
      <w:proofErr w:type="gramStart"/>
      <w:r w:rsidRPr="00414E19">
        <w:rPr>
          <w:sz w:val="28"/>
          <w:szCs w:val="28"/>
        </w:rPr>
        <w:t>-[</w:t>
      </w:r>
      <w:proofErr w:type="gramEnd"/>
      <w:r w:rsidRPr="00414E19">
        <w:rPr>
          <w:sz w:val="28"/>
          <w:szCs w:val="28"/>
        </w:rPr>
        <w:t xml:space="preserve">10].  It is also an example of the situation described by Lord </w:t>
      </w:r>
      <w:proofErr w:type="spellStart"/>
      <w:r w:rsidRPr="00414E19">
        <w:rPr>
          <w:sz w:val="28"/>
          <w:szCs w:val="28"/>
        </w:rPr>
        <w:t>Jowitt</w:t>
      </w:r>
      <w:proofErr w:type="spellEnd"/>
      <w:r w:rsidRPr="00414E19">
        <w:rPr>
          <w:sz w:val="28"/>
          <w:szCs w:val="28"/>
        </w:rPr>
        <w:t xml:space="preserve"> LC in </w:t>
      </w:r>
      <w:r w:rsidRPr="00414E19">
        <w:rPr>
          <w:i/>
          <w:sz w:val="28"/>
          <w:szCs w:val="28"/>
        </w:rPr>
        <w:t>Joyce v Director of Public Prosecutions</w:t>
      </w:r>
      <w:r w:rsidRPr="00414E19">
        <w:rPr>
          <w:sz w:val="28"/>
          <w:szCs w:val="28"/>
        </w:rPr>
        <w:t xml:space="preserve"> [1946] AC 347 at p.366: “[</w:t>
      </w:r>
      <w:proofErr w:type="spellStart"/>
      <w:r w:rsidRPr="00414E19">
        <w:rPr>
          <w:sz w:val="28"/>
          <w:szCs w:val="28"/>
        </w:rPr>
        <w:t>i</w:t>
      </w:r>
      <w:proofErr w:type="spellEnd"/>
      <w:r w:rsidRPr="00414E19">
        <w:rPr>
          <w:sz w:val="28"/>
          <w:szCs w:val="28"/>
        </w:rPr>
        <w:t>]t is not an extension of a penal law to apply its principle to circumstances unforeseen at the time of its enactment, so long as the case is fairly brought within its language</w:t>
      </w:r>
      <w:r w:rsidR="007F4478">
        <w:rPr>
          <w:sz w:val="28"/>
          <w:szCs w:val="28"/>
        </w:rPr>
        <w:t>.</w:t>
      </w:r>
      <w:r w:rsidRPr="00414E19">
        <w:rPr>
          <w:sz w:val="28"/>
          <w:szCs w:val="28"/>
        </w:rPr>
        <w:t>”  Notwithstanding that smartphone applications enabling the Uber business model were not specifically in contemplation when the relevant statutory prohibition was enacted, the activities of the appellants constituted “carriage of passengers for hire or reward” within the meaning of s.52(3) and well within the mischief that the statutory scheme seeks to address.</w:t>
      </w:r>
    </w:p>
    <w:p w:rsidR="00340DA7" w:rsidRPr="00414E19" w:rsidRDefault="00340DA7" w:rsidP="00A37452">
      <w:pPr>
        <w:pStyle w:val="ListParagraph"/>
        <w:snapToGrid w:val="0"/>
        <w:spacing w:before="120" w:after="240" w:line="360" w:lineRule="auto"/>
        <w:ind w:left="0"/>
        <w:contextualSpacing w:val="0"/>
        <w:rPr>
          <w:b/>
          <w:i/>
          <w:sz w:val="28"/>
          <w:szCs w:val="28"/>
        </w:rPr>
      </w:pPr>
      <w:r w:rsidRPr="00414E19">
        <w:rPr>
          <w:b/>
          <w:i/>
          <w:sz w:val="28"/>
          <w:szCs w:val="28"/>
        </w:rPr>
        <w:t>E.</w:t>
      </w:r>
      <w:r w:rsidRPr="00414E19">
        <w:rPr>
          <w:b/>
          <w:i/>
          <w:sz w:val="28"/>
          <w:szCs w:val="28"/>
        </w:rPr>
        <w:tab/>
        <w:t>The elements of the offence under s.52(3) clearly established here</w:t>
      </w:r>
    </w:p>
    <w:p w:rsidR="00340DA7" w:rsidRPr="00414E19" w:rsidRDefault="00340DA7" w:rsidP="00A37452">
      <w:pPr>
        <w:pStyle w:val="ListParagraph"/>
        <w:snapToGrid w:val="0"/>
        <w:spacing w:before="120" w:after="240" w:line="360" w:lineRule="auto"/>
        <w:ind w:left="0"/>
        <w:contextualSpacing w:val="0"/>
        <w:rPr>
          <w:b/>
          <w:i/>
          <w:sz w:val="28"/>
          <w:szCs w:val="28"/>
        </w:rPr>
      </w:pPr>
      <w:r w:rsidRPr="00414E19">
        <w:rPr>
          <w:b/>
          <w:i/>
          <w:sz w:val="28"/>
          <w:szCs w:val="28"/>
        </w:rPr>
        <w:t>E.1</w:t>
      </w:r>
      <w:r w:rsidRPr="00414E19">
        <w:rPr>
          <w:b/>
          <w:i/>
          <w:sz w:val="28"/>
          <w:szCs w:val="28"/>
        </w:rPr>
        <w:tab/>
        <w:t xml:space="preserve">The </w:t>
      </w:r>
      <w:proofErr w:type="spellStart"/>
      <w:r w:rsidRPr="00414E19">
        <w:rPr>
          <w:b/>
          <w:i/>
          <w:sz w:val="28"/>
          <w:szCs w:val="28"/>
        </w:rPr>
        <w:t>actus</w:t>
      </w:r>
      <w:proofErr w:type="spellEnd"/>
      <w:r w:rsidRPr="00414E19">
        <w:rPr>
          <w:b/>
          <w:i/>
          <w:sz w:val="28"/>
          <w:szCs w:val="28"/>
        </w:rPr>
        <w:t xml:space="preserve"> </w:t>
      </w:r>
      <w:proofErr w:type="spellStart"/>
      <w:r w:rsidRPr="00414E19">
        <w:rPr>
          <w:b/>
          <w:i/>
          <w:sz w:val="28"/>
          <w:szCs w:val="28"/>
        </w:rPr>
        <w:t>reus</w:t>
      </w:r>
      <w:proofErr w:type="spellEnd"/>
      <w:r w:rsidRPr="00414E19">
        <w:rPr>
          <w:b/>
          <w:i/>
          <w:sz w:val="28"/>
          <w:szCs w:val="28"/>
        </w:rPr>
        <w:t xml:space="preserve"> of the offence</w:t>
      </w:r>
    </w:p>
    <w:p w:rsidR="00340DA7" w:rsidRPr="00414E19" w:rsidRDefault="00340DA7" w:rsidP="00A37452">
      <w:pPr>
        <w:pStyle w:val="ListParagraph"/>
        <w:numPr>
          <w:ilvl w:val="0"/>
          <w:numId w:val="1"/>
        </w:numPr>
        <w:tabs>
          <w:tab w:val="left" w:pos="1440"/>
        </w:tabs>
        <w:snapToGrid w:val="0"/>
        <w:spacing w:before="120" w:after="240" w:line="360" w:lineRule="auto"/>
        <w:ind w:left="0" w:firstLine="0"/>
        <w:contextualSpacing w:val="0"/>
        <w:rPr>
          <w:sz w:val="28"/>
          <w:szCs w:val="28"/>
        </w:rPr>
      </w:pPr>
      <w:r w:rsidRPr="00414E19">
        <w:rPr>
          <w:sz w:val="28"/>
          <w:szCs w:val="28"/>
        </w:rPr>
        <w:t>Taking the above legislative purpose and context into account, the offence under s.52(3) is made out where it is established, to the requisite standard of proof, that:</w:t>
      </w:r>
    </w:p>
    <w:p w:rsidR="00340DA7" w:rsidRPr="00414E19" w:rsidRDefault="00340DA7" w:rsidP="00A37452">
      <w:pPr>
        <w:pStyle w:val="ListParagraph"/>
        <w:numPr>
          <w:ilvl w:val="1"/>
          <w:numId w:val="1"/>
        </w:numPr>
        <w:tabs>
          <w:tab w:val="left" w:pos="1440"/>
        </w:tabs>
        <w:snapToGrid w:val="0"/>
        <w:spacing w:before="120" w:after="240" w:line="360" w:lineRule="auto"/>
        <w:contextualSpacing w:val="0"/>
        <w:rPr>
          <w:sz w:val="28"/>
          <w:szCs w:val="28"/>
        </w:rPr>
      </w:pPr>
      <w:r w:rsidRPr="00414E19">
        <w:rPr>
          <w:sz w:val="28"/>
          <w:szCs w:val="28"/>
        </w:rPr>
        <w:t>a person has driven or used a motor vehicle, or suffered or permitted another to do so;</w:t>
      </w:r>
    </w:p>
    <w:p w:rsidR="00340DA7" w:rsidRPr="00414E19" w:rsidRDefault="00340DA7" w:rsidP="00A37452">
      <w:pPr>
        <w:pStyle w:val="ListParagraph"/>
        <w:numPr>
          <w:ilvl w:val="1"/>
          <w:numId w:val="1"/>
        </w:numPr>
        <w:tabs>
          <w:tab w:val="left" w:pos="1440"/>
        </w:tabs>
        <w:snapToGrid w:val="0"/>
        <w:spacing w:before="120" w:after="360" w:line="360" w:lineRule="auto"/>
        <w:contextualSpacing w:val="0"/>
        <w:rPr>
          <w:sz w:val="28"/>
          <w:szCs w:val="28"/>
        </w:rPr>
      </w:pPr>
      <w:r w:rsidRPr="00414E19">
        <w:rPr>
          <w:sz w:val="28"/>
          <w:szCs w:val="28"/>
        </w:rPr>
        <w:t xml:space="preserve">the driving or use of the vehicle has been for the purpose of carrying passengers for hire or reward in that the carriage is undertaken as a business or commercial arrangement whereby payment is made by </w:t>
      </w:r>
      <w:r w:rsidRPr="00414E19">
        <w:rPr>
          <w:sz w:val="28"/>
          <w:szCs w:val="28"/>
        </w:rPr>
        <w:lastRenderedPageBreak/>
        <w:t>the passenger or on his behalf (whether to the driver or some third party) and that payment is received (whether by the driver or some third party) in respect of the provision of the carriage in question.</w:t>
      </w:r>
    </w:p>
    <w:p w:rsidR="00340DA7" w:rsidRPr="00414E19" w:rsidRDefault="00340DA7" w:rsidP="00A37452">
      <w:pPr>
        <w:pStyle w:val="ListParagraph"/>
        <w:numPr>
          <w:ilvl w:val="0"/>
          <w:numId w:val="1"/>
        </w:numPr>
        <w:tabs>
          <w:tab w:val="left" w:pos="1440"/>
        </w:tabs>
        <w:snapToGrid w:val="0"/>
        <w:spacing w:before="120" w:after="360" w:line="360" w:lineRule="auto"/>
        <w:ind w:left="0" w:firstLine="0"/>
        <w:contextualSpacing w:val="0"/>
        <w:rPr>
          <w:sz w:val="28"/>
          <w:szCs w:val="28"/>
        </w:rPr>
      </w:pPr>
      <w:r w:rsidRPr="00414E19">
        <w:rPr>
          <w:sz w:val="28"/>
          <w:szCs w:val="28"/>
        </w:rPr>
        <w:t xml:space="preserve">In relation to sub-paragraph (1) of the preceding paragraph, the terms “drive”, “use”, “suffer” or “permit” another to “drive” or “use” will have the same meanings as those terms were held to have in </w:t>
      </w:r>
      <w:r w:rsidRPr="00414E19">
        <w:rPr>
          <w:i/>
          <w:sz w:val="28"/>
          <w:szCs w:val="28"/>
        </w:rPr>
        <w:t xml:space="preserve">Cheung </w:t>
      </w:r>
      <w:proofErr w:type="spellStart"/>
      <w:r w:rsidRPr="00414E19">
        <w:rPr>
          <w:i/>
          <w:sz w:val="28"/>
          <w:szCs w:val="28"/>
        </w:rPr>
        <w:t>Wai</w:t>
      </w:r>
      <w:proofErr w:type="spellEnd"/>
      <w:r w:rsidRPr="00414E19">
        <w:rPr>
          <w:i/>
          <w:sz w:val="28"/>
          <w:szCs w:val="28"/>
        </w:rPr>
        <w:t xml:space="preserve"> </w:t>
      </w:r>
      <w:proofErr w:type="spellStart"/>
      <w:r w:rsidRPr="00414E19">
        <w:rPr>
          <w:i/>
          <w:sz w:val="28"/>
          <w:szCs w:val="28"/>
        </w:rPr>
        <w:t>Kwong</w:t>
      </w:r>
      <w:proofErr w:type="spellEnd"/>
      <w:r w:rsidRPr="00414E19">
        <w:rPr>
          <w:sz w:val="28"/>
          <w:szCs w:val="28"/>
        </w:rPr>
        <w:t>: at [26]</w:t>
      </w:r>
      <w:proofErr w:type="gramStart"/>
      <w:r w:rsidRPr="00414E19">
        <w:rPr>
          <w:sz w:val="28"/>
          <w:szCs w:val="28"/>
        </w:rPr>
        <w:t>-[</w:t>
      </w:r>
      <w:proofErr w:type="gramEnd"/>
      <w:r w:rsidRPr="00414E19">
        <w:rPr>
          <w:sz w:val="28"/>
          <w:szCs w:val="28"/>
        </w:rPr>
        <w:t>29] for “drive”; at [30]-[34] for “use”, but subject to [35]-[37] in relation to vicarious user; and at [45] in relation to “suffer” or “permit”.</w:t>
      </w:r>
    </w:p>
    <w:p w:rsidR="00340DA7" w:rsidRPr="00414E19" w:rsidRDefault="00340DA7" w:rsidP="003804E9">
      <w:pPr>
        <w:pStyle w:val="ListParagraph"/>
        <w:numPr>
          <w:ilvl w:val="0"/>
          <w:numId w:val="1"/>
        </w:numPr>
        <w:tabs>
          <w:tab w:val="left" w:pos="1440"/>
        </w:tabs>
        <w:snapToGrid w:val="0"/>
        <w:spacing w:before="120" w:after="360" w:line="360" w:lineRule="auto"/>
        <w:ind w:left="0" w:firstLine="0"/>
        <w:contextualSpacing w:val="0"/>
        <w:rPr>
          <w:sz w:val="28"/>
          <w:szCs w:val="28"/>
        </w:rPr>
      </w:pPr>
      <w:r w:rsidRPr="00414E19">
        <w:rPr>
          <w:sz w:val="28"/>
          <w:szCs w:val="28"/>
        </w:rPr>
        <w:t>In the present case, the appellant drivers each drove a vehicle, in respect of which a hire car permit was not in force, for the carriage of passengers for hire or reward.  It was sufficient that the carriage was undertaken as part of the Uber ride service business and unnecessary that there be a direct contract between each driver and their respective passengers.</w:t>
      </w:r>
    </w:p>
    <w:p w:rsidR="00340DA7" w:rsidRPr="00414E19" w:rsidRDefault="00340DA7" w:rsidP="003804E9">
      <w:pPr>
        <w:pStyle w:val="ListParagraph"/>
        <w:snapToGrid w:val="0"/>
        <w:spacing w:before="120" w:after="240" w:line="360" w:lineRule="auto"/>
        <w:ind w:left="0"/>
        <w:contextualSpacing w:val="0"/>
        <w:rPr>
          <w:b/>
          <w:i/>
          <w:sz w:val="28"/>
          <w:szCs w:val="28"/>
        </w:rPr>
      </w:pPr>
      <w:r w:rsidRPr="00414E19">
        <w:rPr>
          <w:b/>
          <w:i/>
          <w:sz w:val="28"/>
          <w:szCs w:val="28"/>
        </w:rPr>
        <w:t>E.2</w:t>
      </w:r>
      <w:r w:rsidRPr="00414E19">
        <w:rPr>
          <w:b/>
          <w:i/>
          <w:sz w:val="28"/>
          <w:szCs w:val="28"/>
        </w:rPr>
        <w:tab/>
        <w:t xml:space="preserve">The </w:t>
      </w:r>
      <w:proofErr w:type="spellStart"/>
      <w:r w:rsidRPr="00414E19">
        <w:rPr>
          <w:b/>
          <w:i/>
          <w:sz w:val="28"/>
          <w:szCs w:val="28"/>
        </w:rPr>
        <w:t>mens</w:t>
      </w:r>
      <w:proofErr w:type="spellEnd"/>
      <w:r w:rsidRPr="00414E19">
        <w:rPr>
          <w:b/>
          <w:i/>
          <w:sz w:val="28"/>
          <w:szCs w:val="28"/>
        </w:rPr>
        <w:t xml:space="preserve"> rea of the offence</w:t>
      </w:r>
    </w:p>
    <w:p w:rsidR="00340DA7" w:rsidRPr="00414E19" w:rsidRDefault="00340DA7" w:rsidP="003804E9">
      <w:pPr>
        <w:pStyle w:val="ListParagraph"/>
        <w:numPr>
          <w:ilvl w:val="0"/>
          <w:numId w:val="1"/>
        </w:numPr>
        <w:tabs>
          <w:tab w:val="left" w:pos="1440"/>
        </w:tabs>
        <w:snapToGrid w:val="0"/>
        <w:spacing w:before="120" w:after="360" w:line="360" w:lineRule="auto"/>
        <w:ind w:left="0" w:firstLine="0"/>
        <w:contextualSpacing w:val="0"/>
        <w:rPr>
          <w:sz w:val="28"/>
          <w:szCs w:val="28"/>
        </w:rPr>
      </w:pPr>
      <w:r w:rsidRPr="00414E19">
        <w:rPr>
          <w:sz w:val="28"/>
          <w:szCs w:val="28"/>
        </w:rPr>
        <w:t>The respondent accepted</w:t>
      </w:r>
      <w:r w:rsidRPr="00414E19">
        <w:rPr>
          <w:rStyle w:val="FootnoteReference"/>
          <w:sz w:val="28"/>
          <w:szCs w:val="28"/>
        </w:rPr>
        <w:footnoteReference w:id="45"/>
      </w:r>
      <w:r w:rsidRPr="00414E19">
        <w:rPr>
          <w:sz w:val="28"/>
          <w:szCs w:val="28"/>
        </w:rPr>
        <w:t xml:space="preserve"> that it is necessary for the prosecution to prove that the person charged has driven or used the vehicle “for the carriage of passengers” with knowledge, intention or recklessness, i.e. with full </w:t>
      </w:r>
      <w:proofErr w:type="spellStart"/>
      <w:r w:rsidRPr="00414E19">
        <w:rPr>
          <w:i/>
          <w:sz w:val="28"/>
          <w:szCs w:val="28"/>
        </w:rPr>
        <w:t>mens</w:t>
      </w:r>
      <w:proofErr w:type="spellEnd"/>
      <w:r w:rsidRPr="00414E19">
        <w:rPr>
          <w:i/>
          <w:sz w:val="28"/>
          <w:szCs w:val="28"/>
        </w:rPr>
        <w:t xml:space="preserve"> rea</w:t>
      </w:r>
      <w:r w:rsidRPr="00414E19">
        <w:rPr>
          <w:sz w:val="28"/>
          <w:szCs w:val="28"/>
        </w:rPr>
        <w:t>.</w:t>
      </w:r>
    </w:p>
    <w:p w:rsidR="00340DA7" w:rsidRPr="00414E19" w:rsidRDefault="00340DA7" w:rsidP="003804E9">
      <w:pPr>
        <w:pStyle w:val="ListParagraph"/>
        <w:numPr>
          <w:ilvl w:val="0"/>
          <w:numId w:val="1"/>
        </w:numPr>
        <w:tabs>
          <w:tab w:val="left" w:pos="1440"/>
        </w:tabs>
        <w:snapToGrid w:val="0"/>
        <w:spacing w:before="120" w:after="360" w:line="360" w:lineRule="auto"/>
        <w:ind w:left="0" w:firstLine="0"/>
        <w:contextualSpacing w:val="0"/>
        <w:rPr>
          <w:sz w:val="28"/>
          <w:szCs w:val="28"/>
        </w:rPr>
      </w:pPr>
      <w:r w:rsidRPr="00414E19">
        <w:rPr>
          <w:sz w:val="28"/>
          <w:szCs w:val="28"/>
        </w:rPr>
        <w:t>However, in relation to the element of the offence that the carriage of passengers be “for hire or reward”, the respondent contended</w:t>
      </w:r>
      <w:r w:rsidRPr="00414E19">
        <w:rPr>
          <w:rStyle w:val="FootnoteReference"/>
          <w:sz w:val="28"/>
          <w:szCs w:val="28"/>
        </w:rPr>
        <w:footnoteReference w:id="46"/>
      </w:r>
      <w:r w:rsidRPr="00414E19">
        <w:rPr>
          <w:sz w:val="28"/>
          <w:szCs w:val="28"/>
        </w:rPr>
        <w:t xml:space="preserve"> that the presumption of </w:t>
      </w:r>
      <w:proofErr w:type="spellStart"/>
      <w:r w:rsidRPr="00414E19">
        <w:rPr>
          <w:i/>
          <w:sz w:val="28"/>
          <w:szCs w:val="28"/>
        </w:rPr>
        <w:t>mens</w:t>
      </w:r>
      <w:proofErr w:type="spellEnd"/>
      <w:r w:rsidRPr="00414E19">
        <w:rPr>
          <w:i/>
          <w:sz w:val="28"/>
          <w:szCs w:val="28"/>
        </w:rPr>
        <w:t xml:space="preserve"> rea</w:t>
      </w:r>
      <w:r w:rsidRPr="00414E19">
        <w:rPr>
          <w:sz w:val="28"/>
          <w:szCs w:val="28"/>
        </w:rPr>
        <w:t xml:space="preserve"> has been displaced and that, instead, the offence is in the third alternative of cases described in </w:t>
      </w:r>
      <w:proofErr w:type="spellStart"/>
      <w:r w:rsidRPr="00414E19">
        <w:rPr>
          <w:i/>
          <w:sz w:val="28"/>
          <w:szCs w:val="28"/>
        </w:rPr>
        <w:t>Hin</w:t>
      </w:r>
      <w:proofErr w:type="spellEnd"/>
      <w:r w:rsidRPr="00414E19">
        <w:rPr>
          <w:i/>
          <w:sz w:val="28"/>
          <w:szCs w:val="28"/>
        </w:rPr>
        <w:t xml:space="preserve"> Lin Yee v HKSAR</w:t>
      </w:r>
      <w:r w:rsidRPr="00414E19">
        <w:rPr>
          <w:sz w:val="28"/>
          <w:szCs w:val="28"/>
        </w:rPr>
        <w:t xml:space="preserve"> (2010) 13 HKCFAR 142 at [96].  The respondent therefore contended that the prosecution </w:t>
      </w:r>
      <w:r w:rsidRPr="00414E19">
        <w:rPr>
          <w:sz w:val="28"/>
          <w:szCs w:val="28"/>
        </w:rPr>
        <w:lastRenderedPageBreak/>
        <w:t xml:space="preserve">is not obliged to prove the accused’s knowledge, intention or recklessness in relation to the carriage of passengers being “for hire or reward” but he will have a good </w:t>
      </w:r>
      <w:proofErr w:type="spellStart"/>
      <w:r w:rsidRPr="00414E19">
        <w:rPr>
          <w:sz w:val="28"/>
          <w:szCs w:val="28"/>
        </w:rPr>
        <w:t>defence</w:t>
      </w:r>
      <w:proofErr w:type="spellEnd"/>
      <w:r w:rsidRPr="00414E19">
        <w:rPr>
          <w:sz w:val="28"/>
          <w:szCs w:val="28"/>
        </w:rPr>
        <w:t xml:space="preserve"> if he can prove on the balance of probabilities that the prohibited act was done in the honest and reasonable belief that the circumstances were such that, if true, he would not be guilty of the offence.</w:t>
      </w:r>
    </w:p>
    <w:p w:rsidR="00340DA7" w:rsidRPr="00414E19" w:rsidRDefault="00340DA7" w:rsidP="003804E9">
      <w:pPr>
        <w:pStyle w:val="ListParagraph"/>
        <w:numPr>
          <w:ilvl w:val="0"/>
          <w:numId w:val="1"/>
        </w:numPr>
        <w:tabs>
          <w:tab w:val="left" w:pos="1440"/>
        </w:tabs>
        <w:snapToGrid w:val="0"/>
        <w:spacing w:before="120" w:after="360" w:line="360" w:lineRule="auto"/>
        <w:ind w:left="0" w:firstLine="0"/>
        <w:contextualSpacing w:val="0"/>
        <w:rPr>
          <w:sz w:val="28"/>
          <w:szCs w:val="28"/>
        </w:rPr>
      </w:pPr>
      <w:r w:rsidRPr="00414E19">
        <w:rPr>
          <w:sz w:val="28"/>
          <w:szCs w:val="28"/>
        </w:rPr>
        <w:t>This point is not open to the respondent on this appeal.  The magistrate ruled against the prosecution on its submission that the offence was one of strict liability.</w:t>
      </w:r>
      <w:r w:rsidRPr="00414E19">
        <w:rPr>
          <w:rStyle w:val="FootnoteReference"/>
          <w:sz w:val="28"/>
          <w:szCs w:val="28"/>
        </w:rPr>
        <w:footnoteReference w:id="47"/>
      </w:r>
      <w:r w:rsidRPr="00414E19">
        <w:rPr>
          <w:sz w:val="28"/>
          <w:szCs w:val="28"/>
        </w:rPr>
        <w:t xml:space="preserve">  As the judge pointed out, if the respondent had wanted to appeal against that ruling, it should have appealed by way of case stated.  In any event, the judge agreed with the magistrate and rejected the prosecution contention that the offence under s.52(3) was one of strict liability.</w:t>
      </w:r>
      <w:r w:rsidRPr="00414E19">
        <w:rPr>
          <w:rStyle w:val="FootnoteReference"/>
          <w:sz w:val="28"/>
          <w:szCs w:val="28"/>
        </w:rPr>
        <w:footnoteReference w:id="48"/>
      </w:r>
      <w:r w:rsidRPr="00414E19">
        <w:rPr>
          <w:sz w:val="28"/>
          <w:szCs w:val="28"/>
        </w:rPr>
        <w:t xml:space="preserve"> </w:t>
      </w:r>
    </w:p>
    <w:p w:rsidR="00340DA7" w:rsidRPr="00414E19" w:rsidRDefault="00340DA7" w:rsidP="003804E9">
      <w:pPr>
        <w:pStyle w:val="ListParagraph"/>
        <w:numPr>
          <w:ilvl w:val="0"/>
          <w:numId w:val="1"/>
        </w:numPr>
        <w:tabs>
          <w:tab w:val="left" w:pos="1440"/>
        </w:tabs>
        <w:snapToGrid w:val="0"/>
        <w:spacing w:before="120" w:after="360" w:line="360" w:lineRule="auto"/>
        <w:ind w:left="0" w:firstLine="0"/>
        <w:contextualSpacing w:val="0"/>
        <w:rPr>
          <w:sz w:val="28"/>
          <w:szCs w:val="28"/>
        </w:rPr>
      </w:pPr>
      <w:r w:rsidRPr="00414E19">
        <w:rPr>
          <w:sz w:val="28"/>
          <w:szCs w:val="28"/>
        </w:rPr>
        <w:t>In the present case, the magistrate drew as inferences based on his findings of primary fact that the appellants had allowed the passengers, who were strangers, to get in their cars solely for the purpose of the car rides that were to be paid, and the appellants must have known and intended that the journeys were to be paid.</w:t>
      </w:r>
      <w:r w:rsidRPr="00414E19">
        <w:rPr>
          <w:rStyle w:val="FootnoteReference"/>
          <w:sz w:val="28"/>
          <w:szCs w:val="28"/>
        </w:rPr>
        <w:footnoteReference w:id="49"/>
      </w:r>
      <w:r w:rsidRPr="00414E19">
        <w:rPr>
          <w:sz w:val="28"/>
          <w:szCs w:val="28"/>
        </w:rPr>
        <w:t xml:space="preserve">  It was also an agreed fact that there was no hire car permit in force in respect of any of the vehicles driven by the appellants at the time of the offences in question.  In those circumstances, there can be no doubt that offence was clearly established even if the presumption of </w:t>
      </w:r>
      <w:proofErr w:type="spellStart"/>
      <w:r w:rsidRPr="00414E19">
        <w:rPr>
          <w:i/>
          <w:sz w:val="28"/>
          <w:szCs w:val="28"/>
        </w:rPr>
        <w:t>mens</w:t>
      </w:r>
      <w:proofErr w:type="spellEnd"/>
      <w:r w:rsidRPr="00414E19">
        <w:rPr>
          <w:i/>
          <w:sz w:val="28"/>
          <w:szCs w:val="28"/>
        </w:rPr>
        <w:t xml:space="preserve"> rea</w:t>
      </w:r>
      <w:r w:rsidRPr="00414E19">
        <w:rPr>
          <w:sz w:val="28"/>
          <w:szCs w:val="28"/>
        </w:rPr>
        <w:t xml:space="preserve"> in relation to the element of “for hire or reward” is not displaced.</w:t>
      </w:r>
    </w:p>
    <w:p w:rsidR="00C10304" w:rsidRPr="00414E19" w:rsidRDefault="00C10304">
      <w:pPr>
        <w:jc w:val="left"/>
        <w:rPr>
          <w:b/>
          <w:i/>
          <w:sz w:val="28"/>
          <w:szCs w:val="28"/>
        </w:rPr>
      </w:pPr>
      <w:r w:rsidRPr="00414E19">
        <w:rPr>
          <w:b/>
          <w:i/>
          <w:sz w:val="28"/>
          <w:szCs w:val="28"/>
        </w:rPr>
        <w:br w:type="page"/>
      </w:r>
    </w:p>
    <w:p w:rsidR="00340DA7" w:rsidRPr="00414E19" w:rsidRDefault="00340DA7" w:rsidP="003804E9">
      <w:pPr>
        <w:pStyle w:val="ListParagraph"/>
        <w:snapToGrid w:val="0"/>
        <w:spacing w:before="120" w:after="240" w:line="360" w:lineRule="auto"/>
        <w:ind w:left="0"/>
        <w:contextualSpacing w:val="0"/>
        <w:rPr>
          <w:b/>
          <w:i/>
          <w:sz w:val="28"/>
          <w:szCs w:val="28"/>
        </w:rPr>
      </w:pPr>
      <w:r w:rsidRPr="00414E19">
        <w:rPr>
          <w:b/>
          <w:i/>
          <w:sz w:val="28"/>
          <w:szCs w:val="28"/>
        </w:rPr>
        <w:lastRenderedPageBreak/>
        <w:t>F.</w:t>
      </w:r>
      <w:r w:rsidRPr="00414E19">
        <w:rPr>
          <w:b/>
          <w:i/>
          <w:sz w:val="28"/>
          <w:szCs w:val="28"/>
        </w:rPr>
        <w:tab/>
        <w:t>Disposition</w:t>
      </w:r>
    </w:p>
    <w:p w:rsidR="00340DA7" w:rsidRPr="00414E19" w:rsidRDefault="00340DA7" w:rsidP="003804E9">
      <w:pPr>
        <w:pStyle w:val="ListParagraph"/>
        <w:numPr>
          <w:ilvl w:val="0"/>
          <w:numId w:val="1"/>
        </w:numPr>
        <w:tabs>
          <w:tab w:val="left" w:pos="1440"/>
        </w:tabs>
        <w:snapToGrid w:val="0"/>
        <w:spacing w:before="120" w:after="360" w:line="360" w:lineRule="auto"/>
        <w:ind w:left="0" w:firstLine="0"/>
        <w:contextualSpacing w:val="0"/>
        <w:rPr>
          <w:sz w:val="28"/>
          <w:szCs w:val="28"/>
        </w:rPr>
      </w:pPr>
      <w:r w:rsidRPr="00414E19">
        <w:rPr>
          <w:sz w:val="28"/>
          <w:szCs w:val="28"/>
        </w:rPr>
        <w:t>The proper construction of the phrase “for the carriage of passengers for hire or reward” is as set out above and, applying that construction to the facts of the present case, the appeal was accordingly dismissed.</w:t>
      </w:r>
    </w:p>
    <w:p w:rsidR="00986A9A" w:rsidRPr="00414E19" w:rsidRDefault="00986A9A" w:rsidP="003804E9">
      <w:pPr>
        <w:pStyle w:val="ListParagraph"/>
        <w:numPr>
          <w:ilvl w:val="0"/>
          <w:numId w:val="1"/>
        </w:numPr>
        <w:tabs>
          <w:tab w:val="left" w:pos="1440"/>
        </w:tabs>
        <w:snapToGrid w:val="0"/>
        <w:spacing w:before="120" w:after="360" w:line="360" w:lineRule="auto"/>
        <w:ind w:left="0" w:firstLine="0"/>
        <w:contextualSpacing w:val="0"/>
        <w:rPr>
          <w:sz w:val="28"/>
          <w:szCs w:val="28"/>
        </w:rPr>
      </w:pPr>
      <w:r w:rsidRPr="00414E19">
        <w:rPr>
          <w:sz w:val="28"/>
          <w:szCs w:val="28"/>
        </w:rPr>
        <w:t xml:space="preserve">This appeal concerned the ambit of the prohibition in s.52(3) of the RTO which is a pure question of law.  </w:t>
      </w:r>
      <w:r w:rsidR="005A64BB" w:rsidRPr="00414E19">
        <w:rPr>
          <w:sz w:val="28"/>
          <w:szCs w:val="28"/>
        </w:rPr>
        <w:t>W</w:t>
      </w:r>
      <w:r w:rsidRPr="00414E19">
        <w:rPr>
          <w:sz w:val="28"/>
          <w:szCs w:val="28"/>
        </w:rPr>
        <w:t>hether ride hailing services should be permitted to operate in Hong Kong, on the other hand, is a question of transport policy</w:t>
      </w:r>
      <w:r w:rsidR="005A64BB" w:rsidRPr="00414E19">
        <w:rPr>
          <w:sz w:val="28"/>
          <w:szCs w:val="28"/>
        </w:rPr>
        <w:t>,</w:t>
      </w:r>
      <w:r w:rsidRPr="00414E19">
        <w:rPr>
          <w:sz w:val="28"/>
          <w:szCs w:val="28"/>
        </w:rPr>
        <w:t xml:space="preserve"> not a question of law</w:t>
      </w:r>
      <w:r w:rsidR="005A64BB" w:rsidRPr="00414E19">
        <w:rPr>
          <w:sz w:val="28"/>
          <w:szCs w:val="28"/>
        </w:rPr>
        <w:t>,</w:t>
      </w:r>
      <w:r w:rsidRPr="00414E19">
        <w:rPr>
          <w:sz w:val="28"/>
          <w:szCs w:val="28"/>
        </w:rPr>
        <w:t xml:space="preserve"> and is not a matter for the Court to determine.</w:t>
      </w:r>
    </w:p>
    <w:p w:rsidR="00340DA7" w:rsidRPr="00414E19" w:rsidRDefault="00340DA7" w:rsidP="003804E9">
      <w:pPr>
        <w:pStyle w:val="ListParagraph"/>
        <w:snapToGrid w:val="0"/>
        <w:spacing w:before="120" w:after="240" w:line="360" w:lineRule="auto"/>
        <w:ind w:left="0"/>
        <w:contextualSpacing w:val="0"/>
        <w:rPr>
          <w:sz w:val="28"/>
          <w:szCs w:val="28"/>
        </w:rPr>
      </w:pPr>
      <w:proofErr w:type="spellStart"/>
      <w:r w:rsidRPr="00414E19">
        <w:rPr>
          <w:sz w:val="28"/>
          <w:szCs w:val="28"/>
        </w:rPr>
        <w:t>Mr</w:t>
      </w:r>
      <w:proofErr w:type="spellEnd"/>
      <w:r w:rsidRPr="00414E19">
        <w:rPr>
          <w:sz w:val="28"/>
          <w:szCs w:val="28"/>
        </w:rPr>
        <w:t xml:space="preserve"> Justice Cheung PJ:</w:t>
      </w:r>
    </w:p>
    <w:p w:rsidR="00340DA7" w:rsidRPr="00414E19" w:rsidRDefault="00340DA7" w:rsidP="003804E9">
      <w:pPr>
        <w:pStyle w:val="ListParagraph"/>
        <w:numPr>
          <w:ilvl w:val="0"/>
          <w:numId w:val="1"/>
        </w:numPr>
        <w:tabs>
          <w:tab w:val="left" w:pos="1440"/>
        </w:tabs>
        <w:snapToGrid w:val="0"/>
        <w:spacing w:before="120" w:after="360" w:line="360" w:lineRule="auto"/>
        <w:ind w:left="0" w:firstLine="0"/>
        <w:contextualSpacing w:val="0"/>
        <w:rPr>
          <w:sz w:val="28"/>
          <w:szCs w:val="28"/>
        </w:rPr>
      </w:pPr>
      <w:r w:rsidRPr="00414E19">
        <w:rPr>
          <w:sz w:val="28"/>
          <w:szCs w:val="28"/>
        </w:rPr>
        <w:t xml:space="preserve">I agree with the Reasons for Judgment of </w:t>
      </w:r>
      <w:proofErr w:type="spellStart"/>
      <w:r w:rsidRPr="00414E19">
        <w:rPr>
          <w:sz w:val="28"/>
          <w:szCs w:val="28"/>
        </w:rPr>
        <w:t>Mr</w:t>
      </w:r>
      <w:proofErr w:type="spellEnd"/>
      <w:r w:rsidRPr="00414E19">
        <w:rPr>
          <w:sz w:val="28"/>
          <w:szCs w:val="28"/>
        </w:rPr>
        <w:t xml:space="preserve"> Justice </w:t>
      </w:r>
      <w:proofErr w:type="spellStart"/>
      <w:r w:rsidRPr="00414E19">
        <w:rPr>
          <w:sz w:val="28"/>
          <w:szCs w:val="28"/>
        </w:rPr>
        <w:t>Fok</w:t>
      </w:r>
      <w:proofErr w:type="spellEnd"/>
      <w:r w:rsidRPr="00414E19">
        <w:rPr>
          <w:sz w:val="28"/>
          <w:szCs w:val="28"/>
        </w:rPr>
        <w:t xml:space="preserve"> PJ.</w:t>
      </w:r>
    </w:p>
    <w:p w:rsidR="00340DA7" w:rsidRPr="00414E19" w:rsidRDefault="00340DA7" w:rsidP="003804E9">
      <w:pPr>
        <w:pStyle w:val="ListParagraph"/>
        <w:snapToGrid w:val="0"/>
        <w:spacing w:before="120" w:after="240" w:line="360" w:lineRule="auto"/>
        <w:ind w:left="0"/>
        <w:contextualSpacing w:val="0"/>
        <w:rPr>
          <w:sz w:val="28"/>
          <w:szCs w:val="28"/>
        </w:rPr>
      </w:pPr>
      <w:r w:rsidRPr="00414E19">
        <w:rPr>
          <w:sz w:val="28"/>
          <w:szCs w:val="28"/>
        </w:rPr>
        <w:t xml:space="preserve">Lord </w:t>
      </w:r>
      <w:proofErr w:type="spellStart"/>
      <w:r w:rsidRPr="00414E19">
        <w:rPr>
          <w:sz w:val="28"/>
          <w:szCs w:val="28"/>
        </w:rPr>
        <w:t>Sumption</w:t>
      </w:r>
      <w:proofErr w:type="spellEnd"/>
      <w:r w:rsidRPr="00414E19">
        <w:rPr>
          <w:sz w:val="28"/>
          <w:szCs w:val="28"/>
        </w:rPr>
        <w:t xml:space="preserve"> NPJ:</w:t>
      </w:r>
    </w:p>
    <w:p w:rsidR="00340DA7" w:rsidRPr="00414E19" w:rsidRDefault="00340DA7" w:rsidP="003804E9">
      <w:pPr>
        <w:pStyle w:val="ListParagraph"/>
        <w:numPr>
          <w:ilvl w:val="0"/>
          <w:numId w:val="1"/>
        </w:numPr>
        <w:tabs>
          <w:tab w:val="left" w:pos="1440"/>
        </w:tabs>
        <w:snapToGrid w:val="0"/>
        <w:spacing w:before="120" w:after="360" w:line="360" w:lineRule="auto"/>
        <w:ind w:left="0" w:firstLine="0"/>
        <w:contextualSpacing w:val="0"/>
        <w:rPr>
          <w:sz w:val="28"/>
          <w:szCs w:val="28"/>
        </w:rPr>
      </w:pPr>
      <w:r w:rsidRPr="00414E19">
        <w:rPr>
          <w:sz w:val="28"/>
          <w:szCs w:val="28"/>
        </w:rPr>
        <w:t xml:space="preserve">I agree with the Reasons for Judgment of </w:t>
      </w:r>
      <w:proofErr w:type="spellStart"/>
      <w:r w:rsidRPr="00414E19">
        <w:rPr>
          <w:sz w:val="28"/>
          <w:szCs w:val="28"/>
        </w:rPr>
        <w:t>Mr</w:t>
      </w:r>
      <w:proofErr w:type="spellEnd"/>
      <w:r w:rsidRPr="00414E19">
        <w:rPr>
          <w:sz w:val="28"/>
          <w:szCs w:val="28"/>
        </w:rPr>
        <w:t xml:space="preserve"> Justice </w:t>
      </w:r>
      <w:proofErr w:type="spellStart"/>
      <w:r w:rsidRPr="00414E19">
        <w:rPr>
          <w:sz w:val="28"/>
          <w:szCs w:val="28"/>
        </w:rPr>
        <w:t>Fok</w:t>
      </w:r>
      <w:proofErr w:type="spellEnd"/>
      <w:r w:rsidRPr="00414E19">
        <w:rPr>
          <w:sz w:val="28"/>
          <w:szCs w:val="28"/>
        </w:rPr>
        <w:t xml:space="preserve"> PJ.</w:t>
      </w:r>
    </w:p>
    <w:p w:rsidR="00C56D54" w:rsidRDefault="00C56D54" w:rsidP="00C56D54">
      <w:pPr>
        <w:pStyle w:val="Bob1"/>
        <w:numPr>
          <w:ilvl w:val="0"/>
          <w:numId w:val="0"/>
        </w:numPr>
        <w:spacing w:after="0"/>
        <w:ind w:left="720"/>
        <w:rPr>
          <w:lang w:val="en-US"/>
        </w:rPr>
      </w:pPr>
    </w:p>
    <w:p w:rsidR="00414E19" w:rsidRPr="00414E19" w:rsidRDefault="00414E19" w:rsidP="00C56D54">
      <w:pPr>
        <w:pStyle w:val="Bob1"/>
        <w:numPr>
          <w:ilvl w:val="0"/>
          <w:numId w:val="0"/>
        </w:numPr>
        <w:spacing w:after="0"/>
        <w:ind w:left="720"/>
        <w:rPr>
          <w:lang w:val="en-US"/>
        </w:rPr>
      </w:pPr>
    </w:p>
    <w:p w:rsidR="00024F71" w:rsidRPr="00414E19" w:rsidRDefault="00024F71" w:rsidP="00C56D54">
      <w:pPr>
        <w:pStyle w:val="Bob1"/>
        <w:numPr>
          <w:ilvl w:val="0"/>
          <w:numId w:val="0"/>
        </w:numPr>
        <w:spacing w:after="0"/>
        <w:ind w:left="720"/>
        <w:rPr>
          <w:lang w:val="en-US"/>
        </w:rPr>
      </w:pPr>
    </w:p>
    <w:p w:rsidR="00024F71" w:rsidRPr="00414E19" w:rsidRDefault="00024F71" w:rsidP="00C56D54">
      <w:pPr>
        <w:pStyle w:val="Bob1"/>
        <w:numPr>
          <w:ilvl w:val="0"/>
          <w:numId w:val="0"/>
        </w:numPr>
        <w:spacing w:after="0"/>
        <w:ind w:left="720"/>
        <w:rPr>
          <w:lang w:val="en-US"/>
        </w:rPr>
      </w:pPr>
    </w:p>
    <w:tbl>
      <w:tblPr>
        <w:tblW w:w="9405" w:type="dxa"/>
        <w:jc w:val="center"/>
        <w:tblLook w:val="0000" w:firstRow="0" w:lastRow="0" w:firstColumn="0" w:lastColumn="0" w:noHBand="0" w:noVBand="0"/>
      </w:tblPr>
      <w:tblGrid>
        <w:gridCol w:w="3135"/>
        <w:gridCol w:w="3135"/>
        <w:gridCol w:w="3135"/>
      </w:tblGrid>
      <w:tr w:rsidR="008C0B20" w:rsidRPr="00414E19" w:rsidTr="00606FD6">
        <w:trPr>
          <w:trHeight w:val="720"/>
          <w:jc w:val="center"/>
        </w:trPr>
        <w:tc>
          <w:tcPr>
            <w:tcW w:w="3135" w:type="dxa"/>
          </w:tcPr>
          <w:p w:rsidR="008C0B20" w:rsidRPr="00414E19" w:rsidRDefault="008C0B20" w:rsidP="00C56D54">
            <w:pPr>
              <w:jc w:val="center"/>
              <w:rPr>
                <w:sz w:val="28"/>
                <w:szCs w:val="28"/>
              </w:rPr>
            </w:pPr>
            <w:r w:rsidRPr="00414E19">
              <w:rPr>
                <w:sz w:val="28"/>
                <w:szCs w:val="28"/>
              </w:rPr>
              <w:t>(Geoffrey Ma)</w:t>
            </w:r>
          </w:p>
          <w:p w:rsidR="008C0B20" w:rsidRPr="00414E19" w:rsidRDefault="008C0B20" w:rsidP="00C56D54">
            <w:pPr>
              <w:jc w:val="center"/>
              <w:rPr>
                <w:sz w:val="28"/>
                <w:szCs w:val="28"/>
              </w:rPr>
            </w:pPr>
            <w:r w:rsidRPr="00414E19">
              <w:rPr>
                <w:sz w:val="28"/>
                <w:szCs w:val="28"/>
              </w:rPr>
              <w:t>Chief Justice</w:t>
            </w:r>
          </w:p>
        </w:tc>
        <w:tc>
          <w:tcPr>
            <w:tcW w:w="3135" w:type="dxa"/>
          </w:tcPr>
          <w:p w:rsidR="008C0B20" w:rsidRPr="00414E19" w:rsidRDefault="008C0B20" w:rsidP="00C56D54">
            <w:pPr>
              <w:jc w:val="center"/>
              <w:rPr>
                <w:sz w:val="28"/>
                <w:szCs w:val="28"/>
              </w:rPr>
            </w:pPr>
            <w:r w:rsidRPr="00414E19">
              <w:rPr>
                <w:sz w:val="28"/>
                <w:szCs w:val="28"/>
              </w:rPr>
              <w:t>(R A V Ribeiro)</w:t>
            </w:r>
          </w:p>
          <w:p w:rsidR="008C0B20" w:rsidRPr="00414E19" w:rsidRDefault="008C0B20" w:rsidP="00C56D54">
            <w:pPr>
              <w:jc w:val="center"/>
              <w:rPr>
                <w:sz w:val="28"/>
                <w:szCs w:val="28"/>
              </w:rPr>
            </w:pPr>
            <w:r w:rsidRPr="00414E19">
              <w:rPr>
                <w:sz w:val="28"/>
                <w:szCs w:val="28"/>
              </w:rPr>
              <w:t>Permanent Judge</w:t>
            </w:r>
          </w:p>
        </w:tc>
        <w:tc>
          <w:tcPr>
            <w:tcW w:w="3135" w:type="dxa"/>
          </w:tcPr>
          <w:p w:rsidR="00BB0306" w:rsidRPr="00414E19" w:rsidRDefault="00BB0306" w:rsidP="00C56D54">
            <w:pPr>
              <w:jc w:val="center"/>
              <w:rPr>
                <w:sz w:val="28"/>
                <w:szCs w:val="28"/>
              </w:rPr>
            </w:pPr>
            <w:r w:rsidRPr="00414E19">
              <w:rPr>
                <w:sz w:val="28"/>
                <w:szCs w:val="28"/>
              </w:rPr>
              <w:t xml:space="preserve">(Joseph </w:t>
            </w:r>
            <w:proofErr w:type="spellStart"/>
            <w:r w:rsidRPr="00414E19">
              <w:rPr>
                <w:sz w:val="28"/>
                <w:szCs w:val="28"/>
              </w:rPr>
              <w:t>Fok</w:t>
            </w:r>
            <w:proofErr w:type="spellEnd"/>
            <w:r w:rsidRPr="00414E19">
              <w:rPr>
                <w:sz w:val="28"/>
                <w:szCs w:val="28"/>
              </w:rPr>
              <w:t>)</w:t>
            </w:r>
          </w:p>
          <w:p w:rsidR="008C0B20" w:rsidRPr="00414E19" w:rsidRDefault="00BB0306" w:rsidP="00C56D54">
            <w:pPr>
              <w:jc w:val="center"/>
              <w:rPr>
                <w:sz w:val="28"/>
                <w:szCs w:val="28"/>
              </w:rPr>
            </w:pPr>
            <w:r w:rsidRPr="00414E19">
              <w:rPr>
                <w:sz w:val="28"/>
                <w:szCs w:val="28"/>
              </w:rPr>
              <w:t>Permanent Judge</w:t>
            </w:r>
          </w:p>
        </w:tc>
      </w:tr>
    </w:tbl>
    <w:p w:rsidR="000515E2" w:rsidRPr="00414E19" w:rsidRDefault="000515E2" w:rsidP="00212A19">
      <w:pPr>
        <w:pStyle w:val="ListParagraph"/>
        <w:spacing w:line="360" w:lineRule="auto"/>
        <w:rPr>
          <w:sz w:val="28"/>
          <w:szCs w:val="28"/>
        </w:rPr>
      </w:pPr>
    </w:p>
    <w:p w:rsidR="00024F71" w:rsidRDefault="00024F71" w:rsidP="00212A19">
      <w:pPr>
        <w:pStyle w:val="ListParagraph"/>
        <w:spacing w:line="360" w:lineRule="auto"/>
        <w:rPr>
          <w:sz w:val="28"/>
          <w:szCs w:val="28"/>
        </w:rPr>
      </w:pPr>
    </w:p>
    <w:p w:rsidR="00414E19" w:rsidRPr="00414E19" w:rsidRDefault="00414E19" w:rsidP="00212A19">
      <w:pPr>
        <w:pStyle w:val="ListParagraph"/>
        <w:spacing w:line="360" w:lineRule="auto"/>
        <w:rPr>
          <w:sz w:val="28"/>
          <w:szCs w:val="28"/>
        </w:rPr>
      </w:pPr>
    </w:p>
    <w:p w:rsidR="00212A19" w:rsidRPr="00414E19" w:rsidRDefault="00212A19" w:rsidP="00212A19">
      <w:pPr>
        <w:pStyle w:val="ListParagraph"/>
        <w:spacing w:line="360" w:lineRule="auto"/>
        <w:rPr>
          <w:sz w:val="28"/>
          <w:szCs w:val="28"/>
        </w:rPr>
      </w:pPr>
    </w:p>
    <w:tbl>
      <w:tblPr>
        <w:tblW w:w="0" w:type="auto"/>
        <w:jc w:val="center"/>
        <w:tblLook w:val="0000" w:firstRow="0" w:lastRow="0" w:firstColumn="0" w:lastColumn="0" w:noHBand="0" w:noVBand="0"/>
      </w:tblPr>
      <w:tblGrid>
        <w:gridCol w:w="4005"/>
        <w:gridCol w:w="4005"/>
      </w:tblGrid>
      <w:tr w:rsidR="008C0B20" w:rsidRPr="00414E19" w:rsidTr="00AB6412">
        <w:trPr>
          <w:trHeight w:val="738"/>
          <w:jc w:val="center"/>
        </w:trPr>
        <w:tc>
          <w:tcPr>
            <w:tcW w:w="4005" w:type="dxa"/>
          </w:tcPr>
          <w:p w:rsidR="008C0B20" w:rsidRPr="00414E19" w:rsidRDefault="00C56D54" w:rsidP="00C56D54">
            <w:pPr>
              <w:jc w:val="center"/>
              <w:rPr>
                <w:sz w:val="28"/>
                <w:szCs w:val="28"/>
              </w:rPr>
            </w:pPr>
            <w:r w:rsidRPr="00414E19">
              <w:rPr>
                <w:sz w:val="28"/>
                <w:szCs w:val="28"/>
              </w:rPr>
              <w:t>(</w:t>
            </w:r>
            <w:r w:rsidR="00E92B69" w:rsidRPr="00414E19">
              <w:rPr>
                <w:sz w:val="28"/>
                <w:szCs w:val="28"/>
              </w:rPr>
              <w:t>Andrew Cheung</w:t>
            </w:r>
            <w:r w:rsidRPr="00414E19">
              <w:rPr>
                <w:sz w:val="28"/>
                <w:szCs w:val="28"/>
              </w:rPr>
              <w:t>)</w:t>
            </w:r>
          </w:p>
          <w:p w:rsidR="00C56D54" w:rsidRPr="00414E19" w:rsidRDefault="00C56D54" w:rsidP="00C56D54">
            <w:pPr>
              <w:jc w:val="center"/>
              <w:rPr>
                <w:sz w:val="28"/>
                <w:szCs w:val="28"/>
              </w:rPr>
            </w:pPr>
            <w:r w:rsidRPr="00414E19">
              <w:rPr>
                <w:sz w:val="28"/>
                <w:szCs w:val="28"/>
                <w:lang w:eastAsia="zh-CN"/>
              </w:rPr>
              <w:t>Permanent Judge</w:t>
            </w:r>
          </w:p>
        </w:tc>
        <w:tc>
          <w:tcPr>
            <w:tcW w:w="4005" w:type="dxa"/>
          </w:tcPr>
          <w:p w:rsidR="00C56D54" w:rsidRPr="00414E19" w:rsidRDefault="00C56D54" w:rsidP="00C56D54">
            <w:pPr>
              <w:jc w:val="center"/>
              <w:rPr>
                <w:sz w:val="28"/>
                <w:szCs w:val="28"/>
                <w:lang w:eastAsia="zh-CN"/>
              </w:rPr>
            </w:pPr>
            <w:r w:rsidRPr="00414E19">
              <w:rPr>
                <w:sz w:val="28"/>
                <w:szCs w:val="28"/>
                <w:lang w:eastAsia="zh-CN"/>
              </w:rPr>
              <w:t>(</w:t>
            </w:r>
            <w:r w:rsidR="00E92B69" w:rsidRPr="00414E19">
              <w:rPr>
                <w:sz w:val="28"/>
                <w:szCs w:val="28"/>
              </w:rPr>
              <w:t xml:space="preserve">Lord </w:t>
            </w:r>
            <w:proofErr w:type="spellStart"/>
            <w:r w:rsidR="00E92B69" w:rsidRPr="00414E19">
              <w:rPr>
                <w:sz w:val="28"/>
                <w:szCs w:val="28"/>
              </w:rPr>
              <w:t>Sumption</w:t>
            </w:r>
            <w:proofErr w:type="spellEnd"/>
            <w:r w:rsidRPr="00414E19">
              <w:rPr>
                <w:sz w:val="28"/>
                <w:szCs w:val="28"/>
                <w:lang w:eastAsia="zh-CN"/>
              </w:rPr>
              <w:t>)</w:t>
            </w:r>
          </w:p>
          <w:p w:rsidR="008C0B20" w:rsidRPr="00414E19" w:rsidRDefault="00C56D54" w:rsidP="00C56D54">
            <w:pPr>
              <w:ind w:hanging="120"/>
              <w:jc w:val="center"/>
              <w:rPr>
                <w:sz w:val="28"/>
                <w:szCs w:val="28"/>
              </w:rPr>
            </w:pPr>
            <w:r w:rsidRPr="00414E19">
              <w:rPr>
                <w:sz w:val="28"/>
                <w:szCs w:val="28"/>
                <w:lang w:eastAsia="zh-CN"/>
              </w:rPr>
              <w:t>Non-Permanent Judge</w:t>
            </w:r>
          </w:p>
        </w:tc>
      </w:tr>
    </w:tbl>
    <w:p w:rsidR="00F77CCC" w:rsidRDefault="00F77CCC" w:rsidP="00AF789C">
      <w:pPr>
        <w:autoSpaceDE w:val="0"/>
        <w:autoSpaceDN w:val="0"/>
        <w:adjustRightInd w:val="0"/>
        <w:ind w:left="720" w:hanging="720"/>
        <w:rPr>
          <w:color w:val="000000"/>
          <w:sz w:val="28"/>
          <w:lang w:val="en-GB"/>
        </w:rPr>
      </w:pPr>
    </w:p>
    <w:p w:rsidR="00F77CCC" w:rsidRDefault="00F77CCC" w:rsidP="00AF789C">
      <w:pPr>
        <w:autoSpaceDE w:val="0"/>
        <w:autoSpaceDN w:val="0"/>
        <w:adjustRightInd w:val="0"/>
        <w:ind w:left="720" w:hanging="720"/>
        <w:rPr>
          <w:color w:val="000000"/>
          <w:sz w:val="28"/>
          <w:lang w:val="en-GB"/>
        </w:rPr>
      </w:pPr>
    </w:p>
    <w:p w:rsidR="00AF789C" w:rsidRPr="00414E19" w:rsidRDefault="0072797E" w:rsidP="00AF789C">
      <w:pPr>
        <w:autoSpaceDE w:val="0"/>
        <w:autoSpaceDN w:val="0"/>
        <w:adjustRightInd w:val="0"/>
        <w:ind w:left="720" w:hanging="720"/>
        <w:rPr>
          <w:sz w:val="28"/>
          <w:szCs w:val="28"/>
          <w:lang w:eastAsia="zh-CN"/>
        </w:rPr>
      </w:pPr>
      <w:r w:rsidRPr="00414E19">
        <w:rPr>
          <w:color w:val="000000"/>
          <w:sz w:val="28"/>
          <w:lang w:val="en-GB"/>
        </w:rPr>
        <w:t xml:space="preserve">Mr Jonathan Caplan QC, Mr Derek Chan SC and Ms Katrina KW Lee, instructed by </w:t>
      </w:r>
      <w:proofErr w:type="spellStart"/>
      <w:r w:rsidRPr="00414E19">
        <w:rPr>
          <w:color w:val="000000"/>
          <w:sz w:val="28"/>
          <w:lang w:val="en-GB"/>
        </w:rPr>
        <w:t>Haldanes</w:t>
      </w:r>
      <w:proofErr w:type="spellEnd"/>
      <w:r w:rsidR="00AF789C" w:rsidRPr="00414E19">
        <w:rPr>
          <w:sz w:val="28"/>
          <w:szCs w:val="28"/>
        </w:rPr>
        <w:t>, for the Appellant</w:t>
      </w:r>
      <w:r w:rsidRPr="00414E19">
        <w:rPr>
          <w:sz w:val="28"/>
          <w:szCs w:val="28"/>
        </w:rPr>
        <w:t>s</w:t>
      </w:r>
    </w:p>
    <w:p w:rsidR="00AF789C" w:rsidRPr="00414E19" w:rsidRDefault="00AF789C" w:rsidP="00AF789C">
      <w:pPr>
        <w:autoSpaceDE w:val="0"/>
        <w:autoSpaceDN w:val="0"/>
        <w:adjustRightInd w:val="0"/>
        <w:ind w:left="720" w:hanging="720"/>
        <w:rPr>
          <w:sz w:val="28"/>
          <w:szCs w:val="28"/>
          <w:lang w:eastAsia="zh-CN"/>
        </w:rPr>
      </w:pPr>
    </w:p>
    <w:p w:rsidR="00AF789C" w:rsidRPr="00AF789C" w:rsidRDefault="0072797E" w:rsidP="00AF789C">
      <w:pPr>
        <w:autoSpaceDE w:val="0"/>
        <w:autoSpaceDN w:val="0"/>
        <w:adjustRightInd w:val="0"/>
        <w:ind w:left="720" w:hanging="720"/>
        <w:rPr>
          <w:sz w:val="28"/>
          <w:szCs w:val="28"/>
          <w:lang w:eastAsia="zh-CN"/>
        </w:rPr>
      </w:pPr>
      <w:r w:rsidRPr="00414E19">
        <w:rPr>
          <w:color w:val="000000"/>
          <w:sz w:val="28"/>
          <w:lang w:val="en-GB"/>
        </w:rPr>
        <w:t xml:space="preserve">Mr William Tam SC, DDPP, Mr Marcus Lee SPP and Ms Cherry Chong PP, </w:t>
      </w:r>
      <w:r w:rsidRPr="00414E19">
        <w:rPr>
          <w:sz w:val="28"/>
          <w:lang w:val="en-GB"/>
        </w:rPr>
        <w:t>of the Department of Justice</w:t>
      </w:r>
      <w:r w:rsidR="00AF789C" w:rsidRPr="00414E19">
        <w:rPr>
          <w:sz w:val="28"/>
          <w:szCs w:val="28"/>
          <w:lang w:eastAsia="zh-CN"/>
        </w:rPr>
        <w:t xml:space="preserve">, </w:t>
      </w:r>
      <w:r w:rsidR="00AF789C" w:rsidRPr="00414E19">
        <w:rPr>
          <w:sz w:val="28"/>
          <w:szCs w:val="28"/>
        </w:rPr>
        <w:t>for the</w:t>
      </w:r>
      <w:r w:rsidR="00AF789C" w:rsidRPr="00414E19">
        <w:rPr>
          <w:sz w:val="28"/>
          <w:szCs w:val="28"/>
          <w:lang w:eastAsia="zh-CN"/>
        </w:rPr>
        <w:t xml:space="preserve"> Respondent</w:t>
      </w:r>
    </w:p>
    <w:p w:rsidR="00C56D54" w:rsidRPr="00AF789C" w:rsidRDefault="00C56D54" w:rsidP="00606FD6">
      <w:pPr>
        <w:pStyle w:val="Bob1"/>
        <w:numPr>
          <w:ilvl w:val="0"/>
          <w:numId w:val="0"/>
        </w:numPr>
        <w:spacing w:after="0" w:line="240" w:lineRule="auto"/>
        <w:ind w:left="720" w:hanging="720"/>
        <w:jc w:val="both"/>
      </w:pPr>
    </w:p>
    <w:p w:rsidR="008C0B20" w:rsidRPr="00AF789C" w:rsidRDefault="008C0B20" w:rsidP="00AA6D0D">
      <w:pPr>
        <w:pStyle w:val="Bob1"/>
        <w:numPr>
          <w:ilvl w:val="0"/>
          <w:numId w:val="0"/>
        </w:numPr>
        <w:spacing w:after="0" w:line="240" w:lineRule="auto"/>
        <w:ind w:left="720" w:hanging="720"/>
        <w:jc w:val="both"/>
      </w:pPr>
    </w:p>
    <w:sectPr w:rsidR="008C0B20" w:rsidRPr="00AF789C" w:rsidSect="006B1FFA">
      <w:headerReference w:type="default" r:id="rId8"/>
      <w:pgSz w:w="11909" w:h="16834" w:code="9"/>
      <w:pgMar w:top="1728" w:right="1440" w:bottom="1440" w:left="1440" w:header="576" w:footer="576"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87C4A" w:rsidRDefault="00A87C4A" w:rsidP="0020187A">
      <w:r>
        <w:separator/>
      </w:r>
    </w:p>
  </w:endnote>
  <w:endnote w:type="continuationSeparator" w:id="0">
    <w:p w:rsidR="00A87C4A" w:rsidRDefault="00A87C4A" w:rsidP="002018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87C4A" w:rsidRDefault="00A87C4A" w:rsidP="0020187A">
      <w:r>
        <w:separator/>
      </w:r>
    </w:p>
  </w:footnote>
  <w:footnote w:type="continuationSeparator" w:id="0">
    <w:p w:rsidR="00A87C4A" w:rsidRDefault="00A87C4A" w:rsidP="0020187A">
      <w:r>
        <w:continuationSeparator/>
      </w:r>
    </w:p>
  </w:footnote>
  <w:footnote w:id="1">
    <w:p w:rsidR="00340DA7" w:rsidRDefault="00340DA7" w:rsidP="00340DA7">
      <w:pPr>
        <w:pStyle w:val="FootnoteText"/>
        <w:tabs>
          <w:tab w:val="left" w:pos="360"/>
        </w:tabs>
        <w:snapToGrid w:val="0"/>
        <w:spacing w:after="120"/>
        <w:ind w:left="360" w:hanging="360"/>
        <w:rPr>
          <w:lang w:eastAsia="zh-CN"/>
        </w:rPr>
      </w:pPr>
      <w:r>
        <w:rPr>
          <w:rStyle w:val="FootnoteReference"/>
        </w:rPr>
        <w:footnoteRef/>
      </w:r>
      <w:r>
        <w:t xml:space="preserve"> </w:t>
      </w:r>
      <w:r>
        <w:rPr>
          <w:lang w:eastAsia="zh-CN"/>
        </w:rPr>
        <w:tab/>
        <w:t xml:space="preserve">KCCC 3412-3430, 3432, 3496, 3969, 3971/2017 &amp; 502/2018, [2018] </w:t>
      </w:r>
      <w:proofErr w:type="spellStart"/>
      <w:r>
        <w:rPr>
          <w:lang w:eastAsia="zh-CN"/>
        </w:rPr>
        <w:t>HKMagC</w:t>
      </w:r>
      <w:proofErr w:type="spellEnd"/>
      <w:r>
        <w:rPr>
          <w:lang w:eastAsia="zh-CN"/>
        </w:rPr>
        <w:t xml:space="preserve"> 3, Statement of Findings dated 8 August 2018 (</w:t>
      </w:r>
      <w:proofErr w:type="spellStart"/>
      <w:r>
        <w:rPr>
          <w:lang w:eastAsia="zh-CN"/>
        </w:rPr>
        <w:t>Mr</w:t>
      </w:r>
      <w:proofErr w:type="spellEnd"/>
      <w:r>
        <w:rPr>
          <w:lang w:eastAsia="zh-CN"/>
        </w:rPr>
        <w:t xml:space="preserve"> Joseph </w:t>
      </w:r>
      <w:proofErr w:type="gramStart"/>
      <w:r>
        <w:rPr>
          <w:lang w:eastAsia="zh-CN"/>
        </w:rPr>
        <w:t>To</w:t>
      </w:r>
      <w:proofErr w:type="gramEnd"/>
      <w:r>
        <w:rPr>
          <w:lang w:eastAsia="zh-CN"/>
        </w:rPr>
        <w:t>, Magistrate).</w:t>
      </w:r>
    </w:p>
  </w:footnote>
  <w:footnote w:id="2">
    <w:p w:rsidR="00340DA7" w:rsidRDefault="00340DA7" w:rsidP="00340DA7">
      <w:pPr>
        <w:pStyle w:val="FootnoteText"/>
        <w:tabs>
          <w:tab w:val="left" w:pos="360"/>
        </w:tabs>
        <w:snapToGrid w:val="0"/>
        <w:spacing w:after="120"/>
        <w:ind w:left="360" w:hanging="360"/>
        <w:rPr>
          <w:lang w:eastAsia="zh-CN"/>
        </w:rPr>
      </w:pPr>
      <w:r>
        <w:rPr>
          <w:rStyle w:val="FootnoteReference"/>
        </w:rPr>
        <w:footnoteRef/>
      </w:r>
      <w:r>
        <w:t xml:space="preserve"> </w:t>
      </w:r>
      <w:r>
        <w:rPr>
          <w:lang w:eastAsia="zh-CN"/>
        </w:rPr>
        <w:tab/>
        <w:t>HCMA 381-399, 401, 402, 404, 405 &amp; 415/2018 (consolidated), [2019] HKCFI 2280, Judgment dated 13 September 2019 (Alex Lee J).</w:t>
      </w:r>
    </w:p>
  </w:footnote>
  <w:footnote w:id="3">
    <w:p w:rsidR="00340DA7" w:rsidRDefault="00340DA7" w:rsidP="00830F37">
      <w:pPr>
        <w:pStyle w:val="FootnoteText"/>
        <w:tabs>
          <w:tab w:val="left" w:pos="360"/>
        </w:tabs>
        <w:snapToGrid w:val="0"/>
        <w:spacing w:after="120"/>
        <w:ind w:left="360" w:hanging="360"/>
        <w:rPr>
          <w:lang w:eastAsia="zh-CN"/>
        </w:rPr>
      </w:pPr>
      <w:r>
        <w:rPr>
          <w:rStyle w:val="FootnoteReference"/>
        </w:rPr>
        <w:footnoteRef/>
      </w:r>
      <w:r>
        <w:t xml:space="preserve"> </w:t>
      </w:r>
      <w:r>
        <w:rPr>
          <w:lang w:eastAsia="zh-CN"/>
        </w:rPr>
        <w:tab/>
        <w:t>[2019] HKCFI 2899, Ruling dated 29 November 2019.</w:t>
      </w:r>
    </w:p>
  </w:footnote>
  <w:footnote w:id="4">
    <w:p w:rsidR="00340DA7" w:rsidRDefault="00340DA7" w:rsidP="00830F37">
      <w:pPr>
        <w:pStyle w:val="FootnoteText"/>
        <w:tabs>
          <w:tab w:val="left" w:pos="360"/>
        </w:tabs>
        <w:snapToGrid w:val="0"/>
        <w:spacing w:after="120"/>
        <w:ind w:left="360" w:hanging="360"/>
        <w:rPr>
          <w:lang w:eastAsia="zh-CN"/>
        </w:rPr>
      </w:pPr>
      <w:r>
        <w:rPr>
          <w:rStyle w:val="FootnoteReference"/>
        </w:rPr>
        <w:footnoteRef/>
      </w:r>
      <w:r>
        <w:t xml:space="preserve"> </w:t>
      </w:r>
      <w:r>
        <w:rPr>
          <w:lang w:eastAsia="zh-CN"/>
        </w:rPr>
        <w:tab/>
        <w:t>FAMC 58/2019, [2020] HKCFA 10, Determination dated 20 March 2020 (Ma CJ, Ribeiro &amp; Cheung PJJ)</w:t>
      </w:r>
      <w:r w:rsidR="00C03DAF">
        <w:rPr>
          <w:lang w:eastAsia="zh-CN"/>
        </w:rPr>
        <w:t xml:space="preserve"> at [4]</w:t>
      </w:r>
      <w:r>
        <w:rPr>
          <w:lang w:eastAsia="zh-CN"/>
        </w:rPr>
        <w:t>.</w:t>
      </w:r>
    </w:p>
  </w:footnote>
  <w:footnote w:id="5">
    <w:p w:rsidR="00340DA7" w:rsidRPr="00AD0F07" w:rsidRDefault="00340DA7" w:rsidP="00830F37">
      <w:pPr>
        <w:pStyle w:val="FootnoteText"/>
        <w:tabs>
          <w:tab w:val="left" w:pos="360"/>
        </w:tabs>
        <w:snapToGrid w:val="0"/>
        <w:spacing w:after="120"/>
        <w:ind w:left="360" w:hanging="360"/>
        <w:rPr>
          <w:lang w:eastAsia="zh-CN"/>
        </w:rPr>
      </w:pPr>
      <w:r>
        <w:rPr>
          <w:rStyle w:val="FootnoteReference"/>
        </w:rPr>
        <w:footnoteRef/>
      </w:r>
      <w:r>
        <w:t xml:space="preserve"> </w:t>
      </w:r>
      <w:r>
        <w:rPr>
          <w:lang w:eastAsia="zh-CN"/>
        </w:rPr>
        <w:tab/>
      </w:r>
      <w:r w:rsidRPr="00BD3131">
        <w:rPr>
          <w:lang w:eastAsia="zh-CN"/>
        </w:rPr>
        <w:t>(2017) 20 HKCFAR 524</w:t>
      </w:r>
      <w:r>
        <w:rPr>
          <w:lang w:eastAsia="zh-CN"/>
        </w:rPr>
        <w:t xml:space="preserve"> at [20].</w:t>
      </w:r>
    </w:p>
  </w:footnote>
  <w:footnote w:id="6">
    <w:p w:rsidR="00340DA7" w:rsidRPr="00601F5D" w:rsidRDefault="00340DA7" w:rsidP="00830F37">
      <w:pPr>
        <w:pStyle w:val="FootnoteText"/>
        <w:tabs>
          <w:tab w:val="left" w:pos="360"/>
        </w:tabs>
        <w:snapToGrid w:val="0"/>
        <w:spacing w:after="120"/>
        <w:ind w:left="360" w:hanging="360"/>
        <w:rPr>
          <w:lang w:eastAsia="zh-CN"/>
        </w:rPr>
      </w:pPr>
      <w:r>
        <w:rPr>
          <w:rStyle w:val="FootnoteReference"/>
        </w:rPr>
        <w:footnoteRef/>
      </w:r>
      <w:r>
        <w:t xml:space="preserve"> </w:t>
      </w:r>
      <w:r>
        <w:rPr>
          <w:lang w:eastAsia="zh-CN"/>
        </w:rPr>
        <w:tab/>
        <w:t>RTO s.2 defines “hire car permit” as “a permit issued in accordance with this Ordinance authorizing the use of a private car for the carriage of passengers for hire or reward”.</w:t>
      </w:r>
    </w:p>
  </w:footnote>
  <w:footnote w:id="7">
    <w:p w:rsidR="00340DA7" w:rsidRDefault="00340DA7" w:rsidP="00830F37">
      <w:pPr>
        <w:pStyle w:val="FootnoteText"/>
        <w:tabs>
          <w:tab w:val="left" w:pos="360"/>
        </w:tabs>
        <w:snapToGrid w:val="0"/>
        <w:spacing w:after="120"/>
        <w:ind w:left="360" w:hanging="360"/>
        <w:rPr>
          <w:lang w:eastAsia="zh-CN"/>
        </w:rPr>
      </w:pPr>
      <w:r>
        <w:rPr>
          <w:rStyle w:val="FootnoteReference"/>
        </w:rPr>
        <w:footnoteRef/>
      </w:r>
      <w:r>
        <w:t xml:space="preserve"> </w:t>
      </w:r>
      <w:r>
        <w:rPr>
          <w:lang w:eastAsia="zh-CN"/>
        </w:rPr>
        <w:tab/>
        <w:t>RTO s.2.</w:t>
      </w:r>
    </w:p>
  </w:footnote>
  <w:footnote w:id="8">
    <w:p w:rsidR="00340DA7" w:rsidRDefault="00340DA7" w:rsidP="00830F37">
      <w:pPr>
        <w:pStyle w:val="FootnoteText"/>
        <w:tabs>
          <w:tab w:val="left" w:pos="360"/>
        </w:tabs>
        <w:snapToGrid w:val="0"/>
        <w:spacing w:after="120"/>
        <w:ind w:left="360" w:hanging="360"/>
        <w:rPr>
          <w:lang w:eastAsia="zh-CN"/>
        </w:rPr>
      </w:pPr>
      <w:r>
        <w:rPr>
          <w:rStyle w:val="FootnoteReference"/>
        </w:rPr>
        <w:footnoteRef/>
      </w:r>
      <w:r>
        <w:t xml:space="preserve"> </w:t>
      </w:r>
      <w:r>
        <w:rPr>
          <w:lang w:eastAsia="zh-CN"/>
        </w:rPr>
        <w:tab/>
        <w:t>(Cap.374D), reg. 15(5).</w:t>
      </w:r>
    </w:p>
  </w:footnote>
  <w:footnote w:id="9">
    <w:p w:rsidR="00340DA7" w:rsidRDefault="00340DA7" w:rsidP="00830F37">
      <w:pPr>
        <w:pStyle w:val="FootnoteText"/>
        <w:tabs>
          <w:tab w:val="left" w:pos="360"/>
        </w:tabs>
        <w:snapToGrid w:val="0"/>
        <w:spacing w:after="120"/>
        <w:ind w:left="360" w:hanging="360"/>
        <w:rPr>
          <w:lang w:eastAsia="zh-CN"/>
        </w:rPr>
      </w:pPr>
      <w:r>
        <w:rPr>
          <w:rStyle w:val="FootnoteReference"/>
        </w:rPr>
        <w:footnoteRef/>
      </w:r>
      <w:r>
        <w:t xml:space="preserve"> </w:t>
      </w:r>
      <w:r>
        <w:rPr>
          <w:lang w:eastAsia="zh-CN"/>
        </w:rPr>
        <w:tab/>
        <w:t>Ord. No. 5 of 1883.</w:t>
      </w:r>
    </w:p>
  </w:footnote>
  <w:footnote w:id="10">
    <w:p w:rsidR="00340DA7" w:rsidRPr="00506E98" w:rsidRDefault="00340DA7" w:rsidP="00830F37">
      <w:pPr>
        <w:pStyle w:val="FootnoteText"/>
        <w:tabs>
          <w:tab w:val="left" w:pos="360"/>
        </w:tabs>
        <w:snapToGrid w:val="0"/>
        <w:spacing w:after="120"/>
        <w:ind w:left="360" w:hanging="360"/>
        <w:rPr>
          <w:lang w:eastAsia="zh-CN"/>
        </w:rPr>
      </w:pPr>
      <w:r>
        <w:rPr>
          <w:rStyle w:val="FootnoteReference"/>
        </w:rPr>
        <w:footnoteRef/>
      </w:r>
      <w:r>
        <w:t xml:space="preserve"> </w:t>
      </w:r>
      <w:r>
        <w:rPr>
          <w:lang w:eastAsia="zh-CN"/>
        </w:rPr>
        <w:tab/>
        <w:t>Ord. No. 40 of 1912.</w:t>
      </w:r>
    </w:p>
  </w:footnote>
  <w:footnote w:id="11">
    <w:p w:rsidR="00340DA7" w:rsidRDefault="00340DA7" w:rsidP="00830F37">
      <w:pPr>
        <w:pStyle w:val="FootnoteText"/>
        <w:tabs>
          <w:tab w:val="left" w:pos="360"/>
        </w:tabs>
        <w:snapToGrid w:val="0"/>
        <w:spacing w:after="120"/>
        <w:ind w:left="360" w:hanging="360"/>
        <w:rPr>
          <w:lang w:eastAsia="zh-CN"/>
        </w:rPr>
      </w:pPr>
      <w:r>
        <w:rPr>
          <w:rStyle w:val="FootnoteReference"/>
        </w:rPr>
        <w:footnoteRef/>
      </w:r>
      <w:r>
        <w:t xml:space="preserve"> </w:t>
      </w:r>
      <w:r>
        <w:rPr>
          <w:lang w:eastAsia="zh-CN"/>
        </w:rPr>
        <w:tab/>
        <w:t>Made under the Road Traffic Ordinance 1957 (Ord. No. 39 of 1957).</w:t>
      </w:r>
    </w:p>
  </w:footnote>
  <w:footnote w:id="12">
    <w:p w:rsidR="00340DA7" w:rsidRDefault="00340DA7" w:rsidP="00830F37">
      <w:pPr>
        <w:pStyle w:val="FootnoteText"/>
        <w:tabs>
          <w:tab w:val="left" w:pos="360"/>
        </w:tabs>
        <w:snapToGrid w:val="0"/>
        <w:spacing w:after="120"/>
        <w:ind w:left="360" w:hanging="360"/>
        <w:rPr>
          <w:lang w:eastAsia="zh-CN"/>
        </w:rPr>
      </w:pPr>
      <w:r>
        <w:rPr>
          <w:rStyle w:val="FootnoteReference"/>
        </w:rPr>
        <w:footnoteRef/>
      </w:r>
      <w:r>
        <w:t xml:space="preserve"> </w:t>
      </w:r>
      <w:r>
        <w:rPr>
          <w:lang w:eastAsia="zh-CN"/>
        </w:rPr>
        <w:tab/>
        <w:t>Ord. No. 45 of 1977.</w:t>
      </w:r>
    </w:p>
  </w:footnote>
  <w:footnote w:id="13">
    <w:p w:rsidR="00340DA7" w:rsidRPr="0070538E" w:rsidRDefault="00340DA7" w:rsidP="00830F37">
      <w:pPr>
        <w:pStyle w:val="FootnoteText"/>
        <w:tabs>
          <w:tab w:val="left" w:pos="360"/>
        </w:tabs>
        <w:snapToGrid w:val="0"/>
        <w:spacing w:after="120"/>
        <w:ind w:left="360" w:hanging="360"/>
        <w:rPr>
          <w:lang w:eastAsia="zh-CN"/>
        </w:rPr>
      </w:pPr>
      <w:r>
        <w:rPr>
          <w:rStyle w:val="FootnoteReference"/>
        </w:rPr>
        <w:footnoteRef/>
      </w:r>
      <w:r>
        <w:t xml:space="preserve"> </w:t>
      </w:r>
      <w:r>
        <w:rPr>
          <w:lang w:eastAsia="zh-CN"/>
        </w:rPr>
        <w:tab/>
        <w:t>Road Traffic Ordinance (Cap.220) (“Cap.220”), s.4A.</w:t>
      </w:r>
    </w:p>
  </w:footnote>
  <w:footnote w:id="14">
    <w:p w:rsidR="00340DA7" w:rsidRPr="006A6054" w:rsidRDefault="00340DA7" w:rsidP="0007781A">
      <w:pPr>
        <w:pStyle w:val="FootnoteText"/>
        <w:tabs>
          <w:tab w:val="left" w:pos="360"/>
        </w:tabs>
        <w:snapToGrid w:val="0"/>
        <w:spacing w:after="120"/>
        <w:ind w:left="360" w:hanging="360"/>
        <w:rPr>
          <w:lang w:eastAsia="zh-CN"/>
        </w:rPr>
      </w:pPr>
      <w:r>
        <w:rPr>
          <w:rStyle w:val="FootnoteReference"/>
        </w:rPr>
        <w:footnoteRef/>
      </w:r>
      <w:r>
        <w:t xml:space="preserve"> </w:t>
      </w:r>
      <w:r>
        <w:rPr>
          <w:lang w:eastAsia="zh-CN"/>
        </w:rPr>
        <w:tab/>
        <w:t>Cap.220, s.4</w:t>
      </w:r>
      <w:proofErr w:type="gramStart"/>
      <w:r>
        <w:rPr>
          <w:lang w:eastAsia="zh-CN"/>
        </w:rPr>
        <w:t>A(</w:t>
      </w:r>
      <w:proofErr w:type="gramEnd"/>
      <w:r>
        <w:rPr>
          <w:lang w:eastAsia="zh-CN"/>
        </w:rPr>
        <w:t>5).</w:t>
      </w:r>
    </w:p>
  </w:footnote>
  <w:footnote w:id="15">
    <w:p w:rsidR="00340DA7" w:rsidRPr="00B54C96" w:rsidRDefault="00340DA7" w:rsidP="0007781A">
      <w:pPr>
        <w:pStyle w:val="FootnoteText"/>
        <w:tabs>
          <w:tab w:val="left" w:pos="360"/>
        </w:tabs>
        <w:snapToGrid w:val="0"/>
        <w:spacing w:after="120"/>
        <w:ind w:left="360" w:hanging="360"/>
        <w:rPr>
          <w:lang w:eastAsia="zh-CN"/>
        </w:rPr>
      </w:pPr>
      <w:r>
        <w:rPr>
          <w:rStyle w:val="FootnoteReference"/>
        </w:rPr>
        <w:footnoteRef/>
      </w:r>
      <w:r>
        <w:t xml:space="preserve"> </w:t>
      </w:r>
      <w:r>
        <w:rPr>
          <w:lang w:eastAsia="zh-CN"/>
        </w:rPr>
        <w:tab/>
        <w:t>Cap.220, s.3(</w:t>
      </w:r>
      <w:proofErr w:type="gramStart"/>
      <w:r>
        <w:rPr>
          <w:lang w:eastAsia="zh-CN"/>
        </w:rPr>
        <w:t>1)(</w:t>
      </w:r>
      <w:proofErr w:type="spellStart"/>
      <w:proofErr w:type="gramEnd"/>
      <w:r>
        <w:rPr>
          <w:lang w:eastAsia="zh-CN"/>
        </w:rPr>
        <w:t>ga</w:t>
      </w:r>
      <w:proofErr w:type="spellEnd"/>
      <w:r>
        <w:rPr>
          <w:lang w:eastAsia="zh-CN"/>
        </w:rPr>
        <w:t>).</w:t>
      </w:r>
    </w:p>
  </w:footnote>
  <w:footnote w:id="16">
    <w:p w:rsidR="00340DA7" w:rsidRPr="00232EC2" w:rsidRDefault="00340DA7" w:rsidP="0007781A">
      <w:pPr>
        <w:pStyle w:val="FootnoteText"/>
        <w:tabs>
          <w:tab w:val="left" w:pos="360"/>
        </w:tabs>
        <w:snapToGrid w:val="0"/>
        <w:spacing w:after="120"/>
        <w:ind w:left="360" w:hanging="360"/>
        <w:rPr>
          <w:lang w:eastAsia="zh-CN"/>
        </w:rPr>
      </w:pPr>
      <w:r>
        <w:rPr>
          <w:rStyle w:val="FootnoteReference"/>
        </w:rPr>
        <w:footnoteRef/>
      </w:r>
      <w:r>
        <w:t xml:space="preserve"> </w:t>
      </w:r>
      <w:r>
        <w:rPr>
          <w:lang w:eastAsia="zh-CN"/>
        </w:rPr>
        <w:tab/>
        <w:t>Legislative Council Official Report of Proceedings, 1 June 1977, p.966.</w:t>
      </w:r>
    </w:p>
  </w:footnote>
  <w:footnote w:id="17">
    <w:p w:rsidR="00340DA7" w:rsidRPr="00232EC2" w:rsidRDefault="00340DA7" w:rsidP="00B920D6">
      <w:pPr>
        <w:pStyle w:val="FootnoteText"/>
        <w:tabs>
          <w:tab w:val="left" w:pos="360"/>
        </w:tabs>
        <w:snapToGrid w:val="0"/>
        <w:spacing w:after="120"/>
        <w:ind w:left="360" w:hanging="360"/>
        <w:rPr>
          <w:lang w:eastAsia="zh-CN"/>
        </w:rPr>
      </w:pPr>
      <w:r>
        <w:rPr>
          <w:rStyle w:val="FootnoteReference"/>
        </w:rPr>
        <w:footnoteRef/>
      </w:r>
      <w:r>
        <w:t xml:space="preserve"> </w:t>
      </w:r>
      <w:r>
        <w:rPr>
          <w:lang w:eastAsia="zh-CN"/>
        </w:rPr>
        <w:tab/>
      </w:r>
      <w:r w:rsidRPr="00072E23">
        <w:rPr>
          <w:i/>
          <w:lang w:eastAsia="zh-CN"/>
        </w:rPr>
        <w:t>Ibid.</w:t>
      </w:r>
    </w:p>
  </w:footnote>
  <w:footnote w:id="18">
    <w:p w:rsidR="00340DA7" w:rsidRPr="00232EC2" w:rsidRDefault="00340DA7" w:rsidP="00B920D6">
      <w:pPr>
        <w:pStyle w:val="FootnoteText"/>
        <w:tabs>
          <w:tab w:val="left" w:pos="360"/>
        </w:tabs>
        <w:snapToGrid w:val="0"/>
        <w:spacing w:after="120"/>
        <w:ind w:left="360" w:hanging="360"/>
        <w:rPr>
          <w:lang w:eastAsia="zh-CN"/>
        </w:rPr>
      </w:pPr>
      <w:r>
        <w:rPr>
          <w:rStyle w:val="FootnoteReference"/>
        </w:rPr>
        <w:footnoteRef/>
      </w:r>
      <w:r>
        <w:t xml:space="preserve"> </w:t>
      </w:r>
      <w:r>
        <w:rPr>
          <w:lang w:eastAsia="zh-CN"/>
        </w:rPr>
        <w:tab/>
      </w:r>
      <w:r w:rsidRPr="00072E23">
        <w:rPr>
          <w:i/>
          <w:lang w:eastAsia="zh-CN"/>
        </w:rPr>
        <w:t>Ibid.</w:t>
      </w:r>
      <w:r>
        <w:rPr>
          <w:lang w:eastAsia="zh-CN"/>
        </w:rPr>
        <w:t xml:space="preserve"> pp.967-968.</w:t>
      </w:r>
    </w:p>
  </w:footnote>
  <w:footnote w:id="19">
    <w:p w:rsidR="00340DA7" w:rsidRPr="00D91E64" w:rsidRDefault="00340DA7" w:rsidP="00B920D6">
      <w:pPr>
        <w:pStyle w:val="FootnoteText"/>
        <w:tabs>
          <w:tab w:val="left" w:pos="360"/>
        </w:tabs>
        <w:snapToGrid w:val="0"/>
        <w:spacing w:after="120"/>
        <w:ind w:left="360" w:hanging="360"/>
        <w:rPr>
          <w:lang w:eastAsia="zh-CN"/>
        </w:rPr>
      </w:pPr>
      <w:r>
        <w:rPr>
          <w:rStyle w:val="FootnoteReference"/>
        </w:rPr>
        <w:footnoteRef/>
      </w:r>
      <w:r>
        <w:t xml:space="preserve"> </w:t>
      </w:r>
      <w:r>
        <w:rPr>
          <w:lang w:eastAsia="zh-CN"/>
        </w:rPr>
        <w:tab/>
        <w:t>L.N. 161 of 1977.</w:t>
      </w:r>
    </w:p>
  </w:footnote>
  <w:footnote w:id="20">
    <w:p w:rsidR="00340DA7" w:rsidRPr="00D91E64" w:rsidRDefault="00340DA7" w:rsidP="00B920D6">
      <w:pPr>
        <w:pStyle w:val="FootnoteText"/>
        <w:tabs>
          <w:tab w:val="left" w:pos="360"/>
        </w:tabs>
        <w:snapToGrid w:val="0"/>
        <w:spacing w:after="120"/>
        <w:ind w:left="360" w:hanging="360"/>
        <w:rPr>
          <w:lang w:eastAsia="zh-CN"/>
        </w:rPr>
      </w:pPr>
      <w:r>
        <w:rPr>
          <w:rStyle w:val="FootnoteReference"/>
        </w:rPr>
        <w:footnoteRef/>
      </w:r>
      <w:r>
        <w:t xml:space="preserve"> </w:t>
      </w:r>
      <w:r>
        <w:rPr>
          <w:lang w:eastAsia="zh-CN"/>
        </w:rPr>
        <w:tab/>
      </w:r>
      <w:r w:rsidRPr="00ED20FA">
        <w:rPr>
          <w:lang w:eastAsia="zh-CN"/>
        </w:rPr>
        <w:t xml:space="preserve">Road Traffic </w:t>
      </w:r>
      <w:r>
        <w:rPr>
          <w:lang w:eastAsia="zh-CN"/>
        </w:rPr>
        <w:t xml:space="preserve">(Registration and Licensing of Vehicles) </w:t>
      </w:r>
      <w:r w:rsidRPr="00ED20FA">
        <w:rPr>
          <w:lang w:eastAsia="zh-CN"/>
        </w:rPr>
        <w:t xml:space="preserve">(Amendment) </w:t>
      </w:r>
      <w:r>
        <w:rPr>
          <w:lang w:eastAsia="zh-CN"/>
        </w:rPr>
        <w:t xml:space="preserve">Regulations </w:t>
      </w:r>
      <w:r w:rsidRPr="00ED20FA">
        <w:rPr>
          <w:lang w:eastAsia="zh-CN"/>
        </w:rPr>
        <w:t>1981</w:t>
      </w:r>
      <w:r>
        <w:rPr>
          <w:lang w:eastAsia="zh-CN"/>
        </w:rPr>
        <w:t xml:space="preserve"> (L.N. 111 of 1981).</w:t>
      </w:r>
    </w:p>
  </w:footnote>
  <w:footnote w:id="21">
    <w:p w:rsidR="00340DA7" w:rsidRPr="00DA0362" w:rsidRDefault="00340DA7" w:rsidP="00B920D6">
      <w:pPr>
        <w:pStyle w:val="FootnoteText"/>
        <w:tabs>
          <w:tab w:val="left" w:pos="360"/>
        </w:tabs>
        <w:snapToGrid w:val="0"/>
        <w:spacing w:after="120"/>
        <w:ind w:left="360" w:hanging="360"/>
        <w:rPr>
          <w:lang w:eastAsia="zh-CN"/>
        </w:rPr>
      </w:pPr>
      <w:r>
        <w:rPr>
          <w:rStyle w:val="FootnoteReference"/>
        </w:rPr>
        <w:footnoteRef/>
      </w:r>
      <w:r>
        <w:t xml:space="preserve"> </w:t>
      </w:r>
      <w:r>
        <w:rPr>
          <w:lang w:eastAsia="zh-CN"/>
        </w:rPr>
        <w:tab/>
        <w:t>Legislative Council Official Report of Proceedings, 11 February 1981, pp.407-408.</w:t>
      </w:r>
    </w:p>
  </w:footnote>
  <w:footnote w:id="22">
    <w:p w:rsidR="00340DA7" w:rsidRPr="00697337" w:rsidRDefault="00340DA7" w:rsidP="000671E7">
      <w:pPr>
        <w:pStyle w:val="FootnoteText"/>
        <w:tabs>
          <w:tab w:val="left" w:pos="360"/>
        </w:tabs>
        <w:snapToGrid w:val="0"/>
        <w:spacing w:after="120"/>
        <w:ind w:left="360" w:hanging="360"/>
        <w:rPr>
          <w:lang w:eastAsia="zh-CN"/>
        </w:rPr>
      </w:pPr>
      <w:r>
        <w:rPr>
          <w:rStyle w:val="FootnoteReference"/>
        </w:rPr>
        <w:footnoteRef/>
      </w:r>
      <w:r>
        <w:t xml:space="preserve"> </w:t>
      </w:r>
      <w:r>
        <w:rPr>
          <w:lang w:eastAsia="zh-CN"/>
        </w:rPr>
        <w:tab/>
        <w:t>Legislative Council Official Report of Proceedings, 28 July 1982, p.1107.</w:t>
      </w:r>
    </w:p>
  </w:footnote>
  <w:footnote w:id="23">
    <w:p w:rsidR="00340DA7" w:rsidRPr="00526297" w:rsidRDefault="00340DA7" w:rsidP="000671E7">
      <w:pPr>
        <w:pStyle w:val="FootnoteText"/>
        <w:tabs>
          <w:tab w:val="left" w:pos="360"/>
        </w:tabs>
        <w:snapToGrid w:val="0"/>
        <w:spacing w:after="120"/>
        <w:ind w:left="360" w:hanging="360"/>
        <w:rPr>
          <w:lang w:eastAsia="zh-CN"/>
        </w:rPr>
      </w:pPr>
      <w:r>
        <w:rPr>
          <w:rStyle w:val="FootnoteReference"/>
        </w:rPr>
        <w:footnoteRef/>
      </w:r>
      <w:r>
        <w:t xml:space="preserve"> </w:t>
      </w:r>
      <w:r>
        <w:rPr>
          <w:lang w:eastAsia="zh-CN"/>
        </w:rPr>
        <w:tab/>
        <w:t xml:space="preserve">Appearing with </w:t>
      </w:r>
      <w:proofErr w:type="spellStart"/>
      <w:r>
        <w:rPr>
          <w:lang w:eastAsia="zh-CN"/>
        </w:rPr>
        <w:t>Mr</w:t>
      </w:r>
      <w:proofErr w:type="spellEnd"/>
      <w:r>
        <w:rPr>
          <w:lang w:eastAsia="zh-CN"/>
        </w:rPr>
        <w:t xml:space="preserve"> Derek Chan SC and </w:t>
      </w:r>
      <w:proofErr w:type="spellStart"/>
      <w:r>
        <w:rPr>
          <w:lang w:eastAsia="zh-CN"/>
        </w:rPr>
        <w:t>Ms</w:t>
      </w:r>
      <w:proofErr w:type="spellEnd"/>
      <w:r>
        <w:rPr>
          <w:lang w:eastAsia="zh-CN"/>
        </w:rPr>
        <w:t xml:space="preserve"> Katrina K.W. Lee.</w:t>
      </w:r>
    </w:p>
  </w:footnote>
  <w:footnote w:id="24">
    <w:p w:rsidR="00340DA7" w:rsidRPr="00357ED1" w:rsidRDefault="00340DA7" w:rsidP="000671E7">
      <w:pPr>
        <w:pStyle w:val="FootnoteText"/>
        <w:tabs>
          <w:tab w:val="left" w:pos="360"/>
        </w:tabs>
        <w:snapToGrid w:val="0"/>
        <w:spacing w:after="120"/>
        <w:ind w:left="360" w:hanging="360"/>
        <w:rPr>
          <w:lang w:eastAsia="zh-CN"/>
        </w:rPr>
      </w:pPr>
      <w:r>
        <w:rPr>
          <w:rStyle w:val="FootnoteReference"/>
        </w:rPr>
        <w:footnoteRef/>
      </w:r>
      <w:r>
        <w:t xml:space="preserve"> </w:t>
      </w:r>
      <w:r>
        <w:rPr>
          <w:lang w:eastAsia="zh-CN"/>
        </w:rPr>
        <w:tab/>
        <w:t>Statement of Findings at [192].</w:t>
      </w:r>
    </w:p>
  </w:footnote>
  <w:footnote w:id="25">
    <w:p w:rsidR="00340DA7" w:rsidRPr="0089147D" w:rsidRDefault="00340DA7" w:rsidP="000671E7">
      <w:pPr>
        <w:pStyle w:val="FootnoteText"/>
        <w:tabs>
          <w:tab w:val="left" w:pos="360"/>
        </w:tabs>
        <w:snapToGrid w:val="0"/>
        <w:spacing w:after="120"/>
        <w:ind w:left="360" w:hanging="360"/>
        <w:rPr>
          <w:lang w:eastAsia="zh-CN"/>
        </w:rPr>
      </w:pPr>
      <w:r>
        <w:rPr>
          <w:rStyle w:val="FootnoteReference"/>
        </w:rPr>
        <w:footnoteRef/>
      </w:r>
      <w:r>
        <w:t xml:space="preserve"> </w:t>
      </w:r>
      <w:r>
        <w:rPr>
          <w:lang w:eastAsia="zh-CN"/>
        </w:rPr>
        <w:tab/>
        <w:t>CFI Judgment at [65]</w:t>
      </w:r>
      <w:proofErr w:type="gramStart"/>
      <w:r>
        <w:rPr>
          <w:lang w:eastAsia="zh-CN"/>
        </w:rPr>
        <w:t>-[</w:t>
      </w:r>
      <w:proofErr w:type="gramEnd"/>
      <w:r>
        <w:rPr>
          <w:lang w:eastAsia="zh-CN"/>
        </w:rPr>
        <w:t>67].</w:t>
      </w:r>
    </w:p>
  </w:footnote>
  <w:footnote w:id="26">
    <w:p w:rsidR="00340DA7" w:rsidRPr="0089147D" w:rsidRDefault="00340DA7" w:rsidP="000671E7">
      <w:pPr>
        <w:pStyle w:val="FootnoteText"/>
        <w:tabs>
          <w:tab w:val="left" w:pos="360"/>
        </w:tabs>
        <w:snapToGrid w:val="0"/>
        <w:spacing w:after="120"/>
        <w:ind w:left="360" w:hanging="360"/>
        <w:rPr>
          <w:lang w:eastAsia="zh-CN"/>
        </w:rPr>
      </w:pPr>
      <w:r>
        <w:rPr>
          <w:rStyle w:val="FootnoteReference"/>
        </w:rPr>
        <w:footnoteRef/>
      </w:r>
      <w:r>
        <w:t xml:space="preserve"> </w:t>
      </w:r>
      <w:r>
        <w:rPr>
          <w:lang w:eastAsia="zh-CN"/>
        </w:rPr>
        <w:tab/>
        <w:t xml:space="preserve">Deputy Director of Public Prosecutions, appearing with </w:t>
      </w:r>
      <w:proofErr w:type="spellStart"/>
      <w:r>
        <w:rPr>
          <w:lang w:eastAsia="zh-CN"/>
        </w:rPr>
        <w:t>Mr</w:t>
      </w:r>
      <w:proofErr w:type="spellEnd"/>
      <w:r>
        <w:rPr>
          <w:lang w:eastAsia="zh-CN"/>
        </w:rPr>
        <w:t xml:space="preserve"> Marcus Lee, Senior Public Prosecutor, and </w:t>
      </w:r>
      <w:proofErr w:type="spellStart"/>
      <w:r>
        <w:rPr>
          <w:lang w:eastAsia="zh-CN"/>
        </w:rPr>
        <w:t>Ms</w:t>
      </w:r>
      <w:proofErr w:type="spellEnd"/>
      <w:r>
        <w:rPr>
          <w:lang w:eastAsia="zh-CN"/>
        </w:rPr>
        <w:t xml:space="preserve"> Cherry Chong, Public Prosecutor.</w:t>
      </w:r>
    </w:p>
  </w:footnote>
  <w:footnote w:id="27">
    <w:p w:rsidR="00340DA7" w:rsidRPr="00327B72" w:rsidRDefault="00340DA7" w:rsidP="000671E7">
      <w:pPr>
        <w:pStyle w:val="FootnoteText"/>
        <w:tabs>
          <w:tab w:val="left" w:pos="360"/>
        </w:tabs>
        <w:snapToGrid w:val="0"/>
        <w:spacing w:after="120"/>
        <w:ind w:left="360" w:hanging="360"/>
        <w:rPr>
          <w:lang w:eastAsia="zh-CN"/>
        </w:rPr>
      </w:pPr>
      <w:r>
        <w:rPr>
          <w:rStyle w:val="FootnoteReference"/>
        </w:rPr>
        <w:footnoteRef/>
      </w:r>
      <w:r>
        <w:t xml:space="preserve"> </w:t>
      </w:r>
      <w:r>
        <w:rPr>
          <w:lang w:eastAsia="zh-CN"/>
        </w:rPr>
        <w:tab/>
      </w:r>
      <w:r>
        <w:rPr>
          <w:i/>
          <w:lang w:eastAsia="zh-CN"/>
        </w:rPr>
        <w:t xml:space="preserve">HKSAR v Chui Shu </w:t>
      </w:r>
      <w:proofErr w:type="spellStart"/>
      <w:r>
        <w:rPr>
          <w:i/>
          <w:lang w:eastAsia="zh-CN"/>
        </w:rPr>
        <w:t>Shing</w:t>
      </w:r>
      <w:proofErr w:type="spellEnd"/>
      <w:r>
        <w:rPr>
          <w:lang w:eastAsia="zh-CN"/>
        </w:rPr>
        <w:t xml:space="preserve"> (2017) 20 HKCFAR 333 at [42] (French NPJ).</w:t>
      </w:r>
    </w:p>
  </w:footnote>
  <w:footnote w:id="28">
    <w:p w:rsidR="00340DA7" w:rsidRPr="005E3CFB" w:rsidRDefault="00340DA7" w:rsidP="000671E7">
      <w:pPr>
        <w:pStyle w:val="FootnoteText"/>
        <w:tabs>
          <w:tab w:val="left" w:pos="360"/>
        </w:tabs>
        <w:snapToGrid w:val="0"/>
        <w:spacing w:after="120"/>
        <w:ind w:left="360" w:hanging="360"/>
        <w:rPr>
          <w:lang w:eastAsia="zh-CN"/>
        </w:rPr>
      </w:pPr>
      <w:r>
        <w:rPr>
          <w:rStyle w:val="FootnoteReference"/>
        </w:rPr>
        <w:footnoteRef/>
      </w:r>
      <w:r>
        <w:t xml:space="preserve"> </w:t>
      </w:r>
      <w:r>
        <w:rPr>
          <w:lang w:eastAsia="zh-CN"/>
        </w:rPr>
        <w:tab/>
      </w:r>
      <w:r>
        <w:rPr>
          <w:i/>
          <w:lang w:eastAsia="zh-CN"/>
        </w:rPr>
        <w:t xml:space="preserve">HKSAR v Cheung </w:t>
      </w:r>
      <w:proofErr w:type="spellStart"/>
      <w:r>
        <w:rPr>
          <w:i/>
          <w:lang w:eastAsia="zh-CN"/>
        </w:rPr>
        <w:t>Kwun</w:t>
      </w:r>
      <w:proofErr w:type="spellEnd"/>
      <w:r>
        <w:rPr>
          <w:i/>
          <w:lang w:eastAsia="zh-CN"/>
        </w:rPr>
        <w:t xml:space="preserve"> Yin</w:t>
      </w:r>
      <w:r>
        <w:rPr>
          <w:lang w:eastAsia="zh-CN"/>
        </w:rPr>
        <w:t xml:space="preserve"> (2009) 12 HKCFAR 568 at [13]</w:t>
      </w:r>
      <w:proofErr w:type="gramStart"/>
      <w:r>
        <w:rPr>
          <w:lang w:eastAsia="zh-CN"/>
        </w:rPr>
        <w:t>-[</w:t>
      </w:r>
      <w:proofErr w:type="gramEnd"/>
      <w:r>
        <w:rPr>
          <w:lang w:eastAsia="zh-CN"/>
        </w:rPr>
        <w:t>14] (Li CJ).</w:t>
      </w:r>
    </w:p>
  </w:footnote>
  <w:footnote w:id="29">
    <w:p w:rsidR="00340DA7" w:rsidRDefault="00340DA7" w:rsidP="000671E7">
      <w:pPr>
        <w:pStyle w:val="FootnoteText"/>
        <w:tabs>
          <w:tab w:val="left" w:pos="360"/>
        </w:tabs>
        <w:snapToGrid w:val="0"/>
        <w:spacing w:after="120"/>
        <w:ind w:left="360" w:hanging="360"/>
        <w:rPr>
          <w:lang w:eastAsia="zh-CN"/>
        </w:rPr>
      </w:pPr>
      <w:r>
        <w:rPr>
          <w:rStyle w:val="FootnoteReference"/>
        </w:rPr>
        <w:footnoteRef/>
      </w:r>
      <w:r>
        <w:t xml:space="preserve"> </w:t>
      </w:r>
      <w:r>
        <w:rPr>
          <w:lang w:eastAsia="zh-CN"/>
        </w:rPr>
        <w:tab/>
        <w:t>At [29]</w:t>
      </w:r>
      <w:proofErr w:type="gramStart"/>
      <w:r>
        <w:rPr>
          <w:lang w:eastAsia="zh-CN"/>
        </w:rPr>
        <w:t>-[</w:t>
      </w:r>
      <w:proofErr w:type="gramEnd"/>
      <w:r>
        <w:rPr>
          <w:lang w:eastAsia="zh-CN"/>
        </w:rPr>
        <w:t>31].</w:t>
      </w:r>
    </w:p>
  </w:footnote>
  <w:footnote w:id="30">
    <w:p w:rsidR="00340DA7" w:rsidRDefault="00340DA7" w:rsidP="000671E7">
      <w:pPr>
        <w:pStyle w:val="FootnoteText"/>
        <w:tabs>
          <w:tab w:val="left" w:pos="360"/>
        </w:tabs>
        <w:snapToGrid w:val="0"/>
        <w:spacing w:after="120"/>
        <w:ind w:left="360" w:hanging="360"/>
        <w:rPr>
          <w:lang w:eastAsia="zh-CN"/>
        </w:rPr>
      </w:pPr>
      <w:r>
        <w:rPr>
          <w:rStyle w:val="FootnoteReference"/>
        </w:rPr>
        <w:footnoteRef/>
      </w:r>
      <w:r>
        <w:t xml:space="preserve"> </w:t>
      </w:r>
      <w:r>
        <w:rPr>
          <w:lang w:eastAsia="zh-CN"/>
        </w:rPr>
        <w:tab/>
        <w:t>Case for the Appellants at [31] (</w:t>
      </w:r>
      <w:r w:rsidR="00BB1E76">
        <w:rPr>
          <w:lang w:eastAsia="zh-CN"/>
        </w:rPr>
        <w:t>italics</w:t>
      </w:r>
      <w:r>
        <w:rPr>
          <w:lang w:eastAsia="zh-CN"/>
        </w:rPr>
        <w:t xml:space="preserve"> in original).</w:t>
      </w:r>
    </w:p>
  </w:footnote>
  <w:footnote w:id="31">
    <w:p w:rsidR="00340DA7" w:rsidRDefault="00340DA7" w:rsidP="000671E7">
      <w:pPr>
        <w:pStyle w:val="FootnoteText"/>
        <w:tabs>
          <w:tab w:val="left" w:pos="360"/>
        </w:tabs>
        <w:snapToGrid w:val="0"/>
        <w:spacing w:after="120"/>
        <w:ind w:left="360" w:hanging="360"/>
        <w:rPr>
          <w:lang w:eastAsia="zh-CN"/>
        </w:rPr>
      </w:pPr>
      <w:r>
        <w:rPr>
          <w:rStyle w:val="FootnoteReference"/>
        </w:rPr>
        <w:footnoteRef/>
      </w:r>
      <w:r>
        <w:t xml:space="preserve"> </w:t>
      </w:r>
      <w:r>
        <w:rPr>
          <w:lang w:eastAsia="zh-CN"/>
        </w:rPr>
        <w:tab/>
        <w:t>At [27] and [34].</w:t>
      </w:r>
    </w:p>
  </w:footnote>
  <w:footnote w:id="32">
    <w:p w:rsidR="00340DA7" w:rsidRDefault="00340DA7" w:rsidP="000671E7">
      <w:pPr>
        <w:pStyle w:val="FootnoteText"/>
        <w:tabs>
          <w:tab w:val="left" w:pos="360"/>
        </w:tabs>
        <w:snapToGrid w:val="0"/>
        <w:spacing w:after="120"/>
        <w:ind w:left="360" w:hanging="360"/>
        <w:rPr>
          <w:lang w:eastAsia="zh-CN"/>
        </w:rPr>
      </w:pPr>
      <w:r>
        <w:rPr>
          <w:rStyle w:val="FootnoteReference"/>
        </w:rPr>
        <w:footnoteRef/>
      </w:r>
      <w:r>
        <w:t xml:space="preserve"> </w:t>
      </w:r>
      <w:r>
        <w:rPr>
          <w:lang w:eastAsia="zh-CN"/>
        </w:rPr>
        <w:tab/>
        <w:t>Case for the Appellants at [32]</w:t>
      </w:r>
      <w:proofErr w:type="gramStart"/>
      <w:r>
        <w:rPr>
          <w:lang w:eastAsia="zh-CN"/>
        </w:rPr>
        <w:t>-[</w:t>
      </w:r>
      <w:proofErr w:type="gramEnd"/>
      <w:r>
        <w:rPr>
          <w:lang w:eastAsia="zh-CN"/>
        </w:rPr>
        <w:t>33].</w:t>
      </w:r>
    </w:p>
  </w:footnote>
  <w:footnote w:id="33">
    <w:p w:rsidR="00340DA7" w:rsidRPr="007A3F91" w:rsidRDefault="00340DA7" w:rsidP="00EE108D">
      <w:pPr>
        <w:pStyle w:val="FootnoteText"/>
        <w:tabs>
          <w:tab w:val="left" w:pos="360"/>
        </w:tabs>
        <w:snapToGrid w:val="0"/>
        <w:spacing w:after="120"/>
        <w:ind w:left="360" w:hanging="360"/>
        <w:rPr>
          <w:lang w:eastAsia="zh-CN"/>
        </w:rPr>
      </w:pPr>
      <w:r>
        <w:rPr>
          <w:rStyle w:val="FootnoteReference"/>
        </w:rPr>
        <w:footnoteRef/>
      </w:r>
      <w:r>
        <w:t xml:space="preserve"> </w:t>
      </w:r>
      <w:r>
        <w:rPr>
          <w:lang w:eastAsia="zh-CN"/>
        </w:rPr>
        <w:tab/>
        <w:t>(2017) 20 HKCFAR 524</w:t>
      </w:r>
      <w:r w:rsidR="0049751D">
        <w:rPr>
          <w:lang w:eastAsia="zh-CN"/>
        </w:rPr>
        <w:t xml:space="preserve"> </w:t>
      </w:r>
      <w:r>
        <w:rPr>
          <w:lang w:eastAsia="zh-CN"/>
        </w:rPr>
        <w:t>at [20].</w:t>
      </w:r>
    </w:p>
  </w:footnote>
  <w:footnote w:id="34">
    <w:p w:rsidR="00340DA7" w:rsidRDefault="00340DA7" w:rsidP="00A37452">
      <w:pPr>
        <w:pStyle w:val="FootnoteText"/>
        <w:tabs>
          <w:tab w:val="left" w:pos="360"/>
        </w:tabs>
        <w:snapToGrid w:val="0"/>
        <w:spacing w:after="120"/>
        <w:ind w:left="360" w:hanging="360"/>
        <w:rPr>
          <w:lang w:eastAsia="zh-CN"/>
        </w:rPr>
      </w:pPr>
      <w:r>
        <w:rPr>
          <w:rStyle w:val="FootnoteReference"/>
        </w:rPr>
        <w:footnoteRef/>
      </w:r>
      <w:r>
        <w:t xml:space="preserve"> </w:t>
      </w:r>
      <w:r>
        <w:rPr>
          <w:lang w:eastAsia="zh-CN"/>
        </w:rPr>
        <w:tab/>
      </w:r>
      <w:r w:rsidR="00986A9A" w:rsidRPr="00F77CCC">
        <w:rPr>
          <w:lang w:eastAsia="zh-CN"/>
        </w:rPr>
        <w:t xml:space="preserve">Case for the Respondent at </w:t>
      </w:r>
      <w:r w:rsidRPr="00F77CCC">
        <w:rPr>
          <w:lang w:eastAsia="zh-CN"/>
        </w:rPr>
        <w:t>[33].</w:t>
      </w:r>
    </w:p>
  </w:footnote>
  <w:footnote w:id="35">
    <w:p w:rsidR="00340DA7" w:rsidRDefault="00340DA7" w:rsidP="00A37452">
      <w:pPr>
        <w:pStyle w:val="FootnoteText"/>
        <w:tabs>
          <w:tab w:val="left" w:pos="360"/>
        </w:tabs>
        <w:snapToGrid w:val="0"/>
        <w:spacing w:after="120"/>
        <w:ind w:left="360" w:hanging="360"/>
        <w:rPr>
          <w:lang w:eastAsia="zh-CN"/>
        </w:rPr>
      </w:pPr>
      <w:r>
        <w:rPr>
          <w:rStyle w:val="FootnoteReference"/>
        </w:rPr>
        <w:footnoteRef/>
      </w:r>
      <w:r>
        <w:t xml:space="preserve"> </w:t>
      </w:r>
      <w:r>
        <w:rPr>
          <w:lang w:eastAsia="zh-CN"/>
        </w:rPr>
        <w:tab/>
      </w:r>
      <w:r w:rsidRPr="00D85B97">
        <w:rPr>
          <w:lang w:eastAsia="zh-CN"/>
        </w:rPr>
        <w:t>(2016) 19 HKCFAR 110</w:t>
      </w:r>
      <w:r>
        <w:rPr>
          <w:lang w:eastAsia="zh-CN"/>
        </w:rPr>
        <w:t>.</w:t>
      </w:r>
    </w:p>
  </w:footnote>
  <w:footnote w:id="36">
    <w:p w:rsidR="00340DA7" w:rsidRDefault="00340DA7" w:rsidP="00A37452">
      <w:pPr>
        <w:pStyle w:val="FootnoteText"/>
        <w:tabs>
          <w:tab w:val="left" w:pos="360"/>
        </w:tabs>
        <w:snapToGrid w:val="0"/>
        <w:spacing w:after="120"/>
        <w:ind w:left="360" w:hanging="360"/>
        <w:rPr>
          <w:lang w:eastAsia="zh-CN"/>
        </w:rPr>
      </w:pPr>
      <w:r>
        <w:rPr>
          <w:rStyle w:val="FootnoteReference"/>
        </w:rPr>
        <w:footnoteRef/>
      </w:r>
      <w:r>
        <w:t xml:space="preserve"> </w:t>
      </w:r>
      <w:r>
        <w:rPr>
          <w:lang w:eastAsia="zh-CN"/>
        </w:rPr>
        <w:tab/>
      </w:r>
      <w:r w:rsidRPr="00D85B97">
        <w:rPr>
          <w:i/>
          <w:lang w:eastAsia="zh-CN"/>
        </w:rPr>
        <w:t>Ibid.</w:t>
      </w:r>
      <w:r>
        <w:rPr>
          <w:lang w:eastAsia="zh-CN"/>
        </w:rPr>
        <w:t xml:space="preserve"> at [20].</w:t>
      </w:r>
    </w:p>
  </w:footnote>
  <w:footnote w:id="37">
    <w:p w:rsidR="00340DA7" w:rsidRDefault="00340DA7" w:rsidP="00A37452">
      <w:pPr>
        <w:pStyle w:val="FootnoteText"/>
        <w:tabs>
          <w:tab w:val="left" w:pos="360"/>
        </w:tabs>
        <w:snapToGrid w:val="0"/>
        <w:spacing w:after="120"/>
        <w:ind w:left="360" w:hanging="360"/>
        <w:rPr>
          <w:lang w:eastAsia="zh-CN"/>
        </w:rPr>
      </w:pPr>
      <w:r>
        <w:rPr>
          <w:rStyle w:val="FootnoteReference"/>
        </w:rPr>
        <w:footnoteRef/>
      </w:r>
      <w:r>
        <w:t xml:space="preserve"> </w:t>
      </w:r>
      <w:r>
        <w:rPr>
          <w:lang w:eastAsia="zh-CN"/>
        </w:rPr>
        <w:tab/>
        <w:t>Case for the Appellants at [28].</w:t>
      </w:r>
    </w:p>
  </w:footnote>
  <w:footnote w:id="38">
    <w:p w:rsidR="00340DA7" w:rsidRDefault="00340DA7" w:rsidP="00A37452">
      <w:pPr>
        <w:pStyle w:val="FootnoteText"/>
        <w:tabs>
          <w:tab w:val="left" w:pos="360"/>
        </w:tabs>
        <w:snapToGrid w:val="0"/>
        <w:spacing w:after="120"/>
        <w:ind w:left="360" w:hanging="360"/>
        <w:rPr>
          <w:lang w:eastAsia="zh-CN"/>
        </w:rPr>
      </w:pPr>
      <w:r>
        <w:rPr>
          <w:rStyle w:val="FootnoteReference"/>
        </w:rPr>
        <w:footnoteRef/>
      </w:r>
      <w:r>
        <w:t xml:space="preserve"> </w:t>
      </w:r>
      <w:r>
        <w:rPr>
          <w:lang w:eastAsia="zh-CN"/>
        </w:rPr>
        <w:tab/>
        <w:t>[1972] AC 301.</w:t>
      </w:r>
    </w:p>
  </w:footnote>
  <w:footnote w:id="39">
    <w:p w:rsidR="00340DA7" w:rsidRPr="0074726D" w:rsidRDefault="00340DA7" w:rsidP="00A37452">
      <w:pPr>
        <w:pStyle w:val="FootnoteText"/>
        <w:tabs>
          <w:tab w:val="left" w:pos="360"/>
        </w:tabs>
        <w:snapToGrid w:val="0"/>
        <w:spacing w:after="120"/>
        <w:ind w:left="360" w:hanging="360"/>
        <w:rPr>
          <w:lang w:eastAsia="zh-CN"/>
        </w:rPr>
      </w:pPr>
      <w:r>
        <w:rPr>
          <w:rStyle w:val="FootnoteReference"/>
        </w:rPr>
        <w:footnoteRef/>
      </w:r>
      <w:r>
        <w:t xml:space="preserve"> </w:t>
      </w:r>
      <w:r>
        <w:rPr>
          <w:lang w:eastAsia="zh-CN"/>
        </w:rPr>
        <w:tab/>
      </w:r>
      <w:r>
        <w:rPr>
          <w:i/>
          <w:lang w:eastAsia="zh-CN"/>
        </w:rPr>
        <w:t>Ibid.</w:t>
      </w:r>
      <w:r>
        <w:rPr>
          <w:lang w:eastAsia="zh-CN"/>
        </w:rPr>
        <w:t xml:space="preserve"> at p.302B.</w:t>
      </w:r>
    </w:p>
  </w:footnote>
  <w:footnote w:id="40">
    <w:p w:rsidR="00340DA7" w:rsidRPr="0074726D" w:rsidRDefault="00340DA7" w:rsidP="00A37452">
      <w:pPr>
        <w:pStyle w:val="FootnoteText"/>
        <w:tabs>
          <w:tab w:val="left" w:pos="360"/>
        </w:tabs>
        <w:snapToGrid w:val="0"/>
        <w:spacing w:after="120"/>
        <w:ind w:left="360" w:hanging="360"/>
        <w:rPr>
          <w:lang w:eastAsia="zh-CN"/>
        </w:rPr>
      </w:pPr>
      <w:r>
        <w:rPr>
          <w:rStyle w:val="FootnoteReference"/>
        </w:rPr>
        <w:footnoteRef/>
      </w:r>
      <w:r>
        <w:t xml:space="preserve"> </w:t>
      </w:r>
      <w:r>
        <w:rPr>
          <w:lang w:eastAsia="zh-CN"/>
        </w:rPr>
        <w:tab/>
      </w:r>
      <w:r>
        <w:rPr>
          <w:i/>
          <w:lang w:eastAsia="zh-CN"/>
        </w:rPr>
        <w:t>Ibid.</w:t>
      </w:r>
      <w:r>
        <w:rPr>
          <w:lang w:eastAsia="zh-CN"/>
        </w:rPr>
        <w:t xml:space="preserve"> at pp.332F-333A.</w:t>
      </w:r>
    </w:p>
  </w:footnote>
  <w:footnote w:id="41">
    <w:p w:rsidR="00340DA7" w:rsidRPr="00F379D6" w:rsidRDefault="00340DA7" w:rsidP="00A37452">
      <w:pPr>
        <w:pStyle w:val="FootnoteText"/>
        <w:tabs>
          <w:tab w:val="left" w:pos="360"/>
        </w:tabs>
        <w:snapToGrid w:val="0"/>
        <w:spacing w:after="120"/>
        <w:ind w:left="360" w:hanging="360"/>
        <w:rPr>
          <w:lang w:val="en-GB" w:eastAsia="zh-CN"/>
        </w:rPr>
      </w:pPr>
      <w:r>
        <w:rPr>
          <w:rStyle w:val="FootnoteReference"/>
        </w:rPr>
        <w:footnoteRef/>
      </w:r>
      <w:r>
        <w:t xml:space="preserve"> </w:t>
      </w:r>
      <w:r>
        <w:rPr>
          <w:lang w:eastAsia="zh-CN"/>
        </w:rPr>
        <w:tab/>
      </w:r>
      <w:proofErr w:type="spellStart"/>
      <w:r w:rsidRPr="00F379D6">
        <w:rPr>
          <w:i/>
          <w:lang w:eastAsia="zh-CN"/>
        </w:rPr>
        <w:t>Kwong</w:t>
      </w:r>
      <w:proofErr w:type="spellEnd"/>
      <w:r w:rsidRPr="00F379D6">
        <w:rPr>
          <w:i/>
          <w:lang w:eastAsia="zh-CN"/>
        </w:rPr>
        <w:t xml:space="preserve"> Pak-yam v The Queen</w:t>
      </w:r>
      <w:r w:rsidRPr="00F379D6">
        <w:rPr>
          <w:lang w:eastAsia="zh-CN"/>
        </w:rPr>
        <w:t xml:space="preserve"> </w:t>
      </w:r>
      <w:r>
        <w:rPr>
          <w:lang w:eastAsia="zh-CN"/>
        </w:rPr>
        <w:t xml:space="preserve">[1965] HKLR 931 at p.936 (referring to </w:t>
      </w:r>
      <w:r>
        <w:rPr>
          <w:i/>
          <w:lang w:val="en-GB" w:eastAsia="zh-CN"/>
        </w:rPr>
        <w:t xml:space="preserve">Coward </w:t>
      </w:r>
      <w:proofErr w:type="gramStart"/>
      <w:r>
        <w:rPr>
          <w:i/>
          <w:lang w:val="en-GB" w:eastAsia="zh-CN"/>
        </w:rPr>
        <w:t>v</w:t>
      </w:r>
      <w:proofErr w:type="gramEnd"/>
      <w:r>
        <w:rPr>
          <w:i/>
          <w:lang w:val="en-GB" w:eastAsia="zh-CN"/>
        </w:rPr>
        <w:t xml:space="preserve"> Motor Insurers’ Bureau</w:t>
      </w:r>
      <w:r>
        <w:rPr>
          <w:lang w:val="en-GB" w:eastAsia="zh-CN"/>
        </w:rPr>
        <w:t xml:space="preserve"> [1963] 1</w:t>
      </w:r>
      <w:r w:rsidR="005A64BB">
        <w:rPr>
          <w:lang w:val="en-GB" w:eastAsia="zh-CN"/>
        </w:rPr>
        <w:t xml:space="preserve"> </w:t>
      </w:r>
      <w:r>
        <w:rPr>
          <w:lang w:val="en-GB" w:eastAsia="zh-CN"/>
        </w:rPr>
        <w:t>QB 259).</w:t>
      </w:r>
    </w:p>
  </w:footnote>
  <w:footnote w:id="42">
    <w:p w:rsidR="00340DA7" w:rsidRDefault="00340DA7" w:rsidP="00A37452">
      <w:pPr>
        <w:pStyle w:val="FootnoteText"/>
        <w:tabs>
          <w:tab w:val="left" w:pos="360"/>
        </w:tabs>
        <w:snapToGrid w:val="0"/>
        <w:spacing w:after="120"/>
        <w:ind w:left="360" w:hanging="360"/>
        <w:rPr>
          <w:lang w:eastAsia="zh-CN"/>
        </w:rPr>
      </w:pPr>
      <w:r>
        <w:rPr>
          <w:rStyle w:val="FootnoteReference"/>
        </w:rPr>
        <w:footnoteRef/>
      </w:r>
      <w:r>
        <w:t xml:space="preserve"> </w:t>
      </w:r>
      <w:r>
        <w:tab/>
      </w:r>
      <w:r>
        <w:rPr>
          <w:rFonts w:hint="eastAsia"/>
          <w:lang w:eastAsia="zh-CN"/>
        </w:rPr>
        <w:t>[1965] HKLR 931.</w:t>
      </w:r>
    </w:p>
  </w:footnote>
  <w:footnote w:id="43">
    <w:p w:rsidR="00340DA7" w:rsidRDefault="00340DA7" w:rsidP="00A37452">
      <w:pPr>
        <w:pStyle w:val="FootnoteText"/>
        <w:tabs>
          <w:tab w:val="left" w:pos="360"/>
        </w:tabs>
        <w:snapToGrid w:val="0"/>
        <w:spacing w:after="120"/>
        <w:ind w:left="360" w:hanging="360"/>
        <w:rPr>
          <w:lang w:eastAsia="zh-CN"/>
        </w:rPr>
      </w:pPr>
      <w:r>
        <w:rPr>
          <w:rStyle w:val="FootnoteReference"/>
        </w:rPr>
        <w:footnoteRef/>
      </w:r>
      <w:r>
        <w:t xml:space="preserve"> </w:t>
      </w:r>
      <w:r>
        <w:rPr>
          <w:lang w:eastAsia="zh-CN"/>
        </w:rPr>
        <w:tab/>
        <w:t>[1965] HKLR 941.</w:t>
      </w:r>
    </w:p>
  </w:footnote>
  <w:footnote w:id="44">
    <w:p w:rsidR="00340DA7" w:rsidRDefault="00340DA7" w:rsidP="00A37452">
      <w:pPr>
        <w:pStyle w:val="FootnoteText"/>
        <w:tabs>
          <w:tab w:val="left" w:pos="360"/>
        </w:tabs>
        <w:snapToGrid w:val="0"/>
        <w:spacing w:after="120"/>
        <w:ind w:left="360" w:hanging="360"/>
        <w:rPr>
          <w:lang w:eastAsia="zh-CN"/>
        </w:rPr>
      </w:pPr>
      <w:r>
        <w:rPr>
          <w:rStyle w:val="FootnoteReference"/>
        </w:rPr>
        <w:footnoteRef/>
      </w:r>
      <w:r>
        <w:t xml:space="preserve"> </w:t>
      </w:r>
      <w:r>
        <w:rPr>
          <w:lang w:eastAsia="zh-CN"/>
        </w:rPr>
        <w:tab/>
        <w:t xml:space="preserve">[2015] EWHC 2918 (Admin), [2016] RTR 12 per </w:t>
      </w:r>
      <w:proofErr w:type="spellStart"/>
      <w:r>
        <w:rPr>
          <w:lang w:eastAsia="zh-CN"/>
        </w:rPr>
        <w:t>Ouseley</w:t>
      </w:r>
      <w:proofErr w:type="spellEnd"/>
      <w:r>
        <w:rPr>
          <w:lang w:eastAsia="zh-CN"/>
        </w:rPr>
        <w:t xml:space="preserve"> J at [39].</w:t>
      </w:r>
    </w:p>
  </w:footnote>
  <w:footnote w:id="45">
    <w:p w:rsidR="00340DA7" w:rsidRDefault="00340DA7" w:rsidP="003804E9">
      <w:pPr>
        <w:pStyle w:val="FootnoteText"/>
        <w:tabs>
          <w:tab w:val="left" w:pos="360"/>
        </w:tabs>
        <w:snapToGrid w:val="0"/>
        <w:spacing w:after="120"/>
        <w:ind w:left="360" w:hanging="360"/>
        <w:rPr>
          <w:lang w:eastAsia="zh-CN"/>
        </w:rPr>
      </w:pPr>
      <w:r>
        <w:rPr>
          <w:rStyle w:val="FootnoteReference"/>
        </w:rPr>
        <w:footnoteRef/>
      </w:r>
      <w:r>
        <w:t xml:space="preserve"> </w:t>
      </w:r>
      <w:r>
        <w:rPr>
          <w:lang w:eastAsia="zh-CN"/>
        </w:rPr>
        <w:tab/>
        <w:t>Case for the Respondent at [58].</w:t>
      </w:r>
    </w:p>
  </w:footnote>
  <w:footnote w:id="46">
    <w:p w:rsidR="00340DA7" w:rsidRPr="00BF05E7" w:rsidRDefault="00340DA7" w:rsidP="003804E9">
      <w:pPr>
        <w:pStyle w:val="FootnoteText"/>
        <w:tabs>
          <w:tab w:val="left" w:pos="360"/>
        </w:tabs>
        <w:snapToGrid w:val="0"/>
        <w:spacing w:after="120"/>
        <w:ind w:left="360" w:hanging="360"/>
        <w:rPr>
          <w:lang w:eastAsia="zh-CN"/>
        </w:rPr>
      </w:pPr>
      <w:r>
        <w:rPr>
          <w:rStyle w:val="FootnoteReference"/>
        </w:rPr>
        <w:footnoteRef/>
      </w:r>
      <w:r>
        <w:t xml:space="preserve"> </w:t>
      </w:r>
      <w:r>
        <w:rPr>
          <w:lang w:eastAsia="zh-CN"/>
        </w:rPr>
        <w:tab/>
      </w:r>
      <w:r>
        <w:rPr>
          <w:i/>
          <w:lang w:eastAsia="zh-CN"/>
        </w:rPr>
        <w:t>Ibid.</w:t>
      </w:r>
      <w:r>
        <w:rPr>
          <w:lang w:eastAsia="zh-CN"/>
        </w:rPr>
        <w:t xml:space="preserve"> at [61].</w:t>
      </w:r>
    </w:p>
  </w:footnote>
  <w:footnote w:id="47">
    <w:p w:rsidR="00340DA7" w:rsidRDefault="00340DA7" w:rsidP="003804E9">
      <w:pPr>
        <w:pStyle w:val="FootnoteText"/>
        <w:tabs>
          <w:tab w:val="left" w:pos="360"/>
        </w:tabs>
        <w:snapToGrid w:val="0"/>
        <w:spacing w:after="120"/>
        <w:ind w:left="360" w:hanging="360"/>
        <w:rPr>
          <w:lang w:eastAsia="zh-CN"/>
        </w:rPr>
      </w:pPr>
      <w:r>
        <w:rPr>
          <w:rStyle w:val="FootnoteReference"/>
        </w:rPr>
        <w:footnoteRef/>
      </w:r>
      <w:r>
        <w:t xml:space="preserve"> </w:t>
      </w:r>
      <w:r>
        <w:rPr>
          <w:lang w:eastAsia="zh-CN"/>
        </w:rPr>
        <w:tab/>
        <w:t>Statement of Findings at [172]</w:t>
      </w:r>
      <w:proofErr w:type="gramStart"/>
      <w:r>
        <w:rPr>
          <w:lang w:eastAsia="zh-CN"/>
        </w:rPr>
        <w:t>-[</w:t>
      </w:r>
      <w:proofErr w:type="gramEnd"/>
      <w:r>
        <w:rPr>
          <w:lang w:eastAsia="zh-CN"/>
        </w:rPr>
        <w:t>185].</w:t>
      </w:r>
    </w:p>
  </w:footnote>
  <w:footnote w:id="48">
    <w:p w:rsidR="00340DA7" w:rsidRDefault="00340DA7" w:rsidP="003804E9">
      <w:pPr>
        <w:pStyle w:val="FootnoteText"/>
        <w:tabs>
          <w:tab w:val="left" w:pos="360"/>
        </w:tabs>
        <w:snapToGrid w:val="0"/>
        <w:spacing w:after="120"/>
        <w:ind w:left="360" w:hanging="360"/>
        <w:rPr>
          <w:lang w:eastAsia="zh-CN"/>
        </w:rPr>
      </w:pPr>
      <w:r>
        <w:rPr>
          <w:rStyle w:val="FootnoteReference"/>
        </w:rPr>
        <w:footnoteRef/>
      </w:r>
      <w:r>
        <w:t xml:space="preserve"> </w:t>
      </w:r>
      <w:r>
        <w:rPr>
          <w:lang w:eastAsia="zh-CN"/>
        </w:rPr>
        <w:tab/>
        <w:t>CFI Judgment at [88]</w:t>
      </w:r>
      <w:proofErr w:type="gramStart"/>
      <w:r>
        <w:rPr>
          <w:lang w:eastAsia="zh-CN"/>
        </w:rPr>
        <w:t>-[</w:t>
      </w:r>
      <w:proofErr w:type="gramEnd"/>
      <w:r>
        <w:rPr>
          <w:lang w:eastAsia="zh-CN"/>
        </w:rPr>
        <w:t>95].</w:t>
      </w:r>
    </w:p>
  </w:footnote>
  <w:footnote w:id="49">
    <w:p w:rsidR="00340DA7" w:rsidRPr="008A1C20" w:rsidRDefault="00340DA7" w:rsidP="000122F4">
      <w:pPr>
        <w:pStyle w:val="FootnoteText"/>
        <w:tabs>
          <w:tab w:val="left" w:pos="360"/>
        </w:tabs>
        <w:snapToGrid w:val="0"/>
        <w:spacing w:after="120"/>
        <w:ind w:left="360" w:hanging="360"/>
        <w:rPr>
          <w:lang w:val="en-GB"/>
        </w:rPr>
      </w:pPr>
      <w:r>
        <w:rPr>
          <w:rStyle w:val="FootnoteReference"/>
        </w:rPr>
        <w:footnoteRef/>
      </w:r>
      <w:r>
        <w:t xml:space="preserve"> </w:t>
      </w:r>
      <w:r>
        <w:rPr>
          <w:lang w:val="en-GB"/>
        </w:rPr>
        <w:tab/>
        <w:t>Statement of Findings at [191].</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48E6" w:rsidRDefault="004148E6">
    <w:pPr>
      <w:pStyle w:val="Header"/>
      <w:jc w:val="center"/>
    </w:pPr>
    <w:r>
      <w:t>- </w:t>
    </w:r>
    <w:r>
      <w:fldChar w:fldCharType="begin"/>
    </w:r>
    <w:r>
      <w:instrText xml:space="preserve"> PAGE   \* MERGEFORMAT </w:instrText>
    </w:r>
    <w:r>
      <w:fldChar w:fldCharType="separate"/>
    </w:r>
    <w:r w:rsidR="00036F13">
      <w:rPr>
        <w:noProof/>
      </w:rPr>
      <w:t>21</w:t>
    </w:r>
    <w:r>
      <w:rPr>
        <w:noProof/>
      </w:rPr>
      <w:fldChar w:fldCharType="end"/>
    </w:r>
    <w:r>
      <w:rPr>
        <w:noProof/>
      </w:rPr>
      <w:t> -</w:t>
    </w:r>
  </w:p>
  <w:p w:rsidR="004148E6" w:rsidRDefault="004148E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5172BB"/>
    <w:multiLevelType w:val="multilevel"/>
    <w:tmpl w:val="C5224BAA"/>
    <w:lvl w:ilvl="0">
      <w:start w:val="36"/>
      <w:numFmt w:val="decimal"/>
      <w:lvlText w:val="%1."/>
      <w:lvlJc w:val="left"/>
      <w:pPr>
        <w:tabs>
          <w:tab w:val="num" w:pos="720"/>
        </w:tabs>
        <w:ind w:left="720" w:hanging="720"/>
      </w:pPr>
      <w:rPr>
        <w:rFonts w:hint="default"/>
      </w:rPr>
    </w:lvl>
    <w:lvl w:ilvl="1">
      <w:start w:val="1"/>
      <w:numFmt w:val="decimal"/>
      <w:lvlText w:val="(%2)"/>
      <w:lvlJc w:val="left"/>
      <w:pPr>
        <w:tabs>
          <w:tab w:val="num" w:pos="1440"/>
        </w:tabs>
        <w:ind w:left="1440" w:hanging="720"/>
      </w:pPr>
      <w:rPr>
        <w:rFonts w:hint="default"/>
      </w:rPr>
    </w:lvl>
    <w:lvl w:ilvl="2">
      <w:start w:val="1"/>
      <w:numFmt w:val="lowerLetter"/>
      <w:lvlText w:val="(%3)"/>
      <w:lvlJc w:val="left"/>
      <w:pPr>
        <w:tabs>
          <w:tab w:val="num" w:pos="2160"/>
        </w:tabs>
        <w:ind w:left="2160" w:hanging="720"/>
      </w:pPr>
      <w:rPr>
        <w:rFonts w:hint="default"/>
      </w:rPr>
    </w:lvl>
    <w:lvl w:ilvl="3">
      <w:start w:val="1"/>
      <w:numFmt w:val="lowerRoman"/>
      <w:lvlText w:val="(%4)"/>
      <w:lvlJc w:val="left"/>
      <w:pPr>
        <w:tabs>
          <w:tab w:val="num" w:pos="2880"/>
        </w:tabs>
        <w:ind w:left="2880" w:hanging="720"/>
      </w:pPr>
      <w:rPr>
        <w:rFonts w:hint="default"/>
      </w:rPr>
    </w:lvl>
    <w:lvl w:ilvl="4">
      <w:start w:val="1"/>
      <w:numFmt w:val="decimal"/>
      <w:lvlText w:val="(%5)"/>
      <w:lvlJc w:val="left"/>
      <w:pPr>
        <w:tabs>
          <w:tab w:val="num" w:pos="3600"/>
        </w:tabs>
        <w:ind w:left="3600" w:hanging="720"/>
      </w:pPr>
      <w:rPr>
        <w:rFonts w:hint="default"/>
      </w:rPr>
    </w:lvl>
    <w:lvl w:ilvl="5">
      <w:start w:val="1"/>
      <w:numFmt w:val="none"/>
      <w:lvlText w:val="(1)"/>
      <w:lvlJc w:val="left"/>
      <w:pPr>
        <w:tabs>
          <w:tab w:val="num" w:pos="2736"/>
        </w:tabs>
        <w:ind w:left="2736" w:hanging="936"/>
      </w:pPr>
      <w:rPr>
        <w:rFonts w:hint="default"/>
      </w:rPr>
    </w:lvl>
    <w:lvl w:ilvl="6">
      <w:start w:val="1"/>
      <w:numFmt w:val="decimal"/>
      <w:lvlText w:val="%1.%2.%3.%4.%5.%6.%7."/>
      <w:lvlJc w:val="left"/>
      <w:pPr>
        <w:tabs>
          <w:tab w:val="num" w:pos="3312"/>
        </w:tabs>
        <w:ind w:left="3312" w:hanging="1512"/>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 w15:restartNumberingAfterBreak="0">
    <w:nsid w:val="1614251B"/>
    <w:multiLevelType w:val="multilevel"/>
    <w:tmpl w:val="AC6A0C0A"/>
    <w:lvl w:ilvl="0">
      <w:start w:val="1"/>
      <w:numFmt w:val="decimal"/>
      <w:lvlText w:val="%1."/>
      <w:lvlJc w:val="left"/>
      <w:pPr>
        <w:tabs>
          <w:tab w:val="num" w:pos="720"/>
        </w:tabs>
        <w:ind w:left="720" w:hanging="720"/>
      </w:pPr>
      <w:rPr>
        <w:rFonts w:hint="default"/>
      </w:rPr>
    </w:lvl>
    <w:lvl w:ilvl="1">
      <w:start w:val="1"/>
      <w:numFmt w:val="decimal"/>
      <w:lvlText w:val="(%2)"/>
      <w:lvlJc w:val="left"/>
      <w:pPr>
        <w:tabs>
          <w:tab w:val="num" w:pos="1440"/>
        </w:tabs>
        <w:ind w:left="1440" w:hanging="720"/>
      </w:pPr>
      <w:rPr>
        <w:rFonts w:hint="default"/>
      </w:rPr>
    </w:lvl>
    <w:lvl w:ilvl="2">
      <w:start w:val="1"/>
      <w:numFmt w:val="lowerLetter"/>
      <w:lvlText w:val="(%3)"/>
      <w:lvlJc w:val="left"/>
      <w:pPr>
        <w:tabs>
          <w:tab w:val="num" w:pos="2160"/>
        </w:tabs>
        <w:ind w:left="2160" w:hanging="720"/>
      </w:pPr>
      <w:rPr>
        <w:rFonts w:hint="default"/>
      </w:rPr>
    </w:lvl>
    <w:lvl w:ilvl="3">
      <w:start w:val="1"/>
      <w:numFmt w:val="lowerRoman"/>
      <w:lvlText w:val="(%4)"/>
      <w:lvlJc w:val="left"/>
      <w:pPr>
        <w:tabs>
          <w:tab w:val="num" w:pos="2880"/>
        </w:tabs>
        <w:ind w:left="2880" w:hanging="720"/>
      </w:pPr>
      <w:rPr>
        <w:rFonts w:hint="default"/>
      </w:rPr>
    </w:lvl>
    <w:lvl w:ilvl="4">
      <w:start w:val="1"/>
      <w:numFmt w:val="decimal"/>
      <w:lvlText w:val="(%5)"/>
      <w:lvlJc w:val="left"/>
      <w:pPr>
        <w:tabs>
          <w:tab w:val="num" w:pos="3600"/>
        </w:tabs>
        <w:ind w:left="3600" w:hanging="720"/>
      </w:pPr>
      <w:rPr>
        <w:rFonts w:hint="default"/>
      </w:rPr>
    </w:lvl>
    <w:lvl w:ilvl="5">
      <w:start w:val="1"/>
      <w:numFmt w:val="none"/>
      <w:lvlText w:val="(1)"/>
      <w:lvlJc w:val="left"/>
      <w:pPr>
        <w:tabs>
          <w:tab w:val="num" w:pos="2736"/>
        </w:tabs>
        <w:ind w:left="2736" w:hanging="936"/>
      </w:pPr>
      <w:rPr>
        <w:rFonts w:hint="default"/>
      </w:rPr>
    </w:lvl>
    <w:lvl w:ilvl="6">
      <w:start w:val="1"/>
      <w:numFmt w:val="decimal"/>
      <w:lvlText w:val="%1.%2.%3.%4.%5.%6.%7."/>
      <w:lvlJc w:val="left"/>
      <w:pPr>
        <w:tabs>
          <w:tab w:val="num" w:pos="3312"/>
        </w:tabs>
        <w:ind w:left="3312" w:hanging="1512"/>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15:restartNumberingAfterBreak="0">
    <w:nsid w:val="19C1258E"/>
    <w:multiLevelType w:val="multilevel"/>
    <w:tmpl w:val="AC6A0C0A"/>
    <w:lvl w:ilvl="0">
      <w:start w:val="1"/>
      <w:numFmt w:val="decimal"/>
      <w:lvlText w:val="%1."/>
      <w:lvlJc w:val="left"/>
      <w:pPr>
        <w:tabs>
          <w:tab w:val="num" w:pos="720"/>
        </w:tabs>
        <w:ind w:left="720" w:hanging="720"/>
      </w:pPr>
      <w:rPr>
        <w:rFonts w:hint="default"/>
      </w:rPr>
    </w:lvl>
    <w:lvl w:ilvl="1">
      <w:start w:val="1"/>
      <w:numFmt w:val="decimal"/>
      <w:lvlText w:val="(%2)"/>
      <w:lvlJc w:val="left"/>
      <w:pPr>
        <w:tabs>
          <w:tab w:val="num" w:pos="1440"/>
        </w:tabs>
        <w:ind w:left="1440" w:hanging="720"/>
      </w:pPr>
      <w:rPr>
        <w:rFonts w:hint="default"/>
      </w:rPr>
    </w:lvl>
    <w:lvl w:ilvl="2">
      <w:start w:val="1"/>
      <w:numFmt w:val="lowerLetter"/>
      <w:lvlText w:val="(%3)"/>
      <w:lvlJc w:val="left"/>
      <w:pPr>
        <w:tabs>
          <w:tab w:val="num" w:pos="2160"/>
        </w:tabs>
        <w:ind w:left="2160" w:hanging="720"/>
      </w:pPr>
      <w:rPr>
        <w:rFonts w:hint="default"/>
      </w:rPr>
    </w:lvl>
    <w:lvl w:ilvl="3">
      <w:start w:val="1"/>
      <w:numFmt w:val="lowerRoman"/>
      <w:lvlText w:val="(%4)"/>
      <w:lvlJc w:val="left"/>
      <w:pPr>
        <w:tabs>
          <w:tab w:val="num" w:pos="2880"/>
        </w:tabs>
        <w:ind w:left="2880" w:hanging="720"/>
      </w:pPr>
      <w:rPr>
        <w:rFonts w:hint="default"/>
      </w:rPr>
    </w:lvl>
    <w:lvl w:ilvl="4">
      <w:start w:val="1"/>
      <w:numFmt w:val="decimal"/>
      <w:lvlText w:val="(%5)"/>
      <w:lvlJc w:val="left"/>
      <w:pPr>
        <w:tabs>
          <w:tab w:val="num" w:pos="3600"/>
        </w:tabs>
        <w:ind w:left="3600" w:hanging="720"/>
      </w:pPr>
      <w:rPr>
        <w:rFonts w:hint="default"/>
      </w:rPr>
    </w:lvl>
    <w:lvl w:ilvl="5">
      <w:start w:val="1"/>
      <w:numFmt w:val="none"/>
      <w:lvlText w:val="(1)"/>
      <w:lvlJc w:val="left"/>
      <w:pPr>
        <w:tabs>
          <w:tab w:val="num" w:pos="2736"/>
        </w:tabs>
        <w:ind w:left="2736" w:hanging="936"/>
      </w:pPr>
      <w:rPr>
        <w:rFonts w:hint="default"/>
      </w:rPr>
    </w:lvl>
    <w:lvl w:ilvl="6">
      <w:start w:val="1"/>
      <w:numFmt w:val="decimal"/>
      <w:lvlText w:val="%1.%2.%3.%4.%5.%6.%7."/>
      <w:lvlJc w:val="left"/>
      <w:pPr>
        <w:tabs>
          <w:tab w:val="num" w:pos="3312"/>
        </w:tabs>
        <w:ind w:left="3312" w:hanging="1512"/>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 w15:restartNumberingAfterBreak="0">
    <w:nsid w:val="1C1E68B7"/>
    <w:multiLevelType w:val="multilevel"/>
    <w:tmpl w:val="CA5A7AB2"/>
    <w:lvl w:ilvl="0">
      <w:start w:val="1"/>
      <w:numFmt w:val="decimal"/>
      <w:lvlText w:val="%1."/>
      <w:lvlJc w:val="left"/>
      <w:pPr>
        <w:tabs>
          <w:tab w:val="num" w:pos="2700"/>
        </w:tabs>
        <w:ind w:left="2700" w:hanging="720"/>
      </w:pPr>
      <w:rPr>
        <w:rFonts w:hint="default"/>
      </w:rPr>
    </w:lvl>
    <w:lvl w:ilvl="1">
      <w:start w:val="1"/>
      <w:numFmt w:val="decimal"/>
      <w:lvlText w:val="(%2)"/>
      <w:lvlJc w:val="left"/>
      <w:pPr>
        <w:tabs>
          <w:tab w:val="num" w:pos="1440"/>
        </w:tabs>
        <w:ind w:left="1440" w:hanging="720"/>
      </w:pPr>
      <w:rPr>
        <w:rFonts w:hint="default"/>
      </w:rPr>
    </w:lvl>
    <w:lvl w:ilvl="2">
      <w:start w:val="1"/>
      <w:numFmt w:val="lowerLetter"/>
      <w:lvlText w:val="(%3)"/>
      <w:lvlJc w:val="left"/>
      <w:pPr>
        <w:tabs>
          <w:tab w:val="num" w:pos="2160"/>
        </w:tabs>
        <w:ind w:left="2160" w:hanging="720"/>
      </w:pPr>
      <w:rPr>
        <w:rFonts w:hint="default"/>
      </w:rPr>
    </w:lvl>
    <w:lvl w:ilvl="3">
      <w:start w:val="1"/>
      <w:numFmt w:val="lowerRoman"/>
      <w:lvlText w:val="(%4)"/>
      <w:lvlJc w:val="left"/>
      <w:pPr>
        <w:tabs>
          <w:tab w:val="num" w:pos="2880"/>
        </w:tabs>
        <w:ind w:left="2880" w:hanging="720"/>
      </w:pPr>
      <w:rPr>
        <w:rFonts w:hint="default"/>
      </w:rPr>
    </w:lvl>
    <w:lvl w:ilvl="4">
      <w:start w:val="1"/>
      <w:numFmt w:val="decimal"/>
      <w:lvlText w:val="%5."/>
      <w:lvlJc w:val="left"/>
      <w:pPr>
        <w:tabs>
          <w:tab w:val="num" w:pos="3600"/>
        </w:tabs>
        <w:ind w:left="3600" w:hanging="720"/>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4" w15:restartNumberingAfterBreak="0">
    <w:nsid w:val="24284230"/>
    <w:multiLevelType w:val="multilevel"/>
    <w:tmpl w:val="B86A6CEC"/>
    <w:lvl w:ilvl="0">
      <w:start w:val="1"/>
      <w:numFmt w:val="decimal"/>
      <w:pStyle w:val="Bob1"/>
      <w:lvlText w:val="%1."/>
      <w:lvlJc w:val="left"/>
      <w:pPr>
        <w:tabs>
          <w:tab w:val="num" w:pos="720"/>
        </w:tabs>
        <w:ind w:left="720" w:hanging="720"/>
      </w:pPr>
      <w:rPr>
        <w:rFonts w:ascii="Times New Roman" w:hAnsi="Times New Roman" w:hint="default"/>
        <w:b w:val="0"/>
        <w:i w:val="0"/>
        <w:sz w:val="28"/>
        <w:szCs w:val="28"/>
      </w:rPr>
    </w:lvl>
    <w:lvl w:ilvl="1">
      <w:start w:val="1"/>
      <w:numFmt w:val="lowerLetter"/>
      <w:lvlText w:val="(%2)"/>
      <w:lvlJc w:val="left"/>
      <w:pPr>
        <w:tabs>
          <w:tab w:val="num" w:pos="1440"/>
        </w:tabs>
        <w:ind w:left="1440" w:hanging="720"/>
      </w:pPr>
      <w:rPr>
        <w:rFonts w:ascii="Times New Roman" w:hAnsi="Times New Roman" w:hint="default"/>
        <w:b w:val="0"/>
        <w:i w:val="0"/>
      </w:rPr>
    </w:lvl>
    <w:lvl w:ilvl="2">
      <w:start w:val="1"/>
      <w:numFmt w:val="lowerRoman"/>
      <w:lvlText w:val="(%3)"/>
      <w:lvlJc w:val="left"/>
      <w:pPr>
        <w:tabs>
          <w:tab w:val="num" w:pos="2160"/>
        </w:tabs>
        <w:ind w:left="2160" w:hanging="720"/>
      </w:pPr>
      <w:rPr>
        <w:rFonts w:ascii="Times New Roman" w:hAnsi="Times New Roman" w:hint="default"/>
        <w:b w:val="0"/>
        <w:i w:val="0"/>
      </w:rPr>
    </w:lvl>
    <w:lvl w:ilvl="3">
      <w:start w:val="1"/>
      <w:numFmt w:val="bullet"/>
      <w:lvlText w:val=""/>
      <w:lvlJc w:val="left"/>
      <w:pPr>
        <w:tabs>
          <w:tab w:val="num" w:pos="2880"/>
        </w:tabs>
        <w:ind w:left="2880" w:hanging="720"/>
      </w:pPr>
      <w:rPr>
        <w:rFonts w:ascii="Symbol" w:hAnsi="Symbol" w:hint="default"/>
        <w:b w:val="0"/>
        <w:i w:val="0"/>
        <w:color w:val="auto"/>
      </w:rPr>
    </w:lvl>
    <w:lvl w:ilvl="4">
      <w:start w:val="1"/>
      <w:numFmt w:val="bullet"/>
      <w:lvlText w:val=""/>
      <w:lvlJc w:val="left"/>
      <w:pPr>
        <w:tabs>
          <w:tab w:val="num" w:pos="3456"/>
        </w:tabs>
        <w:ind w:left="3456" w:hanging="576"/>
      </w:pPr>
      <w:rPr>
        <w:rFonts w:ascii="Symbol" w:hAnsi="Symbol" w:hint="default"/>
        <w:color w:val="auto"/>
        <w:sz w:val="20"/>
      </w:rPr>
    </w:lvl>
    <w:lvl w:ilvl="5">
      <w:start w:val="1"/>
      <w:numFmt w:val="decimal"/>
      <w:lvlText w:val="%1.%2.%3.%4.%5.%6"/>
      <w:lvlJc w:val="left"/>
      <w:pPr>
        <w:tabs>
          <w:tab w:val="num" w:pos="3566"/>
        </w:tabs>
        <w:ind w:left="3260" w:hanging="1134"/>
      </w:pPr>
      <w:rPr>
        <w:rFonts w:hint="default"/>
      </w:rPr>
    </w:lvl>
    <w:lvl w:ilvl="6">
      <w:start w:val="1"/>
      <w:numFmt w:val="decimal"/>
      <w:lvlText w:val="%1.%2.%3.%4.%5.%6.%7"/>
      <w:lvlJc w:val="left"/>
      <w:pPr>
        <w:tabs>
          <w:tab w:val="num" w:pos="3991"/>
        </w:tabs>
        <w:ind w:left="3827" w:hanging="1276"/>
      </w:pPr>
      <w:rPr>
        <w:rFonts w:hint="eastAsia"/>
      </w:rPr>
    </w:lvl>
    <w:lvl w:ilvl="7">
      <w:start w:val="1"/>
      <w:numFmt w:val="decimal"/>
      <w:lvlText w:val="%1.%2.%3.%4.%5.%6.%7.%8"/>
      <w:lvlJc w:val="left"/>
      <w:pPr>
        <w:tabs>
          <w:tab w:val="num" w:pos="4776"/>
        </w:tabs>
        <w:ind w:left="4394" w:hanging="1418"/>
      </w:pPr>
      <w:rPr>
        <w:rFonts w:hint="eastAsia"/>
      </w:rPr>
    </w:lvl>
    <w:lvl w:ilvl="8">
      <w:start w:val="1"/>
      <w:numFmt w:val="decimal"/>
      <w:lvlText w:val="%1.%2.%3.%4.%5.%6.%7.%8.%9"/>
      <w:lvlJc w:val="left"/>
      <w:pPr>
        <w:tabs>
          <w:tab w:val="num" w:pos="5562"/>
        </w:tabs>
        <w:ind w:left="5102" w:hanging="1700"/>
      </w:pPr>
      <w:rPr>
        <w:rFonts w:hint="eastAsia"/>
      </w:rPr>
    </w:lvl>
  </w:abstractNum>
  <w:abstractNum w:abstractNumId="5" w15:restartNumberingAfterBreak="0">
    <w:nsid w:val="370B598C"/>
    <w:multiLevelType w:val="multilevel"/>
    <w:tmpl w:val="C5224BAA"/>
    <w:lvl w:ilvl="0">
      <w:start w:val="36"/>
      <w:numFmt w:val="decimal"/>
      <w:lvlText w:val="%1."/>
      <w:lvlJc w:val="left"/>
      <w:pPr>
        <w:tabs>
          <w:tab w:val="num" w:pos="720"/>
        </w:tabs>
        <w:ind w:left="720" w:hanging="720"/>
      </w:pPr>
      <w:rPr>
        <w:rFonts w:hint="default"/>
      </w:rPr>
    </w:lvl>
    <w:lvl w:ilvl="1">
      <w:start w:val="1"/>
      <w:numFmt w:val="decimal"/>
      <w:lvlText w:val="(%2)"/>
      <w:lvlJc w:val="left"/>
      <w:pPr>
        <w:tabs>
          <w:tab w:val="num" w:pos="1440"/>
        </w:tabs>
        <w:ind w:left="1440" w:hanging="720"/>
      </w:pPr>
      <w:rPr>
        <w:rFonts w:hint="default"/>
      </w:rPr>
    </w:lvl>
    <w:lvl w:ilvl="2">
      <w:start w:val="1"/>
      <w:numFmt w:val="lowerLetter"/>
      <w:lvlText w:val="(%3)"/>
      <w:lvlJc w:val="left"/>
      <w:pPr>
        <w:tabs>
          <w:tab w:val="num" w:pos="2160"/>
        </w:tabs>
        <w:ind w:left="2160" w:hanging="720"/>
      </w:pPr>
      <w:rPr>
        <w:rFonts w:hint="default"/>
      </w:rPr>
    </w:lvl>
    <w:lvl w:ilvl="3">
      <w:start w:val="1"/>
      <w:numFmt w:val="lowerRoman"/>
      <w:lvlText w:val="(%4)"/>
      <w:lvlJc w:val="left"/>
      <w:pPr>
        <w:tabs>
          <w:tab w:val="num" w:pos="2880"/>
        </w:tabs>
        <w:ind w:left="2880" w:hanging="720"/>
      </w:pPr>
      <w:rPr>
        <w:rFonts w:hint="default"/>
      </w:rPr>
    </w:lvl>
    <w:lvl w:ilvl="4">
      <w:start w:val="1"/>
      <w:numFmt w:val="decimal"/>
      <w:lvlText w:val="(%5)"/>
      <w:lvlJc w:val="left"/>
      <w:pPr>
        <w:tabs>
          <w:tab w:val="num" w:pos="3600"/>
        </w:tabs>
        <w:ind w:left="3600" w:hanging="720"/>
      </w:pPr>
      <w:rPr>
        <w:rFonts w:hint="default"/>
      </w:rPr>
    </w:lvl>
    <w:lvl w:ilvl="5">
      <w:start w:val="1"/>
      <w:numFmt w:val="none"/>
      <w:lvlText w:val="(1)"/>
      <w:lvlJc w:val="left"/>
      <w:pPr>
        <w:tabs>
          <w:tab w:val="num" w:pos="2736"/>
        </w:tabs>
        <w:ind w:left="2736" w:hanging="936"/>
      </w:pPr>
      <w:rPr>
        <w:rFonts w:hint="default"/>
      </w:rPr>
    </w:lvl>
    <w:lvl w:ilvl="6">
      <w:start w:val="1"/>
      <w:numFmt w:val="decimal"/>
      <w:lvlText w:val="%1.%2.%3.%4.%5.%6.%7."/>
      <w:lvlJc w:val="left"/>
      <w:pPr>
        <w:tabs>
          <w:tab w:val="num" w:pos="3312"/>
        </w:tabs>
        <w:ind w:left="3312" w:hanging="1512"/>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6" w15:restartNumberingAfterBreak="0">
    <w:nsid w:val="48396707"/>
    <w:multiLevelType w:val="hybridMultilevel"/>
    <w:tmpl w:val="7236E82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 w15:restartNumberingAfterBreak="0">
    <w:nsid w:val="52D6291A"/>
    <w:multiLevelType w:val="multilevel"/>
    <w:tmpl w:val="AC6A0C0A"/>
    <w:lvl w:ilvl="0">
      <w:start w:val="1"/>
      <w:numFmt w:val="decimal"/>
      <w:lvlText w:val="%1."/>
      <w:lvlJc w:val="left"/>
      <w:pPr>
        <w:tabs>
          <w:tab w:val="num" w:pos="720"/>
        </w:tabs>
        <w:ind w:left="720" w:hanging="720"/>
      </w:pPr>
      <w:rPr>
        <w:rFonts w:hint="default"/>
      </w:rPr>
    </w:lvl>
    <w:lvl w:ilvl="1">
      <w:start w:val="1"/>
      <w:numFmt w:val="decimal"/>
      <w:lvlText w:val="(%2)"/>
      <w:lvlJc w:val="left"/>
      <w:pPr>
        <w:tabs>
          <w:tab w:val="num" w:pos="1440"/>
        </w:tabs>
        <w:ind w:left="1440" w:hanging="720"/>
      </w:pPr>
      <w:rPr>
        <w:rFonts w:hint="default"/>
      </w:rPr>
    </w:lvl>
    <w:lvl w:ilvl="2">
      <w:start w:val="1"/>
      <w:numFmt w:val="lowerLetter"/>
      <w:lvlText w:val="(%3)"/>
      <w:lvlJc w:val="left"/>
      <w:pPr>
        <w:tabs>
          <w:tab w:val="num" w:pos="2160"/>
        </w:tabs>
        <w:ind w:left="2160" w:hanging="720"/>
      </w:pPr>
      <w:rPr>
        <w:rFonts w:hint="default"/>
      </w:rPr>
    </w:lvl>
    <w:lvl w:ilvl="3">
      <w:start w:val="1"/>
      <w:numFmt w:val="lowerRoman"/>
      <w:lvlText w:val="(%4)"/>
      <w:lvlJc w:val="left"/>
      <w:pPr>
        <w:tabs>
          <w:tab w:val="num" w:pos="2880"/>
        </w:tabs>
        <w:ind w:left="2880" w:hanging="720"/>
      </w:pPr>
      <w:rPr>
        <w:rFonts w:hint="default"/>
      </w:rPr>
    </w:lvl>
    <w:lvl w:ilvl="4">
      <w:start w:val="1"/>
      <w:numFmt w:val="decimal"/>
      <w:lvlText w:val="(%5)"/>
      <w:lvlJc w:val="left"/>
      <w:pPr>
        <w:tabs>
          <w:tab w:val="num" w:pos="3600"/>
        </w:tabs>
        <w:ind w:left="3600" w:hanging="720"/>
      </w:pPr>
      <w:rPr>
        <w:rFonts w:hint="default"/>
      </w:rPr>
    </w:lvl>
    <w:lvl w:ilvl="5">
      <w:start w:val="1"/>
      <w:numFmt w:val="none"/>
      <w:lvlText w:val="(1)"/>
      <w:lvlJc w:val="left"/>
      <w:pPr>
        <w:tabs>
          <w:tab w:val="num" w:pos="2736"/>
        </w:tabs>
        <w:ind w:left="2736" w:hanging="936"/>
      </w:pPr>
      <w:rPr>
        <w:rFonts w:hint="default"/>
      </w:rPr>
    </w:lvl>
    <w:lvl w:ilvl="6">
      <w:start w:val="1"/>
      <w:numFmt w:val="decimal"/>
      <w:lvlText w:val="%1.%2.%3.%4.%5.%6.%7."/>
      <w:lvlJc w:val="left"/>
      <w:pPr>
        <w:tabs>
          <w:tab w:val="num" w:pos="3312"/>
        </w:tabs>
        <w:ind w:left="3312" w:hanging="1512"/>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num w:numId="1">
    <w:abstractNumId w:val="3"/>
  </w:num>
  <w:num w:numId="2">
    <w:abstractNumId w:val="6"/>
  </w:num>
  <w:num w:numId="3">
    <w:abstractNumId w:val="5"/>
  </w:num>
  <w:num w:numId="4">
    <w:abstractNumId w:val="0"/>
  </w:num>
  <w:num w:numId="5">
    <w:abstractNumId w:val="7"/>
  </w:num>
  <w:num w:numId="6">
    <w:abstractNumId w:val="1"/>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drawingGridHorizontalSpacing w:val="13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5A85"/>
    <w:rsid w:val="00000691"/>
    <w:rsid w:val="0001191B"/>
    <w:rsid w:val="000122F4"/>
    <w:rsid w:val="000125A1"/>
    <w:rsid w:val="00014D71"/>
    <w:rsid w:val="000163A6"/>
    <w:rsid w:val="000209BB"/>
    <w:rsid w:val="00023B22"/>
    <w:rsid w:val="00024F71"/>
    <w:rsid w:val="00025F20"/>
    <w:rsid w:val="00027FA8"/>
    <w:rsid w:val="00036F13"/>
    <w:rsid w:val="000515E2"/>
    <w:rsid w:val="000535E8"/>
    <w:rsid w:val="00055CE7"/>
    <w:rsid w:val="0005690E"/>
    <w:rsid w:val="00060594"/>
    <w:rsid w:val="00063D7E"/>
    <w:rsid w:val="00064D31"/>
    <w:rsid w:val="000671E7"/>
    <w:rsid w:val="00071E0E"/>
    <w:rsid w:val="00071E5D"/>
    <w:rsid w:val="00076318"/>
    <w:rsid w:val="000771E9"/>
    <w:rsid w:val="0007781A"/>
    <w:rsid w:val="00082104"/>
    <w:rsid w:val="00083BBB"/>
    <w:rsid w:val="000869AE"/>
    <w:rsid w:val="000876AE"/>
    <w:rsid w:val="00087CCA"/>
    <w:rsid w:val="000901B6"/>
    <w:rsid w:val="00092614"/>
    <w:rsid w:val="0009475D"/>
    <w:rsid w:val="000A0EDA"/>
    <w:rsid w:val="000B0F88"/>
    <w:rsid w:val="000C0A87"/>
    <w:rsid w:val="000C33E4"/>
    <w:rsid w:val="000C4DDE"/>
    <w:rsid w:val="000C5949"/>
    <w:rsid w:val="000C5ECA"/>
    <w:rsid w:val="000D09A7"/>
    <w:rsid w:val="000D5A72"/>
    <w:rsid w:val="000D7132"/>
    <w:rsid w:val="000E0D71"/>
    <w:rsid w:val="000E0EFF"/>
    <w:rsid w:val="000E5694"/>
    <w:rsid w:val="000F333D"/>
    <w:rsid w:val="000F70F4"/>
    <w:rsid w:val="00106EEF"/>
    <w:rsid w:val="001071DA"/>
    <w:rsid w:val="00107D8C"/>
    <w:rsid w:val="0011460C"/>
    <w:rsid w:val="00114F90"/>
    <w:rsid w:val="00117656"/>
    <w:rsid w:val="001225FA"/>
    <w:rsid w:val="0012472B"/>
    <w:rsid w:val="00124742"/>
    <w:rsid w:val="00125A44"/>
    <w:rsid w:val="001346F8"/>
    <w:rsid w:val="00136F54"/>
    <w:rsid w:val="00141D52"/>
    <w:rsid w:val="00151027"/>
    <w:rsid w:val="00151803"/>
    <w:rsid w:val="00153C1F"/>
    <w:rsid w:val="001545D8"/>
    <w:rsid w:val="00157452"/>
    <w:rsid w:val="00176324"/>
    <w:rsid w:val="001767BF"/>
    <w:rsid w:val="00177CC8"/>
    <w:rsid w:val="00185B1A"/>
    <w:rsid w:val="00194CD6"/>
    <w:rsid w:val="0019716E"/>
    <w:rsid w:val="001A008A"/>
    <w:rsid w:val="001A0150"/>
    <w:rsid w:val="001A2691"/>
    <w:rsid w:val="001B2F10"/>
    <w:rsid w:val="001B322C"/>
    <w:rsid w:val="001B3DA9"/>
    <w:rsid w:val="001B586D"/>
    <w:rsid w:val="001C2B92"/>
    <w:rsid w:val="001D6D39"/>
    <w:rsid w:val="001D73D9"/>
    <w:rsid w:val="001D7FDE"/>
    <w:rsid w:val="001F0648"/>
    <w:rsid w:val="001F3EA0"/>
    <w:rsid w:val="001F43DA"/>
    <w:rsid w:val="001F5E6F"/>
    <w:rsid w:val="001F7BB6"/>
    <w:rsid w:val="0020187A"/>
    <w:rsid w:val="002023AD"/>
    <w:rsid w:val="00204AFD"/>
    <w:rsid w:val="002051C5"/>
    <w:rsid w:val="00205FCD"/>
    <w:rsid w:val="00207C49"/>
    <w:rsid w:val="00211276"/>
    <w:rsid w:val="0021188A"/>
    <w:rsid w:val="00212A19"/>
    <w:rsid w:val="00212E12"/>
    <w:rsid w:val="002165AF"/>
    <w:rsid w:val="00217004"/>
    <w:rsid w:val="00220FD5"/>
    <w:rsid w:val="00221A91"/>
    <w:rsid w:val="0022755B"/>
    <w:rsid w:val="00227FCB"/>
    <w:rsid w:val="00230B1D"/>
    <w:rsid w:val="00233524"/>
    <w:rsid w:val="00236086"/>
    <w:rsid w:val="0024380D"/>
    <w:rsid w:val="00245C41"/>
    <w:rsid w:val="00247195"/>
    <w:rsid w:val="0025019E"/>
    <w:rsid w:val="00250CFB"/>
    <w:rsid w:val="00251B7D"/>
    <w:rsid w:val="002564DF"/>
    <w:rsid w:val="00257E92"/>
    <w:rsid w:val="002610A9"/>
    <w:rsid w:val="00261DBD"/>
    <w:rsid w:val="00262262"/>
    <w:rsid w:val="00263B16"/>
    <w:rsid w:val="0026651C"/>
    <w:rsid w:val="002670FD"/>
    <w:rsid w:val="002719C4"/>
    <w:rsid w:val="0027259C"/>
    <w:rsid w:val="00274D95"/>
    <w:rsid w:val="00275957"/>
    <w:rsid w:val="00281BC2"/>
    <w:rsid w:val="0028662D"/>
    <w:rsid w:val="00295C5F"/>
    <w:rsid w:val="002A711A"/>
    <w:rsid w:val="002B3694"/>
    <w:rsid w:val="002B652C"/>
    <w:rsid w:val="002C07FC"/>
    <w:rsid w:val="002C1CA9"/>
    <w:rsid w:val="002C1EED"/>
    <w:rsid w:val="002C5F82"/>
    <w:rsid w:val="002C746C"/>
    <w:rsid w:val="002C7D1B"/>
    <w:rsid w:val="002D00CE"/>
    <w:rsid w:val="002D1511"/>
    <w:rsid w:val="002D4678"/>
    <w:rsid w:val="002D78B1"/>
    <w:rsid w:val="002E19ED"/>
    <w:rsid w:val="002E5833"/>
    <w:rsid w:val="002E70BC"/>
    <w:rsid w:val="002F269B"/>
    <w:rsid w:val="003039DC"/>
    <w:rsid w:val="0031200C"/>
    <w:rsid w:val="003125D5"/>
    <w:rsid w:val="00314322"/>
    <w:rsid w:val="00320586"/>
    <w:rsid w:val="00324568"/>
    <w:rsid w:val="003277CE"/>
    <w:rsid w:val="003278CE"/>
    <w:rsid w:val="003334E3"/>
    <w:rsid w:val="00336B45"/>
    <w:rsid w:val="00340DA7"/>
    <w:rsid w:val="00350B1F"/>
    <w:rsid w:val="00354D7B"/>
    <w:rsid w:val="0035633C"/>
    <w:rsid w:val="003632AB"/>
    <w:rsid w:val="00364F94"/>
    <w:rsid w:val="00371449"/>
    <w:rsid w:val="00371AA2"/>
    <w:rsid w:val="003804E9"/>
    <w:rsid w:val="003837D1"/>
    <w:rsid w:val="00390DB9"/>
    <w:rsid w:val="003920C3"/>
    <w:rsid w:val="00392508"/>
    <w:rsid w:val="00392565"/>
    <w:rsid w:val="003950D0"/>
    <w:rsid w:val="00395F9D"/>
    <w:rsid w:val="003A492D"/>
    <w:rsid w:val="003B026A"/>
    <w:rsid w:val="003C02B6"/>
    <w:rsid w:val="003C1F63"/>
    <w:rsid w:val="003C2681"/>
    <w:rsid w:val="003C30D5"/>
    <w:rsid w:val="003C321E"/>
    <w:rsid w:val="003C6A38"/>
    <w:rsid w:val="003D1734"/>
    <w:rsid w:val="003D4096"/>
    <w:rsid w:val="003D4C95"/>
    <w:rsid w:val="003D70B0"/>
    <w:rsid w:val="003E3D02"/>
    <w:rsid w:val="003E68C6"/>
    <w:rsid w:val="003F0745"/>
    <w:rsid w:val="003F528B"/>
    <w:rsid w:val="003F6D6E"/>
    <w:rsid w:val="00400483"/>
    <w:rsid w:val="004018CD"/>
    <w:rsid w:val="004019A7"/>
    <w:rsid w:val="00405A85"/>
    <w:rsid w:val="004067E0"/>
    <w:rsid w:val="00407BBC"/>
    <w:rsid w:val="00413375"/>
    <w:rsid w:val="004148E6"/>
    <w:rsid w:val="00414E19"/>
    <w:rsid w:val="00420280"/>
    <w:rsid w:val="00420DF4"/>
    <w:rsid w:val="00434DA5"/>
    <w:rsid w:val="00435765"/>
    <w:rsid w:val="004357C1"/>
    <w:rsid w:val="004423E6"/>
    <w:rsid w:val="00444D80"/>
    <w:rsid w:val="0045565D"/>
    <w:rsid w:val="00455706"/>
    <w:rsid w:val="004560E5"/>
    <w:rsid w:val="00456116"/>
    <w:rsid w:val="004566E7"/>
    <w:rsid w:val="00457F4C"/>
    <w:rsid w:val="004612B6"/>
    <w:rsid w:val="004617D2"/>
    <w:rsid w:val="00461E95"/>
    <w:rsid w:val="00463785"/>
    <w:rsid w:val="0046774E"/>
    <w:rsid w:val="004678EF"/>
    <w:rsid w:val="00476076"/>
    <w:rsid w:val="0047793D"/>
    <w:rsid w:val="004816FB"/>
    <w:rsid w:val="00483023"/>
    <w:rsid w:val="004837C9"/>
    <w:rsid w:val="00486586"/>
    <w:rsid w:val="0049751D"/>
    <w:rsid w:val="004A10DB"/>
    <w:rsid w:val="004A525D"/>
    <w:rsid w:val="004A5733"/>
    <w:rsid w:val="004B3940"/>
    <w:rsid w:val="004B3CAE"/>
    <w:rsid w:val="004B4B3F"/>
    <w:rsid w:val="004B4C89"/>
    <w:rsid w:val="004B4D79"/>
    <w:rsid w:val="004C0763"/>
    <w:rsid w:val="004C24A6"/>
    <w:rsid w:val="004C52A8"/>
    <w:rsid w:val="004C604E"/>
    <w:rsid w:val="004C6AAF"/>
    <w:rsid w:val="004D40F3"/>
    <w:rsid w:val="004D4D3C"/>
    <w:rsid w:val="004D4E66"/>
    <w:rsid w:val="004D5C65"/>
    <w:rsid w:val="004D7831"/>
    <w:rsid w:val="004E6D20"/>
    <w:rsid w:val="004E784B"/>
    <w:rsid w:val="004E795B"/>
    <w:rsid w:val="004F1BC8"/>
    <w:rsid w:val="004F1C3E"/>
    <w:rsid w:val="004F2968"/>
    <w:rsid w:val="004F5B87"/>
    <w:rsid w:val="004F63CB"/>
    <w:rsid w:val="0050309F"/>
    <w:rsid w:val="00513703"/>
    <w:rsid w:val="005144A3"/>
    <w:rsid w:val="00516147"/>
    <w:rsid w:val="005247E4"/>
    <w:rsid w:val="00525D35"/>
    <w:rsid w:val="00526404"/>
    <w:rsid w:val="00531035"/>
    <w:rsid w:val="0053393C"/>
    <w:rsid w:val="00534000"/>
    <w:rsid w:val="005422A7"/>
    <w:rsid w:val="005423D1"/>
    <w:rsid w:val="00542731"/>
    <w:rsid w:val="00544AF2"/>
    <w:rsid w:val="0055090B"/>
    <w:rsid w:val="0055109E"/>
    <w:rsid w:val="0055161A"/>
    <w:rsid w:val="005520F0"/>
    <w:rsid w:val="005523EA"/>
    <w:rsid w:val="0055720F"/>
    <w:rsid w:val="00557C62"/>
    <w:rsid w:val="005626BE"/>
    <w:rsid w:val="00565218"/>
    <w:rsid w:val="0057442F"/>
    <w:rsid w:val="00576CDE"/>
    <w:rsid w:val="00577D9A"/>
    <w:rsid w:val="00580357"/>
    <w:rsid w:val="005851E3"/>
    <w:rsid w:val="00585740"/>
    <w:rsid w:val="00586941"/>
    <w:rsid w:val="0059203D"/>
    <w:rsid w:val="00592D2E"/>
    <w:rsid w:val="005A64BB"/>
    <w:rsid w:val="005B332E"/>
    <w:rsid w:val="005B6F30"/>
    <w:rsid w:val="005C130D"/>
    <w:rsid w:val="005D198B"/>
    <w:rsid w:val="005D423C"/>
    <w:rsid w:val="005D45BE"/>
    <w:rsid w:val="005D7F2D"/>
    <w:rsid w:val="005E226C"/>
    <w:rsid w:val="005E34DB"/>
    <w:rsid w:val="005E55D3"/>
    <w:rsid w:val="005E5FAF"/>
    <w:rsid w:val="005F28E5"/>
    <w:rsid w:val="005F3450"/>
    <w:rsid w:val="005F7F34"/>
    <w:rsid w:val="0060229A"/>
    <w:rsid w:val="006025A0"/>
    <w:rsid w:val="006053AD"/>
    <w:rsid w:val="00606FD6"/>
    <w:rsid w:val="00610D7F"/>
    <w:rsid w:val="006131A6"/>
    <w:rsid w:val="00615958"/>
    <w:rsid w:val="00622FC5"/>
    <w:rsid w:val="00630743"/>
    <w:rsid w:val="006318C1"/>
    <w:rsid w:val="00635C9D"/>
    <w:rsid w:val="00637C1D"/>
    <w:rsid w:val="006508BE"/>
    <w:rsid w:val="00653DC6"/>
    <w:rsid w:val="00657AAB"/>
    <w:rsid w:val="006657B5"/>
    <w:rsid w:val="00670417"/>
    <w:rsid w:val="006716A1"/>
    <w:rsid w:val="0068087C"/>
    <w:rsid w:val="00685301"/>
    <w:rsid w:val="006876A6"/>
    <w:rsid w:val="0069171D"/>
    <w:rsid w:val="00692C59"/>
    <w:rsid w:val="0069692D"/>
    <w:rsid w:val="00696936"/>
    <w:rsid w:val="00697CE2"/>
    <w:rsid w:val="006A4A3E"/>
    <w:rsid w:val="006A63DB"/>
    <w:rsid w:val="006A7505"/>
    <w:rsid w:val="006A7AB9"/>
    <w:rsid w:val="006B1FFA"/>
    <w:rsid w:val="006B69E1"/>
    <w:rsid w:val="006C0DE7"/>
    <w:rsid w:val="006D005A"/>
    <w:rsid w:val="006D3D0F"/>
    <w:rsid w:val="006E2A8C"/>
    <w:rsid w:val="006E420F"/>
    <w:rsid w:val="006F3A5E"/>
    <w:rsid w:val="006F47A2"/>
    <w:rsid w:val="006F49F7"/>
    <w:rsid w:val="007010F2"/>
    <w:rsid w:val="007067A6"/>
    <w:rsid w:val="00710979"/>
    <w:rsid w:val="007123FA"/>
    <w:rsid w:val="00714397"/>
    <w:rsid w:val="0071545A"/>
    <w:rsid w:val="0071635D"/>
    <w:rsid w:val="00717B63"/>
    <w:rsid w:val="0072632D"/>
    <w:rsid w:val="00726762"/>
    <w:rsid w:val="00726940"/>
    <w:rsid w:val="007276F0"/>
    <w:rsid w:val="0072797E"/>
    <w:rsid w:val="007333A2"/>
    <w:rsid w:val="00733EF2"/>
    <w:rsid w:val="007423A1"/>
    <w:rsid w:val="007429D6"/>
    <w:rsid w:val="00742D9D"/>
    <w:rsid w:val="00746E02"/>
    <w:rsid w:val="00747451"/>
    <w:rsid w:val="00747BB8"/>
    <w:rsid w:val="00756B65"/>
    <w:rsid w:val="00760401"/>
    <w:rsid w:val="007614BA"/>
    <w:rsid w:val="00765F1A"/>
    <w:rsid w:val="00767328"/>
    <w:rsid w:val="007677F7"/>
    <w:rsid w:val="00770988"/>
    <w:rsid w:val="007748D6"/>
    <w:rsid w:val="00776B5F"/>
    <w:rsid w:val="00780F5C"/>
    <w:rsid w:val="00781721"/>
    <w:rsid w:val="00791C50"/>
    <w:rsid w:val="00794752"/>
    <w:rsid w:val="007951F3"/>
    <w:rsid w:val="007A149C"/>
    <w:rsid w:val="007A4060"/>
    <w:rsid w:val="007B158A"/>
    <w:rsid w:val="007B28DC"/>
    <w:rsid w:val="007B504A"/>
    <w:rsid w:val="007B5356"/>
    <w:rsid w:val="007B5731"/>
    <w:rsid w:val="007C21E1"/>
    <w:rsid w:val="007C4AE9"/>
    <w:rsid w:val="007D1660"/>
    <w:rsid w:val="007D46EB"/>
    <w:rsid w:val="007D51C4"/>
    <w:rsid w:val="007E48C0"/>
    <w:rsid w:val="007E6BCF"/>
    <w:rsid w:val="007F39AB"/>
    <w:rsid w:val="007F4478"/>
    <w:rsid w:val="007F7D54"/>
    <w:rsid w:val="00802A65"/>
    <w:rsid w:val="00806C66"/>
    <w:rsid w:val="008161F6"/>
    <w:rsid w:val="00822911"/>
    <w:rsid w:val="00822AF5"/>
    <w:rsid w:val="008302C8"/>
    <w:rsid w:val="00830F37"/>
    <w:rsid w:val="00832893"/>
    <w:rsid w:val="008377B4"/>
    <w:rsid w:val="00854323"/>
    <w:rsid w:val="00855329"/>
    <w:rsid w:val="0085685F"/>
    <w:rsid w:val="008568A1"/>
    <w:rsid w:val="00860512"/>
    <w:rsid w:val="00861993"/>
    <w:rsid w:val="00864FA4"/>
    <w:rsid w:val="00871441"/>
    <w:rsid w:val="00872AF3"/>
    <w:rsid w:val="008734C9"/>
    <w:rsid w:val="008735AA"/>
    <w:rsid w:val="00875BDA"/>
    <w:rsid w:val="00880080"/>
    <w:rsid w:val="008803CD"/>
    <w:rsid w:val="00883E43"/>
    <w:rsid w:val="008A0E16"/>
    <w:rsid w:val="008A3CF4"/>
    <w:rsid w:val="008A7230"/>
    <w:rsid w:val="008B035A"/>
    <w:rsid w:val="008B375F"/>
    <w:rsid w:val="008B6C82"/>
    <w:rsid w:val="008C0B20"/>
    <w:rsid w:val="008C1F65"/>
    <w:rsid w:val="008D1338"/>
    <w:rsid w:val="008D56DE"/>
    <w:rsid w:val="008D5FD8"/>
    <w:rsid w:val="008E026F"/>
    <w:rsid w:val="008E1675"/>
    <w:rsid w:val="008E1885"/>
    <w:rsid w:val="008E1995"/>
    <w:rsid w:val="008E4A1D"/>
    <w:rsid w:val="008F1814"/>
    <w:rsid w:val="008F7DBD"/>
    <w:rsid w:val="00901F81"/>
    <w:rsid w:val="009044BB"/>
    <w:rsid w:val="009051FE"/>
    <w:rsid w:val="00905CB1"/>
    <w:rsid w:val="00907889"/>
    <w:rsid w:val="00911BE7"/>
    <w:rsid w:val="00912168"/>
    <w:rsid w:val="009121E1"/>
    <w:rsid w:val="00914CDD"/>
    <w:rsid w:val="00914CF7"/>
    <w:rsid w:val="00924A5C"/>
    <w:rsid w:val="00925E39"/>
    <w:rsid w:val="009323BA"/>
    <w:rsid w:val="00935448"/>
    <w:rsid w:val="00937029"/>
    <w:rsid w:val="00945687"/>
    <w:rsid w:val="0094695D"/>
    <w:rsid w:val="0095095D"/>
    <w:rsid w:val="00951716"/>
    <w:rsid w:val="00957EC6"/>
    <w:rsid w:val="0096025B"/>
    <w:rsid w:val="0096061B"/>
    <w:rsid w:val="00966791"/>
    <w:rsid w:val="00973F36"/>
    <w:rsid w:val="0097460F"/>
    <w:rsid w:val="00974D51"/>
    <w:rsid w:val="00977E95"/>
    <w:rsid w:val="00984D76"/>
    <w:rsid w:val="00985EE7"/>
    <w:rsid w:val="00985F31"/>
    <w:rsid w:val="00986A9A"/>
    <w:rsid w:val="009937DA"/>
    <w:rsid w:val="00993F67"/>
    <w:rsid w:val="00995644"/>
    <w:rsid w:val="009964B1"/>
    <w:rsid w:val="00996724"/>
    <w:rsid w:val="00997B2A"/>
    <w:rsid w:val="00997BFA"/>
    <w:rsid w:val="009A1131"/>
    <w:rsid w:val="009A1A02"/>
    <w:rsid w:val="009A1F80"/>
    <w:rsid w:val="009A2368"/>
    <w:rsid w:val="009A24CB"/>
    <w:rsid w:val="009A3BB9"/>
    <w:rsid w:val="009B26D8"/>
    <w:rsid w:val="009B5AC4"/>
    <w:rsid w:val="009B70B5"/>
    <w:rsid w:val="009C6AA9"/>
    <w:rsid w:val="009D0202"/>
    <w:rsid w:val="009D0F95"/>
    <w:rsid w:val="009D49A2"/>
    <w:rsid w:val="009E044A"/>
    <w:rsid w:val="009E1724"/>
    <w:rsid w:val="009E3782"/>
    <w:rsid w:val="009F1065"/>
    <w:rsid w:val="009F3816"/>
    <w:rsid w:val="009F6D45"/>
    <w:rsid w:val="009F7123"/>
    <w:rsid w:val="009F7DD4"/>
    <w:rsid w:val="00A01969"/>
    <w:rsid w:val="00A01C50"/>
    <w:rsid w:val="00A06E44"/>
    <w:rsid w:val="00A073F8"/>
    <w:rsid w:val="00A078DB"/>
    <w:rsid w:val="00A124E4"/>
    <w:rsid w:val="00A14C07"/>
    <w:rsid w:val="00A17756"/>
    <w:rsid w:val="00A22D88"/>
    <w:rsid w:val="00A27B80"/>
    <w:rsid w:val="00A3351F"/>
    <w:rsid w:val="00A347E2"/>
    <w:rsid w:val="00A36B5A"/>
    <w:rsid w:val="00A37452"/>
    <w:rsid w:val="00A41EA0"/>
    <w:rsid w:val="00A42C95"/>
    <w:rsid w:val="00A46D59"/>
    <w:rsid w:val="00A474F9"/>
    <w:rsid w:val="00A512B4"/>
    <w:rsid w:val="00A528CD"/>
    <w:rsid w:val="00A544EB"/>
    <w:rsid w:val="00A54F29"/>
    <w:rsid w:val="00A557BC"/>
    <w:rsid w:val="00A56CA2"/>
    <w:rsid w:val="00A57832"/>
    <w:rsid w:val="00A60BBD"/>
    <w:rsid w:val="00A626E8"/>
    <w:rsid w:val="00A647D8"/>
    <w:rsid w:val="00A85B64"/>
    <w:rsid w:val="00A87294"/>
    <w:rsid w:val="00A87C4A"/>
    <w:rsid w:val="00A9324A"/>
    <w:rsid w:val="00A9434C"/>
    <w:rsid w:val="00A96A24"/>
    <w:rsid w:val="00AA68BF"/>
    <w:rsid w:val="00AA6D0D"/>
    <w:rsid w:val="00AA7751"/>
    <w:rsid w:val="00AB178E"/>
    <w:rsid w:val="00AB4AB9"/>
    <w:rsid w:val="00AB6412"/>
    <w:rsid w:val="00AC049B"/>
    <w:rsid w:val="00AC0CD6"/>
    <w:rsid w:val="00AC363F"/>
    <w:rsid w:val="00AC4B03"/>
    <w:rsid w:val="00AC71D2"/>
    <w:rsid w:val="00AC7E15"/>
    <w:rsid w:val="00AD430D"/>
    <w:rsid w:val="00AD6314"/>
    <w:rsid w:val="00AD791C"/>
    <w:rsid w:val="00AE7BE3"/>
    <w:rsid w:val="00AF0294"/>
    <w:rsid w:val="00AF07FF"/>
    <w:rsid w:val="00AF1C7C"/>
    <w:rsid w:val="00AF2D2E"/>
    <w:rsid w:val="00AF427E"/>
    <w:rsid w:val="00AF5A6F"/>
    <w:rsid w:val="00AF73BF"/>
    <w:rsid w:val="00AF789C"/>
    <w:rsid w:val="00B030FA"/>
    <w:rsid w:val="00B042E8"/>
    <w:rsid w:val="00B06339"/>
    <w:rsid w:val="00B103CC"/>
    <w:rsid w:val="00B1064B"/>
    <w:rsid w:val="00B116BD"/>
    <w:rsid w:val="00B11E75"/>
    <w:rsid w:val="00B13751"/>
    <w:rsid w:val="00B146AE"/>
    <w:rsid w:val="00B15C2F"/>
    <w:rsid w:val="00B17035"/>
    <w:rsid w:val="00B22008"/>
    <w:rsid w:val="00B30F6D"/>
    <w:rsid w:val="00B31CF2"/>
    <w:rsid w:val="00B33DE0"/>
    <w:rsid w:val="00B40A0E"/>
    <w:rsid w:val="00B424B1"/>
    <w:rsid w:val="00B4257F"/>
    <w:rsid w:val="00B47D45"/>
    <w:rsid w:val="00B63931"/>
    <w:rsid w:val="00B64945"/>
    <w:rsid w:val="00B702A9"/>
    <w:rsid w:val="00B70EE3"/>
    <w:rsid w:val="00B729ED"/>
    <w:rsid w:val="00B81F9F"/>
    <w:rsid w:val="00B86D3E"/>
    <w:rsid w:val="00B920D6"/>
    <w:rsid w:val="00B92B31"/>
    <w:rsid w:val="00B94A05"/>
    <w:rsid w:val="00B95917"/>
    <w:rsid w:val="00BA0C61"/>
    <w:rsid w:val="00BA41C7"/>
    <w:rsid w:val="00BA61DA"/>
    <w:rsid w:val="00BB0306"/>
    <w:rsid w:val="00BB06EC"/>
    <w:rsid w:val="00BB1E76"/>
    <w:rsid w:val="00BD1903"/>
    <w:rsid w:val="00BD2DB2"/>
    <w:rsid w:val="00BD6F5A"/>
    <w:rsid w:val="00BE02BC"/>
    <w:rsid w:val="00BE1551"/>
    <w:rsid w:val="00BE583D"/>
    <w:rsid w:val="00BE5D9D"/>
    <w:rsid w:val="00BE63DF"/>
    <w:rsid w:val="00BE787D"/>
    <w:rsid w:val="00BF45F6"/>
    <w:rsid w:val="00C03DAF"/>
    <w:rsid w:val="00C0649E"/>
    <w:rsid w:val="00C07081"/>
    <w:rsid w:val="00C10115"/>
    <w:rsid w:val="00C10304"/>
    <w:rsid w:val="00C11896"/>
    <w:rsid w:val="00C147F0"/>
    <w:rsid w:val="00C178E7"/>
    <w:rsid w:val="00C20268"/>
    <w:rsid w:val="00C227FC"/>
    <w:rsid w:val="00C23C53"/>
    <w:rsid w:val="00C274B8"/>
    <w:rsid w:val="00C27E5E"/>
    <w:rsid w:val="00C3038F"/>
    <w:rsid w:val="00C35F56"/>
    <w:rsid w:val="00C42095"/>
    <w:rsid w:val="00C4524C"/>
    <w:rsid w:val="00C5072F"/>
    <w:rsid w:val="00C54C4E"/>
    <w:rsid w:val="00C56D54"/>
    <w:rsid w:val="00C60022"/>
    <w:rsid w:val="00C61A1D"/>
    <w:rsid w:val="00C65A9F"/>
    <w:rsid w:val="00C67410"/>
    <w:rsid w:val="00C7081D"/>
    <w:rsid w:val="00C711BA"/>
    <w:rsid w:val="00C72BA9"/>
    <w:rsid w:val="00C73CCB"/>
    <w:rsid w:val="00C74941"/>
    <w:rsid w:val="00C75476"/>
    <w:rsid w:val="00C90824"/>
    <w:rsid w:val="00C928B8"/>
    <w:rsid w:val="00C935E5"/>
    <w:rsid w:val="00C935F4"/>
    <w:rsid w:val="00C941A8"/>
    <w:rsid w:val="00C978FC"/>
    <w:rsid w:val="00CA0E39"/>
    <w:rsid w:val="00CA0E3D"/>
    <w:rsid w:val="00CA3BF3"/>
    <w:rsid w:val="00CA7609"/>
    <w:rsid w:val="00CB04A8"/>
    <w:rsid w:val="00CB0AF0"/>
    <w:rsid w:val="00CB1C9E"/>
    <w:rsid w:val="00CB3796"/>
    <w:rsid w:val="00CC028F"/>
    <w:rsid w:val="00CC52FE"/>
    <w:rsid w:val="00CC69F0"/>
    <w:rsid w:val="00CD0CF2"/>
    <w:rsid w:val="00CD10A2"/>
    <w:rsid w:val="00CD1FB7"/>
    <w:rsid w:val="00CD2A65"/>
    <w:rsid w:val="00CD3A85"/>
    <w:rsid w:val="00CD4C9F"/>
    <w:rsid w:val="00CE6101"/>
    <w:rsid w:val="00CE68EF"/>
    <w:rsid w:val="00CF2DC1"/>
    <w:rsid w:val="00CF3B3C"/>
    <w:rsid w:val="00CF5B80"/>
    <w:rsid w:val="00CF5DC6"/>
    <w:rsid w:val="00D016E6"/>
    <w:rsid w:val="00D06DB6"/>
    <w:rsid w:val="00D11E4F"/>
    <w:rsid w:val="00D13806"/>
    <w:rsid w:val="00D15A0F"/>
    <w:rsid w:val="00D21ACF"/>
    <w:rsid w:val="00D260CC"/>
    <w:rsid w:val="00D30970"/>
    <w:rsid w:val="00D34C08"/>
    <w:rsid w:val="00D36B32"/>
    <w:rsid w:val="00D40994"/>
    <w:rsid w:val="00D4328D"/>
    <w:rsid w:val="00D46D3F"/>
    <w:rsid w:val="00D51F83"/>
    <w:rsid w:val="00D52E29"/>
    <w:rsid w:val="00D55537"/>
    <w:rsid w:val="00D60CE7"/>
    <w:rsid w:val="00D6593E"/>
    <w:rsid w:val="00D7714A"/>
    <w:rsid w:val="00D82575"/>
    <w:rsid w:val="00D876EB"/>
    <w:rsid w:val="00D879A5"/>
    <w:rsid w:val="00DA3E55"/>
    <w:rsid w:val="00DA7B9C"/>
    <w:rsid w:val="00DB452A"/>
    <w:rsid w:val="00DB4AAA"/>
    <w:rsid w:val="00DB7C0D"/>
    <w:rsid w:val="00DC54C2"/>
    <w:rsid w:val="00DD112E"/>
    <w:rsid w:val="00DD2F47"/>
    <w:rsid w:val="00DD4CCA"/>
    <w:rsid w:val="00DD7370"/>
    <w:rsid w:val="00DE0314"/>
    <w:rsid w:val="00DE0B52"/>
    <w:rsid w:val="00DE0BF8"/>
    <w:rsid w:val="00DE6C78"/>
    <w:rsid w:val="00DF6668"/>
    <w:rsid w:val="00DF7055"/>
    <w:rsid w:val="00E054B9"/>
    <w:rsid w:val="00E07739"/>
    <w:rsid w:val="00E106B3"/>
    <w:rsid w:val="00E1074B"/>
    <w:rsid w:val="00E21834"/>
    <w:rsid w:val="00E22D7F"/>
    <w:rsid w:val="00E31D1C"/>
    <w:rsid w:val="00E32C7A"/>
    <w:rsid w:val="00E331FC"/>
    <w:rsid w:val="00E40D5F"/>
    <w:rsid w:val="00E43FDE"/>
    <w:rsid w:val="00E44853"/>
    <w:rsid w:val="00E44998"/>
    <w:rsid w:val="00E46373"/>
    <w:rsid w:val="00E46C22"/>
    <w:rsid w:val="00E55059"/>
    <w:rsid w:val="00E5552F"/>
    <w:rsid w:val="00E61267"/>
    <w:rsid w:val="00E6254A"/>
    <w:rsid w:val="00E62E8E"/>
    <w:rsid w:val="00E669C4"/>
    <w:rsid w:val="00E723B1"/>
    <w:rsid w:val="00E7420B"/>
    <w:rsid w:val="00E7686B"/>
    <w:rsid w:val="00E820B7"/>
    <w:rsid w:val="00E82602"/>
    <w:rsid w:val="00E8400E"/>
    <w:rsid w:val="00E87BBC"/>
    <w:rsid w:val="00E90E8E"/>
    <w:rsid w:val="00E92B69"/>
    <w:rsid w:val="00E966B3"/>
    <w:rsid w:val="00E96C3F"/>
    <w:rsid w:val="00EA29B4"/>
    <w:rsid w:val="00EA2B01"/>
    <w:rsid w:val="00EA4CE1"/>
    <w:rsid w:val="00EA519B"/>
    <w:rsid w:val="00EA713A"/>
    <w:rsid w:val="00EB1A0E"/>
    <w:rsid w:val="00EB7A7A"/>
    <w:rsid w:val="00EC15A1"/>
    <w:rsid w:val="00EC4EC8"/>
    <w:rsid w:val="00EC60E6"/>
    <w:rsid w:val="00EC6D8B"/>
    <w:rsid w:val="00EC7A11"/>
    <w:rsid w:val="00ED3EFA"/>
    <w:rsid w:val="00ED490A"/>
    <w:rsid w:val="00EE108D"/>
    <w:rsid w:val="00EE4829"/>
    <w:rsid w:val="00EE4933"/>
    <w:rsid w:val="00EE4D21"/>
    <w:rsid w:val="00EE7B3E"/>
    <w:rsid w:val="00EF61FC"/>
    <w:rsid w:val="00EF6E80"/>
    <w:rsid w:val="00EF7ACB"/>
    <w:rsid w:val="00F007CA"/>
    <w:rsid w:val="00F01AB8"/>
    <w:rsid w:val="00F061C6"/>
    <w:rsid w:val="00F10136"/>
    <w:rsid w:val="00F11DCC"/>
    <w:rsid w:val="00F22A05"/>
    <w:rsid w:val="00F245AE"/>
    <w:rsid w:val="00F274D7"/>
    <w:rsid w:val="00F3198B"/>
    <w:rsid w:val="00F31B0B"/>
    <w:rsid w:val="00F31B65"/>
    <w:rsid w:val="00F34D82"/>
    <w:rsid w:val="00F36BE0"/>
    <w:rsid w:val="00F36F65"/>
    <w:rsid w:val="00F3789E"/>
    <w:rsid w:val="00F40B13"/>
    <w:rsid w:val="00F41E4A"/>
    <w:rsid w:val="00F44C95"/>
    <w:rsid w:val="00F57FD7"/>
    <w:rsid w:val="00F641F3"/>
    <w:rsid w:val="00F651E7"/>
    <w:rsid w:val="00F70058"/>
    <w:rsid w:val="00F730F6"/>
    <w:rsid w:val="00F77CCC"/>
    <w:rsid w:val="00F82FA7"/>
    <w:rsid w:val="00F83D06"/>
    <w:rsid w:val="00F903A0"/>
    <w:rsid w:val="00F92B76"/>
    <w:rsid w:val="00F95AFA"/>
    <w:rsid w:val="00F9780E"/>
    <w:rsid w:val="00FA18B4"/>
    <w:rsid w:val="00FA7175"/>
    <w:rsid w:val="00FB14F7"/>
    <w:rsid w:val="00FB20BF"/>
    <w:rsid w:val="00FB328C"/>
    <w:rsid w:val="00FB49A3"/>
    <w:rsid w:val="00FB7542"/>
    <w:rsid w:val="00FC374D"/>
    <w:rsid w:val="00FC3C44"/>
    <w:rsid w:val="00FC4807"/>
    <w:rsid w:val="00FD0314"/>
    <w:rsid w:val="00FD3CB5"/>
    <w:rsid w:val="00FE5C8B"/>
    <w:rsid w:val="00FF1E5E"/>
    <w:rsid w:val="00FF35CC"/>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4106A3"/>
  <w15:chartTrackingRefBased/>
  <w15:docId w15:val="{F6E3FFFB-6C66-4CB2-B8C6-150F7E1533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7DD4"/>
    <w:pPr>
      <w:jc w:val="both"/>
    </w:pPr>
    <w:rPr>
      <w:sz w:val="26"/>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0187A"/>
    <w:pPr>
      <w:tabs>
        <w:tab w:val="center" w:pos="4680"/>
        <w:tab w:val="right" w:pos="9360"/>
      </w:tabs>
    </w:pPr>
  </w:style>
  <w:style w:type="character" w:customStyle="1" w:styleId="HeaderChar">
    <w:name w:val="Header Char"/>
    <w:basedOn w:val="DefaultParagraphFont"/>
    <w:link w:val="Header"/>
    <w:uiPriority w:val="99"/>
    <w:rsid w:val="0020187A"/>
  </w:style>
  <w:style w:type="paragraph" w:styleId="Footer">
    <w:name w:val="footer"/>
    <w:basedOn w:val="Normal"/>
    <w:link w:val="FooterChar"/>
    <w:uiPriority w:val="99"/>
    <w:unhideWhenUsed/>
    <w:rsid w:val="0020187A"/>
    <w:pPr>
      <w:tabs>
        <w:tab w:val="center" w:pos="4680"/>
        <w:tab w:val="right" w:pos="9360"/>
      </w:tabs>
    </w:pPr>
  </w:style>
  <w:style w:type="character" w:customStyle="1" w:styleId="FooterChar">
    <w:name w:val="Footer Char"/>
    <w:basedOn w:val="DefaultParagraphFont"/>
    <w:link w:val="Footer"/>
    <w:uiPriority w:val="99"/>
    <w:rsid w:val="0020187A"/>
  </w:style>
  <w:style w:type="paragraph" w:styleId="ListParagraph">
    <w:name w:val="List Paragraph"/>
    <w:basedOn w:val="Normal"/>
    <w:uiPriority w:val="34"/>
    <w:qFormat/>
    <w:rsid w:val="0020187A"/>
    <w:pPr>
      <w:ind w:left="720"/>
      <w:contextualSpacing/>
    </w:pPr>
  </w:style>
  <w:style w:type="paragraph" w:styleId="FootnoteText">
    <w:name w:val="footnote text"/>
    <w:basedOn w:val="Normal"/>
    <w:semiHidden/>
    <w:rsid w:val="00106EEF"/>
    <w:rPr>
      <w:sz w:val="20"/>
      <w:szCs w:val="20"/>
    </w:rPr>
  </w:style>
  <w:style w:type="character" w:styleId="FootnoteReference">
    <w:name w:val="footnote reference"/>
    <w:semiHidden/>
    <w:rsid w:val="00106EEF"/>
    <w:rPr>
      <w:vertAlign w:val="superscript"/>
    </w:rPr>
  </w:style>
  <w:style w:type="paragraph" w:styleId="DocumentMap">
    <w:name w:val="Document Map"/>
    <w:basedOn w:val="Normal"/>
    <w:semiHidden/>
    <w:rsid w:val="00DC54C2"/>
    <w:pPr>
      <w:shd w:val="clear" w:color="auto" w:fill="000080"/>
    </w:pPr>
    <w:rPr>
      <w:rFonts w:ascii="Tahoma" w:hAnsi="Tahoma" w:cs="Tahoma"/>
      <w:sz w:val="20"/>
      <w:szCs w:val="20"/>
    </w:rPr>
  </w:style>
  <w:style w:type="paragraph" w:styleId="BalloonText">
    <w:name w:val="Balloon Text"/>
    <w:basedOn w:val="Normal"/>
    <w:link w:val="BalloonTextChar"/>
    <w:uiPriority w:val="99"/>
    <w:semiHidden/>
    <w:unhideWhenUsed/>
    <w:rsid w:val="002D1511"/>
    <w:rPr>
      <w:rFonts w:ascii="Segoe UI" w:hAnsi="Segoe UI" w:cs="Segoe UI"/>
      <w:sz w:val="18"/>
      <w:szCs w:val="18"/>
    </w:rPr>
  </w:style>
  <w:style w:type="character" w:customStyle="1" w:styleId="BalloonTextChar">
    <w:name w:val="Balloon Text Char"/>
    <w:link w:val="BalloonText"/>
    <w:uiPriority w:val="99"/>
    <w:semiHidden/>
    <w:rsid w:val="002D1511"/>
    <w:rPr>
      <w:rFonts w:ascii="Segoe UI" w:hAnsi="Segoe UI" w:cs="Segoe UI"/>
      <w:sz w:val="18"/>
      <w:szCs w:val="18"/>
      <w:lang w:eastAsia="en-US"/>
    </w:rPr>
  </w:style>
  <w:style w:type="paragraph" w:customStyle="1" w:styleId="Bob1">
    <w:name w:val="Bob 1"/>
    <w:link w:val="Bob1Char"/>
    <w:qFormat/>
    <w:rsid w:val="008C0B20"/>
    <w:pPr>
      <w:numPr>
        <w:numId w:val="8"/>
      </w:numPr>
      <w:kinsoku w:val="0"/>
      <w:autoSpaceDE w:val="0"/>
      <w:autoSpaceDN w:val="0"/>
      <w:snapToGrid w:val="0"/>
      <w:spacing w:after="240" w:line="360" w:lineRule="auto"/>
    </w:pPr>
    <w:rPr>
      <w:sz w:val="28"/>
      <w:szCs w:val="28"/>
      <w:lang w:val="en-GB"/>
    </w:rPr>
  </w:style>
  <w:style w:type="character" w:customStyle="1" w:styleId="Bob1Char">
    <w:name w:val="Bob 1 Char"/>
    <w:link w:val="Bob1"/>
    <w:rsid w:val="008C0B20"/>
    <w:rPr>
      <w:sz w:val="28"/>
      <w:szCs w:val="28"/>
    </w:rPr>
  </w:style>
  <w:style w:type="paragraph" w:customStyle="1" w:styleId="MF">
    <w:name w:val="MF"/>
    <w:basedOn w:val="Normal"/>
    <w:rsid w:val="008C0B20"/>
    <w:pPr>
      <w:tabs>
        <w:tab w:val="left" w:pos="1440"/>
        <w:tab w:val="center" w:pos="4320"/>
        <w:tab w:val="right" w:pos="8280"/>
        <w:tab w:val="right" w:pos="9000"/>
      </w:tabs>
      <w:overflowPunct w:val="0"/>
      <w:autoSpaceDE w:val="0"/>
      <w:autoSpaceDN w:val="0"/>
      <w:adjustRightInd w:val="0"/>
      <w:snapToGrid w:val="0"/>
      <w:jc w:val="center"/>
      <w:textAlignment w:val="baseline"/>
    </w:pPr>
    <w:rPr>
      <w:rFonts w:eastAsia="MingLiU"/>
      <w:caps/>
      <w:sz w:val="28"/>
      <w:szCs w:val="20"/>
      <w:lang w:val="en-GB" w:eastAsia="zh-CN"/>
    </w:rPr>
  </w:style>
  <w:style w:type="paragraph" w:styleId="BodyTextIndent">
    <w:name w:val="Body Text Indent"/>
    <w:basedOn w:val="Normal"/>
    <w:link w:val="BodyTextIndentChar"/>
    <w:semiHidden/>
    <w:rsid w:val="008C0B20"/>
    <w:pPr>
      <w:ind w:left="720" w:hanging="720"/>
    </w:pPr>
    <w:rPr>
      <w:sz w:val="28"/>
      <w:szCs w:val="24"/>
      <w:lang w:eastAsia="zh-CN"/>
    </w:rPr>
  </w:style>
  <w:style w:type="character" w:customStyle="1" w:styleId="BodyTextIndentChar">
    <w:name w:val="Body Text Indent Char"/>
    <w:link w:val="BodyTextIndent"/>
    <w:semiHidden/>
    <w:rsid w:val="008C0B20"/>
    <w:rPr>
      <w:sz w:val="28"/>
      <w:szCs w:val="24"/>
      <w:lang w:val="en-US"/>
    </w:rPr>
  </w:style>
  <w:style w:type="paragraph" w:customStyle="1" w:styleId="sh">
    <w:name w:val="sh"/>
    <w:basedOn w:val="Normal"/>
    <w:rsid w:val="00B11E75"/>
    <w:pPr>
      <w:tabs>
        <w:tab w:val="left" w:pos="720"/>
        <w:tab w:val="left" w:pos="1440"/>
        <w:tab w:val="center" w:pos="4320"/>
        <w:tab w:val="right" w:pos="9072"/>
      </w:tabs>
      <w:jc w:val="left"/>
    </w:pPr>
    <w:rPr>
      <w:sz w:val="28"/>
      <w:szCs w:val="20"/>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Users\Phemie%20WF%20Chan\Documents\CFA_Phemie\CFA_Template\Judgment_FACV(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50B48E-C723-4B42-9179-7A54F319C8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Judgment_FACV(S).dotx</Template>
  <TotalTime>5</TotalTime>
  <Pages>32</Pages>
  <Words>7443</Words>
  <Characters>42428</Characters>
  <Application>Microsoft Office Word</Application>
  <DocSecurity>0</DocSecurity>
  <Lines>353</Lines>
  <Paragraphs>99</Paragraphs>
  <ScaleCrop>false</ScaleCrop>
  <HeadingPairs>
    <vt:vector size="2" baseType="variant">
      <vt:variant>
        <vt:lpstr>Title</vt:lpstr>
      </vt:variant>
      <vt:variant>
        <vt:i4>1</vt:i4>
      </vt:variant>
    </vt:vector>
  </HeadingPairs>
  <TitlesOfParts>
    <vt:vector size="1" baseType="lpstr">
      <vt:lpstr>HCA 196 of 2007</vt:lpstr>
    </vt:vector>
  </TitlesOfParts>
  <Company>Judiciary hong Kong</Company>
  <LinksUpToDate>false</LinksUpToDate>
  <CharactersWithSpaces>49772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HCA 196 of 2007</dc:title>
  <dc:subject/>
  <dc:creator>Window User</dc:creator>
  <cp:keywords/>
  <cp:lastModifiedBy>Window User</cp:lastModifiedBy>
  <cp:revision>2</cp:revision>
  <cp:lastPrinted>2020-09-04T07:09:00Z</cp:lastPrinted>
  <dcterms:created xsi:type="dcterms:W3CDTF">2020-09-21T08:24:00Z</dcterms:created>
  <dcterms:modified xsi:type="dcterms:W3CDTF">2020-09-21T08:24:00Z</dcterms:modified>
</cp:coreProperties>
</file>