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82B" w:rsidRPr="00E446B4" w:rsidRDefault="00E0482B" w:rsidP="004C050A">
      <w:pPr>
        <w:spacing w:after="0" w:line="240" w:lineRule="auto"/>
        <w:jc w:val="right"/>
        <w:rPr>
          <w:b/>
          <w:color w:val="000000" w:themeColor="text1"/>
          <w:szCs w:val="28"/>
        </w:rPr>
      </w:pPr>
      <w:r w:rsidRPr="00E446B4">
        <w:rPr>
          <w:b/>
          <w:color w:val="000000" w:themeColor="text1"/>
          <w:szCs w:val="28"/>
        </w:rPr>
        <w:t>FACC No. 2 of 2017</w:t>
      </w:r>
    </w:p>
    <w:p w:rsidR="00E0482B" w:rsidRPr="00E0482B" w:rsidRDefault="00E0482B" w:rsidP="00E0482B">
      <w:pPr>
        <w:spacing w:after="0" w:line="240" w:lineRule="auto"/>
        <w:jc w:val="right"/>
        <w:rPr>
          <w:color w:val="000000" w:themeColor="text1"/>
          <w:szCs w:val="28"/>
        </w:rPr>
      </w:pPr>
    </w:p>
    <w:p w:rsidR="00E0482B" w:rsidRPr="00E0482B" w:rsidRDefault="00E0482B" w:rsidP="00E0482B">
      <w:pPr>
        <w:spacing w:after="0" w:line="240" w:lineRule="auto"/>
        <w:jc w:val="center"/>
        <w:rPr>
          <w:b/>
          <w:color w:val="000000" w:themeColor="text1"/>
          <w:szCs w:val="28"/>
        </w:rPr>
      </w:pPr>
      <w:r w:rsidRPr="00E0482B">
        <w:rPr>
          <w:b/>
          <w:color w:val="000000" w:themeColor="text1"/>
          <w:szCs w:val="28"/>
        </w:rPr>
        <w:t>IN THE COURT OF FINAL APPEAL OF THE</w:t>
      </w:r>
    </w:p>
    <w:p w:rsidR="00E0482B" w:rsidRPr="00E0482B" w:rsidRDefault="00E0482B" w:rsidP="00E0482B">
      <w:pPr>
        <w:pStyle w:val="Heading1"/>
        <w:spacing w:before="0" w:line="240" w:lineRule="auto"/>
        <w:jc w:val="center"/>
        <w:rPr>
          <w:rFonts w:ascii="Times New Roman" w:hAnsi="Times New Roman" w:cs="Times New Roman"/>
          <w:b w:val="0"/>
          <w:color w:val="000000" w:themeColor="text1"/>
          <w:szCs w:val="28"/>
        </w:rPr>
      </w:pPr>
      <w:r w:rsidRPr="00E0482B">
        <w:rPr>
          <w:rFonts w:ascii="Times New Roman" w:hAnsi="Times New Roman" w:cs="Times New Roman"/>
          <w:b w:val="0"/>
          <w:color w:val="000000" w:themeColor="text1"/>
          <w:szCs w:val="28"/>
        </w:rPr>
        <w:t>HONG KONG SPECIAL ADMINISTRATIVE REGION</w:t>
      </w:r>
    </w:p>
    <w:p w:rsidR="00E0482B" w:rsidRPr="00E0482B" w:rsidRDefault="00E0482B" w:rsidP="00E0482B">
      <w:pPr>
        <w:spacing w:after="0" w:line="240" w:lineRule="auto"/>
        <w:rPr>
          <w:color w:val="000000" w:themeColor="text1"/>
          <w:szCs w:val="28"/>
        </w:rPr>
      </w:pPr>
    </w:p>
    <w:p w:rsidR="00E0482B" w:rsidRPr="00E0482B" w:rsidRDefault="00E0482B" w:rsidP="00E0482B">
      <w:pPr>
        <w:spacing w:after="0" w:line="240" w:lineRule="auto"/>
        <w:jc w:val="center"/>
        <w:rPr>
          <w:b/>
          <w:color w:val="000000" w:themeColor="text1"/>
          <w:szCs w:val="28"/>
        </w:rPr>
      </w:pPr>
      <w:r w:rsidRPr="00E0482B">
        <w:rPr>
          <w:b/>
          <w:color w:val="000000" w:themeColor="text1"/>
          <w:szCs w:val="28"/>
        </w:rPr>
        <w:t>FINAL APPEAL NO. 2 OF 2017 (CRIMINAL)</w:t>
      </w:r>
    </w:p>
    <w:p w:rsidR="00E0482B" w:rsidRPr="00E0482B" w:rsidRDefault="00E0482B" w:rsidP="00E0482B">
      <w:pPr>
        <w:tabs>
          <w:tab w:val="left" w:pos="3420"/>
        </w:tabs>
        <w:spacing w:after="0" w:line="240" w:lineRule="auto"/>
        <w:jc w:val="center"/>
        <w:rPr>
          <w:color w:val="000000" w:themeColor="text1"/>
          <w:szCs w:val="28"/>
        </w:rPr>
      </w:pPr>
      <w:r w:rsidRPr="00E0482B">
        <w:rPr>
          <w:color w:val="000000" w:themeColor="text1"/>
          <w:szCs w:val="28"/>
        </w:rPr>
        <w:t>(ON APPEAL FROM HCMA NO. 666 OF 2015)</w:t>
      </w:r>
    </w:p>
    <w:p w:rsidR="00E0482B" w:rsidRPr="00E0482B" w:rsidRDefault="00E0482B" w:rsidP="00E0482B">
      <w:pPr>
        <w:spacing w:after="0" w:line="240" w:lineRule="auto"/>
        <w:jc w:val="center"/>
        <w:rPr>
          <w:color w:val="000000" w:themeColor="text1"/>
          <w:szCs w:val="28"/>
        </w:rPr>
      </w:pPr>
      <w:r w:rsidRPr="00E0482B">
        <w:rPr>
          <w:color w:val="000000" w:themeColor="text1"/>
          <w:szCs w:val="28"/>
        </w:rPr>
        <w:t>____________</w:t>
      </w:r>
    </w:p>
    <w:p w:rsidR="00E0482B" w:rsidRPr="00E0482B" w:rsidRDefault="00E0482B" w:rsidP="00E0482B">
      <w:pPr>
        <w:spacing w:after="0" w:line="240" w:lineRule="auto"/>
        <w:rPr>
          <w:color w:val="000000" w:themeColor="text1"/>
          <w:szCs w:val="28"/>
        </w:rPr>
      </w:pPr>
    </w:p>
    <w:p w:rsidR="00E0482B" w:rsidRPr="00E0482B" w:rsidRDefault="00E0482B" w:rsidP="00E0482B">
      <w:pPr>
        <w:spacing w:after="0" w:line="240" w:lineRule="auto"/>
        <w:rPr>
          <w:color w:val="000000" w:themeColor="text1"/>
          <w:szCs w:val="28"/>
        </w:rPr>
      </w:pPr>
      <w:r w:rsidRPr="00E0482B">
        <w:rPr>
          <w:color w:val="000000" w:themeColor="text1"/>
          <w:szCs w:val="28"/>
        </w:rPr>
        <w:t>BETWEEN</w:t>
      </w:r>
    </w:p>
    <w:p w:rsidR="00E0482B" w:rsidRPr="00E0482B" w:rsidRDefault="00E0482B" w:rsidP="00E0482B">
      <w:pPr>
        <w:spacing w:after="0" w:line="240" w:lineRule="auto"/>
        <w:rPr>
          <w:color w:val="000000" w:themeColor="text1"/>
          <w:szCs w:val="28"/>
        </w:rPr>
      </w:pPr>
    </w:p>
    <w:tbl>
      <w:tblPr>
        <w:tblW w:w="0" w:type="auto"/>
        <w:tblLook w:val="04A0" w:firstRow="1" w:lastRow="0" w:firstColumn="1" w:lastColumn="0" w:noHBand="0" w:noVBand="1"/>
      </w:tblPr>
      <w:tblGrid>
        <w:gridCol w:w="7156"/>
        <w:gridCol w:w="1871"/>
      </w:tblGrid>
      <w:tr w:rsidR="00E0482B" w:rsidRPr="00E0482B" w:rsidTr="006F2448">
        <w:trPr>
          <w:trHeight w:val="720"/>
        </w:trPr>
        <w:tc>
          <w:tcPr>
            <w:tcW w:w="7578" w:type="dxa"/>
            <w:vAlign w:val="center"/>
          </w:tcPr>
          <w:p w:rsidR="00E0482B" w:rsidRPr="00E0482B" w:rsidRDefault="00E0482B" w:rsidP="00E0482B">
            <w:pPr>
              <w:spacing w:after="0" w:line="240" w:lineRule="auto"/>
              <w:jc w:val="center"/>
              <w:rPr>
                <w:b/>
                <w:color w:val="000000" w:themeColor="text1"/>
                <w:szCs w:val="28"/>
              </w:rPr>
            </w:pPr>
            <w:r w:rsidRPr="00E0482B">
              <w:rPr>
                <w:b/>
                <w:bCs/>
                <w:color w:val="000000" w:themeColor="text1"/>
                <w:szCs w:val="28"/>
              </w:rPr>
              <w:t>HKSAR</w:t>
            </w:r>
          </w:p>
        </w:tc>
        <w:tc>
          <w:tcPr>
            <w:tcW w:w="1890" w:type="dxa"/>
            <w:vAlign w:val="center"/>
          </w:tcPr>
          <w:p w:rsidR="00E0482B" w:rsidRPr="00E0482B" w:rsidRDefault="00E0482B" w:rsidP="00E0482B">
            <w:pPr>
              <w:spacing w:after="0" w:line="240" w:lineRule="auto"/>
              <w:jc w:val="center"/>
              <w:rPr>
                <w:b/>
                <w:color w:val="000000" w:themeColor="text1"/>
                <w:szCs w:val="28"/>
              </w:rPr>
            </w:pPr>
            <w:r w:rsidRPr="00E0482B">
              <w:rPr>
                <w:b/>
                <w:color w:val="000000" w:themeColor="text1"/>
                <w:szCs w:val="28"/>
              </w:rPr>
              <w:t>Respondent</w:t>
            </w:r>
          </w:p>
        </w:tc>
      </w:tr>
      <w:tr w:rsidR="00E0482B" w:rsidRPr="00E0482B" w:rsidTr="006F2448">
        <w:trPr>
          <w:trHeight w:val="720"/>
        </w:trPr>
        <w:tc>
          <w:tcPr>
            <w:tcW w:w="7578" w:type="dxa"/>
            <w:vAlign w:val="center"/>
          </w:tcPr>
          <w:p w:rsidR="00E0482B" w:rsidRPr="00E0482B" w:rsidRDefault="00E0482B" w:rsidP="00E0482B">
            <w:pPr>
              <w:spacing w:after="0" w:line="240" w:lineRule="auto"/>
              <w:jc w:val="center"/>
              <w:rPr>
                <w:color w:val="000000" w:themeColor="text1"/>
                <w:szCs w:val="28"/>
              </w:rPr>
            </w:pPr>
            <w:r w:rsidRPr="00E0482B">
              <w:rPr>
                <w:b/>
                <w:bCs/>
                <w:color w:val="000000" w:themeColor="text1"/>
                <w:szCs w:val="28"/>
              </w:rPr>
              <w:t xml:space="preserve"> and </w:t>
            </w:r>
          </w:p>
        </w:tc>
        <w:tc>
          <w:tcPr>
            <w:tcW w:w="1890" w:type="dxa"/>
          </w:tcPr>
          <w:p w:rsidR="00E0482B" w:rsidRPr="00E0482B" w:rsidRDefault="00E0482B" w:rsidP="00E0482B">
            <w:pPr>
              <w:spacing w:after="0" w:line="240" w:lineRule="auto"/>
              <w:rPr>
                <w:color w:val="000000" w:themeColor="text1"/>
                <w:szCs w:val="28"/>
              </w:rPr>
            </w:pPr>
          </w:p>
        </w:tc>
      </w:tr>
      <w:tr w:rsidR="00E0482B" w:rsidRPr="00E0482B" w:rsidTr="006F2448">
        <w:trPr>
          <w:trHeight w:val="720"/>
        </w:trPr>
        <w:tc>
          <w:tcPr>
            <w:tcW w:w="7578" w:type="dxa"/>
            <w:vAlign w:val="center"/>
          </w:tcPr>
          <w:p w:rsidR="00E0482B" w:rsidRPr="00E0482B" w:rsidRDefault="00E0482B" w:rsidP="00E0482B">
            <w:pPr>
              <w:spacing w:after="0" w:line="240" w:lineRule="auto"/>
              <w:ind w:left="71"/>
              <w:jc w:val="center"/>
              <w:rPr>
                <w:b/>
                <w:color w:val="000000" w:themeColor="text1"/>
                <w:szCs w:val="28"/>
              </w:rPr>
            </w:pPr>
            <w:r w:rsidRPr="00E0482B">
              <w:rPr>
                <w:b/>
                <w:color w:val="000000" w:themeColor="text1"/>
              </w:rPr>
              <w:t>FONG KWOK SHAN CHRISTINE</w:t>
            </w:r>
            <w:r w:rsidRPr="00E0482B">
              <w:rPr>
                <w:rFonts w:eastAsia="PMingLiU"/>
                <w:b/>
                <w:color w:val="000000" w:themeColor="text1"/>
              </w:rPr>
              <w:t>（方國珊）</w:t>
            </w:r>
            <w:r w:rsidRPr="00E0482B">
              <w:rPr>
                <w:rFonts w:eastAsia="PMingLiU"/>
                <w:b/>
                <w:color w:val="000000" w:themeColor="text1"/>
              </w:rPr>
              <w:t>(D1)</w:t>
            </w:r>
          </w:p>
        </w:tc>
        <w:tc>
          <w:tcPr>
            <w:tcW w:w="1890" w:type="dxa"/>
            <w:vAlign w:val="center"/>
          </w:tcPr>
          <w:p w:rsidR="00E0482B" w:rsidRPr="00E0482B" w:rsidRDefault="00E0482B" w:rsidP="00E0482B">
            <w:pPr>
              <w:spacing w:after="0" w:line="240" w:lineRule="auto"/>
              <w:jc w:val="center"/>
              <w:rPr>
                <w:b/>
                <w:color w:val="000000" w:themeColor="text1"/>
                <w:szCs w:val="28"/>
              </w:rPr>
            </w:pPr>
            <w:r w:rsidRPr="00E0482B">
              <w:rPr>
                <w:b/>
                <w:color w:val="000000" w:themeColor="text1"/>
                <w:szCs w:val="28"/>
              </w:rPr>
              <w:t>Appellant</w:t>
            </w:r>
          </w:p>
        </w:tc>
      </w:tr>
    </w:tbl>
    <w:p w:rsidR="00E0482B" w:rsidRPr="00E0482B" w:rsidRDefault="00E0482B" w:rsidP="00E0482B">
      <w:pPr>
        <w:spacing w:after="0" w:line="240" w:lineRule="auto"/>
        <w:rPr>
          <w:color w:val="000000" w:themeColor="text1"/>
          <w:szCs w:val="28"/>
        </w:rPr>
      </w:pPr>
    </w:p>
    <w:p w:rsidR="00E0482B" w:rsidRPr="00E0482B" w:rsidRDefault="00E0482B" w:rsidP="00E0482B">
      <w:pPr>
        <w:spacing w:after="0" w:line="240" w:lineRule="auto"/>
        <w:rPr>
          <w:color w:val="000000" w:themeColor="text1"/>
          <w:szCs w:val="28"/>
        </w:rPr>
      </w:pPr>
    </w:p>
    <w:p w:rsidR="00E0482B" w:rsidRPr="00E0482B" w:rsidRDefault="00E0482B" w:rsidP="00E0482B">
      <w:pPr>
        <w:spacing w:after="0" w:line="240" w:lineRule="auto"/>
        <w:jc w:val="center"/>
        <w:rPr>
          <w:color w:val="000000" w:themeColor="text1"/>
          <w:szCs w:val="28"/>
        </w:rPr>
      </w:pPr>
      <w:r w:rsidRPr="00E0482B">
        <w:rPr>
          <w:color w:val="000000" w:themeColor="text1"/>
          <w:szCs w:val="28"/>
        </w:rPr>
        <w:t>____________</w:t>
      </w:r>
    </w:p>
    <w:p w:rsidR="00E0482B" w:rsidRPr="00E0482B" w:rsidRDefault="00E0482B" w:rsidP="00E0482B">
      <w:pPr>
        <w:spacing w:after="0" w:line="240" w:lineRule="auto"/>
        <w:rPr>
          <w:color w:val="000000" w:themeColor="text1"/>
          <w:szCs w:val="28"/>
        </w:rPr>
      </w:pPr>
    </w:p>
    <w:tbl>
      <w:tblPr>
        <w:tblW w:w="0" w:type="auto"/>
        <w:tblLook w:val="0000" w:firstRow="0" w:lastRow="0" w:firstColumn="0" w:lastColumn="0" w:noHBand="0" w:noVBand="0"/>
      </w:tblPr>
      <w:tblGrid>
        <w:gridCol w:w="2898"/>
        <w:gridCol w:w="5958"/>
      </w:tblGrid>
      <w:tr w:rsidR="00E0482B" w:rsidRPr="00E0482B" w:rsidTr="00E0482B">
        <w:trPr>
          <w:trHeight w:val="1152"/>
        </w:trPr>
        <w:tc>
          <w:tcPr>
            <w:tcW w:w="2898" w:type="dxa"/>
          </w:tcPr>
          <w:p w:rsidR="00E0482B" w:rsidRPr="00E0482B" w:rsidRDefault="00E0482B" w:rsidP="00E0482B">
            <w:pPr>
              <w:tabs>
                <w:tab w:val="left" w:pos="6660"/>
              </w:tabs>
              <w:spacing w:after="0" w:line="240" w:lineRule="auto"/>
              <w:rPr>
                <w:color w:val="000000" w:themeColor="text1"/>
                <w:szCs w:val="28"/>
              </w:rPr>
            </w:pPr>
            <w:r w:rsidRPr="00E0482B">
              <w:rPr>
                <w:color w:val="000000" w:themeColor="text1"/>
                <w:szCs w:val="28"/>
              </w:rPr>
              <w:t>Before:</w:t>
            </w:r>
          </w:p>
        </w:tc>
        <w:tc>
          <w:tcPr>
            <w:tcW w:w="5958" w:type="dxa"/>
          </w:tcPr>
          <w:p w:rsidR="00E0482B" w:rsidRPr="00E0482B" w:rsidRDefault="00E0482B" w:rsidP="00E0482B">
            <w:pPr>
              <w:spacing w:after="0" w:line="240" w:lineRule="auto"/>
              <w:jc w:val="both"/>
              <w:rPr>
                <w:bCs/>
                <w:color w:val="000000" w:themeColor="text1"/>
                <w:szCs w:val="28"/>
              </w:rPr>
            </w:pPr>
            <w:r w:rsidRPr="00E0482B">
              <w:rPr>
                <w:bCs/>
                <w:color w:val="000000" w:themeColor="text1"/>
                <w:szCs w:val="28"/>
              </w:rPr>
              <w:t>Chief Justice Ma, Mr Justice Ribeiro PJ,</w:t>
            </w:r>
          </w:p>
          <w:p w:rsidR="00E0482B" w:rsidRPr="00E0482B" w:rsidRDefault="00E0482B" w:rsidP="00E0482B">
            <w:pPr>
              <w:spacing w:after="0" w:line="240" w:lineRule="auto"/>
              <w:jc w:val="both"/>
              <w:rPr>
                <w:bCs/>
                <w:color w:val="000000" w:themeColor="text1"/>
                <w:szCs w:val="28"/>
              </w:rPr>
            </w:pPr>
            <w:r w:rsidRPr="00E0482B">
              <w:rPr>
                <w:bCs/>
                <w:color w:val="000000" w:themeColor="text1"/>
                <w:szCs w:val="28"/>
              </w:rPr>
              <w:t>Mr Justice Fok PJ, Mr Justice Chan NPJ and</w:t>
            </w:r>
          </w:p>
          <w:p w:rsidR="00E0482B" w:rsidRPr="00E0482B" w:rsidRDefault="00E0482B" w:rsidP="00E0482B">
            <w:pPr>
              <w:tabs>
                <w:tab w:val="left" w:pos="6660"/>
              </w:tabs>
              <w:spacing w:after="0" w:line="240" w:lineRule="auto"/>
              <w:rPr>
                <w:color w:val="000000" w:themeColor="text1"/>
              </w:rPr>
            </w:pPr>
            <w:r w:rsidRPr="00E0482B">
              <w:rPr>
                <w:color w:val="000000" w:themeColor="text1"/>
              </w:rPr>
              <w:t>Lord Neuberger of Abbotsbury NPJ</w:t>
            </w:r>
          </w:p>
          <w:p w:rsidR="00E0482B" w:rsidRPr="00E0482B" w:rsidRDefault="00E0482B" w:rsidP="00E0482B">
            <w:pPr>
              <w:tabs>
                <w:tab w:val="left" w:pos="6660"/>
              </w:tabs>
              <w:spacing w:after="0" w:line="240" w:lineRule="auto"/>
              <w:rPr>
                <w:color w:val="000000" w:themeColor="text1"/>
                <w:szCs w:val="28"/>
              </w:rPr>
            </w:pPr>
          </w:p>
        </w:tc>
      </w:tr>
      <w:tr w:rsidR="00E0482B" w:rsidRPr="00E0482B" w:rsidTr="00E0482B">
        <w:trPr>
          <w:trHeight w:val="620"/>
        </w:trPr>
        <w:tc>
          <w:tcPr>
            <w:tcW w:w="2898" w:type="dxa"/>
          </w:tcPr>
          <w:p w:rsidR="00E0482B" w:rsidRPr="00E0482B" w:rsidRDefault="00E0482B" w:rsidP="00E0482B">
            <w:pPr>
              <w:tabs>
                <w:tab w:val="left" w:pos="6660"/>
              </w:tabs>
              <w:spacing w:after="0" w:line="240" w:lineRule="auto"/>
              <w:rPr>
                <w:color w:val="000000" w:themeColor="text1"/>
                <w:szCs w:val="28"/>
              </w:rPr>
            </w:pPr>
            <w:r w:rsidRPr="00E0482B">
              <w:rPr>
                <w:color w:val="000000" w:themeColor="text1"/>
                <w:szCs w:val="28"/>
              </w:rPr>
              <w:t>Date of Hearing:</w:t>
            </w:r>
          </w:p>
        </w:tc>
        <w:tc>
          <w:tcPr>
            <w:tcW w:w="5958" w:type="dxa"/>
          </w:tcPr>
          <w:p w:rsidR="00E0482B" w:rsidRPr="00E0482B" w:rsidRDefault="00E0482B" w:rsidP="00E0482B">
            <w:pPr>
              <w:tabs>
                <w:tab w:val="left" w:pos="6660"/>
              </w:tabs>
              <w:spacing w:after="0" w:line="240" w:lineRule="auto"/>
              <w:rPr>
                <w:color w:val="000000" w:themeColor="text1"/>
                <w:szCs w:val="28"/>
              </w:rPr>
            </w:pPr>
            <w:r w:rsidRPr="00E0482B">
              <w:rPr>
                <w:color w:val="000000" w:themeColor="text1"/>
                <w:szCs w:val="28"/>
              </w:rPr>
              <w:t>4 September 2017</w:t>
            </w:r>
          </w:p>
        </w:tc>
      </w:tr>
      <w:tr w:rsidR="00E0482B" w:rsidRPr="00E0482B" w:rsidTr="00E0482B">
        <w:trPr>
          <w:trHeight w:val="576"/>
        </w:trPr>
        <w:tc>
          <w:tcPr>
            <w:tcW w:w="2898" w:type="dxa"/>
          </w:tcPr>
          <w:p w:rsidR="00E0482B" w:rsidRPr="00E0482B" w:rsidRDefault="00E0482B" w:rsidP="00E0482B">
            <w:pPr>
              <w:tabs>
                <w:tab w:val="left" w:pos="6660"/>
              </w:tabs>
              <w:spacing w:after="0" w:line="240" w:lineRule="auto"/>
              <w:rPr>
                <w:color w:val="000000" w:themeColor="text1"/>
                <w:szCs w:val="28"/>
              </w:rPr>
            </w:pPr>
            <w:r w:rsidRPr="00E0482B">
              <w:rPr>
                <w:color w:val="000000" w:themeColor="text1"/>
                <w:szCs w:val="28"/>
              </w:rPr>
              <w:t>Date of Judgment:</w:t>
            </w:r>
          </w:p>
        </w:tc>
        <w:tc>
          <w:tcPr>
            <w:tcW w:w="5958" w:type="dxa"/>
          </w:tcPr>
          <w:p w:rsidR="00E0482B" w:rsidRPr="00E0482B" w:rsidRDefault="004D2D59" w:rsidP="004D2D59">
            <w:pPr>
              <w:tabs>
                <w:tab w:val="left" w:pos="6660"/>
              </w:tabs>
              <w:spacing w:after="0" w:line="240" w:lineRule="auto"/>
              <w:rPr>
                <w:color w:val="000000" w:themeColor="text1"/>
                <w:szCs w:val="28"/>
              </w:rPr>
            </w:pPr>
            <w:r>
              <w:rPr>
                <w:color w:val="000000" w:themeColor="text1"/>
                <w:szCs w:val="28"/>
              </w:rPr>
              <w:t xml:space="preserve">4 October </w:t>
            </w:r>
            <w:r w:rsidR="00E0482B" w:rsidRPr="00E0482B">
              <w:rPr>
                <w:color w:val="000000" w:themeColor="text1"/>
                <w:szCs w:val="28"/>
              </w:rPr>
              <w:t>2017</w:t>
            </w:r>
          </w:p>
        </w:tc>
      </w:tr>
    </w:tbl>
    <w:p w:rsidR="00E0482B" w:rsidRPr="00B930B7" w:rsidRDefault="00E0482B" w:rsidP="00E0482B">
      <w:pPr>
        <w:pStyle w:val="Normal4"/>
        <w:rPr>
          <w:rFonts w:eastAsia="宋体"/>
          <w:b w:val="0"/>
          <w:bCs/>
          <w:lang w:eastAsia="zh-CN"/>
        </w:rPr>
      </w:pPr>
      <w:r w:rsidRPr="00B930B7">
        <w:rPr>
          <w:b w:val="0"/>
          <w:bCs/>
        </w:rPr>
        <w:t>_____________</w:t>
      </w:r>
      <w:r>
        <w:rPr>
          <w:rFonts w:eastAsia="宋体" w:hint="eastAsia"/>
          <w:b w:val="0"/>
          <w:bCs/>
          <w:lang w:eastAsia="zh-CN"/>
        </w:rPr>
        <w:t>__</w:t>
      </w:r>
      <w:r w:rsidRPr="00B930B7">
        <w:rPr>
          <w:b w:val="0"/>
          <w:bCs/>
        </w:rPr>
        <w:t>________</w:t>
      </w:r>
      <w:r w:rsidRPr="00B930B7">
        <w:rPr>
          <w:rFonts w:eastAsia="宋体"/>
          <w:b w:val="0"/>
          <w:bCs/>
          <w:lang w:eastAsia="zh-CN"/>
        </w:rPr>
        <w:t>____</w:t>
      </w:r>
    </w:p>
    <w:p w:rsidR="00E0482B" w:rsidRPr="00B930B7" w:rsidRDefault="00E0482B" w:rsidP="00E0482B">
      <w:pPr>
        <w:pStyle w:val="Normal4"/>
      </w:pPr>
    </w:p>
    <w:p w:rsidR="00E0482B" w:rsidRPr="00514AB6" w:rsidRDefault="00E0482B" w:rsidP="00E0482B">
      <w:pPr>
        <w:spacing w:after="0"/>
        <w:jc w:val="center"/>
        <w:rPr>
          <w:b/>
          <w:color w:val="000000"/>
        </w:rPr>
      </w:pPr>
      <w:r w:rsidRPr="00514AB6">
        <w:rPr>
          <w:b/>
          <w:bCs/>
          <w:spacing w:val="60"/>
        </w:rPr>
        <w:t>JUDGMENT</w:t>
      </w:r>
    </w:p>
    <w:p w:rsidR="00E0482B" w:rsidRPr="00B930B7" w:rsidRDefault="00E0482B" w:rsidP="00E0482B">
      <w:pPr>
        <w:pStyle w:val="Bob10"/>
        <w:spacing w:after="0" w:line="240" w:lineRule="auto"/>
      </w:pPr>
      <w:r w:rsidRPr="00B930B7">
        <w:t>_____________</w:t>
      </w:r>
      <w:r>
        <w:rPr>
          <w:rFonts w:eastAsia="宋体" w:hint="eastAsia"/>
        </w:rPr>
        <w:t>__</w:t>
      </w:r>
      <w:r w:rsidRPr="00B930B7">
        <w:t>____________</w:t>
      </w:r>
    </w:p>
    <w:p w:rsidR="00E0482B" w:rsidRDefault="00E0482B" w:rsidP="00E0482B">
      <w:pPr>
        <w:rPr>
          <w:szCs w:val="28"/>
        </w:rPr>
      </w:pPr>
    </w:p>
    <w:p w:rsidR="00E0482B" w:rsidRPr="00E0482B" w:rsidRDefault="00E0482B" w:rsidP="00E0482B">
      <w:pPr>
        <w:rPr>
          <w:b/>
          <w:szCs w:val="28"/>
        </w:rPr>
      </w:pPr>
      <w:r w:rsidRPr="00E0482B">
        <w:rPr>
          <w:b/>
          <w:szCs w:val="28"/>
        </w:rPr>
        <w:t xml:space="preserve">Chief Justice Ma: </w:t>
      </w:r>
    </w:p>
    <w:p w:rsidR="003A1139" w:rsidRDefault="003A1139" w:rsidP="003A1139">
      <w:pPr>
        <w:pStyle w:val="Bob1"/>
        <w:numPr>
          <w:ilvl w:val="0"/>
          <w:numId w:val="1"/>
        </w:numPr>
        <w:tabs>
          <w:tab w:val="clear" w:pos="720"/>
          <w:tab w:val="left" w:pos="1440"/>
        </w:tabs>
        <w:ind w:left="0" w:firstLine="0"/>
      </w:pPr>
      <w:r>
        <w:t>I agree with the judgment of Mr Justice Ribeiro PJ.</w:t>
      </w:r>
    </w:p>
    <w:p w:rsidR="00E0482B" w:rsidRPr="00DB40DC" w:rsidRDefault="00E0482B" w:rsidP="00E0482B">
      <w:pPr>
        <w:rPr>
          <w:szCs w:val="28"/>
        </w:rPr>
      </w:pPr>
    </w:p>
    <w:p w:rsidR="00E446B4" w:rsidRDefault="00E446B4" w:rsidP="00BD29A9">
      <w:pPr>
        <w:pStyle w:val="Bob1"/>
        <w:numPr>
          <w:ilvl w:val="0"/>
          <w:numId w:val="0"/>
        </w:numPr>
        <w:ind w:hanging="11"/>
        <w:rPr>
          <w:b/>
        </w:rPr>
      </w:pPr>
    </w:p>
    <w:p w:rsidR="006E4B5E" w:rsidRPr="00E0482B" w:rsidRDefault="006E4B5E" w:rsidP="00BD29A9">
      <w:pPr>
        <w:pStyle w:val="Bob1"/>
        <w:numPr>
          <w:ilvl w:val="0"/>
          <w:numId w:val="0"/>
        </w:numPr>
        <w:ind w:hanging="11"/>
        <w:rPr>
          <w:b/>
        </w:rPr>
      </w:pPr>
      <w:r w:rsidRPr="00E0482B">
        <w:rPr>
          <w:b/>
        </w:rPr>
        <w:lastRenderedPageBreak/>
        <w:t>Mr Justice Ribeiro PJ:</w:t>
      </w:r>
    </w:p>
    <w:p w:rsidR="00BA2958" w:rsidRPr="00687F04" w:rsidRDefault="003A0825" w:rsidP="00E0482B">
      <w:pPr>
        <w:pStyle w:val="Bob1"/>
        <w:tabs>
          <w:tab w:val="clear" w:pos="720"/>
          <w:tab w:val="num" w:pos="1440"/>
        </w:tabs>
        <w:ind w:left="0" w:firstLine="0"/>
        <w:jc w:val="both"/>
      </w:pPr>
      <w:r>
        <w:t>In t</w:t>
      </w:r>
      <w:r w:rsidR="00D505F4" w:rsidRPr="00687F04">
        <w:t xml:space="preserve">his </w:t>
      </w:r>
      <w:r w:rsidR="001E4443" w:rsidRPr="00687F04">
        <w:t>appeal</w:t>
      </w:r>
      <w:r>
        <w:t>, which</w:t>
      </w:r>
      <w:r w:rsidR="00503869" w:rsidRPr="00687F04">
        <w:t xml:space="preserve"> arises out of </w:t>
      </w:r>
      <w:r w:rsidR="00D505F4" w:rsidRPr="00687F04">
        <w:t xml:space="preserve">demonstrations mounted in a public gallery </w:t>
      </w:r>
      <w:r w:rsidR="00090F00" w:rsidRPr="00687F04">
        <w:t xml:space="preserve">during sittings of a </w:t>
      </w:r>
      <w:bookmarkStart w:id="0" w:name="_GoBack"/>
      <w:bookmarkEnd w:id="0"/>
      <w:r w:rsidR="00090F00" w:rsidRPr="00687F04">
        <w:t>subcommittee of</w:t>
      </w:r>
      <w:r w:rsidR="00D505F4" w:rsidRPr="00687F04">
        <w:t xml:space="preserve"> the Legislative Council (“</w:t>
      </w:r>
      <w:proofErr w:type="spellStart"/>
      <w:r w:rsidR="00D505F4" w:rsidRPr="00687F04">
        <w:rPr>
          <w:u w:val="single"/>
        </w:rPr>
        <w:t>LegCo</w:t>
      </w:r>
      <w:proofErr w:type="spellEnd"/>
      <w:r w:rsidR="00D505F4" w:rsidRPr="00687F04">
        <w:t>”)</w:t>
      </w:r>
      <w:r>
        <w:t>, the validity of two</w:t>
      </w:r>
      <w:r w:rsidR="00F052A3" w:rsidRPr="00687F04">
        <w:t xml:space="preserve"> Administrative Instructions regulating admittance to and conduct within </w:t>
      </w:r>
      <w:proofErr w:type="spellStart"/>
      <w:r w:rsidR="00D505F4" w:rsidRPr="00687F04">
        <w:t>LegCo’s</w:t>
      </w:r>
      <w:proofErr w:type="spellEnd"/>
      <w:r w:rsidR="00D505F4" w:rsidRPr="00687F04">
        <w:t xml:space="preserve"> </w:t>
      </w:r>
      <w:r w:rsidR="00F052A3" w:rsidRPr="00687F04">
        <w:t>precincts</w:t>
      </w:r>
      <w:r>
        <w:t xml:space="preserve"> is challenged on </w:t>
      </w:r>
      <w:r w:rsidR="001B34C5" w:rsidRPr="00687F04">
        <w:t xml:space="preserve">the basis that they infringe the </w:t>
      </w:r>
      <w:r w:rsidR="00117EAF" w:rsidRPr="00687F04">
        <w:t>right to freedom of expression</w:t>
      </w:r>
      <w:r w:rsidR="001B34C5" w:rsidRPr="00687F04">
        <w:t>.</w:t>
      </w:r>
    </w:p>
    <w:p w:rsidR="00283183" w:rsidRPr="00687F04" w:rsidRDefault="00283183" w:rsidP="00EF03FF">
      <w:pPr>
        <w:pStyle w:val="docmapheading"/>
      </w:pPr>
      <w:r w:rsidRPr="00687F04">
        <w:t>A.</w:t>
      </w:r>
      <w:r w:rsidRPr="00687F04">
        <w:tab/>
      </w:r>
      <w:r w:rsidR="00D505F4" w:rsidRPr="00687F04">
        <w:t xml:space="preserve">The </w:t>
      </w:r>
      <w:r w:rsidR="009F3E97" w:rsidRPr="00687F04">
        <w:t xml:space="preserve">relevant </w:t>
      </w:r>
      <w:r w:rsidR="00EF3D2A" w:rsidRPr="00687F04">
        <w:t>events</w:t>
      </w:r>
    </w:p>
    <w:p w:rsidR="00283183" w:rsidRPr="00E0482B" w:rsidRDefault="00335822" w:rsidP="00E0482B">
      <w:pPr>
        <w:pStyle w:val="Bob1"/>
        <w:tabs>
          <w:tab w:val="clear" w:pos="720"/>
          <w:tab w:val="left" w:pos="1440"/>
        </w:tabs>
        <w:ind w:left="0" w:firstLine="0"/>
        <w:jc w:val="both"/>
      </w:pPr>
      <w:r w:rsidRPr="00687F04">
        <w:t xml:space="preserve">The facts are not </w:t>
      </w:r>
      <w:r w:rsidR="00D032EE" w:rsidRPr="00687F04">
        <w:t>in dispute</w:t>
      </w:r>
      <w:r w:rsidRPr="00687F04">
        <w:t xml:space="preserve">.  </w:t>
      </w:r>
      <w:r w:rsidR="005437A0" w:rsidRPr="00687F04">
        <w:t>The appellant was a member of the Sai Kung District Council.  Together with two of her assistants</w:t>
      </w:r>
      <w:r w:rsidR="005437A0" w:rsidRPr="00687F04">
        <w:rPr>
          <w:rStyle w:val="FootnoteReference"/>
        </w:rPr>
        <w:footnoteReference w:id="1"/>
      </w:r>
      <w:r w:rsidR="005437A0" w:rsidRPr="00687F04">
        <w:t xml:space="preserve"> </w:t>
      </w:r>
      <w:r w:rsidR="00950901" w:rsidRPr="00687F04">
        <w:t xml:space="preserve">and several others, </w:t>
      </w:r>
      <w:r w:rsidR="005437A0" w:rsidRPr="00687F04">
        <w:t xml:space="preserve">she attended meetings of </w:t>
      </w:r>
      <w:proofErr w:type="spellStart"/>
      <w:r w:rsidR="005437A0" w:rsidRPr="00687F04">
        <w:t>LegCo’s</w:t>
      </w:r>
      <w:proofErr w:type="spellEnd"/>
      <w:r w:rsidR="005437A0" w:rsidRPr="00687F04">
        <w:t xml:space="preserve"> Pu</w:t>
      </w:r>
      <w:r w:rsidR="00E0482B">
        <w:t>blic Works Subcommittee held on </w:t>
      </w:r>
      <w:r w:rsidR="005437A0" w:rsidRPr="00687F04">
        <w:t xml:space="preserve">7 and 13 May 2014 respectively </w:t>
      </w:r>
      <w:r w:rsidR="006C5F9C" w:rsidRPr="00687F04">
        <w:t xml:space="preserve">when </w:t>
      </w:r>
      <w:r w:rsidR="005437A0" w:rsidRPr="00687F04">
        <w:t xml:space="preserve">a project for </w:t>
      </w:r>
      <w:r w:rsidR="00EA6363" w:rsidRPr="00687F04">
        <w:t xml:space="preserve">extending </w:t>
      </w:r>
      <w:r w:rsidR="005437A0" w:rsidRPr="00687F04">
        <w:t xml:space="preserve">the South-East New Territories landfill </w:t>
      </w:r>
      <w:r w:rsidR="006C5F9C" w:rsidRPr="00687F04">
        <w:t xml:space="preserve">was </w:t>
      </w:r>
      <w:r w:rsidR="005437A0" w:rsidRPr="00687F04">
        <w:t xml:space="preserve">discussed.  </w:t>
      </w:r>
      <w:r w:rsidR="00074CCB" w:rsidRPr="00687F04">
        <w:t xml:space="preserve">It was a project which she </w:t>
      </w:r>
      <w:r w:rsidR="00EA6363" w:rsidRPr="00687F04">
        <w:t xml:space="preserve">and fellow residents </w:t>
      </w:r>
      <w:r w:rsidR="006E4B5E" w:rsidRPr="00687F04">
        <w:t xml:space="preserve">strongly </w:t>
      </w:r>
      <w:r w:rsidR="00074CCB" w:rsidRPr="00687F04">
        <w:t>opposed.</w:t>
      </w:r>
    </w:p>
    <w:p w:rsidR="00950901" w:rsidRDefault="00074CCB" w:rsidP="00E0482B">
      <w:pPr>
        <w:pStyle w:val="Bob1"/>
        <w:tabs>
          <w:tab w:val="clear" w:pos="720"/>
          <w:tab w:val="left" w:pos="1440"/>
        </w:tabs>
        <w:ind w:left="0" w:firstLine="0"/>
        <w:jc w:val="both"/>
      </w:pPr>
      <w:r w:rsidRPr="00687F04">
        <w:t>O</w:t>
      </w:r>
      <w:r w:rsidR="00950901" w:rsidRPr="00687F04">
        <w:t>n each occasion</w:t>
      </w:r>
      <w:r w:rsidRPr="00687F04">
        <w:t>, she was</w:t>
      </w:r>
      <w:r w:rsidR="00950901" w:rsidRPr="00687F04">
        <w:t xml:space="preserve"> admitted to the public gallery above </w:t>
      </w:r>
      <w:r w:rsidR="006C5F9C" w:rsidRPr="00687F04">
        <w:t>C</w:t>
      </w:r>
      <w:r w:rsidR="00950901" w:rsidRPr="00687F04">
        <w:t xml:space="preserve">onference </w:t>
      </w:r>
      <w:r w:rsidR="006C5F9C" w:rsidRPr="00687F04">
        <w:t>R</w:t>
      </w:r>
      <w:r w:rsidR="00950901" w:rsidRPr="00687F04">
        <w:t xml:space="preserve">oom </w:t>
      </w:r>
      <w:r w:rsidR="006C5F9C" w:rsidRPr="00687F04">
        <w:t xml:space="preserve">1 in the </w:t>
      </w:r>
      <w:proofErr w:type="spellStart"/>
      <w:r w:rsidR="006C5F9C" w:rsidRPr="00687F04">
        <w:t>LegCo</w:t>
      </w:r>
      <w:proofErr w:type="spellEnd"/>
      <w:r w:rsidR="006C5F9C" w:rsidRPr="00687F04">
        <w:t xml:space="preserve"> complex </w:t>
      </w:r>
      <w:r w:rsidR="00335822" w:rsidRPr="00687F04">
        <w:t xml:space="preserve">where </w:t>
      </w:r>
      <w:r w:rsidR="00950901" w:rsidRPr="00687F04">
        <w:t xml:space="preserve">the meeting was being held.  At the first meeting, she </w:t>
      </w:r>
      <w:r w:rsidR="00335822" w:rsidRPr="00687F04">
        <w:t xml:space="preserve">removed her jacket so that </w:t>
      </w:r>
      <w:r w:rsidR="006C5F9C" w:rsidRPr="00687F04">
        <w:t xml:space="preserve">the </w:t>
      </w:r>
      <w:r w:rsidR="001A1BB3">
        <w:t xml:space="preserve">characters </w:t>
      </w:r>
      <w:r w:rsidR="001A1BB3">
        <w:rPr>
          <w:rFonts w:hint="eastAsia"/>
        </w:rPr>
        <w:t>保衛將軍澳</w:t>
      </w:r>
      <w:r w:rsidR="001A1BB3">
        <w:t xml:space="preserve"> </w:t>
      </w:r>
      <w:r w:rsidR="001A1BB3">
        <w:rPr>
          <w:rFonts w:hint="eastAsia"/>
        </w:rPr>
        <w:t>(</w:t>
      </w:r>
      <w:r w:rsidR="001A1BB3">
        <w:t>“</w:t>
      </w:r>
      <w:r w:rsidR="006C5F9C" w:rsidRPr="00687F04">
        <w:t xml:space="preserve">Defend </w:t>
      </w:r>
      <w:proofErr w:type="spellStart"/>
      <w:r w:rsidR="006C5F9C" w:rsidRPr="00687F04">
        <w:t>Tseung</w:t>
      </w:r>
      <w:proofErr w:type="spellEnd"/>
      <w:r w:rsidR="006C5F9C" w:rsidRPr="00687F04">
        <w:t xml:space="preserve"> Kwan O”</w:t>
      </w:r>
      <w:r w:rsidR="001A1BB3">
        <w:t>)</w:t>
      </w:r>
      <w:r w:rsidR="00335822" w:rsidRPr="00687F04">
        <w:t xml:space="preserve"> were displayed on the T-shirt that she was wearing.  She </w:t>
      </w:r>
      <w:r w:rsidR="006C5F9C" w:rsidRPr="00687F04">
        <w:t xml:space="preserve">also </w:t>
      </w:r>
      <w:r w:rsidR="00335822" w:rsidRPr="00687F04">
        <w:t xml:space="preserve">handed to </w:t>
      </w:r>
      <w:r w:rsidR="0078384D" w:rsidRPr="00687F04">
        <w:t xml:space="preserve">Cheung Mei-hung, </w:t>
      </w:r>
      <w:r w:rsidR="00335822" w:rsidRPr="00687F04">
        <w:t>one of her assistants</w:t>
      </w:r>
      <w:r w:rsidR="0078384D" w:rsidRPr="00687F04">
        <w:t>,</w:t>
      </w:r>
      <w:r w:rsidR="00335822" w:rsidRPr="00687F04">
        <w:t xml:space="preserve"> a paper </w:t>
      </w:r>
      <w:r w:rsidR="005726FC">
        <w:t xml:space="preserve">poster </w:t>
      </w:r>
      <w:r w:rsidR="00335822" w:rsidRPr="00687F04">
        <w:t xml:space="preserve">depicting a Nazi Swastika </w:t>
      </w:r>
      <w:r w:rsidR="001A1BB3">
        <w:t>with</w:t>
      </w:r>
      <w:r w:rsidR="00335822" w:rsidRPr="00687F04">
        <w:t xml:space="preserve"> the </w:t>
      </w:r>
      <w:r w:rsidR="001A1BB3">
        <w:t xml:space="preserve">characters </w:t>
      </w:r>
      <w:r w:rsidR="00335822" w:rsidRPr="00687F04">
        <w:t>毒氣集中營</w:t>
      </w:r>
      <w:r w:rsidR="00335822" w:rsidRPr="00687F04">
        <w:t xml:space="preserve"> – </w:t>
      </w:r>
      <w:r w:rsidR="00335822" w:rsidRPr="00687F04">
        <w:t>堆填區</w:t>
      </w:r>
      <w:r w:rsidR="00335822" w:rsidRPr="00687F04">
        <w:t xml:space="preserve"> (</w:t>
      </w:r>
      <w:r w:rsidRPr="00687F04">
        <w:t>“</w:t>
      </w:r>
      <w:r w:rsidR="00335822" w:rsidRPr="00687F04">
        <w:t xml:space="preserve">Poison Gas Concentration Camp </w:t>
      </w:r>
      <w:r w:rsidRPr="00687F04">
        <w:t>–</w:t>
      </w:r>
      <w:r w:rsidR="00335822" w:rsidRPr="00687F04">
        <w:t xml:space="preserve"> Landfill</w:t>
      </w:r>
      <w:r w:rsidRPr="00687F04">
        <w:t>”</w:t>
      </w:r>
      <w:r w:rsidR="00335822" w:rsidRPr="00687F04">
        <w:t xml:space="preserve">) which he </w:t>
      </w:r>
      <w:r w:rsidR="006D4A9F" w:rsidRPr="00687F04">
        <w:t>displayed by</w:t>
      </w:r>
      <w:r w:rsidR="00EA6363" w:rsidRPr="00687F04">
        <w:t xml:space="preserve"> holding it</w:t>
      </w:r>
      <w:r w:rsidR="00335822" w:rsidRPr="00687F04">
        <w:t xml:space="preserve"> against the glass panel </w:t>
      </w:r>
      <w:r w:rsidR="00EA6363" w:rsidRPr="00687F04">
        <w:t xml:space="preserve">which walled </w:t>
      </w:r>
      <w:r w:rsidR="00335822" w:rsidRPr="00687F04">
        <w:t xml:space="preserve">off the public gallery above the conference room.  This led to a commotion as security guards </w:t>
      </w:r>
      <w:r w:rsidR="00D032EE" w:rsidRPr="00687F04">
        <w:t>sought to seize the sign, leading to one guard sustaining bruising on her left wrist.  The incident caused the Subcommittee’s meeting to be prematurely adjourned.</w:t>
      </w:r>
    </w:p>
    <w:p w:rsidR="00D032EE" w:rsidRPr="00687F04" w:rsidRDefault="00D032EE" w:rsidP="00E0482B">
      <w:pPr>
        <w:pStyle w:val="Bob1"/>
        <w:tabs>
          <w:tab w:val="clear" w:pos="720"/>
          <w:tab w:val="left" w:pos="1440"/>
        </w:tabs>
        <w:ind w:left="0" w:firstLine="0"/>
        <w:jc w:val="both"/>
      </w:pPr>
      <w:r w:rsidRPr="00687F04">
        <w:lastRenderedPageBreak/>
        <w:t xml:space="preserve">At the second meeting, the appellant and </w:t>
      </w:r>
      <w:r w:rsidR="0035271F" w:rsidRPr="00687F04">
        <w:t xml:space="preserve">several </w:t>
      </w:r>
      <w:r w:rsidRPr="00687F04">
        <w:t>others in the public gallery chanted slogans</w:t>
      </w:r>
      <w:r w:rsidR="0035271F" w:rsidRPr="00687F04">
        <w:t xml:space="preserve"> opposing the project</w:t>
      </w:r>
      <w:r w:rsidRPr="00687F04">
        <w:t xml:space="preserve">, causing the Subcommittee’s chairman to </w:t>
      </w:r>
      <w:r w:rsidR="0035271F" w:rsidRPr="00687F04">
        <w:t xml:space="preserve">warn them </w:t>
      </w:r>
      <w:r w:rsidRPr="00687F04">
        <w:t>that they would be ejected if they did not stop.  As the</w:t>
      </w:r>
      <w:r w:rsidR="00167D31" w:rsidRPr="00687F04">
        <w:t xml:space="preserve"> warnings </w:t>
      </w:r>
      <w:r w:rsidR="00686FC5" w:rsidRPr="00687F04">
        <w:t xml:space="preserve">were ignored </w:t>
      </w:r>
      <w:r w:rsidR="00167D31" w:rsidRPr="00687F04">
        <w:t xml:space="preserve">and </w:t>
      </w:r>
      <w:r w:rsidR="00686FC5" w:rsidRPr="00687F04">
        <w:t xml:space="preserve">as the appellant and others </w:t>
      </w:r>
      <w:r w:rsidRPr="00687F04">
        <w:t>link</w:t>
      </w:r>
      <w:r w:rsidR="00167D31" w:rsidRPr="00687F04">
        <w:t>ed</w:t>
      </w:r>
      <w:r w:rsidRPr="00687F04">
        <w:t xml:space="preserve"> arms to resist ejectment, the </w:t>
      </w:r>
      <w:r w:rsidR="00912870" w:rsidRPr="00687F04">
        <w:t>meeting</w:t>
      </w:r>
      <w:r w:rsidRPr="00687F04">
        <w:t xml:space="preserve"> was </w:t>
      </w:r>
      <w:r w:rsidR="00912870" w:rsidRPr="00687F04">
        <w:t>stood down and reconvened in a different conference room about an hour later</w:t>
      </w:r>
      <w:r w:rsidR="00074CCB" w:rsidRPr="00687F04">
        <w:t xml:space="preserve"> with the public excluded from attendance</w:t>
      </w:r>
      <w:r w:rsidR="00912870" w:rsidRPr="00687F04">
        <w:t>.</w:t>
      </w:r>
      <w:r w:rsidR="00AD28F0" w:rsidRPr="00687F04">
        <w:rPr>
          <w:rStyle w:val="FootnoteReference"/>
        </w:rPr>
        <w:footnoteReference w:id="2"/>
      </w:r>
    </w:p>
    <w:p w:rsidR="009F3E97" w:rsidRPr="00687F04" w:rsidRDefault="009F3E97" w:rsidP="00EF03FF">
      <w:pPr>
        <w:pStyle w:val="docmapheading"/>
      </w:pPr>
      <w:r w:rsidRPr="00687F04">
        <w:t>B.</w:t>
      </w:r>
      <w:r w:rsidRPr="00687F04">
        <w:tab/>
        <w:t>The charges</w:t>
      </w:r>
      <w:r w:rsidR="00CC75BF" w:rsidRPr="00687F04">
        <w:t xml:space="preserve"> and the decisions below</w:t>
      </w:r>
    </w:p>
    <w:p w:rsidR="00167D31" w:rsidRPr="00687F04" w:rsidRDefault="00167D31" w:rsidP="00EF03FF">
      <w:pPr>
        <w:pStyle w:val="Bob1"/>
        <w:tabs>
          <w:tab w:val="clear" w:pos="720"/>
          <w:tab w:val="left" w:pos="1440"/>
        </w:tabs>
        <w:spacing w:after="120"/>
        <w:ind w:left="0" w:firstLine="0"/>
        <w:jc w:val="both"/>
      </w:pPr>
      <w:r w:rsidRPr="00687F04">
        <w:t>Section 8 of the Legislative Council (Powers and Privileges) Ordinance (“</w:t>
      </w:r>
      <w:r w:rsidR="00DF5EC9" w:rsidRPr="00687F04">
        <w:rPr>
          <w:u w:val="single"/>
        </w:rPr>
        <w:t>LCPPO</w:t>
      </w:r>
      <w:r w:rsidRPr="00687F04">
        <w:t>”)</w:t>
      </w:r>
      <w:r w:rsidRPr="00687F04">
        <w:rPr>
          <w:rStyle w:val="FootnoteReference"/>
        </w:rPr>
        <w:footnoteReference w:id="3"/>
      </w:r>
      <w:r w:rsidRPr="00687F04">
        <w:t xml:space="preserve"> regulates the admittance of persons to the </w:t>
      </w:r>
      <w:proofErr w:type="spellStart"/>
      <w:r w:rsidRPr="00687F04">
        <w:t>LegCo</w:t>
      </w:r>
      <w:proofErr w:type="spellEnd"/>
      <w:r w:rsidRPr="00687F04">
        <w:t xml:space="preserve"> complex.  </w:t>
      </w:r>
      <w:r w:rsidR="009F3E97" w:rsidRPr="00687F04">
        <w:t>S</w:t>
      </w:r>
      <w:r w:rsidRPr="00687F04">
        <w:t>ection 8(3)</w:t>
      </w:r>
      <w:r w:rsidR="009F3E97" w:rsidRPr="00687F04">
        <w:t xml:space="preserve"> provides that</w:t>
      </w:r>
      <w:r w:rsidRPr="00687F04">
        <w:t xml:space="preserve"> the President may: </w:t>
      </w:r>
    </w:p>
    <w:p w:rsidR="00167D31" w:rsidRPr="00687F04" w:rsidRDefault="00167D31" w:rsidP="00E0482B">
      <w:pPr>
        <w:pStyle w:val="Bob1"/>
        <w:numPr>
          <w:ilvl w:val="0"/>
          <w:numId w:val="0"/>
        </w:numPr>
        <w:spacing w:line="240" w:lineRule="auto"/>
        <w:ind w:left="720"/>
        <w:jc w:val="both"/>
        <w:rPr>
          <w:sz w:val="24"/>
        </w:rPr>
      </w:pPr>
      <w:r w:rsidRPr="00687F04">
        <w:rPr>
          <w:sz w:val="24"/>
        </w:rPr>
        <w:t>“... for the purpose of maintaining the security of the precincts of the Chamber, ensuring the proper behaviour and decorum of persons therein and for other administrative purposes, issue such administrative instructions as he may deem necessary or expedient for regulating the admittance of persons (other than members or officers of the Council) to, and the conduct of such persons within, the Chamber and the precincts of the Chamber.”</w:t>
      </w:r>
    </w:p>
    <w:p w:rsidR="00765A3A" w:rsidRDefault="00765A3A" w:rsidP="00E0482B">
      <w:pPr>
        <w:pStyle w:val="Bob1"/>
        <w:tabs>
          <w:tab w:val="clear" w:pos="720"/>
          <w:tab w:val="left" w:pos="1440"/>
        </w:tabs>
        <w:ind w:left="0" w:firstLine="0"/>
        <w:jc w:val="both"/>
      </w:pPr>
      <w:r w:rsidRPr="00687F04">
        <w:t xml:space="preserve">By </w:t>
      </w:r>
      <w:r w:rsidR="00DF5EC9" w:rsidRPr="00687F04">
        <w:t>LCPPO</w:t>
      </w:r>
      <w:r w:rsidRPr="00687F04">
        <w:t xml:space="preserve"> section 20(b), contravention of such an administrative instruction or any direction given thereunder is made an offence punishable by a fine of $2,000 and imprisonment for 3 months.</w:t>
      </w:r>
    </w:p>
    <w:p w:rsidR="009F3E97" w:rsidRPr="00687F04" w:rsidRDefault="009F3E97" w:rsidP="00EF03FF">
      <w:pPr>
        <w:pStyle w:val="Bob1"/>
        <w:tabs>
          <w:tab w:val="clear" w:pos="720"/>
          <w:tab w:val="left" w:pos="1440"/>
        </w:tabs>
        <w:spacing w:after="120"/>
        <w:ind w:left="0" w:firstLine="0"/>
        <w:jc w:val="both"/>
      </w:pPr>
      <w:r w:rsidRPr="00687F04">
        <w:t xml:space="preserve">Pursuant to section 8(3), the President issued </w:t>
      </w:r>
      <w:r w:rsidR="00385420" w:rsidRPr="00687F04">
        <w:t xml:space="preserve">the </w:t>
      </w:r>
      <w:r w:rsidRPr="00687F04">
        <w:t>Administrative Instructions for Regulating A</w:t>
      </w:r>
      <w:r w:rsidR="006C1F04">
        <w:t>dmittance and Conduct of Person</w:t>
      </w:r>
      <w:r w:rsidRPr="00687F04">
        <w:rPr>
          <w:rStyle w:val="FootnoteReference"/>
        </w:rPr>
        <w:footnoteReference w:id="4"/>
      </w:r>
      <w:r w:rsidRPr="00687F04">
        <w:t xml:space="preserve"> (“</w:t>
      </w:r>
      <w:r w:rsidRPr="00E0482B">
        <w:rPr>
          <w:u w:val="single"/>
        </w:rPr>
        <w:t>Administrative Instructions</w:t>
      </w:r>
      <w:r w:rsidRPr="00687F04">
        <w:t xml:space="preserve">”) </w:t>
      </w:r>
      <w:r w:rsidR="00385420" w:rsidRPr="00687F04">
        <w:t xml:space="preserve">which </w:t>
      </w:r>
      <w:r w:rsidRPr="00687F04">
        <w:t>includ</w:t>
      </w:r>
      <w:r w:rsidR="00385420" w:rsidRPr="00687F04">
        <w:t>e</w:t>
      </w:r>
      <w:r w:rsidRPr="00687F04">
        <w:t xml:space="preserve"> the </w:t>
      </w:r>
      <w:r w:rsidR="005726FC">
        <w:t xml:space="preserve">following </w:t>
      </w:r>
      <w:r w:rsidR="00AD28F0" w:rsidRPr="00687F04">
        <w:t xml:space="preserve">provisions </w:t>
      </w:r>
      <w:r w:rsidR="005726FC">
        <w:t xml:space="preserve">which are </w:t>
      </w:r>
      <w:r w:rsidR="00AD28F0" w:rsidRPr="00687F04">
        <w:t>under challenge</w:t>
      </w:r>
      <w:r w:rsidRPr="00687F04">
        <w:t>:</w:t>
      </w:r>
    </w:p>
    <w:p w:rsidR="009F3E97" w:rsidRPr="00687F04" w:rsidRDefault="009F3E97" w:rsidP="00E0482B">
      <w:pPr>
        <w:pStyle w:val="Bob1"/>
        <w:numPr>
          <w:ilvl w:val="0"/>
          <w:numId w:val="0"/>
        </w:numPr>
        <w:spacing w:line="240" w:lineRule="auto"/>
        <w:ind w:left="720"/>
        <w:jc w:val="both"/>
        <w:rPr>
          <w:sz w:val="24"/>
        </w:rPr>
      </w:pPr>
      <w:r w:rsidRPr="00687F04">
        <w:rPr>
          <w:sz w:val="24"/>
        </w:rPr>
        <w:t>“Section 11: Requirement for orderly behaviour</w:t>
      </w:r>
      <w:r w:rsidR="00CC75BF" w:rsidRPr="00687F04">
        <w:rPr>
          <w:sz w:val="24"/>
        </w:rPr>
        <w:t xml:space="preserve"> (</w:t>
      </w:r>
      <w:r w:rsidR="003421F1">
        <w:rPr>
          <w:sz w:val="24"/>
        </w:rPr>
        <w:t>‘</w:t>
      </w:r>
      <w:r w:rsidR="00CC75BF" w:rsidRPr="00687F04">
        <w:rPr>
          <w:sz w:val="24"/>
          <w:u w:val="single"/>
        </w:rPr>
        <w:t>AI section 11</w:t>
      </w:r>
      <w:r w:rsidR="003421F1">
        <w:rPr>
          <w:sz w:val="24"/>
        </w:rPr>
        <w:t>’</w:t>
      </w:r>
      <w:r w:rsidR="00CC75BF" w:rsidRPr="00687F04">
        <w:rPr>
          <w:sz w:val="24"/>
        </w:rPr>
        <w:t>)</w:t>
      </w:r>
    </w:p>
    <w:p w:rsidR="009F3E97" w:rsidRPr="00687F04" w:rsidRDefault="009F3E97" w:rsidP="00E0482B">
      <w:pPr>
        <w:pStyle w:val="Bob1"/>
        <w:numPr>
          <w:ilvl w:val="0"/>
          <w:numId w:val="0"/>
        </w:numPr>
        <w:spacing w:line="240" w:lineRule="auto"/>
        <w:ind w:left="720"/>
        <w:jc w:val="both"/>
        <w:rPr>
          <w:sz w:val="24"/>
          <w:u w:val="single"/>
        </w:rPr>
      </w:pPr>
      <w:r w:rsidRPr="00687F04">
        <w:rPr>
          <w:sz w:val="24"/>
        </w:rPr>
        <w:t xml:space="preserve">Persons entering or within the precincts of the Chamber shall behave in an orderly manner and comply with any direction given by any officer of the Council for the purpose of keeping order. </w:t>
      </w:r>
    </w:p>
    <w:p w:rsidR="009F3E97" w:rsidRPr="00687F04" w:rsidRDefault="009F3E97" w:rsidP="00E0482B">
      <w:pPr>
        <w:pStyle w:val="Bob1"/>
        <w:numPr>
          <w:ilvl w:val="0"/>
          <w:numId w:val="0"/>
        </w:numPr>
        <w:spacing w:line="240" w:lineRule="auto"/>
        <w:ind w:left="720"/>
        <w:jc w:val="both"/>
        <w:rPr>
          <w:sz w:val="24"/>
        </w:rPr>
      </w:pPr>
      <w:r w:rsidRPr="00687F04">
        <w:rPr>
          <w:sz w:val="24"/>
        </w:rPr>
        <w:lastRenderedPageBreak/>
        <w:t>Section 12: Conduct in galleries</w:t>
      </w:r>
      <w:r w:rsidR="003421F1">
        <w:rPr>
          <w:sz w:val="24"/>
        </w:rPr>
        <w:t xml:space="preserve"> (‘</w:t>
      </w:r>
      <w:r w:rsidR="00CC75BF" w:rsidRPr="00687F04">
        <w:rPr>
          <w:sz w:val="24"/>
          <w:u w:val="single"/>
        </w:rPr>
        <w:t>AI section 12</w:t>
      </w:r>
      <w:r w:rsidR="003421F1">
        <w:rPr>
          <w:sz w:val="24"/>
        </w:rPr>
        <w:t>’</w:t>
      </w:r>
      <w:r w:rsidR="00CC75BF" w:rsidRPr="00687F04">
        <w:rPr>
          <w:sz w:val="24"/>
        </w:rPr>
        <w:t>)</w:t>
      </w:r>
    </w:p>
    <w:p w:rsidR="009F3E97" w:rsidRPr="00687F04" w:rsidRDefault="009F3E97" w:rsidP="00E0482B">
      <w:pPr>
        <w:pStyle w:val="Bob1"/>
        <w:numPr>
          <w:ilvl w:val="0"/>
          <w:numId w:val="0"/>
        </w:numPr>
        <w:spacing w:line="240" w:lineRule="auto"/>
        <w:ind w:left="1440" w:hanging="720"/>
        <w:jc w:val="both"/>
        <w:rPr>
          <w:sz w:val="24"/>
        </w:rPr>
      </w:pPr>
      <w:r w:rsidRPr="00687F04">
        <w:rPr>
          <w:sz w:val="24"/>
        </w:rPr>
        <w:t xml:space="preserve">(1) </w:t>
      </w:r>
      <w:r w:rsidRPr="00687F04">
        <w:rPr>
          <w:sz w:val="24"/>
        </w:rPr>
        <w:tab/>
        <w:t>No person shall, in a press or public gallery, display any sign, message or banner.</w:t>
      </w:r>
    </w:p>
    <w:p w:rsidR="009F3E97" w:rsidRPr="00687F04" w:rsidRDefault="009F3E97" w:rsidP="00E0482B">
      <w:pPr>
        <w:pStyle w:val="Bob1"/>
        <w:numPr>
          <w:ilvl w:val="0"/>
          <w:numId w:val="0"/>
        </w:numPr>
        <w:spacing w:line="240" w:lineRule="auto"/>
        <w:ind w:left="1440" w:hanging="720"/>
        <w:jc w:val="both"/>
        <w:rPr>
          <w:sz w:val="24"/>
        </w:rPr>
      </w:pPr>
      <w:r w:rsidRPr="00687F04">
        <w:rPr>
          <w:sz w:val="24"/>
        </w:rPr>
        <w:t xml:space="preserve">(2) </w:t>
      </w:r>
      <w:r w:rsidRPr="00687F04">
        <w:rPr>
          <w:sz w:val="24"/>
        </w:rPr>
        <w:tab/>
        <w:t>No person shall, in a press or public gallery, display any sign or message on any item of clothing.</w:t>
      </w:r>
    </w:p>
    <w:p w:rsidR="009F3E97" w:rsidRPr="00687F04" w:rsidRDefault="009F3E97" w:rsidP="00E0482B">
      <w:pPr>
        <w:pStyle w:val="Bob1"/>
        <w:numPr>
          <w:ilvl w:val="0"/>
          <w:numId w:val="0"/>
        </w:numPr>
        <w:spacing w:line="240" w:lineRule="auto"/>
        <w:ind w:left="1440" w:hanging="720"/>
        <w:jc w:val="both"/>
        <w:rPr>
          <w:sz w:val="24"/>
        </w:rPr>
      </w:pPr>
      <w:r w:rsidRPr="00687F04">
        <w:rPr>
          <w:sz w:val="24"/>
        </w:rPr>
        <w:t xml:space="preserve">(3) </w:t>
      </w:r>
      <w:r w:rsidRPr="00687F04">
        <w:rPr>
          <w:sz w:val="24"/>
        </w:rPr>
        <w:tab/>
        <w:t>An officer of the Council may refuse admission to a press or public gallery to any person displaying any sign, message or banner, or to any person displaying any sign or message on any item of clothing, or to any person who, in the opinion of an officer of the Council, may so display any sign, message or banner, may so display any sign or message on any item of clothing or may otherwise behave in a disorderly manner. ...”</w:t>
      </w:r>
    </w:p>
    <w:p w:rsidR="009F3E97" w:rsidRDefault="00CC75BF" w:rsidP="00E0482B">
      <w:pPr>
        <w:pStyle w:val="Bob1"/>
        <w:tabs>
          <w:tab w:val="clear" w:pos="720"/>
          <w:tab w:val="left" w:pos="1440"/>
        </w:tabs>
        <w:ind w:left="0" w:firstLine="0"/>
        <w:jc w:val="both"/>
      </w:pPr>
      <w:r w:rsidRPr="00687F04">
        <w:t xml:space="preserve">The appellant was charged </w:t>
      </w:r>
      <w:r w:rsidR="00CF7779" w:rsidRPr="00687F04">
        <w:t xml:space="preserve">jointly </w:t>
      </w:r>
      <w:r w:rsidRPr="00687F04">
        <w:t>with Cheung Mei-hung w</w:t>
      </w:r>
      <w:r w:rsidR="00C14C93">
        <w:t>ith contravening AI section 12(1</w:t>
      </w:r>
      <w:r w:rsidRPr="00687F04">
        <w:t xml:space="preserve">) at the 7 May 2014 </w:t>
      </w:r>
      <w:r w:rsidR="00CF7779" w:rsidRPr="00687F04">
        <w:t xml:space="preserve">meeting of the Subcommittee </w:t>
      </w:r>
      <w:r w:rsidRPr="00687F04">
        <w:t>“in that they displayed sign and message</w:t>
      </w:r>
      <w:r w:rsidR="00AD28F0" w:rsidRPr="00687F04">
        <w:t xml:space="preserve"> </w:t>
      </w:r>
      <w:r w:rsidRPr="00687F04">
        <w:t xml:space="preserve">in the public gallery”.  They were also charged with contravening AI section 11 </w:t>
      </w:r>
      <w:r w:rsidR="00CF7779" w:rsidRPr="00687F04">
        <w:t xml:space="preserve">at the 13 May 2014 meeting </w:t>
      </w:r>
      <w:r w:rsidRPr="00687F04">
        <w:t>“in that they failed to behave in an orderly manner within the precincts of the Chamber of the Legislative Council”.</w:t>
      </w:r>
    </w:p>
    <w:p w:rsidR="00CC75BF" w:rsidRPr="00687F04" w:rsidRDefault="00F420EB" w:rsidP="00EF03FF">
      <w:pPr>
        <w:pStyle w:val="Bob1"/>
        <w:tabs>
          <w:tab w:val="clear" w:pos="720"/>
          <w:tab w:val="left" w:pos="1440"/>
        </w:tabs>
        <w:spacing w:after="120"/>
        <w:ind w:left="0" w:firstLine="0"/>
        <w:jc w:val="both"/>
      </w:pPr>
      <w:r w:rsidRPr="00687F04">
        <w:t>The appellant wa</w:t>
      </w:r>
      <w:r w:rsidR="006C1F04">
        <w:t>s convicted after trial by the M</w:t>
      </w:r>
      <w:r w:rsidRPr="00687F04">
        <w:t>agistrate</w:t>
      </w:r>
      <w:r w:rsidRPr="00687F04">
        <w:rPr>
          <w:rStyle w:val="FootnoteReference"/>
        </w:rPr>
        <w:footnoteReference w:id="5"/>
      </w:r>
      <w:r w:rsidRPr="00687F04">
        <w:t xml:space="preserve"> and fined $1,000 on each charge.  Her appeal was dismissed by Wong J</w:t>
      </w:r>
      <w:r w:rsidRPr="00687F04">
        <w:rPr>
          <w:rStyle w:val="FootnoteReference"/>
        </w:rPr>
        <w:footnoteReference w:id="6"/>
      </w:r>
      <w:r w:rsidR="000A34F8" w:rsidRPr="00687F04">
        <w:t xml:space="preserve"> who certified the following questions</w:t>
      </w:r>
      <w:r w:rsidR="00F75AC8" w:rsidRPr="00687F04">
        <w:t>, reflecting the appellant’s constitutional challenge,</w:t>
      </w:r>
      <w:r w:rsidR="000A34F8" w:rsidRPr="00687F04">
        <w:t xml:space="preserve"> as raising points of law of great and general importance, namely:</w:t>
      </w:r>
    </w:p>
    <w:p w:rsidR="000A34F8" w:rsidRPr="00687F04" w:rsidRDefault="00550B22" w:rsidP="00E0482B">
      <w:pPr>
        <w:pStyle w:val="Bob1"/>
        <w:numPr>
          <w:ilvl w:val="0"/>
          <w:numId w:val="0"/>
        </w:numPr>
        <w:spacing w:line="240" w:lineRule="auto"/>
        <w:ind w:left="1440" w:hanging="720"/>
        <w:jc w:val="both"/>
        <w:rPr>
          <w:sz w:val="24"/>
        </w:rPr>
      </w:pPr>
      <w:r w:rsidRPr="00687F04">
        <w:rPr>
          <w:sz w:val="24"/>
        </w:rPr>
        <w:t>(1)</w:t>
      </w:r>
      <w:r w:rsidRPr="00687F04">
        <w:rPr>
          <w:sz w:val="24"/>
        </w:rPr>
        <w:tab/>
      </w:r>
      <w:r w:rsidR="000A34F8" w:rsidRPr="00687F04">
        <w:rPr>
          <w:sz w:val="24"/>
        </w:rPr>
        <w:t>Whether the enactment of section 11 of the Administrative Instructions for Regulating Admittance and Conduct of Persons pursuant to section 20(b) of the Legislative Council (Powers and Privileges) Ordinance (Cap 382) is inconsistent with the principle of freedom of speech guaranteed by article 27 of the Basic Law and article 16 of the Bill of Rights, which rendered section 11 unconstitutional?</w:t>
      </w:r>
    </w:p>
    <w:p w:rsidR="000A34F8" w:rsidRPr="00687F04" w:rsidRDefault="00550B22" w:rsidP="00E0482B">
      <w:pPr>
        <w:pStyle w:val="Bob1"/>
        <w:numPr>
          <w:ilvl w:val="0"/>
          <w:numId w:val="0"/>
        </w:numPr>
        <w:spacing w:line="240" w:lineRule="auto"/>
        <w:ind w:left="1440" w:hanging="720"/>
        <w:jc w:val="both"/>
        <w:rPr>
          <w:sz w:val="24"/>
        </w:rPr>
      </w:pPr>
      <w:r w:rsidRPr="00687F04">
        <w:rPr>
          <w:sz w:val="24"/>
        </w:rPr>
        <w:t>(2)</w:t>
      </w:r>
      <w:r w:rsidRPr="00687F04">
        <w:rPr>
          <w:sz w:val="24"/>
        </w:rPr>
        <w:tab/>
      </w:r>
      <w:r w:rsidR="000A34F8" w:rsidRPr="00687F04">
        <w:rPr>
          <w:sz w:val="24"/>
        </w:rPr>
        <w:t>The same question ... in respect of section 12(1) of the Administrative Instructions for Regulating Adm</w:t>
      </w:r>
      <w:r w:rsidRPr="00687F04">
        <w:rPr>
          <w:sz w:val="24"/>
        </w:rPr>
        <w:t>ittance and Conduct of Persons.</w:t>
      </w:r>
    </w:p>
    <w:p w:rsidR="000A34F8" w:rsidRPr="00687F04" w:rsidRDefault="000A34F8" w:rsidP="00E0482B">
      <w:pPr>
        <w:pStyle w:val="Bob1"/>
        <w:tabs>
          <w:tab w:val="clear" w:pos="720"/>
          <w:tab w:val="left" w:pos="1440"/>
        </w:tabs>
        <w:ind w:left="0" w:firstLine="0"/>
      </w:pPr>
      <w:r w:rsidRPr="00687F04">
        <w:lastRenderedPageBreak/>
        <w:t>Leave to appeal was granted by the Appeal Committee on the basis of the questions so certified.</w:t>
      </w:r>
      <w:r w:rsidR="00FB436A" w:rsidRPr="00687F04">
        <w:rPr>
          <w:rStyle w:val="FootnoteReference"/>
        </w:rPr>
        <w:footnoteReference w:id="7"/>
      </w:r>
    </w:p>
    <w:p w:rsidR="007B396F" w:rsidRPr="00687F04" w:rsidRDefault="007B396F" w:rsidP="00EF03FF">
      <w:pPr>
        <w:pStyle w:val="docmapheading"/>
      </w:pPr>
      <w:r w:rsidRPr="00687F04">
        <w:t>C.</w:t>
      </w:r>
      <w:r w:rsidRPr="00687F04">
        <w:tab/>
        <w:t>The constitutional provisions</w:t>
      </w:r>
    </w:p>
    <w:p w:rsidR="007B396F" w:rsidRPr="00687F04" w:rsidRDefault="007B396F" w:rsidP="00EF03FF">
      <w:pPr>
        <w:pStyle w:val="Bob1"/>
        <w:tabs>
          <w:tab w:val="clear" w:pos="720"/>
          <w:tab w:val="left" w:pos="1440"/>
        </w:tabs>
        <w:spacing w:after="120"/>
        <w:ind w:left="0" w:firstLine="0"/>
        <w:jc w:val="both"/>
      </w:pPr>
      <w:r w:rsidRPr="00687F04">
        <w:t>Article 27 of the Basic Law (“</w:t>
      </w:r>
      <w:r w:rsidRPr="00687F04">
        <w:rPr>
          <w:u w:val="single"/>
        </w:rPr>
        <w:t>BL 27</w:t>
      </w:r>
      <w:r w:rsidRPr="00687F04">
        <w:t>”)</w:t>
      </w:r>
      <w:r w:rsidR="00D568DE" w:rsidRPr="00687F04">
        <w:t>,</w:t>
      </w:r>
      <w:r w:rsidR="00500CFA">
        <w:rPr>
          <w:rStyle w:val="FootnoteReference"/>
        </w:rPr>
        <w:footnoteReference w:id="8"/>
      </w:r>
      <w:r w:rsidRPr="00687F04">
        <w:t xml:space="preserve"> </w:t>
      </w:r>
      <w:r w:rsidR="00D568DE" w:rsidRPr="00687F04">
        <w:t xml:space="preserve">on which </w:t>
      </w:r>
      <w:r w:rsidRPr="00687F04">
        <w:t xml:space="preserve">the certified questions </w:t>
      </w:r>
      <w:r w:rsidR="00D568DE" w:rsidRPr="00687F04">
        <w:t xml:space="preserve">are based, </w:t>
      </w:r>
      <w:r w:rsidRPr="00687F04">
        <w:t>states:</w:t>
      </w:r>
    </w:p>
    <w:p w:rsidR="007B396F" w:rsidRPr="00687F04" w:rsidRDefault="007B396F" w:rsidP="00E0482B">
      <w:pPr>
        <w:pStyle w:val="Bob1"/>
        <w:numPr>
          <w:ilvl w:val="0"/>
          <w:numId w:val="0"/>
        </w:numPr>
        <w:spacing w:line="240" w:lineRule="auto"/>
        <w:ind w:left="720"/>
        <w:jc w:val="both"/>
        <w:rPr>
          <w:sz w:val="24"/>
        </w:rPr>
      </w:pPr>
      <w:r w:rsidRPr="00687F04">
        <w:rPr>
          <w:sz w:val="24"/>
        </w:rPr>
        <w:t>Hong Kong residents shall have freedom of speech, of the press and of publication; freedom of association, of assembly, of procession a</w:t>
      </w:r>
      <w:r w:rsidR="005726FC">
        <w:rPr>
          <w:sz w:val="24"/>
        </w:rPr>
        <w:t>nd of</w:t>
      </w:r>
      <w:r w:rsidRPr="00687F04">
        <w:rPr>
          <w:sz w:val="24"/>
        </w:rPr>
        <w:t xml:space="preserve"> demonstration; and the right and freedom to form and join trade unions, and to strike.</w:t>
      </w:r>
    </w:p>
    <w:p w:rsidR="00D568DE" w:rsidRPr="00687F04" w:rsidRDefault="00D568DE" w:rsidP="00EF03FF">
      <w:pPr>
        <w:pStyle w:val="Bob1"/>
        <w:spacing w:after="120"/>
      </w:pPr>
      <w:r w:rsidRPr="00687F04">
        <w:t xml:space="preserve">By </w:t>
      </w:r>
      <w:r w:rsidR="00500CFA">
        <w:t xml:space="preserve">BL </w:t>
      </w:r>
      <w:r w:rsidRPr="00687F04">
        <w:t>39</w:t>
      </w:r>
      <w:r w:rsidR="00500CFA">
        <w:t xml:space="preserve">, </w:t>
      </w:r>
      <w:r w:rsidRPr="00687F04">
        <w:t>the Basic Law relevantly provides:</w:t>
      </w:r>
    </w:p>
    <w:p w:rsidR="00D568DE" w:rsidRPr="00687F04" w:rsidRDefault="00D568DE" w:rsidP="00E0482B">
      <w:pPr>
        <w:pStyle w:val="Bob1"/>
        <w:numPr>
          <w:ilvl w:val="0"/>
          <w:numId w:val="13"/>
        </w:numPr>
        <w:spacing w:line="240" w:lineRule="auto"/>
        <w:ind w:left="1440" w:hanging="630"/>
        <w:jc w:val="both"/>
        <w:rPr>
          <w:sz w:val="24"/>
        </w:rPr>
      </w:pPr>
      <w:r w:rsidRPr="00687F04">
        <w:rPr>
          <w:sz w:val="24"/>
        </w:rPr>
        <w:t>The provisions of the International Covenant on Civil and Political Rights ... as applied to Hong Kong shall remain in force and shall be implemented through the laws of the Hong Kong Special Administrative Region.</w:t>
      </w:r>
    </w:p>
    <w:p w:rsidR="00D568DE" w:rsidRPr="00687F04" w:rsidRDefault="00D568DE" w:rsidP="00E0482B">
      <w:pPr>
        <w:pStyle w:val="Bob1"/>
        <w:numPr>
          <w:ilvl w:val="0"/>
          <w:numId w:val="13"/>
        </w:numPr>
        <w:spacing w:line="240" w:lineRule="auto"/>
        <w:ind w:left="1440" w:hanging="630"/>
        <w:jc w:val="both"/>
        <w:rPr>
          <w:sz w:val="24"/>
        </w:rPr>
      </w:pPr>
      <w:r w:rsidRPr="00687F04">
        <w:rPr>
          <w:sz w:val="24"/>
        </w:rPr>
        <w:t>The rights and freedoms enjoyed by Hong Kong residents shall not be restricted unless as prescribed by law. Such restrictions shall not contravene the provisions of the preceding paragraph of this Article.”</w:t>
      </w:r>
    </w:p>
    <w:p w:rsidR="007B396F" w:rsidRPr="00687F04" w:rsidRDefault="007B396F" w:rsidP="00EF03FF">
      <w:pPr>
        <w:pStyle w:val="Bob1"/>
        <w:tabs>
          <w:tab w:val="clear" w:pos="720"/>
          <w:tab w:val="left" w:pos="1440"/>
        </w:tabs>
        <w:spacing w:after="120"/>
        <w:ind w:left="0" w:firstLine="0"/>
        <w:jc w:val="both"/>
      </w:pPr>
      <w:r w:rsidRPr="00687F04">
        <w:t>A</w:t>
      </w:r>
      <w:r w:rsidR="00D568DE" w:rsidRPr="00687F04">
        <w:t>s is well-established,</w:t>
      </w:r>
      <w:r w:rsidR="00D568DE" w:rsidRPr="00687F04">
        <w:rPr>
          <w:rStyle w:val="FootnoteReference"/>
        </w:rPr>
        <w:footnoteReference w:id="9"/>
      </w:r>
      <w:r w:rsidR="00D568DE" w:rsidRPr="00687F04">
        <w:t xml:space="preserve"> </w:t>
      </w:r>
      <w:r w:rsidR="00FF574A">
        <w:t xml:space="preserve">the </w:t>
      </w:r>
      <w:r w:rsidR="008B2BE4" w:rsidRPr="00687F04">
        <w:t>Hong Kong Bill of Rights Ordinance (“</w:t>
      </w:r>
      <w:r w:rsidR="005E32CB" w:rsidRPr="00687F04">
        <w:rPr>
          <w:u w:val="single"/>
        </w:rPr>
        <w:t>HKB</w:t>
      </w:r>
      <w:r w:rsidR="008B2BE4" w:rsidRPr="00687F04">
        <w:rPr>
          <w:u w:val="single"/>
        </w:rPr>
        <w:t>ORO</w:t>
      </w:r>
      <w:r w:rsidR="008B2BE4" w:rsidRPr="00687F04">
        <w:t>”)</w:t>
      </w:r>
      <w:r w:rsidR="00FF574A" w:rsidRPr="00687F04">
        <w:rPr>
          <w:rStyle w:val="FootnoteReference"/>
        </w:rPr>
        <w:footnoteReference w:id="10"/>
      </w:r>
      <w:r w:rsidR="00FF574A">
        <w:t xml:space="preserve"> which enacts </w:t>
      </w:r>
      <w:r w:rsidR="00FF574A" w:rsidRPr="00687F04">
        <w:t>the Hong Kong Bill of Rights</w:t>
      </w:r>
      <w:r w:rsidR="00FF574A">
        <w:t>,</w:t>
      </w:r>
      <w:r w:rsidR="008B2BE4" w:rsidRPr="00687F04">
        <w:t xml:space="preserve"> </w:t>
      </w:r>
      <w:r w:rsidR="00D568DE" w:rsidRPr="00687F04">
        <w:t xml:space="preserve">implements the International Covenant on Civil and Political Rights </w:t>
      </w:r>
      <w:r w:rsidR="008B2BE4" w:rsidRPr="00687F04">
        <w:t>(“</w:t>
      </w:r>
      <w:r w:rsidR="008B2BE4" w:rsidRPr="00687F04">
        <w:rPr>
          <w:u w:val="single"/>
        </w:rPr>
        <w:t>ICCPR</w:t>
      </w:r>
      <w:r w:rsidR="008B2BE4" w:rsidRPr="00687F04">
        <w:t>”)</w:t>
      </w:r>
      <w:r w:rsidR="00491E63">
        <w:t xml:space="preserve"> so that</w:t>
      </w:r>
      <w:r w:rsidR="00324F39">
        <w:t xml:space="preserve"> the Bill of Rights</w:t>
      </w:r>
      <w:r w:rsidR="00D568DE" w:rsidRPr="00687F04">
        <w:t xml:space="preserve"> is given constitutional status by BL 39.  </w:t>
      </w:r>
      <w:r w:rsidR="00FF574A">
        <w:t xml:space="preserve">Article 16 of the Bill of Rights </w:t>
      </w:r>
      <w:r w:rsidR="00FF574A" w:rsidRPr="00687F04">
        <w:t>(“</w:t>
      </w:r>
      <w:r w:rsidR="00FF574A" w:rsidRPr="00687F04">
        <w:rPr>
          <w:u w:val="single"/>
        </w:rPr>
        <w:t>BOR 16</w:t>
      </w:r>
      <w:r w:rsidR="00FF574A" w:rsidRPr="00687F04">
        <w:t>”)</w:t>
      </w:r>
      <w:r w:rsidR="00D568DE" w:rsidRPr="00687F04">
        <w:t xml:space="preserve"> provides</w:t>
      </w:r>
      <w:r w:rsidRPr="00687F04">
        <w:t>:</w:t>
      </w:r>
    </w:p>
    <w:p w:rsidR="007B396F" w:rsidRPr="00687F04" w:rsidRDefault="007B396F" w:rsidP="00E0482B">
      <w:pPr>
        <w:pStyle w:val="Bob1"/>
        <w:numPr>
          <w:ilvl w:val="0"/>
          <w:numId w:val="0"/>
        </w:numPr>
        <w:spacing w:line="240" w:lineRule="auto"/>
        <w:ind w:left="1440" w:hanging="720"/>
        <w:jc w:val="both"/>
        <w:rPr>
          <w:sz w:val="24"/>
        </w:rPr>
      </w:pPr>
      <w:r w:rsidRPr="00687F04">
        <w:rPr>
          <w:sz w:val="24"/>
        </w:rPr>
        <w:t>(1)</w:t>
      </w:r>
      <w:r w:rsidRPr="00687F04">
        <w:rPr>
          <w:sz w:val="24"/>
        </w:rPr>
        <w:tab/>
        <w:t xml:space="preserve">Everyone shall have the right to hold opinions without interference. </w:t>
      </w:r>
    </w:p>
    <w:p w:rsidR="007B396F" w:rsidRPr="00687F04" w:rsidRDefault="007B396F" w:rsidP="00E0482B">
      <w:pPr>
        <w:pStyle w:val="Bob1"/>
        <w:numPr>
          <w:ilvl w:val="0"/>
          <w:numId w:val="0"/>
        </w:numPr>
        <w:spacing w:line="240" w:lineRule="auto"/>
        <w:ind w:left="1440" w:hanging="720"/>
        <w:jc w:val="both"/>
        <w:rPr>
          <w:sz w:val="24"/>
        </w:rPr>
      </w:pPr>
      <w:r w:rsidRPr="00687F04">
        <w:rPr>
          <w:sz w:val="24"/>
        </w:rPr>
        <w:t>(2)</w:t>
      </w:r>
      <w:r w:rsidRPr="00687F04">
        <w:rPr>
          <w:sz w:val="24"/>
        </w:rPr>
        <w:tab/>
        <w:t xml:space="preserve">Everyone shall have the right to freedom of expression; this right shall include freedom to seek, receive and impart information and ideas of all kinds, </w:t>
      </w:r>
      <w:r w:rsidRPr="00687F04">
        <w:rPr>
          <w:sz w:val="24"/>
        </w:rPr>
        <w:lastRenderedPageBreak/>
        <w:t xml:space="preserve">regardless of frontiers, either orally, in writing or in print, in the form of art, or through any other media of his choice. </w:t>
      </w:r>
    </w:p>
    <w:p w:rsidR="007B396F" w:rsidRPr="00687F04" w:rsidRDefault="007B396F" w:rsidP="00E0482B">
      <w:pPr>
        <w:pStyle w:val="Bob1"/>
        <w:numPr>
          <w:ilvl w:val="0"/>
          <w:numId w:val="0"/>
        </w:numPr>
        <w:spacing w:line="240" w:lineRule="auto"/>
        <w:ind w:left="1440" w:hanging="720"/>
        <w:jc w:val="both"/>
        <w:rPr>
          <w:sz w:val="24"/>
        </w:rPr>
      </w:pPr>
      <w:r w:rsidRPr="00687F04">
        <w:rPr>
          <w:sz w:val="24"/>
        </w:rPr>
        <w:t>(3)</w:t>
      </w:r>
      <w:r w:rsidRPr="00687F04">
        <w:rPr>
          <w:sz w:val="24"/>
        </w:rPr>
        <w:tab/>
        <w:t>The exercise of the rights provided for in paragraph (2) of this article carries with it special duties and responsibilities. It may therefore be subject to certain restrictions, but these shall only be such as are provided by law and are necessary-</w:t>
      </w:r>
    </w:p>
    <w:p w:rsidR="007B396F" w:rsidRPr="00687F04" w:rsidRDefault="007B396F" w:rsidP="00E0482B">
      <w:pPr>
        <w:pStyle w:val="Bob1"/>
        <w:numPr>
          <w:ilvl w:val="0"/>
          <w:numId w:val="0"/>
        </w:numPr>
        <w:spacing w:line="240" w:lineRule="auto"/>
        <w:ind w:left="1980" w:hanging="540"/>
        <w:jc w:val="both"/>
        <w:rPr>
          <w:sz w:val="24"/>
        </w:rPr>
      </w:pPr>
      <w:r w:rsidRPr="00687F04">
        <w:rPr>
          <w:sz w:val="24"/>
        </w:rPr>
        <w:t>(a)</w:t>
      </w:r>
      <w:r w:rsidRPr="00687F04">
        <w:rPr>
          <w:sz w:val="24"/>
        </w:rPr>
        <w:tab/>
        <w:t xml:space="preserve">for respect of the rights or reputations of others; or </w:t>
      </w:r>
    </w:p>
    <w:p w:rsidR="007B396F" w:rsidRPr="00687F04" w:rsidRDefault="007B396F" w:rsidP="00E0482B">
      <w:pPr>
        <w:pStyle w:val="Bob1"/>
        <w:numPr>
          <w:ilvl w:val="0"/>
          <w:numId w:val="0"/>
        </w:numPr>
        <w:spacing w:line="240" w:lineRule="auto"/>
        <w:ind w:left="1980" w:hanging="540"/>
        <w:jc w:val="both"/>
        <w:rPr>
          <w:sz w:val="24"/>
        </w:rPr>
      </w:pPr>
      <w:r w:rsidRPr="00687F04">
        <w:rPr>
          <w:sz w:val="24"/>
        </w:rPr>
        <w:t>(b)</w:t>
      </w:r>
      <w:r w:rsidRPr="00687F04">
        <w:rPr>
          <w:sz w:val="24"/>
        </w:rPr>
        <w:tab/>
        <w:t>for the protection of national security or of public order (</w:t>
      </w:r>
      <w:proofErr w:type="spellStart"/>
      <w:r w:rsidRPr="00687F04">
        <w:rPr>
          <w:i/>
          <w:sz w:val="24"/>
        </w:rPr>
        <w:t>ordre</w:t>
      </w:r>
      <w:proofErr w:type="spellEnd"/>
      <w:r w:rsidRPr="00687F04">
        <w:rPr>
          <w:i/>
          <w:sz w:val="24"/>
        </w:rPr>
        <w:t xml:space="preserve"> public</w:t>
      </w:r>
      <w:r w:rsidRPr="00687F04">
        <w:rPr>
          <w:sz w:val="24"/>
        </w:rPr>
        <w:t>), or of public health or morals.</w:t>
      </w:r>
    </w:p>
    <w:p w:rsidR="007B396F" w:rsidRDefault="00CE2118" w:rsidP="00E0482B">
      <w:pPr>
        <w:pStyle w:val="Bob1"/>
        <w:tabs>
          <w:tab w:val="clear" w:pos="720"/>
          <w:tab w:val="left" w:pos="1440"/>
        </w:tabs>
        <w:ind w:left="0" w:firstLine="0"/>
        <w:jc w:val="both"/>
      </w:pPr>
      <w:r w:rsidRPr="00687F04">
        <w:t>This Court has held</w:t>
      </w:r>
      <w:r w:rsidR="00AF7F4E" w:rsidRPr="00687F04">
        <w:rPr>
          <w:rStyle w:val="FootnoteReference"/>
        </w:rPr>
        <w:footnoteReference w:id="11"/>
      </w:r>
      <w:r w:rsidRPr="00687F04">
        <w:t xml:space="preserve"> that there is no difference between the right of peaceful assembly guaranteed by </w:t>
      </w:r>
      <w:r w:rsidR="00AF7F4E" w:rsidRPr="00687F04">
        <w:t xml:space="preserve">BL 27 </w:t>
      </w:r>
      <w:r w:rsidRPr="00687F04">
        <w:t xml:space="preserve">and that provided for in </w:t>
      </w:r>
      <w:r w:rsidR="00500CFA">
        <w:t>BOR 17</w:t>
      </w:r>
      <w:r w:rsidRPr="00687F04">
        <w:t>.</w:t>
      </w:r>
      <w:r w:rsidR="00AF7F4E" w:rsidRPr="00687F04">
        <w:rPr>
          <w:rStyle w:val="FootnoteReference"/>
        </w:rPr>
        <w:footnoteReference w:id="12"/>
      </w:r>
      <w:r w:rsidRPr="00687F04">
        <w:t xml:space="preserve">  The same applies to freedom of speech </w:t>
      </w:r>
      <w:r w:rsidR="001839DD" w:rsidRPr="00687F04">
        <w:t>under</w:t>
      </w:r>
      <w:r w:rsidR="00943D08" w:rsidRPr="00687F04">
        <w:t xml:space="preserve"> BL 27</w:t>
      </w:r>
      <w:r w:rsidRPr="00687F04">
        <w:t xml:space="preserve"> and freedom of expression </w:t>
      </w:r>
      <w:r w:rsidR="001839DD" w:rsidRPr="00687F04">
        <w:t>under</w:t>
      </w:r>
      <w:r w:rsidR="00943D08" w:rsidRPr="00687F04">
        <w:t xml:space="preserve"> BOR 16</w:t>
      </w:r>
      <w:r w:rsidRPr="00687F04">
        <w:t>.</w:t>
      </w:r>
      <w:r w:rsidR="008607D9" w:rsidRPr="00687F04">
        <w:t xml:space="preserve">  </w:t>
      </w:r>
      <w:r w:rsidR="008A7BF0" w:rsidRPr="00687F04">
        <w:t>The Court</w:t>
      </w:r>
      <w:r w:rsidR="00F17717" w:rsidRPr="00687F04">
        <w:t xml:space="preserve"> </w:t>
      </w:r>
      <w:r w:rsidR="002517A7" w:rsidRPr="00687F04">
        <w:t xml:space="preserve">has also </w:t>
      </w:r>
      <w:r w:rsidR="001A1D5D" w:rsidRPr="00687F04">
        <w:t>noted</w:t>
      </w:r>
      <w:r w:rsidR="002517A7" w:rsidRPr="00687F04">
        <w:rPr>
          <w:rStyle w:val="FootnoteReference"/>
        </w:rPr>
        <w:footnoteReference w:id="13"/>
      </w:r>
      <w:r w:rsidR="002517A7" w:rsidRPr="00687F04">
        <w:t xml:space="preserve"> </w:t>
      </w:r>
      <w:r w:rsidR="008607D9" w:rsidRPr="00687F04">
        <w:t xml:space="preserve">that the rights to freedom of expression, of public assembly and of procession </w:t>
      </w:r>
      <w:r w:rsidR="00550B22" w:rsidRPr="00687F04">
        <w:t xml:space="preserve">and demonstration </w:t>
      </w:r>
      <w:r w:rsidR="008607D9" w:rsidRPr="00687F04">
        <w:t>are closely related</w:t>
      </w:r>
      <w:r w:rsidR="001E0DA1" w:rsidRPr="00687F04">
        <w:t>, making t</w:t>
      </w:r>
      <w:r w:rsidR="001A1D5D" w:rsidRPr="00687F04">
        <w:t>he c</w:t>
      </w:r>
      <w:r w:rsidR="008607D9" w:rsidRPr="00687F04">
        <w:t xml:space="preserve">ase-law on these </w:t>
      </w:r>
      <w:r w:rsidR="00FE2949">
        <w:t xml:space="preserve">associated </w:t>
      </w:r>
      <w:r w:rsidR="008607D9" w:rsidRPr="00687F04">
        <w:t xml:space="preserve">freedoms </w:t>
      </w:r>
      <w:r w:rsidR="007172E7">
        <w:t xml:space="preserve">collectively </w:t>
      </w:r>
      <w:r w:rsidR="001A1D5D" w:rsidRPr="00687F04">
        <w:t>relevant</w:t>
      </w:r>
      <w:r w:rsidR="008607D9" w:rsidRPr="00687F04">
        <w:t>.</w:t>
      </w:r>
    </w:p>
    <w:p w:rsidR="00155A5C" w:rsidRPr="00687F04" w:rsidRDefault="00983DB8" w:rsidP="00E0482B">
      <w:pPr>
        <w:pStyle w:val="Bob1"/>
        <w:tabs>
          <w:tab w:val="clear" w:pos="720"/>
          <w:tab w:val="left" w:pos="1440"/>
        </w:tabs>
        <w:ind w:left="0" w:firstLine="0"/>
        <w:jc w:val="both"/>
      </w:pPr>
      <w:r>
        <w:t>Accordingly</w:t>
      </w:r>
      <w:r w:rsidR="001E0DA1" w:rsidRPr="00687F04">
        <w:t xml:space="preserve">, </w:t>
      </w:r>
      <w:r w:rsidR="00893A1F" w:rsidRPr="00687F04">
        <w:t>by the combined effect of BL 39 and BOR 16,</w:t>
      </w:r>
      <w:r w:rsidR="00155A5C" w:rsidRPr="00687F04">
        <w:t xml:space="preserve"> </w:t>
      </w:r>
      <w:r w:rsidR="00F17717" w:rsidRPr="00687F04">
        <w:t>if</w:t>
      </w:r>
      <w:r w:rsidR="00893A1F" w:rsidRPr="00687F04">
        <w:t xml:space="preserve"> any purported restriction on the right of free expression </w:t>
      </w:r>
      <w:r w:rsidR="00F17717" w:rsidRPr="00687F04">
        <w:t xml:space="preserve">is </w:t>
      </w:r>
      <w:r w:rsidR="00893A1F" w:rsidRPr="00687F04">
        <w:t xml:space="preserve">to be valid, </w:t>
      </w:r>
      <w:r w:rsidR="00F17717" w:rsidRPr="00687F04">
        <w:t xml:space="preserve">it </w:t>
      </w:r>
      <w:r w:rsidR="00893A1F" w:rsidRPr="00687F04">
        <w:t xml:space="preserve">must </w:t>
      </w:r>
      <w:r w:rsidR="00F17717" w:rsidRPr="00687F04">
        <w:t>have</w:t>
      </w:r>
      <w:r w:rsidR="00893A1F" w:rsidRPr="00687F04">
        <w:t xml:space="preserve"> sufficient legal certainty to qualify as a restriction “prescribed by law”</w:t>
      </w:r>
      <w:r w:rsidR="00893A1F" w:rsidRPr="00687F04">
        <w:rPr>
          <w:rStyle w:val="FootnoteReference"/>
        </w:rPr>
        <w:footnoteReference w:id="14"/>
      </w:r>
      <w:r w:rsidR="00893A1F" w:rsidRPr="00687F04">
        <w:t xml:space="preserve"> and must be “necessary for respect of the rights</w:t>
      </w:r>
      <w:r w:rsidR="00F17717" w:rsidRPr="00687F04">
        <w:t xml:space="preserve"> or reputations of others; or </w:t>
      </w:r>
      <w:r w:rsidR="00893A1F" w:rsidRPr="00687F04">
        <w:t>for the protection of national security or of public order (</w:t>
      </w:r>
      <w:proofErr w:type="spellStart"/>
      <w:r w:rsidR="00893A1F" w:rsidRPr="00E0482B">
        <w:rPr>
          <w:i/>
        </w:rPr>
        <w:t>ordre</w:t>
      </w:r>
      <w:proofErr w:type="spellEnd"/>
      <w:r w:rsidR="00893A1F" w:rsidRPr="00E0482B">
        <w:rPr>
          <w:i/>
        </w:rPr>
        <w:t xml:space="preserve"> public</w:t>
      </w:r>
      <w:r w:rsidR="00893A1F" w:rsidRPr="00687F04">
        <w:t>), or of public health or morals.”</w:t>
      </w:r>
      <w:r w:rsidR="0029650C" w:rsidRPr="00687F04">
        <w:t xml:space="preserve">  </w:t>
      </w:r>
      <w:r w:rsidR="008A7BF0" w:rsidRPr="00687F04">
        <w:t xml:space="preserve">It is established that </w:t>
      </w:r>
      <w:r w:rsidR="00EA421B" w:rsidRPr="00687F04">
        <w:t>the requirement of necessity involves the application of a proportionality test</w:t>
      </w:r>
      <w:r w:rsidR="00EA421B" w:rsidRPr="00687F04">
        <w:rPr>
          <w:rStyle w:val="FootnoteReference"/>
        </w:rPr>
        <w:footnoteReference w:id="15"/>
      </w:r>
      <w:r w:rsidR="00EA421B" w:rsidRPr="00687F04">
        <w:t xml:space="preserve"> and that the </w:t>
      </w:r>
      <w:r w:rsidR="00943D08" w:rsidRPr="00687F04">
        <w:t xml:space="preserve">objectives </w:t>
      </w:r>
      <w:r w:rsidR="00491E63" w:rsidRPr="00687F04">
        <w:t xml:space="preserve">listed </w:t>
      </w:r>
      <w:r w:rsidR="00491E63">
        <w:t xml:space="preserve">in BOR 16 </w:t>
      </w:r>
      <w:r w:rsidR="00943D08" w:rsidRPr="00687F04">
        <w:t>are</w:t>
      </w:r>
      <w:r w:rsidR="005F73F1" w:rsidRPr="00687F04">
        <w:t xml:space="preserve"> </w:t>
      </w:r>
      <w:r w:rsidR="005F73F1" w:rsidRPr="00687F04">
        <w:lastRenderedPageBreak/>
        <w:t xml:space="preserve">exhaustive of purposes qualifying as </w:t>
      </w:r>
      <w:r w:rsidR="00F17717" w:rsidRPr="00687F04">
        <w:t xml:space="preserve">legitimate aims </w:t>
      </w:r>
      <w:r w:rsidR="00EB6720" w:rsidRPr="00687F04">
        <w:t xml:space="preserve">to </w:t>
      </w:r>
      <w:r w:rsidR="00943D08" w:rsidRPr="00687F04">
        <w:t xml:space="preserve">justify a </w:t>
      </w:r>
      <w:r w:rsidR="005F73F1" w:rsidRPr="00687F04">
        <w:t>purported restriction of the guaranteed right.</w:t>
      </w:r>
      <w:r w:rsidR="005F73F1" w:rsidRPr="00687F04">
        <w:rPr>
          <w:rStyle w:val="FootnoteReference"/>
        </w:rPr>
        <w:footnoteReference w:id="16"/>
      </w:r>
    </w:p>
    <w:p w:rsidR="00A92A76" w:rsidRPr="00687F04" w:rsidRDefault="007B396F" w:rsidP="00EF03FF">
      <w:pPr>
        <w:pStyle w:val="docmapheading"/>
      </w:pPr>
      <w:r w:rsidRPr="00687F04">
        <w:t>D</w:t>
      </w:r>
      <w:r w:rsidR="00A92A76" w:rsidRPr="00687F04">
        <w:t>.</w:t>
      </w:r>
      <w:r w:rsidR="00A92A76" w:rsidRPr="00687F04">
        <w:tab/>
        <w:t>The issues</w:t>
      </w:r>
      <w:r w:rsidR="00921370" w:rsidRPr="00687F04">
        <w:t xml:space="preserve"> in this appeal </w:t>
      </w:r>
    </w:p>
    <w:p w:rsidR="00F717F9" w:rsidRDefault="00F9138E" w:rsidP="00B406C9">
      <w:pPr>
        <w:pStyle w:val="Bob1"/>
        <w:tabs>
          <w:tab w:val="clear" w:pos="720"/>
          <w:tab w:val="left" w:pos="1440"/>
        </w:tabs>
        <w:ind w:left="0" w:firstLine="0"/>
        <w:jc w:val="both"/>
      </w:pPr>
      <w:r w:rsidRPr="00687F04">
        <w:t xml:space="preserve">The issues raised by Mr </w:t>
      </w:r>
      <w:proofErr w:type="spellStart"/>
      <w:r w:rsidRPr="00687F04">
        <w:t>Hectar</w:t>
      </w:r>
      <w:proofErr w:type="spellEnd"/>
      <w:r w:rsidRPr="00687F04">
        <w:t xml:space="preserve"> Pun SC</w:t>
      </w:r>
      <w:r w:rsidRPr="00687F04">
        <w:rPr>
          <w:rStyle w:val="FootnoteReference"/>
        </w:rPr>
        <w:footnoteReference w:id="17"/>
      </w:r>
      <w:r w:rsidRPr="00687F04">
        <w:t xml:space="preserve"> fall within a relatively narrow compass.  </w:t>
      </w:r>
    </w:p>
    <w:p w:rsidR="00A92A76" w:rsidRPr="00B406C9" w:rsidRDefault="003E2E3E" w:rsidP="00B406C9">
      <w:pPr>
        <w:pStyle w:val="Bob1"/>
        <w:tabs>
          <w:tab w:val="clear" w:pos="720"/>
          <w:tab w:val="left" w:pos="1440"/>
        </w:tabs>
        <w:ind w:left="0" w:firstLine="0"/>
        <w:jc w:val="both"/>
      </w:pPr>
      <w:r>
        <w:t>On</w:t>
      </w:r>
      <w:r w:rsidR="00F9138E" w:rsidRPr="00687F04">
        <w:t xml:space="preserve"> the charge relating to the first incident, he submits that “</w:t>
      </w:r>
      <w:r w:rsidR="00F9138E" w:rsidRPr="00B406C9">
        <w:rPr>
          <w:i/>
        </w:rPr>
        <w:t>the total and blanket prohibition</w:t>
      </w:r>
      <w:r w:rsidR="00F9138E" w:rsidRPr="00687F04">
        <w:t xml:space="preserve"> imposed by section 12(1) of the Administrative Instructions on the display of any ‘sign, message or banner’ in a press or public gallery in the </w:t>
      </w:r>
      <w:proofErr w:type="spellStart"/>
      <w:r w:rsidR="00F9138E" w:rsidRPr="00687F04">
        <w:t>LegCo</w:t>
      </w:r>
      <w:proofErr w:type="spellEnd"/>
      <w:r w:rsidR="00F9138E" w:rsidRPr="00687F04">
        <w:t xml:space="preserve"> fails to satisfy the third stage of the proportionality test.”  He argues that the only legitimate purpose said to be pursued by AI section 12 is the protection of public order within the </w:t>
      </w:r>
      <w:proofErr w:type="spellStart"/>
      <w:r w:rsidR="00F9138E" w:rsidRPr="00687F04">
        <w:t>LegCo</w:t>
      </w:r>
      <w:proofErr w:type="spellEnd"/>
      <w:r w:rsidR="00F9138E" w:rsidRPr="00687F04">
        <w:t xml:space="preserve"> building and that “by ... </w:t>
      </w:r>
      <w:r w:rsidR="00F9138E" w:rsidRPr="00B406C9">
        <w:rPr>
          <w:szCs w:val="28"/>
        </w:rPr>
        <w:t xml:space="preserve">rendering </w:t>
      </w:r>
      <w:r w:rsidR="00F9138E" w:rsidRPr="00B406C9">
        <w:rPr>
          <w:i/>
          <w:iCs/>
          <w:szCs w:val="28"/>
        </w:rPr>
        <w:t>all</w:t>
      </w:r>
      <w:r w:rsidR="00F9138E" w:rsidRPr="00B406C9">
        <w:rPr>
          <w:szCs w:val="28"/>
        </w:rPr>
        <w:t xml:space="preserve"> forms of display of any </w:t>
      </w:r>
      <w:r w:rsidR="00921370" w:rsidRPr="00B406C9">
        <w:rPr>
          <w:szCs w:val="28"/>
        </w:rPr>
        <w:t>‘</w:t>
      </w:r>
      <w:r w:rsidR="00F9138E" w:rsidRPr="00B406C9">
        <w:rPr>
          <w:szCs w:val="28"/>
        </w:rPr>
        <w:t>sign, message or banner</w:t>
      </w:r>
      <w:r w:rsidR="00921370" w:rsidRPr="00B406C9">
        <w:rPr>
          <w:szCs w:val="28"/>
        </w:rPr>
        <w:t>’</w:t>
      </w:r>
      <w:r w:rsidR="00F9138E" w:rsidRPr="00B406C9">
        <w:rPr>
          <w:szCs w:val="28"/>
        </w:rPr>
        <w:t xml:space="preserve"> a criminal offence </w:t>
      </w:r>
      <w:r w:rsidR="00F9138E" w:rsidRPr="00B406C9">
        <w:rPr>
          <w:i/>
          <w:szCs w:val="28"/>
        </w:rPr>
        <w:t>regardless of</w:t>
      </w:r>
      <w:r w:rsidR="00F9138E" w:rsidRPr="00B406C9">
        <w:rPr>
          <w:szCs w:val="28"/>
        </w:rPr>
        <w:t xml:space="preserve"> its purpose, nature, manner and its impact (if any) on the public order in the </w:t>
      </w:r>
      <w:proofErr w:type="spellStart"/>
      <w:r w:rsidR="00F9138E" w:rsidRPr="00B406C9">
        <w:rPr>
          <w:szCs w:val="28"/>
        </w:rPr>
        <w:t>LegCo</w:t>
      </w:r>
      <w:proofErr w:type="spellEnd"/>
      <w:r w:rsidR="00F9138E" w:rsidRPr="00B406C9">
        <w:rPr>
          <w:szCs w:val="28"/>
        </w:rPr>
        <w:t>”, the section is unjustifiably wide.</w:t>
      </w:r>
      <w:r w:rsidR="00F717F9" w:rsidRPr="00687F04">
        <w:rPr>
          <w:rStyle w:val="FootnoteReference"/>
          <w:szCs w:val="28"/>
        </w:rPr>
        <w:footnoteReference w:id="18"/>
      </w:r>
      <w:r w:rsidR="00F9138E" w:rsidRPr="00B406C9">
        <w:rPr>
          <w:szCs w:val="28"/>
        </w:rPr>
        <w:t xml:space="preserve">  </w:t>
      </w:r>
      <w:r w:rsidR="00A96D2C" w:rsidRPr="00B406C9">
        <w:rPr>
          <w:szCs w:val="28"/>
        </w:rPr>
        <w:t xml:space="preserve">He invites the Court to hold that AI section 12 is </w:t>
      </w:r>
      <w:r w:rsidR="00371895" w:rsidRPr="00B406C9">
        <w:rPr>
          <w:szCs w:val="28"/>
        </w:rPr>
        <w:t>inconsistent with BL 27 and BOR 16 and th</w:t>
      </w:r>
      <w:r w:rsidRPr="00B406C9">
        <w:rPr>
          <w:szCs w:val="28"/>
        </w:rPr>
        <w:t>us</w:t>
      </w:r>
      <w:r w:rsidR="00371895" w:rsidRPr="00B406C9">
        <w:rPr>
          <w:szCs w:val="28"/>
        </w:rPr>
        <w:t xml:space="preserve"> unconstitutional</w:t>
      </w:r>
      <w:r w:rsidR="00A96D2C" w:rsidRPr="00B406C9">
        <w:rPr>
          <w:szCs w:val="28"/>
        </w:rPr>
        <w:t xml:space="preserve">.  </w:t>
      </w:r>
      <w:r w:rsidR="00F9138E" w:rsidRPr="00B406C9">
        <w:rPr>
          <w:szCs w:val="28"/>
        </w:rPr>
        <w:t>I shall call this the “</w:t>
      </w:r>
      <w:r w:rsidR="00F9138E" w:rsidRPr="00B406C9">
        <w:rPr>
          <w:szCs w:val="28"/>
          <w:u w:val="single"/>
        </w:rPr>
        <w:t>blanket prohibition</w:t>
      </w:r>
      <w:r w:rsidR="001E1A98" w:rsidRPr="00B406C9">
        <w:rPr>
          <w:szCs w:val="28"/>
        </w:rPr>
        <w:t>” argument</w:t>
      </w:r>
      <w:r w:rsidR="00F9138E" w:rsidRPr="00B406C9">
        <w:rPr>
          <w:szCs w:val="28"/>
        </w:rPr>
        <w:t>.</w:t>
      </w:r>
      <w:r w:rsidR="00F9138E" w:rsidRPr="00B406C9">
        <w:rPr>
          <w:szCs w:val="28"/>
          <w:u w:val="single"/>
        </w:rPr>
        <w:t xml:space="preserve"> </w:t>
      </w:r>
    </w:p>
    <w:p w:rsidR="00F717F9" w:rsidRPr="00B406C9" w:rsidRDefault="0007017A" w:rsidP="00B406C9">
      <w:pPr>
        <w:pStyle w:val="Bob1"/>
        <w:tabs>
          <w:tab w:val="clear" w:pos="720"/>
          <w:tab w:val="left" w:pos="1440"/>
        </w:tabs>
        <w:ind w:left="0" w:firstLine="0"/>
        <w:jc w:val="both"/>
      </w:pPr>
      <w:r w:rsidRPr="00687F04">
        <w:t xml:space="preserve">As to </w:t>
      </w:r>
      <w:r w:rsidR="00D648C9" w:rsidRPr="00687F04">
        <w:t xml:space="preserve">the charge relating to the second incident, </w:t>
      </w:r>
      <w:r w:rsidRPr="00687F04">
        <w:t>the</w:t>
      </w:r>
      <w:r w:rsidR="00371895" w:rsidRPr="00687F04">
        <w:t xml:space="preserve"> appellant’s</w:t>
      </w:r>
      <w:r w:rsidRPr="00687F04">
        <w:t xml:space="preserve"> argument </w:t>
      </w:r>
      <w:r w:rsidR="00A96D2C" w:rsidRPr="00687F04">
        <w:t xml:space="preserve">is </w:t>
      </w:r>
      <w:r w:rsidR="00D648C9" w:rsidRPr="00687F04">
        <w:t xml:space="preserve">that </w:t>
      </w:r>
      <w:r w:rsidRPr="00687F04">
        <w:t xml:space="preserve">AI section 11 is </w:t>
      </w:r>
      <w:r w:rsidR="00371895" w:rsidRPr="00687F04">
        <w:t>invalid as a restriction on the guaranteed right</w:t>
      </w:r>
      <w:r w:rsidRPr="00687F04">
        <w:t xml:space="preserve"> because it is </w:t>
      </w:r>
      <w:r w:rsidR="006C2124" w:rsidRPr="00687F04">
        <w:t>legally uncertain and does not</w:t>
      </w:r>
      <w:r w:rsidRPr="00687F04">
        <w:t xml:space="preserve"> constitute a restriction “prescribed by law”.  Mr Pun SC submits that </w:t>
      </w:r>
      <w:r w:rsidR="003E30DB" w:rsidRPr="00687F04">
        <w:t xml:space="preserve">the </w:t>
      </w:r>
      <w:r w:rsidRPr="00687F04">
        <w:t xml:space="preserve">section’s requirement </w:t>
      </w:r>
      <w:r w:rsidR="00FA23E3" w:rsidRPr="00687F04">
        <w:t xml:space="preserve">for one to </w:t>
      </w:r>
      <w:r w:rsidRPr="00B406C9">
        <w:rPr>
          <w:szCs w:val="28"/>
        </w:rPr>
        <w:t>“</w:t>
      </w:r>
      <w:r w:rsidR="00EF03FF">
        <w:rPr>
          <w:szCs w:val="28"/>
        </w:rPr>
        <w:t xml:space="preserve"> ‘</w:t>
      </w:r>
      <w:r w:rsidRPr="00B406C9">
        <w:rPr>
          <w:szCs w:val="28"/>
        </w:rPr>
        <w:t>behave in an orderly manner</w:t>
      </w:r>
      <w:r w:rsidR="00EF03FF">
        <w:rPr>
          <w:szCs w:val="28"/>
        </w:rPr>
        <w:t>’</w:t>
      </w:r>
      <w:r w:rsidRPr="00B406C9">
        <w:rPr>
          <w:szCs w:val="28"/>
        </w:rPr>
        <w:t xml:space="preserve"> ... leaves a person entering or within the precincts of the Chamber of the </w:t>
      </w:r>
      <w:proofErr w:type="spellStart"/>
      <w:r w:rsidRPr="00B406C9">
        <w:rPr>
          <w:szCs w:val="28"/>
        </w:rPr>
        <w:t>LegCo</w:t>
      </w:r>
      <w:proofErr w:type="spellEnd"/>
      <w:r w:rsidRPr="00B406C9">
        <w:rPr>
          <w:szCs w:val="28"/>
        </w:rPr>
        <w:t xml:space="preserve"> </w:t>
      </w:r>
      <w:r w:rsidRPr="00B406C9">
        <w:rPr>
          <w:i/>
          <w:szCs w:val="28"/>
        </w:rPr>
        <w:t>unclear precisely what he must avoid doing</w:t>
      </w:r>
      <w:r w:rsidRPr="00B406C9">
        <w:rPr>
          <w:szCs w:val="28"/>
        </w:rPr>
        <w:t xml:space="preserve"> in order to </w:t>
      </w:r>
      <w:r w:rsidRPr="00B406C9">
        <w:rPr>
          <w:szCs w:val="28"/>
        </w:rPr>
        <w:lastRenderedPageBreak/>
        <w:t xml:space="preserve">avoid committing a criminal offence under section 20(b) of the </w:t>
      </w:r>
      <w:r w:rsidR="00DF5EC9" w:rsidRPr="00B406C9">
        <w:rPr>
          <w:szCs w:val="28"/>
        </w:rPr>
        <w:t>LCPPO</w:t>
      </w:r>
      <w:r w:rsidRPr="00B406C9">
        <w:rPr>
          <w:szCs w:val="28"/>
        </w:rPr>
        <w:t>”.</w:t>
      </w:r>
      <w:r w:rsidRPr="00687F04">
        <w:rPr>
          <w:rStyle w:val="FootnoteReference"/>
          <w:szCs w:val="28"/>
        </w:rPr>
        <w:footnoteReference w:id="19"/>
      </w:r>
      <w:r w:rsidR="00EF03FF">
        <w:rPr>
          <w:szCs w:val="28"/>
        </w:rPr>
        <w:t xml:space="preserve">  </w:t>
      </w:r>
      <w:r w:rsidR="0083643A" w:rsidRPr="00B406C9">
        <w:rPr>
          <w:szCs w:val="28"/>
        </w:rPr>
        <w:t>I shall call this the “</w:t>
      </w:r>
      <w:r w:rsidR="0083643A" w:rsidRPr="00B406C9">
        <w:rPr>
          <w:szCs w:val="28"/>
          <w:u w:val="single"/>
        </w:rPr>
        <w:t>prescribed by law</w:t>
      </w:r>
      <w:r w:rsidR="001E1A98" w:rsidRPr="00B406C9">
        <w:rPr>
          <w:szCs w:val="28"/>
        </w:rPr>
        <w:t>”</w:t>
      </w:r>
      <w:r w:rsidR="0083643A" w:rsidRPr="00B406C9">
        <w:rPr>
          <w:szCs w:val="28"/>
        </w:rPr>
        <w:t xml:space="preserve"> argument.  Mr Pun SC </w:t>
      </w:r>
      <w:r w:rsidR="00FA23E3" w:rsidRPr="00B406C9">
        <w:rPr>
          <w:szCs w:val="28"/>
        </w:rPr>
        <w:t>contends that the Judge</w:t>
      </w:r>
      <w:r w:rsidR="0083643A" w:rsidRPr="00B406C9">
        <w:rPr>
          <w:szCs w:val="28"/>
        </w:rPr>
        <w:t xml:space="preserve"> wrongly </w:t>
      </w:r>
      <w:r w:rsidR="00FA23E3" w:rsidRPr="00B406C9">
        <w:rPr>
          <w:szCs w:val="28"/>
        </w:rPr>
        <w:t>treat</w:t>
      </w:r>
      <w:r w:rsidR="003E30DB" w:rsidRPr="00B406C9">
        <w:rPr>
          <w:szCs w:val="28"/>
        </w:rPr>
        <w:t>ed</w:t>
      </w:r>
      <w:r w:rsidR="006C2124" w:rsidRPr="00B406C9">
        <w:rPr>
          <w:szCs w:val="28"/>
        </w:rPr>
        <w:t xml:space="preserve"> the </w:t>
      </w:r>
      <w:r w:rsidR="00513503" w:rsidRPr="00B406C9">
        <w:rPr>
          <w:szCs w:val="28"/>
        </w:rPr>
        <w:t xml:space="preserve">relevant </w:t>
      </w:r>
      <w:r w:rsidR="00FA23E3" w:rsidRPr="00B406C9">
        <w:rPr>
          <w:szCs w:val="28"/>
        </w:rPr>
        <w:t xml:space="preserve">offence </w:t>
      </w:r>
      <w:r w:rsidR="00513503" w:rsidRPr="00B406C9">
        <w:rPr>
          <w:szCs w:val="28"/>
        </w:rPr>
        <w:t>as having</w:t>
      </w:r>
      <w:r w:rsidR="00FA23E3" w:rsidRPr="00B406C9">
        <w:rPr>
          <w:szCs w:val="28"/>
        </w:rPr>
        <w:t xml:space="preserve"> as one of its elements, a failure to comply with a direction given by an officer of the Council – a</w:t>
      </w:r>
      <w:r w:rsidR="008E583D" w:rsidRPr="00B406C9">
        <w:rPr>
          <w:szCs w:val="28"/>
        </w:rPr>
        <w:t xml:space="preserve">n </w:t>
      </w:r>
      <w:r w:rsidR="002D1362" w:rsidRPr="00B406C9">
        <w:rPr>
          <w:szCs w:val="28"/>
        </w:rPr>
        <w:t xml:space="preserve">erroneous </w:t>
      </w:r>
      <w:r w:rsidR="008E583D" w:rsidRPr="00B406C9">
        <w:rPr>
          <w:szCs w:val="28"/>
        </w:rPr>
        <w:t>approach</w:t>
      </w:r>
      <w:r w:rsidR="00513503" w:rsidRPr="00B406C9">
        <w:rPr>
          <w:szCs w:val="28"/>
        </w:rPr>
        <w:t xml:space="preserve"> </w:t>
      </w:r>
      <w:r w:rsidR="00FA23E3" w:rsidRPr="00B406C9">
        <w:rPr>
          <w:szCs w:val="28"/>
        </w:rPr>
        <w:t xml:space="preserve">based on a misconstruction of AI section 11 and </w:t>
      </w:r>
      <w:r w:rsidR="002D1362" w:rsidRPr="00B406C9">
        <w:rPr>
          <w:szCs w:val="28"/>
        </w:rPr>
        <w:t xml:space="preserve">postulating </w:t>
      </w:r>
      <w:r w:rsidR="00513503" w:rsidRPr="00B406C9">
        <w:rPr>
          <w:szCs w:val="28"/>
        </w:rPr>
        <w:t xml:space="preserve">an offence </w:t>
      </w:r>
      <w:r w:rsidR="00FA23E3" w:rsidRPr="00B406C9">
        <w:rPr>
          <w:szCs w:val="28"/>
        </w:rPr>
        <w:t>with which the appellant was never charged.</w:t>
      </w:r>
    </w:p>
    <w:p w:rsidR="00A67072" w:rsidRPr="00687F04" w:rsidRDefault="00577A28" w:rsidP="00B406C9">
      <w:pPr>
        <w:pStyle w:val="Bob1"/>
        <w:tabs>
          <w:tab w:val="clear" w:pos="720"/>
          <w:tab w:val="left" w:pos="1440"/>
        </w:tabs>
        <w:ind w:left="0" w:firstLine="0"/>
        <w:jc w:val="both"/>
      </w:pPr>
      <w:r w:rsidRPr="00687F04">
        <w:t>In response, Ms Anna Lai SC</w:t>
      </w:r>
      <w:r w:rsidRPr="00687F04">
        <w:rPr>
          <w:rStyle w:val="FootnoteReference"/>
        </w:rPr>
        <w:footnoteReference w:id="20"/>
      </w:r>
      <w:r w:rsidRPr="00687F04">
        <w:t xml:space="preserve"> </w:t>
      </w:r>
      <w:r w:rsidR="001722DF" w:rsidRPr="00687F04">
        <w:t xml:space="preserve">begins by </w:t>
      </w:r>
      <w:r w:rsidRPr="00687F04">
        <w:t>rais</w:t>
      </w:r>
      <w:r w:rsidR="001722DF" w:rsidRPr="00687F04">
        <w:t>ing</w:t>
      </w:r>
      <w:r w:rsidRPr="00687F04">
        <w:t xml:space="preserve"> an important basic issue</w:t>
      </w:r>
      <w:r w:rsidR="007A4CEB" w:rsidRPr="00687F04">
        <w:t>.  She submits</w:t>
      </w:r>
      <w:r w:rsidRPr="00687F04">
        <w:t xml:space="preserve"> that members of the public, including the appellant, “do not have a right to exercise their freedom of expression in the public gallery” of </w:t>
      </w:r>
      <w:proofErr w:type="spellStart"/>
      <w:r w:rsidRPr="00687F04">
        <w:t>LegCo</w:t>
      </w:r>
      <w:proofErr w:type="spellEnd"/>
      <w:r w:rsidRPr="00687F04">
        <w:t xml:space="preserve"> so that “</w:t>
      </w:r>
      <w:r w:rsidRPr="00B406C9">
        <w:rPr>
          <w:szCs w:val="28"/>
        </w:rPr>
        <w:t xml:space="preserve">the constitutional challenges fail </w:t>
      </w:r>
      <w:r w:rsidRPr="00B406C9">
        <w:rPr>
          <w:i/>
          <w:szCs w:val="28"/>
        </w:rPr>
        <w:t xml:space="preserve">in </w:t>
      </w:r>
      <w:proofErr w:type="spellStart"/>
      <w:r w:rsidRPr="00B406C9">
        <w:rPr>
          <w:i/>
          <w:szCs w:val="28"/>
        </w:rPr>
        <w:t>limine</w:t>
      </w:r>
      <w:proofErr w:type="spellEnd"/>
      <w:r w:rsidRPr="00B406C9">
        <w:rPr>
          <w:szCs w:val="28"/>
        </w:rPr>
        <w:t>.”</w:t>
      </w:r>
      <w:r w:rsidRPr="00687F04">
        <w:rPr>
          <w:rStyle w:val="FootnoteReference"/>
          <w:szCs w:val="28"/>
        </w:rPr>
        <w:footnoteReference w:id="21"/>
      </w:r>
      <w:r w:rsidR="008C7CFC" w:rsidRPr="00B406C9">
        <w:rPr>
          <w:szCs w:val="28"/>
        </w:rPr>
        <w:t xml:space="preserve">  This </w:t>
      </w:r>
      <w:r w:rsidR="007A4CEB" w:rsidRPr="00B406C9">
        <w:rPr>
          <w:szCs w:val="28"/>
        </w:rPr>
        <w:t>involves</w:t>
      </w:r>
      <w:r w:rsidR="008C7CFC" w:rsidRPr="00B406C9">
        <w:rPr>
          <w:szCs w:val="28"/>
        </w:rPr>
        <w:t xml:space="preserve"> the proposition, by analogy </w:t>
      </w:r>
      <w:r w:rsidR="00F51A74" w:rsidRPr="00B406C9">
        <w:rPr>
          <w:szCs w:val="28"/>
        </w:rPr>
        <w:t xml:space="preserve">(so it is argued) </w:t>
      </w:r>
      <w:r w:rsidR="008C7CFC" w:rsidRPr="00B406C9">
        <w:rPr>
          <w:szCs w:val="28"/>
        </w:rPr>
        <w:t>with decisions relating to demonstrat</w:t>
      </w:r>
      <w:r w:rsidR="00F51A74" w:rsidRPr="00B406C9">
        <w:rPr>
          <w:szCs w:val="28"/>
        </w:rPr>
        <w:t>ions sought to be mounted</w:t>
      </w:r>
      <w:r w:rsidR="008C7CFC" w:rsidRPr="00B406C9">
        <w:rPr>
          <w:szCs w:val="28"/>
        </w:rPr>
        <w:t xml:space="preserve"> on private property, that there is “no freedom of forum” </w:t>
      </w:r>
      <w:r w:rsidR="007A4CEB" w:rsidRPr="00B406C9">
        <w:rPr>
          <w:szCs w:val="28"/>
        </w:rPr>
        <w:t xml:space="preserve">and </w:t>
      </w:r>
      <w:r w:rsidR="008C7CFC" w:rsidRPr="00B406C9">
        <w:rPr>
          <w:szCs w:val="28"/>
        </w:rPr>
        <w:t xml:space="preserve">that the right to freedom of expression </w:t>
      </w:r>
      <w:r w:rsidR="0004754C" w:rsidRPr="00B406C9">
        <w:rPr>
          <w:szCs w:val="28"/>
        </w:rPr>
        <w:t xml:space="preserve">does not apply </w:t>
      </w:r>
      <w:r w:rsidR="007A4CEB" w:rsidRPr="00B406C9">
        <w:rPr>
          <w:szCs w:val="28"/>
        </w:rPr>
        <w:t xml:space="preserve">if sought </w:t>
      </w:r>
      <w:r w:rsidR="008C7CFC" w:rsidRPr="00B406C9">
        <w:rPr>
          <w:szCs w:val="28"/>
        </w:rPr>
        <w:t>to be exercised on</w:t>
      </w:r>
      <w:r w:rsidR="0004754C" w:rsidRPr="00B406C9">
        <w:rPr>
          <w:szCs w:val="28"/>
        </w:rPr>
        <w:t xml:space="preserve"> government premises to which the general public has not been given free access</w:t>
      </w:r>
      <w:r w:rsidR="008C7CFC" w:rsidRPr="00B406C9">
        <w:rPr>
          <w:szCs w:val="28"/>
        </w:rPr>
        <w:t>.</w:t>
      </w:r>
      <w:r w:rsidR="008C7CFC" w:rsidRPr="00687F04">
        <w:rPr>
          <w:rStyle w:val="FootnoteReference"/>
          <w:szCs w:val="28"/>
        </w:rPr>
        <w:footnoteReference w:id="22"/>
      </w:r>
      <w:r w:rsidR="008C7CFC" w:rsidRPr="00B406C9">
        <w:rPr>
          <w:szCs w:val="28"/>
        </w:rPr>
        <w:t xml:space="preserve"> </w:t>
      </w:r>
      <w:r w:rsidR="0004754C" w:rsidRPr="00B406C9">
        <w:rPr>
          <w:szCs w:val="28"/>
        </w:rPr>
        <w:t xml:space="preserve">The </w:t>
      </w:r>
      <w:r w:rsidR="00CF1403" w:rsidRPr="00B406C9">
        <w:rPr>
          <w:szCs w:val="28"/>
        </w:rPr>
        <w:t>contention</w:t>
      </w:r>
      <w:r w:rsidR="0004754C" w:rsidRPr="00B406C9">
        <w:rPr>
          <w:szCs w:val="28"/>
        </w:rPr>
        <w:t xml:space="preserve"> is that </w:t>
      </w:r>
      <w:r w:rsidR="00022E03" w:rsidRPr="00B406C9">
        <w:rPr>
          <w:szCs w:val="28"/>
        </w:rPr>
        <w:t xml:space="preserve">on </w:t>
      </w:r>
      <w:r w:rsidR="0004754C" w:rsidRPr="00B406C9">
        <w:rPr>
          <w:szCs w:val="28"/>
        </w:rPr>
        <w:t xml:space="preserve">such </w:t>
      </w:r>
      <w:r w:rsidR="00022E03" w:rsidRPr="00B406C9">
        <w:rPr>
          <w:szCs w:val="28"/>
        </w:rPr>
        <w:t xml:space="preserve">properties, the guaranteed right simply does not arise so that there is no room for examining the aim, rationality or proportionality of the restriction.  </w:t>
      </w:r>
      <w:r w:rsidR="008C7CFC" w:rsidRPr="00B406C9">
        <w:rPr>
          <w:szCs w:val="28"/>
        </w:rPr>
        <w:t>I shall call this the “</w:t>
      </w:r>
      <w:r w:rsidR="008C7CFC" w:rsidRPr="00B406C9">
        <w:rPr>
          <w:szCs w:val="28"/>
          <w:u w:val="single"/>
        </w:rPr>
        <w:t>rights not</w:t>
      </w:r>
      <w:r w:rsidR="0004754C" w:rsidRPr="00B406C9">
        <w:rPr>
          <w:szCs w:val="28"/>
          <w:u w:val="single"/>
        </w:rPr>
        <w:t xml:space="preserve"> applicable</w:t>
      </w:r>
      <w:r w:rsidR="001E1A98" w:rsidRPr="00B406C9">
        <w:rPr>
          <w:szCs w:val="28"/>
        </w:rPr>
        <w:t xml:space="preserve">” </w:t>
      </w:r>
      <w:r w:rsidR="008C7CFC" w:rsidRPr="00B406C9">
        <w:rPr>
          <w:szCs w:val="28"/>
        </w:rPr>
        <w:t>argument.</w:t>
      </w:r>
    </w:p>
    <w:p w:rsidR="008C7CFC" w:rsidRPr="00B406C9" w:rsidRDefault="008C7CFC" w:rsidP="00B406C9">
      <w:pPr>
        <w:pStyle w:val="Bob1"/>
        <w:tabs>
          <w:tab w:val="clear" w:pos="720"/>
          <w:tab w:val="left" w:pos="1440"/>
        </w:tabs>
        <w:ind w:left="0" w:firstLine="0"/>
        <w:jc w:val="both"/>
      </w:pPr>
      <w:r w:rsidRPr="00687F04">
        <w:rPr>
          <w:szCs w:val="28"/>
        </w:rPr>
        <w:t>In the alternative, Ms Lai SC submits that if the right</w:t>
      </w:r>
      <w:r w:rsidR="007A4CEB" w:rsidRPr="00687F04">
        <w:rPr>
          <w:szCs w:val="28"/>
        </w:rPr>
        <w:t xml:space="preserve"> is</w:t>
      </w:r>
      <w:r w:rsidRPr="00687F04">
        <w:rPr>
          <w:szCs w:val="28"/>
        </w:rPr>
        <w:t xml:space="preserve"> engaged, the restrictions imposed by AI sections 11 and 12 are </w:t>
      </w:r>
      <w:r w:rsidR="00006346" w:rsidRPr="00687F04">
        <w:rPr>
          <w:szCs w:val="28"/>
        </w:rPr>
        <w:t xml:space="preserve">sufficiently </w:t>
      </w:r>
      <w:r w:rsidRPr="00687F04">
        <w:rPr>
          <w:szCs w:val="28"/>
        </w:rPr>
        <w:t xml:space="preserve">certain and </w:t>
      </w:r>
      <w:r w:rsidR="00006346" w:rsidRPr="00687F04">
        <w:rPr>
          <w:szCs w:val="28"/>
        </w:rPr>
        <w:t>satisfy the test of proportionality, so that they are</w:t>
      </w:r>
      <w:r w:rsidRPr="00687F04">
        <w:rPr>
          <w:szCs w:val="28"/>
        </w:rPr>
        <w:t xml:space="preserve"> </w:t>
      </w:r>
      <w:r w:rsidR="001722DF" w:rsidRPr="00687F04">
        <w:rPr>
          <w:szCs w:val="28"/>
        </w:rPr>
        <w:t>constitutionally valid</w:t>
      </w:r>
      <w:r w:rsidRPr="00687F04">
        <w:rPr>
          <w:szCs w:val="28"/>
        </w:rPr>
        <w:t>.  This responds to Mr Pun SC’s blanket prohibition argument</w:t>
      </w:r>
      <w:r w:rsidR="001722DF" w:rsidRPr="00687F04">
        <w:rPr>
          <w:szCs w:val="28"/>
        </w:rPr>
        <w:t xml:space="preserve"> and </w:t>
      </w:r>
      <w:r w:rsidR="00AC326C" w:rsidRPr="00687F04">
        <w:rPr>
          <w:szCs w:val="28"/>
        </w:rPr>
        <w:t>also to his p</w:t>
      </w:r>
      <w:r w:rsidR="00B406C9">
        <w:rPr>
          <w:szCs w:val="28"/>
        </w:rPr>
        <w:t>rescribed by law argument</w:t>
      </w:r>
      <w:r w:rsidR="00AC326C" w:rsidRPr="00687F04">
        <w:rPr>
          <w:szCs w:val="28"/>
        </w:rPr>
        <w:t>.</w:t>
      </w:r>
    </w:p>
    <w:p w:rsidR="00AC326C" w:rsidRPr="00687F04" w:rsidRDefault="00AC326C" w:rsidP="00B406C9">
      <w:pPr>
        <w:pStyle w:val="Bob1"/>
        <w:tabs>
          <w:tab w:val="clear" w:pos="720"/>
          <w:tab w:val="left" w:pos="1440"/>
        </w:tabs>
        <w:ind w:left="0" w:firstLine="0"/>
        <w:jc w:val="both"/>
      </w:pPr>
      <w:r w:rsidRPr="00B406C9">
        <w:rPr>
          <w:szCs w:val="28"/>
        </w:rPr>
        <w:lastRenderedPageBreak/>
        <w:t>Another issue raised by Ms Lai SC (although said to be “by no means determinative of the issue”</w:t>
      </w:r>
      <w:r w:rsidRPr="00687F04">
        <w:rPr>
          <w:rStyle w:val="FootnoteReference"/>
          <w:szCs w:val="28"/>
        </w:rPr>
        <w:footnoteReference w:id="23"/>
      </w:r>
      <w:r w:rsidRPr="00B406C9">
        <w:rPr>
          <w:szCs w:val="28"/>
        </w:rPr>
        <w:t>)</w:t>
      </w:r>
      <w:r w:rsidR="002520E2" w:rsidRPr="00B406C9">
        <w:rPr>
          <w:szCs w:val="28"/>
        </w:rPr>
        <w:t xml:space="preserve"> involves the </w:t>
      </w:r>
      <w:r w:rsidR="008E1412" w:rsidRPr="00B406C9">
        <w:rPr>
          <w:szCs w:val="28"/>
        </w:rPr>
        <w:t>submission</w:t>
      </w:r>
      <w:r w:rsidR="002520E2" w:rsidRPr="00B406C9">
        <w:rPr>
          <w:szCs w:val="28"/>
        </w:rPr>
        <w:t xml:space="preserve"> that regulation of the admittance and conduct of persons within the precincts of </w:t>
      </w:r>
      <w:proofErr w:type="spellStart"/>
      <w:r w:rsidR="002520E2" w:rsidRPr="00B406C9">
        <w:rPr>
          <w:szCs w:val="28"/>
        </w:rPr>
        <w:t>LegCo</w:t>
      </w:r>
      <w:proofErr w:type="spellEnd"/>
      <w:r w:rsidR="002520E2" w:rsidRPr="00B406C9">
        <w:rPr>
          <w:szCs w:val="28"/>
        </w:rPr>
        <w:t xml:space="preserve"> </w:t>
      </w:r>
      <w:r w:rsidR="001722DF" w:rsidRPr="00B406C9">
        <w:rPr>
          <w:szCs w:val="28"/>
        </w:rPr>
        <w:t>is</w:t>
      </w:r>
      <w:r w:rsidR="002520E2" w:rsidRPr="00B406C9">
        <w:rPr>
          <w:szCs w:val="28"/>
        </w:rPr>
        <w:t xml:space="preserve"> </w:t>
      </w:r>
      <w:r w:rsidR="001722DF" w:rsidRPr="00B406C9">
        <w:rPr>
          <w:szCs w:val="28"/>
        </w:rPr>
        <w:t>an internal matter</w:t>
      </w:r>
      <w:r w:rsidR="002520E2" w:rsidRPr="00B406C9">
        <w:rPr>
          <w:szCs w:val="28"/>
        </w:rPr>
        <w:t xml:space="preserve"> for the legislature so that, applying self-restraint in accordance with the non-intervention principle, the Court should refrain from interfering.  I shall </w:t>
      </w:r>
      <w:r w:rsidR="007A4CEB" w:rsidRPr="00B406C9">
        <w:rPr>
          <w:szCs w:val="28"/>
        </w:rPr>
        <w:t xml:space="preserve">call </w:t>
      </w:r>
      <w:r w:rsidR="002520E2" w:rsidRPr="00B406C9">
        <w:rPr>
          <w:szCs w:val="28"/>
        </w:rPr>
        <w:t>this the “</w:t>
      </w:r>
      <w:r w:rsidR="002520E2" w:rsidRPr="00B406C9">
        <w:rPr>
          <w:szCs w:val="28"/>
          <w:u w:val="single"/>
        </w:rPr>
        <w:t>non-intervention</w:t>
      </w:r>
      <w:r w:rsidR="001E1A98" w:rsidRPr="00B406C9">
        <w:rPr>
          <w:szCs w:val="28"/>
        </w:rPr>
        <w:t>” argument</w:t>
      </w:r>
      <w:r w:rsidR="002520E2" w:rsidRPr="00B406C9">
        <w:rPr>
          <w:szCs w:val="28"/>
        </w:rPr>
        <w:t>.</w:t>
      </w:r>
      <w:r w:rsidR="002520E2" w:rsidRPr="00B406C9">
        <w:rPr>
          <w:szCs w:val="28"/>
          <w:u w:val="single"/>
        </w:rPr>
        <w:t xml:space="preserve"> </w:t>
      </w:r>
    </w:p>
    <w:p w:rsidR="00E4028B" w:rsidRPr="00687F04" w:rsidRDefault="00B243F1" w:rsidP="00EF03FF">
      <w:pPr>
        <w:pStyle w:val="docmapheading"/>
      </w:pPr>
      <w:r w:rsidRPr="00687F04">
        <w:t>E</w:t>
      </w:r>
      <w:r w:rsidR="006078D7" w:rsidRPr="00687F04">
        <w:t>.</w:t>
      </w:r>
      <w:r w:rsidR="006078D7" w:rsidRPr="00687F04">
        <w:tab/>
        <w:t xml:space="preserve">The </w:t>
      </w:r>
      <w:r w:rsidR="001E1A98" w:rsidRPr="00687F04">
        <w:t>“</w:t>
      </w:r>
      <w:r w:rsidR="0004754C" w:rsidRPr="00687F04">
        <w:t>rights not applicable</w:t>
      </w:r>
      <w:r w:rsidR="001E1A98" w:rsidRPr="00687F04">
        <w:t>”</w:t>
      </w:r>
      <w:r w:rsidR="00650442" w:rsidRPr="00687F04">
        <w:t xml:space="preserve"> argument</w:t>
      </w:r>
    </w:p>
    <w:p w:rsidR="006078D7" w:rsidRPr="00687F04" w:rsidRDefault="00E4028B" w:rsidP="00EF03FF">
      <w:pPr>
        <w:pStyle w:val="docmapheading"/>
      </w:pPr>
      <w:r w:rsidRPr="00687F04">
        <w:t>E.1</w:t>
      </w:r>
      <w:r w:rsidRPr="00687F04">
        <w:tab/>
        <w:t>The nature and basis of the argument</w:t>
      </w:r>
      <w:r w:rsidR="00650442" w:rsidRPr="00687F04">
        <w:t xml:space="preserve"> </w:t>
      </w:r>
    </w:p>
    <w:p w:rsidR="00A64D01" w:rsidRPr="00B406C9" w:rsidRDefault="0052240B" w:rsidP="00B406C9">
      <w:pPr>
        <w:pStyle w:val="Bob1"/>
        <w:tabs>
          <w:tab w:val="clear" w:pos="720"/>
          <w:tab w:val="left" w:pos="1440"/>
        </w:tabs>
        <w:ind w:left="0" w:firstLine="0"/>
        <w:jc w:val="both"/>
        <w:rPr>
          <w:rFonts w:eastAsia="宋体"/>
          <w:szCs w:val="28"/>
        </w:rPr>
      </w:pPr>
      <w:r w:rsidRPr="00687F04">
        <w:t>S</w:t>
      </w:r>
      <w:r w:rsidR="00650442" w:rsidRPr="00687F04">
        <w:t xml:space="preserve">ince it involves the submission that the constitutional challenge fails </w:t>
      </w:r>
      <w:r w:rsidR="00650442" w:rsidRPr="00687F04">
        <w:rPr>
          <w:i/>
        </w:rPr>
        <w:t xml:space="preserve">in </w:t>
      </w:r>
      <w:proofErr w:type="spellStart"/>
      <w:r w:rsidR="00650442" w:rsidRPr="00687F04">
        <w:rPr>
          <w:i/>
        </w:rPr>
        <w:t>limine</w:t>
      </w:r>
      <w:proofErr w:type="spellEnd"/>
      <w:r w:rsidR="00650442" w:rsidRPr="00687F04">
        <w:t xml:space="preserve">, </w:t>
      </w:r>
      <w:r w:rsidR="00F3452A" w:rsidRPr="00687F04">
        <w:t xml:space="preserve">I shall deal first with </w:t>
      </w:r>
      <w:r w:rsidR="00650442" w:rsidRPr="00687F04">
        <w:t xml:space="preserve">the </w:t>
      </w:r>
      <w:r w:rsidR="0004754C" w:rsidRPr="00687F04">
        <w:t>“rights not applicable” argument</w:t>
      </w:r>
      <w:r w:rsidR="00650442" w:rsidRPr="00687F04">
        <w:t>.</w:t>
      </w:r>
      <w:r w:rsidR="00F3452A" w:rsidRPr="00687F04">
        <w:t xml:space="preserve">  </w:t>
      </w:r>
    </w:p>
    <w:p w:rsidR="0004754C" w:rsidRPr="00B406C9" w:rsidRDefault="009D04B7" w:rsidP="00B406C9">
      <w:pPr>
        <w:pStyle w:val="Bob1"/>
        <w:tabs>
          <w:tab w:val="clear" w:pos="720"/>
          <w:tab w:val="left" w:pos="1440"/>
        </w:tabs>
        <w:ind w:left="0" w:firstLine="0"/>
        <w:jc w:val="both"/>
        <w:rPr>
          <w:rFonts w:eastAsia="宋体"/>
          <w:szCs w:val="28"/>
        </w:rPr>
      </w:pPr>
      <w:r w:rsidRPr="00687F04">
        <w:t>Ms Lai SC submit</w:t>
      </w:r>
      <w:r w:rsidR="00FE2949">
        <w:t>s</w:t>
      </w:r>
      <w:r w:rsidRPr="00687F04">
        <w:t xml:space="preserve"> that the right of free expression </w:t>
      </w:r>
      <w:r w:rsidR="00FE2949">
        <w:t>is</w:t>
      </w:r>
      <w:r w:rsidRPr="00687F04">
        <w:t xml:space="preserve"> not engaged in the present case because members of the public are not </w:t>
      </w:r>
      <w:r w:rsidR="0019669F" w:rsidRPr="00687F04">
        <w:t xml:space="preserve">given free access </w:t>
      </w:r>
      <w:r w:rsidRPr="00687F04">
        <w:t xml:space="preserve">to </w:t>
      </w:r>
      <w:r w:rsidR="00313E15" w:rsidRPr="00687F04">
        <w:t xml:space="preserve">the </w:t>
      </w:r>
      <w:proofErr w:type="spellStart"/>
      <w:r w:rsidRPr="00687F04">
        <w:t>LegCo</w:t>
      </w:r>
      <w:proofErr w:type="spellEnd"/>
      <w:r w:rsidRPr="00687F04">
        <w:t xml:space="preserve"> </w:t>
      </w:r>
      <w:r w:rsidR="00313E15" w:rsidRPr="00687F04">
        <w:t xml:space="preserve">complex </w:t>
      </w:r>
      <w:r w:rsidRPr="00687F04">
        <w:t>and be</w:t>
      </w:r>
      <w:r w:rsidR="0019669F" w:rsidRPr="00687F04">
        <w:t>cause those that are allowed in only</w:t>
      </w:r>
      <w:r w:rsidRPr="00687F04">
        <w:t xml:space="preserve"> enter subject to restrictions</w:t>
      </w:r>
      <w:r w:rsidR="00A64D01" w:rsidRPr="00687F04">
        <w:t xml:space="preserve"> on their conduct</w:t>
      </w:r>
      <w:r w:rsidRPr="00687F04">
        <w:t xml:space="preserve">.  </w:t>
      </w:r>
      <w:r w:rsidR="008829F1" w:rsidRPr="00687F04">
        <w:t xml:space="preserve">Since </w:t>
      </w:r>
      <w:proofErr w:type="spellStart"/>
      <w:r w:rsidR="00313E15" w:rsidRPr="00687F04">
        <w:t>LegCo</w:t>
      </w:r>
      <w:proofErr w:type="spellEnd"/>
      <w:r w:rsidR="00A64D01" w:rsidRPr="00687F04">
        <w:t xml:space="preserve">, in common with </w:t>
      </w:r>
      <w:r w:rsidR="00313E15" w:rsidRPr="00687F04">
        <w:t>the Government in relation to government</w:t>
      </w:r>
      <w:r w:rsidR="0019669F" w:rsidRPr="00687F04">
        <w:t xml:space="preserve">-owned properties, is </w:t>
      </w:r>
      <w:r w:rsidR="00A64D01" w:rsidRPr="00687F04">
        <w:t xml:space="preserve">entitled </w:t>
      </w:r>
      <w:r w:rsidR="00313E15" w:rsidRPr="00687F04">
        <w:t xml:space="preserve">to exercise its property rights so as to deny or restrict access to the </w:t>
      </w:r>
      <w:proofErr w:type="spellStart"/>
      <w:r w:rsidR="00313E15" w:rsidRPr="00687F04">
        <w:t>LegCo</w:t>
      </w:r>
      <w:proofErr w:type="spellEnd"/>
      <w:r w:rsidR="00313E15" w:rsidRPr="00687F04">
        <w:t xml:space="preserve"> complex, no one </w:t>
      </w:r>
      <w:r w:rsidR="008829F1" w:rsidRPr="00687F04">
        <w:t xml:space="preserve">(so it </w:t>
      </w:r>
      <w:r w:rsidR="00FE2949">
        <w:t>is</w:t>
      </w:r>
      <w:r w:rsidR="008829F1" w:rsidRPr="00687F04">
        <w:t xml:space="preserve"> argued) </w:t>
      </w:r>
      <w:r w:rsidR="00313E15" w:rsidRPr="00687F04">
        <w:t>c</w:t>
      </w:r>
      <w:r w:rsidR="0019669F" w:rsidRPr="00687F04">
        <w:t>an</w:t>
      </w:r>
      <w:r w:rsidR="00313E15" w:rsidRPr="00687F04">
        <w:t xml:space="preserve"> assert a right to be admitted</w:t>
      </w:r>
      <w:r w:rsidR="008829F1" w:rsidRPr="00687F04">
        <w:t xml:space="preserve"> and if admitted, no one </w:t>
      </w:r>
      <w:r w:rsidR="0019669F" w:rsidRPr="00687F04">
        <w:t xml:space="preserve">can </w:t>
      </w:r>
      <w:r w:rsidR="008829F1" w:rsidRPr="00687F04">
        <w:t xml:space="preserve">object to restrictions </w:t>
      </w:r>
      <w:r w:rsidR="0019669F" w:rsidRPr="00687F04">
        <w:t xml:space="preserve">being </w:t>
      </w:r>
      <w:r w:rsidR="008829F1" w:rsidRPr="00687F04">
        <w:t xml:space="preserve">placed on their conduct </w:t>
      </w:r>
      <w:r w:rsidR="0019669F" w:rsidRPr="00687F04">
        <w:t xml:space="preserve">by invoking </w:t>
      </w:r>
      <w:r w:rsidR="008829F1" w:rsidRPr="00687F04">
        <w:t>the right to freedom of expression.</w:t>
      </w:r>
    </w:p>
    <w:p w:rsidR="0055066E" w:rsidRPr="00B406C9" w:rsidRDefault="0055066E" w:rsidP="00B406C9">
      <w:pPr>
        <w:pStyle w:val="Bob1"/>
        <w:tabs>
          <w:tab w:val="clear" w:pos="720"/>
          <w:tab w:val="left" w:pos="1440"/>
        </w:tabs>
        <w:ind w:left="0" w:firstLine="0"/>
        <w:jc w:val="both"/>
        <w:rPr>
          <w:rFonts w:eastAsia="宋体"/>
          <w:szCs w:val="28"/>
        </w:rPr>
      </w:pPr>
      <w:r w:rsidRPr="00687F04">
        <w:t>This argument was accepted by Wong J who held:</w:t>
      </w:r>
    </w:p>
    <w:p w:rsidR="0055066E" w:rsidRPr="00687F04" w:rsidRDefault="0055066E" w:rsidP="00B406C9">
      <w:pPr>
        <w:pStyle w:val="Bob1"/>
        <w:numPr>
          <w:ilvl w:val="0"/>
          <w:numId w:val="0"/>
        </w:numPr>
        <w:spacing w:line="240" w:lineRule="auto"/>
        <w:ind w:left="720"/>
        <w:jc w:val="both"/>
        <w:rPr>
          <w:rFonts w:eastAsia="PMingLiU" w:cs="宋体"/>
          <w:sz w:val="24"/>
          <w:szCs w:val="28"/>
        </w:rPr>
      </w:pPr>
      <w:r w:rsidRPr="00687F04">
        <w:rPr>
          <w:sz w:val="24"/>
        </w:rPr>
        <w:t>“</w:t>
      </w:r>
      <w:r w:rsidRPr="00687F04">
        <w:rPr>
          <w:rFonts w:eastAsia="PMingLiU" w:cs="宋体" w:hint="eastAsia"/>
          <w:sz w:val="24"/>
          <w:szCs w:val="28"/>
        </w:rPr>
        <w:t xml:space="preserve">Members of the public do not have the right to demonstrate in the Legislative Council Building, especially when meetings are in session. Having regard to the principle discussed in </w:t>
      </w:r>
      <w:r w:rsidRPr="00687F04">
        <w:rPr>
          <w:rFonts w:eastAsia="PMingLiU" w:cs="宋体"/>
          <w:sz w:val="24"/>
          <w:szCs w:val="28"/>
        </w:rPr>
        <w:t xml:space="preserve">paragraphs </w:t>
      </w:r>
      <w:r w:rsidRPr="00687F04">
        <w:rPr>
          <w:rFonts w:eastAsia="PMingLiU" w:cs="宋体" w:hint="eastAsia"/>
          <w:sz w:val="24"/>
          <w:szCs w:val="28"/>
        </w:rPr>
        <w:t>23 and 24 of this judgment,</w:t>
      </w:r>
      <w:r w:rsidR="009765EE" w:rsidRPr="00687F04">
        <w:rPr>
          <w:rStyle w:val="FootnoteReference"/>
          <w:rFonts w:eastAsia="PMingLiU" w:cs="宋体"/>
          <w:sz w:val="24"/>
          <w:szCs w:val="28"/>
        </w:rPr>
        <w:footnoteReference w:id="24"/>
      </w:r>
      <w:r w:rsidRPr="00687F04">
        <w:rPr>
          <w:rFonts w:eastAsia="PMingLiU" w:cs="宋体" w:hint="eastAsia"/>
          <w:sz w:val="24"/>
          <w:szCs w:val="28"/>
        </w:rPr>
        <w:t xml:space="preserve"> I take the view that the rights the appellants mentioned have not been infringed. Neither the Basic Law nor the Bill of Rights give</w:t>
      </w:r>
      <w:r w:rsidRPr="00687F04">
        <w:rPr>
          <w:rFonts w:cs="宋体" w:hint="eastAsia"/>
          <w:sz w:val="24"/>
          <w:szCs w:val="28"/>
        </w:rPr>
        <w:t>s</w:t>
      </w:r>
      <w:r w:rsidRPr="00687F04">
        <w:rPr>
          <w:rFonts w:eastAsia="PMingLiU" w:cs="宋体" w:hint="eastAsia"/>
          <w:sz w:val="24"/>
          <w:szCs w:val="28"/>
        </w:rPr>
        <w:t xml:space="preserve"> members of the public the </w:t>
      </w:r>
      <w:r w:rsidRPr="00687F04">
        <w:rPr>
          <w:rFonts w:eastAsia="PMingLiU" w:cs="宋体"/>
          <w:sz w:val="24"/>
          <w:szCs w:val="28"/>
        </w:rPr>
        <w:t xml:space="preserve">freedom </w:t>
      </w:r>
      <w:r w:rsidRPr="00687F04">
        <w:rPr>
          <w:rFonts w:eastAsia="PMingLiU" w:cs="宋体" w:hint="eastAsia"/>
          <w:sz w:val="24"/>
          <w:szCs w:val="28"/>
        </w:rPr>
        <w:t xml:space="preserve">to exercise such rights inside the </w:t>
      </w:r>
      <w:r w:rsidRPr="00687F04">
        <w:rPr>
          <w:rFonts w:eastAsia="PMingLiU" w:cs="宋体" w:hint="eastAsia"/>
          <w:sz w:val="24"/>
          <w:szCs w:val="28"/>
        </w:rPr>
        <w:lastRenderedPageBreak/>
        <w:t>Legislative Council Chamber, especially when they in fact do not have the absolute right to enter the Chamber.</w:t>
      </w:r>
      <w:r w:rsidRPr="00687F04">
        <w:rPr>
          <w:rFonts w:eastAsia="PMingLiU" w:cs="宋体"/>
          <w:sz w:val="24"/>
          <w:szCs w:val="28"/>
        </w:rPr>
        <w:t>”</w:t>
      </w:r>
      <w:r w:rsidRPr="00687F04">
        <w:rPr>
          <w:rStyle w:val="FootnoteReference"/>
          <w:rFonts w:eastAsia="PMingLiU" w:cs="宋体"/>
          <w:sz w:val="24"/>
          <w:szCs w:val="28"/>
        </w:rPr>
        <w:footnoteReference w:id="25"/>
      </w:r>
    </w:p>
    <w:p w:rsidR="0055066E" w:rsidRDefault="00CF17A2" w:rsidP="00B406C9">
      <w:pPr>
        <w:pStyle w:val="Bob1"/>
        <w:numPr>
          <w:ilvl w:val="0"/>
          <w:numId w:val="1"/>
        </w:numPr>
        <w:tabs>
          <w:tab w:val="clear" w:pos="720"/>
          <w:tab w:val="left" w:pos="1440"/>
        </w:tabs>
        <w:ind w:left="0" w:firstLine="0"/>
        <w:jc w:val="both"/>
      </w:pPr>
      <w:r w:rsidRPr="00687F04">
        <w:t xml:space="preserve">A similar argument was made in the Canadian Supreme Court in </w:t>
      </w:r>
      <w:r w:rsidRPr="00687F04">
        <w:rPr>
          <w:i/>
        </w:rPr>
        <w:t>Committee for the Commonwealth of Canada v Canada</w:t>
      </w:r>
      <w:r w:rsidR="009765EE" w:rsidRPr="00687F04">
        <w:t>,</w:t>
      </w:r>
      <w:r w:rsidRPr="00687F04">
        <w:rPr>
          <w:rStyle w:val="FootnoteReference"/>
          <w:rFonts w:eastAsia="宋体"/>
          <w:szCs w:val="28"/>
        </w:rPr>
        <w:footnoteReference w:id="26"/>
      </w:r>
      <w:r w:rsidRPr="00687F04">
        <w:t xml:space="preserve"> </w:t>
      </w:r>
      <w:r w:rsidR="009765EE" w:rsidRPr="00687F04">
        <w:t xml:space="preserve">a case </w:t>
      </w:r>
      <w:r w:rsidR="008A05D3" w:rsidRPr="00687F04">
        <w:t xml:space="preserve">in </w:t>
      </w:r>
      <w:r w:rsidRPr="00687F04">
        <w:t xml:space="preserve">which </w:t>
      </w:r>
      <w:r w:rsidR="008A05D3" w:rsidRPr="00687F04">
        <w:t xml:space="preserve">the </w:t>
      </w:r>
      <w:r w:rsidRPr="00687F04">
        <w:t xml:space="preserve">respondents had been distributing leaflets and </w:t>
      </w:r>
      <w:r w:rsidR="00C140B1">
        <w:t>engaging</w:t>
      </w:r>
      <w:r w:rsidRPr="00687F04">
        <w:t xml:space="preserve"> passers-by in discussion of the respondents’ political aims in the </w:t>
      </w:r>
      <w:r w:rsidR="008A05D3" w:rsidRPr="00687F04">
        <w:t xml:space="preserve">state-owned </w:t>
      </w:r>
      <w:r w:rsidRPr="00687F04">
        <w:t>pa</w:t>
      </w:r>
      <w:r w:rsidR="005917C8" w:rsidRPr="00687F04">
        <w:t>ssenger terminal of Montreal’s Dorval A</w:t>
      </w:r>
      <w:r w:rsidRPr="00687F04">
        <w:t xml:space="preserve">irport.   The question was whether the respondents were entitled to rely on the right of free expression guaranteed by </w:t>
      </w:r>
      <w:r w:rsidRPr="00687F04">
        <w:rPr>
          <w:rFonts w:eastAsia="宋体"/>
          <w:szCs w:val="28"/>
        </w:rPr>
        <w:t>section 2(b) of the Canadian Charter of Rights and Freedoms</w:t>
      </w:r>
      <w:r w:rsidRPr="00687F04">
        <w:rPr>
          <w:rStyle w:val="FootnoteReference"/>
          <w:rFonts w:eastAsia="宋体"/>
          <w:szCs w:val="28"/>
        </w:rPr>
        <w:footnoteReference w:id="27"/>
      </w:r>
      <w:r w:rsidRPr="00687F04">
        <w:rPr>
          <w:rFonts w:eastAsia="宋体"/>
          <w:szCs w:val="28"/>
        </w:rPr>
        <w:t xml:space="preserve"> so as to require the government to justify restricting their </w:t>
      </w:r>
      <w:r w:rsidR="008A05D3" w:rsidRPr="00687F04">
        <w:rPr>
          <w:rFonts w:eastAsia="宋体"/>
          <w:szCs w:val="28"/>
        </w:rPr>
        <w:t xml:space="preserve">canvassing </w:t>
      </w:r>
      <w:r w:rsidRPr="00687F04">
        <w:rPr>
          <w:rFonts w:eastAsia="宋体"/>
          <w:szCs w:val="28"/>
        </w:rPr>
        <w:t xml:space="preserve">activities in accordance with </w:t>
      </w:r>
      <w:r w:rsidRPr="00687F04">
        <w:t>section 1 of the Charter.</w:t>
      </w:r>
      <w:r w:rsidRPr="00687F04">
        <w:rPr>
          <w:rStyle w:val="FootnoteReference"/>
        </w:rPr>
        <w:footnoteReference w:id="28"/>
      </w:r>
    </w:p>
    <w:p w:rsidR="002B196F" w:rsidRPr="00B406C9" w:rsidRDefault="009765EE" w:rsidP="00B406C9">
      <w:pPr>
        <w:pStyle w:val="Bob1"/>
        <w:numPr>
          <w:ilvl w:val="0"/>
          <w:numId w:val="1"/>
        </w:numPr>
        <w:tabs>
          <w:tab w:val="clear" w:pos="720"/>
          <w:tab w:val="left" w:pos="1440"/>
        </w:tabs>
        <w:ind w:left="0" w:firstLine="0"/>
        <w:jc w:val="both"/>
      </w:pPr>
      <w:r w:rsidRPr="00687F04">
        <w:t xml:space="preserve">One line of argument which is echoed by Wong J’s judgment and the respondent’s submissions, is what </w:t>
      </w:r>
      <w:proofErr w:type="spellStart"/>
      <w:r w:rsidRPr="00687F04">
        <w:t>L'Heureux-Dubé</w:t>
      </w:r>
      <w:proofErr w:type="spellEnd"/>
      <w:r w:rsidRPr="00687F04">
        <w:t xml:space="preserve"> J called the “hard line” taken by the Canadian Government in that case, “submitting that as owner of property, the government has the right to exclude whomever it wants, and to impose conditions on invitees to its property without limitation by the Charter”.</w:t>
      </w:r>
      <w:r w:rsidRPr="00687F04">
        <w:rPr>
          <w:rStyle w:val="FootnoteReference"/>
        </w:rPr>
        <w:footnoteReference w:id="29"/>
      </w:r>
      <w:r w:rsidR="002B196F" w:rsidRPr="00687F04">
        <w:t xml:space="preserve">  As </w:t>
      </w:r>
      <w:proofErr w:type="spellStart"/>
      <w:r w:rsidR="002B196F" w:rsidRPr="00687F04">
        <w:t>McLachlin</w:t>
      </w:r>
      <w:proofErr w:type="spellEnd"/>
      <w:r w:rsidR="002B196F" w:rsidRPr="00687F04">
        <w:t xml:space="preserve"> J explained, the Government’s position was that:</w:t>
      </w:r>
    </w:p>
    <w:p w:rsidR="002B196F" w:rsidRPr="00687F04" w:rsidRDefault="002B196F" w:rsidP="00B406C9">
      <w:pPr>
        <w:pStyle w:val="NormalIndent"/>
      </w:pPr>
      <w:r w:rsidRPr="00687F04">
        <w:t xml:space="preserve">“...there is no constitutional right to use any of its property for purposes of public expression. Only with its permission and where it considers it appropriate should individuals and groups be permitted to speak and demonstrate. The government submits that as the owner of all such property, it has the absolute right to exclude the use of the property for public expression if it chooses. It relies on the fact that the owners of property are generally entitled to control who enters on it and how it is used, a right </w:t>
      </w:r>
      <w:r w:rsidRPr="00687F04">
        <w:lastRenderedPageBreak/>
        <w:t>which extends to the right to control expression on their property. The Crown, it contends, should be placed in no worse position than a private property owner.”</w:t>
      </w:r>
      <w:r w:rsidRPr="00687F04">
        <w:rPr>
          <w:rStyle w:val="FootnoteReference"/>
        </w:rPr>
        <w:footnoteReference w:id="30"/>
      </w:r>
      <w:r w:rsidRPr="00687F04">
        <w:t xml:space="preserve"> </w:t>
      </w:r>
    </w:p>
    <w:p w:rsidR="00E4028B" w:rsidRPr="00687F04" w:rsidRDefault="00E4028B" w:rsidP="004E6285">
      <w:pPr>
        <w:pStyle w:val="Bob1"/>
        <w:tabs>
          <w:tab w:val="clear" w:pos="720"/>
          <w:tab w:val="left" w:pos="1440"/>
        </w:tabs>
        <w:ind w:left="0" w:firstLine="0"/>
        <w:jc w:val="both"/>
        <w:rPr>
          <w:lang w:eastAsia="zh-TW"/>
        </w:rPr>
      </w:pPr>
      <w:r w:rsidRPr="00687F04">
        <w:rPr>
          <w:lang w:eastAsia="zh-TW"/>
        </w:rPr>
        <w:t xml:space="preserve">In my view, for </w:t>
      </w:r>
      <w:r w:rsidR="005917C8" w:rsidRPr="00687F04">
        <w:rPr>
          <w:lang w:eastAsia="zh-TW"/>
        </w:rPr>
        <w:t xml:space="preserve">the following </w:t>
      </w:r>
      <w:r w:rsidRPr="00687F04">
        <w:rPr>
          <w:lang w:eastAsia="zh-TW"/>
        </w:rPr>
        <w:t>reasons, the “rights not applicable” argument cannot be accepted.</w:t>
      </w:r>
    </w:p>
    <w:p w:rsidR="00E4028B" w:rsidRPr="00687F04" w:rsidRDefault="00E4028B" w:rsidP="00EF03FF">
      <w:pPr>
        <w:pStyle w:val="docmapheading"/>
      </w:pPr>
      <w:r w:rsidRPr="00687F04">
        <w:t>E.2</w:t>
      </w:r>
      <w:r w:rsidRPr="00687F04">
        <w:tab/>
        <w:t xml:space="preserve">Fundamental rights not </w:t>
      </w:r>
      <w:r w:rsidR="00E75B47" w:rsidRPr="00687F04">
        <w:t xml:space="preserve">trumped by </w:t>
      </w:r>
      <w:r w:rsidRPr="00687F04">
        <w:t>property rights</w:t>
      </w:r>
    </w:p>
    <w:p w:rsidR="000265A5" w:rsidRDefault="000265A5" w:rsidP="004E6285">
      <w:pPr>
        <w:pStyle w:val="Bob1"/>
        <w:tabs>
          <w:tab w:val="clear" w:pos="720"/>
          <w:tab w:val="left" w:pos="1440"/>
        </w:tabs>
        <w:ind w:left="0" w:firstLine="0"/>
        <w:jc w:val="both"/>
        <w:rPr>
          <w:rFonts w:eastAsia="宋体"/>
          <w:szCs w:val="28"/>
        </w:rPr>
      </w:pPr>
      <w:r w:rsidRPr="00687F04">
        <w:rPr>
          <w:rFonts w:eastAsia="宋体"/>
          <w:szCs w:val="28"/>
        </w:rPr>
        <w:t xml:space="preserve">The argument takes as its premise the existence of an entitlement on the part of the Government </w:t>
      </w:r>
      <w:r w:rsidR="005917C8" w:rsidRPr="00687F04">
        <w:rPr>
          <w:rFonts w:eastAsia="宋体"/>
          <w:szCs w:val="28"/>
        </w:rPr>
        <w:t xml:space="preserve">(or </w:t>
      </w:r>
      <w:proofErr w:type="spellStart"/>
      <w:r w:rsidR="005917C8" w:rsidRPr="00687F04">
        <w:rPr>
          <w:rFonts w:eastAsia="宋体"/>
          <w:szCs w:val="28"/>
        </w:rPr>
        <w:t>LegCo</w:t>
      </w:r>
      <w:proofErr w:type="spellEnd"/>
      <w:r w:rsidR="005917C8" w:rsidRPr="00687F04">
        <w:rPr>
          <w:rFonts w:eastAsia="宋体"/>
          <w:szCs w:val="28"/>
        </w:rPr>
        <w:t xml:space="preserve"> in this case) </w:t>
      </w:r>
      <w:r w:rsidRPr="00687F04">
        <w:rPr>
          <w:rFonts w:eastAsia="宋体"/>
          <w:szCs w:val="28"/>
        </w:rPr>
        <w:t>as property owner to exclude the public.  It reasons from that premise to the conclusion that the guaranteed right of freedom of expression is excluded.  It therefore subjugates a fundamental constitutional right to property interests, leaving the applicability or otherwise of that right to the unfettered choice of a Government agency</w:t>
      </w:r>
      <w:r w:rsidR="00E92507">
        <w:rPr>
          <w:rFonts w:eastAsia="宋体"/>
          <w:szCs w:val="28"/>
        </w:rPr>
        <w:t xml:space="preserve"> regarding the grant of access</w:t>
      </w:r>
      <w:r w:rsidRPr="00687F04">
        <w:rPr>
          <w:rFonts w:eastAsia="宋体"/>
          <w:szCs w:val="28"/>
        </w:rPr>
        <w:t xml:space="preserve">. </w:t>
      </w:r>
    </w:p>
    <w:p w:rsidR="000265A5" w:rsidRDefault="000265A5" w:rsidP="004E6285">
      <w:pPr>
        <w:pStyle w:val="Bob1"/>
        <w:tabs>
          <w:tab w:val="clear" w:pos="720"/>
          <w:tab w:val="left" w:pos="1440"/>
        </w:tabs>
        <w:ind w:left="0" w:firstLine="0"/>
        <w:jc w:val="both"/>
        <w:rPr>
          <w:rFonts w:eastAsia="宋体"/>
          <w:szCs w:val="28"/>
        </w:rPr>
      </w:pPr>
      <w:r w:rsidRPr="004E6285">
        <w:rPr>
          <w:rFonts w:eastAsia="宋体"/>
          <w:szCs w:val="28"/>
        </w:rPr>
        <w:t xml:space="preserve">Such an argument is, in my view, wrong in principle.  </w:t>
      </w:r>
      <w:r w:rsidR="004C3F65" w:rsidRPr="004E6285">
        <w:rPr>
          <w:rFonts w:eastAsia="宋体"/>
          <w:szCs w:val="28"/>
        </w:rPr>
        <w:t xml:space="preserve">As </w:t>
      </w:r>
      <w:r w:rsidR="00500CFA" w:rsidRPr="004E6285">
        <w:rPr>
          <w:rFonts w:eastAsia="宋体"/>
          <w:szCs w:val="28"/>
        </w:rPr>
        <w:t xml:space="preserve">BL </w:t>
      </w:r>
      <w:r w:rsidR="004C3F65" w:rsidRPr="004E6285">
        <w:rPr>
          <w:rFonts w:eastAsia="宋体"/>
          <w:szCs w:val="28"/>
        </w:rPr>
        <w:t>8 makes clear,</w:t>
      </w:r>
      <w:r w:rsidR="008B2BE4" w:rsidRPr="00687F04">
        <w:rPr>
          <w:rStyle w:val="FootnoteReference"/>
          <w:rFonts w:eastAsia="宋体"/>
          <w:szCs w:val="28"/>
        </w:rPr>
        <w:footnoteReference w:id="31"/>
      </w:r>
      <w:r w:rsidR="004C3F65" w:rsidRPr="004E6285">
        <w:rPr>
          <w:rFonts w:eastAsia="宋体"/>
          <w:szCs w:val="28"/>
        </w:rPr>
        <w:t xml:space="preserve"> a</w:t>
      </w:r>
      <w:r w:rsidR="004A376D" w:rsidRPr="004E6285">
        <w:rPr>
          <w:rFonts w:eastAsia="宋体"/>
          <w:szCs w:val="28"/>
        </w:rPr>
        <w:t>n existing</w:t>
      </w:r>
      <w:r w:rsidRPr="004E6285">
        <w:rPr>
          <w:rFonts w:eastAsia="宋体"/>
          <w:szCs w:val="28"/>
        </w:rPr>
        <w:t xml:space="preserve"> statutory or common law rule which comes into conflict with a constitutional </w:t>
      </w:r>
      <w:r w:rsidR="004C3F65" w:rsidRPr="004E6285">
        <w:rPr>
          <w:rFonts w:eastAsia="宋体"/>
          <w:szCs w:val="28"/>
        </w:rPr>
        <w:t xml:space="preserve">requirement </w:t>
      </w:r>
      <w:r w:rsidRPr="004E6285">
        <w:rPr>
          <w:rFonts w:eastAsia="宋体"/>
          <w:szCs w:val="28"/>
        </w:rPr>
        <w:t>must give way.  The “rights not applicable” ar</w:t>
      </w:r>
      <w:r w:rsidR="00FE2949" w:rsidRPr="004E6285">
        <w:rPr>
          <w:rFonts w:eastAsia="宋体"/>
          <w:szCs w:val="28"/>
        </w:rPr>
        <w:t>gument inverts this principle.</w:t>
      </w:r>
    </w:p>
    <w:p w:rsidR="005263B7" w:rsidRPr="004E6285" w:rsidRDefault="00082933" w:rsidP="004E6285">
      <w:pPr>
        <w:pStyle w:val="Bob1"/>
        <w:tabs>
          <w:tab w:val="clear" w:pos="720"/>
          <w:tab w:val="left" w:pos="1440"/>
        </w:tabs>
        <w:ind w:left="0" w:firstLine="0"/>
        <w:jc w:val="both"/>
        <w:rPr>
          <w:rFonts w:eastAsia="宋体"/>
          <w:szCs w:val="28"/>
        </w:rPr>
      </w:pPr>
      <w:r w:rsidRPr="00687F04">
        <w:t>For similar reasons, t</w:t>
      </w:r>
      <w:r w:rsidR="00E4028B" w:rsidRPr="00687F04">
        <w:t xml:space="preserve">he Canadian Government’s “hard line” argument in the </w:t>
      </w:r>
      <w:r w:rsidRPr="00687F04">
        <w:t xml:space="preserve">Montreal </w:t>
      </w:r>
      <w:r w:rsidR="00E4028B" w:rsidRPr="00687F04">
        <w:t xml:space="preserve">Airport case did not find favour with any of the judges.  </w:t>
      </w:r>
      <w:r w:rsidR="005263B7" w:rsidRPr="00687F04">
        <w:t xml:space="preserve">As Lamer CJ put it: </w:t>
      </w:r>
      <w:r w:rsidR="00D0098C" w:rsidRPr="00687F04">
        <w:t>“</w:t>
      </w:r>
      <w:r w:rsidR="005263B7" w:rsidRPr="00687F04">
        <w:t>...</w:t>
      </w:r>
      <w:r w:rsidR="00D0098C" w:rsidRPr="00687F04">
        <w:t> </w:t>
      </w:r>
      <w:r w:rsidR="005263B7" w:rsidRPr="00687F04">
        <w:t>the government’s right of ownership cannot of itself authorize an infringement of the freedom guaranteed by section 2(b) of the Charter.”</w:t>
      </w:r>
      <w:r w:rsidR="005263B7" w:rsidRPr="00687F04">
        <w:rPr>
          <w:rStyle w:val="FootnoteReference"/>
        </w:rPr>
        <w:footnoteReference w:id="32"/>
      </w:r>
      <w:r w:rsidR="005263B7" w:rsidRPr="00687F04">
        <w:t xml:space="preserve">  And as </w:t>
      </w:r>
      <w:proofErr w:type="spellStart"/>
      <w:r w:rsidR="005263B7" w:rsidRPr="00687F04">
        <w:t>McLachlin</w:t>
      </w:r>
      <w:proofErr w:type="spellEnd"/>
      <w:r w:rsidR="005263B7" w:rsidRPr="00687F04">
        <w:t xml:space="preserve"> J stated:</w:t>
      </w:r>
    </w:p>
    <w:p w:rsidR="005263B7" w:rsidRPr="00687F04" w:rsidRDefault="005263B7" w:rsidP="004E6285">
      <w:pPr>
        <w:pStyle w:val="Bob1"/>
        <w:numPr>
          <w:ilvl w:val="0"/>
          <w:numId w:val="0"/>
        </w:numPr>
        <w:spacing w:line="240" w:lineRule="auto"/>
        <w:ind w:left="720"/>
        <w:jc w:val="both"/>
        <w:rPr>
          <w:sz w:val="24"/>
        </w:rPr>
      </w:pPr>
      <w:r w:rsidRPr="00687F04">
        <w:rPr>
          <w:sz w:val="24"/>
        </w:rPr>
        <w:lastRenderedPageBreak/>
        <w:t>“To accept the Crown's argument would be to restrict the freedom guaranteed by the Charter to limits much narrower than those with which it has traditionally been associated. Little would remain of the right. ... the state's property interest in a forum does not give it the absolute right to control expression on that forum.”</w:t>
      </w:r>
      <w:r w:rsidRPr="00687F04">
        <w:rPr>
          <w:rStyle w:val="FootnoteReference"/>
          <w:sz w:val="24"/>
        </w:rPr>
        <w:footnoteReference w:id="33"/>
      </w:r>
      <w:r w:rsidRPr="00687F04">
        <w:rPr>
          <w:sz w:val="24"/>
        </w:rPr>
        <w:t xml:space="preserve"> </w:t>
      </w:r>
    </w:p>
    <w:p w:rsidR="00D77DD0" w:rsidRPr="00687F04" w:rsidRDefault="00D77DD0" w:rsidP="00EF03FF">
      <w:pPr>
        <w:pStyle w:val="docmapheading"/>
      </w:pPr>
      <w:r w:rsidRPr="00687F04">
        <w:t>E.3</w:t>
      </w:r>
      <w:r w:rsidRPr="00687F04">
        <w:tab/>
        <w:t xml:space="preserve">Other attempts at </w:t>
      </w:r>
      <w:r w:rsidRPr="003421F1">
        <w:t xml:space="preserve">a priori </w:t>
      </w:r>
      <w:r w:rsidRPr="00687F04">
        <w:t xml:space="preserve">exclusion of guaranteed rights </w:t>
      </w:r>
    </w:p>
    <w:p w:rsidR="00D77DD0" w:rsidRDefault="0074648E" w:rsidP="004E6285">
      <w:pPr>
        <w:pStyle w:val="Bob1"/>
        <w:tabs>
          <w:tab w:val="clear" w:pos="720"/>
          <w:tab w:val="left" w:pos="1440"/>
        </w:tabs>
        <w:ind w:left="0" w:firstLine="0"/>
        <w:jc w:val="both"/>
      </w:pPr>
      <w:r w:rsidRPr="00687F04">
        <w:t>Examples can be found, including in</w:t>
      </w:r>
      <w:r w:rsidR="00D84D89" w:rsidRPr="00687F04">
        <w:t xml:space="preserve"> </w:t>
      </w:r>
      <w:r w:rsidR="00D84D89" w:rsidRPr="00687F04">
        <w:rPr>
          <w:i/>
        </w:rPr>
        <w:t>Committee for the Commonwealth of Canada v Canada</w:t>
      </w:r>
      <w:r w:rsidR="00D84D89" w:rsidRPr="00687F04">
        <w:t>,</w:t>
      </w:r>
      <w:r w:rsidR="00D84D89" w:rsidRPr="00687F04">
        <w:rPr>
          <w:rStyle w:val="FootnoteReference"/>
          <w:rFonts w:eastAsia="宋体"/>
          <w:szCs w:val="28"/>
        </w:rPr>
        <w:footnoteReference w:id="34"/>
      </w:r>
      <w:r w:rsidRPr="00687F04">
        <w:t xml:space="preserve"> where judges have </w:t>
      </w:r>
      <w:r w:rsidR="00220066" w:rsidRPr="00687F04">
        <w:t>endeavoured to develop</w:t>
      </w:r>
      <w:r w:rsidR="00C057FF" w:rsidRPr="00687F04">
        <w:t xml:space="preserve"> </w:t>
      </w:r>
      <w:r w:rsidRPr="00687F04">
        <w:t>a</w:t>
      </w:r>
      <w:r w:rsidR="009D72EC" w:rsidRPr="00687F04">
        <w:t>n intermediate</w:t>
      </w:r>
      <w:r w:rsidRPr="00687F04">
        <w:t xml:space="preserve"> doctrine </w:t>
      </w:r>
      <w:r w:rsidR="00F30CE7" w:rsidRPr="00687F04">
        <w:t xml:space="preserve">for screening out the application of the right to free expression </w:t>
      </w:r>
      <w:r w:rsidR="005917C8" w:rsidRPr="00687F04">
        <w:t xml:space="preserve">on </w:t>
      </w:r>
      <w:r w:rsidR="00FE7A60">
        <w:t xml:space="preserve">some, but not all, </w:t>
      </w:r>
      <w:r w:rsidR="00F30CE7" w:rsidRPr="00687F04">
        <w:t>state-owned properties</w:t>
      </w:r>
      <w:r w:rsidR="00FE7A60">
        <w:t xml:space="preserve"> </w:t>
      </w:r>
      <w:r w:rsidRPr="00687F04">
        <w:t xml:space="preserve">by virtue of the </w:t>
      </w:r>
      <w:r w:rsidR="00FE7A60">
        <w:t xml:space="preserve">state’s right as </w:t>
      </w:r>
      <w:r w:rsidRPr="00687F04">
        <w:t xml:space="preserve">property owner to deny access.  </w:t>
      </w:r>
      <w:r w:rsidR="009D075F" w:rsidRPr="00687F04">
        <w:t xml:space="preserve">It is not, with respect, an attractive line to follow since </w:t>
      </w:r>
      <w:r w:rsidR="008665A7">
        <w:t xml:space="preserve">it shares the flaws afflicting the “hard line” argument in respect of excluded properties and because </w:t>
      </w:r>
      <w:r w:rsidR="009D075F" w:rsidRPr="00687F04">
        <w:t xml:space="preserve">major difficulties arise in trying to </w:t>
      </w:r>
      <w:r w:rsidR="00F30CE7" w:rsidRPr="00687F04">
        <w:t xml:space="preserve">draw </w:t>
      </w:r>
      <w:r w:rsidR="00CA3399">
        <w:t>a</w:t>
      </w:r>
      <w:r w:rsidR="00F30CE7" w:rsidRPr="00687F04">
        <w:t xml:space="preserve"> </w:t>
      </w:r>
      <w:r w:rsidR="00D7313D" w:rsidRPr="00687F04">
        <w:t xml:space="preserve">definitional </w:t>
      </w:r>
      <w:r w:rsidR="00F30CE7" w:rsidRPr="00687F04">
        <w:t>line between the two categories of properties.</w:t>
      </w:r>
    </w:p>
    <w:p w:rsidR="00220066" w:rsidRPr="004E6285" w:rsidRDefault="00D7313D" w:rsidP="004E6285">
      <w:pPr>
        <w:pStyle w:val="Bob1"/>
        <w:tabs>
          <w:tab w:val="clear" w:pos="720"/>
          <w:tab w:val="left" w:pos="1440"/>
        </w:tabs>
        <w:ind w:left="0" w:firstLine="0"/>
        <w:jc w:val="both"/>
      </w:pPr>
      <w:r w:rsidRPr="00687F04">
        <w:t>Thus</w:t>
      </w:r>
      <w:r w:rsidR="00220066" w:rsidRPr="00687F04">
        <w:t xml:space="preserve">, Lamer CJ </w:t>
      </w:r>
      <w:r w:rsidR="00F30CE7" w:rsidRPr="00687F04">
        <w:t xml:space="preserve">proposed </w:t>
      </w:r>
      <w:r w:rsidR="00220066" w:rsidRPr="00687F04">
        <w:t xml:space="preserve">a rule based on compatibility of the exercise of free expression with the function of the state-owned property </w:t>
      </w:r>
      <w:r w:rsidR="00F30CE7" w:rsidRPr="00687F04">
        <w:t>in question</w:t>
      </w:r>
      <w:r w:rsidR="00220066" w:rsidRPr="00687F04">
        <w:t>:</w:t>
      </w:r>
    </w:p>
    <w:p w:rsidR="00220066" w:rsidRPr="00687F04" w:rsidRDefault="00220066" w:rsidP="004E6285">
      <w:pPr>
        <w:pStyle w:val="Bob1"/>
        <w:numPr>
          <w:ilvl w:val="0"/>
          <w:numId w:val="0"/>
        </w:numPr>
        <w:spacing w:line="240" w:lineRule="auto"/>
        <w:ind w:left="720"/>
        <w:jc w:val="both"/>
        <w:rPr>
          <w:sz w:val="24"/>
        </w:rPr>
      </w:pPr>
      <w:r w:rsidRPr="00687F04">
        <w:rPr>
          <w:sz w:val="24"/>
        </w:rPr>
        <w:t>“In my opinion, the ‘freedom’ which an individual may have to communicate in a place owned by the government must necessarily be circumscribed by the interests of the latter and of the citizens as a whole: the individual will only be free to communicate in a place owned by the state if the form of expression he uses is compatible with the principal function or intended purpose of that place. ... Accordingly, it is only after the complainant has proved that his form of expression is compatible with the function of the place that the justifications which may be put forward under s 1 of the Charter can be analysed.”</w:t>
      </w:r>
      <w:r w:rsidRPr="00687F04">
        <w:rPr>
          <w:rStyle w:val="FootnoteReference"/>
          <w:sz w:val="24"/>
        </w:rPr>
        <w:footnoteReference w:id="35"/>
      </w:r>
    </w:p>
    <w:p w:rsidR="00265D46" w:rsidRPr="00687F04" w:rsidRDefault="00D7313D" w:rsidP="004E6285">
      <w:pPr>
        <w:pStyle w:val="Bob1"/>
        <w:numPr>
          <w:ilvl w:val="0"/>
          <w:numId w:val="1"/>
        </w:numPr>
        <w:tabs>
          <w:tab w:val="clear" w:pos="720"/>
          <w:tab w:val="left" w:pos="1440"/>
        </w:tabs>
        <w:ind w:left="0" w:firstLine="0"/>
        <w:jc w:val="both"/>
      </w:pPr>
      <w:r w:rsidRPr="00687F04">
        <w:t xml:space="preserve">However, </w:t>
      </w:r>
      <w:r w:rsidR="002003F3" w:rsidRPr="00687F04">
        <w:t xml:space="preserve">as </w:t>
      </w:r>
      <w:proofErr w:type="spellStart"/>
      <w:r w:rsidR="00220066" w:rsidRPr="00687F04">
        <w:t>McLachlin</w:t>
      </w:r>
      <w:proofErr w:type="spellEnd"/>
      <w:r w:rsidR="00220066" w:rsidRPr="00687F04">
        <w:t xml:space="preserve"> J </w:t>
      </w:r>
      <w:r w:rsidR="002003F3" w:rsidRPr="00687F04">
        <w:t xml:space="preserve">pointed out, </w:t>
      </w:r>
      <w:r w:rsidR="00F30CE7" w:rsidRPr="00687F04">
        <w:t xml:space="preserve">the appropriateness of this test </w:t>
      </w:r>
      <w:r w:rsidR="002003F3" w:rsidRPr="00687F04">
        <w:t xml:space="preserve">may be questioned </w:t>
      </w:r>
      <w:r w:rsidR="00220066" w:rsidRPr="00687F04">
        <w:t xml:space="preserve">because of </w:t>
      </w:r>
      <w:r w:rsidR="00F30CE7" w:rsidRPr="00687F04">
        <w:t xml:space="preserve">difficulties with </w:t>
      </w:r>
      <w:r w:rsidR="00220066" w:rsidRPr="00687F04">
        <w:t xml:space="preserve">the </w:t>
      </w:r>
      <w:r w:rsidRPr="00687F04">
        <w:t xml:space="preserve">uncertain and relative </w:t>
      </w:r>
      <w:r w:rsidR="00220066" w:rsidRPr="00687F04">
        <w:t>concept</w:t>
      </w:r>
      <w:r w:rsidR="00F30CE7" w:rsidRPr="00687F04">
        <w:t>s</w:t>
      </w:r>
      <w:r w:rsidR="00220066" w:rsidRPr="00687F04">
        <w:t xml:space="preserve"> of “function”</w:t>
      </w:r>
      <w:r w:rsidR="00265D46" w:rsidRPr="00687F04">
        <w:t xml:space="preserve"> and “incompatibility”:</w:t>
      </w:r>
      <w:r w:rsidR="00F30CE7" w:rsidRPr="00687F04">
        <w:rPr>
          <w:rStyle w:val="FootnoteReference"/>
        </w:rPr>
        <w:footnoteReference w:id="36"/>
      </w:r>
      <w:r w:rsidR="00472789" w:rsidRPr="00687F04">
        <w:t xml:space="preserve">  </w:t>
      </w:r>
    </w:p>
    <w:p w:rsidR="00265D46" w:rsidRPr="00687F04" w:rsidRDefault="00265D46" w:rsidP="004E6285">
      <w:pPr>
        <w:pStyle w:val="Bob1"/>
        <w:numPr>
          <w:ilvl w:val="0"/>
          <w:numId w:val="0"/>
        </w:numPr>
        <w:spacing w:line="240" w:lineRule="auto"/>
        <w:ind w:left="720"/>
        <w:jc w:val="both"/>
        <w:rPr>
          <w:sz w:val="24"/>
        </w:rPr>
      </w:pPr>
      <w:r w:rsidRPr="00687F04">
        <w:rPr>
          <w:sz w:val="24"/>
        </w:rPr>
        <w:lastRenderedPageBreak/>
        <w:t>“... the concept of function presents difficulties. Does it mean normal function? Minimal or essential function? Optimum function? At what point does expression become incompatible with function? Presumably, only if the impairment of function were severe would s 2(b) be held inapplicable, with limitations relating to optimal (as opposed to minimal) function falling to be justified under s 1. Yet drawing this line may prove difficult in practice.”</w:t>
      </w:r>
    </w:p>
    <w:p w:rsidR="00472789" w:rsidRPr="00687F04" w:rsidRDefault="00472789" w:rsidP="004E6285">
      <w:pPr>
        <w:pStyle w:val="Bob1"/>
        <w:numPr>
          <w:ilvl w:val="0"/>
          <w:numId w:val="1"/>
        </w:numPr>
        <w:tabs>
          <w:tab w:val="clear" w:pos="720"/>
          <w:tab w:val="left" w:pos="1440"/>
        </w:tabs>
        <w:ind w:left="0" w:firstLine="0"/>
        <w:jc w:val="both"/>
      </w:pPr>
      <w:r w:rsidRPr="00687F04">
        <w:t xml:space="preserve">The test which </w:t>
      </w:r>
      <w:r w:rsidR="002003F3" w:rsidRPr="00687F04">
        <w:t xml:space="preserve">her Honour </w:t>
      </w:r>
      <w:r w:rsidRPr="00687F04">
        <w:t xml:space="preserve">proposed for “defining what types of government property should </w:t>
      </w:r>
      <w:r w:rsidRPr="00687F04">
        <w:rPr>
          <w:i/>
        </w:rPr>
        <w:t>prima facie</w:t>
      </w:r>
      <w:r w:rsidRPr="00687F04">
        <w:t xml:space="preserve"> be regarded as constitutionally available for forums for public expression”</w:t>
      </w:r>
      <w:r w:rsidRPr="00687F04">
        <w:rPr>
          <w:rStyle w:val="FootnoteReference"/>
        </w:rPr>
        <w:footnoteReference w:id="37"/>
      </w:r>
      <w:r w:rsidRPr="00687F04">
        <w:t xml:space="preserve"> was to require the claimant to:</w:t>
      </w:r>
    </w:p>
    <w:p w:rsidR="0074648E" w:rsidRPr="00687F04" w:rsidRDefault="00472789" w:rsidP="004E6285">
      <w:pPr>
        <w:pStyle w:val="Bob1"/>
        <w:numPr>
          <w:ilvl w:val="0"/>
          <w:numId w:val="0"/>
        </w:numPr>
        <w:spacing w:line="240" w:lineRule="auto"/>
        <w:ind w:left="720"/>
        <w:jc w:val="both"/>
        <w:rPr>
          <w:sz w:val="24"/>
        </w:rPr>
      </w:pPr>
      <w:r w:rsidRPr="00687F04">
        <w:rPr>
          <w:sz w:val="24"/>
        </w:rPr>
        <w:t xml:space="preserve">“... establish that the expression in question (including its time, place and manner) promote one of the purposes underlying the guarantee of free expression. These were defined in </w:t>
      </w:r>
      <w:r w:rsidRPr="00687F04">
        <w:rPr>
          <w:i/>
          <w:sz w:val="24"/>
        </w:rPr>
        <w:t>Irwin Toy</w:t>
      </w:r>
      <w:r w:rsidRPr="00687F04">
        <w:rPr>
          <w:rStyle w:val="FootnoteReference"/>
          <w:sz w:val="24"/>
        </w:rPr>
        <w:footnoteReference w:id="38"/>
      </w:r>
      <w:r w:rsidRPr="00687F04">
        <w:rPr>
          <w:sz w:val="24"/>
        </w:rPr>
        <w:t xml:space="preserve"> (at p 976) as: (1) the seeking and obtaining of truth; (2) participation in social and political decision-making; and (3) the encouragement of diversity in forms of individual self-fulfilment and human flourishing by cultivating a tolerant, welcoming environment for the conveyance and reception of ideas. Only if the claimant can establish a link between the use of the forum in question for public expression and at least one of these purposes is the claimant entitled to the protection of s 2(b) of the Charter.”</w:t>
      </w:r>
      <w:r w:rsidRPr="00687F04">
        <w:rPr>
          <w:rStyle w:val="FootnoteReference"/>
          <w:sz w:val="24"/>
        </w:rPr>
        <w:footnoteReference w:id="39"/>
      </w:r>
    </w:p>
    <w:p w:rsidR="009A18DE" w:rsidRDefault="002003F3" w:rsidP="004E6285">
      <w:pPr>
        <w:pStyle w:val="Bob1"/>
        <w:tabs>
          <w:tab w:val="clear" w:pos="720"/>
          <w:tab w:val="num" w:pos="1440"/>
        </w:tabs>
        <w:ind w:left="0" w:firstLine="0"/>
        <w:jc w:val="both"/>
      </w:pPr>
      <w:r w:rsidRPr="00687F04">
        <w:t xml:space="preserve">With respect, </w:t>
      </w:r>
      <w:r w:rsidR="009A18DE" w:rsidRPr="00687F04">
        <w:t xml:space="preserve">I do not think that is a test that could </w:t>
      </w:r>
      <w:r w:rsidR="008A7475" w:rsidRPr="00687F04">
        <w:t xml:space="preserve">or should </w:t>
      </w:r>
      <w:r w:rsidR="009A18DE" w:rsidRPr="00687F04">
        <w:t xml:space="preserve">be adopted in Hong Kong.  BL 27 and BOR 16 guarantee the right to freedom of expression subject only to </w:t>
      </w:r>
      <w:r w:rsidR="008665A7">
        <w:t xml:space="preserve">the specified </w:t>
      </w:r>
      <w:r w:rsidR="009A18DE" w:rsidRPr="00687F04">
        <w:t>permitted restrictions.  It would not be</w:t>
      </w:r>
      <w:r w:rsidR="004C050A">
        <w:t xml:space="preserve"> appropriate for</w:t>
      </w:r>
      <w:r w:rsidR="009A18DE" w:rsidRPr="00687F04">
        <w:t xml:space="preserve"> </w:t>
      </w:r>
      <w:r w:rsidRPr="00687F04">
        <w:t xml:space="preserve">our </w:t>
      </w:r>
      <w:r w:rsidR="009A18DE" w:rsidRPr="00687F04">
        <w:t>court</w:t>
      </w:r>
      <w:r w:rsidRPr="00687F04">
        <w:t>s</w:t>
      </w:r>
      <w:r w:rsidR="009A18DE" w:rsidRPr="00687F04">
        <w:t xml:space="preserve"> to </w:t>
      </w:r>
      <w:r w:rsidR="008A7475" w:rsidRPr="00687F04">
        <w:t xml:space="preserve">place hurdles in the way of </w:t>
      </w:r>
      <w:r w:rsidR="005630AB" w:rsidRPr="00687F04">
        <w:t xml:space="preserve">a person </w:t>
      </w:r>
      <w:r w:rsidR="00CA3399">
        <w:t>claiming</w:t>
      </w:r>
      <w:r w:rsidR="009A18DE" w:rsidRPr="00687F04">
        <w:t xml:space="preserve"> those rights</w:t>
      </w:r>
      <w:r w:rsidR="00706C4E" w:rsidRPr="00687F04">
        <w:t xml:space="preserve"> where </w:t>
      </w:r>
      <w:r w:rsidR="00BF6190">
        <w:t xml:space="preserve">such rights </w:t>
      </w:r>
      <w:r w:rsidR="00706C4E" w:rsidRPr="00687F04">
        <w:t xml:space="preserve">are </w:t>
      </w:r>
      <w:r w:rsidR="00BF6190">
        <w:t xml:space="preserve">factually </w:t>
      </w:r>
      <w:r w:rsidR="00706C4E" w:rsidRPr="00687F04">
        <w:t>engaged</w:t>
      </w:r>
      <w:r w:rsidR="009A18DE" w:rsidRPr="00687F04">
        <w:t xml:space="preserve">, </w:t>
      </w:r>
      <w:r w:rsidR="00D925B3" w:rsidRPr="00687F04">
        <w:t xml:space="preserve">by requiring </w:t>
      </w:r>
      <w:r w:rsidR="005630AB" w:rsidRPr="00687F04">
        <w:t xml:space="preserve">such person </w:t>
      </w:r>
      <w:r w:rsidR="00D925B3" w:rsidRPr="00687F04">
        <w:t xml:space="preserve">to </w:t>
      </w:r>
      <w:r w:rsidR="008A7475" w:rsidRPr="00687F04">
        <w:t xml:space="preserve">show that </w:t>
      </w:r>
      <w:r w:rsidR="00D925B3" w:rsidRPr="00687F04">
        <w:t xml:space="preserve">the content, manner and form of the proposed expression promote the </w:t>
      </w:r>
      <w:r w:rsidR="008A7475" w:rsidRPr="00687F04">
        <w:t xml:space="preserve">matters </w:t>
      </w:r>
      <w:r w:rsidR="00D925B3" w:rsidRPr="00687F04">
        <w:t xml:space="preserve">identified </w:t>
      </w:r>
      <w:r w:rsidR="008A7475" w:rsidRPr="00687F04">
        <w:t xml:space="preserve">as the </w:t>
      </w:r>
      <w:r w:rsidR="00D925B3" w:rsidRPr="00687F04">
        <w:t xml:space="preserve">underlying purposes of free expression.  As indicated in the discussion which follows, rather than </w:t>
      </w:r>
      <w:r w:rsidR="002B56E4">
        <w:t xml:space="preserve">imposing a </w:t>
      </w:r>
      <w:r w:rsidR="00D925B3" w:rsidRPr="00687F04">
        <w:t xml:space="preserve">burden on the claimant to prove that the proposed </w:t>
      </w:r>
      <w:r w:rsidR="00BF6190">
        <w:t xml:space="preserve">expression </w:t>
      </w:r>
      <w:r w:rsidR="00D925B3" w:rsidRPr="00687F04">
        <w:t xml:space="preserve">qualifies for constitutional protection, the burden </w:t>
      </w:r>
      <w:r w:rsidR="002B56E4">
        <w:t xml:space="preserve">is </w:t>
      </w:r>
      <w:r w:rsidR="00D925B3" w:rsidRPr="00687F04">
        <w:t xml:space="preserve">rightfully </w:t>
      </w:r>
      <w:r w:rsidR="002B56E4">
        <w:t xml:space="preserve">placed </w:t>
      </w:r>
      <w:r w:rsidR="00D925B3" w:rsidRPr="00687F04">
        <w:t xml:space="preserve">on the government to prove that its </w:t>
      </w:r>
      <w:r w:rsidR="005630AB" w:rsidRPr="00687F04">
        <w:t xml:space="preserve">limitation of </w:t>
      </w:r>
      <w:r w:rsidR="00D925B3" w:rsidRPr="00687F04">
        <w:t xml:space="preserve">the </w:t>
      </w:r>
      <w:r w:rsidR="00706C4E" w:rsidRPr="00687F04">
        <w:t xml:space="preserve">guaranteed </w:t>
      </w:r>
      <w:r w:rsidR="00D925B3" w:rsidRPr="00687F04">
        <w:t>right is justified.</w:t>
      </w:r>
    </w:p>
    <w:p w:rsidR="004D2F31" w:rsidRDefault="00706C4E" w:rsidP="004E6285">
      <w:pPr>
        <w:pStyle w:val="Bob1"/>
        <w:tabs>
          <w:tab w:val="clear" w:pos="720"/>
          <w:tab w:val="num" w:pos="1440"/>
        </w:tabs>
        <w:ind w:left="0" w:firstLine="0"/>
        <w:jc w:val="both"/>
      </w:pPr>
      <w:r w:rsidRPr="00687F04">
        <w:lastRenderedPageBreak/>
        <w:t xml:space="preserve">It also </w:t>
      </w:r>
      <w:r w:rsidR="00D925B3" w:rsidRPr="00687F04">
        <w:t>seems to me that</w:t>
      </w:r>
      <w:r w:rsidR="00D7313D" w:rsidRPr="00687F04">
        <w:t xml:space="preserve"> </w:t>
      </w:r>
      <w:r w:rsidR="002B56E4">
        <w:t xml:space="preserve">an </w:t>
      </w:r>
      <w:r w:rsidR="00D925B3" w:rsidRPr="00687F04">
        <w:t>o</w:t>
      </w:r>
      <w:r w:rsidR="002B56E4">
        <w:t>fficial</w:t>
      </w:r>
      <w:r w:rsidR="00D016F6" w:rsidRPr="00687F04">
        <w:t xml:space="preserve"> </w:t>
      </w:r>
      <w:r w:rsidR="00CA3399">
        <w:t xml:space="preserve">trying </w:t>
      </w:r>
      <w:r w:rsidR="00D925B3" w:rsidRPr="00687F04">
        <w:t xml:space="preserve">to decide </w:t>
      </w:r>
      <w:r w:rsidR="00D016F6" w:rsidRPr="00687F04">
        <w:t xml:space="preserve">whether </w:t>
      </w:r>
      <w:r w:rsidR="005917C8" w:rsidRPr="00687F04">
        <w:t xml:space="preserve">access </w:t>
      </w:r>
      <w:r w:rsidR="00265D46" w:rsidRPr="00687F04">
        <w:t xml:space="preserve">to a venue </w:t>
      </w:r>
      <w:r w:rsidR="00D925B3" w:rsidRPr="00687F04">
        <w:t xml:space="preserve">should be </w:t>
      </w:r>
      <w:r w:rsidR="00BF6190">
        <w:t xml:space="preserve">granted or </w:t>
      </w:r>
      <w:r w:rsidR="00D925B3" w:rsidRPr="00687F04">
        <w:t xml:space="preserve">denied </w:t>
      </w:r>
      <w:r w:rsidR="00CA3399">
        <w:t xml:space="preserve">will find it hard to know </w:t>
      </w:r>
      <w:r w:rsidR="00D016F6" w:rsidRPr="00687F04">
        <w:t xml:space="preserve">beforehand whether the intended demonstration </w:t>
      </w:r>
      <w:r w:rsidR="00CA3399">
        <w:t xml:space="preserve">will </w:t>
      </w:r>
      <w:r w:rsidR="00D016F6" w:rsidRPr="00687F04">
        <w:t xml:space="preserve">meet </w:t>
      </w:r>
      <w:r w:rsidR="005630AB" w:rsidRPr="00687F04">
        <w:t xml:space="preserve">the </w:t>
      </w:r>
      <w:r w:rsidRPr="00687F04">
        <w:t xml:space="preserve">somewhat amorphous </w:t>
      </w:r>
      <w:r w:rsidR="00D016F6" w:rsidRPr="00687F04">
        <w:t>criteria</w:t>
      </w:r>
      <w:r w:rsidR="00BF6190">
        <w:t xml:space="preserve"> articulated</w:t>
      </w:r>
      <w:r w:rsidR="00D016F6" w:rsidRPr="00687F04">
        <w:t>.</w:t>
      </w:r>
      <w:r w:rsidRPr="00687F04">
        <w:t xml:space="preserve">  Moreover, the criteria themselves appear debatable.  It is well-established</w:t>
      </w:r>
      <w:r w:rsidR="0061265A">
        <w:t xml:space="preserve"> that, subject to permissible limitations, </w:t>
      </w:r>
      <w:r w:rsidRPr="00687F04">
        <w:t xml:space="preserve">freedom of expression </w:t>
      </w:r>
      <w:r w:rsidR="0061265A">
        <w:t>extends to views which may be “</w:t>
      </w:r>
      <w:r w:rsidR="0061265A" w:rsidRPr="0061265A">
        <w:t>disagreeable, unpopular, distasteful or even offensive to others</w:t>
      </w:r>
      <w:r w:rsidR="0061265A">
        <w:t>”.</w:t>
      </w:r>
      <w:r w:rsidR="0061265A" w:rsidRPr="00687F04">
        <w:rPr>
          <w:rStyle w:val="FootnoteReference"/>
        </w:rPr>
        <w:footnoteReference w:id="40"/>
      </w:r>
      <w:r w:rsidR="0061265A">
        <w:t xml:space="preserve">  </w:t>
      </w:r>
      <w:r w:rsidR="004D2F31" w:rsidRPr="00687F04">
        <w:t xml:space="preserve">It is unclear whether the </w:t>
      </w:r>
      <w:r w:rsidR="00265D46" w:rsidRPr="00687F04">
        <w:t xml:space="preserve">suggested </w:t>
      </w:r>
      <w:r w:rsidR="004D2F31" w:rsidRPr="00687F04">
        <w:t>criteria accommodate the expression of such views.</w:t>
      </w:r>
    </w:p>
    <w:p w:rsidR="00D016F6" w:rsidRPr="00687F04" w:rsidRDefault="00D016F6" w:rsidP="004E6285">
      <w:pPr>
        <w:pStyle w:val="Bob1"/>
        <w:tabs>
          <w:tab w:val="clear" w:pos="720"/>
          <w:tab w:val="num" w:pos="1440"/>
        </w:tabs>
        <w:ind w:left="0" w:firstLine="0"/>
        <w:jc w:val="both"/>
      </w:pPr>
      <w:r w:rsidRPr="00687F04">
        <w:t xml:space="preserve">What the two approaches </w:t>
      </w:r>
      <w:r w:rsidR="007E2B44" w:rsidRPr="00687F04">
        <w:t xml:space="preserve">just discussed </w:t>
      </w:r>
      <w:r w:rsidRPr="00687F04">
        <w:t xml:space="preserve">have in common is a search for some </w:t>
      </w:r>
      <w:r w:rsidRPr="004E6285">
        <w:rPr>
          <w:i/>
        </w:rPr>
        <w:t xml:space="preserve">a priori </w:t>
      </w:r>
      <w:r w:rsidRPr="00687F04">
        <w:t xml:space="preserve">basis for dis-applying fundamental rights </w:t>
      </w:r>
      <w:r w:rsidR="005917C8" w:rsidRPr="00687F04">
        <w:t xml:space="preserve">on </w:t>
      </w:r>
      <w:r w:rsidR="007E2B44" w:rsidRPr="00687F04">
        <w:t>state-owned properties</w:t>
      </w:r>
      <w:r w:rsidR="00D925B3" w:rsidRPr="00687F04">
        <w:t xml:space="preserve">, </w:t>
      </w:r>
      <w:r w:rsidR="00BF6190">
        <w:t xml:space="preserve">without ever </w:t>
      </w:r>
      <w:r w:rsidR="00D925B3" w:rsidRPr="00687F04">
        <w:t xml:space="preserve">proceeding to examine </w:t>
      </w:r>
      <w:r w:rsidR="007E2B44" w:rsidRPr="00687F04">
        <w:t xml:space="preserve">whether exclusion of the right is justified in terms of </w:t>
      </w:r>
      <w:r w:rsidR="00D925B3" w:rsidRPr="00687F04">
        <w:t xml:space="preserve">the </w:t>
      </w:r>
      <w:r w:rsidR="007E2B44" w:rsidRPr="00687F04">
        <w:t>legitimacy and proportionality</w:t>
      </w:r>
      <w:r w:rsidR="00D925B3" w:rsidRPr="00687F04">
        <w:t xml:space="preserve"> of such restriction</w:t>
      </w:r>
      <w:r w:rsidR="007E2B44" w:rsidRPr="00687F04">
        <w:t xml:space="preserve">.  </w:t>
      </w:r>
      <w:r w:rsidR="005917C8" w:rsidRPr="00687F04">
        <w:t xml:space="preserve">I think that </w:t>
      </w:r>
      <w:r w:rsidR="00E97D69" w:rsidRPr="00687F04">
        <w:t xml:space="preserve">a more orthodox </w:t>
      </w:r>
      <w:r w:rsidR="007E2B44" w:rsidRPr="00687F04">
        <w:t>approach</w:t>
      </w:r>
      <w:r w:rsidR="00E97D69" w:rsidRPr="00687F04">
        <w:t xml:space="preserve"> is preferable</w:t>
      </w:r>
      <w:r w:rsidR="007E2B44" w:rsidRPr="00687F04">
        <w:t>.</w:t>
      </w:r>
    </w:p>
    <w:p w:rsidR="001A6071" w:rsidRPr="00687F04" w:rsidRDefault="001A6071" w:rsidP="00EF03FF">
      <w:pPr>
        <w:pStyle w:val="docmapheading"/>
      </w:pPr>
      <w:r w:rsidRPr="00687F04">
        <w:t>E.</w:t>
      </w:r>
      <w:r w:rsidR="0074648E" w:rsidRPr="00687F04">
        <w:t>4</w:t>
      </w:r>
      <w:r w:rsidRPr="00687F04">
        <w:tab/>
      </w:r>
      <w:r w:rsidR="005D5680" w:rsidRPr="00687F04">
        <w:t xml:space="preserve">Focussing on </w:t>
      </w:r>
      <w:r w:rsidRPr="00687F04">
        <w:t>fundamental rights</w:t>
      </w:r>
    </w:p>
    <w:p w:rsidR="006A4EBF" w:rsidRPr="004E6285" w:rsidRDefault="00D77DD0" w:rsidP="004E6285">
      <w:pPr>
        <w:pStyle w:val="Bob1"/>
        <w:tabs>
          <w:tab w:val="clear" w:pos="720"/>
          <w:tab w:val="left" w:pos="1440"/>
        </w:tabs>
        <w:ind w:left="0" w:firstLine="0"/>
        <w:jc w:val="both"/>
        <w:rPr>
          <w:i/>
        </w:rPr>
      </w:pPr>
      <w:r w:rsidRPr="00687F04">
        <w:t xml:space="preserve">In my view, </w:t>
      </w:r>
      <w:r w:rsidR="005D5680" w:rsidRPr="00687F04">
        <w:t>t</w:t>
      </w:r>
      <w:r w:rsidR="006A4EBF" w:rsidRPr="00687F04">
        <w:t xml:space="preserve">he correct </w:t>
      </w:r>
      <w:r w:rsidRPr="00687F04">
        <w:t xml:space="preserve">starting-point and the </w:t>
      </w:r>
      <w:r w:rsidR="007E2B44" w:rsidRPr="00687F04">
        <w:t>proper</w:t>
      </w:r>
      <w:r w:rsidRPr="00687F04">
        <w:t xml:space="preserve"> </w:t>
      </w:r>
      <w:r w:rsidR="006A4EBF" w:rsidRPr="00687F04">
        <w:t xml:space="preserve">focus </w:t>
      </w:r>
      <w:r w:rsidRPr="00687F04">
        <w:t xml:space="preserve">throughout </w:t>
      </w:r>
      <w:r w:rsidR="006A4EBF" w:rsidRPr="00687F04">
        <w:t>is on the guaranteed right</w:t>
      </w:r>
      <w:r w:rsidR="00A8511C" w:rsidRPr="00687F04">
        <w:t>,</w:t>
      </w:r>
      <w:r w:rsidRPr="00687F04">
        <w:t xml:space="preserve"> </w:t>
      </w:r>
      <w:r w:rsidR="006D6554" w:rsidRPr="00687F04">
        <w:t>adopting the assumption</w:t>
      </w:r>
      <w:r w:rsidRPr="00687F04">
        <w:t xml:space="preserve"> </w:t>
      </w:r>
      <w:r w:rsidR="00B15D68" w:rsidRPr="00687F04">
        <w:t xml:space="preserve">that it is </w:t>
      </w:r>
      <w:r w:rsidRPr="00687F04">
        <w:t>universal</w:t>
      </w:r>
      <w:r w:rsidR="00B15D68" w:rsidRPr="00687F04">
        <w:t>ly applicable,</w:t>
      </w:r>
      <w:r w:rsidRPr="00687F04">
        <w:t xml:space="preserve"> subject to </w:t>
      </w:r>
      <w:r w:rsidR="009F2612" w:rsidRPr="00687F04">
        <w:t xml:space="preserve">any constitutionally </w:t>
      </w:r>
      <w:r w:rsidRPr="00687F04">
        <w:t>valid restriction</w:t>
      </w:r>
      <w:r w:rsidR="006A4EBF" w:rsidRPr="00687F04">
        <w:t xml:space="preserve">. </w:t>
      </w:r>
      <w:r w:rsidRPr="00687F04">
        <w:t>Thus, w</w:t>
      </w:r>
      <w:r w:rsidR="006A4EBF" w:rsidRPr="00687F04">
        <w:t>here the right to freedom of expression is invoked, one asks whether</w:t>
      </w:r>
      <w:r w:rsidR="004D1B48">
        <w:t xml:space="preserve"> factually</w:t>
      </w:r>
      <w:r w:rsidR="006A4EBF" w:rsidRPr="00687F04">
        <w:t xml:space="preserve">, that right is engaged.  </w:t>
      </w:r>
      <w:r w:rsidR="005726FC">
        <w:t>I</w:t>
      </w:r>
      <w:r w:rsidR="006A4EBF" w:rsidRPr="00687F04">
        <w:t xml:space="preserve">f </w:t>
      </w:r>
      <w:r w:rsidR="00203CCD">
        <w:t xml:space="preserve">so, </w:t>
      </w:r>
      <w:r w:rsidR="006A4EBF" w:rsidRPr="00687F04">
        <w:t xml:space="preserve">the question becomes whether </w:t>
      </w:r>
      <w:r w:rsidRPr="00687F04">
        <w:t>any</w:t>
      </w:r>
      <w:r w:rsidR="006A4EBF" w:rsidRPr="00687F04">
        <w:t xml:space="preserve"> restriction which </w:t>
      </w:r>
      <w:r w:rsidR="00B15D68" w:rsidRPr="00687F04">
        <w:t>purports to limit</w:t>
      </w:r>
      <w:r w:rsidR="006A4EBF" w:rsidRPr="00687F04">
        <w:t xml:space="preserve"> its exercise is valid</w:t>
      </w:r>
      <w:r w:rsidRPr="00687F04">
        <w:t>, that is,</w:t>
      </w:r>
      <w:r w:rsidR="00347868" w:rsidRPr="00687F04">
        <w:t xml:space="preserve"> whether</w:t>
      </w:r>
      <w:r w:rsidR="003B00FF">
        <w:t xml:space="preserve"> it</w:t>
      </w:r>
      <w:r w:rsidR="00B15D68" w:rsidRPr="00687F04">
        <w:t xml:space="preserve"> </w:t>
      </w:r>
      <w:r w:rsidR="00347868" w:rsidRPr="00687F04">
        <w:t xml:space="preserve">pursues a legitimate aim </w:t>
      </w:r>
      <w:r w:rsidR="009F2612" w:rsidRPr="00687F04">
        <w:t xml:space="preserve">which falls </w:t>
      </w:r>
      <w:r w:rsidR="00347868" w:rsidRPr="00687F04">
        <w:t xml:space="preserve">within one of the </w:t>
      </w:r>
      <w:r w:rsidR="003B00FF">
        <w:t xml:space="preserve">permitted </w:t>
      </w:r>
      <w:r w:rsidR="00347868" w:rsidRPr="00687F04">
        <w:t xml:space="preserve">categories listed in BOR 16; </w:t>
      </w:r>
      <w:r w:rsidR="00E402F4" w:rsidRPr="00687F04">
        <w:t xml:space="preserve">and if so, </w:t>
      </w:r>
      <w:r w:rsidR="00347868" w:rsidRPr="00687F04">
        <w:t xml:space="preserve">whether </w:t>
      </w:r>
      <w:r w:rsidR="00B15D68" w:rsidRPr="00687F04">
        <w:t xml:space="preserve">it </w:t>
      </w:r>
      <w:r w:rsidR="00347868" w:rsidRPr="00687F04">
        <w:t>is rationally connected with accomplishing that aim; whether the restriction is no more than reasonably necessary for accomplishing that purpose</w:t>
      </w:r>
      <w:r w:rsidR="005D5680" w:rsidRPr="00687F04">
        <w:t>;</w:t>
      </w:r>
      <w:r w:rsidR="00347868" w:rsidRPr="00687F04">
        <w:t xml:space="preserve"> and whether a reasonable balance has been struck between the societal benefits </w:t>
      </w:r>
      <w:r w:rsidR="00347868" w:rsidRPr="00687F04">
        <w:lastRenderedPageBreak/>
        <w:t xml:space="preserve">of the </w:t>
      </w:r>
      <w:r w:rsidR="003B00FF">
        <w:t>encroaching measure</w:t>
      </w:r>
      <w:r w:rsidR="00347868" w:rsidRPr="00687F04">
        <w:t xml:space="preserve"> </w:t>
      </w:r>
      <w:r w:rsidR="004D1B48">
        <w:t xml:space="preserve">on the one hand </w:t>
      </w:r>
      <w:r w:rsidR="00347868" w:rsidRPr="00687F04">
        <w:t>and the inroads made into the guaranteed right</w:t>
      </w:r>
      <w:r w:rsidR="004D1B48">
        <w:t xml:space="preserve"> on the other</w:t>
      </w:r>
      <w:r w:rsidR="00347868" w:rsidRPr="00687F04">
        <w:t>.</w:t>
      </w:r>
      <w:r w:rsidR="00E402F4" w:rsidRPr="00687F04">
        <w:rPr>
          <w:rStyle w:val="FootnoteReference"/>
        </w:rPr>
        <w:footnoteReference w:id="41"/>
      </w:r>
      <w:r w:rsidR="00347868" w:rsidRPr="00687F04">
        <w:t xml:space="preserve">  </w:t>
      </w:r>
    </w:p>
    <w:p w:rsidR="00347868" w:rsidRPr="004E6285" w:rsidRDefault="00D77DD0" w:rsidP="004E6285">
      <w:pPr>
        <w:pStyle w:val="Bob1"/>
        <w:tabs>
          <w:tab w:val="clear" w:pos="720"/>
          <w:tab w:val="left" w:pos="1440"/>
        </w:tabs>
        <w:ind w:left="0" w:firstLine="0"/>
        <w:jc w:val="both"/>
        <w:rPr>
          <w:i/>
        </w:rPr>
      </w:pPr>
      <w:r w:rsidRPr="00687F04">
        <w:t xml:space="preserve">A person </w:t>
      </w:r>
      <w:r w:rsidR="00076BEB" w:rsidRPr="00687F04">
        <w:t>exercis</w:t>
      </w:r>
      <w:r w:rsidR="00B15D68" w:rsidRPr="00687F04">
        <w:t>ing</w:t>
      </w:r>
      <w:r w:rsidR="00076BEB" w:rsidRPr="00687F04">
        <w:t xml:space="preserve"> the right to </w:t>
      </w:r>
      <w:r w:rsidR="00B15D68" w:rsidRPr="00687F04">
        <w:t xml:space="preserve">free expression </w:t>
      </w:r>
      <w:r w:rsidR="005D5680" w:rsidRPr="00687F04">
        <w:t xml:space="preserve">or </w:t>
      </w:r>
      <w:r w:rsidR="00076BEB" w:rsidRPr="00687F04">
        <w:t xml:space="preserve">the related freedoms of peaceful assembly, demonstration and procession </w:t>
      </w:r>
      <w:r w:rsidR="005D5680" w:rsidRPr="00687F04">
        <w:t xml:space="preserve">has choices.  </w:t>
      </w:r>
      <w:r w:rsidR="00C87112" w:rsidRPr="00687F04">
        <w:t>A</w:t>
      </w:r>
      <w:r w:rsidR="00076BEB" w:rsidRPr="00687F04">
        <w:t>s BOR 16 recognizes,</w:t>
      </w:r>
      <w:r w:rsidR="005D5680" w:rsidRPr="00687F04">
        <w:t xml:space="preserve"> </w:t>
      </w:r>
      <w:r w:rsidR="00C87112" w:rsidRPr="00687F04">
        <w:t xml:space="preserve">communication may be made “orally, in writing or in print, in the form of art, or through any other media of his choice”.  If the expression is </w:t>
      </w:r>
      <w:r w:rsidR="00B15D68" w:rsidRPr="00687F04">
        <w:t xml:space="preserve">communicated </w:t>
      </w:r>
      <w:r w:rsidR="00C87112" w:rsidRPr="00687F04">
        <w:t xml:space="preserve">using the postal service or by transmissions in the </w:t>
      </w:r>
      <w:r w:rsidRPr="00687F04">
        <w:t xml:space="preserve">traditional </w:t>
      </w:r>
      <w:r w:rsidR="00C87112" w:rsidRPr="00687F04">
        <w:t xml:space="preserve">media or by </w:t>
      </w:r>
      <w:r w:rsidR="00427582">
        <w:t xml:space="preserve">internet </w:t>
      </w:r>
      <w:r w:rsidR="00C87112" w:rsidRPr="00687F04">
        <w:t>postings</w:t>
      </w:r>
      <w:r w:rsidR="004D1B48">
        <w:t>,</w:t>
      </w:r>
      <w:r w:rsidR="00C87112" w:rsidRPr="00687F04">
        <w:t xml:space="preserve"> no</w:t>
      </w:r>
      <w:r w:rsidR="00076BEB" w:rsidRPr="00687F04">
        <w:t xml:space="preserve"> physical activity on the ground</w:t>
      </w:r>
      <w:r w:rsidR="00C87112" w:rsidRPr="00687F04">
        <w:t xml:space="preserve"> may be involved</w:t>
      </w:r>
      <w:r w:rsidR="00076BEB" w:rsidRPr="00687F04">
        <w:t>.</w:t>
      </w:r>
      <w:r w:rsidR="00C87112" w:rsidRPr="00687F04">
        <w:t xml:space="preserve">  But where </w:t>
      </w:r>
      <w:r w:rsidRPr="00687F04">
        <w:t>the</w:t>
      </w:r>
      <w:r w:rsidR="00705993" w:rsidRPr="00687F04">
        <w:t xml:space="preserve"> choice is to exercise the right</w:t>
      </w:r>
      <w:r w:rsidRPr="00687F04">
        <w:t xml:space="preserve"> through</w:t>
      </w:r>
      <w:r w:rsidR="00056CED" w:rsidRPr="00687F04">
        <w:t xml:space="preserve"> </w:t>
      </w:r>
      <w:r w:rsidR="005917C8" w:rsidRPr="00687F04">
        <w:t xml:space="preserve">seeking, receiving or imparting information or ideas </w:t>
      </w:r>
      <w:r w:rsidR="00B15D68" w:rsidRPr="00687F04">
        <w:t>in some</w:t>
      </w:r>
      <w:r w:rsidR="004D1B48">
        <w:t xml:space="preserve"> physical location</w:t>
      </w:r>
      <w:r w:rsidRPr="00687F04">
        <w:t xml:space="preserve">, </w:t>
      </w:r>
      <w:r w:rsidR="00056CED" w:rsidRPr="00687F04">
        <w:t xml:space="preserve">the </w:t>
      </w:r>
      <w:r w:rsidR="00705993" w:rsidRPr="00687F04">
        <w:t xml:space="preserve">exercise will have </w:t>
      </w:r>
      <w:r w:rsidRPr="00687F04">
        <w:t xml:space="preserve">various </w:t>
      </w:r>
      <w:r w:rsidR="00545E64" w:rsidRPr="00687F04">
        <w:t xml:space="preserve">physical and temporal </w:t>
      </w:r>
      <w:r w:rsidRPr="00687F04">
        <w:t>dimensions</w:t>
      </w:r>
      <w:r w:rsidR="00B15D68" w:rsidRPr="00687F04">
        <w:t>. Choices will be made</w:t>
      </w:r>
      <w:r w:rsidR="002C734E" w:rsidRPr="00687F04">
        <w:t xml:space="preserve"> (among</w:t>
      </w:r>
      <w:r w:rsidR="00545E64" w:rsidRPr="00687F04">
        <w:t>st</w:t>
      </w:r>
      <w:r w:rsidR="002C734E" w:rsidRPr="00687F04">
        <w:t xml:space="preserve"> other</w:t>
      </w:r>
      <w:r w:rsidR="00545E64" w:rsidRPr="00687F04">
        <w:t xml:space="preserve"> matters</w:t>
      </w:r>
      <w:r w:rsidR="002C734E" w:rsidRPr="00687F04">
        <w:t>)</w:t>
      </w:r>
      <w:r w:rsidR="00B15D68" w:rsidRPr="00687F04">
        <w:t xml:space="preserve"> as to </w:t>
      </w:r>
      <w:r w:rsidR="00056CED" w:rsidRPr="00687F04">
        <w:t xml:space="preserve">when, </w:t>
      </w:r>
      <w:r w:rsidRPr="00687F04">
        <w:t>where</w:t>
      </w:r>
      <w:r w:rsidR="00B15D68" w:rsidRPr="00687F04">
        <w:t>,</w:t>
      </w:r>
      <w:r w:rsidR="00056CED" w:rsidRPr="00687F04">
        <w:t xml:space="preserve"> </w:t>
      </w:r>
      <w:r w:rsidR="004D1B48">
        <w:t xml:space="preserve">by whom, </w:t>
      </w:r>
      <w:r w:rsidR="00056CED" w:rsidRPr="00687F04">
        <w:t>in what form</w:t>
      </w:r>
      <w:r w:rsidR="00B15D68" w:rsidRPr="00687F04">
        <w:t xml:space="preserve"> and for what duration</w:t>
      </w:r>
      <w:r w:rsidR="004B6295">
        <w:t xml:space="preserve"> the</w:t>
      </w:r>
      <w:r w:rsidR="00B15D68" w:rsidRPr="00687F04">
        <w:t xml:space="preserve"> exercise </w:t>
      </w:r>
      <w:r w:rsidR="00545E64" w:rsidRPr="00687F04">
        <w:t xml:space="preserve">of the freedom </w:t>
      </w:r>
      <w:r w:rsidR="00B15D68" w:rsidRPr="00687F04">
        <w:t>will take place</w:t>
      </w:r>
      <w:r w:rsidR="00053F73" w:rsidRPr="00687F04">
        <w:t xml:space="preserve">. </w:t>
      </w:r>
    </w:p>
    <w:p w:rsidR="0078383A" w:rsidRPr="004E6285" w:rsidRDefault="004D1B48" w:rsidP="004E6285">
      <w:pPr>
        <w:pStyle w:val="Bob1"/>
        <w:tabs>
          <w:tab w:val="clear" w:pos="720"/>
          <w:tab w:val="left" w:pos="1440"/>
        </w:tabs>
        <w:ind w:left="0" w:firstLine="0"/>
        <w:jc w:val="both"/>
        <w:rPr>
          <w:i/>
        </w:rPr>
      </w:pPr>
      <w:r>
        <w:t>T</w:t>
      </w:r>
      <w:r w:rsidR="00B15D68" w:rsidRPr="00687F04">
        <w:t xml:space="preserve">hat </w:t>
      </w:r>
      <w:r w:rsidR="003D14F6" w:rsidRPr="00687F04">
        <w:t xml:space="preserve">the right </w:t>
      </w:r>
      <w:r w:rsidR="00545E64" w:rsidRPr="00687F04">
        <w:t xml:space="preserve">inherently involves </w:t>
      </w:r>
      <w:r w:rsidR="002C734E" w:rsidRPr="00687F04">
        <w:t xml:space="preserve">various </w:t>
      </w:r>
      <w:r w:rsidR="00B15D68" w:rsidRPr="00687F04">
        <w:t xml:space="preserve">dimensions </w:t>
      </w:r>
      <w:r w:rsidR="00545E64" w:rsidRPr="00687F04">
        <w:t xml:space="preserve">in its exercise </w:t>
      </w:r>
      <w:r w:rsidR="003D14F6" w:rsidRPr="00687F04">
        <w:t>was</w:t>
      </w:r>
      <w:r>
        <w:t xml:space="preserve"> recognized</w:t>
      </w:r>
      <w:r w:rsidR="004B6295">
        <w:t xml:space="preserve"> </w:t>
      </w:r>
      <w:r w:rsidR="003D14F6" w:rsidRPr="00687F04">
        <w:t>in</w:t>
      </w:r>
      <w:r w:rsidR="007D7B31" w:rsidRPr="00687F04">
        <w:t xml:space="preserve"> a series of English </w:t>
      </w:r>
      <w:r w:rsidR="003D14F6" w:rsidRPr="00687F04">
        <w:t xml:space="preserve">cases involving demonstrations </w:t>
      </w:r>
      <w:r w:rsidR="006C0F80" w:rsidRPr="00687F04">
        <w:t xml:space="preserve">which </w:t>
      </w:r>
      <w:r w:rsidR="007D7B31" w:rsidRPr="00687F04">
        <w:t xml:space="preserve">took the form of </w:t>
      </w:r>
      <w:r w:rsidR="00C86EA9" w:rsidRPr="00687F04">
        <w:t xml:space="preserve">tented </w:t>
      </w:r>
      <w:r w:rsidR="007D7B31" w:rsidRPr="00687F04">
        <w:t xml:space="preserve">encampments on prominent or symbolically important sites.  One </w:t>
      </w:r>
      <w:r w:rsidR="003D14F6" w:rsidRPr="00687F04">
        <w:t xml:space="preserve">such </w:t>
      </w:r>
      <w:r w:rsidR="002A39D8" w:rsidRPr="00687F04">
        <w:t>case</w:t>
      </w:r>
      <w:r w:rsidR="002A39D8" w:rsidRPr="00687F04">
        <w:rPr>
          <w:rStyle w:val="FootnoteReference"/>
        </w:rPr>
        <w:footnoteReference w:id="42"/>
      </w:r>
      <w:r w:rsidR="002A39D8" w:rsidRPr="00687F04">
        <w:t xml:space="preserve"> </w:t>
      </w:r>
      <w:r w:rsidR="007D7B31" w:rsidRPr="00687F04">
        <w:t xml:space="preserve">involved the Aldermaston Women’s Peace Camp which had been going for some 23 years as a protest against nuclear weapons, with the women assembling </w:t>
      </w:r>
      <w:r w:rsidR="0078383A" w:rsidRPr="00687F04">
        <w:t xml:space="preserve">on one weekend </w:t>
      </w:r>
      <w:r w:rsidR="006C0F80" w:rsidRPr="00687F04">
        <w:t xml:space="preserve">of </w:t>
      </w:r>
      <w:r w:rsidR="0078383A" w:rsidRPr="00687F04">
        <w:t xml:space="preserve">each month </w:t>
      </w:r>
      <w:r w:rsidR="007D7B31" w:rsidRPr="00687F04">
        <w:t xml:space="preserve">on government land </w:t>
      </w:r>
      <w:r w:rsidR="002A39D8" w:rsidRPr="00687F04">
        <w:t xml:space="preserve">close to a weapons establishment.  </w:t>
      </w:r>
      <w:r w:rsidR="003D14F6" w:rsidRPr="00687F04">
        <w:t>Laws LJ</w:t>
      </w:r>
      <w:r w:rsidR="0078383A" w:rsidRPr="00687F04">
        <w:t xml:space="preserve"> held that in some cases, including the case</w:t>
      </w:r>
      <w:r w:rsidR="00A03F92" w:rsidRPr="00687F04">
        <w:t xml:space="preserve"> at hand</w:t>
      </w:r>
      <w:r w:rsidR="0078383A" w:rsidRPr="00687F04">
        <w:t>:</w:t>
      </w:r>
      <w:r w:rsidR="003D14F6" w:rsidRPr="00687F04">
        <w:t xml:space="preserve"> </w:t>
      </w:r>
    </w:p>
    <w:p w:rsidR="007D7B31" w:rsidRPr="00687F04" w:rsidRDefault="0078383A" w:rsidP="004E6285">
      <w:pPr>
        <w:pStyle w:val="Bob1"/>
        <w:numPr>
          <w:ilvl w:val="0"/>
          <w:numId w:val="0"/>
        </w:numPr>
        <w:spacing w:line="240" w:lineRule="auto"/>
        <w:ind w:left="720"/>
        <w:jc w:val="both"/>
        <w:rPr>
          <w:sz w:val="24"/>
        </w:rPr>
      </w:pPr>
      <w:r w:rsidRPr="00687F04">
        <w:rPr>
          <w:sz w:val="24"/>
        </w:rPr>
        <w:t xml:space="preserve">“... this ‘manner and form’ may constitute the actual nature and quality of the protest; it may have acquired a symbolic force inseparable from the protesters’ message; it may be the very witness of their beliefs. ... To them, and (it may fairly be assumed) to many </w:t>
      </w:r>
      <w:r w:rsidRPr="00687F04">
        <w:rPr>
          <w:sz w:val="24"/>
        </w:rPr>
        <w:lastRenderedPageBreak/>
        <w:t xml:space="preserve">who support them, and indeed to others who disapprove and oppose them, the </w:t>
      </w:r>
      <w:r w:rsidR="006C0F80" w:rsidRPr="00687F04">
        <w:rPr>
          <w:sz w:val="24"/>
        </w:rPr>
        <w:t>‘</w:t>
      </w:r>
      <w:r w:rsidRPr="00687F04">
        <w:rPr>
          <w:sz w:val="24"/>
        </w:rPr>
        <w:t>manner and form</w:t>
      </w:r>
      <w:r w:rsidR="006C0F80" w:rsidRPr="00687F04">
        <w:rPr>
          <w:sz w:val="24"/>
        </w:rPr>
        <w:t>’</w:t>
      </w:r>
      <w:r w:rsidRPr="00687F04">
        <w:rPr>
          <w:sz w:val="24"/>
        </w:rPr>
        <w:t xml:space="preserve"> </w:t>
      </w:r>
      <w:r w:rsidRPr="00687F04">
        <w:rPr>
          <w:i/>
          <w:iCs/>
          <w:sz w:val="24"/>
        </w:rPr>
        <w:t xml:space="preserve">is </w:t>
      </w:r>
      <w:r w:rsidRPr="00687F04">
        <w:rPr>
          <w:sz w:val="24"/>
        </w:rPr>
        <w:t>the protest itself.”</w:t>
      </w:r>
      <w:r w:rsidR="006C0F80" w:rsidRPr="00687F04">
        <w:rPr>
          <w:rStyle w:val="FootnoteReference"/>
          <w:sz w:val="24"/>
        </w:rPr>
        <w:footnoteReference w:id="43"/>
      </w:r>
    </w:p>
    <w:p w:rsidR="0078383A" w:rsidRPr="00687F04" w:rsidRDefault="00C86EA9" w:rsidP="00EF03FF">
      <w:pPr>
        <w:pStyle w:val="Bob1"/>
        <w:tabs>
          <w:tab w:val="clear" w:pos="720"/>
          <w:tab w:val="left" w:pos="1440"/>
        </w:tabs>
        <w:spacing w:after="120"/>
        <w:ind w:left="0" w:firstLine="0"/>
        <w:jc w:val="both"/>
      </w:pPr>
      <w:r w:rsidRPr="00687F04">
        <w:rPr>
          <w:rFonts w:eastAsia="宋体"/>
          <w:szCs w:val="28"/>
        </w:rPr>
        <w:t xml:space="preserve">Another such case </w:t>
      </w:r>
      <w:r w:rsidR="00B43A31" w:rsidRPr="00687F04">
        <w:rPr>
          <w:rFonts w:eastAsia="宋体"/>
          <w:szCs w:val="28"/>
        </w:rPr>
        <w:t>is</w:t>
      </w:r>
      <w:r w:rsidRPr="00687F04">
        <w:rPr>
          <w:rFonts w:eastAsia="宋体"/>
          <w:szCs w:val="28"/>
        </w:rPr>
        <w:t xml:space="preserve"> </w:t>
      </w:r>
      <w:r w:rsidR="00F16BE6" w:rsidRPr="00687F04">
        <w:rPr>
          <w:rFonts w:eastAsia="宋体"/>
          <w:i/>
          <w:szCs w:val="28"/>
        </w:rPr>
        <w:t>Mayor of London v Hall</w:t>
      </w:r>
      <w:r w:rsidR="00F16BE6" w:rsidRPr="00687F04">
        <w:rPr>
          <w:rFonts w:eastAsia="宋体"/>
          <w:szCs w:val="28"/>
        </w:rPr>
        <w:t>,</w:t>
      </w:r>
      <w:r w:rsidR="00F16BE6" w:rsidRPr="00687F04">
        <w:rPr>
          <w:rStyle w:val="FootnoteReference"/>
          <w:rFonts w:eastAsia="宋体"/>
          <w:szCs w:val="28"/>
        </w:rPr>
        <w:footnoteReference w:id="44"/>
      </w:r>
      <w:r w:rsidRPr="00687F04">
        <w:rPr>
          <w:rFonts w:eastAsia="宋体"/>
          <w:szCs w:val="28"/>
        </w:rPr>
        <w:t xml:space="preserve"> which involved a demonstration by protesters who </w:t>
      </w:r>
      <w:r w:rsidR="00AD44EF" w:rsidRPr="00687F04">
        <w:rPr>
          <w:rFonts w:eastAsia="宋体"/>
          <w:szCs w:val="28"/>
        </w:rPr>
        <w:t xml:space="preserve">had, for over two months, </w:t>
      </w:r>
      <w:r w:rsidRPr="00687F04">
        <w:rPr>
          <w:rFonts w:eastAsia="宋体"/>
          <w:szCs w:val="28"/>
        </w:rPr>
        <w:t>set up a camp in Parliament Square Gardens bounded by the Palace of Westminster, Westminster Abbey and the United Kingdom Supreme Court</w:t>
      </w:r>
      <w:r w:rsidR="00AD44EF" w:rsidRPr="00687F04">
        <w:rPr>
          <w:rFonts w:eastAsia="宋体"/>
          <w:szCs w:val="28"/>
        </w:rPr>
        <w:t>.  Lord Neuberger of Abbotsbury MR noted the importance of recognizing that the manner and location of the protest was part and parcel of the exercise of free expression:</w:t>
      </w:r>
    </w:p>
    <w:p w:rsidR="00AD44EF" w:rsidRPr="00687F04" w:rsidRDefault="00AD44EF" w:rsidP="004E6285">
      <w:pPr>
        <w:pStyle w:val="Bob1"/>
        <w:numPr>
          <w:ilvl w:val="0"/>
          <w:numId w:val="0"/>
        </w:numPr>
        <w:spacing w:line="240" w:lineRule="auto"/>
        <w:ind w:left="720"/>
        <w:jc w:val="both"/>
        <w:rPr>
          <w:rFonts w:eastAsia="宋体"/>
          <w:sz w:val="24"/>
          <w:szCs w:val="28"/>
        </w:rPr>
      </w:pPr>
      <w:r w:rsidRPr="00687F04">
        <w:rPr>
          <w:rFonts w:eastAsia="宋体"/>
          <w:sz w:val="24"/>
          <w:szCs w:val="28"/>
        </w:rPr>
        <w:t>“</w:t>
      </w:r>
      <w:r w:rsidR="00C62C27" w:rsidRPr="00687F04">
        <w:rPr>
          <w:rFonts w:eastAsia="宋体"/>
          <w:sz w:val="24"/>
          <w:szCs w:val="28"/>
        </w:rPr>
        <w:t>The right to express views publicly, particularly on the important issues about which the defendants feel so strongly, and the right of the defendants to assemble for the purpose of expressing and discussing those views, extends to the manner in which the def</w:t>
      </w:r>
      <w:r w:rsidR="006A41BD" w:rsidRPr="00687F04">
        <w:rPr>
          <w:rFonts w:eastAsia="宋体"/>
          <w:sz w:val="24"/>
          <w:szCs w:val="28"/>
        </w:rPr>
        <w:t>endants wish to ex</w:t>
      </w:r>
      <w:r w:rsidR="00C62C27" w:rsidRPr="00687F04">
        <w:rPr>
          <w:rFonts w:eastAsia="宋体"/>
          <w:sz w:val="24"/>
          <w:szCs w:val="28"/>
        </w:rPr>
        <w:t>press their views and to the location where they wish to express and exchange their views. If it were otherwise, these fundamental human rights would be at risk of emasculation. Accordingly, the defendants' desire to express their views in Parliament Square, the open space opposite the main entrance to the Houses of Parliament, and to do so in the form of the Democracy Village, on the basis of relatively long-term occupation with tents and placards, are all, in my opinion, within the scope of articles 10 and 11.”</w:t>
      </w:r>
      <w:r w:rsidR="00C62C27" w:rsidRPr="00687F04">
        <w:rPr>
          <w:rStyle w:val="FootnoteReference"/>
          <w:rFonts w:eastAsia="宋体"/>
          <w:sz w:val="24"/>
          <w:szCs w:val="28"/>
        </w:rPr>
        <w:footnoteReference w:id="45"/>
      </w:r>
    </w:p>
    <w:p w:rsidR="00AD44EF" w:rsidRPr="00687F04" w:rsidRDefault="00C62C27" w:rsidP="00EF03FF">
      <w:pPr>
        <w:pStyle w:val="Bob1"/>
        <w:tabs>
          <w:tab w:val="clear" w:pos="720"/>
          <w:tab w:val="left" w:pos="90"/>
          <w:tab w:val="left" w:pos="180"/>
          <w:tab w:val="left" w:pos="1440"/>
        </w:tabs>
        <w:spacing w:after="120"/>
        <w:ind w:left="0" w:firstLine="0"/>
        <w:jc w:val="both"/>
      </w:pPr>
      <w:r w:rsidRPr="00687F04">
        <w:t xml:space="preserve">His Lordship favoured the approach </w:t>
      </w:r>
      <w:r w:rsidR="00341BEB" w:rsidRPr="00687F04">
        <w:t xml:space="preserve">which is </w:t>
      </w:r>
      <w:r w:rsidRPr="00687F04">
        <w:t>espoused</w:t>
      </w:r>
      <w:r w:rsidR="006A41BD" w:rsidRPr="00687F04">
        <w:t xml:space="preserve"> in this judgment</w:t>
      </w:r>
      <w:r w:rsidRPr="00687F04">
        <w:t xml:space="preserve">, namely, treating the rights as </w:t>
      </w:r>
      <w:r w:rsidR="00647375" w:rsidRPr="00687F04">
        <w:t xml:space="preserve">generally </w:t>
      </w:r>
      <w:r w:rsidRPr="00687F04">
        <w:t>available</w:t>
      </w:r>
      <w:r w:rsidR="008B6AAB" w:rsidRPr="00687F04">
        <w:t xml:space="preserve"> and </w:t>
      </w:r>
      <w:r w:rsidR="006A41BD" w:rsidRPr="00687F04">
        <w:t xml:space="preserve">then </w:t>
      </w:r>
      <w:r w:rsidR="008B6AAB" w:rsidRPr="00687F04">
        <w:t xml:space="preserve">subjecting </w:t>
      </w:r>
      <w:r w:rsidRPr="00687F04">
        <w:t xml:space="preserve">the </w:t>
      </w:r>
      <w:r w:rsidR="008B6AAB" w:rsidRPr="00687F04">
        <w:t xml:space="preserve">validity of particular </w:t>
      </w:r>
      <w:r w:rsidRPr="00687F04">
        <w:t xml:space="preserve">restrictions to </w:t>
      </w:r>
      <w:r w:rsidR="008B6AAB" w:rsidRPr="00687F04">
        <w:t>scrutiny</w:t>
      </w:r>
      <w:r w:rsidR="00341BEB" w:rsidRPr="00687F04">
        <w:t>.  As Lord Neuberger MR put</w:t>
      </w:r>
      <w:r w:rsidR="005917C8" w:rsidRPr="00687F04">
        <w:t xml:space="preserve"> it</w:t>
      </w:r>
      <w:r w:rsidR="008B6AAB" w:rsidRPr="00687F04">
        <w:t>:</w:t>
      </w:r>
    </w:p>
    <w:p w:rsidR="008B6AAB" w:rsidRPr="00687F04" w:rsidRDefault="008B6AAB" w:rsidP="004E6285">
      <w:pPr>
        <w:pStyle w:val="Bob1"/>
        <w:numPr>
          <w:ilvl w:val="0"/>
          <w:numId w:val="0"/>
        </w:numPr>
        <w:spacing w:line="240" w:lineRule="auto"/>
        <w:ind w:left="720"/>
        <w:jc w:val="both"/>
        <w:rPr>
          <w:sz w:val="24"/>
        </w:rPr>
      </w:pPr>
      <w:r w:rsidRPr="00687F04">
        <w:rPr>
          <w:sz w:val="24"/>
        </w:rPr>
        <w:t>“... when freedom of assembly, and, even more, when freedom of expression, are in play, then, save possibly in very unusual and clear circumstances, article 11, and article 10, should be capable of being invoked to enable the merits of the particular case to be considered.”</w:t>
      </w:r>
      <w:r w:rsidRPr="00687F04">
        <w:rPr>
          <w:rStyle w:val="FootnoteReference"/>
          <w:sz w:val="24"/>
        </w:rPr>
        <w:footnoteReference w:id="46"/>
      </w:r>
    </w:p>
    <w:p w:rsidR="004B7D65" w:rsidRDefault="00C40B73" w:rsidP="004E6285">
      <w:pPr>
        <w:pStyle w:val="Bob1"/>
        <w:tabs>
          <w:tab w:val="clear" w:pos="720"/>
          <w:tab w:val="left" w:pos="1440"/>
        </w:tabs>
        <w:ind w:left="0" w:firstLine="0"/>
        <w:jc w:val="both"/>
      </w:pPr>
      <w:r w:rsidRPr="00687F04">
        <w:lastRenderedPageBreak/>
        <w:t xml:space="preserve">In my view, </w:t>
      </w:r>
      <w:r w:rsidR="005917C8" w:rsidRPr="00687F04">
        <w:t>a coherent analysis of the issues arising where access to property is denied to would-be protesters is facilitated by recognizing</w:t>
      </w:r>
      <w:r w:rsidRPr="00687F04">
        <w:t xml:space="preserve"> that the right of free expression encompasses </w:t>
      </w:r>
      <w:r w:rsidR="00341BEB" w:rsidRPr="00687F04">
        <w:t xml:space="preserve">as one of its </w:t>
      </w:r>
      <w:r w:rsidRPr="00687F04">
        <w:t>dimensions</w:t>
      </w:r>
      <w:r w:rsidR="00341BEB" w:rsidRPr="00687F04">
        <w:t xml:space="preserve">, the </w:t>
      </w:r>
      <w:r w:rsidR="00C40E5C">
        <w:t xml:space="preserve">location </w:t>
      </w:r>
      <w:r w:rsidR="00341BEB" w:rsidRPr="00687F04">
        <w:t>of its exercise</w:t>
      </w:r>
      <w:r w:rsidRPr="00687F04">
        <w:t xml:space="preserve">.  </w:t>
      </w:r>
      <w:r w:rsidR="007E6C91" w:rsidRPr="00687F04">
        <w:t>If access to that place is denied,</w:t>
      </w:r>
      <w:r w:rsidRPr="00687F04">
        <w:t xml:space="preserve"> </w:t>
      </w:r>
      <w:r w:rsidR="007E6C91" w:rsidRPr="00687F04">
        <w:t xml:space="preserve">such </w:t>
      </w:r>
      <w:r w:rsidRPr="00687F04">
        <w:t xml:space="preserve">denial is properly </w:t>
      </w:r>
      <w:r w:rsidR="00CD447D">
        <w:t>viewed</w:t>
      </w:r>
      <w:r w:rsidRPr="00687F04">
        <w:t xml:space="preserve"> as a restriction </w:t>
      </w:r>
      <w:r w:rsidR="00341BEB" w:rsidRPr="00687F04">
        <w:t xml:space="preserve">imposed </w:t>
      </w:r>
      <w:r w:rsidR="007E6C91" w:rsidRPr="00687F04">
        <w:t>on the exercise of the right</w:t>
      </w:r>
      <w:r w:rsidR="003355E5">
        <w:t xml:space="preserve"> so that</w:t>
      </w:r>
      <w:r w:rsidR="007E6C91" w:rsidRPr="00687F04">
        <w:t xml:space="preserve"> the legitimacy, rationality and proportionality of that restriction fall to be considered.  </w:t>
      </w:r>
      <w:r w:rsidR="00341BEB" w:rsidRPr="00687F04">
        <w:t>This involves applying e</w:t>
      </w:r>
      <w:r w:rsidR="007E6C91" w:rsidRPr="00687F04">
        <w:t xml:space="preserve">stablished constitutional principles </w:t>
      </w:r>
      <w:r w:rsidR="00341BEB" w:rsidRPr="00687F04">
        <w:t xml:space="preserve">for determining when </w:t>
      </w:r>
      <w:r w:rsidR="007E6C91" w:rsidRPr="00687F04">
        <w:t>fundamental rights may validly be</w:t>
      </w:r>
      <w:r w:rsidR="005917C8" w:rsidRPr="00687F04">
        <w:t xml:space="preserve"> limited</w:t>
      </w:r>
      <w:r w:rsidR="007E6C91" w:rsidRPr="00687F04">
        <w:t xml:space="preserve">, without </w:t>
      </w:r>
      <w:r w:rsidR="00C40E5C">
        <w:t xml:space="preserve">being diverted towards </w:t>
      </w:r>
      <w:r w:rsidR="007E6C91" w:rsidRPr="00687F04">
        <w:t xml:space="preserve">a doctrine </w:t>
      </w:r>
      <w:r w:rsidR="00C40E5C">
        <w:t xml:space="preserve">involving an </w:t>
      </w:r>
      <w:r w:rsidR="005917C8" w:rsidRPr="00687F04">
        <w:rPr>
          <w:i/>
        </w:rPr>
        <w:t>a priori</w:t>
      </w:r>
      <w:r w:rsidR="003355E5">
        <w:rPr>
          <w:i/>
        </w:rPr>
        <w:t xml:space="preserve"> </w:t>
      </w:r>
      <w:r w:rsidR="003355E5">
        <w:t>or presumptive</w:t>
      </w:r>
      <w:r w:rsidR="005917C8" w:rsidRPr="00687F04">
        <w:rPr>
          <w:i/>
        </w:rPr>
        <w:t xml:space="preserve"> </w:t>
      </w:r>
      <w:r w:rsidR="00C40E5C">
        <w:t xml:space="preserve">exclusion </w:t>
      </w:r>
      <w:r w:rsidR="007E6C91" w:rsidRPr="00687F04">
        <w:t xml:space="preserve">of such rights </w:t>
      </w:r>
      <w:r w:rsidR="005917C8" w:rsidRPr="00687F04">
        <w:t xml:space="preserve">on </w:t>
      </w:r>
      <w:r w:rsidR="007E6C91" w:rsidRPr="00687F04">
        <w:t xml:space="preserve">the basis of </w:t>
      </w:r>
      <w:r w:rsidR="00341BEB" w:rsidRPr="00687F04">
        <w:t>a</w:t>
      </w:r>
      <w:r w:rsidR="005917C8" w:rsidRPr="00687F04">
        <w:t xml:space="preserve"> </w:t>
      </w:r>
      <w:r w:rsidR="007E6C91" w:rsidRPr="00687F04">
        <w:t xml:space="preserve">property </w:t>
      </w:r>
      <w:r w:rsidR="005917C8" w:rsidRPr="00687F04">
        <w:t xml:space="preserve">owner’s </w:t>
      </w:r>
      <w:r w:rsidR="00C40E5C">
        <w:t xml:space="preserve">interests in </w:t>
      </w:r>
      <w:r w:rsidR="007E6C91" w:rsidRPr="00687F04">
        <w:t>the proposed venue.</w:t>
      </w:r>
    </w:p>
    <w:p w:rsidR="00FD48C0" w:rsidRDefault="009E0346" w:rsidP="004E6285">
      <w:pPr>
        <w:pStyle w:val="Bob1"/>
        <w:tabs>
          <w:tab w:val="clear" w:pos="720"/>
          <w:tab w:val="left" w:pos="1440"/>
        </w:tabs>
        <w:ind w:left="0" w:firstLine="0"/>
        <w:jc w:val="both"/>
      </w:pPr>
      <w:r w:rsidRPr="00687F04">
        <w:t>A</w:t>
      </w:r>
      <w:r w:rsidRPr="004E6285">
        <w:rPr>
          <w:i/>
        </w:rPr>
        <w:t xml:space="preserve"> </w:t>
      </w:r>
      <w:r w:rsidRPr="00687F04">
        <w:t xml:space="preserve">rule </w:t>
      </w:r>
      <w:r w:rsidR="00C40E5C">
        <w:t xml:space="preserve">presumptively </w:t>
      </w:r>
      <w:r w:rsidRPr="00687F04">
        <w:t xml:space="preserve">excluding </w:t>
      </w:r>
      <w:r w:rsidR="00C40E5C">
        <w:t xml:space="preserve">free expression </w:t>
      </w:r>
      <w:r w:rsidRPr="00687F04">
        <w:t xml:space="preserve">at </w:t>
      </w:r>
      <w:r w:rsidR="00C40E5C">
        <w:t xml:space="preserve">certain </w:t>
      </w:r>
      <w:r w:rsidRPr="00687F04">
        <w:t xml:space="preserve">types of venues is too blunt an instrument.  </w:t>
      </w:r>
      <w:r w:rsidR="00CD447D">
        <w:t xml:space="preserve">A </w:t>
      </w:r>
      <w:r w:rsidRPr="00687F04">
        <w:t>proportionality analysis</w:t>
      </w:r>
      <w:r w:rsidR="00B55F8F">
        <w:t>, on the other hand,</w:t>
      </w:r>
      <w:r w:rsidRPr="00687F04">
        <w:t xml:space="preserve"> enables the court to take into account the dimensions of </w:t>
      </w:r>
      <w:r w:rsidR="001B1613" w:rsidRPr="00687F04">
        <w:t xml:space="preserve">any particular </w:t>
      </w:r>
      <w:r w:rsidRPr="00687F04">
        <w:t>exercise of such rights</w:t>
      </w:r>
      <w:r w:rsidR="00B55F8F">
        <w:t xml:space="preserve"> and the exigencies of the intended venue</w:t>
      </w:r>
      <w:r w:rsidRPr="00687F04">
        <w:t xml:space="preserve">.  </w:t>
      </w:r>
    </w:p>
    <w:p w:rsidR="00AB571C" w:rsidRDefault="001B1613" w:rsidP="004E6285">
      <w:pPr>
        <w:pStyle w:val="Bob1"/>
        <w:tabs>
          <w:tab w:val="clear" w:pos="720"/>
          <w:tab w:val="left" w:pos="1440"/>
        </w:tabs>
        <w:ind w:left="0" w:firstLine="0"/>
        <w:jc w:val="both"/>
      </w:pPr>
      <w:r w:rsidRPr="00687F04">
        <w:t>A restriction may</w:t>
      </w:r>
      <w:r w:rsidR="00C40E5C">
        <w:t>, for instance,</w:t>
      </w:r>
      <w:r w:rsidRPr="00687F04">
        <w:t xml:space="preserve"> be disproportionate in relation to a silent, orderly demonstration mounted by a limited number of protesters displaying placards for a few hours without </w:t>
      </w:r>
      <w:r w:rsidR="008771CC">
        <w:t xml:space="preserve">unduly </w:t>
      </w:r>
      <w:r w:rsidRPr="00687F04">
        <w:t xml:space="preserve">inconveniencing other members of the public.  But the same restriction may be </w:t>
      </w:r>
      <w:r w:rsidR="00A11052">
        <w:t>entirely</w:t>
      </w:r>
      <w:r w:rsidRPr="00687F04">
        <w:t xml:space="preserve"> justified in respect of a demonstration </w:t>
      </w:r>
      <w:r w:rsidR="00FD48C0" w:rsidRPr="00687F04">
        <w:t xml:space="preserve">conducted in a manner or </w:t>
      </w:r>
      <w:r w:rsidRPr="00687F04">
        <w:t xml:space="preserve">taking a form which is </w:t>
      </w:r>
      <w:r w:rsidR="00A11052">
        <w:t>much</w:t>
      </w:r>
      <w:r w:rsidRPr="00687F04">
        <w:t xml:space="preserve"> more intrusive, affecting the rights of others or posing risks to public order, </w:t>
      </w:r>
      <w:proofErr w:type="spellStart"/>
      <w:r w:rsidR="00FD48C0" w:rsidRPr="004E6285">
        <w:rPr>
          <w:i/>
        </w:rPr>
        <w:t>ordre</w:t>
      </w:r>
      <w:proofErr w:type="spellEnd"/>
      <w:r w:rsidR="00FD48C0" w:rsidRPr="004E6285">
        <w:rPr>
          <w:i/>
        </w:rPr>
        <w:t xml:space="preserve"> public</w:t>
      </w:r>
      <w:r w:rsidR="00FD48C0" w:rsidRPr="00687F04">
        <w:t xml:space="preserve">, or public health and morals, </w:t>
      </w:r>
      <w:r w:rsidR="005726FC">
        <w:t xml:space="preserve">especially where </w:t>
      </w:r>
      <w:r w:rsidR="009920FD">
        <w:t xml:space="preserve">more acceptable </w:t>
      </w:r>
      <w:r w:rsidR="00FD48C0" w:rsidRPr="00687F04">
        <w:t xml:space="preserve">alternatives </w:t>
      </w:r>
      <w:r w:rsidR="005726FC">
        <w:t xml:space="preserve">are </w:t>
      </w:r>
      <w:r w:rsidR="00FD48C0" w:rsidRPr="00687F04">
        <w:t>open to the protesters</w:t>
      </w:r>
      <w:r w:rsidRPr="00687F04">
        <w:t>.</w:t>
      </w:r>
      <w:r w:rsidR="00FD48C0" w:rsidRPr="00687F04">
        <w:t xml:space="preserve">  </w:t>
      </w:r>
      <w:r w:rsidR="00A11052">
        <w:t>I</w:t>
      </w:r>
      <w:r w:rsidR="00FD48C0" w:rsidRPr="00687F04">
        <w:t>t was by application of a proportionality analysis</w:t>
      </w:r>
      <w:r w:rsidR="00A11052">
        <w:t>,</w:t>
      </w:r>
      <w:r w:rsidR="00FD48C0" w:rsidRPr="00687F04">
        <w:t xml:space="preserve"> weighing up the </w:t>
      </w:r>
      <w:r w:rsidR="00C40E5C">
        <w:t xml:space="preserve">manner, form </w:t>
      </w:r>
      <w:r w:rsidR="00FD48C0" w:rsidRPr="00687F04">
        <w:t>and impact of each of the demonstrations</w:t>
      </w:r>
      <w:r w:rsidR="00E77C0B">
        <w:t xml:space="preserve"> at the sites</w:t>
      </w:r>
      <w:r w:rsidR="00FD48C0" w:rsidRPr="00687F04">
        <w:t xml:space="preserve"> concerned, that the English courts distinguished between the Aldermaston camp</w:t>
      </w:r>
      <w:r w:rsidR="00FD48C0" w:rsidRPr="00687F04">
        <w:rPr>
          <w:rStyle w:val="FootnoteReference"/>
        </w:rPr>
        <w:footnoteReference w:id="47"/>
      </w:r>
      <w:r w:rsidR="00FD48C0" w:rsidRPr="00687F04">
        <w:t xml:space="preserve"> (which was </w:t>
      </w:r>
      <w:r w:rsidR="00A11052">
        <w:t>held entitled</w:t>
      </w:r>
      <w:r w:rsidR="00FD48C0" w:rsidRPr="00687F04">
        <w:t xml:space="preserve"> to continue) on the one hand and the much more </w:t>
      </w:r>
      <w:r w:rsidR="00FD48C0" w:rsidRPr="00687F04">
        <w:lastRenderedPageBreak/>
        <w:t>invasive camps in Parliament Square</w:t>
      </w:r>
      <w:r w:rsidR="00FD48C0" w:rsidRPr="00687F04">
        <w:rPr>
          <w:rStyle w:val="FootnoteReference"/>
        </w:rPr>
        <w:footnoteReference w:id="48"/>
      </w:r>
      <w:r w:rsidR="00FD48C0" w:rsidRPr="00687F04">
        <w:t xml:space="preserve"> and around St Paul’s Cathedral</w:t>
      </w:r>
      <w:r w:rsidR="00FD48C0" w:rsidRPr="00687F04">
        <w:rPr>
          <w:rStyle w:val="FootnoteReference"/>
        </w:rPr>
        <w:footnoteReference w:id="49"/>
      </w:r>
      <w:r w:rsidR="00FD48C0" w:rsidRPr="00687F04">
        <w:t xml:space="preserve"> (which were held to have been </w:t>
      </w:r>
      <w:r w:rsidR="00C40E5C">
        <w:t xml:space="preserve">justifiably </w:t>
      </w:r>
      <w:r w:rsidR="00FD48C0" w:rsidRPr="00687F04">
        <w:t>curtailed)</w:t>
      </w:r>
      <w:r w:rsidR="00E77C0B">
        <w:t xml:space="preserve"> on the other</w:t>
      </w:r>
      <w:r w:rsidR="00FD48C0" w:rsidRPr="00687F04">
        <w:t>.</w:t>
      </w:r>
    </w:p>
    <w:p w:rsidR="008771CC" w:rsidRDefault="008771CC" w:rsidP="00EF03FF">
      <w:pPr>
        <w:pStyle w:val="Bob1"/>
        <w:tabs>
          <w:tab w:val="clear" w:pos="720"/>
          <w:tab w:val="left" w:pos="1440"/>
        </w:tabs>
        <w:spacing w:after="120"/>
        <w:ind w:left="0" w:firstLine="0"/>
        <w:jc w:val="both"/>
      </w:pPr>
      <w:r>
        <w:t>A</w:t>
      </w:r>
      <w:r w:rsidR="000D4F7E">
        <w:t xml:space="preserve">s Lord Neuberger MR stated in </w:t>
      </w:r>
      <w:r w:rsidR="006C1F04">
        <w:rPr>
          <w:i/>
        </w:rPr>
        <w:t>The Mayor</w:t>
      </w:r>
      <w:r w:rsidRPr="004E6285">
        <w:rPr>
          <w:i/>
        </w:rPr>
        <w:t xml:space="preserve"> Commonalty and Citizens of London v </w:t>
      </w:r>
      <w:proofErr w:type="spellStart"/>
      <w:r w:rsidRPr="004E6285">
        <w:rPr>
          <w:i/>
        </w:rPr>
        <w:t>Samede</w:t>
      </w:r>
      <w:proofErr w:type="spellEnd"/>
      <w:r>
        <w:t>,</w:t>
      </w:r>
      <w:r>
        <w:rPr>
          <w:rStyle w:val="FootnoteReference"/>
        </w:rPr>
        <w:footnoteReference w:id="50"/>
      </w:r>
      <w:r>
        <w:t xml:space="preserve"> the case involving the camp around St Paul’s Cathedral:</w:t>
      </w:r>
    </w:p>
    <w:p w:rsidR="008771CC" w:rsidRPr="008771CC" w:rsidRDefault="008771CC" w:rsidP="004E6285">
      <w:pPr>
        <w:pStyle w:val="Bob1"/>
        <w:numPr>
          <w:ilvl w:val="0"/>
          <w:numId w:val="0"/>
        </w:numPr>
        <w:spacing w:line="240" w:lineRule="auto"/>
        <w:ind w:left="720"/>
        <w:jc w:val="both"/>
        <w:rPr>
          <w:sz w:val="24"/>
        </w:rPr>
      </w:pPr>
      <w:r w:rsidRPr="008771CC">
        <w:rPr>
          <w:sz w:val="24"/>
        </w:rPr>
        <w:t xml:space="preserve">“[Establishing the limits of the right of peaceful assembly and protest on the highway] is inevitably fact-sensitive, and will normally depend on a number of factors.  In our view, those factors include (but are not limited to) the extent to which the continuation of the protest would breach domestic law, the importance of the precise location to the protesters, the duration of the protest, the degree to which the protesters occupy the land, and the extent of the actual interference the protest causes to the rights of others, including the property rights of the owners of the land, and the rights of any members of the public.” </w:t>
      </w:r>
    </w:p>
    <w:p w:rsidR="002665E0" w:rsidRPr="00687F04" w:rsidRDefault="002665E0" w:rsidP="00EF03FF">
      <w:pPr>
        <w:pStyle w:val="docmapheading"/>
      </w:pPr>
      <w:r w:rsidRPr="00687F04">
        <w:t>E.5</w:t>
      </w:r>
      <w:r w:rsidRPr="00687F04">
        <w:tab/>
      </w:r>
      <w:r w:rsidR="001A1BB3">
        <w:t>“</w:t>
      </w:r>
      <w:r w:rsidR="00443EC7" w:rsidRPr="00687F04">
        <w:t>O</w:t>
      </w:r>
      <w:r w:rsidRPr="00687F04">
        <w:t>bvious cases</w:t>
      </w:r>
      <w:r w:rsidR="001A1BB3">
        <w:t>”</w:t>
      </w:r>
      <w:r w:rsidRPr="00687F04">
        <w:t xml:space="preserve"> for restricting rights</w:t>
      </w:r>
    </w:p>
    <w:p w:rsidR="00893735" w:rsidRDefault="00086E9E" w:rsidP="004E6285">
      <w:pPr>
        <w:pStyle w:val="Bob1"/>
        <w:tabs>
          <w:tab w:val="clear" w:pos="720"/>
          <w:tab w:val="left" w:pos="1440"/>
        </w:tabs>
        <w:ind w:left="0" w:firstLine="0"/>
        <w:jc w:val="both"/>
      </w:pPr>
      <w:r w:rsidRPr="00687F04">
        <w:t xml:space="preserve">There are many </w:t>
      </w:r>
      <w:r w:rsidR="00C40E5C">
        <w:t xml:space="preserve">locations </w:t>
      </w:r>
      <w:r w:rsidR="0080641C">
        <w:t>in which</w:t>
      </w:r>
      <w:r w:rsidRPr="00687F04">
        <w:t xml:space="preserve">, as a matter of common sense, one </w:t>
      </w:r>
      <w:r w:rsidR="007B77E2">
        <w:t>would</w:t>
      </w:r>
      <w:r w:rsidRPr="00687F04">
        <w:t xml:space="preserve"> think it </w:t>
      </w:r>
      <w:r w:rsidR="00893735" w:rsidRPr="00687F04">
        <w:t xml:space="preserve">obvious </w:t>
      </w:r>
      <w:r w:rsidRPr="00687F04">
        <w:t xml:space="preserve">that </w:t>
      </w:r>
      <w:r w:rsidR="00B37D5E">
        <w:t xml:space="preserve">demonstrations and similar </w:t>
      </w:r>
      <w:r w:rsidR="00893735" w:rsidRPr="00687F04">
        <w:t>exercise</w:t>
      </w:r>
      <w:r w:rsidR="00B37D5E">
        <w:t>s</w:t>
      </w:r>
      <w:r w:rsidR="00893735" w:rsidRPr="00687F04">
        <w:t xml:space="preserve"> of free expression should be excluded</w:t>
      </w:r>
      <w:r w:rsidRPr="00687F04">
        <w:t xml:space="preserve">.  One might therefore be tempted to </w:t>
      </w:r>
      <w:r w:rsidR="00E77C0B">
        <w:t xml:space="preserve">conclude </w:t>
      </w:r>
      <w:r w:rsidRPr="00687F04">
        <w:t xml:space="preserve">that there ought to be </w:t>
      </w:r>
      <w:r w:rsidR="00893735" w:rsidRPr="00687F04">
        <w:t xml:space="preserve">some </w:t>
      </w:r>
      <w:r w:rsidR="0080641C">
        <w:t xml:space="preserve">principle </w:t>
      </w:r>
      <w:r w:rsidR="00893735" w:rsidRPr="00687F04">
        <w:t xml:space="preserve">excluding </w:t>
      </w:r>
      <w:r w:rsidR="00893735" w:rsidRPr="00687F04">
        <w:rPr>
          <w:i/>
        </w:rPr>
        <w:t xml:space="preserve">in </w:t>
      </w:r>
      <w:proofErr w:type="spellStart"/>
      <w:r w:rsidR="00893735" w:rsidRPr="00687F04">
        <w:rPr>
          <w:i/>
        </w:rPr>
        <w:t>limine</w:t>
      </w:r>
      <w:proofErr w:type="spellEnd"/>
      <w:r w:rsidR="00893735" w:rsidRPr="00687F04">
        <w:t xml:space="preserve"> engagement of the right</w:t>
      </w:r>
      <w:r w:rsidRPr="00687F04">
        <w:t xml:space="preserve"> in such places</w:t>
      </w:r>
      <w:r w:rsidR="00893735" w:rsidRPr="00687F04">
        <w:t>.</w:t>
      </w:r>
      <w:r w:rsidR="006C006E" w:rsidRPr="00687F04">
        <w:t xml:space="preserve"> </w:t>
      </w:r>
    </w:p>
    <w:p w:rsidR="006C006E" w:rsidRDefault="0080641C" w:rsidP="006C1F04">
      <w:pPr>
        <w:pStyle w:val="Bob1"/>
        <w:tabs>
          <w:tab w:val="clear" w:pos="720"/>
          <w:tab w:val="left" w:pos="1440"/>
        </w:tabs>
        <w:spacing w:after="120"/>
        <w:ind w:left="0" w:firstLine="0"/>
        <w:jc w:val="both"/>
      </w:pPr>
      <w:r>
        <w:t xml:space="preserve">Such views </w:t>
      </w:r>
      <w:r w:rsidR="006C006E" w:rsidRPr="00687F04">
        <w:t xml:space="preserve">can be found in </w:t>
      </w:r>
      <w:r w:rsidR="006C006E" w:rsidRPr="004E6285">
        <w:rPr>
          <w:i/>
        </w:rPr>
        <w:t>Committee for the Commonwealth of Canada v Canada</w:t>
      </w:r>
      <w:r w:rsidR="006C006E" w:rsidRPr="00687F04">
        <w:t>,</w:t>
      </w:r>
      <w:r w:rsidR="006C006E" w:rsidRPr="00687F04">
        <w:rPr>
          <w:rStyle w:val="FootnoteReference"/>
          <w:rFonts w:eastAsia="宋体"/>
          <w:szCs w:val="28"/>
        </w:rPr>
        <w:footnoteReference w:id="51"/>
      </w:r>
      <w:r w:rsidR="006C006E" w:rsidRPr="00687F04">
        <w:t xml:space="preserve"> where, for instance, </w:t>
      </w:r>
      <w:proofErr w:type="spellStart"/>
      <w:r w:rsidR="006C006E" w:rsidRPr="00687F04">
        <w:t>L'Heureux-Dubé</w:t>
      </w:r>
      <w:proofErr w:type="spellEnd"/>
      <w:r w:rsidR="006C006E" w:rsidRPr="00687F04">
        <w:t xml:space="preserve"> J stated:</w:t>
      </w:r>
    </w:p>
    <w:p w:rsidR="00EF03FF" w:rsidRPr="00EF03FF" w:rsidRDefault="00EF03FF" w:rsidP="005B765C">
      <w:pPr>
        <w:pStyle w:val="Bob1"/>
        <w:numPr>
          <w:ilvl w:val="0"/>
          <w:numId w:val="0"/>
        </w:numPr>
        <w:tabs>
          <w:tab w:val="left" w:pos="1440"/>
        </w:tabs>
        <w:spacing w:after="100" w:afterAutospacing="1" w:line="240" w:lineRule="auto"/>
        <w:ind w:left="720"/>
        <w:jc w:val="both"/>
        <w:rPr>
          <w:sz w:val="24"/>
        </w:rPr>
      </w:pPr>
      <w:r w:rsidRPr="00EF03FF">
        <w:rPr>
          <w:rFonts w:eastAsia="PMingLiU"/>
          <w:sz w:val="24"/>
          <w:lang w:eastAsia="zh-TW"/>
        </w:rPr>
        <w:t>“… the Charter’s</w:t>
      </w:r>
      <w:r>
        <w:rPr>
          <w:rFonts w:eastAsia="PMingLiU"/>
          <w:sz w:val="24"/>
          <w:lang w:eastAsia="zh-TW"/>
        </w:rPr>
        <w:t xml:space="preserve"> framers did not intend internal government offices, air traffic control towers, prison cells and Judges’ Chambers to be made available for leafletting or demonstrations</w:t>
      </w:r>
      <w:r w:rsidR="005B765C">
        <w:rPr>
          <w:rFonts w:eastAsia="PMingLiU"/>
          <w:sz w:val="24"/>
          <w:lang w:eastAsia="zh-TW"/>
        </w:rPr>
        <w:t>.</w:t>
      </w:r>
      <w:r w:rsidRPr="00EF03FF">
        <w:rPr>
          <w:rFonts w:eastAsia="PMingLiU"/>
          <w:sz w:val="24"/>
          <w:lang w:eastAsia="zh-TW"/>
        </w:rPr>
        <w:t>”</w:t>
      </w:r>
      <w:r w:rsidR="005B765C">
        <w:rPr>
          <w:rStyle w:val="FootnoteReference"/>
          <w:rFonts w:eastAsia="PMingLiU"/>
          <w:sz w:val="24"/>
          <w:lang w:eastAsia="zh-TW"/>
        </w:rPr>
        <w:footnoteReference w:id="52"/>
      </w:r>
    </w:p>
    <w:p w:rsidR="006C006E" w:rsidRPr="00687F04" w:rsidRDefault="006C006E" w:rsidP="004E6285">
      <w:pPr>
        <w:pStyle w:val="Bob1"/>
        <w:tabs>
          <w:tab w:val="clear" w:pos="720"/>
          <w:tab w:val="left" w:pos="1440"/>
        </w:tabs>
        <w:ind w:left="0" w:firstLine="0"/>
      </w:pPr>
      <w:r w:rsidRPr="00687F04">
        <w:lastRenderedPageBreak/>
        <w:t xml:space="preserve">Similarly, </w:t>
      </w:r>
      <w:proofErr w:type="spellStart"/>
      <w:r w:rsidRPr="00687F04">
        <w:t>McLachlin</w:t>
      </w:r>
      <w:proofErr w:type="spellEnd"/>
      <w:r w:rsidRPr="00687F04">
        <w:t xml:space="preserve"> J was of the view that:</w:t>
      </w:r>
    </w:p>
    <w:p w:rsidR="006C006E" w:rsidRPr="00687F04" w:rsidRDefault="006C006E" w:rsidP="004E6285">
      <w:pPr>
        <w:pStyle w:val="Bob1"/>
        <w:numPr>
          <w:ilvl w:val="0"/>
          <w:numId w:val="0"/>
        </w:numPr>
        <w:spacing w:line="240" w:lineRule="auto"/>
        <w:ind w:left="720"/>
        <w:jc w:val="both"/>
        <w:rPr>
          <w:sz w:val="24"/>
        </w:rPr>
      </w:pPr>
      <w:r w:rsidRPr="00687F04">
        <w:rPr>
          <w:sz w:val="24"/>
        </w:rPr>
        <w:t>“</w:t>
      </w:r>
      <w:r w:rsidR="00E7220F" w:rsidRPr="00687F04">
        <w:rPr>
          <w:sz w:val="24"/>
        </w:rPr>
        <w:t xml:space="preserve">It would be difficult to contend that </w:t>
      </w:r>
      <w:r w:rsidRPr="00687F04">
        <w:rPr>
          <w:sz w:val="24"/>
        </w:rPr>
        <w:t xml:space="preserve">[the purposes she had identified as underlying the guarantee of free expression referred to above] </w:t>
      </w:r>
      <w:r w:rsidR="00E7220F" w:rsidRPr="00687F04">
        <w:rPr>
          <w:sz w:val="24"/>
        </w:rPr>
        <w:t xml:space="preserve">are served by </w:t>
      </w:r>
      <w:r w:rsidRPr="00687F04">
        <w:rPr>
          <w:sz w:val="24"/>
        </w:rPr>
        <w:t>‘</w:t>
      </w:r>
      <w:r w:rsidR="00E7220F" w:rsidRPr="00687F04">
        <w:rPr>
          <w:sz w:val="24"/>
        </w:rPr>
        <w:t>public</w:t>
      </w:r>
      <w:r w:rsidRPr="00687F04">
        <w:rPr>
          <w:sz w:val="24"/>
        </w:rPr>
        <w:t>’</w:t>
      </w:r>
      <w:r w:rsidR="00E7220F" w:rsidRPr="00687F04">
        <w:rPr>
          <w:sz w:val="24"/>
        </w:rPr>
        <w:t xml:space="preserve"> expression in the sanctum of the Prime Minister's office, an airport control tower, a prison cell or a judge's private chambers, to return to examples where it seems self-evident that the guarantee of free expression has no place</w:t>
      </w:r>
      <w:r w:rsidRPr="00687F04">
        <w:rPr>
          <w:sz w:val="24"/>
        </w:rPr>
        <w:t>.”</w:t>
      </w:r>
      <w:r w:rsidRPr="00687F04">
        <w:rPr>
          <w:rStyle w:val="FootnoteReference"/>
          <w:sz w:val="24"/>
        </w:rPr>
        <w:footnoteReference w:id="53"/>
      </w:r>
    </w:p>
    <w:p w:rsidR="007136E3" w:rsidRDefault="005E3DF1" w:rsidP="004E6285">
      <w:pPr>
        <w:pStyle w:val="Bob1"/>
        <w:tabs>
          <w:tab w:val="clear" w:pos="720"/>
          <w:tab w:val="left" w:pos="1440"/>
        </w:tabs>
        <w:ind w:left="0" w:firstLine="0"/>
        <w:jc w:val="both"/>
      </w:pPr>
      <w:r>
        <w:t xml:space="preserve">The examples given </w:t>
      </w:r>
      <w:r w:rsidR="00E77C0B">
        <w:t>are all compelling and o</w:t>
      </w:r>
      <w:r w:rsidR="00B03BDD" w:rsidRPr="00687F04">
        <w:t xml:space="preserve">ne can readily accept that in the vast majority of </w:t>
      </w:r>
      <w:r w:rsidR="00E77C0B">
        <w:t xml:space="preserve">such </w:t>
      </w:r>
      <w:r w:rsidR="00B03BDD" w:rsidRPr="00687F04">
        <w:t xml:space="preserve">cases, </w:t>
      </w:r>
      <w:r w:rsidR="00312AD2" w:rsidRPr="00687F04">
        <w:t xml:space="preserve">one </w:t>
      </w:r>
      <w:r w:rsidR="00B03BDD" w:rsidRPr="00687F04">
        <w:t xml:space="preserve">would </w:t>
      </w:r>
      <w:r w:rsidR="00312AD2" w:rsidRPr="00687F04">
        <w:t xml:space="preserve">rapidly conclude </w:t>
      </w:r>
      <w:r w:rsidR="00B03BDD" w:rsidRPr="00687F04">
        <w:t xml:space="preserve">that outsiders </w:t>
      </w:r>
      <w:r w:rsidR="00312AD2" w:rsidRPr="00687F04">
        <w:t xml:space="preserve">cannot </w:t>
      </w:r>
      <w:r w:rsidR="00C40E5C">
        <w:t xml:space="preserve">validly </w:t>
      </w:r>
      <w:r w:rsidR="00312AD2" w:rsidRPr="00687F04">
        <w:t xml:space="preserve">assert </w:t>
      </w:r>
      <w:r w:rsidR="00B03BDD" w:rsidRPr="00687F04">
        <w:t xml:space="preserve">a constitutional right to </w:t>
      </w:r>
      <w:r w:rsidR="00E77C0B">
        <w:t xml:space="preserve">speak or demonstrate </w:t>
      </w:r>
      <w:r w:rsidR="00C40E5C">
        <w:t>in</w:t>
      </w:r>
      <w:r w:rsidR="00B37D5E">
        <w:t xml:space="preserve"> </w:t>
      </w:r>
      <w:r w:rsidR="007B77E2">
        <w:t xml:space="preserve">such </w:t>
      </w:r>
      <w:r w:rsidR="00B37D5E">
        <w:t>locations</w:t>
      </w:r>
      <w:r w:rsidR="00B03BDD" w:rsidRPr="00687F04">
        <w:t xml:space="preserve">. However, </w:t>
      </w:r>
      <w:r w:rsidR="00E77C0B">
        <w:t xml:space="preserve">the proper </w:t>
      </w:r>
      <w:r w:rsidR="00B03BDD" w:rsidRPr="00687F04">
        <w:t xml:space="preserve">conclusion </w:t>
      </w:r>
      <w:r>
        <w:t xml:space="preserve">to draw </w:t>
      </w:r>
      <w:r w:rsidR="001A1BB3">
        <w:t xml:space="preserve">in those cases </w:t>
      </w:r>
      <w:r w:rsidR="00312AD2" w:rsidRPr="00687F04">
        <w:t xml:space="preserve">is that the right to freedom of expression </w:t>
      </w:r>
      <w:r>
        <w:t xml:space="preserve">may </w:t>
      </w:r>
      <w:r w:rsidR="00312AD2" w:rsidRPr="00687F04">
        <w:t xml:space="preserve">validly </w:t>
      </w:r>
      <w:r>
        <w:t xml:space="preserve">be </w:t>
      </w:r>
      <w:r w:rsidR="00312AD2" w:rsidRPr="00687F04">
        <w:t xml:space="preserve">restricted </w:t>
      </w:r>
      <w:r w:rsidR="007B77E2">
        <w:t xml:space="preserve">and not that the Court should accept </w:t>
      </w:r>
      <w:r w:rsidR="00B03BDD" w:rsidRPr="00687F04">
        <w:t>a</w:t>
      </w:r>
      <w:r w:rsidR="00C40E5C">
        <w:t xml:space="preserve"> presumptive</w:t>
      </w:r>
      <w:r w:rsidR="00B03BDD" w:rsidRPr="007955ED">
        <w:rPr>
          <w:i/>
        </w:rPr>
        <w:t xml:space="preserve"> </w:t>
      </w:r>
      <w:r w:rsidR="00B03BDD" w:rsidRPr="00687F04">
        <w:t xml:space="preserve">rule </w:t>
      </w:r>
      <w:r w:rsidR="005726FC">
        <w:t xml:space="preserve">excluding engagement of the right </w:t>
      </w:r>
      <w:r w:rsidR="005726FC">
        <w:rPr>
          <w:i/>
        </w:rPr>
        <w:t xml:space="preserve">in </w:t>
      </w:r>
      <w:proofErr w:type="spellStart"/>
      <w:r w:rsidR="005726FC">
        <w:rPr>
          <w:i/>
        </w:rPr>
        <w:t>limine</w:t>
      </w:r>
      <w:proofErr w:type="spellEnd"/>
      <w:r w:rsidR="005726FC">
        <w:t>,</w:t>
      </w:r>
      <w:r w:rsidR="005726FC">
        <w:rPr>
          <w:i/>
        </w:rPr>
        <w:t xml:space="preserve"> </w:t>
      </w:r>
      <w:r w:rsidR="00B37D5E">
        <w:t xml:space="preserve">carrying with it </w:t>
      </w:r>
      <w:r w:rsidR="00B03BDD" w:rsidRPr="00687F04">
        <w:t xml:space="preserve">the </w:t>
      </w:r>
      <w:r w:rsidR="00312AD2" w:rsidRPr="00687F04">
        <w:t xml:space="preserve">objections </w:t>
      </w:r>
      <w:r w:rsidR="00B03BDD" w:rsidRPr="00687F04">
        <w:t xml:space="preserve">of principle and </w:t>
      </w:r>
      <w:r w:rsidR="00312AD2" w:rsidRPr="00687F04">
        <w:t xml:space="preserve">problems of </w:t>
      </w:r>
      <w:r w:rsidR="00B03BDD" w:rsidRPr="00687F04">
        <w:t xml:space="preserve">definition that have been </w:t>
      </w:r>
      <w:r>
        <w:t xml:space="preserve">discussed </w:t>
      </w:r>
      <w:r w:rsidR="00B03BDD" w:rsidRPr="00687F04">
        <w:t>above.</w:t>
      </w:r>
      <w:r w:rsidR="007955ED">
        <w:t xml:space="preserve">  </w:t>
      </w:r>
      <w:r w:rsidR="000453EC">
        <w:t>A</w:t>
      </w:r>
      <w:r w:rsidR="007C4743" w:rsidRPr="00687F04">
        <w:t xml:space="preserve"> </w:t>
      </w:r>
      <w:r w:rsidR="00E004C3" w:rsidRPr="00687F04">
        <w:t xml:space="preserve">proportionality approach </w:t>
      </w:r>
      <w:r w:rsidR="007C4743" w:rsidRPr="00687F04">
        <w:t xml:space="preserve">enables </w:t>
      </w:r>
      <w:r w:rsidR="00312AD2" w:rsidRPr="00687F04">
        <w:t>individualised and nuanced assessment</w:t>
      </w:r>
      <w:r w:rsidR="007C4743" w:rsidRPr="00687F04">
        <w:t>s</w:t>
      </w:r>
      <w:r w:rsidR="00312AD2" w:rsidRPr="00687F04">
        <w:t xml:space="preserve"> </w:t>
      </w:r>
      <w:r w:rsidR="000453EC">
        <w:t xml:space="preserve">and </w:t>
      </w:r>
      <w:r w:rsidR="00E004C3" w:rsidRPr="00687F04">
        <w:t xml:space="preserve">caters for the possibility </w:t>
      </w:r>
      <w:r w:rsidR="00312AD2" w:rsidRPr="00687F04">
        <w:t xml:space="preserve">that </w:t>
      </w:r>
      <w:r w:rsidR="00E004C3" w:rsidRPr="00687F04">
        <w:t>in</w:t>
      </w:r>
      <w:r w:rsidR="00C40E5C">
        <w:t xml:space="preserve"> </w:t>
      </w:r>
      <w:r w:rsidR="00312AD2" w:rsidRPr="00687F04">
        <w:t>exceptional circumstances</w:t>
      </w:r>
      <w:r w:rsidR="007C4743" w:rsidRPr="00687F04">
        <w:t xml:space="preserve"> such </w:t>
      </w:r>
      <w:r w:rsidR="00312AD2" w:rsidRPr="00687F04">
        <w:t xml:space="preserve">rights might be engaged even in such </w:t>
      </w:r>
      <w:r w:rsidR="007C4743" w:rsidRPr="00687F04">
        <w:t xml:space="preserve">ostensibly </w:t>
      </w:r>
      <w:r w:rsidR="00C40E5C">
        <w:t xml:space="preserve">improbable </w:t>
      </w:r>
      <w:r w:rsidR="00312AD2" w:rsidRPr="00687F04">
        <w:t>places</w:t>
      </w:r>
      <w:r w:rsidR="00C40E5C">
        <w:t>.</w:t>
      </w:r>
    </w:p>
    <w:p w:rsidR="00680FAA" w:rsidRDefault="00B37D5E" w:rsidP="004E6285">
      <w:pPr>
        <w:pStyle w:val="Bob1"/>
        <w:tabs>
          <w:tab w:val="clear" w:pos="720"/>
          <w:tab w:val="left" w:pos="1440"/>
        </w:tabs>
        <w:ind w:left="0" w:firstLine="0"/>
        <w:jc w:val="both"/>
      </w:pPr>
      <w:r>
        <w:t>Prisons are a good example.  O</w:t>
      </w:r>
      <w:r w:rsidR="007C4743" w:rsidRPr="00687F04">
        <w:t xml:space="preserve">ne </w:t>
      </w:r>
      <w:r w:rsidR="00BB2679">
        <w:t xml:space="preserve">might be inclined to </w:t>
      </w:r>
      <w:r w:rsidR="008234BC">
        <w:t xml:space="preserve">think </w:t>
      </w:r>
      <w:r w:rsidR="007955ED">
        <w:t>it obvious</w:t>
      </w:r>
      <w:r w:rsidR="007C4743" w:rsidRPr="00687F04">
        <w:t xml:space="preserve"> th</w:t>
      </w:r>
      <w:r w:rsidR="00C30F56">
        <w:t xml:space="preserve">at </w:t>
      </w:r>
      <w:r w:rsidR="008234BC">
        <w:t xml:space="preserve">for security reasons, </w:t>
      </w:r>
      <w:r>
        <w:t xml:space="preserve">demonstrations </w:t>
      </w:r>
      <w:r w:rsidR="00BB2679">
        <w:t>(</w:t>
      </w:r>
      <w:r w:rsidR="00C06465">
        <w:t xml:space="preserve">say, </w:t>
      </w:r>
      <w:r w:rsidR="007C4743" w:rsidRPr="00687F04">
        <w:t>against prison conditions</w:t>
      </w:r>
      <w:r w:rsidR="00BB2679">
        <w:t>)</w:t>
      </w:r>
      <w:r w:rsidR="007C4743" w:rsidRPr="00687F04">
        <w:t xml:space="preserve"> </w:t>
      </w:r>
      <w:r w:rsidR="007955ED">
        <w:t xml:space="preserve">cannot be allowed to be </w:t>
      </w:r>
      <w:r w:rsidR="00C30F56">
        <w:t xml:space="preserve">mounted </w:t>
      </w:r>
      <w:r w:rsidR="008234BC">
        <w:t xml:space="preserve">by outsiders </w:t>
      </w:r>
      <w:r w:rsidR="007C4743" w:rsidRPr="00687F04">
        <w:t>within the precincts of a prison</w:t>
      </w:r>
      <w:r w:rsidR="00BB2679">
        <w:t xml:space="preserve">.  </w:t>
      </w:r>
      <w:r w:rsidR="008234BC">
        <w:t>However,</w:t>
      </w:r>
      <w:r>
        <w:t xml:space="preserve"> </w:t>
      </w:r>
      <w:r w:rsidR="002C0340">
        <w:t xml:space="preserve">other forms </w:t>
      </w:r>
      <w:r w:rsidR="007955ED">
        <w:t xml:space="preserve">of exercising </w:t>
      </w:r>
      <w:r>
        <w:t xml:space="preserve">the right to </w:t>
      </w:r>
      <w:r w:rsidR="008234BC">
        <w:t xml:space="preserve">free </w:t>
      </w:r>
      <w:r>
        <w:t xml:space="preserve">expression and other fundamental rights </w:t>
      </w:r>
      <w:r w:rsidR="007955ED">
        <w:t xml:space="preserve">may </w:t>
      </w:r>
      <w:r>
        <w:t>have an important role to play.  W</w:t>
      </w:r>
      <w:r w:rsidR="00212A7C">
        <w:t>hile p</w:t>
      </w:r>
      <w:r w:rsidR="00212A7C" w:rsidRPr="00687F04">
        <w:t xml:space="preserve">risoners </w:t>
      </w:r>
      <w:r w:rsidR="002C0340">
        <w:t xml:space="preserve">necessarily </w:t>
      </w:r>
      <w:r w:rsidR="00212A7C" w:rsidRPr="00687F04">
        <w:t xml:space="preserve">forfeit their right to </w:t>
      </w:r>
      <w:r w:rsidR="007955ED">
        <w:t xml:space="preserve">personal </w:t>
      </w:r>
      <w:r w:rsidR="00212A7C" w:rsidRPr="00687F04">
        <w:t xml:space="preserve">liberty as a consequence of their </w:t>
      </w:r>
      <w:r w:rsidR="00212A7C">
        <w:t xml:space="preserve">lawfully-imposed </w:t>
      </w:r>
      <w:r w:rsidR="00212A7C" w:rsidRPr="00687F04">
        <w:t>incarceration</w:t>
      </w:r>
      <w:r w:rsidR="00212A7C">
        <w:t xml:space="preserve">, </w:t>
      </w:r>
      <w:r w:rsidR="00061BA5">
        <w:t>the</w:t>
      </w:r>
      <w:r w:rsidR="006650BC">
        <w:t xml:space="preserve"> </w:t>
      </w:r>
      <w:r w:rsidR="006650BC" w:rsidRPr="00687F04">
        <w:t>European Court of Human Rights (“</w:t>
      </w:r>
      <w:proofErr w:type="spellStart"/>
      <w:r w:rsidR="006650BC" w:rsidRPr="004E6285">
        <w:rPr>
          <w:u w:val="single"/>
        </w:rPr>
        <w:t>ECtHR</w:t>
      </w:r>
      <w:proofErr w:type="spellEnd"/>
      <w:r w:rsidR="006650BC" w:rsidRPr="00687F04">
        <w:t>”)</w:t>
      </w:r>
      <w:r w:rsidR="00061BA5">
        <w:t xml:space="preserve"> has held that</w:t>
      </w:r>
      <w:r w:rsidR="00C914E1">
        <w:t xml:space="preserve"> generally,</w:t>
      </w:r>
      <w:r w:rsidR="00061BA5">
        <w:t xml:space="preserve"> </w:t>
      </w:r>
      <w:r w:rsidR="002C0340">
        <w:t xml:space="preserve">they </w:t>
      </w:r>
      <w:r w:rsidR="00212A7C">
        <w:t xml:space="preserve">otherwise </w:t>
      </w:r>
      <w:r w:rsidR="00212A7C" w:rsidRPr="00DA513F">
        <w:t xml:space="preserve">continue to enjoy all the fundamental rights and freedoms </w:t>
      </w:r>
      <w:r w:rsidR="002C0340">
        <w:t xml:space="preserve">subject to </w:t>
      </w:r>
      <w:r w:rsidR="00212A7C">
        <w:t xml:space="preserve">restrictions </w:t>
      </w:r>
      <w:r w:rsidR="002C0340">
        <w:t xml:space="preserve">justified </w:t>
      </w:r>
      <w:r w:rsidR="00212A7C">
        <w:t xml:space="preserve">on </w:t>
      </w:r>
      <w:r w:rsidR="002130C0">
        <w:t xml:space="preserve">principles of </w:t>
      </w:r>
      <w:r w:rsidR="00212A7C">
        <w:t>proportionality.</w:t>
      </w:r>
      <w:r w:rsidR="00212A7C">
        <w:rPr>
          <w:rStyle w:val="FootnoteReference"/>
        </w:rPr>
        <w:footnoteReference w:id="54"/>
      </w:r>
      <w:r w:rsidR="002F7A1C">
        <w:t xml:space="preserve">  </w:t>
      </w:r>
      <w:r w:rsidR="002130C0">
        <w:t>A</w:t>
      </w:r>
      <w:r w:rsidR="00680FAA">
        <w:t>bsolute and non-</w:t>
      </w:r>
      <w:proofErr w:type="spellStart"/>
      <w:r w:rsidR="00680FAA">
        <w:t>derogable</w:t>
      </w:r>
      <w:proofErr w:type="spellEnd"/>
      <w:r w:rsidR="00680FAA">
        <w:t xml:space="preserve"> rights against torture and cruel, </w:t>
      </w:r>
      <w:r w:rsidR="00680FAA">
        <w:lastRenderedPageBreak/>
        <w:t>inhuman or degrading treatment or punishment which do not raise proportionality issues clearly remain applicable.</w:t>
      </w:r>
      <w:r w:rsidR="00680FAA">
        <w:rPr>
          <w:rStyle w:val="FootnoteReference"/>
        </w:rPr>
        <w:footnoteReference w:id="55"/>
      </w:r>
      <w:r w:rsidR="00680FAA">
        <w:t xml:space="preserve">  </w:t>
      </w:r>
      <w:r w:rsidR="005726FC">
        <w:t>T</w:t>
      </w:r>
      <w:r w:rsidR="002C0340" w:rsidRPr="00687F04">
        <w:t xml:space="preserve">he Court of First Instance has held that the right to vote under </w:t>
      </w:r>
      <w:r w:rsidR="002C0340">
        <w:t xml:space="preserve">BL </w:t>
      </w:r>
      <w:r w:rsidR="002C0340" w:rsidRPr="00687F04">
        <w:t xml:space="preserve">26 continues to apply and that a blanket exclusion of that right, regardless of the nature and gravity of the offence, the length and type of sentence, </w:t>
      </w:r>
      <w:proofErr w:type="spellStart"/>
      <w:r w:rsidR="002C0340" w:rsidRPr="00687F04">
        <w:t>etc</w:t>
      </w:r>
      <w:proofErr w:type="spellEnd"/>
      <w:r w:rsidR="002C0340" w:rsidRPr="00687F04">
        <w:t xml:space="preserve">, </w:t>
      </w:r>
      <w:r w:rsidR="002C0340">
        <w:t>is</w:t>
      </w:r>
      <w:r w:rsidR="002C0340" w:rsidRPr="00687F04">
        <w:t xml:space="preserve"> invalid as a disproportionate restriction of that right.</w:t>
      </w:r>
      <w:r w:rsidR="002C0340" w:rsidRPr="00687F04">
        <w:rPr>
          <w:rStyle w:val="FootnoteReference"/>
        </w:rPr>
        <w:footnoteReference w:id="56"/>
      </w:r>
      <w:r w:rsidR="00680FAA">
        <w:t xml:space="preserve">  </w:t>
      </w:r>
      <w:r w:rsidR="002130C0">
        <w:t xml:space="preserve">Similarly, </w:t>
      </w:r>
      <w:r w:rsidR="00C30F56" w:rsidRPr="00687F04">
        <w:t xml:space="preserve">the right to confidential legal advice under </w:t>
      </w:r>
      <w:r w:rsidR="00C30F56">
        <w:t xml:space="preserve">BL </w:t>
      </w:r>
      <w:r w:rsidR="00C30F56" w:rsidRPr="00687F04">
        <w:t>35</w:t>
      </w:r>
      <w:r w:rsidR="00C30F56">
        <w:t xml:space="preserve"> may </w:t>
      </w:r>
      <w:r w:rsidR="00680FAA">
        <w:t xml:space="preserve">also </w:t>
      </w:r>
      <w:r w:rsidR="00C30F56">
        <w:t>be expected to persist</w:t>
      </w:r>
      <w:r w:rsidR="002130C0">
        <w:t>, subject to proportionate limitations,</w:t>
      </w:r>
      <w:r w:rsidR="00C30F56">
        <w:t xml:space="preserve"> within prison precincts</w:t>
      </w:r>
      <w:r w:rsidR="00C30F56" w:rsidRPr="00687F04">
        <w:t>.</w:t>
      </w:r>
      <w:r w:rsidR="00ED5647">
        <w:rPr>
          <w:rStyle w:val="FootnoteReference"/>
        </w:rPr>
        <w:footnoteReference w:id="57"/>
      </w:r>
      <w:r w:rsidR="00C30F56">
        <w:t xml:space="preserve">  </w:t>
      </w:r>
    </w:p>
    <w:p w:rsidR="002F7A1C" w:rsidRDefault="00C30F56" w:rsidP="004E6285">
      <w:pPr>
        <w:pStyle w:val="Bob1"/>
        <w:tabs>
          <w:tab w:val="clear" w:pos="720"/>
          <w:tab w:val="left" w:pos="1440"/>
        </w:tabs>
        <w:ind w:left="0" w:firstLine="0"/>
        <w:jc w:val="both"/>
      </w:pPr>
      <w:r>
        <w:t xml:space="preserve">This </w:t>
      </w:r>
      <w:r w:rsidR="002130C0">
        <w:t xml:space="preserve">approach </w:t>
      </w:r>
      <w:r w:rsidR="000453EC">
        <w:t xml:space="preserve">is in principle applicable </w:t>
      </w:r>
      <w:r>
        <w:t xml:space="preserve">to the right </w:t>
      </w:r>
      <w:r w:rsidR="000453EC">
        <w:t>of free expression</w:t>
      </w:r>
      <w:r>
        <w:t xml:space="preserve">.  </w:t>
      </w:r>
      <w:r w:rsidR="000453EC">
        <w:t>T</w:t>
      </w:r>
      <w:r w:rsidR="002130C0">
        <w:t>o take a</w:t>
      </w:r>
      <w:r w:rsidR="00C06465">
        <w:t xml:space="preserve"> hypothetical</w:t>
      </w:r>
      <w:r w:rsidR="002130C0">
        <w:t xml:space="preserve"> example</w:t>
      </w:r>
      <w:r w:rsidR="00C06465">
        <w:t>,</w:t>
      </w:r>
      <w:r w:rsidR="007C4743" w:rsidRPr="00687F04">
        <w:t xml:space="preserve"> </w:t>
      </w:r>
      <w:r w:rsidR="002130C0">
        <w:t xml:space="preserve">if </w:t>
      </w:r>
      <w:r w:rsidR="007C4743" w:rsidRPr="00687F04">
        <w:t>the system of visits by Justices of the Peace</w:t>
      </w:r>
      <w:r w:rsidR="00C4010F">
        <w:t>,</w:t>
      </w:r>
      <w:r w:rsidR="00262D70">
        <w:rPr>
          <w:rStyle w:val="FootnoteReference"/>
        </w:rPr>
        <w:footnoteReference w:id="58"/>
      </w:r>
      <w:r w:rsidR="007C4743" w:rsidRPr="00687F04">
        <w:t xml:space="preserve"> traditionally</w:t>
      </w:r>
      <w:r w:rsidR="007136E3" w:rsidRPr="00687F04">
        <w:t xml:space="preserve"> designed</w:t>
      </w:r>
      <w:r w:rsidR="00E53623" w:rsidRPr="00687F04">
        <w:t xml:space="preserve"> to </w:t>
      </w:r>
      <w:r w:rsidR="00262D70">
        <w:t xml:space="preserve">inspect prison conditions and to </w:t>
      </w:r>
      <w:r w:rsidR="00E53623" w:rsidRPr="00687F04">
        <w:t>allow prisoners to air their grievances</w:t>
      </w:r>
      <w:r w:rsidR="00C4010F">
        <w:t>,</w:t>
      </w:r>
      <w:r w:rsidR="00E53623" w:rsidRPr="00687F04">
        <w:t xml:space="preserve"> were to be abolished</w:t>
      </w:r>
      <w:r w:rsidR="00E77C0B">
        <w:t xml:space="preserve"> and the JPs denied access</w:t>
      </w:r>
      <w:r w:rsidR="00E53623" w:rsidRPr="00687F04">
        <w:t xml:space="preserve">, a challenge might </w:t>
      </w:r>
      <w:r w:rsidR="00BB2679">
        <w:t xml:space="preserve">well </w:t>
      </w:r>
      <w:r w:rsidR="00E53623" w:rsidRPr="00687F04">
        <w:t xml:space="preserve">be </w:t>
      </w:r>
      <w:r w:rsidR="00E77C0B">
        <w:t xml:space="preserve">made </w:t>
      </w:r>
      <w:r w:rsidR="00E53623" w:rsidRPr="00687F04">
        <w:t xml:space="preserve">on the basis that </w:t>
      </w:r>
      <w:r w:rsidR="00E004C3" w:rsidRPr="00687F04">
        <w:t xml:space="preserve">such </w:t>
      </w:r>
      <w:r w:rsidR="008234BC">
        <w:t>denial</w:t>
      </w:r>
      <w:r w:rsidR="00E53623" w:rsidRPr="00687F04">
        <w:t xml:space="preserve"> infringes the prisoners</w:t>
      </w:r>
      <w:r w:rsidR="00E004C3" w:rsidRPr="00687F04">
        <w:t>’</w:t>
      </w:r>
      <w:r w:rsidR="00E53623" w:rsidRPr="00687F04">
        <w:t xml:space="preserve"> and the visiting JPs’ rights to freedom of expression</w:t>
      </w:r>
      <w:r w:rsidR="00DA513F">
        <w:t xml:space="preserve"> </w:t>
      </w:r>
      <w:r w:rsidR="002F7A1C">
        <w:t xml:space="preserve">so that </w:t>
      </w:r>
      <w:r w:rsidR="00DA513F">
        <w:t xml:space="preserve">the </w:t>
      </w:r>
      <w:r w:rsidR="002F7A1C">
        <w:t xml:space="preserve">validity of the </w:t>
      </w:r>
      <w:r w:rsidR="00DA513F">
        <w:t xml:space="preserve">restriction would </w:t>
      </w:r>
      <w:r w:rsidR="002F7A1C">
        <w:t xml:space="preserve">have to be </w:t>
      </w:r>
      <w:r w:rsidR="00DA513F">
        <w:t>assessed on the basis of proportionality</w:t>
      </w:r>
      <w:r>
        <w:t xml:space="preserve">. </w:t>
      </w:r>
    </w:p>
    <w:p w:rsidR="00312AD2" w:rsidRPr="00687F04" w:rsidRDefault="000453EC" w:rsidP="004E6285">
      <w:pPr>
        <w:pStyle w:val="Bob1"/>
        <w:tabs>
          <w:tab w:val="clear" w:pos="720"/>
          <w:tab w:val="left" w:pos="1440"/>
        </w:tabs>
        <w:ind w:left="0" w:firstLine="0"/>
        <w:jc w:val="both"/>
      </w:pPr>
      <w:r>
        <w:t xml:space="preserve">Within the framework of </w:t>
      </w:r>
      <w:r w:rsidR="00036F01" w:rsidRPr="00687F04">
        <w:t xml:space="preserve">restrictions </w:t>
      </w:r>
      <w:r w:rsidR="00036F01">
        <w:t xml:space="preserve">permitted under </w:t>
      </w:r>
      <w:r w:rsidR="00036F01" w:rsidRPr="00687F04">
        <w:t>BOR 16</w:t>
      </w:r>
      <w:r w:rsidR="000373BD">
        <w:t>, the principle of proportionality</w:t>
      </w:r>
      <w:r w:rsidR="00036F01">
        <w:t xml:space="preserve"> </w:t>
      </w:r>
      <w:r w:rsidR="000373BD">
        <w:t>presents</w:t>
      </w:r>
      <w:r w:rsidR="00E77C0B">
        <w:t xml:space="preserve"> a</w:t>
      </w:r>
      <w:r w:rsidR="0097131F" w:rsidRPr="00687F04">
        <w:t xml:space="preserve"> coherent basis for judging whether and to what extent </w:t>
      </w:r>
      <w:r w:rsidR="000373BD">
        <w:t xml:space="preserve">guaranteed </w:t>
      </w:r>
      <w:r w:rsidR="0097131F" w:rsidRPr="00687F04">
        <w:t>rights</w:t>
      </w:r>
      <w:r w:rsidR="000373BD">
        <w:t xml:space="preserve"> </w:t>
      </w:r>
      <w:r w:rsidR="0097131F" w:rsidRPr="00687F04">
        <w:t xml:space="preserve">may be </w:t>
      </w:r>
      <w:r>
        <w:t xml:space="preserve">excluded or limited </w:t>
      </w:r>
      <w:r w:rsidR="0097131F" w:rsidRPr="00687F04">
        <w:t>in prison</w:t>
      </w:r>
      <w:r w:rsidR="009E4CBB">
        <w:t>s or similarly restrictive locations</w:t>
      </w:r>
      <w:r w:rsidR="007B4BCE" w:rsidRPr="00687F04">
        <w:t xml:space="preserve">.  </w:t>
      </w:r>
      <w:r>
        <w:t xml:space="preserve">In </w:t>
      </w:r>
      <w:r w:rsidR="009E4CBB">
        <w:t>the vast majority of “obvious cases”</w:t>
      </w:r>
      <w:r>
        <w:t>, exclusion</w:t>
      </w:r>
      <w:r w:rsidR="009E4CBB">
        <w:t>s or limitations of rights</w:t>
      </w:r>
      <w:r w:rsidR="00680FAA">
        <w:t xml:space="preserve">, especially </w:t>
      </w:r>
      <w:r w:rsidR="002130C0">
        <w:t xml:space="preserve">rights </w:t>
      </w:r>
      <w:r w:rsidR="00680FAA">
        <w:t xml:space="preserve">sought to be exercised in forms incompatible with the maintenance of public order or </w:t>
      </w:r>
      <w:proofErr w:type="spellStart"/>
      <w:r w:rsidR="00680FAA" w:rsidRPr="004E6285">
        <w:rPr>
          <w:i/>
        </w:rPr>
        <w:t>ordre</w:t>
      </w:r>
      <w:proofErr w:type="spellEnd"/>
      <w:r w:rsidR="00680FAA" w:rsidRPr="004E6285">
        <w:rPr>
          <w:i/>
        </w:rPr>
        <w:t xml:space="preserve"> public</w:t>
      </w:r>
      <w:r w:rsidR="00680FAA">
        <w:t>,</w:t>
      </w:r>
      <w:r w:rsidR="00680FAA" w:rsidRPr="004E6285">
        <w:rPr>
          <w:i/>
        </w:rPr>
        <w:t xml:space="preserve"> </w:t>
      </w:r>
      <w:r w:rsidR="002130C0">
        <w:t xml:space="preserve">will </w:t>
      </w:r>
      <w:r w:rsidR="00C30F56">
        <w:t xml:space="preserve">be </w:t>
      </w:r>
      <w:r w:rsidR="009E4CBB">
        <w:t xml:space="preserve">upheld </w:t>
      </w:r>
      <w:r w:rsidR="009E4CBB">
        <w:lastRenderedPageBreak/>
        <w:t>as necessary and proportionate.  B</w:t>
      </w:r>
      <w:r w:rsidR="00C30F56">
        <w:t>ut the proportionality principle</w:t>
      </w:r>
      <w:r>
        <w:t xml:space="preserve"> permits </w:t>
      </w:r>
      <w:r w:rsidR="00C30F56">
        <w:t xml:space="preserve">flexibility </w:t>
      </w:r>
      <w:r>
        <w:t xml:space="preserve">to be </w:t>
      </w:r>
      <w:r w:rsidR="00C30F56">
        <w:t>retained.  A</w:t>
      </w:r>
      <w:r w:rsidR="0097131F">
        <w:t xml:space="preserve"> presumptive</w:t>
      </w:r>
      <w:r w:rsidR="007B4BCE" w:rsidRPr="004E6285">
        <w:rPr>
          <w:i/>
        </w:rPr>
        <w:t xml:space="preserve"> </w:t>
      </w:r>
      <w:r w:rsidR="007B4BCE" w:rsidRPr="00687F04">
        <w:t>exclusionary rule</w:t>
      </w:r>
      <w:r w:rsidR="0097131F">
        <w:t xml:space="preserve"> </w:t>
      </w:r>
      <w:r w:rsidR="00C30F56">
        <w:t xml:space="preserve">is </w:t>
      </w:r>
      <w:r w:rsidR="0097131F">
        <w:t>ill</w:t>
      </w:r>
      <w:r w:rsidR="00C30F56">
        <w:noBreakHyphen/>
      </w:r>
      <w:r w:rsidR="0097131F">
        <w:t>suited to the task</w:t>
      </w:r>
      <w:r w:rsidR="007B4BCE" w:rsidRPr="00687F04">
        <w:t>.</w:t>
      </w:r>
    </w:p>
    <w:p w:rsidR="007B4BCE" w:rsidRPr="00687F04" w:rsidRDefault="007B4BCE" w:rsidP="00EF03FF">
      <w:pPr>
        <w:pStyle w:val="docmapheading"/>
      </w:pPr>
      <w:r w:rsidRPr="00687F04">
        <w:t>E.6</w:t>
      </w:r>
      <w:r w:rsidRPr="00687F04">
        <w:tab/>
        <w:t>Private property</w:t>
      </w:r>
      <w:r w:rsidR="007808A5" w:rsidRPr="00687F04">
        <w:t xml:space="preserve"> </w:t>
      </w:r>
    </w:p>
    <w:p w:rsidR="005A1BC5" w:rsidRDefault="0026006F" w:rsidP="004E6285">
      <w:pPr>
        <w:pStyle w:val="Bob1"/>
        <w:tabs>
          <w:tab w:val="clear" w:pos="720"/>
          <w:tab w:val="left" w:pos="1440"/>
        </w:tabs>
        <w:ind w:left="0" w:firstLine="0"/>
        <w:jc w:val="both"/>
      </w:pPr>
      <w:r>
        <w:t>The</w:t>
      </w:r>
      <w:r w:rsidR="006D575D">
        <w:t xml:space="preserve"> </w:t>
      </w:r>
      <w:r>
        <w:t xml:space="preserve">discussion </w:t>
      </w:r>
      <w:r w:rsidR="006D575D">
        <w:t>so far has concerned</w:t>
      </w:r>
      <w:r>
        <w:t xml:space="preserve"> the exercise of free expression on government-owned property.  Is the position different regarding private property?  </w:t>
      </w:r>
      <w:r w:rsidR="005A1BC5">
        <w:t xml:space="preserve">As this did not receive full argument, my remarks must be taken to be tentative and subject to possible adjustment in a future case.  </w:t>
      </w:r>
      <w:r w:rsidR="000F121D">
        <w:t>But some</w:t>
      </w:r>
      <w:r w:rsidR="005A1BC5">
        <w:t xml:space="preserve"> discussion is merited </w:t>
      </w:r>
      <w:r w:rsidR="000F121D">
        <w:t>here</w:t>
      </w:r>
      <w:r w:rsidR="005A1BC5">
        <w:t xml:space="preserve"> because the respondent seeks to derive support for the “rights not applicable” argument from what is said to be the analogous position regarding private property rights.  It is therefore relevant to consider whether </w:t>
      </w:r>
      <w:r w:rsidR="000F121D">
        <w:t xml:space="preserve">any </w:t>
      </w:r>
      <w:r w:rsidR="005A1BC5">
        <w:t>such analogy</w:t>
      </w:r>
      <w:r w:rsidR="000F121D">
        <w:t xml:space="preserve"> exists</w:t>
      </w:r>
      <w:r w:rsidR="005A1BC5">
        <w:t>.</w:t>
      </w:r>
    </w:p>
    <w:p w:rsidR="007808A5" w:rsidRDefault="0065354F" w:rsidP="004E6285">
      <w:pPr>
        <w:pStyle w:val="Bob1"/>
        <w:tabs>
          <w:tab w:val="clear" w:pos="720"/>
          <w:tab w:val="left" w:pos="1440"/>
        </w:tabs>
        <w:ind w:left="0" w:firstLine="0"/>
        <w:jc w:val="both"/>
      </w:pPr>
      <w:r w:rsidRPr="00687F04">
        <w:t xml:space="preserve">It has been suggested that a bright line can be drawn to exclude </w:t>
      </w:r>
      <w:r w:rsidR="00B06542" w:rsidRPr="00687F04">
        <w:t>any</w:t>
      </w:r>
      <w:r w:rsidRPr="00687F04">
        <w:t xml:space="preserve"> right to </w:t>
      </w:r>
      <w:r w:rsidR="00B06542" w:rsidRPr="00687F04">
        <w:t xml:space="preserve">exercise one’s </w:t>
      </w:r>
      <w:r w:rsidRPr="00687F04">
        <w:t xml:space="preserve">freedom of expression on </w:t>
      </w:r>
      <w:r w:rsidR="00B06542" w:rsidRPr="00687F04">
        <w:t xml:space="preserve">someone else’s </w:t>
      </w:r>
      <w:r w:rsidRPr="00687F04">
        <w:t xml:space="preserve">private property. </w:t>
      </w:r>
      <w:r w:rsidR="00237FB2" w:rsidRPr="00687F04">
        <w:t xml:space="preserve"> </w:t>
      </w:r>
      <w:r w:rsidR="0026006F">
        <w:t xml:space="preserve">This is sometimes put in terms of there being </w:t>
      </w:r>
      <w:r w:rsidR="007808A5" w:rsidRPr="00687F04">
        <w:t xml:space="preserve">“no freedom of forum” </w:t>
      </w:r>
      <w:r w:rsidR="005B2A60">
        <w:t xml:space="preserve">or </w:t>
      </w:r>
      <w:r w:rsidR="0026006F">
        <w:t xml:space="preserve">of </w:t>
      </w:r>
      <w:r w:rsidR="000D28FF">
        <w:t xml:space="preserve">the Government </w:t>
      </w:r>
      <w:r w:rsidR="0026006F">
        <w:t xml:space="preserve">having </w:t>
      </w:r>
      <w:r w:rsidR="000D28FF">
        <w:t xml:space="preserve">no </w:t>
      </w:r>
      <w:r w:rsidR="007808A5" w:rsidRPr="00687F04">
        <w:t xml:space="preserve">positive duty to secure access to private property for </w:t>
      </w:r>
      <w:r w:rsidR="0026006F">
        <w:t xml:space="preserve">use </w:t>
      </w:r>
      <w:r w:rsidR="007808A5" w:rsidRPr="00687F04">
        <w:t>as a forum for expression.</w:t>
      </w:r>
      <w:r w:rsidR="00DC0AFD">
        <w:t xml:space="preserve">  This represents another </w:t>
      </w:r>
      <w:r w:rsidR="00DC0AFD" w:rsidRPr="004E6285">
        <w:rPr>
          <w:i/>
        </w:rPr>
        <w:t xml:space="preserve">a priori </w:t>
      </w:r>
      <w:r w:rsidR="00DC0AFD">
        <w:t xml:space="preserve">argument in which the fact of private ownership </w:t>
      </w:r>
      <w:r w:rsidR="00036F01">
        <w:t xml:space="preserve">presumptively </w:t>
      </w:r>
      <w:r w:rsidR="00DC0AFD">
        <w:t xml:space="preserve">precludes </w:t>
      </w:r>
      <w:r w:rsidR="005726FC">
        <w:t xml:space="preserve">engagement of the right and </w:t>
      </w:r>
      <w:r w:rsidR="00DC0AFD">
        <w:t>application of the proportionality test.</w:t>
      </w:r>
    </w:p>
    <w:p w:rsidR="007B4BCE" w:rsidRPr="00687F04" w:rsidRDefault="00237FB2" w:rsidP="004E6285">
      <w:pPr>
        <w:pStyle w:val="Bob1"/>
        <w:tabs>
          <w:tab w:val="clear" w:pos="720"/>
          <w:tab w:val="left" w:pos="1440"/>
        </w:tabs>
        <w:ind w:left="0" w:firstLine="0"/>
        <w:jc w:val="both"/>
      </w:pPr>
      <w:r w:rsidRPr="00687F04">
        <w:t xml:space="preserve">Thus, </w:t>
      </w:r>
      <w:r w:rsidR="0026006F">
        <w:t xml:space="preserve">for example, </w:t>
      </w:r>
      <w:r w:rsidRPr="00687F04">
        <w:t xml:space="preserve">in </w:t>
      </w:r>
      <w:r w:rsidRPr="004E6285">
        <w:rPr>
          <w:i/>
        </w:rPr>
        <w:t>Committee for the Commonwealth of Canada v Canada</w:t>
      </w:r>
      <w:r w:rsidRPr="00687F04">
        <w:t>,</w:t>
      </w:r>
      <w:r w:rsidRPr="00687F04">
        <w:rPr>
          <w:rStyle w:val="FootnoteReference"/>
          <w:rFonts w:eastAsia="宋体"/>
          <w:szCs w:val="28"/>
        </w:rPr>
        <w:footnoteReference w:id="59"/>
      </w:r>
      <w:r w:rsidRPr="00687F04">
        <w:t xml:space="preserve"> </w:t>
      </w:r>
      <w:proofErr w:type="spellStart"/>
      <w:r w:rsidRPr="00687F04">
        <w:t>McLachlin</w:t>
      </w:r>
      <w:proofErr w:type="spellEnd"/>
      <w:r w:rsidRPr="00687F04">
        <w:t xml:space="preserve"> J </w:t>
      </w:r>
      <w:r w:rsidR="007808A5" w:rsidRPr="00687F04">
        <w:t>stated:</w:t>
      </w:r>
    </w:p>
    <w:p w:rsidR="007808A5" w:rsidRDefault="007808A5" w:rsidP="004E6285">
      <w:pPr>
        <w:pStyle w:val="Bob1"/>
        <w:numPr>
          <w:ilvl w:val="0"/>
          <w:numId w:val="0"/>
        </w:numPr>
        <w:spacing w:line="240" w:lineRule="auto"/>
        <w:ind w:left="720"/>
        <w:jc w:val="both"/>
        <w:rPr>
          <w:sz w:val="24"/>
        </w:rPr>
      </w:pPr>
      <w:r w:rsidRPr="00687F04">
        <w:rPr>
          <w:sz w:val="24"/>
        </w:rPr>
        <w:t>“Freedom of expression does not automatically comport freedom of forum. For example, it has not historically conferred a right to use another's private property as a forum for expression. A proprietor has had the right to determine who uses his or her property and for what purpose. Moreover, the Charter does not extend to private actions. It is therefore clear that s 2(b) confers no right to use private property as a forum for expression.”</w:t>
      </w:r>
    </w:p>
    <w:p w:rsidR="0026006F" w:rsidRDefault="00A940A2" w:rsidP="004E6285">
      <w:pPr>
        <w:pStyle w:val="Bob1"/>
        <w:tabs>
          <w:tab w:val="clear" w:pos="720"/>
          <w:tab w:val="left" w:pos="1440"/>
        </w:tabs>
        <w:ind w:left="0" w:firstLine="0"/>
        <w:jc w:val="both"/>
      </w:pPr>
      <w:r>
        <w:lastRenderedPageBreak/>
        <w:t xml:space="preserve">In my view, where the guaranteed right is engaged, the orthodox approach of ascertaining whether any restriction of access is </w:t>
      </w:r>
      <w:r w:rsidR="000E1382">
        <w:t>proportionate and</w:t>
      </w:r>
      <w:r>
        <w:t xml:space="preserve"> valid remains applicable but </w:t>
      </w:r>
      <w:r w:rsidR="00496017">
        <w:t xml:space="preserve">with the qualification </w:t>
      </w:r>
      <w:r w:rsidR="003B0D47">
        <w:t xml:space="preserve">that </w:t>
      </w:r>
      <w:r>
        <w:t>elements of particular significance</w:t>
      </w:r>
      <w:r w:rsidR="005B2A60">
        <w:t xml:space="preserve"> </w:t>
      </w:r>
      <w:r w:rsidR="003B0D47">
        <w:t xml:space="preserve">regarding </w:t>
      </w:r>
      <w:r>
        <w:t xml:space="preserve">private property </w:t>
      </w:r>
      <w:r w:rsidR="003B0D47">
        <w:t xml:space="preserve">must </w:t>
      </w:r>
      <w:r>
        <w:t xml:space="preserve">be </w:t>
      </w:r>
      <w:r w:rsidR="00346D03">
        <w:t xml:space="preserve">given special weight </w:t>
      </w:r>
      <w:r>
        <w:t>in the proportionality analysis.</w:t>
      </w:r>
    </w:p>
    <w:p w:rsidR="00BB2196" w:rsidRDefault="00B27625" w:rsidP="004E6285">
      <w:pPr>
        <w:pStyle w:val="Bob1"/>
        <w:tabs>
          <w:tab w:val="clear" w:pos="720"/>
          <w:tab w:val="left" w:pos="1440"/>
        </w:tabs>
        <w:ind w:left="0" w:firstLine="0"/>
        <w:jc w:val="both"/>
      </w:pPr>
      <w:r>
        <w:t>S</w:t>
      </w:r>
      <w:r w:rsidR="00500CFA">
        <w:t>uch considerations</w:t>
      </w:r>
      <w:r>
        <w:t xml:space="preserve"> flow</w:t>
      </w:r>
      <w:r w:rsidR="00500CFA">
        <w:t xml:space="preserve"> from the </w:t>
      </w:r>
      <w:r w:rsidR="00131F9B">
        <w:t xml:space="preserve">existence of </w:t>
      </w:r>
      <w:r w:rsidR="00500CFA">
        <w:t>constitutional protection</w:t>
      </w:r>
      <w:r w:rsidR="00131F9B">
        <w:t xml:space="preserve">s relating </w:t>
      </w:r>
      <w:r w:rsidR="00500CFA">
        <w:t>to private property</w:t>
      </w:r>
      <w:r w:rsidR="00131F9B">
        <w:t xml:space="preserve"> and </w:t>
      </w:r>
      <w:r w:rsidR="009670BD">
        <w:t>the right</w:t>
      </w:r>
      <w:r w:rsidR="00131F9B">
        <w:t xml:space="preserve"> to privacy</w:t>
      </w:r>
      <w:r w:rsidR="00500CFA">
        <w:t xml:space="preserve">.  Thus, BL </w:t>
      </w:r>
      <w:r w:rsidR="00A77711">
        <w:t xml:space="preserve">6 requires the Government to protect the right of private ownership in accordance with law; and BL105 </w:t>
      </w:r>
      <w:r w:rsidR="009670BD">
        <w:t>mandates</w:t>
      </w:r>
      <w:r w:rsidR="00A77711">
        <w:t xml:space="preserve"> such protection for </w:t>
      </w:r>
      <w:r w:rsidR="00A77711" w:rsidRPr="00A77711">
        <w:t>the right</w:t>
      </w:r>
      <w:r w:rsidR="00406B3A">
        <w:t>s</w:t>
      </w:r>
      <w:r w:rsidR="00A77711" w:rsidRPr="00A77711">
        <w:t xml:space="preserve"> of individuals and l</w:t>
      </w:r>
      <w:r w:rsidR="00131F9B">
        <w:t>egal persons to the acquisition</w:t>
      </w:r>
      <w:r w:rsidR="00A77711" w:rsidRPr="00A77711">
        <w:t xml:space="preserve"> </w:t>
      </w:r>
      <w:r w:rsidR="00A77711">
        <w:t xml:space="preserve">and </w:t>
      </w:r>
      <w:r w:rsidR="00A77711" w:rsidRPr="00A77711">
        <w:t xml:space="preserve">use, </w:t>
      </w:r>
      <w:proofErr w:type="spellStart"/>
      <w:r w:rsidR="00A77711">
        <w:t>etc</w:t>
      </w:r>
      <w:proofErr w:type="spellEnd"/>
      <w:r w:rsidR="00131F9B">
        <w:t>,</w:t>
      </w:r>
      <w:r w:rsidR="00A77711">
        <w:t xml:space="preserve"> of </w:t>
      </w:r>
      <w:r w:rsidR="00A77711" w:rsidRPr="00A77711">
        <w:t>property</w:t>
      </w:r>
      <w:r w:rsidR="00A77711">
        <w:t>.</w:t>
      </w:r>
      <w:r w:rsidR="00BB2196">
        <w:t xml:space="preserve">  Particular </w:t>
      </w:r>
      <w:r w:rsidR="00581E54">
        <w:t xml:space="preserve">protection is </w:t>
      </w:r>
      <w:r w:rsidR="00906107">
        <w:t>conferred on</w:t>
      </w:r>
      <w:r w:rsidR="009670BD">
        <w:t xml:space="preserve"> </w:t>
      </w:r>
      <w:r w:rsidR="00581E54">
        <w:t>the “</w:t>
      </w:r>
      <w:r w:rsidR="00581E54" w:rsidRPr="00581E54">
        <w:t>homes and other premises of Hong Kong residents</w:t>
      </w:r>
      <w:r w:rsidR="00581E54">
        <w:t>”, BL 29 stat</w:t>
      </w:r>
      <w:r w:rsidR="00131F9B">
        <w:t>ing that they</w:t>
      </w:r>
      <w:r w:rsidR="00581E54" w:rsidRPr="00581E54">
        <w:t xml:space="preserve"> </w:t>
      </w:r>
      <w:r w:rsidR="00581E54">
        <w:t>“</w:t>
      </w:r>
      <w:r w:rsidR="00581E54" w:rsidRPr="00581E54">
        <w:t>shall be inviolable</w:t>
      </w:r>
      <w:r w:rsidR="00581E54">
        <w:t>”</w:t>
      </w:r>
      <w:r w:rsidR="009670BD">
        <w:t xml:space="preserve"> and</w:t>
      </w:r>
      <w:r w:rsidR="00131F9B">
        <w:t xml:space="preserve"> prohibiting arbitrary or unlawful intrusion</w:t>
      </w:r>
      <w:r w:rsidR="00581E54">
        <w:t>.</w:t>
      </w:r>
      <w:r w:rsidR="00131F9B">
        <w:t xml:space="preserve">  Similarly, BOR 14 prohibits “</w:t>
      </w:r>
      <w:r w:rsidR="00131F9B" w:rsidRPr="00131F9B">
        <w:t xml:space="preserve">arbitrary or unlawful interference with </w:t>
      </w:r>
      <w:r w:rsidR="00131F9B">
        <w:t xml:space="preserve">[a person’s] </w:t>
      </w:r>
      <w:r w:rsidR="00131F9B" w:rsidRPr="00131F9B">
        <w:t>privacy, family,</w:t>
      </w:r>
      <w:r w:rsidR="00131F9B">
        <w:t xml:space="preserve"> </w:t>
      </w:r>
      <w:r w:rsidR="00131F9B" w:rsidRPr="00131F9B">
        <w:t>home</w:t>
      </w:r>
      <w:r w:rsidR="00581E54">
        <w:t xml:space="preserve"> </w:t>
      </w:r>
      <w:r w:rsidR="00131F9B">
        <w:t>or correspondence</w:t>
      </w:r>
      <w:r w:rsidR="009670BD">
        <w:t>”</w:t>
      </w:r>
      <w:r w:rsidR="00131F9B">
        <w:t>.</w:t>
      </w:r>
      <w:r w:rsidR="00BB2196">
        <w:t xml:space="preserve">  </w:t>
      </w:r>
    </w:p>
    <w:p w:rsidR="00A1621C" w:rsidRDefault="00906107" w:rsidP="004E6285">
      <w:pPr>
        <w:pStyle w:val="Bob1"/>
        <w:tabs>
          <w:tab w:val="clear" w:pos="720"/>
          <w:tab w:val="left" w:pos="1440"/>
        </w:tabs>
        <w:ind w:left="0" w:firstLine="0"/>
        <w:jc w:val="both"/>
      </w:pPr>
      <w:r>
        <w:t>Consequently</w:t>
      </w:r>
      <w:r w:rsidR="00BB2196">
        <w:t xml:space="preserve">, where a </w:t>
      </w:r>
      <w:r w:rsidR="00406B3A">
        <w:t>limitation</w:t>
      </w:r>
      <w:r w:rsidR="00BB2196">
        <w:t xml:space="preserve"> on the right to freedom of expression involves denial of access</w:t>
      </w:r>
      <w:r w:rsidR="002C7BD9">
        <w:t xml:space="preserve"> to private property</w:t>
      </w:r>
      <w:r w:rsidR="00BB2196">
        <w:t>, justification of the restriction as a measure necessary for the protection of the rights of others has to be given very substantial weight in the proportionality balance</w:t>
      </w:r>
      <w:r w:rsidR="00411360">
        <w:t>.</w:t>
      </w:r>
      <w:r w:rsidR="00BB2196">
        <w:t xml:space="preserve">  </w:t>
      </w:r>
    </w:p>
    <w:p w:rsidR="00A1621C" w:rsidRDefault="00BB2196" w:rsidP="004E6285">
      <w:pPr>
        <w:pStyle w:val="Bob1"/>
        <w:tabs>
          <w:tab w:val="clear" w:pos="720"/>
          <w:tab w:val="left" w:pos="1440"/>
        </w:tabs>
        <w:ind w:left="0" w:firstLine="0"/>
        <w:jc w:val="both"/>
      </w:pPr>
      <w:r>
        <w:t xml:space="preserve">Such weight is </w:t>
      </w:r>
      <w:r w:rsidR="004B6295">
        <w:t>further</w:t>
      </w:r>
      <w:r w:rsidR="00406B3A">
        <w:t xml:space="preserve"> </w:t>
      </w:r>
      <w:r>
        <w:t xml:space="preserve">enhanced where the property involves a resident’s home or other premises, </w:t>
      </w:r>
      <w:r w:rsidR="00406B3A">
        <w:t xml:space="preserve">since such </w:t>
      </w:r>
      <w:r w:rsidR="004D2864">
        <w:t>“</w:t>
      </w:r>
      <w:r w:rsidR="00406B3A">
        <w:t xml:space="preserve">rights </w:t>
      </w:r>
      <w:r w:rsidR="004D2864">
        <w:t xml:space="preserve">of others” </w:t>
      </w:r>
      <w:r w:rsidR="00406B3A">
        <w:t xml:space="preserve">comprehend both </w:t>
      </w:r>
      <w:r>
        <w:t xml:space="preserve">property rights </w:t>
      </w:r>
      <w:r w:rsidR="00406B3A">
        <w:t xml:space="preserve">and the </w:t>
      </w:r>
      <w:r w:rsidR="0007204D">
        <w:t xml:space="preserve">right to </w:t>
      </w:r>
      <w:r>
        <w:t>privacy</w:t>
      </w:r>
      <w:r w:rsidR="002C7BD9">
        <w:t xml:space="preserve"> and inviolability of the home</w:t>
      </w:r>
      <w:r w:rsidR="0007204D">
        <w:t xml:space="preserve">. </w:t>
      </w:r>
      <w:r w:rsidR="00A1621C">
        <w:t xml:space="preserve">This was noted by the New Zealand Supreme Court in </w:t>
      </w:r>
      <w:r w:rsidR="00A1621C" w:rsidRPr="004E6285">
        <w:rPr>
          <w:i/>
        </w:rPr>
        <w:t>Brooker v Police</w:t>
      </w:r>
      <w:r w:rsidR="00A1621C">
        <w:t>,</w:t>
      </w:r>
      <w:r w:rsidR="00A1621C">
        <w:rPr>
          <w:rStyle w:val="FootnoteReference"/>
        </w:rPr>
        <w:footnoteReference w:id="60"/>
      </w:r>
      <w:r w:rsidR="00A1621C" w:rsidRPr="00A1621C">
        <w:t xml:space="preserve"> </w:t>
      </w:r>
      <w:r w:rsidR="00A1621C">
        <w:t>in relation to section 14 of the New Zealand Bill of Rights Act 1990,</w:t>
      </w:r>
      <w:r w:rsidR="00A1621C">
        <w:rPr>
          <w:rStyle w:val="FootnoteReference"/>
        </w:rPr>
        <w:footnoteReference w:id="61"/>
      </w:r>
      <w:r w:rsidR="00A1621C">
        <w:t xml:space="preserve"> where Blanchard J stated:</w:t>
      </w:r>
    </w:p>
    <w:p w:rsidR="00406B3A" w:rsidRPr="00A1621C" w:rsidRDefault="00A1621C" w:rsidP="004E6285">
      <w:pPr>
        <w:pStyle w:val="Bob1"/>
        <w:numPr>
          <w:ilvl w:val="0"/>
          <w:numId w:val="0"/>
        </w:numPr>
        <w:spacing w:line="240" w:lineRule="auto"/>
        <w:ind w:left="720"/>
        <w:jc w:val="both"/>
        <w:rPr>
          <w:sz w:val="24"/>
        </w:rPr>
      </w:pPr>
      <w:r w:rsidRPr="00A1621C">
        <w:rPr>
          <w:sz w:val="24"/>
        </w:rPr>
        <w:lastRenderedPageBreak/>
        <w:t>“The exercise of the s 14 right in the form of a protest is not confined to non-residential streets. However, what has to be borne by residents in an exclusively or predominantly residential area will be less than in areas where there is little or no residential character. This is because the common law has long recognised that men and women are entitled to feel secure in their homes, to enjoy residential tranquillity - an element of the right to privacy. They are justifiably entitled not to be subjected there to undue disturbance, anxiety or coercion.”</w:t>
      </w:r>
      <w:r w:rsidR="0007204D" w:rsidRPr="00A1621C">
        <w:rPr>
          <w:sz w:val="24"/>
        </w:rPr>
        <w:t xml:space="preserve"> </w:t>
      </w:r>
    </w:p>
    <w:p w:rsidR="002A3309" w:rsidRDefault="000E1BC9" w:rsidP="004E6285">
      <w:pPr>
        <w:pStyle w:val="Bob1"/>
        <w:tabs>
          <w:tab w:val="clear" w:pos="720"/>
          <w:tab w:val="left" w:pos="1440"/>
        </w:tabs>
        <w:ind w:left="0" w:firstLine="0"/>
        <w:jc w:val="both"/>
        <w:rPr>
          <w:szCs w:val="28"/>
        </w:rPr>
      </w:pPr>
      <w:r>
        <w:t>While “never say never” is</w:t>
      </w:r>
      <w:r w:rsidR="005E70EF">
        <w:t xml:space="preserve"> “a wise judicial precept”</w:t>
      </w:r>
      <w:r>
        <w:t>,</w:t>
      </w:r>
      <w:r w:rsidR="005E70EF">
        <w:rPr>
          <w:rStyle w:val="FootnoteReference"/>
        </w:rPr>
        <w:footnoteReference w:id="62"/>
      </w:r>
      <w:r>
        <w:t xml:space="preserve"> applying t</w:t>
      </w:r>
      <w:r w:rsidR="0007204D">
        <w:t>he orthodox test</w:t>
      </w:r>
      <w:r>
        <w:t xml:space="preserve">, it is exceedingly difficult to envisage a case where refusal of access to other persons’ private homes (or their curtilages or common areas) to be used as a forum for free expression would be ruled </w:t>
      </w:r>
      <w:r w:rsidR="00744CB0">
        <w:t xml:space="preserve">a </w:t>
      </w:r>
      <w:r>
        <w:t>disproportionate</w:t>
      </w:r>
      <w:r w:rsidR="00744CB0">
        <w:t xml:space="preserve"> </w:t>
      </w:r>
      <w:r w:rsidR="00744CB0" w:rsidRPr="002A3309">
        <w:rPr>
          <w:szCs w:val="28"/>
        </w:rPr>
        <w:t>limitation on the right</w:t>
      </w:r>
      <w:r w:rsidRPr="002A3309">
        <w:rPr>
          <w:szCs w:val="28"/>
        </w:rPr>
        <w:t xml:space="preserve">.  </w:t>
      </w:r>
    </w:p>
    <w:p w:rsidR="00A77711" w:rsidRPr="004E6285" w:rsidRDefault="005726FC" w:rsidP="004E6285">
      <w:pPr>
        <w:pStyle w:val="Bob1"/>
        <w:tabs>
          <w:tab w:val="clear" w:pos="720"/>
          <w:tab w:val="left" w:pos="1440"/>
        </w:tabs>
        <w:ind w:left="0" w:firstLine="0"/>
        <w:jc w:val="both"/>
        <w:rPr>
          <w:szCs w:val="28"/>
        </w:rPr>
      </w:pPr>
      <w:r>
        <w:t xml:space="preserve">In </w:t>
      </w:r>
      <w:r w:rsidR="002A3309" w:rsidRPr="004E6285">
        <w:rPr>
          <w:i/>
        </w:rPr>
        <w:t xml:space="preserve">HKSAR v Au Kwok </w:t>
      </w:r>
      <w:proofErr w:type="spellStart"/>
      <w:r w:rsidR="002A3309" w:rsidRPr="004E6285">
        <w:rPr>
          <w:i/>
        </w:rPr>
        <w:t>Kuen</w:t>
      </w:r>
      <w:proofErr w:type="spellEnd"/>
      <w:r w:rsidR="002A3309" w:rsidRPr="002A3309">
        <w:t>,</w:t>
      </w:r>
      <w:r w:rsidR="002A3309" w:rsidRPr="002A3309">
        <w:rPr>
          <w:rStyle w:val="FootnoteReference"/>
          <w:szCs w:val="28"/>
        </w:rPr>
        <w:footnoteReference w:id="63"/>
      </w:r>
      <w:r w:rsidR="002A3309" w:rsidRPr="002A3309">
        <w:t xml:space="preserve"> Andrew Cheung J</w:t>
      </w:r>
      <w:r w:rsidR="002A3309" w:rsidRPr="002A3309">
        <w:rPr>
          <w:rStyle w:val="FootnoteReference"/>
          <w:szCs w:val="28"/>
        </w:rPr>
        <w:footnoteReference w:id="64"/>
      </w:r>
      <w:r w:rsidR="002A3309" w:rsidRPr="002A3309">
        <w:t xml:space="preserve"> </w:t>
      </w:r>
      <w:r w:rsidR="002A3309">
        <w:t xml:space="preserve">had to consider </w:t>
      </w:r>
      <w:r w:rsidR="002A3309" w:rsidRPr="002A3309">
        <w:t>“...</w:t>
      </w:r>
      <w:r w:rsidR="002A3309">
        <w:t xml:space="preserve"> </w:t>
      </w:r>
      <w:r w:rsidR="002A3309" w:rsidRPr="002A3309">
        <w:t>the limits of the right of assembly and of the right to freedom of expression when they are sought to be exercised in private residential property without the permission of its owners or occupiers.”</w:t>
      </w:r>
      <w:r w:rsidR="002A3309" w:rsidRPr="002A3309">
        <w:rPr>
          <w:rStyle w:val="FootnoteReference"/>
          <w:color w:val="000000"/>
          <w:szCs w:val="28"/>
        </w:rPr>
        <w:footnoteReference w:id="65"/>
      </w:r>
      <w:r w:rsidR="002A3309">
        <w:t xml:space="preserve">  It involved 26 persons associated with a housing concern group forcing their way through a police cordon to enter and mount a demonstration in the common areas of a private residential development with the intention of delivering a petition to a person who resided in one of the flats.  </w:t>
      </w:r>
      <w:r w:rsidR="00411360">
        <w:t xml:space="preserve">His Lordship </w:t>
      </w:r>
      <w:r w:rsidR="00E40AF5">
        <w:t xml:space="preserve">noted that </w:t>
      </w:r>
      <w:r w:rsidR="002C7BD9">
        <w:t>under our</w:t>
      </w:r>
      <w:r w:rsidR="00E40AF5">
        <w:t xml:space="preserve"> constitution</w:t>
      </w:r>
      <w:r w:rsidR="002C7BD9">
        <w:t>,</w:t>
      </w:r>
      <w:r w:rsidR="00E40AF5">
        <w:t xml:space="preserve"> restrictions necessary for the protection of the rights of others are permitted</w:t>
      </w:r>
      <w:r w:rsidR="00E40AF5">
        <w:rPr>
          <w:rStyle w:val="FootnoteReference"/>
        </w:rPr>
        <w:footnoteReference w:id="66"/>
      </w:r>
      <w:r w:rsidR="00E40AF5">
        <w:t xml:space="preserve"> and that </w:t>
      </w:r>
      <w:r w:rsidR="00E40AF5" w:rsidRPr="004E6285">
        <w:rPr>
          <w:color w:val="000000"/>
          <w:szCs w:val="28"/>
        </w:rPr>
        <w:t xml:space="preserve">where one is concerned with a private residential development, </w:t>
      </w:r>
      <w:r w:rsidR="002C7BD9" w:rsidRPr="004E6285">
        <w:rPr>
          <w:color w:val="000000"/>
          <w:szCs w:val="28"/>
        </w:rPr>
        <w:t xml:space="preserve">it </w:t>
      </w:r>
      <w:r w:rsidR="00E40AF5" w:rsidRPr="004E6285">
        <w:rPr>
          <w:color w:val="000000"/>
          <w:szCs w:val="28"/>
        </w:rPr>
        <w:t>protects home and privacy rights.</w:t>
      </w:r>
      <w:r w:rsidR="00E40AF5">
        <w:rPr>
          <w:rStyle w:val="FootnoteReference"/>
          <w:color w:val="000000"/>
          <w:szCs w:val="28"/>
        </w:rPr>
        <w:footnoteReference w:id="67"/>
      </w:r>
      <w:r w:rsidR="00E40AF5" w:rsidRPr="004E6285">
        <w:rPr>
          <w:color w:val="000000"/>
          <w:szCs w:val="28"/>
        </w:rPr>
        <w:t xml:space="preserve">  He considered alternative possible locations for the demonstration and </w:t>
      </w:r>
      <w:r w:rsidR="00E40AF5" w:rsidRPr="004E6285">
        <w:rPr>
          <w:color w:val="000000"/>
          <w:szCs w:val="28"/>
        </w:rPr>
        <w:lastRenderedPageBreak/>
        <w:t>noted that ample opportunities exist to exercise the relevant rights in public places</w:t>
      </w:r>
      <w:r w:rsidR="004D264F">
        <w:rPr>
          <w:rStyle w:val="FootnoteReference"/>
          <w:color w:val="000000"/>
          <w:szCs w:val="28"/>
        </w:rPr>
        <w:footnoteReference w:id="68"/>
      </w:r>
      <w:r w:rsidR="004D264F" w:rsidRPr="004E6285">
        <w:rPr>
          <w:color w:val="000000"/>
          <w:szCs w:val="28"/>
        </w:rPr>
        <w:t xml:space="preserve"> and concluded that:</w:t>
      </w:r>
    </w:p>
    <w:p w:rsidR="004D264F" w:rsidRDefault="004D264F" w:rsidP="004E6285">
      <w:pPr>
        <w:pStyle w:val="Bob1"/>
        <w:numPr>
          <w:ilvl w:val="0"/>
          <w:numId w:val="0"/>
        </w:numPr>
        <w:spacing w:line="240" w:lineRule="auto"/>
        <w:ind w:left="720"/>
        <w:jc w:val="both"/>
        <w:rPr>
          <w:color w:val="000000"/>
          <w:sz w:val="24"/>
          <w:szCs w:val="28"/>
        </w:rPr>
      </w:pPr>
      <w:r w:rsidRPr="004D264F">
        <w:rPr>
          <w:color w:val="000000"/>
          <w:sz w:val="24"/>
          <w:szCs w:val="28"/>
        </w:rPr>
        <w:t>“... the right of peaceful assembly and the right to freedom of expression stop, so far as physical or geographical limits are concerned, at the boundary of private residential property belonging to others, in the absence of any permission to enter.”</w:t>
      </w:r>
      <w:r>
        <w:rPr>
          <w:rStyle w:val="FootnoteReference"/>
          <w:color w:val="000000"/>
          <w:sz w:val="24"/>
          <w:szCs w:val="28"/>
        </w:rPr>
        <w:footnoteReference w:id="69"/>
      </w:r>
    </w:p>
    <w:p w:rsidR="004D264F" w:rsidRDefault="004D264F" w:rsidP="004E6285">
      <w:pPr>
        <w:pStyle w:val="Bob1"/>
        <w:tabs>
          <w:tab w:val="clear" w:pos="720"/>
          <w:tab w:val="num" w:pos="1440"/>
        </w:tabs>
        <w:ind w:left="0" w:firstLine="0"/>
        <w:jc w:val="both"/>
      </w:pPr>
      <w:r>
        <w:t xml:space="preserve">While the passage just cited might be read as espousing a private property-based </w:t>
      </w:r>
      <w:r w:rsidR="005726FC">
        <w:t>presumptive</w:t>
      </w:r>
      <w:r>
        <w:t xml:space="preserve"> exclusion of the right to freedom of expression, </w:t>
      </w:r>
      <w:r w:rsidR="002C7BD9">
        <w:t xml:space="preserve">the better view seems </w:t>
      </w:r>
      <w:r>
        <w:t xml:space="preserve">to me </w:t>
      </w:r>
      <w:r w:rsidR="002C7BD9">
        <w:t xml:space="preserve">to be </w:t>
      </w:r>
      <w:r>
        <w:t xml:space="preserve">that the judgment as a whole proceeds on the </w:t>
      </w:r>
      <w:r w:rsidR="005726FC">
        <w:t xml:space="preserve">orthodox </w:t>
      </w:r>
      <w:r>
        <w:t xml:space="preserve">basis that the denial of access, involving as it did a private residential development, was legitimate and valid, applying proportionality principles.  </w:t>
      </w:r>
    </w:p>
    <w:p w:rsidR="00507D8A" w:rsidRDefault="00507D8A" w:rsidP="004E6285">
      <w:pPr>
        <w:pStyle w:val="Bob1"/>
        <w:tabs>
          <w:tab w:val="clear" w:pos="720"/>
          <w:tab w:val="num" w:pos="1440"/>
        </w:tabs>
        <w:ind w:left="0" w:firstLine="0"/>
        <w:jc w:val="both"/>
      </w:pPr>
      <w:r>
        <w:t xml:space="preserve">The position may, however, be </w:t>
      </w:r>
      <w:r w:rsidR="00411360">
        <w:t xml:space="preserve">a little </w:t>
      </w:r>
      <w:r>
        <w:t xml:space="preserve">less obvious when it comes to privately owned commercial properties such as shopping malls and similar premises, to which the public are freely admitted in furtherance of the owners’ business interests.  While it will no doubt still be rare for a refusal of access amounting to a restriction on the right to freedom of expression to be held </w:t>
      </w:r>
      <w:r w:rsidR="002C7BD9">
        <w:t xml:space="preserve">to be </w:t>
      </w:r>
      <w:r w:rsidR="006C53DA">
        <w:t xml:space="preserve">constitutionally </w:t>
      </w:r>
      <w:r>
        <w:t xml:space="preserve">invalid, such an outcome </w:t>
      </w:r>
      <w:r w:rsidR="002C7BD9">
        <w:t xml:space="preserve">could </w:t>
      </w:r>
      <w:r w:rsidR="006C53DA">
        <w:t xml:space="preserve">be reached </w:t>
      </w:r>
      <w:r>
        <w:t>in an exceptional case</w:t>
      </w:r>
      <w:r w:rsidR="002C7BD9">
        <w:t>.</w:t>
      </w:r>
    </w:p>
    <w:p w:rsidR="009D6EFB" w:rsidRDefault="009D6EFB" w:rsidP="004E6285">
      <w:pPr>
        <w:pStyle w:val="Bob1"/>
        <w:tabs>
          <w:tab w:val="clear" w:pos="720"/>
          <w:tab w:val="num" w:pos="1440"/>
        </w:tabs>
        <w:ind w:left="0" w:firstLine="0"/>
        <w:jc w:val="both"/>
      </w:pPr>
      <w:r w:rsidRPr="00687F04">
        <w:t>Th</w:t>
      </w:r>
      <w:r>
        <w:t xml:space="preserve">is was acknowledged by </w:t>
      </w:r>
      <w:r w:rsidRPr="00687F04">
        <w:t xml:space="preserve">the </w:t>
      </w:r>
      <w:proofErr w:type="spellStart"/>
      <w:r w:rsidR="006650BC">
        <w:t>ECtHR</w:t>
      </w:r>
      <w:proofErr w:type="spellEnd"/>
      <w:r w:rsidRPr="00687F04">
        <w:t xml:space="preserve"> in </w:t>
      </w:r>
      <w:r w:rsidRPr="004E6285">
        <w:rPr>
          <w:rFonts w:eastAsia="宋体"/>
          <w:i/>
          <w:szCs w:val="28"/>
        </w:rPr>
        <w:t>Appleby v United Kingdom</w:t>
      </w:r>
      <w:r w:rsidRPr="004E6285">
        <w:rPr>
          <w:rFonts w:eastAsia="宋体"/>
          <w:szCs w:val="28"/>
        </w:rPr>
        <w:t>,</w:t>
      </w:r>
      <w:r w:rsidRPr="00687F04">
        <w:rPr>
          <w:rStyle w:val="FootnoteReference"/>
          <w:rFonts w:eastAsia="宋体"/>
          <w:szCs w:val="28"/>
        </w:rPr>
        <w:footnoteReference w:id="70"/>
      </w:r>
      <w:r w:rsidRPr="004E6285">
        <w:rPr>
          <w:rFonts w:eastAsia="宋体"/>
          <w:szCs w:val="28"/>
        </w:rPr>
        <w:t xml:space="preserve"> </w:t>
      </w:r>
      <w:r w:rsidRPr="00687F04">
        <w:t xml:space="preserve">where the applicants were prohibited from setting up stands at the entrance to a privately-owned shopping mall in the town centre </w:t>
      </w:r>
      <w:r w:rsidR="00237F1F">
        <w:t>when</w:t>
      </w:r>
      <w:r w:rsidRPr="00687F04">
        <w:t xml:space="preserve"> campaign</w:t>
      </w:r>
      <w:r w:rsidR="00237F1F">
        <w:t>ing</w:t>
      </w:r>
      <w:r w:rsidRPr="00687F04">
        <w:t xml:space="preserve"> against the local authority’s </w:t>
      </w:r>
      <w:r>
        <w:t xml:space="preserve">decision </w:t>
      </w:r>
      <w:r w:rsidRPr="00687F04">
        <w:t xml:space="preserve">to allow a playing field in the vicinity to be built </w:t>
      </w:r>
      <w:r>
        <w:t>up</w:t>
      </w:r>
      <w:r w:rsidRPr="00687F04">
        <w:t xml:space="preserve">on, </w:t>
      </w:r>
      <w:r w:rsidR="002C7BD9">
        <w:t>the complaint being</w:t>
      </w:r>
      <w:r w:rsidRPr="00687F04">
        <w:t xml:space="preserve"> that </w:t>
      </w:r>
      <w:r>
        <w:t xml:space="preserve">this </w:t>
      </w:r>
      <w:r w:rsidRPr="00687F04">
        <w:t xml:space="preserve">would deprive their children of green areas for play.  </w:t>
      </w:r>
    </w:p>
    <w:p w:rsidR="009D6EFB" w:rsidRPr="00687F04" w:rsidRDefault="009D6EFB" w:rsidP="004E6285">
      <w:pPr>
        <w:pStyle w:val="Bob1"/>
        <w:tabs>
          <w:tab w:val="clear" w:pos="720"/>
          <w:tab w:val="left" w:pos="1440"/>
        </w:tabs>
        <w:ind w:left="0" w:firstLine="0"/>
      </w:pPr>
      <w:r w:rsidRPr="00687F04">
        <w:t>The Court stated:</w:t>
      </w:r>
    </w:p>
    <w:p w:rsidR="009D6EFB" w:rsidRPr="00687F04" w:rsidRDefault="009D6EFB" w:rsidP="004E6285">
      <w:pPr>
        <w:pStyle w:val="Bob1"/>
        <w:numPr>
          <w:ilvl w:val="0"/>
          <w:numId w:val="0"/>
        </w:numPr>
        <w:spacing w:line="240" w:lineRule="auto"/>
        <w:ind w:left="720"/>
        <w:jc w:val="both"/>
        <w:rPr>
          <w:sz w:val="24"/>
        </w:rPr>
      </w:pPr>
      <w:r w:rsidRPr="00687F04">
        <w:rPr>
          <w:sz w:val="24"/>
        </w:rPr>
        <w:lastRenderedPageBreak/>
        <w:t xml:space="preserve">“... </w:t>
      </w:r>
      <w:r w:rsidRPr="00687F04">
        <w:rPr>
          <w:sz w:val="24"/>
          <w:szCs w:val="20"/>
        </w:rPr>
        <w:t xml:space="preserve">notwithstanding the acknowledged importance of freedom of expression, </w:t>
      </w:r>
      <w:r w:rsidRPr="00687F04">
        <w:rPr>
          <w:sz w:val="24"/>
        </w:rPr>
        <w:t xml:space="preserve">[Article 10 of the ECHR] </w:t>
      </w:r>
      <w:r w:rsidRPr="00687F04">
        <w:rPr>
          <w:sz w:val="24"/>
          <w:szCs w:val="20"/>
        </w:rPr>
        <w:t>does not bestow any freedom of forum for the exercise of that right. While it is true that demographic, social, economic and technological developments are changing the ways in which people move around and come into contact with each other, the Court is not persuaded that this requires the automatic creation of rights of entry to private property, or even, necessarily, to all publicly owned property (Government offices and ministries, for instance). Where however the bar on access to property has the effect of preventing any effective exercise of freedom of expression or it can be said that the essence of the right has been destroyed, the Court would not exclude that a positive obligation could arise for the State to protect the enjoyment of Convention rights by regulating property rights. The corporate town, where the entire municipality was controlled by a private body, might be an example</w:t>
      </w:r>
      <w:r w:rsidRPr="00687F04">
        <w:rPr>
          <w:sz w:val="24"/>
        </w:rPr>
        <w:t>.”</w:t>
      </w:r>
      <w:r w:rsidRPr="00687F04">
        <w:rPr>
          <w:rStyle w:val="FootnoteReference"/>
          <w:sz w:val="24"/>
        </w:rPr>
        <w:footnoteReference w:id="71"/>
      </w:r>
    </w:p>
    <w:p w:rsidR="009D6EFB" w:rsidRPr="00687F04" w:rsidRDefault="009D6EFB" w:rsidP="004E6285">
      <w:pPr>
        <w:pStyle w:val="Bob1"/>
        <w:tabs>
          <w:tab w:val="clear" w:pos="720"/>
          <w:tab w:val="left" w:pos="1440"/>
        </w:tabs>
        <w:ind w:left="0" w:firstLine="0"/>
        <w:jc w:val="both"/>
      </w:pPr>
      <w:r w:rsidRPr="00687F04">
        <w:t xml:space="preserve">The Court </w:t>
      </w:r>
      <w:r w:rsidR="00237F1F">
        <w:t xml:space="preserve">indicated </w:t>
      </w:r>
      <w:r w:rsidR="002C7BD9">
        <w:t xml:space="preserve">that the </w:t>
      </w:r>
      <w:r w:rsidRPr="00687F04">
        <w:t xml:space="preserve">outcome </w:t>
      </w:r>
      <w:r w:rsidR="002C7BD9">
        <w:t xml:space="preserve">in any case </w:t>
      </w:r>
      <w:r w:rsidRPr="00687F04">
        <w:t>depend</w:t>
      </w:r>
      <w:r w:rsidR="002C7BD9">
        <w:t>s</w:t>
      </w:r>
      <w:r w:rsidRPr="00687F04">
        <w:t xml:space="preserve"> on </w:t>
      </w:r>
      <w:r>
        <w:t xml:space="preserve">the principle </w:t>
      </w:r>
      <w:r w:rsidRPr="00687F04">
        <w:t>of proportionality and a balancing exercise:</w:t>
      </w:r>
    </w:p>
    <w:p w:rsidR="009D6EFB" w:rsidRPr="00687F04" w:rsidRDefault="009D6EFB" w:rsidP="004E6285">
      <w:pPr>
        <w:pStyle w:val="Bob1"/>
        <w:numPr>
          <w:ilvl w:val="0"/>
          <w:numId w:val="0"/>
        </w:numPr>
        <w:spacing w:line="240" w:lineRule="auto"/>
        <w:ind w:left="720"/>
        <w:jc w:val="both"/>
        <w:rPr>
          <w:sz w:val="24"/>
          <w:szCs w:val="20"/>
        </w:rPr>
      </w:pPr>
      <w:r w:rsidRPr="00687F04">
        <w:rPr>
          <w:sz w:val="24"/>
        </w:rPr>
        <w:t>“</w:t>
      </w:r>
      <w:r w:rsidRPr="00687F04">
        <w:rPr>
          <w:sz w:val="24"/>
          <w:szCs w:val="20"/>
        </w:rPr>
        <w:t>In determining whether or not a positive obligation exists, regard must be had to the fair balance that has to be struck between the general interest of the community and the interests of the individual, the search for which is inherent throughout the Convention. The scope of this obligation will inevitably vary, having regard to the diversity of situations obtaining in Contracting States and the choices which must be made in terms of priorities and resources. Nor must such an obligation be interpreted in such a way as to impose an impossible or disproportionate burden on the authorities.”</w:t>
      </w:r>
      <w:r w:rsidRPr="00687F04">
        <w:rPr>
          <w:rStyle w:val="FootnoteReference"/>
          <w:sz w:val="24"/>
          <w:szCs w:val="20"/>
        </w:rPr>
        <w:footnoteReference w:id="72"/>
      </w:r>
    </w:p>
    <w:p w:rsidR="004D264F" w:rsidRDefault="00425EDA" w:rsidP="004E6285">
      <w:pPr>
        <w:pStyle w:val="Bob1"/>
        <w:tabs>
          <w:tab w:val="clear" w:pos="720"/>
          <w:tab w:val="left" w:pos="1440"/>
        </w:tabs>
        <w:ind w:left="0" w:firstLine="0"/>
        <w:jc w:val="both"/>
      </w:pPr>
      <w:r>
        <w:t>It follows from the foregoing discussion that</w:t>
      </w:r>
      <w:r w:rsidR="007F299C">
        <w:t xml:space="preserve"> </w:t>
      </w:r>
      <w:r>
        <w:t xml:space="preserve">there is only a limited </w:t>
      </w:r>
      <w:r w:rsidR="000D1CD0">
        <w:t xml:space="preserve">and imperfect </w:t>
      </w:r>
      <w:r>
        <w:t>analogy between the approach</w:t>
      </w:r>
      <w:r w:rsidR="002C7BD9">
        <w:t>es to</w:t>
      </w:r>
      <w:r>
        <w:t xml:space="preserve"> freedom of expression </w:t>
      </w:r>
      <w:r w:rsidR="007F299C">
        <w:t xml:space="preserve">as exercised </w:t>
      </w:r>
      <w:r>
        <w:t xml:space="preserve">in public versus private properties.  In each case, assuming that the right is engaged, </w:t>
      </w:r>
      <w:r w:rsidR="00F41C87">
        <w:t>its</w:t>
      </w:r>
      <w:r>
        <w:t xml:space="preserve"> </w:t>
      </w:r>
      <w:r w:rsidR="00E93B8B">
        <w:t xml:space="preserve">limitation </w:t>
      </w:r>
      <w:r>
        <w:t>embodied by denial of access to the site is assessed on p</w:t>
      </w:r>
      <w:r w:rsidR="00E93B8B">
        <w:t xml:space="preserve">roportionality principles.  But, where private property is concerned, </w:t>
      </w:r>
      <w:r>
        <w:t xml:space="preserve">special elements </w:t>
      </w:r>
      <w:r w:rsidR="009961D8">
        <w:t xml:space="preserve">involving </w:t>
      </w:r>
      <w:r w:rsidR="00E93B8B">
        <w:t xml:space="preserve">the </w:t>
      </w:r>
      <w:r>
        <w:t xml:space="preserve">constitutional </w:t>
      </w:r>
      <w:r w:rsidR="009961D8">
        <w:t>protections of private property and privacy in the home enter the equation</w:t>
      </w:r>
      <w:r w:rsidR="00E93B8B">
        <w:t>,</w:t>
      </w:r>
      <w:r w:rsidR="009961D8">
        <w:t xml:space="preserve"> weighing</w:t>
      </w:r>
      <w:r w:rsidR="005726FC">
        <w:t xml:space="preserve"> heavily</w:t>
      </w:r>
      <w:r w:rsidR="009961D8">
        <w:t xml:space="preserve"> </w:t>
      </w:r>
      <w:r w:rsidR="00E93B8B">
        <w:t xml:space="preserve">in favour of </w:t>
      </w:r>
      <w:r w:rsidR="009961D8">
        <w:t xml:space="preserve">validating restricted access </w:t>
      </w:r>
      <w:r w:rsidR="00E93B8B">
        <w:t xml:space="preserve">although this </w:t>
      </w:r>
      <w:r w:rsidR="000D1CD0">
        <w:t>may be</w:t>
      </w:r>
      <w:r w:rsidR="00E93B8B">
        <w:t xml:space="preserve"> </w:t>
      </w:r>
      <w:r w:rsidR="009961D8">
        <w:t xml:space="preserve">subject to </w:t>
      </w:r>
      <w:r w:rsidR="00E93B8B">
        <w:t xml:space="preserve">rare </w:t>
      </w:r>
      <w:r w:rsidR="009961D8">
        <w:t>possible exceptions.</w:t>
      </w:r>
    </w:p>
    <w:p w:rsidR="00516FBF" w:rsidRDefault="006F2FB2" w:rsidP="00EF03FF">
      <w:pPr>
        <w:pStyle w:val="docmapheading"/>
      </w:pPr>
      <w:r>
        <w:t>E.7</w:t>
      </w:r>
      <w:r>
        <w:tab/>
        <w:t>Conclusion</w:t>
      </w:r>
      <w:r w:rsidR="00DA2FE4">
        <w:t xml:space="preserve"> as to the “rights not applicable” argument </w:t>
      </w:r>
      <w:r w:rsidR="00516FBF">
        <w:t xml:space="preserve"> </w:t>
      </w:r>
    </w:p>
    <w:p w:rsidR="006F2FB2" w:rsidRDefault="006F2FB2" w:rsidP="004E6285">
      <w:pPr>
        <w:pStyle w:val="Bob1"/>
        <w:tabs>
          <w:tab w:val="clear" w:pos="720"/>
          <w:tab w:val="left" w:pos="1440"/>
        </w:tabs>
        <w:ind w:left="0" w:firstLine="0"/>
        <w:jc w:val="both"/>
      </w:pPr>
      <w:r>
        <w:t>As indicated in the foregoing discussion, there are</w:t>
      </w:r>
      <w:r w:rsidR="009B7F05">
        <w:t>,</w:t>
      </w:r>
      <w:r>
        <w:t xml:space="preserve"> in my opinion, two main reasons </w:t>
      </w:r>
      <w:r w:rsidR="001D1F2D">
        <w:t xml:space="preserve">for </w:t>
      </w:r>
      <w:r w:rsidR="00406726">
        <w:t xml:space="preserve">rejecting </w:t>
      </w:r>
      <w:r w:rsidR="001D1F2D">
        <w:t>the “rights not applicable” argument</w:t>
      </w:r>
      <w:r>
        <w:t xml:space="preserve">.  First, </w:t>
      </w:r>
      <w:r>
        <w:lastRenderedPageBreak/>
        <w:t>w</w:t>
      </w:r>
      <w:r w:rsidR="001D1F2D">
        <w:t>hether in its “hard line” version of excluding the right to freedom of expression on all government-owned properties or in its intermediate form of excluding the right only on some of them, it impermissibly seeks to subjugate fundamental rights to property interests, inverting the usual principle.</w:t>
      </w:r>
      <w:r>
        <w:t xml:space="preserve">  Secondly, i</w:t>
      </w:r>
      <w:r w:rsidR="00750106">
        <w:t xml:space="preserve">t fails to recognize that the proposed location of a demonstration or other </w:t>
      </w:r>
      <w:r w:rsidR="00406726">
        <w:t xml:space="preserve">form of </w:t>
      </w:r>
      <w:r w:rsidR="00750106">
        <w:t xml:space="preserve">expression is an intrinsic dimension of the right so that exclusion from that location is properly analysed as a </w:t>
      </w:r>
      <w:r w:rsidR="00406726">
        <w:t xml:space="preserve">restriction </w:t>
      </w:r>
      <w:r w:rsidR="00750106">
        <w:t xml:space="preserve">of the right which requires to be justified </w:t>
      </w:r>
      <w:r>
        <w:t xml:space="preserve">on </w:t>
      </w:r>
      <w:r w:rsidR="00750106">
        <w:t xml:space="preserve">orthodox </w:t>
      </w:r>
      <w:r>
        <w:t xml:space="preserve">proportionality principles.  In short, the proper approach is to focus on the right instead of on property interests, and to examine the validity of any restrictions imposed on its exercise </w:t>
      </w:r>
      <w:r w:rsidR="00406726">
        <w:t xml:space="preserve">by </w:t>
      </w:r>
      <w:r>
        <w:t>applying the principle of proportionality wit</w:t>
      </w:r>
      <w:r w:rsidR="00142DC4">
        <w:t>hin the framework of the</w:t>
      </w:r>
      <w:r>
        <w:t xml:space="preserve"> permi</w:t>
      </w:r>
      <w:r w:rsidR="00142DC4">
        <w:t>tted restrictions listed in BOR </w:t>
      </w:r>
      <w:r>
        <w:t>16.</w:t>
      </w:r>
    </w:p>
    <w:p w:rsidR="00DA2FE4" w:rsidRDefault="00DA2FE4" w:rsidP="00EF03FF">
      <w:pPr>
        <w:pStyle w:val="docmapheading"/>
      </w:pPr>
      <w:r>
        <w:t>F.</w:t>
      </w:r>
      <w:r>
        <w:tab/>
        <w:t xml:space="preserve">The “non-intervention” argument </w:t>
      </w:r>
    </w:p>
    <w:p w:rsidR="00DA2FE4" w:rsidRDefault="00DA2FE4" w:rsidP="004E6285">
      <w:pPr>
        <w:pStyle w:val="Bob1"/>
        <w:tabs>
          <w:tab w:val="clear" w:pos="720"/>
          <w:tab w:val="left" w:pos="1440"/>
        </w:tabs>
        <w:ind w:left="0" w:firstLine="0"/>
        <w:jc w:val="both"/>
      </w:pPr>
      <w:r>
        <w:t xml:space="preserve">Logically, the next argument to deal with is the respondent’s “non-intervention” argument which involves the suggestion that the Court </w:t>
      </w:r>
      <w:r w:rsidR="0040032D">
        <w:t xml:space="preserve">should </w:t>
      </w:r>
      <w:r>
        <w:t xml:space="preserve">not interfere with </w:t>
      </w:r>
      <w:proofErr w:type="spellStart"/>
      <w:r>
        <w:t>LegCo’s</w:t>
      </w:r>
      <w:proofErr w:type="spellEnd"/>
      <w:r>
        <w:t xml:space="preserve"> decision to regulate conduct as set out in AI sections 11 and 12 because </w:t>
      </w:r>
      <w:r w:rsidR="00552FC0">
        <w:t xml:space="preserve">they represent aspects of </w:t>
      </w:r>
      <w:r w:rsidR="00554DD8">
        <w:t xml:space="preserve">the internal management of </w:t>
      </w:r>
      <w:proofErr w:type="spellStart"/>
      <w:r w:rsidR="00554DD8">
        <w:t>LegCo’s</w:t>
      </w:r>
      <w:proofErr w:type="spellEnd"/>
      <w:r w:rsidR="00554DD8">
        <w:t xml:space="preserve"> affairs.  This can be dealt with briefly and </w:t>
      </w:r>
      <w:r w:rsidR="0040032D">
        <w:t xml:space="preserve">must be </w:t>
      </w:r>
      <w:r w:rsidR="00554DD8">
        <w:t>rejected for two reasons.</w:t>
      </w:r>
    </w:p>
    <w:p w:rsidR="00554DD8" w:rsidRPr="004E6285" w:rsidRDefault="00554DD8" w:rsidP="004E6285">
      <w:pPr>
        <w:pStyle w:val="Bob1"/>
        <w:tabs>
          <w:tab w:val="clear" w:pos="720"/>
          <w:tab w:val="left" w:pos="1440"/>
        </w:tabs>
        <w:ind w:left="0" w:firstLine="0"/>
        <w:jc w:val="both"/>
      </w:pPr>
      <w:r>
        <w:t xml:space="preserve">The non-intervention principle was explained by this </w:t>
      </w:r>
      <w:r w:rsidRPr="004E6285">
        <w:rPr>
          <w:szCs w:val="28"/>
        </w:rPr>
        <w:t xml:space="preserve">Court in </w:t>
      </w:r>
      <w:r w:rsidRPr="004E6285">
        <w:rPr>
          <w:rFonts w:eastAsia="宋体"/>
          <w:i/>
          <w:szCs w:val="28"/>
        </w:rPr>
        <w:t>Leung Kwok Hung v President of the Legislative Council (No 1)</w:t>
      </w:r>
      <w:r w:rsidRPr="004E6285">
        <w:rPr>
          <w:rFonts w:eastAsia="宋体"/>
          <w:szCs w:val="28"/>
        </w:rPr>
        <w:t>,</w:t>
      </w:r>
      <w:r w:rsidRPr="00554DD8">
        <w:rPr>
          <w:rStyle w:val="FootnoteReference"/>
          <w:rFonts w:eastAsia="宋体"/>
          <w:szCs w:val="28"/>
        </w:rPr>
        <w:footnoteReference w:id="73"/>
      </w:r>
      <w:r w:rsidRPr="004E6285">
        <w:rPr>
          <w:rFonts w:eastAsia="宋体"/>
          <w:szCs w:val="28"/>
        </w:rPr>
        <w:t xml:space="preserve"> as:</w:t>
      </w:r>
    </w:p>
    <w:p w:rsidR="00BA64A7" w:rsidRDefault="00836F39" w:rsidP="004E6285">
      <w:pPr>
        <w:pStyle w:val="Bob1"/>
        <w:numPr>
          <w:ilvl w:val="0"/>
          <w:numId w:val="0"/>
        </w:numPr>
        <w:spacing w:line="240" w:lineRule="auto"/>
        <w:ind w:left="720"/>
        <w:jc w:val="both"/>
        <w:rPr>
          <w:color w:val="000000"/>
          <w:sz w:val="24"/>
        </w:rPr>
      </w:pPr>
      <w:r w:rsidRPr="00BA64A7">
        <w:rPr>
          <w:color w:val="000000"/>
          <w:sz w:val="24"/>
        </w:rPr>
        <w:t xml:space="preserve">“... </w:t>
      </w:r>
      <w:r w:rsidR="00554DD8" w:rsidRPr="00BA64A7">
        <w:rPr>
          <w:color w:val="000000"/>
          <w:sz w:val="24"/>
        </w:rPr>
        <w:t xml:space="preserve">the principle that the courts will recognise the exclusive authority of the legislature in managing its own internal processes in the conduct of its business, in particular its legislative processes.  The corollary is the proposition that the courts will not intervene to rule on the regularity or irregularity of the internal processes of the legislature but will leave it to determine exclusively for itself matters of this kind </w:t>
      </w:r>
      <w:r w:rsidR="00BA64A7">
        <w:rPr>
          <w:color w:val="000000"/>
          <w:sz w:val="24"/>
        </w:rPr>
        <w:t>...”</w:t>
      </w:r>
    </w:p>
    <w:p w:rsidR="00554DD8" w:rsidRDefault="00BA64A7" w:rsidP="004E6285">
      <w:pPr>
        <w:pStyle w:val="Bob1"/>
        <w:tabs>
          <w:tab w:val="clear" w:pos="720"/>
          <w:tab w:val="left" w:pos="1440"/>
        </w:tabs>
        <w:ind w:left="0" w:firstLine="0"/>
        <w:jc w:val="both"/>
      </w:pPr>
      <w:r>
        <w:t xml:space="preserve">Thus, the first answer to the respondent’s argument is that regulation of the admittance and conduct of strangers who </w:t>
      </w:r>
      <w:r w:rsidR="005A00E7">
        <w:t>wish</w:t>
      </w:r>
      <w:r w:rsidR="005D3E76">
        <w:t xml:space="preserve"> to </w:t>
      </w:r>
      <w:r>
        <w:t xml:space="preserve">enter the precincts of the </w:t>
      </w:r>
      <w:r>
        <w:lastRenderedPageBreak/>
        <w:t xml:space="preserve">Chamber falls outside the category of managing </w:t>
      </w:r>
      <w:proofErr w:type="spellStart"/>
      <w:r w:rsidR="005D3E76">
        <w:t>LegCo’s</w:t>
      </w:r>
      <w:proofErr w:type="spellEnd"/>
      <w:r w:rsidR="005D3E76">
        <w:t xml:space="preserve"> </w:t>
      </w:r>
      <w:r>
        <w:t>internal processes so that the principle</w:t>
      </w:r>
      <w:r w:rsidR="005726FC">
        <w:t xml:space="preserve"> </w:t>
      </w:r>
      <w:r w:rsidR="008F7FAB">
        <w:t xml:space="preserve">simply </w:t>
      </w:r>
      <w:r w:rsidR="005726FC">
        <w:t>does not apply</w:t>
      </w:r>
      <w:r>
        <w:t>.</w:t>
      </w:r>
    </w:p>
    <w:p w:rsidR="00BA64A7" w:rsidRPr="00BA64A7" w:rsidRDefault="00BA64A7" w:rsidP="004E6285">
      <w:pPr>
        <w:pStyle w:val="Bob1"/>
        <w:tabs>
          <w:tab w:val="clear" w:pos="720"/>
          <w:tab w:val="left" w:pos="1440"/>
        </w:tabs>
        <w:ind w:left="0" w:firstLine="0"/>
        <w:jc w:val="both"/>
      </w:pPr>
      <w:r>
        <w:t xml:space="preserve">Secondly, as this Court held in the </w:t>
      </w:r>
      <w:r w:rsidR="005726FC">
        <w:t xml:space="preserve">abovementioned </w:t>
      </w:r>
      <w:r>
        <w:t>case:</w:t>
      </w:r>
    </w:p>
    <w:p w:rsidR="00BA64A7" w:rsidRDefault="00554DD8" w:rsidP="004E6285">
      <w:pPr>
        <w:pStyle w:val="Bob1"/>
        <w:numPr>
          <w:ilvl w:val="0"/>
          <w:numId w:val="0"/>
        </w:numPr>
        <w:spacing w:line="240" w:lineRule="auto"/>
        <w:ind w:left="720"/>
        <w:jc w:val="both"/>
        <w:rPr>
          <w:color w:val="000000"/>
          <w:sz w:val="24"/>
        </w:rPr>
      </w:pPr>
      <w:r w:rsidRPr="00BA64A7">
        <w:rPr>
          <w:color w:val="000000"/>
          <w:sz w:val="24"/>
        </w:rPr>
        <w:t>“...it is important to recognise that the principle of non-intervention is necessarily subject to constitutional requirements. The provisions of a written constitution may make the validity of a law depend upon any fact, event or circumstance they identify, and if one so identified is a proceeding in, or compliance with, a procedure in the legislature the courts must take it under its cognizance in order to determine whether the supposed law is a valid law.”</w:t>
      </w:r>
      <w:r w:rsidR="00BA64A7">
        <w:rPr>
          <w:rStyle w:val="FootnoteReference"/>
          <w:color w:val="000000"/>
          <w:sz w:val="24"/>
        </w:rPr>
        <w:footnoteReference w:id="74"/>
      </w:r>
    </w:p>
    <w:p w:rsidR="00554DD8" w:rsidRDefault="00BA64A7" w:rsidP="004E6285">
      <w:pPr>
        <w:pStyle w:val="Bob1"/>
        <w:tabs>
          <w:tab w:val="clear" w:pos="720"/>
          <w:tab w:val="left" w:pos="1440"/>
        </w:tabs>
        <w:ind w:left="0" w:firstLine="0"/>
        <w:jc w:val="both"/>
      </w:pPr>
      <w:r>
        <w:t xml:space="preserve">Accordingly, </w:t>
      </w:r>
      <w:r w:rsidR="00E67097">
        <w:t xml:space="preserve">even </w:t>
      </w:r>
      <w:r>
        <w:t>if</w:t>
      </w:r>
      <w:r w:rsidR="00554DD8" w:rsidRPr="00BA64A7">
        <w:t xml:space="preserve"> </w:t>
      </w:r>
      <w:r>
        <w:t xml:space="preserve">such regulation </w:t>
      </w:r>
      <w:r>
        <w:rPr>
          <w:i/>
        </w:rPr>
        <w:t xml:space="preserve">did </w:t>
      </w:r>
      <w:r>
        <w:t xml:space="preserve">fall within the </w:t>
      </w:r>
      <w:r w:rsidR="00A11DC8">
        <w:t xml:space="preserve">internal management </w:t>
      </w:r>
      <w:r>
        <w:t>category</w:t>
      </w:r>
      <w:r w:rsidR="00A11DC8">
        <w:t xml:space="preserve">, </w:t>
      </w:r>
      <w:r>
        <w:t xml:space="preserve">the non-intervention principle would have to give way </w:t>
      </w:r>
      <w:r w:rsidR="00E67097">
        <w:t xml:space="preserve">since the Court is duty-bound to examine </w:t>
      </w:r>
      <w:r>
        <w:t xml:space="preserve">the validity of AI sections 11 and 12 </w:t>
      </w:r>
      <w:r w:rsidR="00E67097">
        <w:t xml:space="preserve">in so far as they </w:t>
      </w:r>
      <w:r>
        <w:t>impose restrictions on the exe</w:t>
      </w:r>
      <w:r w:rsidR="00DB322E">
        <w:t>rcise of a constitutional right, all the more so when a criminal offence is involved.</w:t>
      </w:r>
    </w:p>
    <w:p w:rsidR="005134B4" w:rsidRDefault="005134B4" w:rsidP="00EF03FF">
      <w:pPr>
        <w:pStyle w:val="docmapheading"/>
      </w:pPr>
      <w:r>
        <w:t>G.</w:t>
      </w:r>
      <w:r>
        <w:tab/>
        <w:t xml:space="preserve">The “prescribed by law” argument </w:t>
      </w:r>
    </w:p>
    <w:p w:rsidR="00043050" w:rsidRDefault="00905CAE" w:rsidP="004E6285">
      <w:pPr>
        <w:pStyle w:val="Bob1"/>
        <w:tabs>
          <w:tab w:val="clear" w:pos="720"/>
          <w:tab w:val="left" w:pos="1440"/>
        </w:tabs>
        <w:ind w:left="0" w:firstLine="0"/>
        <w:jc w:val="both"/>
      </w:pPr>
      <w:r>
        <w:t>As we have seen,</w:t>
      </w:r>
      <w:r>
        <w:rPr>
          <w:rStyle w:val="FootnoteReference"/>
        </w:rPr>
        <w:footnoteReference w:id="75"/>
      </w:r>
      <w:r>
        <w:t xml:space="preserve"> </w:t>
      </w:r>
      <w:r w:rsidRPr="00687F04">
        <w:t>BL 39 and BOR 16</w:t>
      </w:r>
      <w:r>
        <w:t xml:space="preserve"> require </w:t>
      </w:r>
      <w:r w:rsidRPr="00687F04">
        <w:t xml:space="preserve">any purported </w:t>
      </w:r>
      <w:r w:rsidR="00280F90">
        <w:t>limitation</w:t>
      </w:r>
      <w:r w:rsidRPr="00687F04">
        <w:t xml:space="preserve"> o</w:t>
      </w:r>
      <w:r w:rsidR="00280F90">
        <w:t>f</w:t>
      </w:r>
      <w:r w:rsidRPr="00687F04">
        <w:t xml:space="preserve"> the right of free expression</w:t>
      </w:r>
      <w:r>
        <w:t xml:space="preserve"> to</w:t>
      </w:r>
      <w:r w:rsidRPr="00687F04">
        <w:t xml:space="preserve"> have sufficient legal certainty to qualify as a </w:t>
      </w:r>
      <w:r>
        <w:t xml:space="preserve">valid </w:t>
      </w:r>
      <w:r w:rsidRPr="00687F04">
        <w:t>restriction “prescribed by law”</w:t>
      </w:r>
      <w:r>
        <w:t>.</w:t>
      </w:r>
      <w:r w:rsidRPr="00687F04">
        <w:rPr>
          <w:rStyle w:val="FootnoteReference"/>
        </w:rPr>
        <w:footnoteReference w:id="76"/>
      </w:r>
      <w:r>
        <w:t xml:space="preserve">  In </w:t>
      </w:r>
      <w:r w:rsidRPr="00905CAE">
        <w:rPr>
          <w:rFonts w:eastAsia="宋体"/>
          <w:i/>
          <w:szCs w:val="28"/>
        </w:rPr>
        <w:t>Mo Yuk Ping v HKSAR</w:t>
      </w:r>
      <w:r w:rsidRPr="00905CAE">
        <w:rPr>
          <w:rFonts w:eastAsia="宋体"/>
          <w:szCs w:val="28"/>
        </w:rPr>
        <w:t>,</w:t>
      </w:r>
      <w:r w:rsidRPr="00905CAE">
        <w:rPr>
          <w:rStyle w:val="FootnoteReference"/>
          <w:rFonts w:eastAsia="宋体"/>
          <w:szCs w:val="28"/>
        </w:rPr>
        <w:footnoteReference w:id="77"/>
      </w:r>
      <w:r>
        <w:rPr>
          <w:rFonts w:eastAsia="宋体"/>
          <w:szCs w:val="28"/>
        </w:rPr>
        <w:t xml:space="preserve"> this principle was summarised as follows:</w:t>
      </w:r>
    </w:p>
    <w:p w:rsidR="00905CAE" w:rsidRPr="008E5EF2" w:rsidRDefault="00905CAE" w:rsidP="004E6285">
      <w:pPr>
        <w:pStyle w:val="Bob1"/>
        <w:numPr>
          <w:ilvl w:val="0"/>
          <w:numId w:val="0"/>
        </w:numPr>
        <w:spacing w:line="240" w:lineRule="auto"/>
        <w:ind w:left="720"/>
        <w:jc w:val="both"/>
        <w:rPr>
          <w:sz w:val="24"/>
        </w:rPr>
      </w:pPr>
      <w:r w:rsidRPr="008E5EF2">
        <w:rPr>
          <w:color w:val="000000"/>
          <w:sz w:val="24"/>
        </w:rPr>
        <w:t>“A criminal offence must be so clearly defined in law that it is accessible and formulated with sufficient precision to enable the citizen to foresee, if need be with appropriate advice, whether his course of conduct is lawful or unlawful. It is, however, accepted that absolute certainty is unattainable and would entail excessive rigidity. Hence it is recognised that a prescription by law inevitably may involve some degree of vagueness in the prescription which may require clarification by the courts.”</w:t>
      </w:r>
    </w:p>
    <w:p w:rsidR="00A253BA" w:rsidRPr="00DB01A5" w:rsidRDefault="005134B4" w:rsidP="004E6285">
      <w:pPr>
        <w:pStyle w:val="Bob1"/>
        <w:tabs>
          <w:tab w:val="clear" w:pos="720"/>
          <w:tab w:val="left" w:pos="1440"/>
        </w:tabs>
        <w:ind w:left="0" w:firstLine="0"/>
        <w:jc w:val="both"/>
      </w:pPr>
      <w:r>
        <w:lastRenderedPageBreak/>
        <w:t xml:space="preserve">The appellant’s “prescribed by law” argument </w:t>
      </w:r>
      <w:r w:rsidR="00043050">
        <w:t>involves a</w:t>
      </w:r>
      <w:r w:rsidR="00A253BA">
        <w:t xml:space="preserve"> challenge to</w:t>
      </w:r>
      <w:r w:rsidR="00043050">
        <w:t xml:space="preserve"> the validity of AI section 11</w:t>
      </w:r>
      <w:r w:rsidR="002D37ED">
        <w:t>.</w:t>
      </w:r>
      <w:r w:rsidR="00276D3C">
        <w:rPr>
          <w:rStyle w:val="FootnoteReference"/>
        </w:rPr>
        <w:footnoteReference w:id="78"/>
      </w:r>
      <w:r w:rsidR="002D37ED">
        <w:t xml:space="preserve"> </w:t>
      </w:r>
      <w:r w:rsidR="00043050">
        <w:t xml:space="preserve"> Mr Pun SC</w:t>
      </w:r>
      <w:r w:rsidR="00A253BA">
        <w:t xml:space="preserve"> submits</w:t>
      </w:r>
      <w:r w:rsidR="002D37ED">
        <w:t xml:space="preserve"> </w:t>
      </w:r>
      <w:r w:rsidR="00043050">
        <w:t>that penalising a person for failing to “</w:t>
      </w:r>
      <w:r w:rsidR="00043050" w:rsidRPr="00276D3C">
        <w:rPr>
          <w:szCs w:val="28"/>
        </w:rPr>
        <w:t>behave in an orderly manner”</w:t>
      </w:r>
      <w:r w:rsidR="002D37ED" w:rsidRPr="00276D3C">
        <w:rPr>
          <w:szCs w:val="28"/>
        </w:rPr>
        <w:t xml:space="preserve"> </w:t>
      </w:r>
      <w:r w:rsidR="00043050" w:rsidRPr="00276D3C">
        <w:rPr>
          <w:szCs w:val="28"/>
        </w:rPr>
        <w:t>leaves him</w:t>
      </w:r>
      <w:r w:rsidR="00A253BA">
        <w:rPr>
          <w:szCs w:val="28"/>
        </w:rPr>
        <w:t xml:space="preserve">, </w:t>
      </w:r>
      <w:r w:rsidR="00A253BA" w:rsidRPr="00276D3C">
        <w:rPr>
          <w:szCs w:val="28"/>
        </w:rPr>
        <w:t>because of the vagueness of those words,</w:t>
      </w:r>
      <w:r w:rsidR="00043050" w:rsidRPr="00276D3C">
        <w:rPr>
          <w:szCs w:val="28"/>
        </w:rPr>
        <w:t xml:space="preserve"> “unclear precisely what he must avoid doing” </w:t>
      </w:r>
      <w:r w:rsidR="002D37ED" w:rsidRPr="00276D3C">
        <w:rPr>
          <w:szCs w:val="28"/>
        </w:rPr>
        <w:t xml:space="preserve">and so </w:t>
      </w:r>
      <w:r w:rsidR="00043050" w:rsidRPr="00276D3C">
        <w:rPr>
          <w:szCs w:val="28"/>
        </w:rPr>
        <w:t xml:space="preserve">constitutes an invalid </w:t>
      </w:r>
      <w:r w:rsidR="002D37ED" w:rsidRPr="00276D3C">
        <w:rPr>
          <w:szCs w:val="28"/>
        </w:rPr>
        <w:t xml:space="preserve">restriction </w:t>
      </w:r>
      <w:r w:rsidR="00043050" w:rsidRPr="00276D3C">
        <w:rPr>
          <w:szCs w:val="28"/>
        </w:rPr>
        <w:t xml:space="preserve">on the </w:t>
      </w:r>
      <w:r w:rsidR="00812709">
        <w:rPr>
          <w:szCs w:val="28"/>
        </w:rPr>
        <w:t xml:space="preserve">guaranteed </w:t>
      </w:r>
      <w:r w:rsidR="00043050" w:rsidRPr="00276D3C">
        <w:rPr>
          <w:szCs w:val="28"/>
        </w:rPr>
        <w:t>right</w:t>
      </w:r>
      <w:r w:rsidR="002D37ED" w:rsidRPr="00276D3C">
        <w:rPr>
          <w:szCs w:val="28"/>
        </w:rPr>
        <w:t xml:space="preserve">.  </w:t>
      </w:r>
    </w:p>
    <w:p w:rsidR="00DB01A5" w:rsidRPr="00A253BA" w:rsidRDefault="00DB01A5" w:rsidP="00EF03FF">
      <w:pPr>
        <w:pStyle w:val="docmapheading"/>
      </w:pPr>
      <w:r>
        <w:t>G.1</w:t>
      </w:r>
      <w:r>
        <w:tab/>
        <w:t xml:space="preserve">The proper construction of AI section 11 </w:t>
      </w:r>
    </w:p>
    <w:p w:rsidR="009F1033" w:rsidRDefault="00334BDD" w:rsidP="00F9728D">
      <w:pPr>
        <w:pStyle w:val="Bob1"/>
        <w:tabs>
          <w:tab w:val="clear" w:pos="720"/>
          <w:tab w:val="left" w:pos="1440"/>
        </w:tabs>
        <w:ind w:left="0" w:firstLine="0"/>
        <w:jc w:val="both"/>
      </w:pPr>
      <w:r w:rsidRPr="00334BDD">
        <w:t xml:space="preserve">I </w:t>
      </w:r>
      <w:r w:rsidR="00DB01A5">
        <w:t xml:space="preserve">cannot </w:t>
      </w:r>
      <w:r w:rsidRPr="00334BDD">
        <w:t>accept that argument</w:t>
      </w:r>
      <w:r w:rsidR="00813C06">
        <w:t xml:space="preserve">.  </w:t>
      </w:r>
      <w:r w:rsidRPr="00334BDD">
        <w:t xml:space="preserve"> </w:t>
      </w:r>
      <w:r w:rsidR="00813C06">
        <w:t>To ascertain whether a provision is legally uncertain, it is necessary for it to be construed</w:t>
      </w:r>
      <w:r w:rsidR="009F1033">
        <w:t xml:space="preserve">.  And as the Court in </w:t>
      </w:r>
      <w:r w:rsidR="009F1033" w:rsidRPr="009F1033">
        <w:rPr>
          <w:i/>
        </w:rPr>
        <w:t xml:space="preserve">HKSAR v Lam </w:t>
      </w:r>
      <w:proofErr w:type="spellStart"/>
      <w:r w:rsidR="009F1033" w:rsidRPr="009F1033">
        <w:rPr>
          <w:i/>
        </w:rPr>
        <w:t>Kwong</w:t>
      </w:r>
      <w:proofErr w:type="spellEnd"/>
      <w:r w:rsidR="009F1033" w:rsidRPr="009F1033">
        <w:rPr>
          <w:i/>
        </w:rPr>
        <w:t xml:space="preserve"> </w:t>
      </w:r>
      <w:proofErr w:type="spellStart"/>
      <w:r w:rsidR="009F1033" w:rsidRPr="009F1033">
        <w:rPr>
          <w:i/>
        </w:rPr>
        <w:t>Wai</w:t>
      </w:r>
      <w:proofErr w:type="spellEnd"/>
      <w:r w:rsidR="009F1033">
        <w:rPr>
          <w:rStyle w:val="FootnoteReference"/>
          <w:i/>
        </w:rPr>
        <w:footnoteReference w:id="79"/>
      </w:r>
      <w:r w:rsidR="009F1033">
        <w:t xml:space="preserve"> emphasised:</w:t>
      </w:r>
    </w:p>
    <w:p w:rsidR="009F1033" w:rsidRPr="009F1033" w:rsidRDefault="009F1033" w:rsidP="00F9728D">
      <w:pPr>
        <w:pStyle w:val="Bob1"/>
        <w:numPr>
          <w:ilvl w:val="0"/>
          <w:numId w:val="0"/>
        </w:numPr>
        <w:spacing w:line="240" w:lineRule="auto"/>
        <w:ind w:left="720"/>
        <w:jc w:val="both"/>
        <w:rPr>
          <w:sz w:val="24"/>
        </w:rPr>
      </w:pPr>
      <w:r w:rsidRPr="009F1033">
        <w:rPr>
          <w:sz w:val="24"/>
        </w:rPr>
        <w:t>“The modern approach to statutory interpretation insists that context and purpose be considered in the first instance, especially in the case of general words, and not merely at some later stage when ambiguity may be thought to arise.”</w:t>
      </w:r>
    </w:p>
    <w:p w:rsidR="00E851C2" w:rsidRDefault="009F1033" w:rsidP="00F9728D">
      <w:pPr>
        <w:pStyle w:val="Bob1"/>
        <w:tabs>
          <w:tab w:val="clear" w:pos="720"/>
          <w:tab w:val="num" w:pos="1440"/>
        </w:tabs>
        <w:ind w:left="0" w:firstLine="0"/>
        <w:jc w:val="both"/>
      </w:pPr>
      <w:r>
        <w:t>Mr Pun SC has not construed AI section 11</w:t>
      </w:r>
      <w:r w:rsidR="00334BDD" w:rsidRPr="00334BDD">
        <w:t>.</w:t>
      </w:r>
      <w:r>
        <w:t xml:space="preserve">  Instead, h</w:t>
      </w:r>
      <w:r w:rsidR="00AD3553">
        <w:t xml:space="preserve">is argument </w:t>
      </w:r>
      <w:r>
        <w:t>merely</w:t>
      </w:r>
      <w:r w:rsidR="00AD3553">
        <w:t xml:space="preserve"> focusses</w:t>
      </w:r>
      <w:r w:rsidR="00DB01A5">
        <w:t xml:space="preserve"> on</w:t>
      </w:r>
      <w:r>
        <w:t xml:space="preserve"> the phrase “behave in an orderly manner” taken in isolation.  </w:t>
      </w:r>
      <w:r w:rsidR="00E851C2">
        <w:t xml:space="preserve">When </w:t>
      </w:r>
      <w:r w:rsidR="00DB01A5">
        <w:t xml:space="preserve">the section is </w:t>
      </w:r>
      <w:r w:rsidR="00121E36">
        <w:t xml:space="preserve">properly </w:t>
      </w:r>
      <w:r w:rsidR="00E851C2">
        <w:t xml:space="preserve">construed </w:t>
      </w:r>
      <w:r w:rsidR="00F5064D">
        <w:t xml:space="preserve">in the light </w:t>
      </w:r>
      <w:r w:rsidR="00E851C2">
        <w:t xml:space="preserve">of its context and purpose, it is impossible to say that </w:t>
      </w:r>
      <w:r w:rsidR="00DB01A5">
        <w:t xml:space="preserve">it </w:t>
      </w:r>
      <w:r w:rsidR="00E851C2">
        <w:t xml:space="preserve">lacks legal certainty or that </w:t>
      </w:r>
      <w:r w:rsidR="00AD3553">
        <w:t xml:space="preserve">it </w:t>
      </w:r>
      <w:r w:rsidR="00E851C2">
        <w:t xml:space="preserve">leaves a person </w:t>
      </w:r>
      <w:r w:rsidR="00E851C2" w:rsidRPr="00276D3C">
        <w:rPr>
          <w:szCs w:val="28"/>
        </w:rPr>
        <w:t>“unclear precisely what he must avoid doing”</w:t>
      </w:r>
      <w:r w:rsidR="00E851C2">
        <w:t>.</w:t>
      </w:r>
    </w:p>
    <w:p w:rsidR="00272BF3" w:rsidRPr="00F9728D" w:rsidRDefault="00DB01A5" w:rsidP="00F9728D">
      <w:pPr>
        <w:pStyle w:val="Bob1"/>
        <w:tabs>
          <w:tab w:val="clear" w:pos="720"/>
          <w:tab w:val="num" w:pos="1440"/>
        </w:tabs>
        <w:ind w:left="0" w:firstLine="0"/>
        <w:jc w:val="both"/>
      </w:pPr>
      <w:r>
        <w:t xml:space="preserve">In the first place, </w:t>
      </w:r>
      <w:r w:rsidR="00FD2727">
        <w:t xml:space="preserve">AI section 11 does not </w:t>
      </w:r>
      <w:r w:rsidR="00984BB8">
        <w:t xml:space="preserve">simply </w:t>
      </w:r>
      <w:r w:rsidR="00FB5ECB">
        <w:t xml:space="preserve">penalise a failure </w:t>
      </w:r>
      <w:r w:rsidR="00FD2727">
        <w:t xml:space="preserve">to </w:t>
      </w:r>
      <w:r w:rsidR="00FB5ECB">
        <w:t>“</w:t>
      </w:r>
      <w:r w:rsidR="00FD2727">
        <w:t xml:space="preserve">behave in an orderly manner” without more.  </w:t>
      </w:r>
      <w:r w:rsidR="001E14A7">
        <w:t>T</w:t>
      </w:r>
      <w:r w:rsidR="00984BB8" w:rsidRPr="00F9728D">
        <w:rPr>
          <w:szCs w:val="28"/>
        </w:rPr>
        <w:t xml:space="preserve">he </w:t>
      </w:r>
      <w:r w:rsidR="00276D3C" w:rsidRPr="00F9728D">
        <w:rPr>
          <w:szCs w:val="28"/>
        </w:rPr>
        <w:t xml:space="preserve">orderly behaviour </w:t>
      </w:r>
      <w:r w:rsidR="001E14A7" w:rsidRPr="00F9728D">
        <w:rPr>
          <w:szCs w:val="28"/>
        </w:rPr>
        <w:t>is demanded</w:t>
      </w:r>
      <w:r w:rsidR="00984BB8" w:rsidRPr="00F9728D">
        <w:rPr>
          <w:szCs w:val="28"/>
        </w:rPr>
        <w:t xml:space="preserve"> only of </w:t>
      </w:r>
      <w:r w:rsidR="00276D3C" w:rsidRPr="00F9728D">
        <w:rPr>
          <w:szCs w:val="28"/>
        </w:rPr>
        <w:t xml:space="preserve">persons </w:t>
      </w:r>
      <w:r w:rsidR="001E14A7" w:rsidRPr="00F9728D">
        <w:rPr>
          <w:szCs w:val="28"/>
        </w:rPr>
        <w:t xml:space="preserve">who </w:t>
      </w:r>
      <w:r w:rsidR="00276D3C" w:rsidRPr="00F9728D">
        <w:rPr>
          <w:szCs w:val="28"/>
        </w:rPr>
        <w:t xml:space="preserve">enter </w:t>
      </w:r>
      <w:r w:rsidR="00984BB8" w:rsidRPr="00F9728D">
        <w:rPr>
          <w:szCs w:val="28"/>
        </w:rPr>
        <w:t xml:space="preserve">or </w:t>
      </w:r>
      <w:r w:rsidR="001E14A7" w:rsidRPr="00F9728D">
        <w:rPr>
          <w:szCs w:val="28"/>
        </w:rPr>
        <w:t xml:space="preserve">are </w:t>
      </w:r>
      <w:r w:rsidR="00984BB8" w:rsidRPr="00F9728D">
        <w:rPr>
          <w:szCs w:val="28"/>
        </w:rPr>
        <w:t>within</w:t>
      </w:r>
      <w:r w:rsidR="00F5064D" w:rsidRPr="00F9728D">
        <w:rPr>
          <w:szCs w:val="28"/>
        </w:rPr>
        <w:t xml:space="preserve"> precincts of the </w:t>
      </w:r>
      <w:proofErr w:type="spellStart"/>
      <w:r w:rsidR="00F5064D" w:rsidRPr="00F9728D">
        <w:rPr>
          <w:szCs w:val="28"/>
        </w:rPr>
        <w:t>LegCo</w:t>
      </w:r>
      <w:proofErr w:type="spellEnd"/>
      <w:r w:rsidR="00F5064D" w:rsidRPr="00F9728D">
        <w:rPr>
          <w:szCs w:val="28"/>
        </w:rPr>
        <w:t xml:space="preserve"> complex</w:t>
      </w:r>
      <w:r w:rsidR="00984BB8" w:rsidRPr="00F9728D">
        <w:rPr>
          <w:szCs w:val="28"/>
        </w:rPr>
        <w:t xml:space="preserve">.  The section also requires compliance with any </w:t>
      </w:r>
      <w:r w:rsidR="00276D3C" w:rsidRPr="00F9728D">
        <w:rPr>
          <w:szCs w:val="28"/>
        </w:rPr>
        <w:t xml:space="preserve">directions </w:t>
      </w:r>
      <w:r w:rsidR="00984BB8" w:rsidRPr="00F9728D">
        <w:rPr>
          <w:szCs w:val="28"/>
        </w:rPr>
        <w:t xml:space="preserve">given by </w:t>
      </w:r>
      <w:r w:rsidR="00276D3C" w:rsidRPr="00F9728D">
        <w:rPr>
          <w:szCs w:val="28"/>
        </w:rPr>
        <w:t>an officer of the Council “for the purpose of keeping order”.</w:t>
      </w:r>
      <w:r w:rsidR="00984BB8" w:rsidRPr="00F9728D">
        <w:rPr>
          <w:szCs w:val="28"/>
        </w:rPr>
        <w:t xml:space="preserve">  </w:t>
      </w:r>
      <w:r w:rsidR="00A253BA" w:rsidRPr="00F9728D">
        <w:rPr>
          <w:szCs w:val="28"/>
        </w:rPr>
        <w:t xml:space="preserve">The section is therefore </w:t>
      </w:r>
      <w:r w:rsidR="002607DF" w:rsidRPr="00F9728D">
        <w:rPr>
          <w:szCs w:val="28"/>
        </w:rPr>
        <w:t xml:space="preserve">self-evidently </w:t>
      </w:r>
      <w:r w:rsidR="00A253BA" w:rsidRPr="00F9728D">
        <w:rPr>
          <w:szCs w:val="28"/>
        </w:rPr>
        <w:t xml:space="preserve">concerned with keeping order in those precincts.  </w:t>
      </w:r>
    </w:p>
    <w:p w:rsidR="00272BF3" w:rsidRPr="00272BF3" w:rsidRDefault="00272BF3" w:rsidP="00F9728D">
      <w:pPr>
        <w:pStyle w:val="Bob1"/>
        <w:tabs>
          <w:tab w:val="clear" w:pos="720"/>
          <w:tab w:val="num" w:pos="1440"/>
        </w:tabs>
        <w:ind w:left="0" w:firstLine="0"/>
        <w:jc w:val="both"/>
      </w:pPr>
      <w:r>
        <w:lastRenderedPageBreak/>
        <w:t xml:space="preserve">As was pointed out in </w:t>
      </w:r>
      <w:r w:rsidRPr="00F9728D">
        <w:rPr>
          <w:i/>
        </w:rPr>
        <w:t xml:space="preserve">HKSAR v Chow </w:t>
      </w:r>
      <w:proofErr w:type="spellStart"/>
      <w:r w:rsidRPr="00F9728D">
        <w:rPr>
          <w:i/>
        </w:rPr>
        <w:t>Nok</w:t>
      </w:r>
      <w:proofErr w:type="spellEnd"/>
      <w:r w:rsidRPr="00F9728D">
        <w:rPr>
          <w:i/>
        </w:rPr>
        <w:t xml:space="preserve"> Hang</w:t>
      </w:r>
      <w:r>
        <w:t>,</w:t>
      </w:r>
      <w:r>
        <w:rPr>
          <w:rStyle w:val="FootnoteReference"/>
          <w:rFonts w:eastAsia="宋体"/>
          <w:szCs w:val="28"/>
        </w:rPr>
        <w:footnoteReference w:id="80"/>
      </w:r>
      <w:r>
        <w:t xml:space="preserve"> citing Gleeson CJ in </w:t>
      </w:r>
      <w:r w:rsidRPr="00F9728D">
        <w:rPr>
          <w:rFonts w:eastAsia="宋体"/>
          <w:i/>
          <w:szCs w:val="28"/>
        </w:rPr>
        <w:t>Coleman v Power,</w:t>
      </w:r>
      <w:r w:rsidRPr="00272BF3">
        <w:rPr>
          <w:rStyle w:val="FootnoteReference"/>
          <w:rFonts w:eastAsia="宋体"/>
          <w:szCs w:val="28"/>
        </w:rPr>
        <w:footnoteReference w:id="81"/>
      </w:r>
      <w:r w:rsidRPr="00F9728D">
        <w:rPr>
          <w:rFonts w:eastAsia="宋体"/>
          <w:i/>
          <w:szCs w:val="28"/>
        </w:rPr>
        <w:t xml:space="preserve"> </w:t>
      </w:r>
      <w:r w:rsidRPr="00F9728D">
        <w:rPr>
          <w:rFonts w:eastAsia="宋体"/>
          <w:szCs w:val="28"/>
        </w:rPr>
        <w:t>“</w:t>
      </w:r>
      <w:r w:rsidR="00F5064D" w:rsidRPr="00F9728D">
        <w:rPr>
          <w:rFonts w:eastAsia="宋体"/>
          <w:szCs w:val="28"/>
        </w:rPr>
        <w:t>[c</w:t>
      </w:r>
      <w:r w:rsidRPr="00F9728D">
        <w:rPr>
          <w:rFonts w:eastAsia="宋体"/>
          <w:szCs w:val="28"/>
        </w:rPr>
        <w:t>oncepts</w:t>
      </w:r>
      <w:r w:rsidR="00F5064D" w:rsidRPr="00F9728D">
        <w:rPr>
          <w:rFonts w:eastAsia="宋体"/>
          <w:szCs w:val="28"/>
        </w:rPr>
        <w:t>]</w:t>
      </w:r>
      <w:r w:rsidRPr="00F9728D">
        <w:rPr>
          <w:rFonts w:eastAsia="宋体"/>
          <w:szCs w:val="28"/>
        </w:rPr>
        <w:t xml:space="preserve"> of what is disorderly, or indecent, or offensive, vary with time and place, and may be affected by the circumstances in which the relevant conduct occurs.”  It was held that:</w:t>
      </w:r>
    </w:p>
    <w:p w:rsidR="00272BF3" w:rsidRPr="00272BF3" w:rsidRDefault="00272BF3" w:rsidP="00F9728D">
      <w:pPr>
        <w:pStyle w:val="Bob1"/>
        <w:numPr>
          <w:ilvl w:val="0"/>
          <w:numId w:val="0"/>
        </w:numPr>
        <w:spacing w:line="240" w:lineRule="auto"/>
        <w:ind w:left="720"/>
        <w:jc w:val="both"/>
        <w:rPr>
          <w:sz w:val="24"/>
        </w:rPr>
      </w:pPr>
      <w:r w:rsidRPr="00272BF3">
        <w:rPr>
          <w:rFonts w:eastAsia="宋体"/>
          <w:sz w:val="24"/>
          <w:szCs w:val="28"/>
        </w:rPr>
        <w:t>“Such concepts are best left to the trial judge to be applied in their ordinary meaning to the time, place and circumstances of the conduct in question.”</w:t>
      </w:r>
      <w:r>
        <w:rPr>
          <w:rStyle w:val="FootnoteReference"/>
          <w:rFonts w:eastAsia="宋体"/>
          <w:sz w:val="24"/>
          <w:szCs w:val="28"/>
        </w:rPr>
        <w:footnoteReference w:id="82"/>
      </w:r>
      <w:r w:rsidRPr="00272BF3">
        <w:rPr>
          <w:rFonts w:eastAsia="宋体"/>
          <w:sz w:val="24"/>
          <w:szCs w:val="28"/>
        </w:rPr>
        <w:t xml:space="preserve"> </w:t>
      </w:r>
    </w:p>
    <w:p w:rsidR="00DB01A5" w:rsidRPr="00F9728D" w:rsidRDefault="00272BF3" w:rsidP="00F9728D">
      <w:pPr>
        <w:pStyle w:val="Bob1"/>
        <w:tabs>
          <w:tab w:val="clear" w:pos="720"/>
          <w:tab w:val="left" w:pos="1440"/>
        </w:tabs>
        <w:ind w:left="0" w:firstLine="0"/>
        <w:jc w:val="both"/>
      </w:pPr>
      <w:r w:rsidRPr="00272BF3">
        <w:rPr>
          <w:szCs w:val="28"/>
        </w:rPr>
        <w:t>In the present</w:t>
      </w:r>
      <w:r>
        <w:rPr>
          <w:szCs w:val="28"/>
        </w:rPr>
        <w:t xml:space="preserve"> situation</w:t>
      </w:r>
      <w:r w:rsidRPr="00272BF3">
        <w:rPr>
          <w:szCs w:val="28"/>
        </w:rPr>
        <w:t>, t</w:t>
      </w:r>
      <w:r w:rsidR="00AD3553" w:rsidRPr="00272BF3">
        <w:rPr>
          <w:szCs w:val="28"/>
        </w:rPr>
        <w:t xml:space="preserve">he </w:t>
      </w:r>
      <w:r w:rsidR="00CD6DC3">
        <w:rPr>
          <w:szCs w:val="28"/>
        </w:rPr>
        <w:t xml:space="preserve">clear </w:t>
      </w:r>
      <w:r w:rsidR="00AD3553" w:rsidRPr="00272BF3">
        <w:rPr>
          <w:szCs w:val="28"/>
        </w:rPr>
        <w:t>purpose</w:t>
      </w:r>
      <w:r w:rsidR="00A07258" w:rsidRPr="00272BF3">
        <w:rPr>
          <w:szCs w:val="28"/>
        </w:rPr>
        <w:t xml:space="preserve"> </w:t>
      </w:r>
      <w:r w:rsidR="00AD3553" w:rsidRPr="00272BF3">
        <w:rPr>
          <w:szCs w:val="28"/>
        </w:rPr>
        <w:t xml:space="preserve">of AI section 11 </w:t>
      </w:r>
      <w:r w:rsidR="00A07258" w:rsidRPr="00272BF3">
        <w:rPr>
          <w:szCs w:val="28"/>
        </w:rPr>
        <w:t>is</w:t>
      </w:r>
      <w:r w:rsidR="00DB01A5" w:rsidRPr="00272BF3">
        <w:rPr>
          <w:szCs w:val="28"/>
        </w:rPr>
        <w:t xml:space="preserve"> </w:t>
      </w:r>
      <w:r w:rsidR="00AD3553" w:rsidRPr="00272BF3">
        <w:rPr>
          <w:szCs w:val="28"/>
        </w:rPr>
        <w:t xml:space="preserve">to set </w:t>
      </w:r>
      <w:r w:rsidR="00984BB8" w:rsidRPr="00272BF3">
        <w:rPr>
          <w:szCs w:val="28"/>
        </w:rPr>
        <w:t xml:space="preserve">a standard of orderly behaviour </w:t>
      </w:r>
      <w:r w:rsidR="00B166ED" w:rsidRPr="00272BF3">
        <w:rPr>
          <w:szCs w:val="28"/>
        </w:rPr>
        <w:t>on the part of visitors</w:t>
      </w:r>
      <w:r w:rsidR="00C119FA" w:rsidRPr="00272BF3">
        <w:rPr>
          <w:szCs w:val="28"/>
        </w:rPr>
        <w:t xml:space="preserve"> </w:t>
      </w:r>
      <w:r w:rsidR="00CD6DC3">
        <w:rPr>
          <w:szCs w:val="28"/>
        </w:rPr>
        <w:t xml:space="preserve">congruent with </w:t>
      </w:r>
      <w:proofErr w:type="spellStart"/>
      <w:r w:rsidR="000813AA" w:rsidRPr="00272BF3">
        <w:rPr>
          <w:szCs w:val="28"/>
        </w:rPr>
        <w:t>LegCo</w:t>
      </w:r>
      <w:r w:rsidR="00A07258" w:rsidRPr="00272BF3">
        <w:rPr>
          <w:szCs w:val="28"/>
        </w:rPr>
        <w:t>’s</w:t>
      </w:r>
      <w:proofErr w:type="spellEnd"/>
      <w:r w:rsidR="000813AA" w:rsidRPr="00272BF3">
        <w:rPr>
          <w:szCs w:val="28"/>
        </w:rPr>
        <w:t xml:space="preserve"> </w:t>
      </w:r>
      <w:r w:rsidR="00A07258" w:rsidRPr="00272BF3">
        <w:rPr>
          <w:szCs w:val="28"/>
        </w:rPr>
        <w:t xml:space="preserve">institutional </w:t>
      </w:r>
      <w:r w:rsidR="000813AA" w:rsidRPr="00272BF3">
        <w:rPr>
          <w:szCs w:val="28"/>
        </w:rPr>
        <w:t xml:space="preserve">and </w:t>
      </w:r>
      <w:r w:rsidR="00962BF5">
        <w:rPr>
          <w:szCs w:val="28"/>
        </w:rPr>
        <w:t>social importance</w:t>
      </w:r>
      <w:r w:rsidR="00A07258" w:rsidRPr="00272BF3">
        <w:rPr>
          <w:szCs w:val="28"/>
        </w:rPr>
        <w:t>.</w:t>
      </w:r>
      <w:r w:rsidR="001E24EC" w:rsidRPr="00272BF3">
        <w:rPr>
          <w:szCs w:val="28"/>
        </w:rPr>
        <w:t xml:space="preserve">  </w:t>
      </w:r>
      <w:r w:rsidR="001A568D">
        <w:rPr>
          <w:szCs w:val="28"/>
        </w:rPr>
        <w:t xml:space="preserve">Its context shows </w:t>
      </w:r>
      <w:r w:rsidR="002136FD">
        <w:t>that it</w:t>
      </w:r>
      <w:r w:rsidR="003F4F30">
        <w:t xml:space="preserve"> is part of</w:t>
      </w:r>
      <w:r w:rsidR="001A568D">
        <w:t xml:space="preserve"> a</w:t>
      </w:r>
      <w:r w:rsidR="003F4F30">
        <w:t xml:space="preserve"> statutory framework aimed at </w:t>
      </w:r>
      <w:r w:rsidR="002136FD">
        <w:t>creat</w:t>
      </w:r>
      <w:r w:rsidR="003F4F30">
        <w:t>ing</w:t>
      </w:r>
      <w:r w:rsidR="002136FD">
        <w:t xml:space="preserve"> a secure and dignified environment </w:t>
      </w:r>
      <w:r w:rsidR="00962BF5">
        <w:t xml:space="preserve">in the </w:t>
      </w:r>
      <w:proofErr w:type="spellStart"/>
      <w:r w:rsidR="00962BF5">
        <w:t>LegCo</w:t>
      </w:r>
      <w:proofErr w:type="spellEnd"/>
      <w:r w:rsidR="00962BF5">
        <w:t xml:space="preserve"> complex </w:t>
      </w:r>
      <w:r w:rsidR="003D46CD">
        <w:t xml:space="preserve">conducive to </w:t>
      </w:r>
      <w:r w:rsidR="00962BF5">
        <w:t xml:space="preserve">the legislature </w:t>
      </w:r>
      <w:r w:rsidR="002136FD">
        <w:t>carry</w:t>
      </w:r>
      <w:r w:rsidR="003D46CD">
        <w:t>ing</w:t>
      </w:r>
      <w:r w:rsidR="002136FD">
        <w:t xml:space="preserve"> out its constitutional </w:t>
      </w:r>
      <w:r w:rsidR="005418CE">
        <w:t xml:space="preserve">functions </w:t>
      </w:r>
      <w:r w:rsidR="002136FD">
        <w:t xml:space="preserve">at its sittings </w:t>
      </w:r>
      <w:r w:rsidR="003971F8">
        <w:t xml:space="preserve">without disruption </w:t>
      </w:r>
      <w:r w:rsidR="005418CE">
        <w:t>or dist</w:t>
      </w:r>
      <w:r w:rsidR="00962BF5">
        <w:t>urbance</w:t>
      </w:r>
      <w:r w:rsidR="002607DF">
        <w:t>,</w:t>
      </w:r>
      <w:r w:rsidR="005418CE">
        <w:t xml:space="preserve"> </w:t>
      </w:r>
      <w:r w:rsidR="002136FD">
        <w:t xml:space="preserve">while </w:t>
      </w:r>
      <w:r w:rsidR="007A0F11">
        <w:t>permitting</w:t>
      </w:r>
      <w:r w:rsidR="002136FD">
        <w:t xml:space="preserve"> members of the public to observe the proceedings </w:t>
      </w:r>
      <w:r w:rsidR="00962BF5">
        <w:t xml:space="preserve">within the Chamber </w:t>
      </w:r>
      <w:r w:rsidR="002136FD">
        <w:t>as an open legislative process.</w:t>
      </w:r>
      <w:r w:rsidR="003D46CD">
        <w:t xml:space="preserve">  </w:t>
      </w:r>
      <w:r w:rsidR="00892D75">
        <w:t>The section’s</w:t>
      </w:r>
      <w:r w:rsidR="001A568D">
        <w:t xml:space="preserve"> </w:t>
      </w:r>
      <w:r w:rsidR="003A6BEE" w:rsidRPr="00272BF3">
        <w:rPr>
          <w:szCs w:val="28"/>
        </w:rPr>
        <w:t xml:space="preserve">context is </w:t>
      </w:r>
      <w:r w:rsidR="00DB01A5" w:rsidRPr="00272BF3">
        <w:rPr>
          <w:szCs w:val="28"/>
        </w:rPr>
        <w:t xml:space="preserve">provided by </w:t>
      </w:r>
      <w:r w:rsidR="003D46CD" w:rsidRPr="00272BF3">
        <w:rPr>
          <w:szCs w:val="28"/>
        </w:rPr>
        <w:t xml:space="preserve">its mother Ordinance, the </w:t>
      </w:r>
      <w:r w:rsidR="00DB01A5" w:rsidRPr="00272BF3">
        <w:rPr>
          <w:szCs w:val="28"/>
        </w:rPr>
        <w:t>LCPPO</w:t>
      </w:r>
      <w:r w:rsidR="003D46CD" w:rsidRPr="00272BF3">
        <w:rPr>
          <w:szCs w:val="28"/>
        </w:rPr>
        <w:t>,</w:t>
      </w:r>
      <w:r w:rsidR="00DB01A5" w:rsidRPr="00272BF3">
        <w:rPr>
          <w:szCs w:val="28"/>
        </w:rPr>
        <w:t xml:space="preserve"> and </w:t>
      </w:r>
      <w:r w:rsidR="00892D75">
        <w:rPr>
          <w:szCs w:val="28"/>
        </w:rPr>
        <w:t xml:space="preserve">the </w:t>
      </w:r>
      <w:r w:rsidR="003D46CD" w:rsidRPr="00272BF3">
        <w:rPr>
          <w:szCs w:val="28"/>
        </w:rPr>
        <w:t xml:space="preserve">other sections of the Administrative Instructions.  </w:t>
      </w:r>
    </w:p>
    <w:p w:rsidR="003D46CD" w:rsidRPr="003D46CD" w:rsidRDefault="003D46CD" w:rsidP="00F9728D">
      <w:pPr>
        <w:pStyle w:val="Bob1"/>
        <w:tabs>
          <w:tab w:val="clear" w:pos="720"/>
          <w:tab w:val="left" w:pos="1440"/>
        </w:tabs>
        <w:ind w:left="0" w:firstLine="0"/>
        <w:jc w:val="both"/>
      </w:pPr>
      <w:r w:rsidRPr="00F9728D">
        <w:rPr>
          <w:szCs w:val="28"/>
        </w:rPr>
        <w:t xml:space="preserve">Thus, </w:t>
      </w:r>
      <w:r w:rsidR="002B101C" w:rsidRPr="00F9728D">
        <w:rPr>
          <w:szCs w:val="28"/>
        </w:rPr>
        <w:t xml:space="preserve">the LCPPO’s </w:t>
      </w:r>
      <w:r w:rsidRPr="00F9728D">
        <w:rPr>
          <w:szCs w:val="28"/>
        </w:rPr>
        <w:t xml:space="preserve">Long Title states that </w:t>
      </w:r>
      <w:r w:rsidR="002B101C" w:rsidRPr="00F9728D">
        <w:rPr>
          <w:szCs w:val="28"/>
        </w:rPr>
        <w:t xml:space="preserve">it </w:t>
      </w:r>
      <w:r w:rsidRPr="00F9728D">
        <w:rPr>
          <w:szCs w:val="28"/>
        </w:rPr>
        <w:t>aims (among other things):</w:t>
      </w:r>
    </w:p>
    <w:p w:rsidR="002B101C" w:rsidRDefault="003D46CD" w:rsidP="00F9728D">
      <w:pPr>
        <w:pStyle w:val="Bob1"/>
        <w:numPr>
          <w:ilvl w:val="0"/>
          <w:numId w:val="0"/>
        </w:numPr>
        <w:spacing w:line="240" w:lineRule="auto"/>
        <w:ind w:left="720"/>
        <w:jc w:val="both"/>
        <w:rPr>
          <w:sz w:val="24"/>
          <w:szCs w:val="28"/>
        </w:rPr>
      </w:pPr>
      <w:r w:rsidRPr="003D46CD">
        <w:rPr>
          <w:sz w:val="24"/>
          <w:szCs w:val="28"/>
        </w:rPr>
        <w:t xml:space="preserve">“... to secure freedom of speech in the Legislative Council; to make provision for regulating admittance to and conduct within the precincts of the Chamber of the Legislative Council ... and </w:t>
      </w:r>
      <w:r w:rsidRPr="001A568D">
        <w:rPr>
          <w:sz w:val="24"/>
          <w:szCs w:val="28"/>
        </w:rPr>
        <w:t xml:space="preserve">for offences </w:t>
      </w:r>
      <w:r w:rsidRPr="003D46CD">
        <w:rPr>
          <w:i/>
          <w:sz w:val="24"/>
          <w:szCs w:val="28"/>
        </w:rPr>
        <w:t>in respect of such proceedings</w:t>
      </w:r>
      <w:r w:rsidRPr="003D46CD">
        <w:rPr>
          <w:sz w:val="24"/>
          <w:szCs w:val="28"/>
        </w:rPr>
        <w:t xml:space="preserve"> and related matters; and for purposes incidental to or connected therewith.”</w:t>
      </w:r>
      <w:r w:rsidR="002B101C">
        <w:rPr>
          <w:rStyle w:val="FootnoteReference"/>
          <w:sz w:val="24"/>
          <w:szCs w:val="28"/>
        </w:rPr>
        <w:footnoteReference w:id="83"/>
      </w:r>
    </w:p>
    <w:p w:rsidR="002B101C" w:rsidRDefault="002B101C" w:rsidP="00F9728D">
      <w:pPr>
        <w:pStyle w:val="Bob1"/>
        <w:tabs>
          <w:tab w:val="clear" w:pos="720"/>
          <w:tab w:val="left" w:pos="0"/>
          <w:tab w:val="left" w:pos="1440"/>
        </w:tabs>
        <w:ind w:left="0" w:firstLine="0"/>
        <w:jc w:val="both"/>
      </w:pPr>
      <w:r>
        <w:t>In LCPPO section 2, “Chamber” is defined to mean:</w:t>
      </w:r>
    </w:p>
    <w:p w:rsidR="003D46CD" w:rsidRDefault="002B101C" w:rsidP="00F9728D">
      <w:pPr>
        <w:pStyle w:val="Bob1"/>
        <w:numPr>
          <w:ilvl w:val="0"/>
          <w:numId w:val="0"/>
        </w:numPr>
        <w:spacing w:line="240" w:lineRule="auto"/>
        <w:ind w:left="720"/>
        <w:jc w:val="both"/>
        <w:rPr>
          <w:sz w:val="24"/>
        </w:rPr>
      </w:pPr>
      <w:r w:rsidRPr="002B101C">
        <w:rPr>
          <w:sz w:val="24"/>
        </w:rPr>
        <w:t xml:space="preserve">“... the Chamber </w:t>
      </w:r>
      <w:r w:rsidRPr="002B101C">
        <w:rPr>
          <w:i/>
          <w:sz w:val="24"/>
        </w:rPr>
        <w:t>in which the proceedings of the Council are conducted</w:t>
      </w:r>
      <w:r w:rsidRPr="002B101C">
        <w:rPr>
          <w:sz w:val="24"/>
        </w:rPr>
        <w:t xml:space="preserve">, and any galleries and places therein provided for members of the public and representatives of </w:t>
      </w:r>
      <w:r w:rsidRPr="002B101C">
        <w:rPr>
          <w:sz w:val="24"/>
        </w:rPr>
        <w:lastRenderedPageBreak/>
        <w:t xml:space="preserve">the press, television and radio, and includes any lobbies, offices or precincts </w:t>
      </w:r>
      <w:r w:rsidRPr="002B101C">
        <w:rPr>
          <w:i/>
          <w:sz w:val="24"/>
        </w:rPr>
        <w:t>used exclusively in connexion with the proceedings of the Council</w:t>
      </w:r>
      <w:r w:rsidRPr="002B101C">
        <w:rPr>
          <w:sz w:val="24"/>
        </w:rPr>
        <w:t>.”</w:t>
      </w:r>
    </w:p>
    <w:p w:rsidR="002B101C" w:rsidRDefault="002B101C" w:rsidP="00F9728D">
      <w:pPr>
        <w:pStyle w:val="Bob1"/>
        <w:numPr>
          <w:ilvl w:val="0"/>
          <w:numId w:val="0"/>
        </w:numPr>
        <w:ind w:left="720" w:hanging="720"/>
      </w:pPr>
      <w:r>
        <w:t xml:space="preserve">And </w:t>
      </w:r>
      <w:r w:rsidRPr="002B101C">
        <w:t xml:space="preserve">“Precincts of the Chamber” is defined to mean </w:t>
      </w:r>
    </w:p>
    <w:p w:rsidR="002B101C" w:rsidRDefault="002B101C" w:rsidP="00F9728D">
      <w:pPr>
        <w:pStyle w:val="Bob1"/>
        <w:numPr>
          <w:ilvl w:val="0"/>
          <w:numId w:val="0"/>
        </w:numPr>
        <w:spacing w:line="240" w:lineRule="auto"/>
        <w:ind w:left="720"/>
        <w:jc w:val="both"/>
        <w:rPr>
          <w:sz w:val="24"/>
        </w:rPr>
      </w:pPr>
      <w:r w:rsidRPr="002B101C">
        <w:rPr>
          <w:sz w:val="24"/>
        </w:rPr>
        <w:t xml:space="preserve">“... the Chamber and offices of the Council and any adjacent galleries and places provided for the use or accommodation of members of the public and representatives of the press, television and radio, and subject to any exceptions made by the President under subsection (2) includes, during the whole of any day </w:t>
      </w:r>
      <w:r w:rsidRPr="002B101C">
        <w:rPr>
          <w:i/>
          <w:sz w:val="24"/>
        </w:rPr>
        <w:t>the Council or a committee is sitting</w:t>
      </w:r>
      <w:r w:rsidRPr="002B101C">
        <w:rPr>
          <w:sz w:val="24"/>
        </w:rPr>
        <w:t>, the entire building in which the Chamber is situated and any forecourt, yard, garden, enclosure or open space adjoining or appertaining to such building and used or provided for the purposes of the Council.”</w:t>
      </w:r>
    </w:p>
    <w:p w:rsidR="002B101C" w:rsidRDefault="00350153" w:rsidP="00F9728D">
      <w:pPr>
        <w:pStyle w:val="Bob1"/>
        <w:tabs>
          <w:tab w:val="clear" w:pos="720"/>
          <w:tab w:val="left" w:pos="1440"/>
        </w:tabs>
        <w:ind w:left="0" w:firstLine="0"/>
        <w:jc w:val="both"/>
      </w:pPr>
      <w:r>
        <w:t xml:space="preserve">Protection of </w:t>
      </w:r>
      <w:r w:rsidR="00892D75">
        <w:t xml:space="preserve">the core activity of </w:t>
      </w:r>
      <w:r w:rsidR="002B101C">
        <w:t xml:space="preserve">free debate </w:t>
      </w:r>
      <w:r w:rsidR="006C1C7D">
        <w:t>during</w:t>
      </w:r>
      <w:r w:rsidR="002B101C">
        <w:t xml:space="preserve"> </w:t>
      </w:r>
      <w:r w:rsidR="006C1C7D">
        <w:t xml:space="preserve">proceedings in </w:t>
      </w:r>
      <w:r w:rsidR="002B101C">
        <w:t>the Chamber is taken up in LCPPO section 3:</w:t>
      </w:r>
    </w:p>
    <w:p w:rsidR="002B101C" w:rsidRDefault="002B101C" w:rsidP="00F9728D">
      <w:pPr>
        <w:pStyle w:val="Bob1"/>
        <w:numPr>
          <w:ilvl w:val="0"/>
          <w:numId w:val="0"/>
        </w:numPr>
        <w:spacing w:line="240" w:lineRule="auto"/>
        <w:ind w:left="720"/>
        <w:jc w:val="both"/>
        <w:rPr>
          <w:sz w:val="24"/>
        </w:rPr>
      </w:pPr>
      <w:r w:rsidRPr="002B101C">
        <w:rPr>
          <w:sz w:val="24"/>
        </w:rPr>
        <w:t>“There shall be freedom of speech and debate in the Council or proceedings before a committee, and such freedom of speech and debate shall not be liable to be questioned in any court or place outside the Council.”</w:t>
      </w:r>
    </w:p>
    <w:p w:rsidR="00350153" w:rsidRDefault="00350153" w:rsidP="00F9728D">
      <w:pPr>
        <w:pStyle w:val="Bob1"/>
        <w:tabs>
          <w:tab w:val="clear" w:pos="720"/>
          <w:tab w:val="left" w:pos="1440"/>
        </w:tabs>
        <w:ind w:left="0" w:firstLine="0"/>
        <w:jc w:val="both"/>
      </w:pPr>
      <w:r>
        <w:t>Section 5(b) immunises members from arrest “</w:t>
      </w:r>
      <w:r w:rsidRPr="00350153">
        <w:t xml:space="preserve">for any criminal offence whilst attending </w:t>
      </w:r>
      <w:r w:rsidRPr="006C1C7D">
        <w:t>at a sitting of the Council or a committee</w:t>
      </w:r>
      <w:r w:rsidR="00F9728D">
        <w:t>” and section </w:t>
      </w:r>
      <w:r>
        <w:t>6(1) forbids the service of civil proceedings or the process of civil execution “</w:t>
      </w:r>
      <w:r w:rsidRPr="00350153">
        <w:t xml:space="preserve">within the precincts of the Chamber </w:t>
      </w:r>
      <w:r w:rsidRPr="006C1C7D">
        <w:t>while the Council is sitting</w:t>
      </w:r>
      <w:r>
        <w:t>”.</w:t>
      </w:r>
    </w:p>
    <w:p w:rsidR="001574FF" w:rsidRDefault="00AF11B7" w:rsidP="00F9728D">
      <w:pPr>
        <w:pStyle w:val="Bob1"/>
        <w:tabs>
          <w:tab w:val="clear" w:pos="720"/>
          <w:tab w:val="left" w:pos="1440"/>
        </w:tabs>
        <w:ind w:left="0" w:firstLine="0"/>
        <w:jc w:val="both"/>
      </w:pPr>
      <w:r>
        <w:t>Section 8 is especially important.  S</w:t>
      </w:r>
      <w:r w:rsidRPr="005731B2">
        <w:t>ection 8(1) provides: “Subject to this section, sittings of the Council shall be open to the public.”</w:t>
      </w:r>
      <w:r>
        <w:t xml:space="preserve">  Th</w:t>
      </w:r>
      <w:r w:rsidR="00892D75">
        <w:t xml:space="preserve">e </w:t>
      </w:r>
      <w:r>
        <w:t xml:space="preserve">statutory intention is </w:t>
      </w:r>
      <w:r w:rsidR="00892D75">
        <w:t xml:space="preserve">thus </w:t>
      </w:r>
      <w:r>
        <w:t xml:space="preserve">to admit the public into </w:t>
      </w:r>
      <w:proofErr w:type="spellStart"/>
      <w:r w:rsidR="00892D75">
        <w:t>LegCo’s</w:t>
      </w:r>
      <w:proofErr w:type="spellEnd"/>
      <w:r w:rsidR="00892D75">
        <w:t xml:space="preserve"> </w:t>
      </w:r>
      <w:r>
        <w:t xml:space="preserve">precincts so that they can observe the </w:t>
      </w:r>
      <w:r w:rsidRPr="00036E2F">
        <w:t>sittings of the Council</w:t>
      </w:r>
      <w:r>
        <w:t xml:space="preserve">.  </w:t>
      </w:r>
      <w:r w:rsidR="00892D75">
        <w:t>Regulation of such attendance is obviously needed, so section 8(3) empowers</w:t>
      </w:r>
      <w:r>
        <w:t xml:space="preserve"> the President to issue Administrative Instructions</w:t>
      </w:r>
      <w:r w:rsidR="00EA2BBF">
        <w:t>:</w:t>
      </w:r>
      <w:r>
        <w:t xml:space="preserve"> </w:t>
      </w:r>
    </w:p>
    <w:p w:rsidR="00AF11B7" w:rsidRDefault="00AF11B7" w:rsidP="00F9728D">
      <w:pPr>
        <w:pStyle w:val="Bob1"/>
        <w:numPr>
          <w:ilvl w:val="0"/>
          <w:numId w:val="0"/>
        </w:numPr>
        <w:spacing w:line="240" w:lineRule="auto"/>
        <w:ind w:left="720"/>
        <w:jc w:val="both"/>
        <w:rPr>
          <w:sz w:val="24"/>
        </w:rPr>
      </w:pPr>
      <w:r w:rsidRPr="001574FF">
        <w:rPr>
          <w:sz w:val="24"/>
          <w:szCs w:val="28"/>
        </w:rPr>
        <w:t>“</w:t>
      </w:r>
      <w:r w:rsidR="001574FF" w:rsidRPr="001574FF">
        <w:rPr>
          <w:sz w:val="24"/>
          <w:szCs w:val="28"/>
        </w:rPr>
        <w:t xml:space="preserve">... </w:t>
      </w:r>
      <w:r w:rsidRPr="001574FF">
        <w:rPr>
          <w:sz w:val="24"/>
        </w:rPr>
        <w:t>for the purpose of maintaining the security of the precincts of the Chamber, ensuring the proper behaviour and decorum of persons therein and for other administrative purposes</w:t>
      </w:r>
      <w:r w:rsidR="001574FF" w:rsidRPr="001574FF">
        <w:rPr>
          <w:sz w:val="24"/>
        </w:rPr>
        <w:t>.</w:t>
      </w:r>
      <w:r w:rsidRPr="001574FF">
        <w:rPr>
          <w:sz w:val="24"/>
        </w:rPr>
        <w:t xml:space="preserve">” </w:t>
      </w:r>
    </w:p>
    <w:p w:rsidR="001574FF" w:rsidRDefault="00EA2BBF" w:rsidP="00F9728D">
      <w:pPr>
        <w:pStyle w:val="Bob1"/>
        <w:tabs>
          <w:tab w:val="clear" w:pos="720"/>
          <w:tab w:val="left" w:pos="1440"/>
        </w:tabs>
        <w:ind w:left="0" w:firstLine="0"/>
      </w:pPr>
      <w:r>
        <w:t xml:space="preserve">Section 17(c) directly penalises interruptions of </w:t>
      </w:r>
      <w:proofErr w:type="spellStart"/>
      <w:r>
        <w:t>LegCo</w:t>
      </w:r>
      <w:proofErr w:type="spellEnd"/>
      <w:r>
        <w:t xml:space="preserve"> sittings:</w:t>
      </w:r>
    </w:p>
    <w:p w:rsidR="00EA2BBF" w:rsidRDefault="00EA2BBF" w:rsidP="00F9728D">
      <w:pPr>
        <w:pStyle w:val="Bob1"/>
        <w:numPr>
          <w:ilvl w:val="0"/>
          <w:numId w:val="0"/>
        </w:numPr>
        <w:spacing w:line="240" w:lineRule="auto"/>
        <w:ind w:left="720"/>
        <w:jc w:val="both"/>
        <w:rPr>
          <w:sz w:val="24"/>
          <w:szCs w:val="28"/>
        </w:rPr>
      </w:pPr>
      <w:r w:rsidRPr="00EA2BBF">
        <w:rPr>
          <w:sz w:val="24"/>
        </w:rPr>
        <w:t>“</w:t>
      </w:r>
      <w:r w:rsidRPr="00EA2BBF">
        <w:rPr>
          <w:sz w:val="24"/>
          <w:szCs w:val="28"/>
        </w:rPr>
        <w:t xml:space="preserve">Any person who ... creates or joins in any disturbance which interrupts or is likely to interrupt the proceedings of the Council or a committee while the Council or such committee is sitting, commits an offence and is liable to a fine of $10000 and to </w:t>
      </w:r>
      <w:r w:rsidRPr="00EA2BBF">
        <w:rPr>
          <w:sz w:val="24"/>
          <w:szCs w:val="28"/>
        </w:rPr>
        <w:lastRenderedPageBreak/>
        <w:t xml:space="preserve">imprisonment for 12 months, and in the case of a continuing offence to a further fine of $2000 for each day </w:t>
      </w:r>
      <w:r>
        <w:rPr>
          <w:sz w:val="24"/>
          <w:szCs w:val="28"/>
        </w:rPr>
        <w:t>on which the offence continues.”</w:t>
      </w:r>
    </w:p>
    <w:p w:rsidR="00EA2BBF" w:rsidRDefault="00943272" w:rsidP="00F9728D">
      <w:pPr>
        <w:pStyle w:val="Bob1"/>
        <w:tabs>
          <w:tab w:val="clear" w:pos="720"/>
          <w:tab w:val="left" w:pos="1440"/>
        </w:tabs>
        <w:ind w:left="0" w:firstLine="0"/>
        <w:jc w:val="both"/>
      </w:pPr>
      <w:r>
        <w:t>And s</w:t>
      </w:r>
      <w:r w:rsidR="00EA2BBF">
        <w:t>imilarly, as we have seen,</w:t>
      </w:r>
      <w:r w:rsidR="00BF1711">
        <w:rPr>
          <w:rStyle w:val="FootnoteReference"/>
        </w:rPr>
        <w:footnoteReference w:id="84"/>
      </w:r>
      <w:r w:rsidR="00EA2BBF">
        <w:t xml:space="preserve"> section 20(b) penalises contravention of:</w:t>
      </w:r>
    </w:p>
    <w:p w:rsidR="00EA2BBF" w:rsidRDefault="00EA2BBF" w:rsidP="00F9728D">
      <w:pPr>
        <w:pStyle w:val="Bob1"/>
        <w:numPr>
          <w:ilvl w:val="0"/>
          <w:numId w:val="0"/>
        </w:numPr>
        <w:spacing w:line="240" w:lineRule="auto"/>
        <w:ind w:left="720"/>
        <w:jc w:val="both"/>
        <w:rPr>
          <w:sz w:val="24"/>
          <w:szCs w:val="28"/>
        </w:rPr>
      </w:pPr>
      <w:r w:rsidRPr="00EA2BBF">
        <w:rPr>
          <w:sz w:val="24"/>
        </w:rPr>
        <w:t xml:space="preserve"> “... </w:t>
      </w:r>
      <w:r w:rsidRPr="00EA2BBF">
        <w:rPr>
          <w:sz w:val="24"/>
          <w:szCs w:val="28"/>
        </w:rPr>
        <w:t>administrative instructions issued under section 8(3), or any direction given thereunder, regulating the admittance of persons to or the conduct of persons within the Chamber or the precincts of the Chamber”.</w:t>
      </w:r>
    </w:p>
    <w:p w:rsidR="00940AC9" w:rsidRDefault="00940AC9" w:rsidP="00F9728D">
      <w:pPr>
        <w:pStyle w:val="Bob1"/>
        <w:tabs>
          <w:tab w:val="clear" w:pos="720"/>
          <w:tab w:val="num" w:pos="1440"/>
        </w:tabs>
        <w:ind w:left="0" w:firstLine="0"/>
        <w:jc w:val="both"/>
      </w:pPr>
      <w:r>
        <w:t>AI section 2</w:t>
      </w:r>
      <w:r w:rsidR="00E8034A">
        <w:t xml:space="preserve"> </w:t>
      </w:r>
      <w:r w:rsidR="001A568D">
        <w:t xml:space="preserve">provides </w:t>
      </w:r>
      <w:r w:rsidR="00943272">
        <w:t xml:space="preserve">specifically </w:t>
      </w:r>
      <w:r w:rsidR="001A568D">
        <w:t xml:space="preserve">for </w:t>
      </w:r>
      <w:r w:rsidR="00E8034A">
        <w:t>admittance to public galler</w:t>
      </w:r>
      <w:r w:rsidR="00943272">
        <w:t>ies</w:t>
      </w:r>
      <w:r w:rsidR="00E8034A">
        <w:t xml:space="preserve"> during </w:t>
      </w:r>
      <w:proofErr w:type="spellStart"/>
      <w:r w:rsidR="00E8034A">
        <w:t>LegCo</w:t>
      </w:r>
      <w:proofErr w:type="spellEnd"/>
      <w:r w:rsidR="00E8034A">
        <w:t xml:space="preserve"> sittings</w:t>
      </w:r>
      <w:r>
        <w:t>:</w:t>
      </w:r>
    </w:p>
    <w:p w:rsidR="00940AC9" w:rsidRDefault="00940AC9" w:rsidP="00F9728D">
      <w:pPr>
        <w:pStyle w:val="Bob1"/>
        <w:numPr>
          <w:ilvl w:val="0"/>
          <w:numId w:val="0"/>
        </w:numPr>
        <w:spacing w:line="240" w:lineRule="auto"/>
        <w:ind w:left="720"/>
        <w:jc w:val="both"/>
        <w:rPr>
          <w:sz w:val="24"/>
          <w:szCs w:val="28"/>
        </w:rPr>
      </w:pPr>
      <w:r w:rsidRPr="00940AC9">
        <w:rPr>
          <w:sz w:val="24"/>
        </w:rPr>
        <w:t>“</w:t>
      </w:r>
      <w:r w:rsidRPr="00940AC9">
        <w:rPr>
          <w:sz w:val="24"/>
          <w:szCs w:val="28"/>
        </w:rPr>
        <w:t>Members of the public may be admitted to a public gallery whenever the Council or a committee is sitting in public in the Chamber or in a committee room.”</w:t>
      </w:r>
    </w:p>
    <w:p w:rsidR="00F26A1F" w:rsidRDefault="00943272" w:rsidP="00F9728D">
      <w:pPr>
        <w:pStyle w:val="Bob1"/>
        <w:tabs>
          <w:tab w:val="clear" w:pos="720"/>
          <w:tab w:val="left" w:pos="1440"/>
        </w:tabs>
        <w:ind w:left="0" w:firstLine="0"/>
        <w:jc w:val="both"/>
      </w:pPr>
      <w:r>
        <w:t xml:space="preserve">Taking </w:t>
      </w:r>
      <w:r w:rsidR="001660AF">
        <w:t xml:space="preserve">into </w:t>
      </w:r>
      <w:r>
        <w:t xml:space="preserve">account the abovementioned provisions, </w:t>
      </w:r>
      <w:r w:rsidR="006172CA">
        <w:t>there is nothing uncertain about AI section 11.</w:t>
      </w:r>
      <w:r w:rsidR="006172CA">
        <w:rPr>
          <w:rStyle w:val="FootnoteReference"/>
        </w:rPr>
        <w:footnoteReference w:id="85"/>
      </w:r>
      <w:r w:rsidR="006172CA">
        <w:t xml:space="preserve">  </w:t>
      </w:r>
      <w:r>
        <w:t>I</w:t>
      </w:r>
      <w:r w:rsidR="00B967EC">
        <w:t xml:space="preserve">n the light of </w:t>
      </w:r>
      <w:r>
        <w:t xml:space="preserve">the </w:t>
      </w:r>
      <w:r w:rsidR="00B967EC">
        <w:t>context and purpose</w:t>
      </w:r>
      <w:r>
        <w:t xml:space="preserve"> illuminated by those provisions</w:t>
      </w:r>
      <w:r w:rsidR="00B967EC">
        <w:t xml:space="preserve">, </w:t>
      </w:r>
      <w:r>
        <w:t xml:space="preserve">anyone reading the section, </w:t>
      </w:r>
      <w:r w:rsidR="00FF41DF" w:rsidRPr="00FF41DF">
        <w:t>with appropriate advice</w:t>
      </w:r>
      <w:r w:rsidR="00B967EC">
        <w:t xml:space="preserve"> if necessary, would know that creating a disturbance by demonstrating in the public gallery while a </w:t>
      </w:r>
      <w:proofErr w:type="spellStart"/>
      <w:r>
        <w:t>LegCo</w:t>
      </w:r>
      <w:proofErr w:type="spellEnd"/>
      <w:r>
        <w:t xml:space="preserve"> sub</w:t>
      </w:r>
      <w:r w:rsidR="00B967EC">
        <w:t>committee was sitting constitute</w:t>
      </w:r>
      <w:r w:rsidR="00A90250">
        <w:t>s</w:t>
      </w:r>
      <w:r w:rsidR="00B967EC">
        <w:t xml:space="preserve"> a contravention.  I</w:t>
      </w:r>
      <w:r w:rsidR="00FF41DF">
        <w:t>ndeed</w:t>
      </w:r>
      <w:r w:rsidR="00B967EC">
        <w:t xml:space="preserve">, that is a conclusion any layman would </w:t>
      </w:r>
      <w:r w:rsidR="00E8034A">
        <w:t xml:space="preserve">have no difficulty </w:t>
      </w:r>
      <w:r w:rsidR="00B967EC">
        <w:t>reach</w:t>
      </w:r>
      <w:r w:rsidR="00E8034A">
        <w:t>ing</w:t>
      </w:r>
      <w:r w:rsidR="00B967EC">
        <w:t>, exercising</w:t>
      </w:r>
      <w:r w:rsidR="00FF41DF">
        <w:t xml:space="preserve"> </w:t>
      </w:r>
      <w:r w:rsidR="00B967EC">
        <w:t xml:space="preserve">common sense. </w:t>
      </w:r>
      <w:r w:rsidR="00FF41DF">
        <w:t xml:space="preserve"> </w:t>
      </w:r>
    </w:p>
    <w:p w:rsidR="00B967EC" w:rsidRDefault="00C930D5" w:rsidP="00EF03FF">
      <w:pPr>
        <w:pStyle w:val="docmapheading"/>
      </w:pPr>
      <w:r>
        <w:t>G.2</w:t>
      </w:r>
      <w:r>
        <w:tab/>
        <w:t xml:space="preserve">The authorities relied on by the appellant </w:t>
      </w:r>
    </w:p>
    <w:p w:rsidR="00FB5ECB" w:rsidRPr="00F9728D" w:rsidRDefault="00FB5ECB" w:rsidP="00F9728D">
      <w:pPr>
        <w:pStyle w:val="Bob1"/>
        <w:numPr>
          <w:ilvl w:val="0"/>
          <w:numId w:val="1"/>
        </w:numPr>
        <w:tabs>
          <w:tab w:val="clear" w:pos="720"/>
          <w:tab w:val="left" w:pos="1440"/>
        </w:tabs>
        <w:ind w:left="0" w:firstLine="0"/>
        <w:jc w:val="both"/>
        <w:rPr>
          <w:szCs w:val="28"/>
        </w:rPr>
      </w:pPr>
      <w:r w:rsidRPr="00334BDD">
        <w:rPr>
          <w:szCs w:val="28"/>
        </w:rPr>
        <w:t>In support</w:t>
      </w:r>
      <w:r>
        <w:rPr>
          <w:szCs w:val="28"/>
        </w:rPr>
        <w:t xml:space="preserve"> of </w:t>
      </w:r>
      <w:r w:rsidR="0089366E">
        <w:rPr>
          <w:szCs w:val="28"/>
        </w:rPr>
        <w:t>his</w:t>
      </w:r>
      <w:r>
        <w:rPr>
          <w:szCs w:val="28"/>
        </w:rPr>
        <w:t xml:space="preserve"> “prescribed by law” argument</w:t>
      </w:r>
      <w:r w:rsidRPr="00334BDD">
        <w:rPr>
          <w:szCs w:val="28"/>
        </w:rPr>
        <w:t xml:space="preserve">, </w:t>
      </w:r>
      <w:r>
        <w:rPr>
          <w:szCs w:val="28"/>
        </w:rPr>
        <w:t xml:space="preserve">Mr Pun SC </w:t>
      </w:r>
      <w:r w:rsidRPr="00334BDD">
        <w:rPr>
          <w:szCs w:val="28"/>
        </w:rPr>
        <w:t xml:space="preserve">relies on </w:t>
      </w:r>
      <w:r w:rsidRPr="00334BDD">
        <w:rPr>
          <w:rFonts w:eastAsia="宋体"/>
          <w:i/>
          <w:szCs w:val="28"/>
        </w:rPr>
        <w:t>Steel v United Kingdom</w:t>
      </w:r>
      <w:r w:rsidRPr="00334BDD">
        <w:rPr>
          <w:rFonts w:eastAsia="宋体"/>
          <w:sz w:val="24"/>
        </w:rPr>
        <w:t>,</w:t>
      </w:r>
      <w:r>
        <w:rPr>
          <w:rStyle w:val="FootnoteReference"/>
          <w:rFonts w:eastAsia="宋体"/>
          <w:sz w:val="24"/>
        </w:rPr>
        <w:footnoteReference w:id="86"/>
      </w:r>
      <w:r w:rsidRPr="00334BDD">
        <w:rPr>
          <w:rFonts w:eastAsia="宋体"/>
          <w:sz w:val="24"/>
        </w:rPr>
        <w:t xml:space="preserve"> </w:t>
      </w:r>
      <w:r w:rsidRPr="00334BDD">
        <w:rPr>
          <w:szCs w:val="28"/>
        </w:rPr>
        <w:t xml:space="preserve">and </w:t>
      </w:r>
      <w:r w:rsidRPr="00334BDD">
        <w:rPr>
          <w:rFonts w:eastAsia="宋体"/>
          <w:i/>
          <w:szCs w:val="28"/>
        </w:rPr>
        <w:t xml:space="preserve">Lau </w:t>
      </w:r>
      <w:proofErr w:type="spellStart"/>
      <w:r w:rsidRPr="00334BDD">
        <w:rPr>
          <w:rFonts w:eastAsia="宋体"/>
          <w:i/>
          <w:szCs w:val="28"/>
        </w:rPr>
        <w:t>Wai</w:t>
      </w:r>
      <w:proofErr w:type="spellEnd"/>
      <w:r w:rsidRPr="00334BDD">
        <w:rPr>
          <w:rFonts w:eastAsia="宋体"/>
          <w:i/>
          <w:szCs w:val="28"/>
        </w:rPr>
        <w:t xml:space="preserve"> Wo v HKSAR</w:t>
      </w:r>
      <w:r w:rsidRPr="00334BDD">
        <w:rPr>
          <w:rFonts w:eastAsia="宋体"/>
          <w:sz w:val="24"/>
        </w:rPr>
        <w:t>,</w:t>
      </w:r>
      <w:r>
        <w:rPr>
          <w:rStyle w:val="FootnoteReference"/>
          <w:rFonts w:eastAsia="宋体"/>
          <w:sz w:val="24"/>
        </w:rPr>
        <w:footnoteReference w:id="87"/>
      </w:r>
      <w:r w:rsidRPr="00334BDD">
        <w:rPr>
          <w:rFonts w:eastAsia="宋体"/>
          <w:sz w:val="24"/>
        </w:rPr>
        <w:t xml:space="preserve"> </w:t>
      </w:r>
      <w:r w:rsidRPr="00334BDD">
        <w:rPr>
          <w:szCs w:val="28"/>
        </w:rPr>
        <w:t xml:space="preserve">two cases concerning legal certainty </w:t>
      </w:r>
      <w:r w:rsidR="00AB177B">
        <w:rPr>
          <w:szCs w:val="28"/>
        </w:rPr>
        <w:t>regarding</w:t>
      </w:r>
      <w:r w:rsidRPr="00334BDD">
        <w:rPr>
          <w:szCs w:val="28"/>
        </w:rPr>
        <w:t xml:space="preserve"> binding-over orders; as well as </w:t>
      </w:r>
      <w:r w:rsidRPr="00334BDD">
        <w:rPr>
          <w:rFonts w:eastAsia="宋体"/>
          <w:i/>
          <w:szCs w:val="28"/>
        </w:rPr>
        <w:t>Brooker v Police</w:t>
      </w:r>
      <w:r w:rsidRPr="00334BDD">
        <w:rPr>
          <w:rFonts w:eastAsia="宋体"/>
          <w:sz w:val="24"/>
        </w:rPr>
        <w:t>,</w:t>
      </w:r>
      <w:r>
        <w:rPr>
          <w:rStyle w:val="FootnoteReference"/>
          <w:rFonts w:eastAsia="宋体"/>
          <w:sz w:val="24"/>
        </w:rPr>
        <w:footnoteReference w:id="88"/>
      </w:r>
      <w:r w:rsidRPr="00334BDD">
        <w:rPr>
          <w:rFonts w:eastAsia="宋体"/>
          <w:sz w:val="24"/>
        </w:rPr>
        <w:t xml:space="preserve"> </w:t>
      </w:r>
      <w:r w:rsidRPr="00334BDD">
        <w:rPr>
          <w:rFonts w:eastAsia="宋体"/>
          <w:szCs w:val="28"/>
        </w:rPr>
        <w:t xml:space="preserve">a New Zealand case involving </w:t>
      </w:r>
      <w:r w:rsidR="00C168A7">
        <w:rPr>
          <w:rFonts w:eastAsia="宋体"/>
          <w:szCs w:val="28"/>
        </w:rPr>
        <w:t>the</w:t>
      </w:r>
      <w:r w:rsidRPr="00334BDD">
        <w:rPr>
          <w:rFonts w:eastAsia="宋体"/>
          <w:szCs w:val="28"/>
        </w:rPr>
        <w:t xml:space="preserve"> summary offence</w:t>
      </w:r>
      <w:r>
        <w:rPr>
          <w:rStyle w:val="FootnoteReference"/>
          <w:rFonts w:eastAsia="宋体"/>
          <w:szCs w:val="28"/>
        </w:rPr>
        <w:footnoteReference w:id="89"/>
      </w:r>
      <w:r w:rsidRPr="00334BDD">
        <w:rPr>
          <w:rFonts w:eastAsia="宋体"/>
          <w:szCs w:val="28"/>
        </w:rPr>
        <w:t xml:space="preserve"> of behaving in an offensive </w:t>
      </w:r>
      <w:r w:rsidRPr="00334BDD">
        <w:rPr>
          <w:rFonts w:eastAsia="宋体"/>
          <w:szCs w:val="28"/>
        </w:rPr>
        <w:lastRenderedPageBreak/>
        <w:t>or disorderly manner.</w:t>
      </w:r>
      <w:r w:rsidR="00E22BD5">
        <w:rPr>
          <w:rFonts w:eastAsia="宋体"/>
          <w:szCs w:val="28"/>
        </w:rPr>
        <w:t xml:space="preserve">  The</w:t>
      </w:r>
      <w:r w:rsidR="00CF0C80">
        <w:rPr>
          <w:rFonts w:eastAsia="宋体"/>
          <w:szCs w:val="28"/>
        </w:rPr>
        <w:t>se</w:t>
      </w:r>
      <w:r w:rsidR="00E22BD5">
        <w:rPr>
          <w:rFonts w:eastAsia="宋体"/>
          <w:szCs w:val="28"/>
        </w:rPr>
        <w:t xml:space="preserve"> are clearly distinguishable</w:t>
      </w:r>
      <w:r w:rsidR="00CF0C80">
        <w:rPr>
          <w:rFonts w:eastAsia="宋体"/>
          <w:szCs w:val="28"/>
        </w:rPr>
        <w:t xml:space="preserve"> authorities</w:t>
      </w:r>
      <w:r w:rsidR="000A32CF">
        <w:rPr>
          <w:rFonts w:eastAsia="宋体"/>
          <w:szCs w:val="28"/>
        </w:rPr>
        <w:t xml:space="preserve">, involving as they do, an </w:t>
      </w:r>
      <w:r w:rsidR="00E22BD5">
        <w:rPr>
          <w:rFonts w:eastAsia="宋体"/>
          <w:szCs w:val="28"/>
        </w:rPr>
        <w:t xml:space="preserve">uncertainty </w:t>
      </w:r>
      <w:r w:rsidR="00BD05BC">
        <w:rPr>
          <w:rFonts w:eastAsia="宋体"/>
          <w:szCs w:val="28"/>
        </w:rPr>
        <w:t xml:space="preserve">argument </w:t>
      </w:r>
      <w:r w:rsidR="000A32CF">
        <w:rPr>
          <w:rFonts w:eastAsia="宋体"/>
          <w:szCs w:val="28"/>
        </w:rPr>
        <w:t xml:space="preserve">relating to </w:t>
      </w:r>
      <w:r w:rsidR="00246BC9">
        <w:rPr>
          <w:rFonts w:eastAsia="宋体"/>
          <w:szCs w:val="28"/>
        </w:rPr>
        <w:t xml:space="preserve">the </w:t>
      </w:r>
      <w:r w:rsidR="00CF0C80">
        <w:rPr>
          <w:rFonts w:eastAsia="宋体"/>
          <w:szCs w:val="28"/>
        </w:rPr>
        <w:t xml:space="preserve">requirement that someone “be of </w:t>
      </w:r>
      <w:r w:rsidR="00246BC9">
        <w:rPr>
          <w:rFonts w:eastAsia="宋体"/>
          <w:szCs w:val="28"/>
        </w:rPr>
        <w:t xml:space="preserve">good behaviour” or </w:t>
      </w:r>
      <w:r w:rsidR="00CF0C80">
        <w:rPr>
          <w:rFonts w:eastAsia="宋体"/>
          <w:szCs w:val="28"/>
        </w:rPr>
        <w:t xml:space="preserve">the prohibition against </w:t>
      </w:r>
      <w:r w:rsidR="00246BC9">
        <w:rPr>
          <w:rFonts w:eastAsia="宋体"/>
          <w:szCs w:val="28"/>
        </w:rPr>
        <w:t xml:space="preserve">“behaving in a disorderly manner” at large, without </w:t>
      </w:r>
      <w:r w:rsidR="00CF0C80">
        <w:rPr>
          <w:rFonts w:eastAsia="宋体"/>
          <w:szCs w:val="28"/>
        </w:rPr>
        <w:t xml:space="preserve">the </w:t>
      </w:r>
      <w:r w:rsidR="00246BC9">
        <w:rPr>
          <w:rFonts w:eastAsia="宋体"/>
          <w:szCs w:val="28"/>
        </w:rPr>
        <w:t>context</w:t>
      </w:r>
      <w:r w:rsidR="00CF0C80">
        <w:rPr>
          <w:rFonts w:eastAsia="宋体"/>
          <w:szCs w:val="28"/>
        </w:rPr>
        <w:t xml:space="preserve">ual </w:t>
      </w:r>
      <w:r w:rsidR="00D507F8">
        <w:rPr>
          <w:rFonts w:eastAsia="宋体"/>
          <w:szCs w:val="28"/>
        </w:rPr>
        <w:t>framework</w:t>
      </w:r>
      <w:r w:rsidR="00B75BD6">
        <w:rPr>
          <w:rFonts w:eastAsia="宋体"/>
          <w:szCs w:val="28"/>
        </w:rPr>
        <w:t xml:space="preserve"> provided by </w:t>
      </w:r>
      <w:r w:rsidR="00CF0C80">
        <w:rPr>
          <w:rFonts w:eastAsia="宋体"/>
          <w:szCs w:val="28"/>
        </w:rPr>
        <w:t xml:space="preserve">a statutory scheme such as that </w:t>
      </w:r>
      <w:r w:rsidR="00246BC9">
        <w:rPr>
          <w:rFonts w:eastAsia="宋体"/>
          <w:szCs w:val="28"/>
        </w:rPr>
        <w:t>applicable to AI section 11 just discussed.</w:t>
      </w:r>
    </w:p>
    <w:p w:rsidR="00683B9B" w:rsidRPr="00F9728D" w:rsidRDefault="000A32CF" w:rsidP="00F9728D">
      <w:pPr>
        <w:pStyle w:val="Bob1"/>
        <w:numPr>
          <w:ilvl w:val="0"/>
          <w:numId w:val="1"/>
        </w:numPr>
        <w:tabs>
          <w:tab w:val="clear" w:pos="720"/>
          <w:tab w:val="left" w:pos="1440"/>
        </w:tabs>
        <w:ind w:left="0" w:firstLine="0"/>
        <w:jc w:val="both"/>
        <w:rPr>
          <w:szCs w:val="28"/>
        </w:rPr>
      </w:pPr>
      <w:r w:rsidRPr="00F9728D">
        <w:rPr>
          <w:rFonts w:eastAsia="宋体"/>
          <w:szCs w:val="28"/>
        </w:rPr>
        <w:t>Because of the</w:t>
      </w:r>
      <w:r w:rsidR="003553F6" w:rsidRPr="00F9728D">
        <w:rPr>
          <w:rFonts w:eastAsia="宋体"/>
          <w:szCs w:val="28"/>
        </w:rPr>
        <w:t>ir</w:t>
      </w:r>
      <w:r w:rsidRPr="00F9728D">
        <w:rPr>
          <w:rFonts w:eastAsia="宋体"/>
          <w:szCs w:val="28"/>
        </w:rPr>
        <w:t xml:space="preserve"> open-endedness</w:t>
      </w:r>
      <w:r w:rsidR="003553F6" w:rsidRPr="00F9728D">
        <w:rPr>
          <w:rFonts w:eastAsia="宋体"/>
          <w:szCs w:val="28"/>
        </w:rPr>
        <w:t xml:space="preserve">, </w:t>
      </w:r>
      <w:r w:rsidR="00CF0C80" w:rsidRPr="00F9728D">
        <w:rPr>
          <w:rFonts w:eastAsia="宋体"/>
          <w:szCs w:val="28"/>
        </w:rPr>
        <w:t xml:space="preserve">binding-over orders </w:t>
      </w:r>
      <w:r w:rsidRPr="00F9728D">
        <w:rPr>
          <w:rFonts w:eastAsia="宋体"/>
          <w:szCs w:val="28"/>
        </w:rPr>
        <w:t xml:space="preserve">have faced </w:t>
      </w:r>
      <w:r w:rsidR="003553F6" w:rsidRPr="00F9728D">
        <w:rPr>
          <w:rFonts w:eastAsia="宋体"/>
          <w:szCs w:val="28"/>
        </w:rPr>
        <w:t xml:space="preserve">challenges on the ground that they lack </w:t>
      </w:r>
      <w:r w:rsidR="00CF0C80" w:rsidRPr="00F9728D">
        <w:rPr>
          <w:rFonts w:eastAsia="宋体"/>
          <w:szCs w:val="28"/>
        </w:rPr>
        <w:t>legal certainty.  Thus, i</w:t>
      </w:r>
      <w:r w:rsidR="00683B9B">
        <w:t xml:space="preserve">n </w:t>
      </w:r>
      <w:r w:rsidR="00683B9B" w:rsidRPr="00F9728D">
        <w:rPr>
          <w:i/>
        </w:rPr>
        <w:t>Steel v United Kingdom</w:t>
      </w:r>
      <w:r w:rsidR="00683B9B">
        <w:t>,</w:t>
      </w:r>
      <w:r w:rsidR="00683B9B">
        <w:rPr>
          <w:rStyle w:val="FootnoteReference"/>
        </w:rPr>
        <w:footnoteReference w:id="90"/>
      </w:r>
      <w:r w:rsidR="00683B9B">
        <w:t xml:space="preserve"> certain protesters were</w:t>
      </w:r>
      <w:r>
        <w:t xml:space="preserve"> ordered to be</w:t>
      </w:r>
      <w:r w:rsidR="00683B9B">
        <w:t xml:space="preserve"> bound over “to be of good behaviour” with imprisonment to follow if they refused to be bound over</w:t>
      </w:r>
      <w:r w:rsidR="003553F6">
        <w:t>, such</w:t>
      </w:r>
      <w:r w:rsidR="00CF0C80">
        <w:t xml:space="preserve"> </w:t>
      </w:r>
      <w:r w:rsidR="00683B9B">
        <w:t xml:space="preserve">orders </w:t>
      </w:r>
      <w:r w:rsidR="003553F6">
        <w:t xml:space="preserve">having been </w:t>
      </w:r>
      <w:r w:rsidR="00683B9B">
        <w:t>made after the</w:t>
      </w:r>
      <w:r w:rsidR="003553F6">
        <w:t>y</w:t>
      </w:r>
      <w:r w:rsidR="00683B9B">
        <w:t xml:space="preserve"> were found to have committed a breach of the peace</w:t>
      </w:r>
      <w:r w:rsidR="00EC3927">
        <w:t xml:space="preserve">. </w:t>
      </w:r>
      <w:r>
        <w:t>T</w:t>
      </w:r>
      <w:r w:rsidR="00683B9B">
        <w:t xml:space="preserve">he </w:t>
      </w:r>
      <w:proofErr w:type="spellStart"/>
      <w:r w:rsidR="00683B9B">
        <w:t>ECtHR</w:t>
      </w:r>
      <w:proofErr w:type="spellEnd"/>
      <w:r w:rsidR="00683B9B">
        <w:t xml:space="preserve"> </w:t>
      </w:r>
      <w:r w:rsidR="00EC3927">
        <w:t xml:space="preserve">regarded the requirement that a person “be of good behaviour” to be vague and imprecise, </w:t>
      </w:r>
      <w:r>
        <w:t xml:space="preserve">but </w:t>
      </w:r>
      <w:r w:rsidR="00EC3927">
        <w:t xml:space="preserve">it held that the prior finding of a breach of the peace </w:t>
      </w:r>
      <w:r>
        <w:t xml:space="preserve">provided a </w:t>
      </w:r>
      <w:r w:rsidR="00683B9B">
        <w:t>sufficient</w:t>
      </w:r>
      <w:r>
        <w:t xml:space="preserve"> context to </w:t>
      </w:r>
      <w:r w:rsidR="00CF0C80">
        <w:t xml:space="preserve">rescue </w:t>
      </w:r>
      <w:r w:rsidR="00EC3927">
        <w:t xml:space="preserve">the order </w:t>
      </w:r>
      <w:r w:rsidR="00B75BD6">
        <w:t xml:space="preserve">from </w:t>
      </w:r>
      <w:r>
        <w:t xml:space="preserve">failing </w:t>
      </w:r>
      <w:r w:rsidR="00EC3927">
        <w:t>the “prescribed by law”</w:t>
      </w:r>
      <w:r>
        <w:t xml:space="preserve"> test</w:t>
      </w:r>
      <w:r w:rsidR="00683B9B">
        <w:t xml:space="preserve">.  </w:t>
      </w:r>
      <w:r w:rsidR="00EC3927">
        <w:t>The Court stated:</w:t>
      </w:r>
    </w:p>
    <w:p w:rsidR="00EC3927" w:rsidRPr="00EC3927" w:rsidRDefault="00EC3927" w:rsidP="00F9728D">
      <w:pPr>
        <w:pStyle w:val="Bob1"/>
        <w:numPr>
          <w:ilvl w:val="0"/>
          <w:numId w:val="0"/>
        </w:numPr>
        <w:spacing w:line="240" w:lineRule="auto"/>
        <w:ind w:left="720"/>
        <w:jc w:val="both"/>
        <w:rPr>
          <w:sz w:val="24"/>
        </w:rPr>
      </w:pPr>
      <w:r w:rsidRPr="00EC3927">
        <w:rPr>
          <w:sz w:val="24"/>
        </w:rPr>
        <w:t>“... the orders were expressed in rather vague and general terms; the expression ‘to be of good behaviour’ was particularly imprecise and offered little guidance to the person bound over as to the type of conduct which would amount to a breach of the order. However, in each applicant’s case the binding over order was imposed after a finding that she had committed a breach of the peace. Having considered all the circumstances, the Court is satisfied that, given the context, it was sufficiently clear that the applicants were being requested to agree to refrain from causing further, similar, breaches of the peace during t</w:t>
      </w:r>
      <w:r>
        <w:rPr>
          <w:sz w:val="24"/>
        </w:rPr>
        <w:t>he ensuing 12 months.”</w:t>
      </w:r>
      <w:r>
        <w:rPr>
          <w:rStyle w:val="FootnoteReference"/>
          <w:sz w:val="24"/>
        </w:rPr>
        <w:footnoteReference w:id="91"/>
      </w:r>
    </w:p>
    <w:p w:rsidR="00C930D5" w:rsidRDefault="00C168A7" w:rsidP="00F9728D">
      <w:pPr>
        <w:pStyle w:val="Bob1"/>
        <w:tabs>
          <w:tab w:val="clear" w:pos="720"/>
          <w:tab w:val="left" w:pos="1440"/>
        </w:tabs>
        <w:ind w:left="0" w:firstLine="0"/>
        <w:jc w:val="both"/>
      </w:pPr>
      <w:proofErr w:type="spellStart"/>
      <w:r w:rsidRPr="000A32CF">
        <w:rPr>
          <w:rFonts w:eastAsia="宋体"/>
          <w:i/>
          <w:szCs w:val="28"/>
        </w:rPr>
        <w:t>Hashman</w:t>
      </w:r>
      <w:proofErr w:type="spellEnd"/>
      <w:r w:rsidRPr="000A32CF">
        <w:rPr>
          <w:rFonts w:eastAsia="宋体"/>
          <w:i/>
          <w:szCs w:val="28"/>
        </w:rPr>
        <w:t xml:space="preserve"> v United Kingdom</w:t>
      </w:r>
      <w:r w:rsidRPr="000A32CF">
        <w:rPr>
          <w:rFonts w:eastAsia="宋体"/>
          <w:szCs w:val="28"/>
        </w:rPr>
        <w:t>,</w:t>
      </w:r>
      <w:r>
        <w:rPr>
          <w:rStyle w:val="FootnoteReference"/>
          <w:rFonts w:eastAsia="宋体"/>
          <w:szCs w:val="28"/>
        </w:rPr>
        <w:footnoteReference w:id="92"/>
      </w:r>
      <w:r w:rsidRPr="000A32CF">
        <w:rPr>
          <w:rFonts w:eastAsia="宋体"/>
          <w:szCs w:val="28"/>
        </w:rPr>
        <w:t xml:space="preserve"> </w:t>
      </w:r>
      <w:r w:rsidR="00EC3927" w:rsidRPr="000A32CF">
        <w:rPr>
          <w:rFonts w:eastAsia="宋体"/>
          <w:szCs w:val="28"/>
        </w:rPr>
        <w:t xml:space="preserve">is a contrasting case </w:t>
      </w:r>
      <w:r w:rsidRPr="000A32CF">
        <w:rPr>
          <w:rFonts w:eastAsia="宋体"/>
          <w:szCs w:val="28"/>
        </w:rPr>
        <w:t xml:space="preserve">where fox hunting saboteurs disrupted a hunt and were bound over in the sum of £100 not to breach the peace and to be of good behaviour for 12 months, an order made solely on the basis of a finding that they had behaved in a manner </w:t>
      </w:r>
      <w:r w:rsidRPr="000A32CF">
        <w:rPr>
          <w:rFonts w:eastAsia="宋体"/>
          <w:i/>
          <w:szCs w:val="28"/>
        </w:rPr>
        <w:t xml:space="preserve">contra </w:t>
      </w:r>
      <w:proofErr w:type="spellStart"/>
      <w:r w:rsidRPr="000A32CF">
        <w:rPr>
          <w:rFonts w:eastAsia="宋体"/>
          <w:i/>
          <w:szCs w:val="28"/>
        </w:rPr>
        <w:t>bonos</w:t>
      </w:r>
      <w:proofErr w:type="spellEnd"/>
      <w:r w:rsidRPr="000A32CF">
        <w:rPr>
          <w:rFonts w:eastAsia="宋体"/>
          <w:i/>
          <w:szCs w:val="28"/>
        </w:rPr>
        <w:t xml:space="preserve"> </w:t>
      </w:r>
      <w:r w:rsidRPr="000A32CF">
        <w:rPr>
          <w:rFonts w:eastAsia="宋体"/>
          <w:i/>
          <w:szCs w:val="28"/>
        </w:rPr>
        <w:lastRenderedPageBreak/>
        <w:t>mores</w:t>
      </w:r>
      <w:r w:rsidRPr="000A32CF">
        <w:rPr>
          <w:rFonts w:eastAsia="宋体"/>
          <w:szCs w:val="28"/>
        </w:rPr>
        <w:t>.</w:t>
      </w:r>
      <w:r>
        <w:rPr>
          <w:rStyle w:val="FootnoteReference"/>
          <w:rFonts w:eastAsia="宋体"/>
          <w:szCs w:val="28"/>
        </w:rPr>
        <w:footnoteReference w:id="93"/>
      </w:r>
      <w:r w:rsidRPr="000A32CF">
        <w:rPr>
          <w:rFonts w:eastAsia="宋体"/>
          <w:szCs w:val="28"/>
        </w:rPr>
        <w:t xml:space="preserve"> </w:t>
      </w:r>
      <w:r w:rsidR="000A32CF" w:rsidRPr="000A32CF">
        <w:rPr>
          <w:rFonts w:eastAsia="宋体"/>
          <w:szCs w:val="28"/>
        </w:rPr>
        <w:t xml:space="preserve"> Since that concept </w:t>
      </w:r>
      <w:r w:rsidR="000A32CF">
        <w:t xml:space="preserve">(which had been defined in the English courts as </w:t>
      </w:r>
      <w:r w:rsidR="000A32CF" w:rsidRPr="00C90054">
        <w:t>behaviour which is “wrong rather than right in the judgment of the majority of</w:t>
      </w:r>
      <w:r w:rsidR="000A32CF">
        <w:t xml:space="preserve"> contemporary fellow citizens”) offered </w:t>
      </w:r>
      <w:r w:rsidR="00C02DF6">
        <w:t>no</w:t>
      </w:r>
      <w:r w:rsidR="000A32CF">
        <w:t xml:space="preserve"> more certainty than the broad “good behaviour” requirement, the </w:t>
      </w:r>
      <w:proofErr w:type="spellStart"/>
      <w:r w:rsidR="00C90054" w:rsidRPr="000A32CF">
        <w:rPr>
          <w:rFonts w:eastAsia="宋体"/>
          <w:szCs w:val="28"/>
        </w:rPr>
        <w:t>ECtHR</w:t>
      </w:r>
      <w:proofErr w:type="spellEnd"/>
      <w:r w:rsidR="00C90054" w:rsidRPr="000A32CF">
        <w:rPr>
          <w:rFonts w:eastAsia="宋体"/>
          <w:szCs w:val="28"/>
        </w:rPr>
        <w:t xml:space="preserve"> </w:t>
      </w:r>
      <w:r w:rsidR="000A32CF">
        <w:rPr>
          <w:rFonts w:eastAsia="宋体"/>
          <w:szCs w:val="28"/>
        </w:rPr>
        <w:t xml:space="preserve">was unable to adopt the </w:t>
      </w:r>
      <w:r w:rsidR="000A32CF">
        <w:rPr>
          <w:rFonts w:eastAsia="宋体"/>
          <w:i/>
          <w:szCs w:val="28"/>
        </w:rPr>
        <w:t xml:space="preserve">Steel </w:t>
      </w:r>
      <w:r w:rsidR="009771CA">
        <w:rPr>
          <w:rFonts w:eastAsia="宋体"/>
          <w:i/>
          <w:szCs w:val="28"/>
        </w:rPr>
        <w:t xml:space="preserve">v UK </w:t>
      </w:r>
      <w:r w:rsidR="000A32CF">
        <w:rPr>
          <w:rFonts w:eastAsia="宋体"/>
          <w:szCs w:val="28"/>
        </w:rPr>
        <w:t xml:space="preserve">technique </w:t>
      </w:r>
      <w:r w:rsidR="009771CA">
        <w:rPr>
          <w:rFonts w:eastAsia="宋体"/>
          <w:szCs w:val="28"/>
        </w:rPr>
        <w:t>and</w:t>
      </w:r>
      <w:r w:rsidR="000A32CF">
        <w:rPr>
          <w:rFonts w:eastAsia="宋体"/>
          <w:szCs w:val="28"/>
        </w:rPr>
        <w:t xml:space="preserve"> </w:t>
      </w:r>
      <w:r w:rsidR="00C90054" w:rsidRPr="000A32CF">
        <w:rPr>
          <w:rFonts w:eastAsia="宋体"/>
          <w:szCs w:val="28"/>
        </w:rPr>
        <w:t xml:space="preserve">held that the order prospectively </w:t>
      </w:r>
      <w:r w:rsidR="000A32CF">
        <w:rPr>
          <w:rFonts w:eastAsia="宋体"/>
          <w:szCs w:val="28"/>
        </w:rPr>
        <w:t xml:space="preserve">binding </w:t>
      </w:r>
      <w:r w:rsidR="00B75BD6">
        <w:rPr>
          <w:rFonts w:eastAsia="宋体"/>
          <w:szCs w:val="28"/>
        </w:rPr>
        <w:t xml:space="preserve">over </w:t>
      </w:r>
      <w:r w:rsidR="00C90054" w:rsidRPr="000A32CF">
        <w:rPr>
          <w:rFonts w:eastAsia="宋体"/>
          <w:szCs w:val="28"/>
        </w:rPr>
        <w:t>the</w:t>
      </w:r>
      <w:r w:rsidR="000A32CF">
        <w:rPr>
          <w:rFonts w:eastAsia="宋体"/>
          <w:szCs w:val="28"/>
        </w:rPr>
        <w:t xml:space="preserve"> protesters</w:t>
      </w:r>
      <w:r w:rsidR="00C90054" w:rsidRPr="000A32CF">
        <w:rPr>
          <w:rFonts w:eastAsia="宋体"/>
          <w:szCs w:val="28"/>
        </w:rPr>
        <w:t xml:space="preserve"> to be of good behaviour at large was</w:t>
      </w:r>
      <w:r w:rsidR="009771CA">
        <w:rPr>
          <w:rFonts w:eastAsia="宋体"/>
          <w:szCs w:val="28"/>
        </w:rPr>
        <w:t xml:space="preserve"> uncertain</w:t>
      </w:r>
      <w:r w:rsidR="00C90054">
        <w:t>.</w:t>
      </w:r>
      <w:r w:rsidR="00C90054">
        <w:rPr>
          <w:rStyle w:val="FootnoteReference"/>
        </w:rPr>
        <w:footnoteReference w:id="94"/>
      </w:r>
      <w:r w:rsidR="00C90054" w:rsidRPr="00C90054">
        <w:t xml:space="preserve"> </w:t>
      </w:r>
      <w:r w:rsidR="00683B9B">
        <w:t xml:space="preserve"> Distinguishing </w:t>
      </w:r>
      <w:r w:rsidR="00683B9B" w:rsidRPr="000A32CF">
        <w:rPr>
          <w:i/>
        </w:rPr>
        <w:t>Steel</w:t>
      </w:r>
      <w:r w:rsidR="00683B9B">
        <w:t>, the Court stated:</w:t>
      </w:r>
    </w:p>
    <w:p w:rsidR="00683B9B" w:rsidRDefault="00683B9B" w:rsidP="00F9728D">
      <w:pPr>
        <w:pStyle w:val="Bob1"/>
        <w:numPr>
          <w:ilvl w:val="0"/>
          <w:numId w:val="0"/>
        </w:numPr>
        <w:spacing w:line="240" w:lineRule="auto"/>
        <w:ind w:left="720"/>
        <w:jc w:val="both"/>
        <w:rPr>
          <w:sz w:val="24"/>
        </w:rPr>
      </w:pPr>
      <w:r w:rsidRPr="00683B9B">
        <w:rPr>
          <w:sz w:val="24"/>
        </w:rPr>
        <w:t>“Whilst in the case of Steel the applicants had been found to have breached the peace, and the Court found that it was apparent that the bind over related to similar behaviour, the present applicants did not breach of the peace, and given the lack of precision referred to above, it cannot be said that what they were being bound over not to do must have been apparent to them.</w:t>
      </w:r>
      <w:r>
        <w:rPr>
          <w:sz w:val="24"/>
        </w:rPr>
        <w:t>”</w:t>
      </w:r>
      <w:r>
        <w:rPr>
          <w:rStyle w:val="FootnoteReference"/>
          <w:sz w:val="24"/>
        </w:rPr>
        <w:footnoteReference w:id="95"/>
      </w:r>
    </w:p>
    <w:p w:rsidR="000A32CF" w:rsidRPr="000A32CF" w:rsidRDefault="00401A44" w:rsidP="00E446B4">
      <w:pPr>
        <w:pStyle w:val="Bob1"/>
        <w:tabs>
          <w:tab w:val="clear" w:pos="720"/>
          <w:tab w:val="left" w:pos="1440"/>
        </w:tabs>
        <w:ind w:left="0" w:firstLine="0"/>
        <w:jc w:val="both"/>
        <w:rPr>
          <w:rFonts w:eastAsia="宋体"/>
          <w:szCs w:val="28"/>
        </w:rPr>
      </w:pPr>
      <w:r>
        <w:t xml:space="preserve">In </w:t>
      </w:r>
      <w:r w:rsidRPr="00B41E53">
        <w:rPr>
          <w:i/>
        </w:rPr>
        <w:t xml:space="preserve">Lau </w:t>
      </w:r>
      <w:proofErr w:type="spellStart"/>
      <w:r w:rsidRPr="00B41E53">
        <w:rPr>
          <w:i/>
        </w:rPr>
        <w:t>Wai</w:t>
      </w:r>
      <w:proofErr w:type="spellEnd"/>
      <w:r w:rsidRPr="00B41E53">
        <w:rPr>
          <w:i/>
        </w:rPr>
        <w:t xml:space="preserve"> Wo v HKSAR</w:t>
      </w:r>
      <w:r>
        <w:t>,</w:t>
      </w:r>
      <w:r>
        <w:rPr>
          <w:rStyle w:val="FootnoteReference"/>
          <w:rFonts w:eastAsia="宋体"/>
          <w:szCs w:val="28"/>
        </w:rPr>
        <w:footnoteReference w:id="96"/>
      </w:r>
      <w:r>
        <w:t xml:space="preserve"> this Court </w:t>
      </w:r>
      <w:r w:rsidR="00B41E53">
        <w:t xml:space="preserve">was concerned with a case where the defendant </w:t>
      </w:r>
      <w:r w:rsidR="00B41E53" w:rsidRPr="00B41E53">
        <w:t>was acquitted of the charge of common assault on his bro</w:t>
      </w:r>
      <w:r w:rsidR="006C1F04">
        <w:t>ther but was bound over by the M</w:t>
      </w:r>
      <w:r w:rsidR="00B41E53" w:rsidRPr="00B41E53">
        <w:t xml:space="preserve">agistrate in the sum of $1,000 to be of good behaviour for one year and to keep the peace.  In deciding that </w:t>
      </w:r>
      <w:r w:rsidR="009771CA">
        <w:t>that order</w:t>
      </w:r>
      <w:r w:rsidR="00B41E53" w:rsidRPr="00B41E53">
        <w:t xml:space="preserve"> did not pass </w:t>
      </w:r>
      <w:r w:rsidR="00B41E53">
        <w:t xml:space="preserve">the “prescribed by law” test, the Court did not approve </w:t>
      </w:r>
      <w:r w:rsidR="00CF0C80">
        <w:t xml:space="preserve">the </w:t>
      </w:r>
      <w:r w:rsidR="00B41E53">
        <w:rPr>
          <w:i/>
        </w:rPr>
        <w:t xml:space="preserve">Steel </w:t>
      </w:r>
      <w:r w:rsidR="00CF0C80">
        <w:t>technique of</w:t>
      </w:r>
      <w:r w:rsidR="00B41E53">
        <w:t xml:space="preserve"> </w:t>
      </w:r>
      <w:r w:rsidR="00C02DF6">
        <w:t>discovering</w:t>
      </w:r>
      <w:r w:rsidR="00B41E53">
        <w:t xml:space="preserve"> certainty </w:t>
      </w:r>
      <w:r w:rsidR="009771CA">
        <w:t>on the basis of</w:t>
      </w:r>
      <w:r w:rsidR="00B41E53">
        <w:t xml:space="preserve"> prior findings </w:t>
      </w:r>
      <w:r w:rsidR="009771CA">
        <w:t>made</w:t>
      </w:r>
      <w:r w:rsidR="00B41E53">
        <w:t xml:space="preserve">.  </w:t>
      </w:r>
      <w:r w:rsidR="004C3FDB">
        <w:t xml:space="preserve">Lord Scott of </w:t>
      </w:r>
      <w:proofErr w:type="spellStart"/>
      <w:r w:rsidR="004C3FDB">
        <w:t>Foscote</w:t>
      </w:r>
      <w:proofErr w:type="spellEnd"/>
      <w:r w:rsidR="004C3FDB">
        <w:t xml:space="preserve"> NPJ, writing for the Court, held that </w:t>
      </w:r>
      <w:r w:rsidR="00B41E53">
        <w:t xml:space="preserve">a prospective requirement to be of good behaviour at large </w:t>
      </w:r>
      <w:r w:rsidR="009771CA">
        <w:t xml:space="preserve">failed the test and </w:t>
      </w:r>
      <w:r w:rsidR="006720A9">
        <w:t xml:space="preserve">that the order </w:t>
      </w:r>
      <w:r w:rsidR="009771CA">
        <w:t xml:space="preserve">would only be valid if </w:t>
      </w:r>
      <w:r w:rsidR="00B75BD6">
        <w:t xml:space="preserve">it was </w:t>
      </w:r>
      <w:r w:rsidR="009771CA">
        <w:t>made specific by its own terms</w:t>
      </w:r>
      <w:r w:rsidR="000A32CF">
        <w:t>:</w:t>
      </w:r>
    </w:p>
    <w:p w:rsidR="000A32CF" w:rsidRDefault="000A32CF" w:rsidP="00E446B4">
      <w:pPr>
        <w:pStyle w:val="Bob1"/>
        <w:numPr>
          <w:ilvl w:val="0"/>
          <w:numId w:val="0"/>
        </w:numPr>
        <w:spacing w:line="240" w:lineRule="auto"/>
        <w:ind w:left="720"/>
        <w:jc w:val="both"/>
        <w:rPr>
          <w:color w:val="000000"/>
          <w:sz w:val="24"/>
          <w:szCs w:val="20"/>
        </w:rPr>
      </w:pPr>
      <w:r w:rsidRPr="007D16FA">
        <w:rPr>
          <w:sz w:val="24"/>
        </w:rPr>
        <w:t>“</w:t>
      </w:r>
      <w:r w:rsidRPr="007D16FA">
        <w:rPr>
          <w:color w:val="000000"/>
          <w:sz w:val="24"/>
          <w:szCs w:val="20"/>
        </w:rPr>
        <w:t xml:space="preserve">Although the traditional form of bind-over order is an order requiring the person concerned to keep the peace and be of good behaviour, without any greater precision, we do not think that an order simply in that general form should any longer be regarded as satisfactory. Nor do we regard an implied limitation by reference to the facts that prompted the making of the order to be satisfactory. We think the principle of legal certainty requires that the order spell out with precision, in the same way as would be expected of an injunction, what it is that the person must not do. For example, in the present case, if a bind-over order was to be made against the appellant, it should have been an order requiring him to keep the peace and be of good behaviour by abstaining </w:t>
      </w:r>
      <w:r w:rsidRPr="007D16FA">
        <w:rPr>
          <w:color w:val="000000"/>
          <w:sz w:val="24"/>
          <w:szCs w:val="20"/>
        </w:rPr>
        <w:lastRenderedPageBreak/>
        <w:t>from assaulting or threatening to assault his brother or by doing anything to give rise to a reasonable apprehension that he intended to assault his brother, or in some such terms. A guide to an acceptable formulation of a bind-over order would, in our opinion, be whether an injunction in those terms would be acceptable.”</w:t>
      </w:r>
      <w:r w:rsidR="007D16FA">
        <w:rPr>
          <w:rStyle w:val="FootnoteReference"/>
          <w:color w:val="000000"/>
          <w:sz w:val="24"/>
          <w:szCs w:val="20"/>
        </w:rPr>
        <w:footnoteReference w:id="97"/>
      </w:r>
    </w:p>
    <w:p w:rsidR="001B57C4" w:rsidRPr="001B57C4" w:rsidRDefault="001B57C4" w:rsidP="00E446B4">
      <w:pPr>
        <w:pStyle w:val="Bob1"/>
        <w:tabs>
          <w:tab w:val="clear" w:pos="720"/>
          <w:tab w:val="left" w:pos="1440"/>
        </w:tabs>
        <w:ind w:left="0" w:firstLine="0"/>
        <w:jc w:val="both"/>
        <w:rPr>
          <w:rFonts w:eastAsia="宋体"/>
          <w:szCs w:val="28"/>
        </w:rPr>
      </w:pPr>
      <w:r w:rsidRPr="001B57C4">
        <w:rPr>
          <w:rFonts w:eastAsia="宋体"/>
          <w:i/>
          <w:szCs w:val="28"/>
        </w:rPr>
        <w:t>Brooker v Police</w:t>
      </w:r>
      <w:r w:rsidRPr="001B57C4">
        <w:rPr>
          <w:rFonts w:eastAsia="宋体"/>
          <w:szCs w:val="28"/>
        </w:rPr>
        <w:t>,</w:t>
      </w:r>
      <w:r w:rsidRPr="001B57C4">
        <w:rPr>
          <w:rStyle w:val="FootnoteReference"/>
          <w:rFonts w:eastAsia="宋体"/>
          <w:szCs w:val="28"/>
        </w:rPr>
        <w:footnoteReference w:id="98"/>
      </w:r>
      <w:r w:rsidRPr="001B57C4">
        <w:rPr>
          <w:rFonts w:eastAsia="宋体"/>
          <w:szCs w:val="28"/>
        </w:rPr>
        <w:t xml:space="preserve"> posed a different problem.  The appellant believed that a certain police constable had unfairly harassed him by obtaining a search warrant against him.  He w</w:t>
      </w:r>
      <w:r>
        <w:rPr>
          <w:rFonts w:eastAsia="宋体"/>
          <w:szCs w:val="28"/>
        </w:rPr>
        <w:t>ent to her home and</w:t>
      </w:r>
      <w:r w:rsidRPr="001B57C4">
        <w:rPr>
          <w:rFonts w:eastAsia="宋体"/>
          <w:szCs w:val="28"/>
        </w:rPr>
        <w:t xml:space="preserve"> knocked on her door, waking her up after a night shift</w:t>
      </w:r>
      <w:r>
        <w:rPr>
          <w:rFonts w:eastAsia="宋体"/>
          <w:szCs w:val="28"/>
        </w:rPr>
        <w:t>,</w:t>
      </w:r>
      <w:r w:rsidRPr="001B57C4">
        <w:rPr>
          <w:rFonts w:eastAsia="宋体"/>
          <w:szCs w:val="28"/>
        </w:rPr>
        <w:t xml:space="preserve"> and then protested in the street outside, playing his guitar and singing songs critical of the constable.  He was charged with a statutory offence of disorderly behaviour under section 4(1)(a) of the Summary Offences Act which provided:</w:t>
      </w:r>
    </w:p>
    <w:p w:rsidR="007D16FA" w:rsidRDefault="001B57C4" w:rsidP="00E446B4">
      <w:pPr>
        <w:pStyle w:val="Bob1"/>
        <w:numPr>
          <w:ilvl w:val="0"/>
          <w:numId w:val="0"/>
        </w:numPr>
        <w:spacing w:line="240" w:lineRule="auto"/>
        <w:ind w:left="720"/>
        <w:jc w:val="both"/>
        <w:rPr>
          <w:rFonts w:eastAsia="宋体"/>
          <w:sz w:val="24"/>
        </w:rPr>
      </w:pPr>
      <w:r w:rsidRPr="001B57C4">
        <w:rPr>
          <w:rFonts w:eastAsia="宋体"/>
          <w:sz w:val="24"/>
        </w:rPr>
        <w:t>“Every person is liable to a fine not exceeding $1,000 who ... In or within view of any public place, behaves in an offensive or disorderly manner.”</w:t>
      </w:r>
    </w:p>
    <w:p w:rsidR="001B57C4" w:rsidRDefault="001B57C4" w:rsidP="00E446B4">
      <w:pPr>
        <w:pStyle w:val="Bob1"/>
        <w:tabs>
          <w:tab w:val="clear" w:pos="720"/>
          <w:tab w:val="left" w:pos="1440"/>
        </w:tabs>
        <w:ind w:left="0" w:firstLine="0"/>
        <w:jc w:val="both"/>
      </w:pPr>
      <w:r>
        <w:t>It was thus an offence defined in minimalist terms.  It had only two elements: (</w:t>
      </w:r>
      <w:proofErr w:type="spellStart"/>
      <w:r>
        <w:t>i</w:t>
      </w:r>
      <w:proofErr w:type="spellEnd"/>
      <w:r>
        <w:t xml:space="preserve">) behaving in an offensive or disorderly manner; (ii) </w:t>
      </w:r>
      <w:r w:rsidR="005F5449">
        <w:t xml:space="preserve">while being </w:t>
      </w:r>
      <w:r w:rsidR="00651F73">
        <w:t>i</w:t>
      </w:r>
      <w:r w:rsidRPr="001B57C4">
        <w:t>n or within view of any public place</w:t>
      </w:r>
      <w:r w:rsidR="00651F73">
        <w:t xml:space="preserve">. </w:t>
      </w:r>
      <w:r>
        <w:t xml:space="preserve"> </w:t>
      </w:r>
      <w:r w:rsidR="00651F73">
        <w:t xml:space="preserve">It lacked any contextual framework to provide guidance as to </w:t>
      </w:r>
      <w:r w:rsidR="00AA0852">
        <w:t>the kind of</w:t>
      </w:r>
      <w:r w:rsidR="005F5449">
        <w:t xml:space="preserve"> </w:t>
      </w:r>
      <w:r w:rsidR="00651F73">
        <w:t xml:space="preserve">behaviour </w:t>
      </w:r>
      <w:r w:rsidR="00AA0852">
        <w:t xml:space="preserve">which </w:t>
      </w:r>
      <w:r w:rsidR="00651F73">
        <w:t>would qualify as “offensive or disorderly”</w:t>
      </w:r>
      <w:r w:rsidR="005F5449">
        <w:t xml:space="preserve"> and</w:t>
      </w:r>
      <w:r w:rsidR="00651F73">
        <w:t xml:space="preserve"> </w:t>
      </w:r>
      <w:r w:rsidR="005F5449">
        <w:t xml:space="preserve">the </w:t>
      </w:r>
      <w:r>
        <w:t xml:space="preserve">Supreme Court of New Zealand </w:t>
      </w:r>
      <w:r w:rsidR="00651F73">
        <w:t>was primarily engaged in construing the section to provide such guidance.  The majority held that “disorderly” had to involve disruption of public order.  As Elias CJ put it:</w:t>
      </w:r>
    </w:p>
    <w:p w:rsidR="00651F73" w:rsidRDefault="00651F73" w:rsidP="00E446B4">
      <w:pPr>
        <w:pStyle w:val="Bob1"/>
        <w:numPr>
          <w:ilvl w:val="0"/>
          <w:numId w:val="0"/>
        </w:numPr>
        <w:spacing w:line="240" w:lineRule="auto"/>
        <w:ind w:left="720"/>
        <w:jc w:val="both"/>
        <w:rPr>
          <w:sz w:val="24"/>
        </w:rPr>
      </w:pPr>
      <w:r w:rsidRPr="00651F73">
        <w:rPr>
          <w:sz w:val="24"/>
        </w:rPr>
        <w:t>“To constitute disorderly behaviour under s 4(1)(a) there must be an objective tendency to disrupt public order, by behaviour or because of the effect of words used. Whether behaviour is disorderly is not to be assessed against the sensibilities of individuals to whom the behaviour is directed or who are present to see and hear it, but against its tendency to disrupt public order.”</w:t>
      </w:r>
      <w:r>
        <w:rPr>
          <w:rStyle w:val="FootnoteReference"/>
          <w:sz w:val="24"/>
        </w:rPr>
        <w:footnoteReference w:id="99"/>
      </w:r>
      <w:r w:rsidRPr="00651F73">
        <w:rPr>
          <w:sz w:val="24"/>
        </w:rPr>
        <w:t xml:space="preserve"> </w:t>
      </w:r>
    </w:p>
    <w:p w:rsidR="00651F73" w:rsidRDefault="00651F73" w:rsidP="00E446B4">
      <w:pPr>
        <w:pStyle w:val="Bob1"/>
        <w:tabs>
          <w:tab w:val="clear" w:pos="720"/>
          <w:tab w:val="left" w:pos="1440"/>
        </w:tabs>
        <w:ind w:left="0" w:firstLine="0"/>
        <w:jc w:val="both"/>
      </w:pPr>
      <w:r>
        <w:t>The “prescribed by law” test was therefore not directly relevant.  It was only obliquely touched on when one of the reasons given by Elias CJ for adopting “[a]</w:t>
      </w:r>
      <w:r w:rsidRPr="00F10446">
        <w:t xml:space="preserve"> narrower interpretation of </w:t>
      </w:r>
      <w:r>
        <w:t>‘</w:t>
      </w:r>
      <w:r w:rsidRPr="00F10446">
        <w:t>disorderly behaviour</w:t>
      </w:r>
      <w:r>
        <w:t>’</w:t>
      </w:r>
      <w:r w:rsidRPr="00F10446">
        <w:t xml:space="preserve">, anchored in </w:t>
      </w:r>
      <w:r w:rsidRPr="00F10446">
        <w:lastRenderedPageBreak/>
        <w:t>disruption of public order</w:t>
      </w:r>
      <w:r>
        <w:t xml:space="preserve">” was that </w:t>
      </w:r>
      <w:r w:rsidR="00AA7107">
        <w:t>this would be “</w:t>
      </w:r>
      <w:r w:rsidR="00AA7107" w:rsidRPr="00F10446">
        <w:t>more consistent with the fundamental principle that criminal law must be predictable</w:t>
      </w:r>
      <w:r w:rsidR="00AA7107">
        <w:t>.”</w:t>
      </w:r>
      <w:r w:rsidR="00AA7107">
        <w:rPr>
          <w:rStyle w:val="FootnoteReference"/>
        </w:rPr>
        <w:footnoteReference w:id="100"/>
      </w:r>
    </w:p>
    <w:p w:rsidR="00AA7107" w:rsidRDefault="00477DEF" w:rsidP="00E446B4">
      <w:pPr>
        <w:pStyle w:val="Bob1"/>
        <w:tabs>
          <w:tab w:val="clear" w:pos="720"/>
          <w:tab w:val="left" w:pos="1440"/>
        </w:tabs>
        <w:ind w:left="0" w:firstLine="0"/>
        <w:jc w:val="both"/>
      </w:pPr>
      <w:r>
        <w:t>T</w:t>
      </w:r>
      <w:r w:rsidR="00AA7107">
        <w:t>he</w:t>
      </w:r>
      <w:r w:rsidR="005F5449">
        <w:t>se three</w:t>
      </w:r>
      <w:r w:rsidR="00AA7107">
        <w:t xml:space="preserve"> </w:t>
      </w:r>
      <w:r w:rsidR="005F5449">
        <w:t xml:space="preserve">authorities </w:t>
      </w:r>
      <w:r>
        <w:t xml:space="preserve">therefore </w:t>
      </w:r>
      <w:r w:rsidR="00AA7107">
        <w:t xml:space="preserve">had to grapple with </w:t>
      </w:r>
      <w:r>
        <w:t xml:space="preserve">issues that do not </w:t>
      </w:r>
      <w:r w:rsidR="00AA7107">
        <w:t>arise in connection with AI section 11</w:t>
      </w:r>
      <w:r>
        <w:t xml:space="preserve"> which has the benefit of a clear contextual focus and is not concerned with disorderly behaviour at large</w:t>
      </w:r>
      <w:r w:rsidR="00AA7107">
        <w:t>.  Th</w:t>
      </w:r>
      <w:r>
        <w:t>os</w:t>
      </w:r>
      <w:r w:rsidR="00AA7107">
        <w:t>e</w:t>
      </w:r>
      <w:r>
        <w:t xml:space="preserve"> authorities</w:t>
      </w:r>
      <w:r w:rsidR="00AA7107">
        <w:t xml:space="preserve"> do not advance </w:t>
      </w:r>
      <w:r w:rsidR="009B7F05">
        <w:t>the appellant’s</w:t>
      </w:r>
      <w:r w:rsidR="00AA7107">
        <w:t xml:space="preserve"> case and the “prescribed by law” argument fails.</w:t>
      </w:r>
    </w:p>
    <w:p w:rsidR="00357D03" w:rsidRDefault="00357D03" w:rsidP="00E446B4">
      <w:pPr>
        <w:pStyle w:val="Bob1"/>
        <w:tabs>
          <w:tab w:val="clear" w:pos="720"/>
          <w:tab w:val="left" w:pos="1440"/>
        </w:tabs>
        <w:ind w:left="0" w:firstLine="0"/>
        <w:jc w:val="both"/>
      </w:pPr>
      <w:r>
        <w:t>Before leaving this</w:t>
      </w:r>
      <w:r w:rsidR="00F134B9">
        <w:t xml:space="preserve"> argument</w:t>
      </w:r>
      <w:r>
        <w:t xml:space="preserve">, I should mention the criticism of the Judge’s construction of AI section 11 referred to in Section D above.  With respect, I think that the Judge fell into error </w:t>
      </w:r>
      <w:r w:rsidR="001E1775">
        <w:t>by</w:t>
      </w:r>
      <w:r>
        <w:t xml:space="preserve"> eliding the two disjunctive strands in the Instruction </w:t>
      </w:r>
      <w:r w:rsidR="00F134B9">
        <w:t xml:space="preserve">and </w:t>
      </w:r>
      <w:r>
        <w:t>treat</w:t>
      </w:r>
      <w:r w:rsidR="00F134B9">
        <w:t>ing</w:t>
      </w:r>
      <w:r>
        <w:t xml:space="preserve"> the offence as involving</w:t>
      </w:r>
      <w:r w:rsidR="001B4066">
        <w:t xml:space="preserve"> proof of</w:t>
      </w:r>
      <w:r>
        <w:t xml:space="preserve"> both disorderly behaviour and a failure to comply with the direction of an officer of the Council.</w:t>
      </w:r>
      <w:r>
        <w:rPr>
          <w:rStyle w:val="FootnoteReference"/>
        </w:rPr>
        <w:footnoteReference w:id="101"/>
      </w:r>
      <w:r>
        <w:t xml:space="preserve">  H</w:t>
      </w:r>
      <w:r w:rsidR="001B4066">
        <w:t>is Lordship</w:t>
      </w:r>
      <w:r>
        <w:t xml:space="preserve"> also erred in </w:t>
      </w:r>
      <w:r w:rsidR="00817393">
        <w:t xml:space="preserve">so far as </w:t>
      </w:r>
      <w:r w:rsidR="001B4066">
        <w:t xml:space="preserve">he </w:t>
      </w:r>
      <w:r w:rsidR="00817393">
        <w:t>considered a “remedial interpretation” warranted.</w:t>
      </w:r>
      <w:r w:rsidR="00817393">
        <w:rPr>
          <w:rStyle w:val="FootnoteReference"/>
        </w:rPr>
        <w:footnoteReference w:id="102"/>
      </w:r>
      <w:r w:rsidR="00817393">
        <w:t xml:space="preserve">  The respondent </w:t>
      </w:r>
      <w:r w:rsidR="00926C6A">
        <w:t>does</w:t>
      </w:r>
      <w:r w:rsidR="00817393">
        <w:t xml:space="preserve"> not seek to uphold the Judge’s approach on this matter.  As the error does not affect the analysis or outcome, I </w:t>
      </w:r>
      <w:r w:rsidR="00305EBF">
        <w:t>will</w:t>
      </w:r>
      <w:r w:rsidR="00817393">
        <w:t xml:space="preserve"> say no more about it.</w:t>
      </w:r>
    </w:p>
    <w:p w:rsidR="00AA7107" w:rsidRDefault="00886AF5" w:rsidP="00EF03FF">
      <w:pPr>
        <w:pStyle w:val="docmapheading"/>
      </w:pPr>
      <w:r>
        <w:t>H.</w:t>
      </w:r>
      <w:r>
        <w:tab/>
        <w:t xml:space="preserve">The “blanket prohibition” argument </w:t>
      </w:r>
    </w:p>
    <w:p w:rsidR="00886AF5" w:rsidRDefault="00886AF5" w:rsidP="00E446B4">
      <w:pPr>
        <w:pStyle w:val="Bob1"/>
        <w:tabs>
          <w:tab w:val="clear" w:pos="720"/>
          <w:tab w:val="left" w:pos="1440"/>
        </w:tabs>
        <w:ind w:left="0" w:firstLine="0"/>
      </w:pPr>
      <w:r>
        <w:t>It will be recalled that Mr Pun SC’s argument is that:</w:t>
      </w:r>
    </w:p>
    <w:p w:rsidR="00886AF5" w:rsidRPr="00886AF5" w:rsidRDefault="00886AF5" w:rsidP="00E446B4">
      <w:pPr>
        <w:pStyle w:val="Bob1"/>
        <w:numPr>
          <w:ilvl w:val="0"/>
          <w:numId w:val="0"/>
        </w:numPr>
        <w:spacing w:line="240" w:lineRule="auto"/>
        <w:ind w:left="720"/>
        <w:jc w:val="both"/>
        <w:rPr>
          <w:sz w:val="24"/>
        </w:rPr>
      </w:pPr>
      <w:r w:rsidRPr="00886AF5">
        <w:rPr>
          <w:sz w:val="24"/>
        </w:rPr>
        <w:t xml:space="preserve">“by ... </w:t>
      </w:r>
      <w:r w:rsidRPr="00886AF5">
        <w:rPr>
          <w:sz w:val="24"/>
          <w:szCs w:val="28"/>
        </w:rPr>
        <w:t xml:space="preserve">rendering </w:t>
      </w:r>
      <w:r w:rsidRPr="00886AF5">
        <w:rPr>
          <w:i/>
          <w:iCs/>
          <w:sz w:val="24"/>
          <w:szCs w:val="28"/>
        </w:rPr>
        <w:t>all</w:t>
      </w:r>
      <w:r w:rsidRPr="00886AF5">
        <w:rPr>
          <w:sz w:val="24"/>
          <w:szCs w:val="28"/>
        </w:rPr>
        <w:t xml:space="preserve"> forms of display of any ‘sign, message or banner’ a criminal offence </w:t>
      </w:r>
      <w:r w:rsidRPr="00886AF5">
        <w:rPr>
          <w:i/>
          <w:sz w:val="24"/>
          <w:szCs w:val="28"/>
        </w:rPr>
        <w:t>regardless of</w:t>
      </w:r>
      <w:r w:rsidRPr="00886AF5">
        <w:rPr>
          <w:sz w:val="24"/>
          <w:szCs w:val="28"/>
        </w:rPr>
        <w:t xml:space="preserve"> its purpose, nature, manner and its impact (if any) on the public order in the </w:t>
      </w:r>
      <w:proofErr w:type="spellStart"/>
      <w:r w:rsidRPr="00886AF5">
        <w:rPr>
          <w:sz w:val="24"/>
          <w:szCs w:val="28"/>
        </w:rPr>
        <w:t>LegCo</w:t>
      </w:r>
      <w:proofErr w:type="spellEnd"/>
      <w:r w:rsidRPr="00886AF5">
        <w:rPr>
          <w:sz w:val="24"/>
          <w:szCs w:val="28"/>
        </w:rPr>
        <w:t>”, [AI section 12] is unjustifiably wide.</w:t>
      </w:r>
      <w:r w:rsidR="000B0AD6">
        <w:rPr>
          <w:sz w:val="24"/>
          <w:szCs w:val="28"/>
        </w:rPr>
        <w:t>”</w:t>
      </w:r>
      <w:r w:rsidRPr="00886AF5">
        <w:rPr>
          <w:rStyle w:val="FootnoteReference"/>
          <w:sz w:val="24"/>
          <w:szCs w:val="28"/>
        </w:rPr>
        <w:footnoteReference w:id="103"/>
      </w:r>
    </w:p>
    <w:p w:rsidR="00142DC4" w:rsidRDefault="00142DC4" w:rsidP="00EF03FF">
      <w:pPr>
        <w:pStyle w:val="docmapheading"/>
      </w:pPr>
    </w:p>
    <w:p w:rsidR="00886AF5" w:rsidRDefault="00886AF5" w:rsidP="00EF03FF">
      <w:pPr>
        <w:pStyle w:val="docmapheading"/>
      </w:pPr>
      <w:r>
        <w:lastRenderedPageBreak/>
        <w:t>H.1</w:t>
      </w:r>
      <w:r>
        <w:tab/>
        <w:t xml:space="preserve">The proper construction of AI section 12 </w:t>
      </w:r>
    </w:p>
    <w:p w:rsidR="00886AF5" w:rsidRDefault="000B0AD6" w:rsidP="00E446B4">
      <w:pPr>
        <w:pStyle w:val="Bob1"/>
        <w:tabs>
          <w:tab w:val="clear" w:pos="720"/>
          <w:tab w:val="left" w:pos="1440"/>
        </w:tabs>
        <w:ind w:left="0" w:firstLine="0"/>
        <w:jc w:val="both"/>
      </w:pPr>
      <w:r>
        <w:t xml:space="preserve">Just as the “prescribed by law” argument requires AI section 11 to be construed to decide whether it is legally uncertain, the “blanket prohibition” argument requires AI section 12 to be construed to see if it does indeed lay down </w:t>
      </w:r>
      <w:r w:rsidR="000E4717">
        <w:t>a</w:t>
      </w:r>
      <w:r>
        <w:t xml:space="preserve"> blanket prohibition.</w:t>
      </w:r>
    </w:p>
    <w:p w:rsidR="000B0AD6" w:rsidRDefault="0054221F" w:rsidP="00E446B4">
      <w:pPr>
        <w:pStyle w:val="Bob1"/>
        <w:tabs>
          <w:tab w:val="clear" w:pos="720"/>
          <w:tab w:val="left" w:pos="1440"/>
        </w:tabs>
        <w:ind w:left="0" w:firstLine="0"/>
        <w:jc w:val="both"/>
      </w:pPr>
      <w:r>
        <w:t xml:space="preserve">It is once again important not to ignore material </w:t>
      </w:r>
      <w:r w:rsidR="002C077A">
        <w:t>words in</w:t>
      </w:r>
      <w:r>
        <w:t xml:space="preserve"> the section and to construe it in the light of its context and purpose.  AI section 12 does not simply make “</w:t>
      </w:r>
      <w:r w:rsidRPr="0054221F">
        <w:t>all forms of display of any ‘sign, message or banner’ a criminal offence</w:t>
      </w:r>
      <w:r>
        <w:t xml:space="preserve">”.  It only does this </w:t>
      </w:r>
      <w:r w:rsidR="003026A3">
        <w:t xml:space="preserve">with regard to </w:t>
      </w:r>
      <w:r w:rsidR="002B1A5D">
        <w:t>displays</w:t>
      </w:r>
      <w:r>
        <w:t xml:space="preserve"> “in a press or public gallery”</w:t>
      </w:r>
      <w:r w:rsidR="002C077A">
        <w:t>, indicating its intended scope</w:t>
      </w:r>
      <w:r>
        <w:t xml:space="preserve">. </w:t>
      </w:r>
    </w:p>
    <w:p w:rsidR="002C077A" w:rsidRDefault="0054221F" w:rsidP="00E446B4">
      <w:pPr>
        <w:pStyle w:val="Bob1"/>
        <w:tabs>
          <w:tab w:val="clear" w:pos="720"/>
          <w:tab w:val="left" w:pos="1440"/>
        </w:tabs>
        <w:ind w:left="0" w:firstLine="0"/>
        <w:jc w:val="both"/>
      </w:pPr>
      <w:r>
        <w:t>In considering AI section 12’s context and purpose, the exercise of construction undertaken</w:t>
      </w:r>
      <w:r w:rsidR="003026A3">
        <w:t xml:space="preserve"> regarding</w:t>
      </w:r>
      <w:r>
        <w:t xml:space="preserve"> AI section 11 is equally applicable.</w:t>
      </w:r>
      <w:r w:rsidR="002D4BF2">
        <w:t xml:space="preserve">  F</w:t>
      </w:r>
      <w:r w:rsidR="002C077A">
        <w:t xml:space="preserve">or the reasons </w:t>
      </w:r>
      <w:r w:rsidR="003026A3">
        <w:t xml:space="preserve">given </w:t>
      </w:r>
      <w:r w:rsidR="002D4BF2">
        <w:t>in Section G.1 above</w:t>
      </w:r>
      <w:r w:rsidR="002C077A">
        <w:t xml:space="preserve">, the </w:t>
      </w:r>
      <w:r w:rsidR="00CC157A">
        <w:t xml:space="preserve">purpose </w:t>
      </w:r>
      <w:r w:rsidR="002C077A">
        <w:t xml:space="preserve">of the </w:t>
      </w:r>
      <w:r w:rsidR="002D4BF2">
        <w:t xml:space="preserve">relevant </w:t>
      </w:r>
      <w:r w:rsidR="002C077A">
        <w:t xml:space="preserve">rules in the LCPPO and the Administrative Instructions is to create a secure and dignified environment </w:t>
      </w:r>
      <w:r w:rsidR="003026A3">
        <w:t xml:space="preserve">in the </w:t>
      </w:r>
      <w:proofErr w:type="spellStart"/>
      <w:r w:rsidR="003026A3">
        <w:t>LegCo</w:t>
      </w:r>
      <w:proofErr w:type="spellEnd"/>
      <w:r w:rsidR="003026A3">
        <w:t xml:space="preserve"> complex </w:t>
      </w:r>
      <w:r w:rsidR="002C077A">
        <w:t xml:space="preserve">conducive to </w:t>
      </w:r>
      <w:proofErr w:type="spellStart"/>
      <w:r w:rsidR="002C077A">
        <w:t>LegCo</w:t>
      </w:r>
      <w:proofErr w:type="spellEnd"/>
      <w:r w:rsidR="002C077A">
        <w:t xml:space="preserve"> properly carrying out its constitutional functions at its sittings without disruption or dist</w:t>
      </w:r>
      <w:r w:rsidR="00B75BD6">
        <w:t>urbance</w:t>
      </w:r>
      <w:r w:rsidR="002C077A">
        <w:t xml:space="preserve">.  </w:t>
      </w:r>
      <w:r w:rsidR="002D4BF2">
        <w:t>AI section 12</w:t>
      </w:r>
      <w:r w:rsidR="002C077A">
        <w:t xml:space="preserve"> lay</w:t>
      </w:r>
      <w:r w:rsidR="003026A3">
        <w:t>s</w:t>
      </w:r>
      <w:r w:rsidR="002C077A">
        <w:t xml:space="preserve"> down </w:t>
      </w:r>
      <w:r w:rsidR="00902B8A">
        <w:t xml:space="preserve">certain prohibitions </w:t>
      </w:r>
      <w:r w:rsidR="002C077A">
        <w:t>as a condition of allowing members of the public to observe legislative</w:t>
      </w:r>
      <w:r w:rsidR="000E4717">
        <w:t xml:space="preserve"> proceedings within the Chamber</w:t>
      </w:r>
      <w:r w:rsidR="002C077A">
        <w:t xml:space="preserve">.  </w:t>
      </w:r>
    </w:p>
    <w:p w:rsidR="000E4717" w:rsidRDefault="002C077A" w:rsidP="00E446B4">
      <w:pPr>
        <w:pStyle w:val="Bob1"/>
        <w:tabs>
          <w:tab w:val="clear" w:pos="720"/>
          <w:tab w:val="left" w:pos="1440"/>
        </w:tabs>
        <w:ind w:left="0" w:firstLine="0"/>
        <w:jc w:val="both"/>
      </w:pPr>
      <w:r>
        <w:t xml:space="preserve">Thus, on a purposive construction, </w:t>
      </w:r>
      <w:r w:rsidR="003026A3">
        <w:t xml:space="preserve">although couched in </w:t>
      </w:r>
      <w:r>
        <w:t xml:space="preserve">wide </w:t>
      </w:r>
      <w:r w:rsidR="003026A3">
        <w:t xml:space="preserve">terms, the </w:t>
      </w:r>
      <w:r>
        <w:t xml:space="preserve">words of AI section 12 </w:t>
      </w:r>
      <w:r w:rsidR="002D4BF2">
        <w:t xml:space="preserve">taken </w:t>
      </w:r>
      <w:r>
        <w:t xml:space="preserve">in context, </w:t>
      </w:r>
      <w:r w:rsidR="003026A3">
        <w:t xml:space="preserve">do not </w:t>
      </w:r>
      <w:r w:rsidR="00EF03FF">
        <w:t>render</w:t>
      </w:r>
      <w:r>
        <w:t xml:space="preserve"> “</w:t>
      </w:r>
      <w:r w:rsidRPr="002C077A">
        <w:t>all forms of display of any ‘sign, message or banner’ a criminal offence regardless of its purpose, nature, manner and its impact (if any) on the public order in</w:t>
      </w:r>
      <w:r>
        <w:t xml:space="preserve"> </w:t>
      </w:r>
      <w:proofErr w:type="spellStart"/>
      <w:r>
        <w:t>LegCo</w:t>
      </w:r>
      <w:proofErr w:type="spellEnd"/>
      <w:r>
        <w:t>”</w:t>
      </w:r>
      <w:r w:rsidR="003026A3">
        <w:t xml:space="preserve"> as the appellant alleges</w:t>
      </w:r>
      <w:r>
        <w:t>.  On the contrary, the</w:t>
      </w:r>
      <w:r w:rsidR="003026A3">
        <w:t xml:space="preserve"> </w:t>
      </w:r>
      <w:r w:rsidR="00EF03FF">
        <w:t xml:space="preserve">Administrative </w:t>
      </w:r>
      <w:r w:rsidR="003026A3">
        <w:t>Instruction is</w:t>
      </w:r>
      <w:r w:rsidR="000E4717">
        <w:t xml:space="preserve"> issued </w:t>
      </w:r>
      <w:r w:rsidR="002D4BF2">
        <w:t xml:space="preserve">very much </w:t>
      </w:r>
      <w:r w:rsidR="000E4717">
        <w:t>with</w:t>
      </w:r>
      <w:r w:rsidR="003026A3">
        <w:t xml:space="preserve"> such impact in mind</w:t>
      </w:r>
      <w:r w:rsidR="000E4717">
        <w:t>.  The prohibition</w:t>
      </w:r>
      <w:r w:rsidR="00902B8A">
        <w:t>s are</w:t>
      </w:r>
      <w:r w:rsidR="003026A3">
        <w:t xml:space="preserve"> </w:t>
      </w:r>
      <w:r w:rsidR="000E4717">
        <w:t xml:space="preserve">aimed at displays which </w:t>
      </w:r>
      <w:r w:rsidR="00FB2C54">
        <w:t>entail the risk of disorder in public galleries and which may disturb</w:t>
      </w:r>
      <w:r w:rsidR="000E4717">
        <w:t xml:space="preserve"> </w:t>
      </w:r>
      <w:proofErr w:type="spellStart"/>
      <w:r w:rsidR="000E4717">
        <w:t>LegCo</w:t>
      </w:r>
      <w:proofErr w:type="spellEnd"/>
      <w:r w:rsidR="000E4717">
        <w:t xml:space="preserve"> sittings</w:t>
      </w:r>
      <w:r w:rsidR="00902B8A">
        <w:t xml:space="preserve"> and the rights of others observing the proceedings</w:t>
      </w:r>
      <w:r w:rsidR="000E4717">
        <w:t>.</w:t>
      </w:r>
    </w:p>
    <w:p w:rsidR="000E4717" w:rsidRDefault="000E4717" w:rsidP="00142DC4">
      <w:pPr>
        <w:pStyle w:val="Bob1"/>
        <w:tabs>
          <w:tab w:val="clear" w:pos="720"/>
          <w:tab w:val="left" w:pos="1440"/>
        </w:tabs>
        <w:spacing w:after="120"/>
        <w:ind w:left="0" w:firstLine="0"/>
        <w:jc w:val="both"/>
      </w:pPr>
      <w:r>
        <w:lastRenderedPageBreak/>
        <w:t>This is a construction that receives support from AI section 12(3) which provides:</w:t>
      </w:r>
    </w:p>
    <w:p w:rsidR="000E4717" w:rsidRDefault="000E4717" w:rsidP="00E446B4">
      <w:pPr>
        <w:pStyle w:val="Bob1"/>
        <w:numPr>
          <w:ilvl w:val="0"/>
          <w:numId w:val="0"/>
        </w:numPr>
        <w:spacing w:line="240" w:lineRule="auto"/>
        <w:ind w:left="720"/>
        <w:jc w:val="both"/>
        <w:rPr>
          <w:sz w:val="24"/>
          <w:szCs w:val="28"/>
        </w:rPr>
      </w:pPr>
      <w:r w:rsidRPr="00362598">
        <w:rPr>
          <w:sz w:val="24"/>
        </w:rPr>
        <w:t>“</w:t>
      </w:r>
      <w:r w:rsidR="00362598" w:rsidRPr="00362598">
        <w:rPr>
          <w:sz w:val="24"/>
          <w:szCs w:val="28"/>
        </w:rPr>
        <w:t xml:space="preserve">An officer of the Council may refuse admission to a press or public gallery to any person displaying any sign, message or banner, or to any person displaying any sign or message on any item of clothing, or to any person who, in the opinion of an officer of the Council, may so display any sign, message or banner, may so display any sign or message on any item of clothing or may </w:t>
      </w:r>
      <w:r w:rsidR="00362598" w:rsidRPr="00362598">
        <w:rPr>
          <w:i/>
          <w:sz w:val="24"/>
          <w:szCs w:val="28"/>
        </w:rPr>
        <w:t>otherwise behave in a disorderly manner</w:t>
      </w:r>
      <w:r w:rsidR="00362598" w:rsidRPr="00362598">
        <w:rPr>
          <w:sz w:val="24"/>
          <w:szCs w:val="28"/>
        </w:rPr>
        <w:t>.”</w:t>
      </w:r>
    </w:p>
    <w:p w:rsidR="00362598" w:rsidRDefault="008A043E" w:rsidP="00E446B4">
      <w:pPr>
        <w:pStyle w:val="Bob1"/>
        <w:tabs>
          <w:tab w:val="clear" w:pos="720"/>
          <w:tab w:val="left" w:pos="1440"/>
        </w:tabs>
        <w:ind w:left="0" w:firstLine="0"/>
        <w:jc w:val="both"/>
      </w:pPr>
      <w:r>
        <w:t>Th</w:t>
      </w:r>
      <w:r w:rsidR="00482CBF">
        <w:t xml:space="preserve">e words I have italicised </w:t>
      </w:r>
      <w:r>
        <w:t>strong</w:t>
      </w:r>
      <w:r w:rsidR="003026A3">
        <w:t>ly</w:t>
      </w:r>
      <w:r>
        <w:t xml:space="preserve"> indicat</w:t>
      </w:r>
      <w:r w:rsidR="003026A3">
        <w:t>e</w:t>
      </w:r>
      <w:r>
        <w:t xml:space="preserve"> </w:t>
      </w:r>
      <w:r w:rsidR="00482CBF">
        <w:t xml:space="preserve">that the </w:t>
      </w:r>
      <w:r w:rsidR="008C404E">
        <w:t>prohibition</w:t>
      </w:r>
      <w:r w:rsidR="003026A3">
        <w:t xml:space="preserve"> of</w:t>
      </w:r>
      <w:r w:rsidR="00674273">
        <w:t xml:space="preserve"> </w:t>
      </w:r>
      <w:r w:rsidR="00482CBF" w:rsidRPr="00482CBF">
        <w:t>sign</w:t>
      </w:r>
      <w:r w:rsidR="00674273">
        <w:t>s</w:t>
      </w:r>
      <w:r w:rsidR="00482CBF" w:rsidRPr="00482CBF">
        <w:t>, message</w:t>
      </w:r>
      <w:r w:rsidR="00674273">
        <w:t>s</w:t>
      </w:r>
      <w:r w:rsidR="00482CBF" w:rsidRPr="00482CBF">
        <w:t xml:space="preserve"> or banner</w:t>
      </w:r>
      <w:r w:rsidR="00674273">
        <w:t>s</w:t>
      </w:r>
      <w:r w:rsidR="003026A3">
        <w:t>,</w:t>
      </w:r>
      <w:r>
        <w:t xml:space="preserve"> </w:t>
      </w:r>
      <w:r w:rsidR="00482CBF">
        <w:t>including sign</w:t>
      </w:r>
      <w:r w:rsidR="00674273">
        <w:t>s</w:t>
      </w:r>
      <w:r w:rsidR="00482CBF">
        <w:t xml:space="preserve"> or message</w:t>
      </w:r>
      <w:r w:rsidR="00674273">
        <w:t>s</w:t>
      </w:r>
      <w:r w:rsidR="00482CBF">
        <w:t xml:space="preserve"> on item</w:t>
      </w:r>
      <w:r w:rsidR="00674273">
        <w:t>s</w:t>
      </w:r>
      <w:r w:rsidR="00482CBF">
        <w:t xml:space="preserve"> of clothing</w:t>
      </w:r>
      <w:r w:rsidR="00674273" w:rsidRPr="00674273">
        <w:t xml:space="preserve"> </w:t>
      </w:r>
      <w:r w:rsidR="00674273">
        <w:t>in a public or press gallery</w:t>
      </w:r>
      <w:r w:rsidR="003026A3">
        <w:t xml:space="preserve">, </w:t>
      </w:r>
      <w:r w:rsidR="008C404E">
        <w:t xml:space="preserve">is </w:t>
      </w:r>
      <w:r w:rsidR="00E27F3F">
        <w:t xml:space="preserve">aimed at </w:t>
      </w:r>
      <w:r w:rsidR="00482CBF">
        <w:t xml:space="preserve">conduct </w:t>
      </w:r>
      <w:r w:rsidR="00494B4C">
        <w:t xml:space="preserve">which amounts to </w:t>
      </w:r>
      <w:r w:rsidR="00482CBF">
        <w:t>behaving in a disorderly manner</w:t>
      </w:r>
      <w:r w:rsidR="003026A3">
        <w:t>, thus contextual</w:t>
      </w:r>
      <w:r w:rsidR="00674273">
        <w:t>ly</w:t>
      </w:r>
      <w:r w:rsidR="008C404E">
        <w:t xml:space="preserve"> limit</w:t>
      </w:r>
      <w:r w:rsidR="00674273">
        <w:t>ing</w:t>
      </w:r>
      <w:r w:rsidR="003026A3">
        <w:t xml:space="preserve"> the scope of subsections (1) and (2)</w:t>
      </w:r>
      <w:r w:rsidR="00482CBF">
        <w:t>.</w:t>
      </w:r>
      <w:r w:rsidR="008C404E">
        <w:t xml:space="preserve">  A person in a public gallery wearing a T-shirt which happens to bear an innocuous message unconnected with the legislature’s proceedings</w:t>
      </w:r>
      <w:r w:rsidR="00494B4C">
        <w:t>, not brandished intrusively,</w:t>
      </w:r>
      <w:r w:rsidR="008C404E">
        <w:t xml:space="preserve"> is not intended to be caught.</w:t>
      </w:r>
    </w:p>
    <w:p w:rsidR="00B75BD6" w:rsidRDefault="00674273" w:rsidP="00142DC4">
      <w:pPr>
        <w:pStyle w:val="Bob1"/>
        <w:tabs>
          <w:tab w:val="clear" w:pos="720"/>
          <w:tab w:val="left" w:pos="1440"/>
        </w:tabs>
        <w:spacing w:after="120"/>
        <w:ind w:left="0" w:firstLine="0"/>
        <w:jc w:val="both"/>
      </w:pPr>
      <w:r>
        <w:t>This construction is reinforced if one keeps</w:t>
      </w:r>
      <w:r w:rsidR="008C404E">
        <w:t xml:space="preserve"> in mind the terms of </w:t>
      </w:r>
      <w:r w:rsidR="002D4BF2">
        <w:t>section 8</w:t>
      </w:r>
      <w:r w:rsidR="008C404E">
        <w:t xml:space="preserve">(3) of the LCPPO, which </w:t>
      </w:r>
      <w:r>
        <w:t xml:space="preserve">authorized the </w:t>
      </w:r>
      <w:r w:rsidR="008C404E">
        <w:t>issue</w:t>
      </w:r>
      <w:r>
        <w:t xml:space="preserve"> of AI section 12</w:t>
      </w:r>
      <w:r w:rsidR="00E446B4">
        <w:t>.  Section </w:t>
      </w:r>
      <w:r w:rsidR="008C404E">
        <w:t xml:space="preserve">8(3) </w:t>
      </w:r>
      <w:r w:rsidR="00460EE0">
        <w:t>specifies</w:t>
      </w:r>
      <w:r w:rsidR="00FB2C54">
        <w:t xml:space="preserve"> that</w:t>
      </w:r>
      <w:r w:rsidR="002D4BF2">
        <w:t xml:space="preserve"> </w:t>
      </w:r>
      <w:r w:rsidR="008C404E">
        <w:t xml:space="preserve">the President </w:t>
      </w:r>
      <w:r w:rsidR="002D4BF2">
        <w:t xml:space="preserve">is to exercise </w:t>
      </w:r>
      <w:r w:rsidR="009C02AB">
        <w:t xml:space="preserve">this power </w:t>
      </w:r>
      <w:r w:rsidR="002D4BF2">
        <w:t>“</w:t>
      </w:r>
      <w:r w:rsidR="002D4BF2" w:rsidRPr="002D4BF2">
        <w:t xml:space="preserve">for the purpose of maintaining the security of the precincts of the Chamber, </w:t>
      </w:r>
      <w:r w:rsidR="00460EE0">
        <w:t xml:space="preserve">[and] </w:t>
      </w:r>
      <w:r w:rsidR="002D4BF2" w:rsidRPr="002D4BF2">
        <w:t>ensuring the proper behaviour and decorum of persons therein</w:t>
      </w:r>
      <w:r w:rsidR="00460EE0">
        <w:t xml:space="preserve"> ...</w:t>
      </w:r>
      <w:r w:rsidR="002D4BF2">
        <w:t>”</w:t>
      </w:r>
      <w:r w:rsidR="009C02AB">
        <w:t>.</w:t>
      </w:r>
      <w:r w:rsidR="002D4BF2">
        <w:rPr>
          <w:rStyle w:val="FootnoteReference"/>
        </w:rPr>
        <w:footnoteReference w:id="104"/>
      </w:r>
      <w:r w:rsidR="009C02AB">
        <w:t xml:space="preserve">  Thus, </w:t>
      </w:r>
      <w:r w:rsidR="00C628A1">
        <w:t xml:space="preserve">if he were to </w:t>
      </w:r>
      <w:r w:rsidR="009C02AB">
        <w:t>issu</w:t>
      </w:r>
      <w:r w:rsidR="00C628A1">
        <w:t>e</w:t>
      </w:r>
      <w:r w:rsidR="008C404E">
        <w:t xml:space="preserve"> an Administrative Instruction</w:t>
      </w:r>
      <w:r w:rsidR="00E27F3F">
        <w:t xml:space="preserve"> </w:t>
      </w:r>
      <w:r w:rsidR="008C404E">
        <w:t>lay</w:t>
      </w:r>
      <w:r>
        <w:t>ing</w:t>
      </w:r>
      <w:r w:rsidR="009C02AB">
        <w:t xml:space="preserve"> down a blanket prohibition</w:t>
      </w:r>
      <w:r w:rsidR="008C404E">
        <w:t xml:space="preserve"> going</w:t>
      </w:r>
      <w:r w:rsidR="009C02AB">
        <w:t xml:space="preserve"> far beyond th</w:t>
      </w:r>
      <w:r w:rsidR="008C404E">
        <w:t>at stated</w:t>
      </w:r>
      <w:r w:rsidR="009C02AB">
        <w:t xml:space="preserve"> purpose</w:t>
      </w:r>
      <w:r w:rsidR="00460EE0">
        <w:t xml:space="preserve">, </w:t>
      </w:r>
      <w:r w:rsidR="008C404E">
        <w:t xml:space="preserve">it </w:t>
      </w:r>
      <w:r w:rsidR="009C02AB">
        <w:t xml:space="preserve">would amount to an </w:t>
      </w:r>
      <w:r w:rsidR="009C02AB" w:rsidRPr="00E446B4">
        <w:rPr>
          <w:i/>
        </w:rPr>
        <w:t xml:space="preserve">ultra vires </w:t>
      </w:r>
      <w:r w:rsidR="009C02AB">
        <w:t>exercise of the power</w:t>
      </w:r>
      <w:r w:rsidR="00B75BD6">
        <w:t xml:space="preserve"> and the rule of construction expressed in the</w:t>
      </w:r>
      <w:r w:rsidR="00C628A1">
        <w:t xml:space="preserve"> maxim </w:t>
      </w:r>
      <w:proofErr w:type="spellStart"/>
      <w:r w:rsidR="00C628A1" w:rsidRPr="00E446B4">
        <w:rPr>
          <w:i/>
        </w:rPr>
        <w:t>ut</w:t>
      </w:r>
      <w:proofErr w:type="spellEnd"/>
      <w:r w:rsidR="00C628A1" w:rsidRPr="00E446B4">
        <w:rPr>
          <w:i/>
        </w:rPr>
        <w:t xml:space="preserve"> res </w:t>
      </w:r>
      <w:proofErr w:type="spellStart"/>
      <w:r w:rsidR="00C628A1" w:rsidRPr="00E446B4">
        <w:rPr>
          <w:i/>
        </w:rPr>
        <w:t>magis</w:t>
      </w:r>
      <w:proofErr w:type="spellEnd"/>
      <w:r w:rsidR="00C628A1" w:rsidRPr="00E446B4">
        <w:rPr>
          <w:i/>
        </w:rPr>
        <w:t xml:space="preserve"> </w:t>
      </w:r>
      <w:proofErr w:type="spellStart"/>
      <w:r w:rsidR="00C628A1" w:rsidRPr="00E446B4">
        <w:rPr>
          <w:i/>
        </w:rPr>
        <w:t>valeat</w:t>
      </w:r>
      <w:proofErr w:type="spellEnd"/>
      <w:r w:rsidR="00C628A1" w:rsidRPr="00E446B4">
        <w:rPr>
          <w:i/>
        </w:rPr>
        <w:t xml:space="preserve"> quam </w:t>
      </w:r>
      <w:proofErr w:type="spellStart"/>
      <w:r w:rsidR="00C628A1" w:rsidRPr="00E446B4">
        <w:rPr>
          <w:i/>
        </w:rPr>
        <w:t>pereat</w:t>
      </w:r>
      <w:proofErr w:type="spellEnd"/>
      <w:r w:rsidR="00B75BD6">
        <w:t xml:space="preserve"> would apply.  </w:t>
      </w:r>
      <w:r>
        <w:t xml:space="preserve">That maxim </w:t>
      </w:r>
      <w:r w:rsidR="001660AF">
        <w:t xml:space="preserve">is explained in </w:t>
      </w:r>
      <w:proofErr w:type="spellStart"/>
      <w:r w:rsidR="001660AF">
        <w:t>Bennion</w:t>
      </w:r>
      <w:proofErr w:type="spellEnd"/>
      <w:r w:rsidR="001660AF">
        <w:t xml:space="preserve"> on </w:t>
      </w:r>
      <w:r w:rsidR="00B75BD6">
        <w:t>Statutory Interpretation</w:t>
      </w:r>
      <w:r w:rsidR="00B75BD6">
        <w:rPr>
          <w:rStyle w:val="FootnoteReference"/>
        </w:rPr>
        <w:footnoteReference w:id="105"/>
      </w:r>
      <w:r w:rsidR="00B75BD6">
        <w:t xml:space="preserve"> as follows:</w:t>
      </w:r>
    </w:p>
    <w:p w:rsidR="00B75BD6" w:rsidRPr="00B75BD6" w:rsidRDefault="00B75BD6" w:rsidP="00E446B4">
      <w:pPr>
        <w:pStyle w:val="Bob1"/>
        <w:numPr>
          <w:ilvl w:val="0"/>
          <w:numId w:val="0"/>
        </w:numPr>
        <w:spacing w:line="240" w:lineRule="auto"/>
        <w:ind w:left="720"/>
        <w:jc w:val="both"/>
        <w:rPr>
          <w:sz w:val="24"/>
        </w:rPr>
      </w:pPr>
      <w:r w:rsidRPr="00B75BD6">
        <w:rPr>
          <w:sz w:val="24"/>
        </w:rPr>
        <w:t xml:space="preserve">“... It is a rule of law that the legislator intends the interpreter of an enactment to observe the maxim </w:t>
      </w:r>
      <w:proofErr w:type="spellStart"/>
      <w:r w:rsidRPr="00B75BD6">
        <w:rPr>
          <w:i/>
          <w:sz w:val="24"/>
        </w:rPr>
        <w:t>ut</w:t>
      </w:r>
      <w:proofErr w:type="spellEnd"/>
      <w:r w:rsidRPr="00B75BD6">
        <w:rPr>
          <w:i/>
          <w:sz w:val="24"/>
        </w:rPr>
        <w:t xml:space="preserve"> res </w:t>
      </w:r>
      <w:proofErr w:type="spellStart"/>
      <w:r w:rsidRPr="00B75BD6">
        <w:rPr>
          <w:i/>
          <w:sz w:val="24"/>
        </w:rPr>
        <w:t>magis</w:t>
      </w:r>
      <w:proofErr w:type="spellEnd"/>
      <w:r w:rsidRPr="00B75BD6">
        <w:rPr>
          <w:i/>
          <w:sz w:val="24"/>
        </w:rPr>
        <w:t xml:space="preserve"> </w:t>
      </w:r>
      <w:proofErr w:type="spellStart"/>
      <w:r w:rsidRPr="00B75BD6">
        <w:rPr>
          <w:i/>
          <w:sz w:val="24"/>
        </w:rPr>
        <w:t>valeat</w:t>
      </w:r>
      <w:proofErr w:type="spellEnd"/>
      <w:r w:rsidRPr="00B75BD6">
        <w:rPr>
          <w:i/>
          <w:sz w:val="24"/>
        </w:rPr>
        <w:t xml:space="preserve"> quam </w:t>
      </w:r>
      <w:proofErr w:type="spellStart"/>
      <w:r w:rsidRPr="00B75BD6">
        <w:rPr>
          <w:i/>
          <w:sz w:val="24"/>
        </w:rPr>
        <w:t>pereat</w:t>
      </w:r>
      <w:proofErr w:type="spellEnd"/>
      <w:r w:rsidRPr="00B75BD6">
        <w:rPr>
          <w:sz w:val="24"/>
        </w:rPr>
        <w:t xml:space="preserve"> (it is better for a thing to have effect than to be made void); so that he must construe the enactment in such a way as to implement, rather than defeat, the legislative purpose.”</w:t>
      </w:r>
    </w:p>
    <w:p w:rsidR="00C628A1" w:rsidRDefault="00684629" w:rsidP="00E446B4">
      <w:pPr>
        <w:pStyle w:val="Bob1"/>
        <w:tabs>
          <w:tab w:val="clear" w:pos="720"/>
          <w:tab w:val="left" w:pos="1440"/>
        </w:tabs>
        <w:ind w:left="0" w:firstLine="0"/>
        <w:jc w:val="both"/>
      </w:pPr>
      <w:r>
        <w:lastRenderedPageBreak/>
        <w:t>The</w:t>
      </w:r>
      <w:r w:rsidR="00494B4C">
        <w:t xml:space="preserve"> contextual and purposive</w:t>
      </w:r>
      <w:r>
        <w:t xml:space="preserve"> construction </w:t>
      </w:r>
      <w:r w:rsidR="00674273">
        <w:t xml:space="preserve">limiting the scope of AI section 12 </w:t>
      </w:r>
      <w:r>
        <w:t>discussed above</w:t>
      </w:r>
      <w:r w:rsidR="00674273">
        <w:t>,</w:t>
      </w:r>
      <w:r>
        <w:t xml:space="preserve"> </w:t>
      </w:r>
      <w:r w:rsidR="009C32BD">
        <w:t>avoid</w:t>
      </w:r>
      <w:r>
        <w:t>s</w:t>
      </w:r>
      <w:r w:rsidR="009C32BD">
        <w:t xml:space="preserve"> an </w:t>
      </w:r>
      <w:r w:rsidR="009C32BD">
        <w:rPr>
          <w:i/>
        </w:rPr>
        <w:t xml:space="preserve">ultra vires </w:t>
      </w:r>
      <w:r w:rsidR="009C32BD">
        <w:t>outcome</w:t>
      </w:r>
      <w:r>
        <w:t xml:space="preserve"> and</w:t>
      </w:r>
      <w:r w:rsidR="00C628A1">
        <w:t xml:space="preserve"> preserves the validity of the rule. </w:t>
      </w:r>
      <w:r w:rsidR="004F59FC">
        <w:t xml:space="preserve"> I arrive at this conclusion applying ordinary common law principles of construction.  If it had been necessary, I would not have hesitated </w:t>
      </w:r>
      <w:r w:rsidR="003421F1">
        <w:t xml:space="preserve">to arrive </w:t>
      </w:r>
      <w:r w:rsidR="004F59FC">
        <w:t xml:space="preserve">at the same conclusion applying a remedial interpretation in accordance with the principles explained in </w:t>
      </w:r>
      <w:r w:rsidR="004F59FC" w:rsidRPr="004F59FC">
        <w:rPr>
          <w:i/>
        </w:rPr>
        <w:t xml:space="preserve">HKSAR v Lam </w:t>
      </w:r>
      <w:proofErr w:type="spellStart"/>
      <w:r w:rsidR="004F59FC" w:rsidRPr="004F59FC">
        <w:rPr>
          <w:i/>
        </w:rPr>
        <w:t>Kwong</w:t>
      </w:r>
      <w:proofErr w:type="spellEnd"/>
      <w:r w:rsidR="004F59FC" w:rsidRPr="004F59FC">
        <w:rPr>
          <w:i/>
        </w:rPr>
        <w:t xml:space="preserve"> </w:t>
      </w:r>
      <w:proofErr w:type="spellStart"/>
      <w:r w:rsidR="004F59FC" w:rsidRPr="004F59FC">
        <w:rPr>
          <w:i/>
        </w:rPr>
        <w:t>Wai</w:t>
      </w:r>
      <w:proofErr w:type="spellEnd"/>
      <w:r w:rsidR="004F59FC">
        <w:t>.</w:t>
      </w:r>
      <w:r w:rsidR="004F59FC">
        <w:rPr>
          <w:rStyle w:val="FootnoteReference"/>
        </w:rPr>
        <w:footnoteReference w:id="106"/>
      </w:r>
    </w:p>
    <w:p w:rsidR="00DE19EE" w:rsidRDefault="00DE19EE" w:rsidP="00E446B4">
      <w:pPr>
        <w:pStyle w:val="Bob1"/>
        <w:tabs>
          <w:tab w:val="clear" w:pos="720"/>
          <w:tab w:val="left" w:pos="1440"/>
        </w:tabs>
        <w:ind w:left="0" w:firstLine="0"/>
        <w:jc w:val="both"/>
      </w:pPr>
      <w:r>
        <w:t xml:space="preserve">I therefore conclude that </w:t>
      </w:r>
      <w:r w:rsidR="00684629">
        <w:t xml:space="preserve">properly </w:t>
      </w:r>
      <w:r>
        <w:t>construe</w:t>
      </w:r>
      <w:r w:rsidR="00684629">
        <w:t>d,</w:t>
      </w:r>
      <w:r>
        <w:t xml:space="preserve"> AI section 12 </w:t>
      </w:r>
      <w:r w:rsidR="00684629">
        <w:t xml:space="preserve">does not lay </w:t>
      </w:r>
      <w:r>
        <w:t xml:space="preserve">down the alleged “blanket prohibition” and the appellant’s argument </w:t>
      </w:r>
      <w:r w:rsidR="00E27F3F">
        <w:t xml:space="preserve">advanced </w:t>
      </w:r>
      <w:r>
        <w:t xml:space="preserve">on that </w:t>
      </w:r>
      <w:r w:rsidR="00E27F3F">
        <w:t>rejected basis</w:t>
      </w:r>
      <w:r>
        <w:t xml:space="preserve"> fails.</w:t>
      </w:r>
    </w:p>
    <w:p w:rsidR="00DE19EE" w:rsidRDefault="00E00503" w:rsidP="00EF03FF">
      <w:pPr>
        <w:pStyle w:val="docmapheading"/>
      </w:pPr>
      <w:r>
        <w:t>H.2</w:t>
      </w:r>
      <w:r>
        <w:tab/>
        <w:t>Does AI sect</w:t>
      </w:r>
      <w:r w:rsidR="00684629">
        <w:t>ion 12</w:t>
      </w:r>
      <w:r>
        <w:t xml:space="preserve"> </w:t>
      </w:r>
      <w:r w:rsidR="00684629">
        <w:t xml:space="preserve">create </w:t>
      </w:r>
      <w:r>
        <w:t>a valid restriction on the right to freedom of expression?</w:t>
      </w:r>
    </w:p>
    <w:p w:rsidR="00E00503" w:rsidRDefault="00FB2C54" w:rsidP="00E446B4">
      <w:pPr>
        <w:pStyle w:val="Bob1"/>
        <w:tabs>
          <w:tab w:val="clear" w:pos="720"/>
          <w:tab w:val="left" w:pos="1440"/>
        </w:tabs>
        <w:ind w:left="0" w:firstLine="0"/>
        <w:jc w:val="both"/>
      </w:pPr>
      <w:r>
        <w:t>AI section 12</w:t>
      </w:r>
      <w:r w:rsidR="004011DB">
        <w:t xml:space="preserve"> plainly catches the conduct of the appellant and her co-defendants.  Their demonstration was </w:t>
      </w:r>
      <w:r w:rsidR="00684629">
        <w:t xml:space="preserve">noisy </w:t>
      </w:r>
      <w:r w:rsidR="004011DB">
        <w:t xml:space="preserve">and caused a commotion in the public gallery </w:t>
      </w:r>
      <w:r w:rsidR="00270B8A">
        <w:t>largely caused by</w:t>
      </w:r>
      <w:r w:rsidR="00D22212">
        <w:t xml:space="preserve"> the display of the S</w:t>
      </w:r>
      <w:r w:rsidR="004011DB">
        <w:t xml:space="preserve">wastika sign and the slogan on their T-shirts opposing the landfill extension.  It led on both occasions to the </w:t>
      </w:r>
      <w:r w:rsidR="00684629">
        <w:t xml:space="preserve">session </w:t>
      </w:r>
      <w:r w:rsidR="004011DB">
        <w:t xml:space="preserve">being interrupted and, on the second occasion, to the exclusion of the public from observing proceedings in the substituted conference room.  </w:t>
      </w:r>
      <w:r w:rsidR="00270B8A">
        <w:t>The question is whether, i</w:t>
      </w:r>
      <w:r w:rsidR="00F66B14">
        <w:t xml:space="preserve">n limiting </w:t>
      </w:r>
      <w:r>
        <w:t xml:space="preserve">the right to freedom of expression by prohibiting </w:t>
      </w:r>
      <w:r w:rsidR="00684629">
        <w:t xml:space="preserve">such </w:t>
      </w:r>
      <w:r>
        <w:t xml:space="preserve">demonstrations, </w:t>
      </w:r>
      <w:r w:rsidR="00F66B14">
        <w:t xml:space="preserve">AI section 12 </w:t>
      </w:r>
      <w:r w:rsidR="00684629">
        <w:t>impose</w:t>
      </w:r>
      <w:r w:rsidR="00270B8A">
        <w:t>s</w:t>
      </w:r>
      <w:r w:rsidR="00684629">
        <w:t xml:space="preserve"> </w:t>
      </w:r>
      <w:r>
        <w:t>a constitutionally valid restriction</w:t>
      </w:r>
      <w:r w:rsidR="00270B8A">
        <w:t>.</w:t>
      </w:r>
      <w:r w:rsidR="002603C8">
        <w:rPr>
          <w:rStyle w:val="FootnoteReference"/>
        </w:rPr>
        <w:footnoteReference w:id="107"/>
      </w:r>
    </w:p>
    <w:p w:rsidR="0044381A" w:rsidRDefault="005A764C" w:rsidP="00E446B4">
      <w:pPr>
        <w:pStyle w:val="Bob1"/>
        <w:tabs>
          <w:tab w:val="clear" w:pos="720"/>
          <w:tab w:val="left" w:pos="1440"/>
        </w:tabs>
        <w:ind w:left="0" w:firstLine="0"/>
        <w:jc w:val="both"/>
      </w:pPr>
      <w:r>
        <w:t xml:space="preserve">This involves </w:t>
      </w:r>
      <w:r w:rsidR="00F66B14">
        <w:t xml:space="preserve">first examining </w:t>
      </w:r>
      <w:r w:rsidRPr="00687F04">
        <w:t xml:space="preserve">whether </w:t>
      </w:r>
      <w:r w:rsidR="00D22212">
        <w:t xml:space="preserve">the section operates </w:t>
      </w:r>
      <w:r w:rsidR="00CB412F">
        <w:t xml:space="preserve">as a restriction </w:t>
      </w:r>
      <w:r w:rsidR="00270B8A">
        <w:t xml:space="preserve">which is </w:t>
      </w:r>
      <w:r w:rsidR="00CB412F">
        <w:t xml:space="preserve">necessary for </w:t>
      </w:r>
      <w:r w:rsidR="00270B8A">
        <w:t xml:space="preserve">accomplishing one of the purposes listed in </w:t>
      </w:r>
      <w:r w:rsidR="00D22212">
        <w:t>BOR 16</w:t>
      </w:r>
      <w:r>
        <w:t xml:space="preserve">.  </w:t>
      </w:r>
      <w:r w:rsidR="00F66B14">
        <w:t>In my view, it clearly does.</w:t>
      </w:r>
      <w:r w:rsidR="00270B8A">
        <w:t xml:space="preserve">  </w:t>
      </w:r>
      <w:r w:rsidR="00CB412F">
        <w:t xml:space="preserve">If not prohibited, demonstrations and interjections by persons in public galleries </w:t>
      </w:r>
      <w:r w:rsidR="007B490C">
        <w:t xml:space="preserve">would inevitably </w:t>
      </w:r>
      <w:r w:rsidR="00F66B14">
        <w:t xml:space="preserve">interfere with </w:t>
      </w:r>
      <w:r w:rsidR="00906FFC">
        <w:t xml:space="preserve">debates and other proceedings on the floor of </w:t>
      </w:r>
      <w:proofErr w:type="spellStart"/>
      <w:r w:rsidR="00906FFC">
        <w:t>LegCo</w:t>
      </w:r>
      <w:proofErr w:type="spellEnd"/>
      <w:r w:rsidR="00CB412F">
        <w:t xml:space="preserve">. </w:t>
      </w:r>
      <w:r w:rsidR="00545DD8">
        <w:t xml:space="preserve"> </w:t>
      </w:r>
      <w:r w:rsidR="00F976B6">
        <w:t>A</w:t>
      </w:r>
      <w:r w:rsidR="0044381A">
        <w:t xml:space="preserve"> demonstration on a controversial issue is likely to be met with a counter-demonstration and </w:t>
      </w:r>
      <w:r w:rsidR="00906FFC">
        <w:t xml:space="preserve">a confrontation </w:t>
      </w:r>
      <w:r w:rsidR="00F66B14">
        <w:lastRenderedPageBreak/>
        <w:t xml:space="preserve">between the two camps </w:t>
      </w:r>
      <w:r w:rsidR="00F976B6">
        <w:t xml:space="preserve">in a public gallery would </w:t>
      </w:r>
      <w:r w:rsidR="0044381A">
        <w:t xml:space="preserve">pose an obvious risk </w:t>
      </w:r>
      <w:r w:rsidR="00906FFC">
        <w:t xml:space="preserve">of conflict and </w:t>
      </w:r>
      <w:r w:rsidR="0044381A">
        <w:t xml:space="preserve">public </w:t>
      </w:r>
      <w:r w:rsidR="00906FFC">
        <w:t>dis</w:t>
      </w:r>
      <w:r w:rsidR="0044381A">
        <w:t>order.  It would also interfere with the rights of persons who simply wish to observe the debate or other proceedings.</w:t>
      </w:r>
      <w:r w:rsidR="00EA3B1D">
        <w:t xml:space="preserve">  </w:t>
      </w:r>
    </w:p>
    <w:p w:rsidR="0044381A" w:rsidRDefault="009A6570" w:rsidP="00E446B4">
      <w:pPr>
        <w:pStyle w:val="Bob1"/>
        <w:tabs>
          <w:tab w:val="clear" w:pos="720"/>
          <w:tab w:val="left" w:pos="1440"/>
        </w:tabs>
        <w:ind w:left="0" w:firstLine="0"/>
        <w:jc w:val="both"/>
      </w:pPr>
      <w:r>
        <w:t xml:space="preserve">Given </w:t>
      </w:r>
      <w:r w:rsidR="00F976B6">
        <w:t>such prospects</w:t>
      </w:r>
      <w:r w:rsidR="0044381A">
        <w:t xml:space="preserve">, </w:t>
      </w:r>
      <w:r w:rsidR="00906FFC">
        <w:t>the AI section 12</w:t>
      </w:r>
      <w:r w:rsidR="0044381A">
        <w:t xml:space="preserve"> restrictions can be justified as necessary for respect of the rights of others and for the protection of public order or </w:t>
      </w:r>
      <w:proofErr w:type="spellStart"/>
      <w:r w:rsidR="0044381A" w:rsidRPr="00E446B4">
        <w:rPr>
          <w:i/>
        </w:rPr>
        <w:t>ordre</w:t>
      </w:r>
      <w:proofErr w:type="spellEnd"/>
      <w:r w:rsidR="0044381A" w:rsidRPr="00E446B4">
        <w:rPr>
          <w:i/>
        </w:rPr>
        <w:t xml:space="preserve"> public.  </w:t>
      </w:r>
      <w:r w:rsidR="0044381A">
        <w:t xml:space="preserve">The </w:t>
      </w:r>
      <w:r w:rsidR="00893C8F">
        <w:t xml:space="preserve">applicability </w:t>
      </w:r>
      <w:r w:rsidR="0044381A">
        <w:t xml:space="preserve">of </w:t>
      </w:r>
      <w:r w:rsidR="00F976B6">
        <w:t xml:space="preserve">the categories of </w:t>
      </w:r>
      <w:r w:rsidR="0044381A">
        <w:t xml:space="preserve">respect for the rights of others and the protection of public order </w:t>
      </w:r>
      <w:r>
        <w:t xml:space="preserve">is </w:t>
      </w:r>
      <w:r w:rsidR="0044381A">
        <w:t>self-</w:t>
      </w:r>
      <w:r w:rsidR="00684629">
        <w:t>evident</w:t>
      </w:r>
      <w:r w:rsidR="0044381A">
        <w:t xml:space="preserve">.  </w:t>
      </w:r>
      <w:r w:rsidR="00893C8F">
        <w:t xml:space="preserve">However, </w:t>
      </w:r>
      <w:r w:rsidR="00684629">
        <w:t xml:space="preserve">the </w:t>
      </w:r>
      <w:r w:rsidR="00893C8F">
        <w:t>p</w:t>
      </w:r>
      <w:r w:rsidR="0044381A">
        <w:t xml:space="preserve">rotection of </w:t>
      </w:r>
      <w:proofErr w:type="spellStart"/>
      <w:r w:rsidR="00545DD8" w:rsidRPr="00E446B4">
        <w:rPr>
          <w:i/>
        </w:rPr>
        <w:t>ordre</w:t>
      </w:r>
      <w:proofErr w:type="spellEnd"/>
      <w:r w:rsidR="00545DD8" w:rsidRPr="00E446B4">
        <w:rPr>
          <w:i/>
        </w:rPr>
        <w:t xml:space="preserve"> public</w:t>
      </w:r>
      <w:r w:rsidR="0044381A">
        <w:t xml:space="preserve"> as an aim may call for some elaboration</w:t>
      </w:r>
      <w:r w:rsidR="00545DD8">
        <w:t xml:space="preserve">.  </w:t>
      </w:r>
    </w:p>
    <w:p w:rsidR="00906FFC" w:rsidRDefault="0044381A" w:rsidP="00E446B4">
      <w:pPr>
        <w:pStyle w:val="Bob1"/>
        <w:tabs>
          <w:tab w:val="clear" w:pos="720"/>
          <w:tab w:val="left" w:pos="1440"/>
        </w:tabs>
        <w:ind w:left="0" w:firstLine="0"/>
        <w:jc w:val="both"/>
      </w:pPr>
      <w:proofErr w:type="spellStart"/>
      <w:r w:rsidRPr="00E446B4">
        <w:rPr>
          <w:i/>
        </w:rPr>
        <w:t>Ordre</w:t>
      </w:r>
      <w:proofErr w:type="spellEnd"/>
      <w:r w:rsidRPr="00E446B4">
        <w:rPr>
          <w:i/>
        </w:rPr>
        <w:t xml:space="preserve"> public </w:t>
      </w:r>
      <w:r w:rsidR="00545DD8">
        <w:t>is a broad and flexible concept</w:t>
      </w:r>
      <w:r w:rsidR="00893C8F">
        <w:t xml:space="preserve"> which, as Li CJ</w:t>
      </w:r>
      <w:r w:rsidR="00545DD8">
        <w:t xml:space="preserve"> </w:t>
      </w:r>
      <w:r w:rsidR="00893C8F">
        <w:t xml:space="preserve">explained in </w:t>
      </w:r>
      <w:r w:rsidR="00893C8F" w:rsidRPr="00E446B4">
        <w:rPr>
          <w:rFonts w:eastAsia="宋体"/>
          <w:i/>
          <w:szCs w:val="28"/>
        </w:rPr>
        <w:t>HKSAR v Ng Kung Siu</w:t>
      </w:r>
      <w:r w:rsidR="00293F20" w:rsidRPr="00E446B4">
        <w:rPr>
          <w:rFonts w:eastAsia="宋体"/>
          <w:szCs w:val="28"/>
        </w:rPr>
        <w:t>,</w:t>
      </w:r>
      <w:r w:rsidR="00893C8F" w:rsidRPr="00893C8F">
        <w:rPr>
          <w:rStyle w:val="FootnoteReference"/>
          <w:rFonts w:eastAsia="宋体"/>
          <w:szCs w:val="28"/>
        </w:rPr>
        <w:footnoteReference w:id="108"/>
      </w:r>
      <w:r w:rsidR="00893C8F" w:rsidRPr="00E446B4">
        <w:rPr>
          <w:rFonts w:eastAsia="宋体"/>
          <w:szCs w:val="28"/>
        </w:rPr>
        <w:t xml:space="preserve"> </w:t>
      </w:r>
      <w:r w:rsidR="00293F20" w:rsidRPr="00E446B4">
        <w:rPr>
          <w:rFonts w:eastAsia="宋体"/>
          <w:szCs w:val="28"/>
        </w:rPr>
        <w:t xml:space="preserve">and </w:t>
      </w:r>
      <w:r w:rsidR="00684629" w:rsidRPr="00E446B4">
        <w:rPr>
          <w:rFonts w:eastAsia="宋体"/>
          <w:szCs w:val="28"/>
        </w:rPr>
        <w:t xml:space="preserve">as </w:t>
      </w:r>
      <w:r w:rsidR="00293F20" w:rsidRPr="00E446B4">
        <w:rPr>
          <w:rFonts w:eastAsia="宋体"/>
          <w:szCs w:val="28"/>
        </w:rPr>
        <w:t xml:space="preserve">the majority reiterated in </w:t>
      </w:r>
      <w:r w:rsidR="00293F20" w:rsidRPr="00E446B4">
        <w:rPr>
          <w:rFonts w:eastAsia="宋体"/>
          <w:i/>
          <w:szCs w:val="28"/>
        </w:rPr>
        <w:t>Leung Kwok Hung v HKSAR</w:t>
      </w:r>
      <w:r w:rsidR="00293F20" w:rsidRPr="00E446B4">
        <w:rPr>
          <w:rFonts w:eastAsia="宋体"/>
          <w:szCs w:val="28"/>
        </w:rPr>
        <w:t>,</w:t>
      </w:r>
      <w:r w:rsidR="00293F20">
        <w:rPr>
          <w:rStyle w:val="FootnoteReference"/>
          <w:rFonts w:eastAsia="宋体"/>
          <w:szCs w:val="28"/>
        </w:rPr>
        <w:footnoteReference w:id="109"/>
      </w:r>
      <w:r w:rsidR="00293F20" w:rsidRPr="00E446B4">
        <w:rPr>
          <w:rFonts w:eastAsia="宋体"/>
          <w:i/>
          <w:sz w:val="24"/>
        </w:rPr>
        <w:t xml:space="preserve"> </w:t>
      </w:r>
      <w:r w:rsidR="00893C8F" w:rsidRPr="00E446B4">
        <w:rPr>
          <w:rFonts w:eastAsia="宋体"/>
          <w:szCs w:val="28"/>
        </w:rPr>
        <w:t xml:space="preserve">can be </w:t>
      </w:r>
      <w:r w:rsidR="00893C8F" w:rsidRPr="00893C8F">
        <w:t>imprecise and elusive</w:t>
      </w:r>
      <w:r w:rsidR="00893C8F">
        <w:t xml:space="preserve">.  It is </w:t>
      </w:r>
      <w:r w:rsidR="00293F20">
        <w:t xml:space="preserve">much wider than </w:t>
      </w:r>
      <w:r w:rsidR="00D0135B">
        <w:t>“</w:t>
      </w:r>
      <w:r w:rsidR="00893C8F">
        <w:t>public order</w:t>
      </w:r>
      <w:r w:rsidR="00D0135B">
        <w:t>”</w:t>
      </w:r>
      <w:r w:rsidR="00893C8F">
        <w:t xml:space="preserve"> in terms of </w:t>
      </w:r>
      <w:r w:rsidR="009A1651">
        <w:t xml:space="preserve">the maintenance of </w:t>
      </w:r>
      <w:r w:rsidR="00893C8F">
        <w:t>law and order and “</w:t>
      </w:r>
      <w:r w:rsidR="00893C8F" w:rsidRPr="00893C8F">
        <w:t xml:space="preserve">includes what is necessary for the protection of the general welfare or for the interests of the </w:t>
      </w:r>
      <w:proofErr w:type="spellStart"/>
      <w:r w:rsidR="00893C8F" w:rsidRPr="00893C8F">
        <w:t>collectivity</w:t>
      </w:r>
      <w:proofErr w:type="spellEnd"/>
      <w:r w:rsidR="00893C8F" w:rsidRPr="00893C8F">
        <w:t xml:space="preserve"> as a whole</w:t>
      </w:r>
      <w:r w:rsidR="00893C8F">
        <w:t>”</w:t>
      </w:r>
      <w:r w:rsidR="00893C8F" w:rsidRPr="00893C8F">
        <w:rPr>
          <w:rStyle w:val="FootnoteReference"/>
        </w:rPr>
        <w:t xml:space="preserve"> </w:t>
      </w:r>
      <w:r w:rsidR="005F1687">
        <w:t xml:space="preserve">being </w:t>
      </w:r>
      <w:r w:rsidR="00893C8F">
        <w:t>“</w:t>
      </w:r>
      <w:r w:rsidR="00893C8F" w:rsidRPr="00893C8F">
        <w:t>a function of time, place and circumstances.”</w:t>
      </w:r>
      <w:r w:rsidR="00893C8F">
        <w:t xml:space="preserve">  </w:t>
      </w:r>
      <w:r w:rsidR="00906FFC">
        <w:t xml:space="preserve">Various formulations </w:t>
      </w:r>
      <w:r w:rsidR="002876E2">
        <w:t xml:space="preserve">of the meaning of </w:t>
      </w:r>
      <w:proofErr w:type="spellStart"/>
      <w:r w:rsidR="002876E2" w:rsidRPr="00E446B4">
        <w:rPr>
          <w:i/>
        </w:rPr>
        <w:t>ordre</w:t>
      </w:r>
      <w:proofErr w:type="spellEnd"/>
      <w:r w:rsidR="002876E2" w:rsidRPr="00E446B4">
        <w:rPr>
          <w:i/>
        </w:rPr>
        <w:t xml:space="preserve"> public </w:t>
      </w:r>
      <w:r w:rsidR="00906FFC">
        <w:t xml:space="preserve">were </w:t>
      </w:r>
      <w:r w:rsidR="00D0135B">
        <w:t>considered</w:t>
      </w:r>
      <w:r w:rsidR="00906FFC">
        <w:t xml:space="preserve"> by the Court</w:t>
      </w:r>
      <w:r w:rsidR="00684629">
        <w:t xml:space="preserve">.  The concept has been described as </w:t>
      </w:r>
      <w:r w:rsidR="002876E2">
        <w:t xml:space="preserve">“a basis for restricting some specified rights and freedoms in the interests of the adequate functioning of the public institutions necessary to the </w:t>
      </w:r>
      <w:proofErr w:type="spellStart"/>
      <w:r w:rsidR="002876E2">
        <w:t>collectivity</w:t>
      </w:r>
      <w:proofErr w:type="spellEnd"/>
      <w:r w:rsidR="002876E2">
        <w:t xml:space="preserve">...”  Another formulation, taken from the </w:t>
      </w:r>
      <w:proofErr w:type="spellStart"/>
      <w:r w:rsidR="002876E2" w:rsidRPr="00E446B4">
        <w:rPr>
          <w:i/>
        </w:rPr>
        <w:t>Siracusa</w:t>
      </w:r>
      <w:proofErr w:type="spellEnd"/>
      <w:r w:rsidR="002876E2" w:rsidRPr="00E446B4">
        <w:rPr>
          <w:i/>
        </w:rPr>
        <w:t xml:space="preserve"> Principles</w:t>
      </w:r>
      <w:r w:rsidR="00E477A9" w:rsidRPr="00660E8D">
        <w:rPr>
          <w:rStyle w:val="FootnoteReference"/>
        </w:rPr>
        <w:footnoteReference w:id="110"/>
      </w:r>
      <w:r w:rsidR="002876E2">
        <w:t xml:space="preserve"> is that it “... </w:t>
      </w:r>
      <w:r w:rsidR="002876E2" w:rsidRPr="002876E2">
        <w:t>may be defined as the sum of rules which ensure the functioning of society or the set of fundamental principles on which society is founded.</w:t>
      </w:r>
      <w:r w:rsidR="002876E2">
        <w:t>”</w:t>
      </w:r>
      <w:r w:rsidR="002876E2" w:rsidRPr="002876E2">
        <w:t xml:space="preserve"> </w:t>
      </w:r>
      <w:r w:rsidR="00BB0063">
        <w:t xml:space="preserve"> In my view, a restriction on the right to freedom of expression to safeguard the proper functioning of the legislature </w:t>
      </w:r>
      <w:r w:rsidR="009A1651">
        <w:t xml:space="preserve">comes within these formulations of the </w:t>
      </w:r>
      <w:r w:rsidR="00BB0063">
        <w:t xml:space="preserve">protection of </w:t>
      </w:r>
      <w:proofErr w:type="spellStart"/>
      <w:r w:rsidR="00BB0063" w:rsidRPr="00E446B4">
        <w:rPr>
          <w:i/>
        </w:rPr>
        <w:t>ordre</w:t>
      </w:r>
      <w:proofErr w:type="spellEnd"/>
      <w:r w:rsidR="00BB0063" w:rsidRPr="00E446B4">
        <w:rPr>
          <w:i/>
        </w:rPr>
        <w:t xml:space="preserve"> public</w:t>
      </w:r>
      <w:r w:rsidR="00BB0063">
        <w:t>.</w:t>
      </w:r>
    </w:p>
    <w:p w:rsidR="005A764C" w:rsidRDefault="00442823" w:rsidP="00E446B4">
      <w:pPr>
        <w:pStyle w:val="Bob1"/>
        <w:tabs>
          <w:tab w:val="clear" w:pos="720"/>
          <w:tab w:val="left" w:pos="1440"/>
        </w:tabs>
        <w:ind w:left="0" w:firstLine="0"/>
        <w:jc w:val="both"/>
      </w:pPr>
      <w:r>
        <w:lastRenderedPageBreak/>
        <w:t xml:space="preserve">The next question is whether the restrictions are </w:t>
      </w:r>
      <w:r w:rsidRPr="00442823">
        <w:t>rationally connec</w:t>
      </w:r>
      <w:r>
        <w:t>ted with accomplishing the aforesaid aim, the answer to which is obviously “Yes”.</w:t>
      </w:r>
      <w:r w:rsidR="009A1651">
        <w:t xml:space="preserve">  They </w:t>
      </w:r>
      <w:r w:rsidR="00684629">
        <w:t xml:space="preserve">directly </w:t>
      </w:r>
      <w:r w:rsidR="009A1651">
        <w:t xml:space="preserve">operate to restrict </w:t>
      </w:r>
      <w:r w:rsidR="00684629">
        <w:t>intrusive</w:t>
      </w:r>
      <w:r w:rsidR="003B2DD5">
        <w:t xml:space="preserve"> or disruptive</w:t>
      </w:r>
      <w:r w:rsidR="00684629">
        <w:t xml:space="preserve"> </w:t>
      </w:r>
      <w:r w:rsidR="009A1651">
        <w:t>conduct</w:t>
      </w:r>
      <w:r>
        <w:t xml:space="preserve"> </w:t>
      </w:r>
      <w:r w:rsidR="009A1651">
        <w:t>in the legislative Chamber.</w:t>
      </w:r>
      <w:r>
        <w:t xml:space="preserve"> </w:t>
      </w:r>
    </w:p>
    <w:p w:rsidR="00442823" w:rsidRDefault="004926AD" w:rsidP="00E446B4">
      <w:pPr>
        <w:pStyle w:val="Bob1"/>
        <w:tabs>
          <w:tab w:val="clear" w:pos="720"/>
          <w:tab w:val="left" w:pos="1440"/>
        </w:tabs>
        <w:ind w:left="0" w:firstLine="0"/>
        <w:jc w:val="both"/>
      </w:pPr>
      <w:r>
        <w:t xml:space="preserve">Does </w:t>
      </w:r>
      <w:r w:rsidR="005A764C" w:rsidRPr="005A764C">
        <w:t xml:space="preserve">the restriction </w:t>
      </w:r>
      <w:r w:rsidR="00660E8D">
        <w:t xml:space="preserve">do </w:t>
      </w:r>
      <w:r w:rsidR="005A764C" w:rsidRPr="005A764C">
        <w:t>no more than reasonably necessary for accomplishing that purpose</w:t>
      </w:r>
      <w:r w:rsidR="00442823">
        <w:t>?</w:t>
      </w:r>
      <w:r w:rsidR="009A1651">
        <w:t xml:space="preserve">  </w:t>
      </w:r>
      <w:r w:rsidR="00257489">
        <w:t>In my view, it</w:t>
      </w:r>
      <w:r>
        <w:t xml:space="preserve"> clearly</w:t>
      </w:r>
      <w:r w:rsidR="00257489">
        <w:t xml:space="preserve"> </w:t>
      </w:r>
      <w:r w:rsidR="00660E8D">
        <w:t xml:space="preserve">does </w:t>
      </w:r>
      <w:r w:rsidR="00257489">
        <w:t xml:space="preserve">pass this test.  </w:t>
      </w:r>
      <w:r>
        <w:t xml:space="preserve">AI section 12 </w:t>
      </w:r>
      <w:r w:rsidR="00257489">
        <w:t xml:space="preserve">has a limited scope, applying only to persons who </w:t>
      </w:r>
      <w:r>
        <w:t xml:space="preserve">are in </w:t>
      </w:r>
      <w:r w:rsidR="00257489">
        <w:t>a press or public gallery</w:t>
      </w:r>
      <w:r>
        <w:t xml:space="preserve">.  It targets intrusive behaviour </w:t>
      </w:r>
      <w:r w:rsidR="00A7108C">
        <w:t xml:space="preserve">to protect good order </w:t>
      </w:r>
      <w:r>
        <w:t xml:space="preserve">during a </w:t>
      </w:r>
      <w:proofErr w:type="spellStart"/>
      <w:r>
        <w:t>LegCo</w:t>
      </w:r>
      <w:proofErr w:type="spellEnd"/>
      <w:r>
        <w:t xml:space="preserve"> meeting</w:t>
      </w:r>
      <w:r w:rsidR="00257489">
        <w:t xml:space="preserve">.  The appellant was not prohibited from exercising her freedom of expression in opposition to the </w:t>
      </w:r>
      <w:r w:rsidR="00A7108C">
        <w:t xml:space="preserve">proposed </w:t>
      </w:r>
      <w:r w:rsidR="00257489">
        <w:t xml:space="preserve">landfill extension in other venues, including in designated areas of the </w:t>
      </w:r>
      <w:proofErr w:type="spellStart"/>
      <w:r w:rsidR="00257489">
        <w:t>LegCo</w:t>
      </w:r>
      <w:proofErr w:type="spellEnd"/>
      <w:r w:rsidR="00257489">
        <w:t xml:space="preserve"> complex.  </w:t>
      </w:r>
      <w:r w:rsidR="00A7108C">
        <w:t xml:space="preserve">She </w:t>
      </w:r>
      <w:r w:rsidR="00257489">
        <w:t xml:space="preserve">was free to </w:t>
      </w:r>
      <w:r>
        <w:t xml:space="preserve">canvass support from fellow residents and to </w:t>
      </w:r>
      <w:r w:rsidR="00257489">
        <w:t xml:space="preserve">lobby </w:t>
      </w:r>
      <w:r>
        <w:t xml:space="preserve">elected </w:t>
      </w:r>
      <w:r w:rsidR="00257489">
        <w:t>legislative councill</w:t>
      </w:r>
      <w:r w:rsidR="006C1F04">
        <w:t>ors who were members of the sub</w:t>
      </w:r>
      <w:r w:rsidR="00257489">
        <w:t>committee</w:t>
      </w:r>
      <w:r>
        <w:t xml:space="preserve"> concerned.  </w:t>
      </w:r>
      <w:r w:rsidR="00A7108C">
        <w:t xml:space="preserve">She was </w:t>
      </w:r>
      <w:r>
        <w:t xml:space="preserve">free to campaign for public support using social media and other forms of public communication.  What </w:t>
      </w:r>
      <w:r w:rsidR="00A7108C">
        <w:t xml:space="preserve">she was prohibited from doing was </w:t>
      </w:r>
      <w:r w:rsidR="00684629">
        <w:t xml:space="preserve">confined to her </w:t>
      </w:r>
      <w:r w:rsidR="00A7108C">
        <w:t xml:space="preserve">mounting a </w:t>
      </w:r>
      <w:r w:rsidR="00FD1862">
        <w:t xml:space="preserve">disruptive </w:t>
      </w:r>
      <w:r w:rsidR="00A7108C">
        <w:t xml:space="preserve">demonstration in the public gallery </w:t>
      </w:r>
      <w:r w:rsidR="00FD1862">
        <w:t xml:space="preserve">during the subcommittee’s </w:t>
      </w:r>
      <w:r w:rsidR="00A7108C">
        <w:t>sessions.</w:t>
      </w:r>
    </w:p>
    <w:p w:rsidR="00FB2C54" w:rsidRDefault="00684629" w:rsidP="00E446B4">
      <w:pPr>
        <w:pStyle w:val="Bob1"/>
        <w:tabs>
          <w:tab w:val="clear" w:pos="720"/>
          <w:tab w:val="left" w:pos="1440"/>
        </w:tabs>
        <w:ind w:left="0" w:firstLine="0"/>
        <w:jc w:val="both"/>
      </w:pPr>
      <w:r>
        <w:t>A</w:t>
      </w:r>
      <w:r w:rsidR="005A764C" w:rsidRPr="005A764C">
        <w:t xml:space="preserve"> reasonable balance has </w:t>
      </w:r>
      <w:r>
        <w:t xml:space="preserve">plainly </w:t>
      </w:r>
      <w:r w:rsidR="005A764C" w:rsidRPr="005A764C">
        <w:t xml:space="preserve">been struck between the benefit </w:t>
      </w:r>
      <w:r w:rsidR="00A7108C">
        <w:t xml:space="preserve">to society </w:t>
      </w:r>
      <w:r w:rsidR="005A764C" w:rsidRPr="005A764C">
        <w:t xml:space="preserve">of </w:t>
      </w:r>
      <w:r w:rsidR="00A7108C">
        <w:t xml:space="preserve">enabling </w:t>
      </w:r>
      <w:proofErr w:type="spellStart"/>
      <w:r w:rsidR="00A7108C">
        <w:t>LegCo</w:t>
      </w:r>
      <w:proofErr w:type="spellEnd"/>
      <w:r w:rsidR="00A7108C">
        <w:t xml:space="preserve"> </w:t>
      </w:r>
      <w:r>
        <w:t xml:space="preserve">properly </w:t>
      </w:r>
      <w:r w:rsidR="00A7108C">
        <w:t>to carry out its constitutional function</w:t>
      </w:r>
      <w:r>
        <w:t>s</w:t>
      </w:r>
      <w:r w:rsidR="00A7108C">
        <w:t xml:space="preserve"> </w:t>
      </w:r>
      <w:r w:rsidR="005A764C" w:rsidRPr="005A764C">
        <w:t xml:space="preserve">on the one hand and the </w:t>
      </w:r>
      <w:r w:rsidR="00A7108C">
        <w:t xml:space="preserve">limited restriction on </w:t>
      </w:r>
      <w:r w:rsidR="005A764C" w:rsidRPr="005A764C">
        <w:t xml:space="preserve">the guaranteed right </w:t>
      </w:r>
      <w:r w:rsidR="00A7108C">
        <w:t xml:space="preserve">of freedom of expression </w:t>
      </w:r>
      <w:r w:rsidR="005A764C" w:rsidRPr="005A764C">
        <w:t>on the other.</w:t>
      </w:r>
      <w:r w:rsidR="00A7108C">
        <w:t xml:space="preserve">  AI section 12 </w:t>
      </w:r>
      <w:r>
        <w:t xml:space="preserve">in my view </w:t>
      </w:r>
      <w:r w:rsidR="00660E8D">
        <w:t xml:space="preserve">is </w:t>
      </w:r>
      <w:r>
        <w:t xml:space="preserve">clearly </w:t>
      </w:r>
      <w:r w:rsidR="00A7108C">
        <w:t>a proportionate and valid restriction on the right.</w:t>
      </w:r>
    </w:p>
    <w:p w:rsidR="00A37395" w:rsidRDefault="00A37395" w:rsidP="00142DC4">
      <w:pPr>
        <w:pStyle w:val="docmapheading"/>
        <w:numPr>
          <w:ilvl w:val="0"/>
          <w:numId w:val="16"/>
        </w:numPr>
        <w:ind w:left="720"/>
      </w:pPr>
      <w:r>
        <w:t xml:space="preserve">Conclusion </w:t>
      </w:r>
    </w:p>
    <w:p w:rsidR="00A37395" w:rsidRDefault="00A37395" w:rsidP="00E446B4">
      <w:pPr>
        <w:pStyle w:val="Bob1"/>
        <w:tabs>
          <w:tab w:val="clear" w:pos="720"/>
          <w:tab w:val="left" w:pos="1440"/>
          <w:tab w:val="left" w:pos="1530"/>
        </w:tabs>
        <w:ind w:left="0" w:firstLine="0"/>
        <w:jc w:val="both"/>
      </w:pPr>
      <w:r>
        <w:t xml:space="preserve">Although the respondent’s arguments that the appeal should fail </w:t>
      </w:r>
      <w:r w:rsidRPr="00A37395">
        <w:rPr>
          <w:i/>
        </w:rPr>
        <w:t xml:space="preserve">in </w:t>
      </w:r>
      <w:proofErr w:type="spellStart"/>
      <w:r w:rsidRPr="00A37395">
        <w:rPr>
          <w:i/>
        </w:rPr>
        <w:t>limine</w:t>
      </w:r>
      <w:proofErr w:type="spellEnd"/>
      <w:r>
        <w:t xml:space="preserve"> have not been successful, the appellant’s arguments challenging the legal certainty of AI section 11 and the proportionality of AI section 12 must be rejected.  I would accordingly dismiss this appeal.  </w:t>
      </w:r>
    </w:p>
    <w:p w:rsidR="00E446B4" w:rsidRPr="00E446B4" w:rsidRDefault="00E446B4" w:rsidP="00E446B4">
      <w:pPr>
        <w:pStyle w:val="Bob1"/>
        <w:numPr>
          <w:ilvl w:val="0"/>
          <w:numId w:val="0"/>
        </w:numPr>
        <w:ind w:left="720" w:hanging="720"/>
        <w:rPr>
          <w:b/>
        </w:rPr>
      </w:pPr>
      <w:r w:rsidRPr="00E446B4">
        <w:rPr>
          <w:b/>
        </w:rPr>
        <w:lastRenderedPageBreak/>
        <w:t>Mr Justice Fok PJ:</w:t>
      </w:r>
    </w:p>
    <w:p w:rsidR="003A1139" w:rsidRDefault="003A1139" w:rsidP="003A1139">
      <w:pPr>
        <w:pStyle w:val="Bob1"/>
        <w:numPr>
          <w:ilvl w:val="0"/>
          <w:numId w:val="1"/>
        </w:numPr>
        <w:tabs>
          <w:tab w:val="clear" w:pos="720"/>
          <w:tab w:val="left" w:pos="1440"/>
        </w:tabs>
        <w:ind w:left="0" w:firstLine="0"/>
      </w:pPr>
      <w:r>
        <w:t>I agree with the judgment of Mr Justice Ribeiro PJ.</w:t>
      </w:r>
    </w:p>
    <w:p w:rsidR="00E446B4" w:rsidRPr="00E446B4" w:rsidRDefault="00E446B4" w:rsidP="00E0482B">
      <w:pPr>
        <w:pStyle w:val="Bob1"/>
        <w:numPr>
          <w:ilvl w:val="0"/>
          <w:numId w:val="0"/>
        </w:numPr>
        <w:rPr>
          <w:b/>
        </w:rPr>
      </w:pPr>
      <w:r w:rsidRPr="00E446B4">
        <w:rPr>
          <w:b/>
        </w:rPr>
        <w:t>Mr Justice Chan NPJ:</w:t>
      </w:r>
    </w:p>
    <w:p w:rsidR="003A1139" w:rsidRDefault="003A1139" w:rsidP="003A1139">
      <w:pPr>
        <w:pStyle w:val="Bob1"/>
        <w:numPr>
          <w:ilvl w:val="0"/>
          <w:numId w:val="1"/>
        </w:numPr>
        <w:tabs>
          <w:tab w:val="clear" w:pos="720"/>
          <w:tab w:val="left" w:pos="1440"/>
        </w:tabs>
        <w:ind w:left="0" w:firstLine="0"/>
      </w:pPr>
      <w:r>
        <w:t>I agree with the judgment of Mr Justice Ribeiro PJ.</w:t>
      </w:r>
    </w:p>
    <w:p w:rsidR="00D866C4" w:rsidRPr="00D866C4" w:rsidRDefault="00E446B4" w:rsidP="00D866C4">
      <w:pPr>
        <w:pStyle w:val="Bob1"/>
        <w:numPr>
          <w:ilvl w:val="0"/>
          <w:numId w:val="0"/>
        </w:numPr>
        <w:tabs>
          <w:tab w:val="left" w:pos="1440"/>
        </w:tabs>
      </w:pPr>
      <w:r w:rsidRPr="00E446B4">
        <w:rPr>
          <w:b/>
        </w:rPr>
        <w:t xml:space="preserve">Lord Neuberger </w:t>
      </w:r>
      <w:r w:rsidR="00D866C4">
        <w:rPr>
          <w:b/>
        </w:rPr>
        <w:t>NPJ:</w:t>
      </w:r>
    </w:p>
    <w:p w:rsidR="00D866C4" w:rsidRDefault="00D866C4" w:rsidP="00D866C4">
      <w:pPr>
        <w:pStyle w:val="Bob1"/>
        <w:numPr>
          <w:ilvl w:val="0"/>
          <w:numId w:val="1"/>
        </w:numPr>
        <w:tabs>
          <w:tab w:val="clear" w:pos="720"/>
          <w:tab w:val="left" w:pos="1440"/>
        </w:tabs>
        <w:ind w:left="0" w:firstLine="0"/>
      </w:pPr>
      <w:r>
        <w:t>I agree with the judgment of Mr Justice Ribeiro PJ.</w:t>
      </w:r>
    </w:p>
    <w:p w:rsidR="00E446B4" w:rsidRDefault="00E446B4" w:rsidP="00E446B4">
      <w:pPr>
        <w:pStyle w:val="Bob1"/>
        <w:numPr>
          <w:ilvl w:val="0"/>
          <w:numId w:val="0"/>
        </w:numPr>
        <w:ind w:hanging="11"/>
        <w:rPr>
          <w:b/>
        </w:rPr>
      </w:pPr>
      <w:r>
        <w:rPr>
          <w:b/>
        </w:rPr>
        <w:t>Chief Justice Ma:</w:t>
      </w:r>
    </w:p>
    <w:p w:rsidR="00D866C4" w:rsidRPr="00E0482B" w:rsidRDefault="00D866C4" w:rsidP="00D866C4">
      <w:pPr>
        <w:pStyle w:val="Bob1"/>
        <w:tabs>
          <w:tab w:val="clear" w:pos="720"/>
          <w:tab w:val="left" w:pos="1440"/>
        </w:tabs>
        <w:ind w:left="0" w:firstLine="0"/>
        <w:rPr>
          <w:b/>
        </w:rPr>
      </w:pPr>
      <w:r>
        <w:rPr>
          <w:rFonts w:hint="eastAsia"/>
        </w:rPr>
        <w:t>The Court unanimously dismisses the appeal.</w:t>
      </w:r>
    </w:p>
    <w:p w:rsidR="00E446B4" w:rsidRDefault="00E446B4" w:rsidP="00E0482B">
      <w:pPr>
        <w:pStyle w:val="Bob1"/>
        <w:numPr>
          <w:ilvl w:val="0"/>
          <w:numId w:val="0"/>
        </w:numPr>
      </w:pPr>
    </w:p>
    <w:p w:rsidR="00E446B4" w:rsidRDefault="00E446B4" w:rsidP="00E0482B">
      <w:pPr>
        <w:pStyle w:val="Bob1"/>
        <w:numPr>
          <w:ilvl w:val="0"/>
          <w:numId w:val="0"/>
        </w:numPr>
      </w:pPr>
    </w:p>
    <w:tbl>
      <w:tblPr>
        <w:tblW w:w="0" w:type="auto"/>
        <w:jc w:val="center"/>
        <w:tblLook w:val="0000" w:firstRow="0" w:lastRow="0" w:firstColumn="0" w:lastColumn="0" w:noHBand="0" w:noVBand="0"/>
      </w:tblPr>
      <w:tblGrid>
        <w:gridCol w:w="2952"/>
        <w:gridCol w:w="2952"/>
        <w:gridCol w:w="2952"/>
      </w:tblGrid>
      <w:tr w:rsidR="00E0482B" w:rsidRPr="00013FD3" w:rsidTr="006F2448">
        <w:trPr>
          <w:jc w:val="center"/>
        </w:trPr>
        <w:tc>
          <w:tcPr>
            <w:tcW w:w="2952" w:type="dxa"/>
          </w:tcPr>
          <w:p w:rsidR="00E0482B" w:rsidRPr="00013FD3" w:rsidRDefault="00E0482B" w:rsidP="006F2448">
            <w:pPr>
              <w:tabs>
                <w:tab w:val="left" w:pos="6660"/>
              </w:tabs>
              <w:spacing w:after="0"/>
              <w:jc w:val="center"/>
              <w:rPr>
                <w:szCs w:val="28"/>
              </w:rPr>
            </w:pPr>
            <w:r w:rsidRPr="00013FD3">
              <w:rPr>
                <w:rFonts w:hint="eastAsia"/>
                <w:szCs w:val="28"/>
              </w:rPr>
              <w:t>(Geoffrey Ma)</w:t>
            </w:r>
          </w:p>
          <w:p w:rsidR="00E0482B" w:rsidRPr="00013FD3" w:rsidRDefault="00E0482B" w:rsidP="006F2448">
            <w:pPr>
              <w:tabs>
                <w:tab w:val="left" w:pos="6660"/>
              </w:tabs>
              <w:spacing w:after="0"/>
              <w:jc w:val="center"/>
              <w:rPr>
                <w:szCs w:val="28"/>
              </w:rPr>
            </w:pPr>
            <w:r w:rsidRPr="00013FD3">
              <w:rPr>
                <w:rFonts w:hint="eastAsia"/>
                <w:szCs w:val="28"/>
              </w:rPr>
              <w:t>Chief Justice</w:t>
            </w:r>
          </w:p>
        </w:tc>
        <w:tc>
          <w:tcPr>
            <w:tcW w:w="2952" w:type="dxa"/>
          </w:tcPr>
          <w:p w:rsidR="00E0482B" w:rsidRPr="00013FD3" w:rsidRDefault="00E0482B" w:rsidP="006F2448">
            <w:pPr>
              <w:tabs>
                <w:tab w:val="left" w:pos="6660"/>
              </w:tabs>
              <w:spacing w:after="0"/>
              <w:jc w:val="center"/>
              <w:rPr>
                <w:szCs w:val="28"/>
              </w:rPr>
            </w:pPr>
            <w:r w:rsidRPr="00013FD3">
              <w:rPr>
                <w:rFonts w:hint="eastAsia"/>
                <w:szCs w:val="28"/>
              </w:rPr>
              <w:t>(R A V Ribeiro)</w:t>
            </w:r>
          </w:p>
          <w:p w:rsidR="00E0482B" w:rsidRPr="00013FD3" w:rsidRDefault="00E0482B" w:rsidP="006F2448">
            <w:pPr>
              <w:tabs>
                <w:tab w:val="left" w:pos="6660"/>
              </w:tabs>
              <w:spacing w:after="0"/>
              <w:jc w:val="center"/>
              <w:rPr>
                <w:szCs w:val="28"/>
              </w:rPr>
            </w:pPr>
            <w:r w:rsidRPr="00013FD3">
              <w:rPr>
                <w:rFonts w:hint="eastAsia"/>
                <w:szCs w:val="28"/>
              </w:rPr>
              <w:t>Permanent Judge</w:t>
            </w:r>
          </w:p>
        </w:tc>
        <w:tc>
          <w:tcPr>
            <w:tcW w:w="2952" w:type="dxa"/>
          </w:tcPr>
          <w:p w:rsidR="00E0482B" w:rsidRPr="00013FD3" w:rsidRDefault="00E0482B" w:rsidP="006F2448">
            <w:pPr>
              <w:spacing w:after="0"/>
              <w:jc w:val="center"/>
              <w:rPr>
                <w:szCs w:val="28"/>
              </w:rPr>
            </w:pPr>
            <w:r w:rsidRPr="00013FD3">
              <w:rPr>
                <w:rFonts w:hint="eastAsia"/>
                <w:szCs w:val="28"/>
              </w:rPr>
              <w:t>(</w:t>
            </w:r>
            <w:r>
              <w:rPr>
                <w:szCs w:val="28"/>
              </w:rPr>
              <w:t>J</w:t>
            </w:r>
            <w:r w:rsidRPr="00013FD3">
              <w:rPr>
                <w:rFonts w:hint="eastAsia"/>
                <w:szCs w:val="28"/>
              </w:rPr>
              <w:t>oseph Fok)</w:t>
            </w:r>
          </w:p>
          <w:p w:rsidR="00E0482B" w:rsidRPr="00013FD3" w:rsidRDefault="00E0482B" w:rsidP="006F2448">
            <w:pPr>
              <w:tabs>
                <w:tab w:val="left" w:pos="6660"/>
              </w:tabs>
              <w:spacing w:after="0"/>
              <w:jc w:val="center"/>
              <w:rPr>
                <w:szCs w:val="28"/>
              </w:rPr>
            </w:pPr>
            <w:r w:rsidRPr="00013FD3">
              <w:rPr>
                <w:rFonts w:hint="eastAsia"/>
                <w:szCs w:val="28"/>
              </w:rPr>
              <w:t>Permanent Judge</w:t>
            </w:r>
          </w:p>
        </w:tc>
      </w:tr>
    </w:tbl>
    <w:p w:rsidR="00E0482B" w:rsidRPr="00013FD3" w:rsidRDefault="00E0482B" w:rsidP="00E0482B">
      <w:pPr>
        <w:spacing w:after="0"/>
        <w:rPr>
          <w:szCs w:val="28"/>
        </w:rPr>
      </w:pPr>
    </w:p>
    <w:p w:rsidR="00E0482B" w:rsidRPr="00013FD3" w:rsidRDefault="00E0482B" w:rsidP="00E0482B">
      <w:pPr>
        <w:spacing w:after="0"/>
        <w:rPr>
          <w:szCs w:val="28"/>
        </w:rPr>
      </w:pPr>
    </w:p>
    <w:p w:rsidR="00E0482B" w:rsidRPr="00013FD3" w:rsidRDefault="00E0482B" w:rsidP="00E0482B">
      <w:pPr>
        <w:spacing w:after="0"/>
        <w:rPr>
          <w:szCs w:val="28"/>
        </w:rPr>
      </w:pPr>
    </w:p>
    <w:p w:rsidR="00E0482B" w:rsidRPr="00013FD3" w:rsidRDefault="00E0482B" w:rsidP="00E0482B">
      <w:pPr>
        <w:spacing w:after="0"/>
        <w:rPr>
          <w:szCs w:val="28"/>
        </w:rPr>
      </w:pPr>
    </w:p>
    <w:tbl>
      <w:tblPr>
        <w:tblW w:w="0" w:type="auto"/>
        <w:tblLook w:val="0000" w:firstRow="0" w:lastRow="0" w:firstColumn="0" w:lastColumn="0" w:noHBand="0" w:noVBand="0"/>
      </w:tblPr>
      <w:tblGrid>
        <w:gridCol w:w="4428"/>
        <w:gridCol w:w="4428"/>
      </w:tblGrid>
      <w:tr w:rsidR="00E0482B" w:rsidRPr="00013FD3" w:rsidTr="006F2448">
        <w:tc>
          <w:tcPr>
            <w:tcW w:w="4428" w:type="dxa"/>
          </w:tcPr>
          <w:p w:rsidR="00E0482B" w:rsidRPr="00013FD3" w:rsidRDefault="00E0482B" w:rsidP="006F2448">
            <w:pPr>
              <w:spacing w:after="0"/>
              <w:jc w:val="center"/>
              <w:rPr>
                <w:szCs w:val="28"/>
              </w:rPr>
            </w:pPr>
            <w:r>
              <w:rPr>
                <w:rFonts w:hint="eastAsia"/>
                <w:szCs w:val="28"/>
              </w:rPr>
              <w:t>(Patrick Chan</w:t>
            </w:r>
            <w:r w:rsidRPr="00013FD3">
              <w:rPr>
                <w:rFonts w:hint="eastAsia"/>
                <w:szCs w:val="28"/>
              </w:rPr>
              <w:t>)</w:t>
            </w:r>
          </w:p>
          <w:p w:rsidR="00E0482B" w:rsidRPr="00013FD3" w:rsidRDefault="00E0482B" w:rsidP="006F2448">
            <w:pPr>
              <w:spacing w:after="0"/>
              <w:jc w:val="center"/>
              <w:rPr>
                <w:szCs w:val="28"/>
              </w:rPr>
            </w:pPr>
            <w:r>
              <w:rPr>
                <w:szCs w:val="28"/>
              </w:rPr>
              <w:t>Non-</w:t>
            </w:r>
            <w:r w:rsidRPr="00013FD3">
              <w:rPr>
                <w:rFonts w:hint="eastAsia"/>
                <w:szCs w:val="28"/>
              </w:rPr>
              <w:t>Permanent Judge</w:t>
            </w:r>
          </w:p>
        </w:tc>
        <w:tc>
          <w:tcPr>
            <w:tcW w:w="4428" w:type="dxa"/>
          </w:tcPr>
          <w:p w:rsidR="00E0482B" w:rsidRPr="00F10E0B" w:rsidRDefault="00E0482B" w:rsidP="006F2448">
            <w:pPr>
              <w:spacing w:after="0"/>
              <w:jc w:val="center"/>
              <w:rPr>
                <w:szCs w:val="28"/>
              </w:rPr>
            </w:pPr>
            <w:r w:rsidRPr="00F10E0B">
              <w:rPr>
                <w:rFonts w:hint="eastAsia"/>
                <w:szCs w:val="28"/>
              </w:rPr>
              <w:t>(</w:t>
            </w:r>
            <w:r w:rsidRPr="00F10E0B">
              <w:rPr>
                <w:szCs w:val="28"/>
              </w:rPr>
              <w:t xml:space="preserve">Lord </w:t>
            </w:r>
            <w:r>
              <w:rPr>
                <w:rFonts w:eastAsia="宋体" w:hint="eastAsia"/>
                <w:szCs w:val="28"/>
              </w:rPr>
              <w:t>Neuberger</w:t>
            </w:r>
            <w:r w:rsidR="00DF7951" w:rsidRPr="00E0482B">
              <w:rPr>
                <w:color w:val="000000" w:themeColor="text1"/>
              </w:rPr>
              <w:t xml:space="preserve"> of Abbotsbury</w:t>
            </w:r>
            <w:r w:rsidRPr="00F10E0B">
              <w:rPr>
                <w:rFonts w:hint="eastAsia"/>
                <w:szCs w:val="28"/>
              </w:rPr>
              <w:t>)</w:t>
            </w:r>
          </w:p>
          <w:p w:rsidR="00E0482B" w:rsidRPr="00013FD3" w:rsidRDefault="00E0482B" w:rsidP="006F2448">
            <w:pPr>
              <w:spacing w:after="0"/>
              <w:jc w:val="center"/>
              <w:rPr>
                <w:szCs w:val="28"/>
              </w:rPr>
            </w:pPr>
            <w:r w:rsidRPr="00F10E0B">
              <w:rPr>
                <w:rFonts w:hint="eastAsia"/>
                <w:szCs w:val="28"/>
              </w:rPr>
              <w:t>Non-Permanent Judge</w:t>
            </w:r>
          </w:p>
        </w:tc>
      </w:tr>
    </w:tbl>
    <w:p w:rsidR="00E0482B" w:rsidRDefault="00E0482B" w:rsidP="00E0482B">
      <w:pPr>
        <w:pStyle w:val="Bob1"/>
        <w:numPr>
          <w:ilvl w:val="0"/>
          <w:numId w:val="0"/>
        </w:numPr>
        <w:ind w:left="720"/>
      </w:pPr>
    </w:p>
    <w:p w:rsidR="00E0482B" w:rsidRPr="00DB40DC" w:rsidRDefault="00E0482B" w:rsidP="00E446B4">
      <w:pPr>
        <w:tabs>
          <w:tab w:val="left" w:pos="3240"/>
        </w:tabs>
        <w:spacing w:after="0" w:line="240" w:lineRule="auto"/>
        <w:jc w:val="both"/>
      </w:pPr>
      <w:r w:rsidRPr="0075449C">
        <w:t xml:space="preserve">Mr </w:t>
      </w:r>
      <w:proofErr w:type="spellStart"/>
      <w:r w:rsidRPr="0075449C">
        <w:t>Hectar</w:t>
      </w:r>
      <w:proofErr w:type="spellEnd"/>
      <w:r w:rsidRPr="0075449C">
        <w:t xml:space="preserve"> </w:t>
      </w:r>
      <w:r w:rsidRPr="00AC5268">
        <w:t>Pun</w:t>
      </w:r>
      <w:r w:rsidRPr="0075449C">
        <w:t>, SC,</w:t>
      </w:r>
      <w:r>
        <w:t xml:space="preserve"> </w:t>
      </w:r>
      <w:r w:rsidRPr="0075449C">
        <w:t>Mr Harrison Cheung, and</w:t>
      </w:r>
      <w:r>
        <w:t xml:space="preserve"> </w:t>
      </w:r>
      <w:r w:rsidRPr="0075449C">
        <w:t xml:space="preserve">Mr Anson Wong Yu </w:t>
      </w:r>
      <w:proofErr w:type="spellStart"/>
      <w:r w:rsidRPr="0075449C">
        <w:t>Yat</w:t>
      </w:r>
      <w:proofErr w:type="spellEnd"/>
      <w:r w:rsidRPr="00DB40DC">
        <w:t>, instructed b</w:t>
      </w:r>
      <w:r w:rsidRPr="00DB40DC">
        <w:rPr>
          <w:rFonts w:hint="eastAsia"/>
        </w:rPr>
        <w:t xml:space="preserve">y </w:t>
      </w:r>
      <w:r w:rsidRPr="009C7E13">
        <w:rPr>
          <w:szCs w:val="28"/>
        </w:rPr>
        <w:t>Y</w:t>
      </w:r>
      <w:r>
        <w:rPr>
          <w:szCs w:val="28"/>
        </w:rPr>
        <w:t xml:space="preserve">. </w:t>
      </w:r>
      <w:r w:rsidRPr="009C7E13">
        <w:rPr>
          <w:szCs w:val="28"/>
        </w:rPr>
        <w:t>S</w:t>
      </w:r>
      <w:r>
        <w:rPr>
          <w:szCs w:val="28"/>
        </w:rPr>
        <w:t>.</w:t>
      </w:r>
      <w:r w:rsidRPr="009C7E13">
        <w:rPr>
          <w:szCs w:val="28"/>
        </w:rPr>
        <w:t xml:space="preserve"> Lau &amp; Partners</w:t>
      </w:r>
      <w:r w:rsidRPr="00DB40DC">
        <w:t xml:space="preserve">, assigned by </w:t>
      </w:r>
      <w:r w:rsidRPr="00DB40DC">
        <w:rPr>
          <w:rFonts w:hint="eastAsia"/>
        </w:rPr>
        <w:t xml:space="preserve">the </w:t>
      </w:r>
      <w:r w:rsidRPr="00DB40DC">
        <w:rPr>
          <w:rFonts w:eastAsia="Times New Roman"/>
          <w:bCs/>
          <w:szCs w:val="28"/>
        </w:rPr>
        <w:t>Director</w:t>
      </w:r>
      <w:r w:rsidRPr="00DB40DC">
        <w:rPr>
          <w:rFonts w:eastAsia="Times New Roman"/>
          <w:szCs w:val="28"/>
        </w:rPr>
        <w:t xml:space="preserve"> of Legal Aid</w:t>
      </w:r>
      <w:r w:rsidRPr="00DB40DC">
        <w:t>, for the Appellant</w:t>
      </w:r>
    </w:p>
    <w:p w:rsidR="00E0482B" w:rsidRPr="00DB40DC" w:rsidRDefault="00E0482B" w:rsidP="00E446B4">
      <w:pPr>
        <w:pStyle w:val="BodyTextIndent2"/>
        <w:spacing w:after="0" w:line="240" w:lineRule="auto"/>
        <w:ind w:left="0"/>
        <w:jc w:val="both"/>
        <w:rPr>
          <w:szCs w:val="28"/>
        </w:rPr>
      </w:pPr>
    </w:p>
    <w:p w:rsidR="00E0482B" w:rsidRPr="00DB40DC" w:rsidRDefault="00E0482B" w:rsidP="00E446B4">
      <w:pPr>
        <w:spacing w:after="0" w:line="240" w:lineRule="auto"/>
        <w:jc w:val="both"/>
        <w:rPr>
          <w:szCs w:val="28"/>
        </w:rPr>
      </w:pPr>
      <w:r w:rsidRPr="007248C7">
        <w:t>Ms Anna YK Lai, SC, DDPP and Mr Andrew Li, SPP</w:t>
      </w:r>
      <w:r>
        <w:t xml:space="preserve"> </w:t>
      </w:r>
      <w:r w:rsidRPr="00DB40DC">
        <w:rPr>
          <w:rFonts w:hint="eastAsia"/>
        </w:rPr>
        <w:t>of the Department of Justice,</w:t>
      </w:r>
      <w:r w:rsidRPr="00DB40DC">
        <w:t xml:space="preserve"> for the Respondent</w:t>
      </w:r>
    </w:p>
    <w:p w:rsidR="00E0482B" w:rsidRPr="005A764C" w:rsidRDefault="00E0482B" w:rsidP="00E446B4">
      <w:pPr>
        <w:pStyle w:val="Bob1"/>
        <w:numPr>
          <w:ilvl w:val="0"/>
          <w:numId w:val="0"/>
        </w:numPr>
      </w:pPr>
    </w:p>
    <w:sectPr w:rsidR="00E0482B" w:rsidRPr="005A764C"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6AF" w:rsidRDefault="00C646AF" w:rsidP="00CC0407">
      <w:pPr>
        <w:spacing w:after="0" w:line="240" w:lineRule="auto"/>
      </w:pPr>
      <w:r>
        <w:separator/>
      </w:r>
    </w:p>
  </w:endnote>
  <w:endnote w:type="continuationSeparator" w:id="0">
    <w:p w:rsidR="00C646AF" w:rsidRDefault="00C646AF"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6AF" w:rsidRDefault="00C646AF" w:rsidP="00CC0407">
      <w:pPr>
        <w:spacing w:after="0" w:line="240" w:lineRule="auto"/>
      </w:pPr>
      <w:r>
        <w:separator/>
      </w:r>
    </w:p>
  </w:footnote>
  <w:footnote w:type="continuationSeparator" w:id="0">
    <w:p w:rsidR="00C646AF" w:rsidRDefault="00C646AF" w:rsidP="00CC0407">
      <w:pPr>
        <w:spacing w:after="0" w:line="240" w:lineRule="auto"/>
      </w:pPr>
      <w:r>
        <w:continuationSeparator/>
      </w:r>
    </w:p>
  </w:footnote>
  <w:footnote w:id="1">
    <w:p w:rsidR="005726FC" w:rsidRDefault="005726FC" w:rsidP="00E0482B">
      <w:pPr>
        <w:pStyle w:val="FootnoteText"/>
        <w:tabs>
          <w:tab w:val="left" w:pos="360"/>
        </w:tabs>
        <w:ind w:left="360" w:hanging="360"/>
        <w:jc w:val="both"/>
      </w:pPr>
      <w:r>
        <w:rPr>
          <w:rStyle w:val="FootnoteReference"/>
        </w:rPr>
        <w:footnoteRef/>
      </w:r>
      <w:r>
        <w:t xml:space="preserve"> </w:t>
      </w:r>
      <w:r>
        <w:tab/>
        <w:t>Cheung Mei-hung and Fong Yu-</w:t>
      </w:r>
      <w:proofErr w:type="spellStart"/>
      <w:r>
        <w:t>ching</w:t>
      </w:r>
      <w:proofErr w:type="spellEnd"/>
      <w:r>
        <w:t>.  They were convicted as co-defendants at the trial but are not parties to this appeal.</w:t>
      </w:r>
    </w:p>
  </w:footnote>
  <w:footnote w:id="2">
    <w:p w:rsidR="005726FC" w:rsidRDefault="005726FC" w:rsidP="00E0482B">
      <w:pPr>
        <w:pStyle w:val="FootnoteText"/>
        <w:tabs>
          <w:tab w:val="left" w:pos="360"/>
        </w:tabs>
      </w:pPr>
      <w:r>
        <w:rPr>
          <w:rStyle w:val="FootnoteReference"/>
        </w:rPr>
        <w:footnoteRef/>
      </w:r>
      <w:r>
        <w:t xml:space="preserve"> </w:t>
      </w:r>
      <w:r>
        <w:tab/>
        <w:t>Although a live video feed was arranged for the public.</w:t>
      </w:r>
    </w:p>
  </w:footnote>
  <w:footnote w:id="3">
    <w:p w:rsidR="005726FC" w:rsidRDefault="005726FC" w:rsidP="00E0482B">
      <w:pPr>
        <w:pStyle w:val="FootnoteText"/>
        <w:tabs>
          <w:tab w:val="left" w:pos="360"/>
        </w:tabs>
      </w:pPr>
      <w:r>
        <w:rPr>
          <w:rStyle w:val="FootnoteReference"/>
        </w:rPr>
        <w:footnoteRef/>
      </w:r>
      <w:r>
        <w:t xml:space="preserve"> </w:t>
      </w:r>
      <w:r>
        <w:tab/>
      </w:r>
      <w:r w:rsidRPr="00167D31">
        <w:t>Cap 382</w:t>
      </w:r>
      <w:r>
        <w:t>.</w:t>
      </w:r>
    </w:p>
  </w:footnote>
  <w:footnote w:id="4">
    <w:p w:rsidR="005726FC" w:rsidRDefault="005726FC" w:rsidP="00E0482B">
      <w:pPr>
        <w:pStyle w:val="FootnoteText"/>
        <w:tabs>
          <w:tab w:val="left" w:pos="360"/>
        </w:tabs>
      </w:pPr>
      <w:r>
        <w:rPr>
          <w:rStyle w:val="FootnoteReference"/>
        </w:rPr>
        <w:footnoteRef/>
      </w:r>
      <w:r>
        <w:t xml:space="preserve"> </w:t>
      </w:r>
      <w:r>
        <w:tab/>
        <w:t>Cap 382A.</w:t>
      </w:r>
    </w:p>
  </w:footnote>
  <w:footnote w:id="5">
    <w:p w:rsidR="005726FC" w:rsidRDefault="005726FC" w:rsidP="00E446B4">
      <w:pPr>
        <w:pStyle w:val="FootnoteText"/>
        <w:tabs>
          <w:tab w:val="left" w:pos="360"/>
        </w:tabs>
        <w:ind w:left="360" w:hanging="360"/>
        <w:jc w:val="both"/>
      </w:pPr>
      <w:r>
        <w:rPr>
          <w:rStyle w:val="FootnoteReference"/>
        </w:rPr>
        <w:footnoteRef/>
      </w:r>
      <w:r>
        <w:t xml:space="preserve"> </w:t>
      </w:r>
      <w:r>
        <w:tab/>
        <w:t>Mr Chu Chung Keung, ESCC</w:t>
      </w:r>
      <w:r w:rsidR="00CF35AB">
        <w:t xml:space="preserve"> </w:t>
      </w:r>
      <w:r>
        <w:t>3792/2014 (7 October 2015).  The other defendants were also convicted.</w:t>
      </w:r>
    </w:p>
  </w:footnote>
  <w:footnote w:id="6">
    <w:p w:rsidR="005726FC" w:rsidRDefault="005726FC" w:rsidP="00E446B4">
      <w:pPr>
        <w:pStyle w:val="FootnoteText"/>
        <w:tabs>
          <w:tab w:val="left" w:pos="360"/>
        </w:tabs>
        <w:ind w:left="360" w:hanging="360"/>
        <w:jc w:val="both"/>
      </w:pPr>
      <w:r>
        <w:rPr>
          <w:rStyle w:val="FootnoteReference"/>
        </w:rPr>
        <w:footnoteRef/>
      </w:r>
      <w:r>
        <w:t xml:space="preserve"> </w:t>
      </w:r>
      <w:r>
        <w:tab/>
        <w:t>HCMA 666/2015 (19 May 2016).</w:t>
      </w:r>
      <w:r w:rsidR="00F06334">
        <w:t xml:space="preserve">  Wong J’s judgment was delivered in Chinese</w:t>
      </w:r>
      <w:r w:rsidR="006C1F04">
        <w:t xml:space="preserve"> </w:t>
      </w:r>
      <w:r w:rsidR="006C1F04">
        <w:rPr>
          <w:rFonts w:eastAsia="PMingLiU" w:cs="Times New Roman"/>
          <w:lang w:eastAsia="zh-HK"/>
        </w:rPr>
        <w:t>and references in this judgment are to the English translation</w:t>
      </w:r>
      <w:r w:rsidR="00F06334">
        <w:t>.</w:t>
      </w:r>
    </w:p>
  </w:footnote>
  <w:footnote w:id="7">
    <w:p w:rsidR="005726FC" w:rsidRDefault="005726FC" w:rsidP="00E0482B">
      <w:pPr>
        <w:pStyle w:val="FootnoteText"/>
        <w:tabs>
          <w:tab w:val="left" w:pos="360"/>
        </w:tabs>
        <w:ind w:left="360" w:hanging="360"/>
        <w:jc w:val="both"/>
      </w:pPr>
      <w:r>
        <w:rPr>
          <w:rStyle w:val="FootnoteReference"/>
        </w:rPr>
        <w:footnoteRef/>
      </w:r>
      <w:r>
        <w:t xml:space="preserve"> </w:t>
      </w:r>
      <w:r>
        <w:tab/>
        <w:t xml:space="preserve">Ribeiro, Tang and Fok PJJ, FAMC 29/2016 (8 February 2017).  Enactment of AI sections 11 and 12 was of course pursuant to LCPPO section 8(3) rather than section 20(b) but the error is of no consequence. </w:t>
      </w:r>
    </w:p>
  </w:footnote>
  <w:footnote w:id="8">
    <w:p w:rsidR="005726FC" w:rsidRDefault="005726FC" w:rsidP="00E0482B">
      <w:pPr>
        <w:pStyle w:val="FootnoteText"/>
        <w:tabs>
          <w:tab w:val="left" w:pos="360"/>
        </w:tabs>
        <w:ind w:left="360" w:hanging="360"/>
        <w:jc w:val="both"/>
      </w:pPr>
      <w:r>
        <w:rPr>
          <w:rStyle w:val="FootnoteReference"/>
        </w:rPr>
        <w:footnoteRef/>
      </w:r>
      <w:r>
        <w:t xml:space="preserve"> </w:t>
      </w:r>
      <w:r>
        <w:tab/>
        <w:t>In this judgment, Basic Law Articles are cited with the prefix “</w:t>
      </w:r>
      <w:r w:rsidRPr="00500CFA">
        <w:rPr>
          <w:u w:val="single"/>
        </w:rPr>
        <w:t>BL</w:t>
      </w:r>
      <w:r>
        <w:t>” followed by the number of the Article.</w:t>
      </w:r>
    </w:p>
  </w:footnote>
  <w:footnote w:id="9">
    <w:p w:rsidR="005726FC" w:rsidRDefault="005726FC" w:rsidP="00E0482B">
      <w:pPr>
        <w:pStyle w:val="FootnoteText"/>
        <w:tabs>
          <w:tab w:val="left" w:pos="360"/>
        </w:tabs>
        <w:ind w:left="360" w:hanging="360"/>
        <w:jc w:val="both"/>
      </w:pPr>
      <w:r>
        <w:rPr>
          <w:rStyle w:val="FootnoteReference"/>
        </w:rPr>
        <w:footnoteRef/>
      </w:r>
      <w:r>
        <w:t xml:space="preserve"> </w:t>
      </w:r>
      <w:r>
        <w:tab/>
        <w:t xml:space="preserve">See </w:t>
      </w:r>
      <w:proofErr w:type="spellStart"/>
      <w:r>
        <w:t>eg</w:t>
      </w:r>
      <w:proofErr w:type="spellEnd"/>
      <w:r>
        <w:t xml:space="preserve">, </w:t>
      </w:r>
      <w:r>
        <w:rPr>
          <w:rFonts w:eastAsia="宋体"/>
          <w:i/>
        </w:rPr>
        <w:t xml:space="preserve">Shum Kwok Sher v HKSAR </w:t>
      </w:r>
      <w:r>
        <w:rPr>
          <w:rFonts w:eastAsia="宋体"/>
        </w:rPr>
        <w:t xml:space="preserve">(2002) 5 HKCFAR 381 at §53; and </w:t>
      </w:r>
      <w:r>
        <w:rPr>
          <w:rFonts w:eastAsia="宋体"/>
          <w:i/>
        </w:rPr>
        <w:t xml:space="preserve">Leung Kwok Hung v HKSAR </w:t>
      </w:r>
      <w:r>
        <w:rPr>
          <w:rFonts w:eastAsia="宋体"/>
        </w:rPr>
        <w:t>(2005) 8 HKCFAR 229 at §19.</w:t>
      </w:r>
    </w:p>
  </w:footnote>
  <w:footnote w:id="10">
    <w:p w:rsidR="00FF574A" w:rsidRPr="00500CFA" w:rsidRDefault="00FF574A" w:rsidP="00E0482B">
      <w:pPr>
        <w:pStyle w:val="FootnoteText"/>
        <w:tabs>
          <w:tab w:val="left" w:pos="360"/>
        </w:tabs>
        <w:ind w:left="360" w:hanging="360"/>
        <w:jc w:val="both"/>
      </w:pPr>
      <w:r>
        <w:rPr>
          <w:rStyle w:val="FootnoteReference"/>
        </w:rPr>
        <w:footnoteRef/>
      </w:r>
      <w:r>
        <w:t xml:space="preserve"> </w:t>
      </w:r>
      <w:r>
        <w:tab/>
        <w:t>Cap 383.  Articles of the Bill of Rights are cited with the prefix “</w:t>
      </w:r>
      <w:r w:rsidRPr="00500CFA">
        <w:rPr>
          <w:u w:val="single"/>
        </w:rPr>
        <w:t>BOR</w:t>
      </w:r>
      <w:r>
        <w:t>” followed by the number of the Article.</w:t>
      </w:r>
    </w:p>
  </w:footnote>
  <w:footnote w:id="11">
    <w:p w:rsidR="005726FC" w:rsidRDefault="005726FC" w:rsidP="00E0482B">
      <w:pPr>
        <w:pStyle w:val="FootnoteText"/>
        <w:tabs>
          <w:tab w:val="left" w:pos="360"/>
        </w:tabs>
        <w:ind w:left="360" w:hanging="360"/>
        <w:jc w:val="both"/>
      </w:pPr>
      <w:r>
        <w:rPr>
          <w:rStyle w:val="FootnoteReference"/>
        </w:rPr>
        <w:footnoteRef/>
      </w:r>
      <w:r>
        <w:t xml:space="preserve"> </w:t>
      </w:r>
      <w:r>
        <w:tab/>
      </w:r>
      <w:r>
        <w:rPr>
          <w:rFonts w:eastAsia="宋体"/>
          <w:i/>
        </w:rPr>
        <w:t xml:space="preserve">Leung Kwok Hung v HKSAR </w:t>
      </w:r>
      <w:r>
        <w:rPr>
          <w:rFonts w:eastAsia="宋体"/>
        </w:rPr>
        <w:t>(2005) 8 HKCFAR 229 at §20.</w:t>
      </w:r>
    </w:p>
  </w:footnote>
  <w:footnote w:id="12">
    <w:p w:rsidR="005726FC" w:rsidRDefault="005726FC" w:rsidP="00E0482B">
      <w:pPr>
        <w:pStyle w:val="FootnoteText"/>
        <w:tabs>
          <w:tab w:val="left" w:pos="360"/>
        </w:tabs>
        <w:ind w:left="360" w:hanging="360"/>
        <w:jc w:val="both"/>
      </w:pPr>
      <w:r>
        <w:rPr>
          <w:rStyle w:val="FootnoteReference"/>
        </w:rPr>
        <w:footnoteRef/>
      </w:r>
      <w:r>
        <w:t xml:space="preserve"> </w:t>
      </w:r>
      <w:r>
        <w:tab/>
        <w:t>BOR 17: “</w:t>
      </w:r>
      <w:r w:rsidRPr="00AF7F4E">
        <w:t>The right of peaceful assembly shall be recognized. No restrictions may be placed on the exercise of this right other than those imposed in conformity with the law and which are necessary in a democratic society in the interests of national security or public safety, public order (</w:t>
      </w:r>
      <w:proofErr w:type="spellStart"/>
      <w:r w:rsidRPr="00AF7F4E">
        <w:rPr>
          <w:i/>
        </w:rPr>
        <w:t>ordre</w:t>
      </w:r>
      <w:proofErr w:type="spellEnd"/>
      <w:r w:rsidRPr="00AF7F4E">
        <w:rPr>
          <w:i/>
        </w:rPr>
        <w:t xml:space="preserve"> public</w:t>
      </w:r>
      <w:r w:rsidRPr="00AF7F4E">
        <w:t>), the protection of public health or morals or the protection of the rights and freedoms of others.</w:t>
      </w:r>
      <w:r>
        <w:t>”</w:t>
      </w:r>
    </w:p>
  </w:footnote>
  <w:footnote w:id="13">
    <w:p w:rsidR="005726FC" w:rsidRDefault="005726FC" w:rsidP="00E0482B">
      <w:pPr>
        <w:pStyle w:val="FootnoteText"/>
        <w:tabs>
          <w:tab w:val="left" w:pos="360"/>
        </w:tabs>
        <w:ind w:left="360" w:hanging="360"/>
        <w:jc w:val="both"/>
      </w:pPr>
      <w:r>
        <w:rPr>
          <w:rStyle w:val="FootnoteReference"/>
        </w:rPr>
        <w:footnoteRef/>
      </w:r>
      <w:r>
        <w:t xml:space="preserve"> </w:t>
      </w:r>
      <w:r>
        <w:tab/>
      </w:r>
      <w:r>
        <w:rPr>
          <w:rFonts w:eastAsia="宋体"/>
          <w:i/>
        </w:rPr>
        <w:t xml:space="preserve">Leung Kwok Hung v HKSAR </w:t>
      </w:r>
      <w:r>
        <w:rPr>
          <w:rFonts w:eastAsia="宋体"/>
        </w:rPr>
        <w:t xml:space="preserve">(2005) 8 HKCFAR 229 at §12; and </w:t>
      </w:r>
      <w:r>
        <w:rPr>
          <w:rFonts w:eastAsia="宋体"/>
          <w:i/>
        </w:rPr>
        <w:t xml:space="preserve">HKSAR v Chow </w:t>
      </w:r>
      <w:proofErr w:type="spellStart"/>
      <w:r>
        <w:rPr>
          <w:rFonts w:eastAsia="宋体"/>
          <w:i/>
        </w:rPr>
        <w:t>Nok</w:t>
      </w:r>
      <w:proofErr w:type="spellEnd"/>
      <w:r>
        <w:rPr>
          <w:rFonts w:eastAsia="宋体"/>
          <w:i/>
        </w:rPr>
        <w:t xml:space="preserve"> Hang </w:t>
      </w:r>
      <w:r>
        <w:rPr>
          <w:rFonts w:eastAsia="宋体"/>
        </w:rPr>
        <w:t>(2013) 16 HKCFAR 837 at §31.</w:t>
      </w:r>
    </w:p>
  </w:footnote>
  <w:footnote w:id="14">
    <w:p w:rsidR="005726FC" w:rsidRDefault="005726FC" w:rsidP="00E0482B">
      <w:pPr>
        <w:pStyle w:val="FootnoteText"/>
        <w:tabs>
          <w:tab w:val="left" w:pos="360"/>
        </w:tabs>
        <w:ind w:left="360" w:hanging="360"/>
        <w:jc w:val="both"/>
      </w:pPr>
      <w:r>
        <w:rPr>
          <w:rStyle w:val="FootnoteReference"/>
        </w:rPr>
        <w:footnoteRef/>
      </w:r>
      <w:r>
        <w:t xml:space="preserve"> </w:t>
      </w:r>
      <w:r>
        <w:tab/>
        <w:t>Under BL 39(2), or, to the same effect,</w:t>
      </w:r>
      <w:r w:rsidR="009D1C9E">
        <w:t xml:space="preserve"> as a restriction “provided by </w:t>
      </w:r>
      <w:r>
        <w:t xml:space="preserve">law” under BOR 16(3): see </w:t>
      </w:r>
      <w:r>
        <w:rPr>
          <w:rFonts w:eastAsia="宋体"/>
          <w:i/>
        </w:rPr>
        <w:t xml:space="preserve">Leung Kwok Hung v HKSAR </w:t>
      </w:r>
      <w:r>
        <w:rPr>
          <w:rFonts w:eastAsia="宋体"/>
        </w:rPr>
        <w:t xml:space="preserve">(2005) 8 HKCFAR 229 at </w:t>
      </w:r>
      <w:r>
        <w:t>§18.</w:t>
      </w:r>
    </w:p>
  </w:footnote>
  <w:footnote w:id="15">
    <w:p w:rsidR="005726FC" w:rsidRPr="00EA421B" w:rsidRDefault="005726FC" w:rsidP="00B406C9">
      <w:pPr>
        <w:pStyle w:val="FootnoteText"/>
        <w:tabs>
          <w:tab w:val="left" w:pos="360"/>
        </w:tabs>
        <w:ind w:left="360" w:hanging="360"/>
        <w:jc w:val="both"/>
      </w:pPr>
      <w:r>
        <w:rPr>
          <w:rStyle w:val="FootnoteReference"/>
        </w:rPr>
        <w:footnoteRef/>
      </w:r>
      <w:r>
        <w:t xml:space="preserve"> </w:t>
      </w:r>
      <w:r>
        <w:tab/>
      </w:r>
      <w:r>
        <w:rPr>
          <w:i/>
        </w:rPr>
        <w:t xml:space="preserve">HKSAR v Ng Kung Siu </w:t>
      </w:r>
      <w:r>
        <w:t xml:space="preserve">(1999) 2 HKCFAR 442 at 461; and </w:t>
      </w:r>
      <w:r>
        <w:rPr>
          <w:rFonts w:eastAsia="宋体"/>
          <w:i/>
        </w:rPr>
        <w:t xml:space="preserve">Leung Kwok Hung v HKSAR </w:t>
      </w:r>
      <w:r>
        <w:rPr>
          <w:rFonts w:eastAsia="宋体"/>
        </w:rPr>
        <w:t>(2005) 8 HKCFAR 229 at §33.</w:t>
      </w:r>
    </w:p>
  </w:footnote>
  <w:footnote w:id="16">
    <w:p w:rsidR="005726FC" w:rsidRDefault="005726FC" w:rsidP="00B406C9">
      <w:pPr>
        <w:pStyle w:val="FootnoteText"/>
        <w:tabs>
          <w:tab w:val="left" w:pos="360"/>
        </w:tabs>
        <w:ind w:left="360" w:hanging="360"/>
        <w:jc w:val="both"/>
      </w:pPr>
      <w:r>
        <w:rPr>
          <w:rStyle w:val="FootnoteReference"/>
        </w:rPr>
        <w:footnoteRef/>
      </w:r>
      <w:r>
        <w:t xml:space="preserve"> </w:t>
      </w:r>
      <w:r>
        <w:tab/>
      </w:r>
      <w:r>
        <w:rPr>
          <w:rFonts w:eastAsia="宋体"/>
          <w:i/>
        </w:rPr>
        <w:t xml:space="preserve">Leung Kwok Hung v HKSAR </w:t>
      </w:r>
      <w:r>
        <w:rPr>
          <w:rFonts w:eastAsia="宋体"/>
        </w:rPr>
        <w:t xml:space="preserve">(2005) 8 HKCFAR 229 at </w:t>
      </w:r>
      <w:r>
        <w:t xml:space="preserve">§35; </w:t>
      </w:r>
      <w:r>
        <w:rPr>
          <w:rFonts w:eastAsia="宋体"/>
          <w:i/>
        </w:rPr>
        <w:t xml:space="preserve">HKSAR v Chow </w:t>
      </w:r>
      <w:proofErr w:type="spellStart"/>
      <w:r>
        <w:rPr>
          <w:rFonts w:eastAsia="宋体"/>
          <w:i/>
        </w:rPr>
        <w:t>Nok</w:t>
      </w:r>
      <w:proofErr w:type="spellEnd"/>
      <w:r>
        <w:rPr>
          <w:rFonts w:eastAsia="宋体"/>
          <w:i/>
        </w:rPr>
        <w:t xml:space="preserve"> Hang </w:t>
      </w:r>
      <w:r>
        <w:rPr>
          <w:rFonts w:eastAsia="宋体"/>
        </w:rPr>
        <w:t xml:space="preserve">(2013) 16 HKCFAR 837 at §36; and </w:t>
      </w:r>
      <w:r>
        <w:rPr>
          <w:rFonts w:eastAsia="宋体"/>
          <w:i/>
        </w:rPr>
        <w:t xml:space="preserve">Hysan Development Co Ltd v Town Planning Board </w:t>
      </w:r>
      <w:r>
        <w:rPr>
          <w:rFonts w:eastAsia="宋体"/>
        </w:rPr>
        <w:t>(2016) 19 HKCFAR 372 at §49.</w:t>
      </w:r>
    </w:p>
  </w:footnote>
  <w:footnote w:id="17">
    <w:p w:rsidR="005726FC" w:rsidRDefault="005726FC" w:rsidP="00B406C9">
      <w:pPr>
        <w:pStyle w:val="FootnoteText"/>
        <w:tabs>
          <w:tab w:val="left" w:pos="360"/>
        </w:tabs>
        <w:ind w:left="360" w:hanging="360"/>
        <w:jc w:val="both"/>
      </w:pPr>
      <w:r>
        <w:rPr>
          <w:rStyle w:val="FootnoteReference"/>
        </w:rPr>
        <w:footnoteRef/>
      </w:r>
      <w:r>
        <w:t xml:space="preserve"> </w:t>
      </w:r>
      <w:r>
        <w:tab/>
        <w:t xml:space="preserve">Appearing for the appellant with Harrison Cheung and Anson Wong Yu </w:t>
      </w:r>
      <w:proofErr w:type="spellStart"/>
      <w:r>
        <w:t>Yat</w:t>
      </w:r>
      <w:proofErr w:type="spellEnd"/>
      <w:r>
        <w:t>.</w:t>
      </w:r>
    </w:p>
  </w:footnote>
  <w:footnote w:id="18">
    <w:p w:rsidR="005726FC" w:rsidRDefault="005726FC" w:rsidP="00B406C9">
      <w:pPr>
        <w:pStyle w:val="FootnoteText"/>
        <w:tabs>
          <w:tab w:val="left" w:pos="360"/>
        </w:tabs>
        <w:ind w:left="360" w:hanging="360"/>
        <w:jc w:val="both"/>
      </w:pPr>
      <w:r>
        <w:rPr>
          <w:rStyle w:val="FootnoteReference"/>
        </w:rPr>
        <w:footnoteRef/>
      </w:r>
      <w:r>
        <w:t xml:space="preserve"> </w:t>
      </w:r>
      <w:r>
        <w:tab/>
        <w:t>Appellant’s Written Case §§43-45.  Italics in the original.</w:t>
      </w:r>
    </w:p>
  </w:footnote>
  <w:footnote w:id="19">
    <w:p w:rsidR="005726FC" w:rsidRDefault="005726FC" w:rsidP="00B406C9">
      <w:pPr>
        <w:pStyle w:val="FootnoteText"/>
        <w:tabs>
          <w:tab w:val="left" w:pos="360"/>
        </w:tabs>
      </w:pPr>
      <w:r>
        <w:rPr>
          <w:rStyle w:val="FootnoteReference"/>
        </w:rPr>
        <w:footnoteRef/>
      </w:r>
      <w:r>
        <w:t xml:space="preserve"> </w:t>
      </w:r>
      <w:r>
        <w:tab/>
        <w:t>Appellant’s Written Case §57.</w:t>
      </w:r>
      <w:r w:rsidRPr="0007017A">
        <w:t xml:space="preserve"> </w:t>
      </w:r>
      <w:r>
        <w:t>Italics in the original.</w:t>
      </w:r>
    </w:p>
  </w:footnote>
  <w:footnote w:id="20">
    <w:p w:rsidR="005726FC" w:rsidRDefault="005726FC" w:rsidP="00B406C9">
      <w:pPr>
        <w:pStyle w:val="FootnoteText"/>
        <w:tabs>
          <w:tab w:val="left" w:pos="360"/>
        </w:tabs>
      </w:pPr>
      <w:r>
        <w:rPr>
          <w:rStyle w:val="FootnoteReference"/>
        </w:rPr>
        <w:footnoteRef/>
      </w:r>
      <w:r>
        <w:t xml:space="preserve"> </w:t>
      </w:r>
      <w:r>
        <w:tab/>
        <w:t>Appearing for the respondent with Mr Andrew Li.</w:t>
      </w:r>
    </w:p>
  </w:footnote>
  <w:footnote w:id="21">
    <w:p w:rsidR="005726FC" w:rsidRDefault="005726FC" w:rsidP="00B406C9">
      <w:pPr>
        <w:pStyle w:val="FootnoteText"/>
        <w:tabs>
          <w:tab w:val="left" w:pos="360"/>
        </w:tabs>
      </w:pPr>
      <w:r>
        <w:rPr>
          <w:rStyle w:val="FootnoteReference"/>
        </w:rPr>
        <w:footnoteRef/>
      </w:r>
      <w:r>
        <w:t xml:space="preserve"> </w:t>
      </w:r>
      <w:r>
        <w:tab/>
        <w:t>Respondent's Written Case §9(a).</w:t>
      </w:r>
    </w:p>
  </w:footnote>
  <w:footnote w:id="22">
    <w:p w:rsidR="005726FC" w:rsidRDefault="005726FC" w:rsidP="00B406C9">
      <w:pPr>
        <w:pStyle w:val="FootnoteText"/>
        <w:tabs>
          <w:tab w:val="left" w:pos="360"/>
        </w:tabs>
      </w:pPr>
      <w:r>
        <w:rPr>
          <w:rStyle w:val="FootnoteReference"/>
        </w:rPr>
        <w:footnoteRef/>
      </w:r>
      <w:r>
        <w:t xml:space="preserve"> </w:t>
      </w:r>
      <w:r>
        <w:tab/>
        <w:t>Respondent's Written Case §§17(a) and (b), 18-20.</w:t>
      </w:r>
    </w:p>
  </w:footnote>
  <w:footnote w:id="23">
    <w:p w:rsidR="005726FC" w:rsidRDefault="005726FC" w:rsidP="00B406C9">
      <w:pPr>
        <w:pStyle w:val="FootnoteText"/>
        <w:tabs>
          <w:tab w:val="left" w:pos="360"/>
        </w:tabs>
      </w:pPr>
      <w:r>
        <w:rPr>
          <w:rStyle w:val="FootnoteReference"/>
        </w:rPr>
        <w:footnoteRef/>
      </w:r>
      <w:r>
        <w:t xml:space="preserve"> </w:t>
      </w:r>
      <w:r>
        <w:tab/>
        <w:t>Respondent's Written Case §§26-31.</w:t>
      </w:r>
    </w:p>
  </w:footnote>
  <w:footnote w:id="24">
    <w:p w:rsidR="005726FC" w:rsidRDefault="005726FC" w:rsidP="00B406C9">
      <w:pPr>
        <w:pStyle w:val="FootnoteText"/>
        <w:tabs>
          <w:tab w:val="left" w:pos="360"/>
        </w:tabs>
        <w:ind w:left="360" w:hanging="360"/>
        <w:jc w:val="both"/>
      </w:pPr>
      <w:r>
        <w:rPr>
          <w:rStyle w:val="FootnoteReference"/>
        </w:rPr>
        <w:footnoteRef/>
      </w:r>
      <w:r>
        <w:t xml:space="preserve"> </w:t>
      </w:r>
      <w:r>
        <w:tab/>
      </w:r>
      <w:r w:rsidR="00DB322E">
        <w:t>T</w:t>
      </w:r>
      <w:r>
        <w:t xml:space="preserve">hose paragraphs refer to the need to accord fundamental rights a generous interpretation and to accommodate annoying or offensive views, citing </w:t>
      </w:r>
      <w:r>
        <w:rPr>
          <w:rFonts w:eastAsia="宋体"/>
          <w:i/>
        </w:rPr>
        <w:t xml:space="preserve">Leung Kwok Hung v HKSAR </w:t>
      </w:r>
      <w:r>
        <w:rPr>
          <w:rFonts w:eastAsia="宋体"/>
        </w:rPr>
        <w:t>(2005) 8 HKCFAR 229.</w:t>
      </w:r>
    </w:p>
  </w:footnote>
  <w:footnote w:id="25">
    <w:p w:rsidR="005726FC" w:rsidRDefault="005726FC" w:rsidP="00B406C9">
      <w:pPr>
        <w:pStyle w:val="FootnoteText"/>
        <w:tabs>
          <w:tab w:val="left" w:pos="360"/>
        </w:tabs>
        <w:ind w:left="360" w:hanging="360"/>
        <w:jc w:val="both"/>
      </w:pPr>
      <w:r>
        <w:rPr>
          <w:rStyle w:val="FootnoteReference"/>
        </w:rPr>
        <w:footnoteRef/>
      </w:r>
      <w:r>
        <w:t xml:space="preserve"> </w:t>
      </w:r>
      <w:r>
        <w:tab/>
        <w:t>Judgment §35.</w:t>
      </w:r>
    </w:p>
  </w:footnote>
  <w:footnote w:id="26">
    <w:p w:rsidR="005726FC" w:rsidRDefault="005726FC" w:rsidP="00B406C9">
      <w:pPr>
        <w:pStyle w:val="FootnoteText"/>
        <w:tabs>
          <w:tab w:val="left" w:pos="360"/>
        </w:tabs>
        <w:ind w:left="360" w:hanging="360"/>
        <w:jc w:val="both"/>
      </w:pPr>
      <w:r>
        <w:rPr>
          <w:rStyle w:val="FootnoteReference"/>
        </w:rPr>
        <w:footnoteRef/>
      </w:r>
      <w:r>
        <w:t xml:space="preserve"> </w:t>
      </w:r>
      <w:r>
        <w:tab/>
      </w:r>
      <w:r>
        <w:rPr>
          <w:rFonts w:eastAsia="宋体"/>
        </w:rPr>
        <w:t>[1991] 1 SCR 139.</w:t>
      </w:r>
    </w:p>
  </w:footnote>
  <w:footnote w:id="27">
    <w:p w:rsidR="005726FC" w:rsidRPr="001D78C3" w:rsidRDefault="005726FC" w:rsidP="00B406C9">
      <w:pPr>
        <w:tabs>
          <w:tab w:val="left" w:pos="360"/>
        </w:tabs>
        <w:snapToGrid w:val="0"/>
        <w:ind w:left="360" w:hanging="360"/>
        <w:jc w:val="both"/>
        <w:rPr>
          <w:sz w:val="24"/>
        </w:rPr>
      </w:pPr>
      <w:r>
        <w:rPr>
          <w:rStyle w:val="FootnoteReference"/>
        </w:rPr>
        <w:footnoteRef/>
      </w:r>
      <w:r>
        <w:t xml:space="preserve"> </w:t>
      </w:r>
      <w:r>
        <w:tab/>
      </w:r>
      <w:r w:rsidRPr="001D78C3">
        <w:rPr>
          <w:sz w:val="24"/>
        </w:rPr>
        <w:t>Section 2(b): “Everyone has the following fundamental freedoms: ... freedom of thought, belief, opinion and expression, including freedom of the press and other media of communication; ...”</w:t>
      </w:r>
    </w:p>
  </w:footnote>
  <w:footnote w:id="28">
    <w:p w:rsidR="005726FC" w:rsidRDefault="005726FC" w:rsidP="00B406C9">
      <w:pPr>
        <w:pStyle w:val="FootnoteText"/>
        <w:tabs>
          <w:tab w:val="left" w:pos="360"/>
        </w:tabs>
        <w:ind w:left="360" w:hanging="360"/>
        <w:jc w:val="both"/>
      </w:pPr>
      <w:r>
        <w:rPr>
          <w:rStyle w:val="FootnoteReference"/>
        </w:rPr>
        <w:footnoteRef/>
      </w:r>
      <w:r>
        <w:t xml:space="preserve"> </w:t>
      </w:r>
      <w:r>
        <w:tab/>
        <w:t>Section 1: “</w:t>
      </w:r>
      <w:r w:rsidRPr="00823864">
        <w:t>The Canadian Charter of Rights and Freedoms guarantees the rights and freedoms set out in it subject only to such reasonable limits prescribed by law as can be demonstrably justified in a free and democratic society.</w:t>
      </w:r>
      <w:r>
        <w:t>”</w:t>
      </w:r>
    </w:p>
  </w:footnote>
  <w:footnote w:id="29">
    <w:p w:rsidR="005726FC" w:rsidRDefault="005726FC" w:rsidP="00B406C9">
      <w:pPr>
        <w:pStyle w:val="FootnoteText"/>
        <w:tabs>
          <w:tab w:val="left" w:pos="360"/>
        </w:tabs>
        <w:ind w:left="360" w:hanging="360"/>
        <w:jc w:val="both"/>
      </w:pPr>
      <w:r>
        <w:rPr>
          <w:rStyle w:val="FootnoteReference"/>
        </w:rPr>
        <w:footnoteRef/>
      </w:r>
      <w:r>
        <w:t xml:space="preserve"> </w:t>
      </w:r>
      <w:r>
        <w:tab/>
      </w:r>
      <w:r>
        <w:rPr>
          <w:i/>
        </w:rPr>
        <w:t xml:space="preserve">Ibid </w:t>
      </w:r>
      <w:r>
        <w:t>at 192.</w:t>
      </w:r>
    </w:p>
  </w:footnote>
  <w:footnote w:id="30">
    <w:p w:rsidR="005726FC" w:rsidRPr="00220849" w:rsidRDefault="005726FC" w:rsidP="004E6285">
      <w:pPr>
        <w:pStyle w:val="FootnoteText"/>
        <w:tabs>
          <w:tab w:val="left" w:pos="360"/>
        </w:tabs>
        <w:ind w:left="360" w:hanging="360"/>
        <w:jc w:val="both"/>
      </w:pPr>
      <w:r>
        <w:rPr>
          <w:rStyle w:val="FootnoteReference"/>
        </w:rPr>
        <w:footnoteRef/>
      </w:r>
      <w:r>
        <w:t xml:space="preserve"> </w:t>
      </w:r>
      <w:r>
        <w:tab/>
      </w:r>
      <w:r>
        <w:rPr>
          <w:i/>
        </w:rPr>
        <w:t xml:space="preserve">Ibid </w:t>
      </w:r>
      <w:r>
        <w:t>at 229.</w:t>
      </w:r>
    </w:p>
  </w:footnote>
  <w:footnote w:id="31">
    <w:p w:rsidR="005726FC" w:rsidRDefault="005726FC" w:rsidP="004E6285">
      <w:pPr>
        <w:pStyle w:val="FootnoteText"/>
        <w:tabs>
          <w:tab w:val="left" w:pos="360"/>
        </w:tabs>
        <w:ind w:left="360" w:hanging="360"/>
        <w:jc w:val="both"/>
      </w:pPr>
      <w:r>
        <w:rPr>
          <w:rStyle w:val="FootnoteReference"/>
        </w:rPr>
        <w:footnoteRef/>
      </w:r>
      <w:r>
        <w:t xml:space="preserve"> </w:t>
      </w:r>
      <w:r>
        <w:tab/>
        <w:t>BL 8: “</w:t>
      </w:r>
      <w:r w:rsidRPr="008B2BE4">
        <w:t>The laws previously in force in Hong Kong, that is, the common law, rules of equity, ordinances, subordinate legislation and customary law shall be maintained, except for any that contravene this Law, and subject to any amendment by the legislature of the Hong Kong Special Administrative Region.</w:t>
      </w:r>
      <w:r>
        <w:t>”</w:t>
      </w:r>
    </w:p>
  </w:footnote>
  <w:footnote w:id="32">
    <w:p w:rsidR="005726FC" w:rsidRPr="00921609" w:rsidRDefault="005726FC" w:rsidP="004E6285">
      <w:pPr>
        <w:pStyle w:val="FootnoteText"/>
        <w:tabs>
          <w:tab w:val="left" w:pos="360"/>
        </w:tabs>
      </w:pPr>
      <w:r>
        <w:rPr>
          <w:rStyle w:val="FootnoteReference"/>
        </w:rPr>
        <w:footnoteRef/>
      </w:r>
      <w:r>
        <w:t xml:space="preserve"> </w:t>
      </w:r>
      <w:r>
        <w:tab/>
      </w:r>
      <w:r>
        <w:rPr>
          <w:rFonts w:eastAsia="宋体"/>
          <w:i/>
        </w:rPr>
        <w:t xml:space="preserve">Committee for the Commonwealth of Canada v Canada </w:t>
      </w:r>
      <w:r>
        <w:rPr>
          <w:rFonts w:eastAsia="宋体"/>
        </w:rPr>
        <w:t xml:space="preserve">[1991] 1 SCR 139 </w:t>
      </w:r>
      <w:r>
        <w:t>at 155.</w:t>
      </w:r>
    </w:p>
  </w:footnote>
  <w:footnote w:id="33">
    <w:p w:rsidR="005726FC" w:rsidRPr="00921609" w:rsidRDefault="005726FC" w:rsidP="004E6285">
      <w:pPr>
        <w:pStyle w:val="FootnoteText"/>
        <w:tabs>
          <w:tab w:val="left" w:pos="360"/>
        </w:tabs>
      </w:pPr>
      <w:r>
        <w:rPr>
          <w:rStyle w:val="FootnoteReference"/>
        </w:rPr>
        <w:footnoteRef/>
      </w:r>
      <w:r>
        <w:t xml:space="preserve"> </w:t>
      </w:r>
      <w:r>
        <w:tab/>
      </w:r>
      <w:r>
        <w:rPr>
          <w:i/>
        </w:rPr>
        <w:t xml:space="preserve">Ibid </w:t>
      </w:r>
      <w:r>
        <w:t>at 230.</w:t>
      </w:r>
    </w:p>
  </w:footnote>
  <w:footnote w:id="34">
    <w:p w:rsidR="005726FC" w:rsidRDefault="005726FC" w:rsidP="004E6285">
      <w:pPr>
        <w:pStyle w:val="FootnoteText"/>
        <w:tabs>
          <w:tab w:val="left" w:pos="360"/>
        </w:tabs>
      </w:pPr>
      <w:r>
        <w:rPr>
          <w:rStyle w:val="FootnoteReference"/>
        </w:rPr>
        <w:footnoteRef/>
      </w:r>
      <w:r>
        <w:t xml:space="preserve"> </w:t>
      </w:r>
      <w:r>
        <w:tab/>
      </w:r>
      <w:r>
        <w:rPr>
          <w:rFonts w:eastAsia="宋体"/>
        </w:rPr>
        <w:t>[1991] 1 SCR 139.</w:t>
      </w:r>
    </w:p>
  </w:footnote>
  <w:footnote w:id="35">
    <w:p w:rsidR="005726FC" w:rsidRPr="00944F0D" w:rsidRDefault="005726FC" w:rsidP="004E6285">
      <w:pPr>
        <w:pStyle w:val="FootnoteText"/>
        <w:tabs>
          <w:tab w:val="left" w:pos="360"/>
        </w:tabs>
      </w:pPr>
      <w:r>
        <w:rPr>
          <w:rStyle w:val="FootnoteReference"/>
        </w:rPr>
        <w:footnoteRef/>
      </w:r>
      <w:r>
        <w:t xml:space="preserve"> </w:t>
      </w:r>
      <w:r>
        <w:tab/>
      </w:r>
      <w:r>
        <w:rPr>
          <w:i/>
        </w:rPr>
        <w:t xml:space="preserve">Ibid </w:t>
      </w:r>
      <w:r>
        <w:t>at 156 and 158.</w:t>
      </w:r>
    </w:p>
  </w:footnote>
  <w:footnote w:id="36">
    <w:p w:rsidR="005726FC" w:rsidRPr="00F30CE7" w:rsidRDefault="005726FC" w:rsidP="004E6285">
      <w:pPr>
        <w:pStyle w:val="FootnoteText"/>
        <w:tabs>
          <w:tab w:val="left" w:pos="360"/>
        </w:tabs>
        <w:ind w:left="360" w:hanging="360"/>
      </w:pPr>
      <w:r>
        <w:rPr>
          <w:rStyle w:val="FootnoteReference"/>
        </w:rPr>
        <w:footnoteRef/>
      </w:r>
      <w:r>
        <w:t xml:space="preserve"> </w:t>
      </w:r>
      <w:r>
        <w:tab/>
      </w:r>
      <w:r>
        <w:rPr>
          <w:i/>
        </w:rPr>
        <w:t xml:space="preserve">Ibid </w:t>
      </w:r>
      <w:r>
        <w:t xml:space="preserve">at 235.  </w:t>
      </w:r>
    </w:p>
  </w:footnote>
  <w:footnote w:id="37">
    <w:p w:rsidR="005726FC" w:rsidRPr="006A2696" w:rsidRDefault="005726FC" w:rsidP="004E6285">
      <w:pPr>
        <w:pStyle w:val="FootnoteText"/>
        <w:tabs>
          <w:tab w:val="left" w:pos="360"/>
        </w:tabs>
        <w:ind w:left="360" w:hanging="360"/>
      </w:pPr>
      <w:r>
        <w:rPr>
          <w:rStyle w:val="FootnoteReference"/>
        </w:rPr>
        <w:footnoteRef/>
      </w:r>
      <w:r>
        <w:t xml:space="preserve"> </w:t>
      </w:r>
      <w:r>
        <w:tab/>
      </w:r>
      <w:r>
        <w:rPr>
          <w:i/>
        </w:rPr>
        <w:t xml:space="preserve">Ibid </w:t>
      </w:r>
      <w:r>
        <w:t>at 237.</w:t>
      </w:r>
    </w:p>
  </w:footnote>
  <w:footnote w:id="38">
    <w:p w:rsidR="005726FC" w:rsidRDefault="005726FC" w:rsidP="004E6285">
      <w:pPr>
        <w:pStyle w:val="FootnoteText"/>
        <w:tabs>
          <w:tab w:val="left" w:pos="360"/>
        </w:tabs>
        <w:ind w:left="360" w:hanging="360"/>
      </w:pPr>
      <w:r>
        <w:rPr>
          <w:rStyle w:val="FootnoteReference"/>
        </w:rPr>
        <w:footnoteRef/>
      </w:r>
      <w:r>
        <w:t xml:space="preserve"> </w:t>
      </w:r>
      <w:r>
        <w:tab/>
      </w:r>
      <w:r w:rsidRPr="003478A4">
        <w:rPr>
          <w:i/>
        </w:rPr>
        <w:t>Irwin Toy Ltd v Quebec (Attorney General)</w:t>
      </w:r>
      <w:r>
        <w:t xml:space="preserve"> [1989] 1 SCR</w:t>
      </w:r>
      <w:r w:rsidRPr="00823864">
        <w:t xml:space="preserve"> 927</w:t>
      </w:r>
      <w:r>
        <w:t>.</w:t>
      </w:r>
    </w:p>
  </w:footnote>
  <w:footnote w:id="39">
    <w:p w:rsidR="005726FC" w:rsidRPr="003478A4" w:rsidRDefault="005726FC" w:rsidP="004E6285">
      <w:pPr>
        <w:pStyle w:val="FootnoteText"/>
        <w:tabs>
          <w:tab w:val="left" w:pos="360"/>
        </w:tabs>
        <w:ind w:left="360" w:hanging="360"/>
      </w:pPr>
      <w:r>
        <w:rPr>
          <w:rStyle w:val="FootnoteReference"/>
        </w:rPr>
        <w:footnoteRef/>
      </w:r>
      <w:r>
        <w:t xml:space="preserve"> </w:t>
      </w:r>
      <w:r>
        <w:tab/>
      </w:r>
      <w:r>
        <w:rPr>
          <w:rFonts w:eastAsia="宋体"/>
          <w:i/>
        </w:rPr>
        <w:t xml:space="preserve">Committee for the Commonwealth of Canada v Canada </w:t>
      </w:r>
      <w:r>
        <w:rPr>
          <w:rFonts w:eastAsia="宋体"/>
        </w:rPr>
        <w:t xml:space="preserve">[1991] 1 SCR 139 </w:t>
      </w:r>
      <w:r>
        <w:t>at 238-239.</w:t>
      </w:r>
    </w:p>
  </w:footnote>
  <w:footnote w:id="40">
    <w:p w:rsidR="005726FC" w:rsidRDefault="005726FC" w:rsidP="004E6285">
      <w:pPr>
        <w:pStyle w:val="FootnoteText"/>
        <w:tabs>
          <w:tab w:val="left" w:pos="360"/>
        </w:tabs>
      </w:pPr>
      <w:r>
        <w:rPr>
          <w:rStyle w:val="FootnoteReference"/>
        </w:rPr>
        <w:footnoteRef/>
      </w:r>
      <w:r>
        <w:t xml:space="preserve"> </w:t>
      </w:r>
      <w:r>
        <w:tab/>
      </w:r>
      <w:r>
        <w:rPr>
          <w:rFonts w:eastAsia="宋体"/>
          <w:i/>
        </w:rPr>
        <w:t xml:space="preserve">Leung Kwok Hung v HKSAR </w:t>
      </w:r>
      <w:r>
        <w:rPr>
          <w:rFonts w:eastAsia="宋体"/>
        </w:rPr>
        <w:t>(2005) 8 HKCFAR 229 at §2.</w:t>
      </w:r>
    </w:p>
  </w:footnote>
  <w:footnote w:id="41">
    <w:p w:rsidR="005726FC" w:rsidRDefault="005726FC" w:rsidP="004E6285">
      <w:pPr>
        <w:pStyle w:val="FootnoteText"/>
        <w:tabs>
          <w:tab w:val="left" w:pos="360"/>
        </w:tabs>
        <w:ind w:left="360" w:hanging="360"/>
        <w:jc w:val="both"/>
      </w:pPr>
      <w:r>
        <w:rPr>
          <w:rStyle w:val="FootnoteReference"/>
        </w:rPr>
        <w:footnoteRef/>
      </w:r>
      <w:r>
        <w:t xml:space="preserve"> </w:t>
      </w:r>
      <w:r>
        <w:tab/>
        <w:t xml:space="preserve">Applying the proportionality analysis discussed in </w:t>
      </w:r>
      <w:r>
        <w:rPr>
          <w:rFonts w:eastAsia="宋体"/>
          <w:i/>
        </w:rPr>
        <w:t xml:space="preserve">Hysan Development Co Ltd v Town Planning Board </w:t>
      </w:r>
      <w:r>
        <w:rPr>
          <w:rFonts w:eastAsia="宋体"/>
        </w:rPr>
        <w:t>(2016) 19 HKCFAR 372.</w:t>
      </w:r>
    </w:p>
  </w:footnote>
  <w:footnote w:id="42">
    <w:p w:rsidR="005726FC" w:rsidRPr="002A39D8" w:rsidRDefault="005726FC" w:rsidP="004E6285">
      <w:pPr>
        <w:tabs>
          <w:tab w:val="left" w:pos="360"/>
        </w:tabs>
        <w:spacing w:before="120" w:after="120" w:line="240" w:lineRule="auto"/>
        <w:ind w:left="360" w:hanging="360"/>
        <w:jc w:val="both"/>
        <w:rPr>
          <w:rFonts w:eastAsia="宋体"/>
          <w:sz w:val="24"/>
        </w:rPr>
      </w:pPr>
      <w:r>
        <w:rPr>
          <w:rStyle w:val="FootnoteReference"/>
        </w:rPr>
        <w:footnoteRef/>
      </w:r>
      <w:r>
        <w:t xml:space="preserve"> </w:t>
      </w:r>
      <w:r>
        <w:tab/>
      </w:r>
      <w:r w:rsidRPr="002A39D8">
        <w:rPr>
          <w:rFonts w:eastAsia="宋体"/>
          <w:i/>
          <w:sz w:val="24"/>
        </w:rPr>
        <w:t>Tabernacle v The Secretary of State for Defence</w:t>
      </w:r>
      <w:r w:rsidRPr="00217FC5">
        <w:rPr>
          <w:rFonts w:eastAsia="宋体"/>
          <w:sz w:val="24"/>
        </w:rPr>
        <w:t xml:space="preserve"> [2009] EWCA </w:t>
      </w:r>
      <w:proofErr w:type="spellStart"/>
      <w:r w:rsidRPr="00217FC5">
        <w:rPr>
          <w:rFonts w:eastAsia="宋体"/>
          <w:sz w:val="24"/>
        </w:rPr>
        <w:t>Civ</w:t>
      </w:r>
      <w:proofErr w:type="spellEnd"/>
      <w:r w:rsidRPr="00217FC5">
        <w:rPr>
          <w:rFonts w:eastAsia="宋体"/>
          <w:sz w:val="24"/>
        </w:rPr>
        <w:t xml:space="preserve"> 23</w:t>
      </w:r>
      <w:r>
        <w:rPr>
          <w:rFonts w:eastAsia="宋体"/>
          <w:sz w:val="24"/>
        </w:rPr>
        <w:t>.</w:t>
      </w:r>
    </w:p>
  </w:footnote>
  <w:footnote w:id="43">
    <w:p w:rsidR="005726FC" w:rsidRPr="006C0F80" w:rsidRDefault="005726FC" w:rsidP="004E6285">
      <w:pPr>
        <w:pStyle w:val="FootnoteText"/>
        <w:tabs>
          <w:tab w:val="left" w:pos="360"/>
        </w:tabs>
        <w:ind w:left="360" w:hanging="360"/>
        <w:jc w:val="both"/>
      </w:pPr>
      <w:r>
        <w:rPr>
          <w:rStyle w:val="FootnoteReference"/>
        </w:rPr>
        <w:footnoteRef/>
      </w:r>
      <w:r>
        <w:t xml:space="preserve"> </w:t>
      </w:r>
      <w:r>
        <w:tab/>
      </w:r>
      <w:r>
        <w:rPr>
          <w:i/>
        </w:rPr>
        <w:t xml:space="preserve">Ibid </w:t>
      </w:r>
      <w:r>
        <w:t>at §37.</w:t>
      </w:r>
    </w:p>
  </w:footnote>
  <w:footnote w:id="44">
    <w:p w:rsidR="005726FC" w:rsidRDefault="005726FC" w:rsidP="004E6285">
      <w:pPr>
        <w:pStyle w:val="FootnoteText"/>
        <w:tabs>
          <w:tab w:val="left" w:pos="360"/>
        </w:tabs>
        <w:ind w:left="360" w:hanging="360"/>
        <w:jc w:val="both"/>
      </w:pPr>
      <w:r>
        <w:rPr>
          <w:rStyle w:val="FootnoteReference"/>
        </w:rPr>
        <w:footnoteRef/>
      </w:r>
      <w:r>
        <w:t xml:space="preserve"> </w:t>
      </w:r>
      <w:r>
        <w:tab/>
      </w:r>
      <w:r>
        <w:rPr>
          <w:rFonts w:eastAsia="宋体"/>
        </w:rPr>
        <w:t>[2011] 1 WLR 504.</w:t>
      </w:r>
    </w:p>
  </w:footnote>
  <w:footnote w:id="45">
    <w:p w:rsidR="005726FC" w:rsidRPr="00C62C27" w:rsidRDefault="005726FC" w:rsidP="004E6285">
      <w:pPr>
        <w:pStyle w:val="FootnoteText"/>
        <w:tabs>
          <w:tab w:val="left" w:pos="360"/>
        </w:tabs>
        <w:ind w:left="360" w:hanging="360"/>
        <w:jc w:val="both"/>
      </w:pPr>
      <w:r>
        <w:rPr>
          <w:rStyle w:val="FootnoteReference"/>
        </w:rPr>
        <w:footnoteRef/>
      </w:r>
      <w:r>
        <w:t xml:space="preserve"> </w:t>
      </w:r>
      <w:r>
        <w:tab/>
      </w:r>
      <w:r>
        <w:rPr>
          <w:i/>
        </w:rPr>
        <w:t xml:space="preserve">Ibid </w:t>
      </w:r>
      <w:r>
        <w:t xml:space="preserve">at §37.  Articles 10 and 11 referred to are Articles in </w:t>
      </w:r>
      <w:r w:rsidRPr="00C62C27">
        <w:t>the European Convention for the Protection of Human Rights and Fundamental Freedoms</w:t>
      </w:r>
      <w:r>
        <w:t xml:space="preserve"> (“</w:t>
      </w:r>
      <w:r w:rsidRPr="006F013D">
        <w:rPr>
          <w:u w:val="single"/>
        </w:rPr>
        <w:t>ECHR</w:t>
      </w:r>
      <w:r>
        <w:t xml:space="preserve">”) which deal respectively with the rights to freedom of expression, to freedom of peaceful assembly and to freedom of association with others in terms very similar to the rights guaranteed by the Basic Law and HKBORO.  See also </w:t>
      </w:r>
      <w:r>
        <w:rPr>
          <w:rFonts w:eastAsia="宋体"/>
          <w:i/>
        </w:rPr>
        <w:t>R (</w:t>
      </w:r>
      <w:proofErr w:type="spellStart"/>
      <w:r>
        <w:rPr>
          <w:rFonts w:eastAsia="宋体"/>
          <w:i/>
        </w:rPr>
        <w:t>Gallastegui</w:t>
      </w:r>
      <w:proofErr w:type="spellEnd"/>
      <w:r>
        <w:rPr>
          <w:rFonts w:eastAsia="宋体"/>
          <w:i/>
        </w:rPr>
        <w:t xml:space="preserve">) v Westminster City Council </w:t>
      </w:r>
      <w:r>
        <w:rPr>
          <w:rFonts w:eastAsia="宋体"/>
        </w:rPr>
        <w:t>[2013] 1 WLR 2377 per Lord Dyson MR at §26: “</w:t>
      </w:r>
      <w:r w:rsidRPr="00554DD8">
        <w:rPr>
          <w:rFonts w:eastAsia="宋体" w:hint="eastAsia"/>
        </w:rPr>
        <w:t>“</w:t>
      </w:r>
      <w:r w:rsidRPr="00554DD8">
        <w:rPr>
          <w:rFonts w:eastAsia="宋体"/>
        </w:rPr>
        <w:t>I accept that the importance of the right to express views publicly and to assemble for the purpose of expressing and discussing those views can extend to the manner in which it is wished to express the views and the location where they wish to express them</w:t>
      </w:r>
      <w:r>
        <w:rPr>
          <w:rFonts w:eastAsia="宋体"/>
        </w:rPr>
        <w:t>...”</w:t>
      </w:r>
    </w:p>
  </w:footnote>
  <w:footnote w:id="46">
    <w:p w:rsidR="005726FC" w:rsidRPr="008B6AAB" w:rsidRDefault="005726FC" w:rsidP="004E6285">
      <w:pPr>
        <w:pStyle w:val="FootnoteText"/>
        <w:tabs>
          <w:tab w:val="left" w:pos="360"/>
        </w:tabs>
      </w:pPr>
      <w:r>
        <w:rPr>
          <w:rStyle w:val="FootnoteReference"/>
        </w:rPr>
        <w:footnoteRef/>
      </w:r>
      <w:r>
        <w:t xml:space="preserve"> </w:t>
      </w:r>
      <w:r>
        <w:tab/>
      </w:r>
      <w:r>
        <w:rPr>
          <w:i/>
        </w:rPr>
        <w:t xml:space="preserve">Ibid </w:t>
      </w:r>
      <w:r>
        <w:t>at §42.</w:t>
      </w:r>
    </w:p>
  </w:footnote>
  <w:footnote w:id="47">
    <w:p w:rsidR="005726FC" w:rsidRPr="00FD48C0" w:rsidRDefault="005726FC" w:rsidP="004E6285">
      <w:pPr>
        <w:tabs>
          <w:tab w:val="left" w:pos="360"/>
        </w:tabs>
        <w:spacing w:before="120" w:after="120" w:line="240" w:lineRule="auto"/>
        <w:ind w:left="360" w:hanging="360"/>
        <w:jc w:val="both"/>
        <w:rPr>
          <w:rFonts w:eastAsia="宋体"/>
          <w:sz w:val="24"/>
        </w:rPr>
      </w:pPr>
      <w:r>
        <w:rPr>
          <w:rStyle w:val="FootnoteReference"/>
        </w:rPr>
        <w:footnoteRef/>
      </w:r>
      <w:r>
        <w:t xml:space="preserve"> </w:t>
      </w:r>
      <w:r>
        <w:tab/>
      </w:r>
      <w:r w:rsidRPr="00FD48C0">
        <w:rPr>
          <w:rFonts w:eastAsia="宋体"/>
          <w:i/>
          <w:sz w:val="24"/>
        </w:rPr>
        <w:t>Tabernacle v The Secretary of State for Defence</w:t>
      </w:r>
      <w:r w:rsidRPr="00217FC5">
        <w:rPr>
          <w:rFonts w:eastAsia="宋体"/>
          <w:sz w:val="24"/>
        </w:rPr>
        <w:t xml:space="preserve"> [2009] EWCA </w:t>
      </w:r>
      <w:proofErr w:type="spellStart"/>
      <w:r w:rsidRPr="00217FC5">
        <w:rPr>
          <w:rFonts w:eastAsia="宋体"/>
          <w:sz w:val="24"/>
        </w:rPr>
        <w:t>Civ</w:t>
      </w:r>
      <w:proofErr w:type="spellEnd"/>
      <w:r w:rsidRPr="00217FC5">
        <w:rPr>
          <w:rFonts w:eastAsia="宋体"/>
          <w:sz w:val="24"/>
        </w:rPr>
        <w:t xml:space="preserve"> 23</w:t>
      </w:r>
      <w:r>
        <w:rPr>
          <w:rFonts w:eastAsia="宋体"/>
          <w:sz w:val="24"/>
        </w:rPr>
        <w:t>.</w:t>
      </w:r>
    </w:p>
  </w:footnote>
  <w:footnote w:id="48">
    <w:p w:rsidR="005726FC" w:rsidRDefault="005726FC" w:rsidP="004E6285">
      <w:pPr>
        <w:pStyle w:val="FootnoteText"/>
        <w:tabs>
          <w:tab w:val="left" w:pos="360"/>
        </w:tabs>
        <w:ind w:left="360" w:hanging="360"/>
        <w:jc w:val="both"/>
      </w:pPr>
      <w:r>
        <w:rPr>
          <w:rStyle w:val="FootnoteReference"/>
        </w:rPr>
        <w:footnoteRef/>
      </w:r>
      <w:r>
        <w:t xml:space="preserve"> </w:t>
      </w:r>
      <w:r>
        <w:tab/>
      </w:r>
      <w:r>
        <w:rPr>
          <w:rFonts w:eastAsia="宋体"/>
          <w:i/>
        </w:rPr>
        <w:t xml:space="preserve">Mayor of London v Hall </w:t>
      </w:r>
      <w:r>
        <w:rPr>
          <w:rFonts w:eastAsia="宋体"/>
        </w:rPr>
        <w:t>[2011] 1 WLR 504.</w:t>
      </w:r>
    </w:p>
  </w:footnote>
  <w:footnote w:id="49">
    <w:p w:rsidR="005726FC" w:rsidRDefault="005726FC" w:rsidP="004E6285">
      <w:pPr>
        <w:pStyle w:val="FootnoteText"/>
        <w:tabs>
          <w:tab w:val="left" w:pos="360"/>
        </w:tabs>
        <w:ind w:left="360" w:hanging="360"/>
        <w:jc w:val="both"/>
      </w:pPr>
      <w:r>
        <w:rPr>
          <w:rStyle w:val="FootnoteReference"/>
        </w:rPr>
        <w:footnoteRef/>
      </w:r>
      <w:r>
        <w:t xml:space="preserve"> </w:t>
      </w:r>
      <w:r>
        <w:tab/>
      </w:r>
      <w:r w:rsidR="009D1C9E">
        <w:rPr>
          <w:rFonts w:eastAsia="宋体"/>
          <w:i/>
        </w:rPr>
        <w:t>The Mayor</w:t>
      </w:r>
      <w:r>
        <w:rPr>
          <w:rFonts w:eastAsia="宋体"/>
          <w:i/>
        </w:rPr>
        <w:t xml:space="preserve"> Commonalty and Citizens of London v </w:t>
      </w:r>
      <w:proofErr w:type="spellStart"/>
      <w:r>
        <w:rPr>
          <w:rFonts w:eastAsia="宋体"/>
          <w:i/>
        </w:rPr>
        <w:t>Samede</w:t>
      </w:r>
      <w:proofErr w:type="spellEnd"/>
      <w:r>
        <w:rPr>
          <w:rFonts w:eastAsia="宋体"/>
          <w:i/>
        </w:rPr>
        <w:t xml:space="preserve"> </w:t>
      </w:r>
      <w:r>
        <w:rPr>
          <w:rFonts w:eastAsia="宋体"/>
        </w:rPr>
        <w:t xml:space="preserve">[2012] EWCA </w:t>
      </w:r>
      <w:proofErr w:type="spellStart"/>
      <w:r>
        <w:rPr>
          <w:rFonts w:eastAsia="宋体"/>
        </w:rPr>
        <w:t>Civ</w:t>
      </w:r>
      <w:proofErr w:type="spellEnd"/>
      <w:r>
        <w:rPr>
          <w:rFonts w:eastAsia="宋体"/>
        </w:rPr>
        <w:t xml:space="preserve"> 160.</w:t>
      </w:r>
    </w:p>
  </w:footnote>
  <w:footnote w:id="50">
    <w:p w:rsidR="005726FC" w:rsidRDefault="005726FC" w:rsidP="004E6285">
      <w:pPr>
        <w:pStyle w:val="FootnoteText"/>
        <w:tabs>
          <w:tab w:val="left" w:pos="360"/>
        </w:tabs>
        <w:ind w:left="360" w:hanging="360"/>
        <w:jc w:val="both"/>
      </w:pPr>
      <w:r>
        <w:rPr>
          <w:rStyle w:val="FootnoteReference"/>
        </w:rPr>
        <w:footnoteRef/>
      </w:r>
      <w:r>
        <w:t xml:space="preserve"> </w:t>
      </w:r>
      <w:r>
        <w:tab/>
      </w:r>
      <w:r>
        <w:rPr>
          <w:rFonts w:eastAsia="宋体"/>
        </w:rPr>
        <w:t xml:space="preserve">[2012] EWCA </w:t>
      </w:r>
      <w:proofErr w:type="spellStart"/>
      <w:r>
        <w:rPr>
          <w:rFonts w:eastAsia="宋体"/>
        </w:rPr>
        <w:t>Civ</w:t>
      </w:r>
      <w:proofErr w:type="spellEnd"/>
      <w:r>
        <w:rPr>
          <w:rFonts w:eastAsia="宋体"/>
        </w:rPr>
        <w:t xml:space="preserve"> 160 at §39.</w:t>
      </w:r>
      <w:r w:rsidR="001660AF">
        <w:rPr>
          <w:rFonts w:eastAsia="宋体"/>
        </w:rPr>
        <w:t xml:space="preserve">  See also </w:t>
      </w:r>
      <w:r w:rsidR="001660AF">
        <w:rPr>
          <w:rFonts w:eastAsia="宋体"/>
          <w:i/>
        </w:rPr>
        <w:t>R (</w:t>
      </w:r>
      <w:proofErr w:type="spellStart"/>
      <w:r w:rsidR="001660AF">
        <w:rPr>
          <w:rFonts w:eastAsia="宋体"/>
          <w:i/>
        </w:rPr>
        <w:t>Gallastegui</w:t>
      </w:r>
      <w:proofErr w:type="spellEnd"/>
      <w:r w:rsidR="001660AF">
        <w:rPr>
          <w:rFonts w:eastAsia="宋体"/>
          <w:i/>
        </w:rPr>
        <w:t xml:space="preserve">) v Westminster City Council </w:t>
      </w:r>
      <w:r w:rsidR="001660AF">
        <w:rPr>
          <w:rFonts w:eastAsia="宋体"/>
        </w:rPr>
        <w:t>[2013] 1 WLR 2377, for a proportionality analysis.</w:t>
      </w:r>
    </w:p>
  </w:footnote>
  <w:footnote w:id="51">
    <w:p w:rsidR="005726FC" w:rsidRDefault="005726FC" w:rsidP="004E6285">
      <w:pPr>
        <w:pStyle w:val="FootnoteText"/>
        <w:tabs>
          <w:tab w:val="left" w:pos="360"/>
        </w:tabs>
        <w:ind w:left="360" w:hanging="360"/>
        <w:jc w:val="both"/>
      </w:pPr>
      <w:r>
        <w:rPr>
          <w:rStyle w:val="FootnoteReference"/>
        </w:rPr>
        <w:footnoteRef/>
      </w:r>
      <w:r>
        <w:t xml:space="preserve"> </w:t>
      </w:r>
      <w:r>
        <w:tab/>
      </w:r>
      <w:r>
        <w:rPr>
          <w:rFonts w:eastAsia="宋体"/>
        </w:rPr>
        <w:t>[1991] 1 SCR 139.</w:t>
      </w:r>
    </w:p>
  </w:footnote>
  <w:footnote w:id="52">
    <w:p w:rsidR="005B765C" w:rsidRDefault="005B765C" w:rsidP="005B765C">
      <w:pPr>
        <w:pStyle w:val="FootnoteText"/>
        <w:ind w:left="360" w:hanging="360"/>
        <w:jc w:val="both"/>
      </w:pPr>
      <w:r>
        <w:rPr>
          <w:rStyle w:val="FootnoteReference"/>
        </w:rPr>
        <w:footnoteRef/>
      </w:r>
      <w:r>
        <w:t xml:space="preserve"> </w:t>
      </w:r>
      <w:r>
        <w:tab/>
      </w:r>
      <w:r>
        <w:rPr>
          <w:i/>
        </w:rPr>
        <w:t xml:space="preserve">Ibid </w:t>
      </w:r>
      <w:r>
        <w:t>at 198.  Although her Honour generally favoured the universal applicability of freedom of expression subject to justification under s 1 of the Charter.</w:t>
      </w:r>
    </w:p>
  </w:footnote>
  <w:footnote w:id="53">
    <w:p w:rsidR="005726FC" w:rsidRPr="006C006E" w:rsidRDefault="005726FC" w:rsidP="004E6285">
      <w:pPr>
        <w:pStyle w:val="FootnoteText"/>
        <w:tabs>
          <w:tab w:val="left" w:pos="360"/>
        </w:tabs>
        <w:ind w:left="360" w:hanging="360"/>
        <w:jc w:val="both"/>
      </w:pPr>
      <w:r>
        <w:rPr>
          <w:rStyle w:val="FootnoteReference"/>
        </w:rPr>
        <w:footnoteRef/>
      </w:r>
      <w:r>
        <w:t xml:space="preserve"> </w:t>
      </w:r>
      <w:r>
        <w:tab/>
      </w:r>
      <w:r>
        <w:rPr>
          <w:i/>
        </w:rPr>
        <w:t xml:space="preserve">Ibid </w:t>
      </w:r>
      <w:r w:rsidR="006C1F04">
        <w:t>at 241</w:t>
      </w:r>
      <w:r>
        <w:t>.</w:t>
      </w:r>
    </w:p>
  </w:footnote>
  <w:footnote w:id="54">
    <w:p w:rsidR="005726FC" w:rsidRPr="00ED5647" w:rsidRDefault="005726FC" w:rsidP="004E6285">
      <w:pPr>
        <w:pStyle w:val="FootnoteText"/>
        <w:tabs>
          <w:tab w:val="left" w:pos="360"/>
        </w:tabs>
        <w:ind w:left="360" w:hanging="360"/>
        <w:jc w:val="both"/>
      </w:pPr>
      <w:r>
        <w:rPr>
          <w:rStyle w:val="FootnoteReference"/>
        </w:rPr>
        <w:footnoteRef/>
      </w:r>
      <w:r>
        <w:t xml:space="preserve"> </w:t>
      </w:r>
      <w:r>
        <w:tab/>
      </w:r>
      <w:r w:rsidR="00061BA5">
        <w:t xml:space="preserve">See </w:t>
      </w:r>
      <w:proofErr w:type="spellStart"/>
      <w:r>
        <w:rPr>
          <w:i/>
        </w:rPr>
        <w:t>Hirst</w:t>
      </w:r>
      <w:proofErr w:type="spellEnd"/>
      <w:r>
        <w:rPr>
          <w:i/>
        </w:rPr>
        <w:t xml:space="preserve"> v UK (No 2) </w:t>
      </w:r>
      <w:r w:rsidR="006C1F04">
        <w:t>[2005]</w:t>
      </w:r>
      <w:r>
        <w:t xml:space="preserve"> ECHR 681 at §§69-71</w:t>
      </w:r>
      <w:r w:rsidR="00103ECA">
        <w:t xml:space="preserve"> and </w:t>
      </w:r>
      <w:proofErr w:type="spellStart"/>
      <w:r w:rsidR="00103ECA">
        <w:rPr>
          <w:i/>
        </w:rPr>
        <w:t>Velyo</w:t>
      </w:r>
      <w:proofErr w:type="spellEnd"/>
      <w:r w:rsidR="00103ECA">
        <w:rPr>
          <w:i/>
        </w:rPr>
        <w:t xml:space="preserve"> </w:t>
      </w:r>
      <w:proofErr w:type="spellStart"/>
      <w:r w:rsidR="00103ECA">
        <w:rPr>
          <w:i/>
        </w:rPr>
        <w:t>Velev</w:t>
      </w:r>
      <w:proofErr w:type="spellEnd"/>
      <w:r w:rsidR="00103ECA">
        <w:rPr>
          <w:i/>
        </w:rPr>
        <w:t xml:space="preserve"> v Bulgaria</w:t>
      </w:r>
      <w:r w:rsidR="00103ECA">
        <w:t>, Application No 16032/2007 (27 May 2014) at §30</w:t>
      </w:r>
      <w:r>
        <w:t>.</w:t>
      </w:r>
      <w:r w:rsidR="00397039">
        <w:t xml:space="preserve">  Similar views have been expressed at common law: see</w:t>
      </w:r>
      <w:r w:rsidR="006E670A">
        <w:t xml:space="preserve"> </w:t>
      </w:r>
      <w:proofErr w:type="spellStart"/>
      <w:r w:rsidR="006E670A">
        <w:t>eg</w:t>
      </w:r>
      <w:proofErr w:type="spellEnd"/>
      <w:r w:rsidR="006E670A">
        <w:t>,</w:t>
      </w:r>
      <w:r w:rsidR="00397039">
        <w:t xml:space="preserve"> </w:t>
      </w:r>
      <w:r w:rsidR="00397039">
        <w:rPr>
          <w:i/>
        </w:rPr>
        <w:t xml:space="preserve">Raymond v Honey </w:t>
      </w:r>
      <w:r w:rsidR="00397039">
        <w:t xml:space="preserve">[1983] </w:t>
      </w:r>
      <w:r w:rsidR="00CF35AB">
        <w:t xml:space="preserve">1 </w:t>
      </w:r>
      <w:r w:rsidR="00397039">
        <w:t>AC 1 at 10 and</w:t>
      </w:r>
      <w:r w:rsidR="006E670A">
        <w:t xml:space="preserve"> </w:t>
      </w:r>
      <w:r w:rsidR="006E670A">
        <w:rPr>
          <w:i/>
        </w:rPr>
        <w:t>R (Daly) v Secretary of Sta</w:t>
      </w:r>
      <w:r w:rsidR="00ED5647">
        <w:rPr>
          <w:i/>
        </w:rPr>
        <w:t>t</w:t>
      </w:r>
      <w:r w:rsidR="006E670A">
        <w:rPr>
          <w:i/>
        </w:rPr>
        <w:t xml:space="preserve">e for the Home Department </w:t>
      </w:r>
      <w:r w:rsidR="006E670A">
        <w:t>[2001] 2 AC 532 at §5.</w:t>
      </w:r>
      <w:r w:rsidR="00397039">
        <w:t xml:space="preserve"> </w:t>
      </w:r>
      <w:r w:rsidR="00ED5647">
        <w:t xml:space="preserve"> The question was addressed in </w:t>
      </w:r>
      <w:r w:rsidR="00ED5647">
        <w:rPr>
          <w:i/>
        </w:rPr>
        <w:t xml:space="preserve">HKSAR v Wan Thomas </w:t>
      </w:r>
      <w:r w:rsidR="00ED5647">
        <w:t>[2016] 5 HKLRD 656, but as an application for leave to appeal is pending before this Court, I say nothing about that decision.</w:t>
      </w:r>
    </w:p>
  </w:footnote>
  <w:footnote w:id="55">
    <w:p w:rsidR="005726FC" w:rsidRPr="00C4010F" w:rsidRDefault="005726FC" w:rsidP="004E6285">
      <w:pPr>
        <w:pStyle w:val="FootnoteText"/>
        <w:tabs>
          <w:tab w:val="left" w:pos="360"/>
        </w:tabs>
        <w:ind w:left="360" w:hanging="360"/>
        <w:jc w:val="both"/>
        <w:rPr>
          <w:u w:val="single"/>
        </w:rPr>
      </w:pPr>
      <w:r>
        <w:rPr>
          <w:rStyle w:val="FootnoteReference"/>
        </w:rPr>
        <w:footnoteRef/>
      </w:r>
      <w:r>
        <w:t xml:space="preserve"> </w:t>
      </w:r>
      <w:r>
        <w:tab/>
        <w:t xml:space="preserve">See </w:t>
      </w:r>
      <w:r w:rsidR="003421F1" w:rsidRPr="003421F1">
        <w:rPr>
          <w:i/>
        </w:rPr>
        <w:t>Lau Cheong v HKSAR</w:t>
      </w:r>
      <w:r w:rsidR="003421F1" w:rsidRPr="003421F1">
        <w:t xml:space="preserve"> (2002) 5 HKCFAR 415</w:t>
      </w:r>
      <w:r w:rsidR="003421F1">
        <w:t xml:space="preserve">; </w:t>
      </w:r>
      <w:proofErr w:type="spellStart"/>
      <w:r>
        <w:rPr>
          <w:i/>
        </w:rPr>
        <w:t>Ubamaka</w:t>
      </w:r>
      <w:proofErr w:type="spellEnd"/>
      <w:r>
        <w:rPr>
          <w:i/>
        </w:rPr>
        <w:t xml:space="preserve"> v Secretary for Security </w:t>
      </w:r>
      <w:r>
        <w:t>(2012) 15 HKCFAR 743.</w:t>
      </w:r>
    </w:p>
  </w:footnote>
  <w:footnote w:id="56">
    <w:p w:rsidR="005726FC" w:rsidRPr="00BA2D47" w:rsidRDefault="005726FC" w:rsidP="004E6285">
      <w:pPr>
        <w:pStyle w:val="FootnoteText"/>
        <w:tabs>
          <w:tab w:val="left" w:pos="360"/>
        </w:tabs>
        <w:ind w:left="360" w:hanging="360"/>
        <w:jc w:val="both"/>
      </w:pPr>
      <w:r>
        <w:rPr>
          <w:rStyle w:val="FootnoteReference"/>
        </w:rPr>
        <w:footnoteRef/>
      </w:r>
      <w:r>
        <w:t xml:space="preserve"> </w:t>
      </w:r>
      <w:r>
        <w:tab/>
        <w:t xml:space="preserve">Andrew Cheung J in </w:t>
      </w:r>
      <w:r>
        <w:rPr>
          <w:i/>
        </w:rPr>
        <w:t xml:space="preserve">Chan Kim Sum </w:t>
      </w:r>
      <w:proofErr w:type="gramStart"/>
      <w:r>
        <w:rPr>
          <w:i/>
        </w:rPr>
        <w:t>v</w:t>
      </w:r>
      <w:proofErr w:type="gramEnd"/>
      <w:r>
        <w:rPr>
          <w:i/>
        </w:rPr>
        <w:t xml:space="preserve"> Secretary for Justice </w:t>
      </w:r>
      <w:r>
        <w:t xml:space="preserve">[2009] 2 HKLRD 166.  </w:t>
      </w:r>
    </w:p>
  </w:footnote>
  <w:footnote w:id="57">
    <w:p w:rsidR="00ED5647" w:rsidRPr="00ED5647" w:rsidRDefault="00ED5647" w:rsidP="004E6285">
      <w:pPr>
        <w:pStyle w:val="FootnoteText"/>
        <w:tabs>
          <w:tab w:val="left" w:pos="360"/>
        </w:tabs>
        <w:ind w:left="360" w:hanging="360"/>
        <w:jc w:val="both"/>
      </w:pPr>
      <w:r>
        <w:rPr>
          <w:rStyle w:val="FootnoteReference"/>
        </w:rPr>
        <w:footnoteRef/>
      </w:r>
      <w:r>
        <w:t xml:space="preserve"> </w:t>
      </w:r>
      <w:r>
        <w:tab/>
      </w:r>
      <w:proofErr w:type="spellStart"/>
      <w:r>
        <w:t>Cf</w:t>
      </w:r>
      <w:proofErr w:type="spellEnd"/>
      <w:r>
        <w:t xml:space="preserve"> </w:t>
      </w:r>
      <w:proofErr w:type="spellStart"/>
      <w:r>
        <w:rPr>
          <w:i/>
        </w:rPr>
        <w:t>Golder</w:t>
      </w:r>
      <w:proofErr w:type="spellEnd"/>
      <w:r>
        <w:rPr>
          <w:i/>
        </w:rPr>
        <w:t xml:space="preserve"> v United Kingdom </w:t>
      </w:r>
      <w:r w:rsidR="006C1F04">
        <w:t>(1979-80</w:t>
      </w:r>
      <w:r>
        <w:t>) 1 EHRR 524.</w:t>
      </w:r>
      <w:r w:rsidR="00CE38E9">
        <w:t xml:space="preserve">  See Prison Rules, Cap 234A, r 52 for the rules relating to such visits currently in force.</w:t>
      </w:r>
    </w:p>
  </w:footnote>
  <w:footnote w:id="58">
    <w:p w:rsidR="00262D70" w:rsidRDefault="00262D70" w:rsidP="004E6285">
      <w:pPr>
        <w:pStyle w:val="FootnoteText"/>
        <w:tabs>
          <w:tab w:val="left" w:pos="360"/>
        </w:tabs>
        <w:ind w:left="360" w:hanging="360"/>
        <w:jc w:val="both"/>
      </w:pPr>
      <w:r>
        <w:rPr>
          <w:rStyle w:val="FootnoteReference"/>
        </w:rPr>
        <w:footnoteRef/>
      </w:r>
      <w:r>
        <w:t xml:space="preserve"> </w:t>
      </w:r>
      <w:r>
        <w:tab/>
        <w:t>See Prisons Ordinance (Cap 234) section 23 and Prison Rul</w:t>
      </w:r>
      <w:r w:rsidR="00EF03FF">
        <w:t>es, Part III, especially rule</w:t>
      </w:r>
      <w:r>
        <w:t>s 226-229.</w:t>
      </w:r>
    </w:p>
  </w:footnote>
  <w:footnote w:id="59">
    <w:p w:rsidR="005726FC" w:rsidRDefault="005726FC" w:rsidP="004E6285">
      <w:pPr>
        <w:pStyle w:val="FootnoteText"/>
        <w:tabs>
          <w:tab w:val="left" w:pos="360"/>
        </w:tabs>
      </w:pPr>
      <w:r>
        <w:rPr>
          <w:rStyle w:val="FootnoteReference"/>
        </w:rPr>
        <w:footnoteRef/>
      </w:r>
      <w:r>
        <w:t xml:space="preserve"> </w:t>
      </w:r>
      <w:r>
        <w:tab/>
      </w:r>
      <w:r>
        <w:rPr>
          <w:rFonts w:eastAsia="宋体"/>
        </w:rPr>
        <w:t>[1991] 1 SCR 139 at 228.</w:t>
      </w:r>
    </w:p>
  </w:footnote>
  <w:footnote w:id="60">
    <w:p w:rsidR="005726FC" w:rsidRDefault="005726FC" w:rsidP="004E6285">
      <w:pPr>
        <w:pStyle w:val="FootnoteText"/>
        <w:tabs>
          <w:tab w:val="left" w:pos="360"/>
        </w:tabs>
        <w:jc w:val="both"/>
      </w:pPr>
      <w:r>
        <w:rPr>
          <w:rStyle w:val="FootnoteReference"/>
        </w:rPr>
        <w:footnoteRef/>
      </w:r>
      <w:r>
        <w:t xml:space="preserve"> </w:t>
      </w:r>
      <w:r>
        <w:tab/>
      </w:r>
      <w:r w:rsidRPr="00A1621C">
        <w:t>[2007] 3 NZLR 91</w:t>
      </w:r>
      <w:r>
        <w:t xml:space="preserve"> at §60.</w:t>
      </w:r>
    </w:p>
  </w:footnote>
  <w:footnote w:id="61">
    <w:p w:rsidR="005726FC" w:rsidRDefault="005726FC" w:rsidP="004E6285">
      <w:pPr>
        <w:pStyle w:val="FootnoteText"/>
        <w:tabs>
          <w:tab w:val="left" w:pos="360"/>
        </w:tabs>
        <w:ind w:left="360" w:hanging="360"/>
        <w:jc w:val="both"/>
      </w:pPr>
      <w:r>
        <w:rPr>
          <w:rStyle w:val="FootnoteReference"/>
        </w:rPr>
        <w:footnoteRef/>
      </w:r>
      <w:r>
        <w:t xml:space="preserve"> </w:t>
      </w:r>
      <w:r>
        <w:tab/>
        <w:t>Section 14: “</w:t>
      </w:r>
      <w:r w:rsidRPr="00A1621C">
        <w:t>Everyone has the right to freedom of expression, including the freedom to seek, receive, and impart information and opinions of any kind in any form.</w:t>
      </w:r>
      <w:r>
        <w:t>”</w:t>
      </w:r>
    </w:p>
  </w:footnote>
  <w:footnote w:id="62">
    <w:p w:rsidR="005726FC" w:rsidRPr="005E70EF" w:rsidRDefault="005726FC" w:rsidP="004E6285">
      <w:pPr>
        <w:pStyle w:val="FootnoteText"/>
        <w:tabs>
          <w:tab w:val="left" w:pos="360"/>
        </w:tabs>
        <w:ind w:left="360" w:hanging="360"/>
        <w:jc w:val="both"/>
      </w:pPr>
      <w:r>
        <w:rPr>
          <w:rStyle w:val="FootnoteReference"/>
        </w:rPr>
        <w:footnoteRef/>
      </w:r>
      <w:r>
        <w:t xml:space="preserve"> </w:t>
      </w:r>
      <w:r>
        <w:tab/>
        <w:t xml:space="preserve">Per Lord Nicholls of Birkenhead in a very different context: </w:t>
      </w:r>
      <w:r>
        <w:rPr>
          <w:i/>
        </w:rPr>
        <w:t xml:space="preserve">In re Spectrum Plus Ltd (In Liquidation) </w:t>
      </w:r>
      <w:r>
        <w:t>[2005] 2 AC 680 at §41.</w:t>
      </w:r>
    </w:p>
  </w:footnote>
  <w:footnote w:id="63">
    <w:p w:rsidR="005726FC" w:rsidRDefault="005726FC" w:rsidP="004E6285">
      <w:pPr>
        <w:pStyle w:val="FootnoteText"/>
        <w:tabs>
          <w:tab w:val="left" w:pos="360"/>
        </w:tabs>
        <w:ind w:left="360" w:hanging="360"/>
        <w:jc w:val="both"/>
      </w:pPr>
      <w:r>
        <w:rPr>
          <w:rStyle w:val="FootnoteReference"/>
        </w:rPr>
        <w:footnoteRef/>
      </w:r>
      <w:r>
        <w:t xml:space="preserve"> </w:t>
      </w:r>
      <w:r>
        <w:tab/>
      </w:r>
      <w:r w:rsidRPr="002A3309">
        <w:t>[2010] 3 HKLRD 371</w:t>
      </w:r>
      <w:r>
        <w:t>.</w:t>
      </w:r>
    </w:p>
  </w:footnote>
  <w:footnote w:id="64">
    <w:p w:rsidR="005726FC" w:rsidRDefault="005726FC" w:rsidP="004E6285">
      <w:pPr>
        <w:pStyle w:val="FootnoteText"/>
        <w:tabs>
          <w:tab w:val="left" w:pos="360"/>
        </w:tabs>
        <w:ind w:left="360" w:hanging="360"/>
        <w:jc w:val="both"/>
      </w:pPr>
      <w:r>
        <w:rPr>
          <w:rStyle w:val="FootnoteReference"/>
        </w:rPr>
        <w:footnoteRef/>
      </w:r>
      <w:r>
        <w:t xml:space="preserve"> </w:t>
      </w:r>
      <w:r>
        <w:tab/>
        <w:t>As the Chief Judge of the High Court then was.</w:t>
      </w:r>
    </w:p>
  </w:footnote>
  <w:footnote w:id="65">
    <w:p w:rsidR="005726FC" w:rsidRDefault="005726FC" w:rsidP="004E6285">
      <w:pPr>
        <w:pStyle w:val="FootnoteText"/>
        <w:tabs>
          <w:tab w:val="left" w:pos="360"/>
        </w:tabs>
        <w:ind w:left="360" w:hanging="360"/>
        <w:jc w:val="both"/>
      </w:pPr>
      <w:r>
        <w:rPr>
          <w:rStyle w:val="FootnoteReference"/>
        </w:rPr>
        <w:footnoteRef/>
      </w:r>
      <w:r>
        <w:t xml:space="preserve"> </w:t>
      </w:r>
      <w:r>
        <w:tab/>
      </w:r>
      <w:r w:rsidRPr="002A3309">
        <w:t>[2010] 3 HKLRD 371</w:t>
      </w:r>
      <w:r>
        <w:t xml:space="preserve"> at §1.</w:t>
      </w:r>
    </w:p>
  </w:footnote>
  <w:footnote w:id="66">
    <w:p w:rsidR="005726FC" w:rsidRPr="00E40AF5" w:rsidRDefault="005726FC" w:rsidP="004E6285">
      <w:pPr>
        <w:pStyle w:val="FootnoteText"/>
        <w:tabs>
          <w:tab w:val="left" w:pos="360"/>
        </w:tabs>
        <w:ind w:left="360" w:hanging="360"/>
        <w:jc w:val="both"/>
      </w:pPr>
      <w:r>
        <w:rPr>
          <w:rStyle w:val="FootnoteReference"/>
        </w:rPr>
        <w:footnoteRef/>
      </w:r>
      <w:r>
        <w:t xml:space="preserve"> </w:t>
      </w:r>
      <w:r>
        <w:tab/>
      </w:r>
      <w:r>
        <w:rPr>
          <w:i/>
        </w:rPr>
        <w:t xml:space="preserve">Ibid </w:t>
      </w:r>
      <w:r>
        <w:t>at §25.</w:t>
      </w:r>
    </w:p>
  </w:footnote>
  <w:footnote w:id="67">
    <w:p w:rsidR="005726FC" w:rsidRPr="00E40AF5" w:rsidRDefault="005726FC" w:rsidP="004E6285">
      <w:pPr>
        <w:pStyle w:val="FootnoteText"/>
        <w:tabs>
          <w:tab w:val="left" w:pos="360"/>
        </w:tabs>
        <w:ind w:left="360" w:hanging="360"/>
        <w:jc w:val="both"/>
      </w:pPr>
      <w:r>
        <w:rPr>
          <w:rStyle w:val="FootnoteReference"/>
        </w:rPr>
        <w:footnoteRef/>
      </w:r>
      <w:r>
        <w:t xml:space="preserve"> </w:t>
      </w:r>
      <w:r>
        <w:tab/>
      </w:r>
      <w:r>
        <w:rPr>
          <w:i/>
        </w:rPr>
        <w:t xml:space="preserve">Ibid </w:t>
      </w:r>
      <w:r>
        <w:t>at §26.</w:t>
      </w:r>
    </w:p>
  </w:footnote>
  <w:footnote w:id="68">
    <w:p w:rsidR="005726FC" w:rsidRPr="004D264F" w:rsidRDefault="005726FC" w:rsidP="004E6285">
      <w:pPr>
        <w:pStyle w:val="FootnoteText"/>
        <w:tabs>
          <w:tab w:val="left" w:pos="360"/>
        </w:tabs>
      </w:pPr>
      <w:r>
        <w:rPr>
          <w:rStyle w:val="FootnoteReference"/>
        </w:rPr>
        <w:footnoteRef/>
      </w:r>
      <w:r>
        <w:t xml:space="preserve"> </w:t>
      </w:r>
      <w:r>
        <w:tab/>
      </w:r>
      <w:r>
        <w:rPr>
          <w:i/>
        </w:rPr>
        <w:t xml:space="preserve">Ibid </w:t>
      </w:r>
      <w:r>
        <w:t>at §37.</w:t>
      </w:r>
    </w:p>
  </w:footnote>
  <w:footnote w:id="69">
    <w:p w:rsidR="005726FC" w:rsidRPr="004D264F" w:rsidRDefault="005726FC" w:rsidP="004E6285">
      <w:pPr>
        <w:pStyle w:val="FootnoteText"/>
        <w:tabs>
          <w:tab w:val="left" w:pos="360"/>
        </w:tabs>
      </w:pPr>
      <w:r>
        <w:rPr>
          <w:rStyle w:val="FootnoteReference"/>
        </w:rPr>
        <w:footnoteRef/>
      </w:r>
      <w:r>
        <w:t xml:space="preserve"> </w:t>
      </w:r>
      <w:r>
        <w:tab/>
      </w:r>
      <w:r>
        <w:rPr>
          <w:i/>
        </w:rPr>
        <w:t xml:space="preserve">Ibid </w:t>
      </w:r>
      <w:r>
        <w:t>at §53.</w:t>
      </w:r>
    </w:p>
  </w:footnote>
  <w:footnote w:id="70">
    <w:p w:rsidR="005726FC" w:rsidRDefault="005726FC" w:rsidP="004E6285">
      <w:pPr>
        <w:pStyle w:val="FootnoteText"/>
        <w:tabs>
          <w:tab w:val="left" w:pos="360"/>
        </w:tabs>
      </w:pPr>
      <w:r>
        <w:rPr>
          <w:rStyle w:val="FootnoteReference"/>
        </w:rPr>
        <w:footnoteRef/>
      </w:r>
      <w:r>
        <w:t xml:space="preserve"> </w:t>
      </w:r>
      <w:r>
        <w:tab/>
      </w:r>
      <w:r>
        <w:rPr>
          <w:rFonts w:eastAsia="宋体"/>
        </w:rPr>
        <w:t>(2003) 37 EHRR 38.</w:t>
      </w:r>
    </w:p>
  </w:footnote>
  <w:footnote w:id="71">
    <w:p w:rsidR="005726FC" w:rsidRPr="006F013D" w:rsidRDefault="005726FC" w:rsidP="004E6285">
      <w:pPr>
        <w:pStyle w:val="FootnoteText"/>
        <w:tabs>
          <w:tab w:val="left" w:pos="360"/>
        </w:tabs>
      </w:pPr>
      <w:r>
        <w:rPr>
          <w:rStyle w:val="FootnoteReference"/>
        </w:rPr>
        <w:footnoteRef/>
      </w:r>
      <w:r>
        <w:t xml:space="preserve"> </w:t>
      </w:r>
      <w:r>
        <w:tab/>
      </w:r>
      <w:r>
        <w:rPr>
          <w:i/>
        </w:rPr>
        <w:t xml:space="preserve">Ibid </w:t>
      </w:r>
      <w:r>
        <w:t>at §47.</w:t>
      </w:r>
    </w:p>
  </w:footnote>
  <w:footnote w:id="72">
    <w:p w:rsidR="005726FC" w:rsidRPr="00121AE0" w:rsidRDefault="005726FC" w:rsidP="004E6285">
      <w:pPr>
        <w:pStyle w:val="FootnoteText"/>
        <w:tabs>
          <w:tab w:val="left" w:pos="360"/>
        </w:tabs>
      </w:pPr>
      <w:r>
        <w:rPr>
          <w:rStyle w:val="FootnoteReference"/>
        </w:rPr>
        <w:footnoteRef/>
      </w:r>
      <w:r>
        <w:t xml:space="preserve"> </w:t>
      </w:r>
      <w:r>
        <w:tab/>
      </w:r>
      <w:r>
        <w:rPr>
          <w:i/>
        </w:rPr>
        <w:t xml:space="preserve">Ibid </w:t>
      </w:r>
      <w:r>
        <w:t>at §40.</w:t>
      </w:r>
    </w:p>
  </w:footnote>
  <w:footnote w:id="73">
    <w:p w:rsidR="005726FC" w:rsidRDefault="005726FC" w:rsidP="004E6285">
      <w:pPr>
        <w:pStyle w:val="FootnoteText"/>
        <w:tabs>
          <w:tab w:val="left" w:pos="360"/>
        </w:tabs>
      </w:pPr>
      <w:r>
        <w:rPr>
          <w:rStyle w:val="FootnoteReference"/>
        </w:rPr>
        <w:footnoteRef/>
      </w:r>
      <w:r>
        <w:t xml:space="preserve"> </w:t>
      </w:r>
      <w:r>
        <w:tab/>
      </w:r>
      <w:r>
        <w:rPr>
          <w:rFonts w:eastAsia="宋体"/>
        </w:rPr>
        <w:t>(2014) 17 HKCFAR 689 at §28.</w:t>
      </w:r>
    </w:p>
  </w:footnote>
  <w:footnote w:id="74">
    <w:p w:rsidR="005726FC" w:rsidRPr="00BA64A7" w:rsidRDefault="005726FC" w:rsidP="004E6285">
      <w:pPr>
        <w:pStyle w:val="FootnoteText"/>
        <w:tabs>
          <w:tab w:val="left" w:pos="360"/>
        </w:tabs>
        <w:ind w:left="360" w:hanging="360"/>
        <w:jc w:val="both"/>
      </w:pPr>
      <w:r>
        <w:rPr>
          <w:rStyle w:val="FootnoteReference"/>
        </w:rPr>
        <w:footnoteRef/>
      </w:r>
      <w:r>
        <w:t xml:space="preserve"> </w:t>
      </w:r>
      <w:r>
        <w:tab/>
      </w:r>
      <w:r>
        <w:rPr>
          <w:i/>
        </w:rPr>
        <w:t xml:space="preserve">Ibid </w:t>
      </w:r>
      <w:r>
        <w:t>at §32.</w:t>
      </w:r>
    </w:p>
  </w:footnote>
  <w:footnote w:id="75">
    <w:p w:rsidR="005726FC" w:rsidRDefault="005726FC" w:rsidP="004E6285">
      <w:pPr>
        <w:pStyle w:val="FootnoteText"/>
        <w:tabs>
          <w:tab w:val="left" w:pos="360"/>
        </w:tabs>
        <w:ind w:left="360" w:hanging="360"/>
        <w:jc w:val="both"/>
      </w:pPr>
      <w:r>
        <w:rPr>
          <w:rStyle w:val="FootnoteReference"/>
        </w:rPr>
        <w:footnoteRef/>
      </w:r>
      <w:r>
        <w:t xml:space="preserve"> </w:t>
      </w:r>
      <w:r>
        <w:tab/>
        <w:t>Section C above.</w:t>
      </w:r>
    </w:p>
  </w:footnote>
  <w:footnote w:id="76">
    <w:p w:rsidR="005726FC" w:rsidRDefault="005726FC" w:rsidP="004E6285">
      <w:pPr>
        <w:pStyle w:val="FootnoteText"/>
        <w:tabs>
          <w:tab w:val="left" w:pos="360"/>
        </w:tabs>
        <w:ind w:left="360" w:hanging="360"/>
        <w:jc w:val="both"/>
      </w:pPr>
      <w:r>
        <w:rPr>
          <w:rStyle w:val="FootnoteReference"/>
        </w:rPr>
        <w:footnoteRef/>
      </w:r>
      <w:r>
        <w:t xml:space="preserve"> </w:t>
      </w:r>
      <w:r>
        <w:tab/>
        <w:t>Unde</w:t>
      </w:r>
      <w:r w:rsidR="006C1F04">
        <w:t>r BL 39(2) and “provided by law</w:t>
      </w:r>
      <w:r>
        <w:t xml:space="preserve">” under BOR 16(3): </w:t>
      </w:r>
      <w:r>
        <w:rPr>
          <w:rFonts w:eastAsia="宋体"/>
          <w:i/>
        </w:rPr>
        <w:t xml:space="preserve">Leung Kwok Hung v HKSAR </w:t>
      </w:r>
      <w:r>
        <w:rPr>
          <w:rFonts w:eastAsia="宋体"/>
        </w:rPr>
        <w:t xml:space="preserve">(2005) 8 HKCFAR 229 at </w:t>
      </w:r>
      <w:r>
        <w:t>§18.</w:t>
      </w:r>
    </w:p>
  </w:footnote>
  <w:footnote w:id="77">
    <w:p w:rsidR="005726FC" w:rsidRDefault="005726FC" w:rsidP="004E6285">
      <w:pPr>
        <w:tabs>
          <w:tab w:val="left" w:pos="360"/>
        </w:tabs>
        <w:spacing w:before="120" w:after="120" w:line="240" w:lineRule="auto"/>
        <w:ind w:left="360" w:hanging="360"/>
        <w:jc w:val="both"/>
      </w:pPr>
      <w:r>
        <w:rPr>
          <w:rStyle w:val="FootnoteReference"/>
        </w:rPr>
        <w:footnoteRef/>
      </w:r>
      <w:r>
        <w:t xml:space="preserve"> </w:t>
      </w:r>
      <w:r>
        <w:tab/>
      </w:r>
      <w:r w:rsidRPr="008A445B">
        <w:rPr>
          <w:rFonts w:eastAsia="宋体"/>
          <w:sz w:val="24"/>
        </w:rPr>
        <w:t xml:space="preserve">(2007) 10 HKCFAR 386 at §61, citing </w:t>
      </w:r>
      <w:r w:rsidRPr="008A445B">
        <w:rPr>
          <w:rFonts w:eastAsia="宋体"/>
          <w:i/>
          <w:sz w:val="24"/>
        </w:rPr>
        <w:t xml:space="preserve">Shum Kwok Sher v HKSAR </w:t>
      </w:r>
      <w:r w:rsidRPr="008A445B">
        <w:rPr>
          <w:rFonts w:eastAsia="宋体"/>
          <w:sz w:val="24"/>
        </w:rPr>
        <w:t>(2002) 5 HKCFAR 381.</w:t>
      </w:r>
    </w:p>
  </w:footnote>
  <w:footnote w:id="78">
    <w:p w:rsidR="005726FC" w:rsidRDefault="005726FC" w:rsidP="00F9728D">
      <w:pPr>
        <w:pStyle w:val="FootnoteText"/>
        <w:tabs>
          <w:tab w:val="left" w:pos="360"/>
        </w:tabs>
      </w:pPr>
      <w:r>
        <w:rPr>
          <w:rStyle w:val="FootnoteReference"/>
        </w:rPr>
        <w:footnoteRef/>
      </w:r>
      <w:r>
        <w:t xml:space="preserve"> </w:t>
      </w:r>
      <w:r>
        <w:tab/>
        <w:t>Set out in Section B above.</w:t>
      </w:r>
    </w:p>
  </w:footnote>
  <w:footnote w:id="79">
    <w:p w:rsidR="005726FC" w:rsidRDefault="005726FC" w:rsidP="00F9728D">
      <w:pPr>
        <w:pStyle w:val="FootnoteText"/>
        <w:tabs>
          <w:tab w:val="left" w:pos="360"/>
        </w:tabs>
      </w:pPr>
      <w:r>
        <w:rPr>
          <w:rStyle w:val="FootnoteReference"/>
        </w:rPr>
        <w:footnoteRef/>
      </w:r>
      <w:r>
        <w:t xml:space="preserve"> </w:t>
      </w:r>
      <w:r>
        <w:tab/>
      </w:r>
      <w:r w:rsidRPr="009F1033">
        <w:t>(2006) 9 HKCFAR 574</w:t>
      </w:r>
      <w:r>
        <w:t xml:space="preserve"> at §63.</w:t>
      </w:r>
    </w:p>
  </w:footnote>
  <w:footnote w:id="80">
    <w:p w:rsidR="005726FC" w:rsidRDefault="005726FC" w:rsidP="00F9728D">
      <w:pPr>
        <w:pStyle w:val="FootnoteText"/>
        <w:tabs>
          <w:tab w:val="left" w:pos="360"/>
        </w:tabs>
        <w:ind w:left="360" w:hanging="360"/>
        <w:jc w:val="both"/>
      </w:pPr>
      <w:r>
        <w:rPr>
          <w:rStyle w:val="FootnoteReference"/>
        </w:rPr>
        <w:footnoteRef/>
      </w:r>
      <w:r>
        <w:t xml:space="preserve"> </w:t>
      </w:r>
      <w:r>
        <w:tab/>
      </w:r>
      <w:r>
        <w:rPr>
          <w:rFonts w:eastAsia="宋体"/>
        </w:rPr>
        <w:t>(2013) 16 HKCFAR 837 at §67.</w:t>
      </w:r>
    </w:p>
  </w:footnote>
  <w:footnote w:id="81">
    <w:p w:rsidR="005726FC" w:rsidRDefault="005726FC" w:rsidP="00F9728D">
      <w:pPr>
        <w:pStyle w:val="FootnoteText"/>
        <w:tabs>
          <w:tab w:val="left" w:pos="360"/>
        </w:tabs>
        <w:ind w:left="360" w:hanging="360"/>
        <w:jc w:val="both"/>
      </w:pPr>
      <w:r>
        <w:rPr>
          <w:rStyle w:val="FootnoteReference"/>
        </w:rPr>
        <w:footnoteRef/>
      </w:r>
      <w:r>
        <w:t xml:space="preserve"> </w:t>
      </w:r>
      <w:r>
        <w:tab/>
        <w:t>(2004) 220 CLR 1 at §12.</w:t>
      </w:r>
    </w:p>
  </w:footnote>
  <w:footnote w:id="82">
    <w:p w:rsidR="005726FC" w:rsidRDefault="005726FC" w:rsidP="00F9728D">
      <w:pPr>
        <w:pStyle w:val="FootnoteText"/>
        <w:tabs>
          <w:tab w:val="left" w:pos="360"/>
        </w:tabs>
        <w:ind w:left="360" w:hanging="360"/>
        <w:jc w:val="both"/>
      </w:pPr>
      <w:r>
        <w:rPr>
          <w:rStyle w:val="FootnoteReference"/>
        </w:rPr>
        <w:footnoteRef/>
      </w:r>
      <w:r>
        <w:t xml:space="preserve"> </w:t>
      </w:r>
      <w:r>
        <w:tab/>
      </w:r>
      <w:r>
        <w:rPr>
          <w:rFonts w:eastAsia="宋体"/>
        </w:rPr>
        <w:t>(2013) 16 HKCFAR 837 at §68.</w:t>
      </w:r>
    </w:p>
  </w:footnote>
  <w:footnote w:id="83">
    <w:p w:rsidR="005726FC" w:rsidRDefault="005726FC" w:rsidP="00F9728D">
      <w:pPr>
        <w:pStyle w:val="FootnoteText"/>
        <w:tabs>
          <w:tab w:val="left" w:pos="360"/>
        </w:tabs>
        <w:ind w:left="360" w:hanging="360"/>
        <w:jc w:val="both"/>
      </w:pPr>
      <w:r>
        <w:rPr>
          <w:rStyle w:val="FootnoteReference"/>
        </w:rPr>
        <w:footnoteRef/>
      </w:r>
      <w:r>
        <w:t xml:space="preserve"> </w:t>
      </w:r>
      <w:r>
        <w:tab/>
        <w:t xml:space="preserve">In the </w:t>
      </w:r>
      <w:r>
        <w:rPr>
          <w:szCs w:val="28"/>
        </w:rPr>
        <w:t>citations of legislative provisions in t</w:t>
      </w:r>
      <w:r w:rsidR="00142DC4">
        <w:rPr>
          <w:szCs w:val="28"/>
        </w:rPr>
        <w:t>his Section of the judgment, the</w:t>
      </w:r>
      <w:r>
        <w:rPr>
          <w:szCs w:val="28"/>
        </w:rPr>
        <w:t xml:space="preserve"> italics are supplied.</w:t>
      </w:r>
    </w:p>
  </w:footnote>
  <w:footnote w:id="84">
    <w:p w:rsidR="005726FC" w:rsidRDefault="005726FC" w:rsidP="00F9728D">
      <w:pPr>
        <w:pStyle w:val="FootnoteText"/>
        <w:tabs>
          <w:tab w:val="left" w:pos="360"/>
        </w:tabs>
      </w:pPr>
      <w:r>
        <w:rPr>
          <w:rStyle w:val="FootnoteReference"/>
        </w:rPr>
        <w:footnoteRef/>
      </w:r>
      <w:r>
        <w:t xml:space="preserve"> </w:t>
      </w:r>
      <w:r>
        <w:tab/>
        <w:t>Section B above.</w:t>
      </w:r>
    </w:p>
  </w:footnote>
  <w:footnote w:id="85">
    <w:p w:rsidR="005726FC" w:rsidRDefault="005726FC" w:rsidP="00F9728D">
      <w:pPr>
        <w:pStyle w:val="FootnoteText"/>
        <w:tabs>
          <w:tab w:val="left" w:pos="360"/>
        </w:tabs>
      </w:pPr>
      <w:r>
        <w:rPr>
          <w:rStyle w:val="FootnoteReference"/>
        </w:rPr>
        <w:footnoteRef/>
      </w:r>
      <w:r>
        <w:t xml:space="preserve"> </w:t>
      </w:r>
      <w:r>
        <w:tab/>
        <w:t>There being no suggestion that AI section 12 suffers from uncertainty.</w:t>
      </w:r>
    </w:p>
  </w:footnote>
  <w:footnote w:id="86">
    <w:p w:rsidR="005726FC" w:rsidRDefault="005726FC" w:rsidP="00F9728D">
      <w:pPr>
        <w:pStyle w:val="FootnoteText"/>
        <w:tabs>
          <w:tab w:val="left" w:pos="360"/>
        </w:tabs>
      </w:pPr>
      <w:r>
        <w:rPr>
          <w:rStyle w:val="FootnoteReference"/>
        </w:rPr>
        <w:footnoteRef/>
      </w:r>
      <w:r>
        <w:t xml:space="preserve"> </w:t>
      </w:r>
      <w:r>
        <w:tab/>
      </w:r>
      <w:r>
        <w:rPr>
          <w:rFonts w:eastAsia="宋体"/>
        </w:rPr>
        <w:t>(1999) 28 EHRR 603.</w:t>
      </w:r>
    </w:p>
  </w:footnote>
  <w:footnote w:id="87">
    <w:p w:rsidR="005726FC" w:rsidRDefault="005726FC" w:rsidP="00F9728D">
      <w:pPr>
        <w:pStyle w:val="FootnoteText"/>
        <w:tabs>
          <w:tab w:val="left" w:pos="360"/>
        </w:tabs>
      </w:pPr>
      <w:r>
        <w:rPr>
          <w:rStyle w:val="FootnoteReference"/>
        </w:rPr>
        <w:footnoteRef/>
      </w:r>
      <w:r>
        <w:t xml:space="preserve"> </w:t>
      </w:r>
      <w:r>
        <w:tab/>
      </w:r>
      <w:r w:rsidR="006C1F04">
        <w:rPr>
          <w:rFonts w:eastAsia="宋体"/>
        </w:rPr>
        <w:t>(2003) 6</w:t>
      </w:r>
      <w:r>
        <w:rPr>
          <w:rFonts w:eastAsia="宋体"/>
        </w:rPr>
        <w:t xml:space="preserve"> HKCFAR 624.</w:t>
      </w:r>
    </w:p>
  </w:footnote>
  <w:footnote w:id="88">
    <w:p w:rsidR="005726FC" w:rsidRDefault="005726FC" w:rsidP="00F9728D">
      <w:pPr>
        <w:pStyle w:val="FootnoteText"/>
        <w:tabs>
          <w:tab w:val="left" w:pos="360"/>
        </w:tabs>
      </w:pPr>
      <w:r>
        <w:rPr>
          <w:rStyle w:val="FootnoteReference"/>
        </w:rPr>
        <w:footnoteRef/>
      </w:r>
      <w:r>
        <w:t xml:space="preserve"> </w:t>
      </w:r>
      <w:r>
        <w:tab/>
      </w:r>
      <w:r>
        <w:rPr>
          <w:rFonts w:eastAsia="宋体"/>
        </w:rPr>
        <w:t>[2007] 3 NZLR 91.</w:t>
      </w:r>
    </w:p>
  </w:footnote>
  <w:footnote w:id="89">
    <w:p w:rsidR="005726FC" w:rsidRDefault="005726FC" w:rsidP="00F9728D">
      <w:pPr>
        <w:pStyle w:val="FootnoteText"/>
        <w:tabs>
          <w:tab w:val="left" w:pos="360"/>
        </w:tabs>
      </w:pPr>
      <w:r>
        <w:rPr>
          <w:rStyle w:val="FootnoteReference"/>
        </w:rPr>
        <w:footnoteRef/>
      </w:r>
      <w:r>
        <w:t xml:space="preserve"> </w:t>
      </w:r>
      <w:r>
        <w:tab/>
        <w:t>Under section 4(1)(a) of the Summary Offences Act.</w:t>
      </w:r>
    </w:p>
  </w:footnote>
  <w:footnote w:id="90">
    <w:p w:rsidR="005726FC" w:rsidRDefault="005726FC" w:rsidP="00F9728D">
      <w:pPr>
        <w:pStyle w:val="FootnoteText"/>
        <w:tabs>
          <w:tab w:val="left" w:pos="360"/>
        </w:tabs>
      </w:pPr>
      <w:r>
        <w:rPr>
          <w:rStyle w:val="FootnoteReference"/>
        </w:rPr>
        <w:footnoteRef/>
      </w:r>
      <w:r>
        <w:t xml:space="preserve"> </w:t>
      </w:r>
      <w:r>
        <w:tab/>
      </w:r>
      <w:r w:rsidRPr="00683B9B">
        <w:t>(1999) 28 EHRR 603</w:t>
      </w:r>
    </w:p>
  </w:footnote>
  <w:footnote w:id="91">
    <w:p w:rsidR="005726FC" w:rsidRPr="00EC3927" w:rsidRDefault="005726FC" w:rsidP="00F9728D">
      <w:pPr>
        <w:pStyle w:val="FootnoteText"/>
        <w:tabs>
          <w:tab w:val="left" w:pos="360"/>
        </w:tabs>
      </w:pPr>
      <w:r>
        <w:rPr>
          <w:rStyle w:val="FootnoteReference"/>
        </w:rPr>
        <w:footnoteRef/>
      </w:r>
      <w:r>
        <w:t xml:space="preserve"> </w:t>
      </w:r>
      <w:r>
        <w:tab/>
      </w:r>
      <w:r>
        <w:rPr>
          <w:i/>
        </w:rPr>
        <w:t xml:space="preserve">Ibid </w:t>
      </w:r>
      <w:r>
        <w:t>at §76.</w:t>
      </w:r>
    </w:p>
  </w:footnote>
  <w:footnote w:id="92">
    <w:p w:rsidR="005726FC" w:rsidRDefault="005726FC" w:rsidP="00F9728D">
      <w:pPr>
        <w:pStyle w:val="FootnoteText"/>
        <w:tabs>
          <w:tab w:val="left" w:pos="360"/>
        </w:tabs>
      </w:pPr>
      <w:r>
        <w:rPr>
          <w:rStyle w:val="FootnoteReference"/>
        </w:rPr>
        <w:footnoteRef/>
      </w:r>
      <w:r>
        <w:t xml:space="preserve"> </w:t>
      </w:r>
      <w:r>
        <w:tab/>
      </w:r>
      <w:r>
        <w:rPr>
          <w:rFonts w:eastAsia="宋体"/>
        </w:rPr>
        <w:t>(1999) 30 EHRR 241.</w:t>
      </w:r>
    </w:p>
  </w:footnote>
  <w:footnote w:id="93">
    <w:p w:rsidR="005726FC" w:rsidRPr="00C168A7" w:rsidRDefault="005726FC" w:rsidP="00E446B4">
      <w:pPr>
        <w:pStyle w:val="FootnoteText"/>
        <w:tabs>
          <w:tab w:val="left" w:pos="360"/>
        </w:tabs>
      </w:pPr>
      <w:r>
        <w:rPr>
          <w:rStyle w:val="FootnoteReference"/>
        </w:rPr>
        <w:footnoteRef/>
      </w:r>
      <w:r>
        <w:t xml:space="preserve"> </w:t>
      </w:r>
      <w:r>
        <w:tab/>
      </w:r>
      <w:r>
        <w:rPr>
          <w:i/>
        </w:rPr>
        <w:t xml:space="preserve">Ibid </w:t>
      </w:r>
      <w:r>
        <w:t>at §§25, 27 and 35.</w:t>
      </w:r>
    </w:p>
  </w:footnote>
  <w:footnote w:id="94">
    <w:p w:rsidR="005726FC" w:rsidRPr="00C90054" w:rsidRDefault="005726FC" w:rsidP="00E446B4">
      <w:pPr>
        <w:pStyle w:val="FootnoteText"/>
        <w:tabs>
          <w:tab w:val="left" w:pos="360"/>
        </w:tabs>
      </w:pPr>
      <w:r>
        <w:rPr>
          <w:rStyle w:val="FootnoteReference"/>
        </w:rPr>
        <w:footnoteRef/>
      </w:r>
      <w:r>
        <w:t xml:space="preserve"> </w:t>
      </w:r>
      <w:r>
        <w:tab/>
      </w:r>
      <w:r>
        <w:rPr>
          <w:i/>
        </w:rPr>
        <w:t xml:space="preserve">Ibid </w:t>
      </w:r>
      <w:r>
        <w:t>at §§38-41.</w:t>
      </w:r>
    </w:p>
  </w:footnote>
  <w:footnote w:id="95">
    <w:p w:rsidR="005726FC" w:rsidRPr="00683B9B" w:rsidRDefault="005726FC" w:rsidP="00E446B4">
      <w:pPr>
        <w:pStyle w:val="FootnoteText"/>
        <w:tabs>
          <w:tab w:val="left" w:pos="360"/>
        </w:tabs>
      </w:pPr>
      <w:r>
        <w:rPr>
          <w:rStyle w:val="FootnoteReference"/>
        </w:rPr>
        <w:footnoteRef/>
      </w:r>
      <w:r>
        <w:t xml:space="preserve"> </w:t>
      </w:r>
      <w:r>
        <w:tab/>
      </w:r>
      <w:r>
        <w:rPr>
          <w:i/>
        </w:rPr>
        <w:t xml:space="preserve">Ibid </w:t>
      </w:r>
      <w:r>
        <w:t>at §40.</w:t>
      </w:r>
    </w:p>
  </w:footnote>
  <w:footnote w:id="96">
    <w:p w:rsidR="005726FC" w:rsidRDefault="005726FC" w:rsidP="00E446B4">
      <w:pPr>
        <w:pStyle w:val="FootnoteText"/>
        <w:tabs>
          <w:tab w:val="left" w:pos="360"/>
        </w:tabs>
      </w:pPr>
      <w:r>
        <w:rPr>
          <w:rStyle w:val="FootnoteReference"/>
        </w:rPr>
        <w:footnoteRef/>
      </w:r>
      <w:r>
        <w:t xml:space="preserve"> </w:t>
      </w:r>
      <w:r>
        <w:tab/>
      </w:r>
      <w:r w:rsidR="00CF35AB">
        <w:rPr>
          <w:rFonts w:eastAsia="宋体"/>
        </w:rPr>
        <w:t>(2003) 6</w:t>
      </w:r>
      <w:r>
        <w:rPr>
          <w:rFonts w:eastAsia="宋体"/>
        </w:rPr>
        <w:t xml:space="preserve"> HKCFAR 624.</w:t>
      </w:r>
    </w:p>
  </w:footnote>
  <w:footnote w:id="97">
    <w:p w:rsidR="005726FC" w:rsidRPr="007D16FA" w:rsidRDefault="005726FC" w:rsidP="00E446B4">
      <w:pPr>
        <w:pStyle w:val="FootnoteText"/>
        <w:tabs>
          <w:tab w:val="left" w:pos="360"/>
        </w:tabs>
      </w:pPr>
      <w:r>
        <w:rPr>
          <w:rStyle w:val="FootnoteReference"/>
        </w:rPr>
        <w:footnoteRef/>
      </w:r>
      <w:r>
        <w:t xml:space="preserve"> </w:t>
      </w:r>
      <w:r>
        <w:tab/>
      </w:r>
      <w:r>
        <w:rPr>
          <w:i/>
        </w:rPr>
        <w:t xml:space="preserve">Ibid </w:t>
      </w:r>
      <w:r>
        <w:t>at §49.</w:t>
      </w:r>
    </w:p>
  </w:footnote>
  <w:footnote w:id="98">
    <w:p w:rsidR="005726FC" w:rsidRDefault="005726FC" w:rsidP="00E446B4">
      <w:pPr>
        <w:pStyle w:val="FootnoteText"/>
        <w:tabs>
          <w:tab w:val="left" w:pos="360"/>
        </w:tabs>
      </w:pPr>
      <w:r>
        <w:rPr>
          <w:rStyle w:val="FootnoteReference"/>
        </w:rPr>
        <w:footnoteRef/>
      </w:r>
      <w:r>
        <w:t xml:space="preserve"> </w:t>
      </w:r>
      <w:r>
        <w:tab/>
      </w:r>
      <w:r>
        <w:rPr>
          <w:rFonts w:eastAsia="宋体"/>
        </w:rPr>
        <w:t>[2007] 3 NZLR 91.</w:t>
      </w:r>
    </w:p>
  </w:footnote>
  <w:footnote w:id="99">
    <w:p w:rsidR="005726FC" w:rsidRPr="00651F73" w:rsidRDefault="005726FC" w:rsidP="00E446B4">
      <w:pPr>
        <w:pStyle w:val="FootnoteText"/>
        <w:tabs>
          <w:tab w:val="left" w:pos="360"/>
        </w:tabs>
      </w:pPr>
      <w:r>
        <w:rPr>
          <w:rStyle w:val="FootnoteReference"/>
        </w:rPr>
        <w:footnoteRef/>
      </w:r>
      <w:r>
        <w:t xml:space="preserve"> </w:t>
      </w:r>
      <w:r>
        <w:tab/>
      </w:r>
      <w:r>
        <w:rPr>
          <w:i/>
        </w:rPr>
        <w:t xml:space="preserve">Ibid </w:t>
      </w:r>
      <w:r>
        <w:t>at §41.</w:t>
      </w:r>
    </w:p>
  </w:footnote>
  <w:footnote w:id="100">
    <w:p w:rsidR="005726FC" w:rsidRPr="00AA7107" w:rsidRDefault="005726FC" w:rsidP="00E446B4">
      <w:pPr>
        <w:pStyle w:val="FootnoteText"/>
        <w:tabs>
          <w:tab w:val="left" w:pos="360"/>
        </w:tabs>
      </w:pPr>
      <w:r>
        <w:rPr>
          <w:rStyle w:val="FootnoteReference"/>
        </w:rPr>
        <w:footnoteRef/>
      </w:r>
      <w:r>
        <w:t xml:space="preserve"> </w:t>
      </w:r>
      <w:r>
        <w:tab/>
      </w:r>
      <w:r>
        <w:rPr>
          <w:i/>
        </w:rPr>
        <w:t xml:space="preserve">Ibid </w:t>
      </w:r>
      <w:r>
        <w:t>at §38.</w:t>
      </w:r>
    </w:p>
  </w:footnote>
  <w:footnote w:id="101">
    <w:p w:rsidR="00357D03" w:rsidRDefault="00357D03" w:rsidP="00E446B4">
      <w:pPr>
        <w:pStyle w:val="FootnoteText"/>
        <w:tabs>
          <w:tab w:val="left" w:pos="360"/>
        </w:tabs>
      </w:pPr>
      <w:r>
        <w:rPr>
          <w:rStyle w:val="FootnoteReference"/>
        </w:rPr>
        <w:footnoteRef/>
      </w:r>
      <w:r>
        <w:t xml:space="preserve"> </w:t>
      </w:r>
      <w:r>
        <w:tab/>
        <w:t>Judgment §§81-82, 88 and 94.</w:t>
      </w:r>
    </w:p>
  </w:footnote>
  <w:footnote w:id="102">
    <w:p w:rsidR="00817393" w:rsidRDefault="00817393" w:rsidP="00E446B4">
      <w:pPr>
        <w:pStyle w:val="FootnoteText"/>
        <w:tabs>
          <w:tab w:val="left" w:pos="360"/>
        </w:tabs>
      </w:pPr>
      <w:r>
        <w:rPr>
          <w:rStyle w:val="FootnoteReference"/>
        </w:rPr>
        <w:footnoteRef/>
      </w:r>
      <w:r>
        <w:t xml:space="preserve"> </w:t>
      </w:r>
      <w:r>
        <w:tab/>
        <w:t>Judgment §§83-84.</w:t>
      </w:r>
    </w:p>
  </w:footnote>
  <w:footnote w:id="103">
    <w:p w:rsidR="005726FC" w:rsidRDefault="005726FC" w:rsidP="00E446B4">
      <w:pPr>
        <w:pStyle w:val="FootnoteText"/>
        <w:tabs>
          <w:tab w:val="left" w:pos="360"/>
        </w:tabs>
      </w:pPr>
      <w:r>
        <w:rPr>
          <w:rStyle w:val="FootnoteReference"/>
        </w:rPr>
        <w:footnoteRef/>
      </w:r>
      <w:r>
        <w:t xml:space="preserve"> </w:t>
      </w:r>
      <w:r>
        <w:tab/>
        <w:t>Appellant’s Written Case §§43-45.  Italics in the original.</w:t>
      </w:r>
    </w:p>
  </w:footnote>
  <w:footnote w:id="104">
    <w:p w:rsidR="005726FC" w:rsidRDefault="005726FC" w:rsidP="00E446B4">
      <w:pPr>
        <w:pStyle w:val="FootnoteText"/>
        <w:tabs>
          <w:tab w:val="left" w:pos="360"/>
        </w:tabs>
      </w:pPr>
      <w:r>
        <w:rPr>
          <w:rStyle w:val="FootnoteReference"/>
        </w:rPr>
        <w:footnoteRef/>
      </w:r>
      <w:r>
        <w:t xml:space="preserve"> </w:t>
      </w:r>
      <w:r>
        <w:tab/>
        <w:t>As well as for “other administrative purposes”.</w:t>
      </w:r>
    </w:p>
  </w:footnote>
  <w:footnote w:id="105">
    <w:p w:rsidR="00B75BD6" w:rsidRDefault="00B75BD6" w:rsidP="00E446B4">
      <w:pPr>
        <w:pStyle w:val="FootnoteText"/>
        <w:tabs>
          <w:tab w:val="left" w:pos="360"/>
        </w:tabs>
      </w:pPr>
      <w:r>
        <w:rPr>
          <w:rStyle w:val="FootnoteReference"/>
        </w:rPr>
        <w:footnoteRef/>
      </w:r>
      <w:r>
        <w:t xml:space="preserve"> </w:t>
      </w:r>
      <w:r>
        <w:tab/>
        <w:t xml:space="preserve">Rule 198, Lexis </w:t>
      </w:r>
      <w:proofErr w:type="spellStart"/>
      <w:r>
        <w:t>Nexis</w:t>
      </w:r>
      <w:proofErr w:type="spellEnd"/>
      <w:r>
        <w:t xml:space="preserve"> On-line edition.</w:t>
      </w:r>
    </w:p>
  </w:footnote>
  <w:footnote w:id="106">
    <w:p w:rsidR="004F59FC" w:rsidRDefault="004F59FC" w:rsidP="00E446B4">
      <w:pPr>
        <w:pStyle w:val="FootnoteText"/>
        <w:tabs>
          <w:tab w:val="left" w:pos="360"/>
        </w:tabs>
      </w:pPr>
      <w:r>
        <w:rPr>
          <w:rStyle w:val="FootnoteReference"/>
        </w:rPr>
        <w:footnoteRef/>
      </w:r>
      <w:r>
        <w:t xml:space="preserve"> </w:t>
      </w:r>
      <w:r>
        <w:tab/>
      </w:r>
      <w:r w:rsidRPr="004F59FC">
        <w:t>(2006) 9 HKCFAR 574</w:t>
      </w:r>
      <w:r>
        <w:t>.</w:t>
      </w:r>
    </w:p>
  </w:footnote>
  <w:footnote w:id="107">
    <w:p w:rsidR="005726FC" w:rsidRDefault="005726FC" w:rsidP="00E446B4">
      <w:pPr>
        <w:pStyle w:val="FootnoteText"/>
        <w:tabs>
          <w:tab w:val="left" w:pos="360"/>
        </w:tabs>
      </w:pPr>
      <w:r>
        <w:rPr>
          <w:rStyle w:val="FootnoteReference"/>
        </w:rPr>
        <w:footnoteRef/>
      </w:r>
      <w:r>
        <w:t xml:space="preserve"> </w:t>
      </w:r>
      <w:r>
        <w:tab/>
        <w:t>The appellant does not suggest that AI section 11 is disproportionate.</w:t>
      </w:r>
    </w:p>
  </w:footnote>
  <w:footnote w:id="108">
    <w:p w:rsidR="005726FC" w:rsidRDefault="005726FC" w:rsidP="00E446B4">
      <w:pPr>
        <w:pStyle w:val="FootnoteText"/>
        <w:tabs>
          <w:tab w:val="left" w:pos="360"/>
        </w:tabs>
        <w:ind w:left="360" w:hanging="360"/>
        <w:jc w:val="both"/>
      </w:pPr>
      <w:r>
        <w:rPr>
          <w:rStyle w:val="FootnoteReference"/>
        </w:rPr>
        <w:footnoteRef/>
      </w:r>
      <w:r>
        <w:t xml:space="preserve"> </w:t>
      </w:r>
      <w:r>
        <w:tab/>
      </w:r>
      <w:r>
        <w:rPr>
          <w:rFonts w:eastAsia="宋体"/>
        </w:rPr>
        <w:t>(1999) 2 HKCFAR 442 at 457-460.</w:t>
      </w:r>
    </w:p>
  </w:footnote>
  <w:footnote w:id="109">
    <w:p w:rsidR="005726FC" w:rsidRDefault="005726FC" w:rsidP="00E446B4">
      <w:pPr>
        <w:pStyle w:val="FootnoteText"/>
        <w:tabs>
          <w:tab w:val="left" w:pos="360"/>
        </w:tabs>
        <w:ind w:left="360" w:hanging="360"/>
        <w:jc w:val="both"/>
      </w:pPr>
      <w:r>
        <w:rPr>
          <w:rStyle w:val="FootnoteReference"/>
        </w:rPr>
        <w:footnoteRef/>
      </w:r>
      <w:r>
        <w:t xml:space="preserve"> </w:t>
      </w:r>
      <w:r>
        <w:tab/>
      </w:r>
      <w:r>
        <w:rPr>
          <w:rFonts w:eastAsia="宋体"/>
        </w:rPr>
        <w:t>(2005) 8 HKCFAR 229 at §§69-74.</w:t>
      </w:r>
    </w:p>
  </w:footnote>
  <w:footnote w:id="110">
    <w:p w:rsidR="00E477A9" w:rsidRDefault="00E477A9" w:rsidP="00E446B4">
      <w:pPr>
        <w:pStyle w:val="FootnoteText"/>
        <w:tabs>
          <w:tab w:val="left" w:pos="360"/>
        </w:tabs>
        <w:ind w:left="360" w:hanging="360"/>
        <w:jc w:val="both"/>
      </w:pPr>
      <w:r>
        <w:rPr>
          <w:rStyle w:val="FootnoteReference"/>
        </w:rPr>
        <w:footnoteRef/>
      </w:r>
      <w:r>
        <w:t xml:space="preserve"> </w:t>
      </w:r>
      <w:r>
        <w:tab/>
        <w:t xml:space="preserve">The </w:t>
      </w:r>
      <w:proofErr w:type="spellStart"/>
      <w:r>
        <w:t>Siracusa</w:t>
      </w:r>
      <w:proofErr w:type="spellEnd"/>
      <w:r>
        <w:t xml:space="preserve"> Principles on the Limitation and Derogation Provisions in the ICCPR, </w:t>
      </w:r>
      <w:r w:rsidR="00377174">
        <w:t>issued by the American Association for the International Commission of Jurists</w:t>
      </w:r>
      <w:r w:rsidR="002E11C4">
        <w:t xml:space="preserve"> (</w:t>
      </w:r>
      <w:r w:rsidR="00377174">
        <w:t>1984</w:t>
      </w:r>
      <w:r w:rsidR="002E11C4">
        <w:t>) §22</w:t>
      </w:r>
      <w:r w:rsidR="00377174">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5726FC" w:rsidRDefault="005726FC">
        <w:pPr>
          <w:pStyle w:val="Header"/>
          <w:jc w:val="center"/>
        </w:pPr>
        <w:r>
          <w:t>-</w:t>
        </w:r>
        <w:r>
          <w:fldChar w:fldCharType="begin"/>
        </w:r>
        <w:r>
          <w:instrText xml:space="preserve"> PAGE   \* MERGEFORMAT </w:instrText>
        </w:r>
        <w:r>
          <w:fldChar w:fldCharType="separate"/>
        </w:r>
        <w:r w:rsidR="004D2D59">
          <w:rPr>
            <w:noProof/>
          </w:rPr>
          <w:t>21</w:t>
        </w:r>
        <w:r>
          <w:rPr>
            <w:noProof/>
          </w:rPr>
          <w:fldChar w:fldCharType="end"/>
        </w:r>
        <w:r>
          <w:t>-</w:t>
        </w:r>
      </w:p>
    </w:sdtContent>
  </w:sdt>
  <w:p w:rsidR="005726FC" w:rsidRDefault="00572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1.5pt" o:hralign="center" o:bullet="t" o:hrstd="t" o:hr="t" fillcolor="#a0a0a0" stroked="f"/>
    </w:pict>
  </w:numPicBullet>
  <w:abstractNum w:abstractNumId="0" w15:restartNumberingAfterBreak="0">
    <w:nsid w:val="FFFFB1D5"/>
    <w:multiLevelType w:val="singleLevel"/>
    <w:tmpl w:val="00000000"/>
    <w:lvl w:ilvl="0">
      <w:start w:val="1"/>
      <w:numFmt w:val="decimal"/>
      <w:lvlText w:val="(d) "/>
      <w:lvlJc w:val="left"/>
      <w:pPr>
        <w:tabs>
          <w:tab w:val="num" w:pos="2400"/>
        </w:tabs>
        <w:ind w:left="2400" w:hanging="600"/>
      </w:pPr>
      <w:rPr>
        <w:rFonts w:ascii="Times New Roman" w:hAnsi="Times New Roman" w:cs="Times New Roman"/>
        <w:b w:val="0"/>
        <w:bCs w:val="0"/>
        <w:i w:val="0"/>
        <w:iCs w:val="0"/>
        <w:color w:val="auto"/>
        <w:sz w:val="16"/>
        <w:szCs w:val="16"/>
        <w:u w:val="none"/>
      </w:rPr>
    </w:lvl>
  </w:abstractNum>
  <w:abstractNum w:abstractNumId="1"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24284230"/>
    <w:multiLevelType w:val="multilevel"/>
    <w:tmpl w:val="07A8051A"/>
    <w:lvl w:ilvl="0">
      <w:start w:val="1"/>
      <w:numFmt w:val="decimal"/>
      <w:pStyle w:val="Bob1"/>
      <w:lvlText w:val="%1."/>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3B881D55"/>
    <w:multiLevelType w:val="hybridMultilevel"/>
    <w:tmpl w:val="C5F27BFA"/>
    <w:lvl w:ilvl="0" w:tplc="3EF469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8F09DA"/>
    <w:multiLevelType w:val="hybridMultilevel"/>
    <w:tmpl w:val="6122C276"/>
    <w:lvl w:ilvl="0" w:tplc="01988E0A">
      <w:start w:val="1"/>
      <w:numFmt w:val="lowerLetter"/>
      <w:lvlText w:val="%1."/>
      <w:lvlJc w:val="left"/>
      <w:pPr>
        <w:tabs>
          <w:tab w:val="num" w:pos="432"/>
        </w:tabs>
        <w:ind w:left="432" w:hanging="432"/>
      </w:pPr>
      <w:rPr>
        <w:rFonts w:hint="eastAsia"/>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F95D8F"/>
    <w:multiLevelType w:val="hybridMultilevel"/>
    <w:tmpl w:val="4B80D8B8"/>
    <w:lvl w:ilvl="0" w:tplc="73FC0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2"/>
  </w:num>
  <w:num w:numId="9">
    <w:abstractNumId w:val="2"/>
  </w:num>
  <w:num w:numId="10">
    <w:abstractNumId w:val="2"/>
  </w:num>
  <w:num w:numId="11">
    <w:abstractNumId w:val="2"/>
  </w:num>
  <w:num w:numId="12">
    <w:abstractNumId w:val="2"/>
  </w:num>
  <w:num w:numId="13">
    <w:abstractNumId w:val="3"/>
  </w:num>
  <w:num w:numId="14">
    <w:abstractNumId w:val="4"/>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24"/>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8FA"/>
    <w:rsid w:val="00005A2C"/>
    <w:rsid w:val="00005AC5"/>
    <w:rsid w:val="00005B9E"/>
    <w:rsid w:val="00005CEE"/>
    <w:rsid w:val="00005D39"/>
    <w:rsid w:val="00006346"/>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1E89"/>
    <w:rsid w:val="000220F1"/>
    <w:rsid w:val="000221EC"/>
    <w:rsid w:val="000223A8"/>
    <w:rsid w:val="000225B9"/>
    <w:rsid w:val="00022974"/>
    <w:rsid w:val="00022E03"/>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5A5"/>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0F"/>
    <w:rsid w:val="000368E3"/>
    <w:rsid w:val="00036948"/>
    <w:rsid w:val="00036A40"/>
    <w:rsid w:val="00036A66"/>
    <w:rsid w:val="00036D14"/>
    <w:rsid w:val="00036E2F"/>
    <w:rsid w:val="00036F01"/>
    <w:rsid w:val="000373BD"/>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050"/>
    <w:rsid w:val="0004315C"/>
    <w:rsid w:val="00043321"/>
    <w:rsid w:val="00043AD5"/>
    <w:rsid w:val="00043E31"/>
    <w:rsid w:val="0004454D"/>
    <w:rsid w:val="00044BB0"/>
    <w:rsid w:val="00044E20"/>
    <w:rsid w:val="000450C9"/>
    <w:rsid w:val="000452A0"/>
    <w:rsid w:val="000453EC"/>
    <w:rsid w:val="00045478"/>
    <w:rsid w:val="000454F8"/>
    <w:rsid w:val="000455A0"/>
    <w:rsid w:val="000457A9"/>
    <w:rsid w:val="00045936"/>
    <w:rsid w:val="00045A2A"/>
    <w:rsid w:val="00045B4D"/>
    <w:rsid w:val="00045C85"/>
    <w:rsid w:val="00045D0A"/>
    <w:rsid w:val="0004602A"/>
    <w:rsid w:val="00046406"/>
    <w:rsid w:val="0004660F"/>
    <w:rsid w:val="00046E6F"/>
    <w:rsid w:val="000471D9"/>
    <w:rsid w:val="00047216"/>
    <w:rsid w:val="000473AD"/>
    <w:rsid w:val="0004754C"/>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3F3"/>
    <w:rsid w:val="00053419"/>
    <w:rsid w:val="000534D9"/>
    <w:rsid w:val="0005372C"/>
    <w:rsid w:val="00053B98"/>
    <w:rsid w:val="00053CC1"/>
    <w:rsid w:val="00053F73"/>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6CED"/>
    <w:rsid w:val="000572FF"/>
    <w:rsid w:val="00057375"/>
    <w:rsid w:val="00057653"/>
    <w:rsid w:val="000576E7"/>
    <w:rsid w:val="00057918"/>
    <w:rsid w:val="00057E64"/>
    <w:rsid w:val="0006013D"/>
    <w:rsid w:val="0006051A"/>
    <w:rsid w:val="000605DE"/>
    <w:rsid w:val="000606AB"/>
    <w:rsid w:val="0006081D"/>
    <w:rsid w:val="000608A3"/>
    <w:rsid w:val="00060903"/>
    <w:rsid w:val="00060B0F"/>
    <w:rsid w:val="00060CDB"/>
    <w:rsid w:val="00060D01"/>
    <w:rsid w:val="0006120A"/>
    <w:rsid w:val="00061227"/>
    <w:rsid w:val="000614CE"/>
    <w:rsid w:val="000615E3"/>
    <w:rsid w:val="000617B9"/>
    <w:rsid w:val="00061987"/>
    <w:rsid w:val="00061BA5"/>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7A"/>
    <w:rsid w:val="000701F2"/>
    <w:rsid w:val="00070422"/>
    <w:rsid w:val="000707F0"/>
    <w:rsid w:val="00070927"/>
    <w:rsid w:val="00070E19"/>
    <w:rsid w:val="00071164"/>
    <w:rsid w:val="000713CD"/>
    <w:rsid w:val="0007149B"/>
    <w:rsid w:val="00071961"/>
    <w:rsid w:val="00071968"/>
    <w:rsid w:val="00071D74"/>
    <w:rsid w:val="00071F2A"/>
    <w:rsid w:val="0007204D"/>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CCB"/>
    <w:rsid w:val="00074D43"/>
    <w:rsid w:val="00074F65"/>
    <w:rsid w:val="0007587A"/>
    <w:rsid w:val="00076056"/>
    <w:rsid w:val="00076060"/>
    <w:rsid w:val="0007613A"/>
    <w:rsid w:val="0007623B"/>
    <w:rsid w:val="000764FF"/>
    <w:rsid w:val="000767FC"/>
    <w:rsid w:val="000769BB"/>
    <w:rsid w:val="00076A6A"/>
    <w:rsid w:val="00076B05"/>
    <w:rsid w:val="00076BEB"/>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3AA"/>
    <w:rsid w:val="0008177C"/>
    <w:rsid w:val="00081ABD"/>
    <w:rsid w:val="00081D86"/>
    <w:rsid w:val="0008207A"/>
    <w:rsid w:val="00082201"/>
    <w:rsid w:val="0008236E"/>
    <w:rsid w:val="0008257B"/>
    <w:rsid w:val="000825DA"/>
    <w:rsid w:val="00082933"/>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6E9E"/>
    <w:rsid w:val="000875E8"/>
    <w:rsid w:val="000876E4"/>
    <w:rsid w:val="00087D94"/>
    <w:rsid w:val="00087E50"/>
    <w:rsid w:val="0009024C"/>
    <w:rsid w:val="000906A3"/>
    <w:rsid w:val="000907F6"/>
    <w:rsid w:val="00090824"/>
    <w:rsid w:val="00090A61"/>
    <w:rsid w:val="00090C76"/>
    <w:rsid w:val="00090E76"/>
    <w:rsid w:val="00090F00"/>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16FB"/>
    <w:rsid w:val="000A17A2"/>
    <w:rsid w:val="000A1A23"/>
    <w:rsid w:val="000A1A6D"/>
    <w:rsid w:val="000A1C29"/>
    <w:rsid w:val="000A1FA8"/>
    <w:rsid w:val="000A20AF"/>
    <w:rsid w:val="000A220D"/>
    <w:rsid w:val="000A2AC9"/>
    <w:rsid w:val="000A2B5A"/>
    <w:rsid w:val="000A323A"/>
    <w:rsid w:val="000A32CF"/>
    <w:rsid w:val="000A330C"/>
    <w:rsid w:val="000A34F8"/>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AD6"/>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CD0"/>
    <w:rsid w:val="000D1FAC"/>
    <w:rsid w:val="000D23C9"/>
    <w:rsid w:val="000D24BB"/>
    <w:rsid w:val="000D259B"/>
    <w:rsid w:val="000D28FF"/>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4F7E"/>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382"/>
    <w:rsid w:val="000E185E"/>
    <w:rsid w:val="000E18EF"/>
    <w:rsid w:val="000E1BC9"/>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17"/>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21D"/>
    <w:rsid w:val="000F1426"/>
    <w:rsid w:val="000F1D97"/>
    <w:rsid w:val="000F1EFD"/>
    <w:rsid w:val="000F1F89"/>
    <w:rsid w:val="000F22C4"/>
    <w:rsid w:val="000F2564"/>
    <w:rsid w:val="000F2608"/>
    <w:rsid w:val="000F2890"/>
    <w:rsid w:val="000F29C9"/>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36"/>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ECA"/>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37B"/>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D4F"/>
    <w:rsid w:val="00116F6F"/>
    <w:rsid w:val="00116FB7"/>
    <w:rsid w:val="00116FE8"/>
    <w:rsid w:val="00117101"/>
    <w:rsid w:val="001171B2"/>
    <w:rsid w:val="0011789F"/>
    <w:rsid w:val="00117AFA"/>
    <w:rsid w:val="00117EAF"/>
    <w:rsid w:val="001200D1"/>
    <w:rsid w:val="001200F4"/>
    <w:rsid w:val="00120121"/>
    <w:rsid w:val="00120D9D"/>
    <w:rsid w:val="00121021"/>
    <w:rsid w:val="001210AF"/>
    <w:rsid w:val="001212D6"/>
    <w:rsid w:val="001213FA"/>
    <w:rsid w:val="001214A1"/>
    <w:rsid w:val="001216A4"/>
    <w:rsid w:val="001217EE"/>
    <w:rsid w:val="00121929"/>
    <w:rsid w:val="00121A67"/>
    <w:rsid w:val="00121AE0"/>
    <w:rsid w:val="00121E36"/>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1F9B"/>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7F1"/>
    <w:rsid w:val="00142805"/>
    <w:rsid w:val="001428C6"/>
    <w:rsid w:val="00142A5B"/>
    <w:rsid w:val="00142B6E"/>
    <w:rsid w:val="00142C87"/>
    <w:rsid w:val="00142DC4"/>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A5C"/>
    <w:rsid w:val="00155C1E"/>
    <w:rsid w:val="00155C63"/>
    <w:rsid w:val="00155D3A"/>
    <w:rsid w:val="00155E30"/>
    <w:rsid w:val="00155EA1"/>
    <w:rsid w:val="00155EFA"/>
    <w:rsid w:val="00156622"/>
    <w:rsid w:val="0015676F"/>
    <w:rsid w:val="00156B4A"/>
    <w:rsid w:val="00156DA6"/>
    <w:rsid w:val="00156EA6"/>
    <w:rsid w:val="00157254"/>
    <w:rsid w:val="001574FF"/>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0AF"/>
    <w:rsid w:val="00166216"/>
    <w:rsid w:val="0016626E"/>
    <w:rsid w:val="0016640E"/>
    <w:rsid w:val="001665C0"/>
    <w:rsid w:val="00166688"/>
    <w:rsid w:val="00166852"/>
    <w:rsid w:val="00166AE0"/>
    <w:rsid w:val="00167286"/>
    <w:rsid w:val="00167B83"/>
    <w:rsid w:val="00167C5F"/>
    <w:rsid w:val="00167CD6"/>
    <w:rsid w:val="00167D31"/>
    <w:rsid w:val="00170C88"/>
    <w:rsid w:val="00170CBB"/>
    <w:rsid w:val="00170FE5"/>
    <w:rsid w:val="0017110B"/>
    <w:rsid w:val="001715B8"/>
    <w:rsid w:val="0017166F"/>
    <w:rsid w:val="0017179F"/>
    <w:rsid w:val="00171D05"/>
    <w:rsid w:val="00172128"/>
    <w:rsid w:val="001722DF"/>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045"/>
    <w:rsid w:val="0017730B"/>
    <w:rsid w:val="00177635"/>
    <w:rsid w:val="001777E7"/>
    <w:rsid w:val="0017791B"/>
    <w:rsid w:val="00177ACB"/>
    <w:rsid w:val="00177B93"/>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39DD"/>
    <w:rsid w:val="0018406B"/>
    <w:rsid w:val="00184286"/>
    <w:rsid w:val="0018467E"/>
    <w:rsid w:val="001846A8"/>
    <w:rsid w:val="00184CED"/>
    <w:rsid w:val="00184DD7"/>
    <w:rsid w:val="00184E6C"/>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3DFE"/>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69F"/>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1BB3"/>
    <w:rsid w:val="001A1D5D"/>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68D"/>
    <w:rsid w:val="001A572B"/>
    <w:rsid w:val="001A5767"/>
    <w:rsid w:val="001A5792"/>
    <w:rsid w:val="001A58CB"/>
    <w:rsid w:val="001A5EB8"/>
    <w:rsid w:val="001A5FF8"/>
    <w:rsid w:val="001A6071"/>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1613"/>
    <w:rsid w:val="001B1D70"/>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4C5"/>
    <w:rsid w:val="001B3700"/>
    <w:rsid w:val="001B3A3F"/>
    <w:rsid w:val="001B3AC4"/>
    <w:rsid w:val="001B4040"/>
    <w:rsid w:val="001B404E"/>
    <w:rsid w:val="001B4066"/>
    <w:rsid w:val="001B434D"/>
    <w:rsid w:val="001B4386"/>
    <w:rsid w:val="001B44FD"/>
    <w:rsid w:val="001B4A23"/>
    <w:rsid w:val="001B4B0B"/>
    <w:rsid w:val="001B4D91"/>
    <w:rsid w:val="001B4FD0"/>
    <w:rsid w:val="001B53D7"/>
    <w:rsid w:val="001B5506"/>
    <w:rsid w:val="001B5726"/>
    <w:rsid w:val="001B57AC"/>
    <w:rsid w:val="001B57C4"/>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1F2D"/>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8C3"/>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0DA1"/>
    <w:rsid w:val="001E12B4"/>
    <w:rsid w:val="001E13BA"/>
    <w:rsid w:val="001E14A7"/>
    <w:rsid w:val="001E1570"/>
    <w:rsid w:val="001E161C"/>
    <w:rsid w:val="001E1682"/>
    <w:rsid w:val="001E16EB"/>
    <w:rsid w:val="001E175B"/>
    <w:rsid w:val="001E1775"/>
    <w:rsid w:val="001E1A23"/>
    <w:rsid w:val="001E1A98"/>
    <w:rsid w:val="001E1CF0"/>
    <w:rsid w:val="001E1D34"/>
    <w:rsid w:val="001E1DF3"/>
    <w:rsid w:val="001E2068"/>
    <w:rsid w:val="001E211B"/>
    <w:rsid w:val="001E2164"/>
    <w:rsid w:val="001E22AD"/>
    <w:rsid w:val="001E24EC"/>
    <w:rsid w:val="001E268B"/>
    <w:rsid w:val="001E2891"/>
    <w:rsid w:val="001E28B9"/>
    <w:rsid w:val="001E29C5"/>
    <w:rsid w:val="001E2BBD"/>
    <w:rsid w:val="001E2F89"/>
    <w:rsid w:val="001E368E"/>
    <w:rsid w:val="001E38D2"/>
    <w:rsid w:val="001E3AB6"/>
    <w:rsid w:val="001E3C92"/>
    <w:rsid w:val="001E3CBF"/>
    <w:rsid w:val="001E3DCE"/>
    <w:rsid w:val="001E3FA9"/>
    <w:rsid w:val="001E4443"/>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8FE"/>
    <w:rsid w:val="001E7A64"/>
    <w:rsid w:val="001E7D26"/>
    <w:rsid w:val="001F0252"/>
    <w:rsid w:val="001F05CF"/>
    <w:rsid w:val="001F0998"/>
    <w:rsid w:val="001F0ABA"/>
    <w:rsid w:val="001F0DA7"/>
    <w:rsid w:val="001F0EB7"/>
    <w:rsid w:val="001F0ED3"/>
    <w:rsid w:val="001F0F16"/>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66"/>
    <w:rsid w:val="00200199"/>
    <w:rsid w:val="002003DD"/>
    <w:rsid w:val="002003F3"/>
    <w:rsid w:val="00200402"/>
    <w:rsid w:val="00200960"/>
    <w:rsid w:val="00200EDE"/>
    <w:rsid w:val="00201360"/>
    <w:rsid w:val="00201367"/>
    <w:rsid w:val="00201431"/>
    <w:rsid w:val="002015DB"/>
    <w:rsid w:val="00201C02"/>
    <w:rsid w:val="00201FAB"/>
    <w:rsid w:val="00201FDC"/>
    <w:rsid w:val="00202192"/>
    <w:rsid w:val="0020223E"/>
    <w:rsid w:val="002022F4"/>
    <w:rsid w:val="002023D2"/>
    <w:rsid w:val="0020272F"/>
    <w:rsid w:val="002027DE"/>
    <w:rsid w:val="0020284B"/>
    <w:rsid w:val="00202964"/>
    <w:rsid w:val="00202AA8"/>
    <w:rsid w:val="00202C33"/>
    <w:rsid w:val="00202DE5"/>
    <w:rsid w:val="002034DE"/>
    <w:rsid w:val="00203BA3"/>
    <w:rsid w:val="00203CCD"/>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A7C"/>
    <w:rsid w:val="00212C48"/>
    <w:rsid w:val="00213042"/>
    <w:rsid w:val="00213078"/>
    <w:rsid w:val="002130C0"/>
    <w:rsid w:val="0021316A"/>
    <w:rsid w:val="002131D5"/>
    <w:rsid w:val="0021339E"/>
    <w:rsid w:val="00213400"/>
    <w:rsid w:val="002134CF"/>
    <w:rsid w:val="002136FD"/>
    <w:rsid w:val="00213952"/>
    <w:rsid w:val="00213A1F"/>
    <w:rsid w:val="00213B19"/>
    <w:rsid w:val="00213CC9"/>
    <w:rsid w:val="0021405F"/>
    <w:rsid w:val="002140E0"/>
    <w:rsid w:val="00214685"/>
    <w:rsid w:val="002147FE"/>
    <w:rsid w:val="00214C12"/>
    <w:rsid w:val="00214E4A"/>
    <w:rsid w:val="0021515A"/>
    <w:rsid w:val="002154C6"/>
    <w:rsid w:val="00215763"/>
    <w:rsid w:val="002157CA"/>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C50"/>
    <w:rsid w:val="00217EB7"/>
    <w:rsid w:val="00220066"/>
    <w:rsid w:val="002201F7"/>
    <w:rsid w:val="00220603"/>
    <w:rsid w:val="00220849"/>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717"/>
    <w:rsid w:val="00234841"/>
    <w:rsid w:val="00234AC3"/>
    <w:rsid w:val="0023536B"/>
    <w:rsid w:val="00235640"/>
    <w:rsid w:val="002359BA"/>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37F1F"/>
    <w:rsid w:val="00237FB2"/>
    <w:rsid w:val="00240003"/>
    <w:rsid w:val="00240040"/>
    <w:rsid w:val="002403DA"/>
    <w:rsid w:val="002404A5"/>
    <w:rsid w:val="0024069F"/>
    <w:rsid w:val="0024096E"/>
    <w:rsid w:val="00240DD6"/>
    <w:rsid w:val="002410C7"/>
    <w:rsid w:val="00241190"/>
    <w:rsid w:val="00241239"/>
    <w:rsid w:val="00241346"/>
    <w:rsid w:val="00241691"/>
    <w:rsid w:val="002416F8"/>
    <w:rsid w:val="00241B70"/>
    <w:rsid w:val="00241F68"/>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DBC"/>
    <w:rsid w:val="00245E24"/>
    <w:rsid w:val="002464E6"/>
    <w:rsid w:val="00246665"/>
    <w:rsid w:val="00246BC8"/>
    <w:rsid w:val="00246BC9"/>
    <w:rsid w:val="00246BDA"/>
    <w:rsid w:val="00246C71"/>
    <w:rsid w:val="00247482"/>
    <w:rsid w:val="002476EC"/>
    <w:rsid w:val="002477F8"/>
    <w:rsid w:val="002479A9"/>
    <w:rsid w:val="00247D09"/>
    <w:rsid w:val="00247F17"/>
    <w:rsid w:val="00247F2A"/>
    <w:rsid w:val="00247FF8"/>
    <w:rsid w:val="00250C15"/>
    <w:rsid w:val="00250D54"/>
    <w:rsid w:val="00251178"/>
    <w:rsid w:val="0025160C"/>
    <w:rsid w:val="002517A7"/>
    <w:rsid w:val="0025190D"/>
    <w:rsid w:val="00251F3E"/>
    <w:rsid w:val="0025209B"/>
    <w:rsid w:val="002520E2"/>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489"/>
    <w:rsid w:val="002579AA"/>
    <w:rsid w:val="002579C3"/>
    <w:rsid w:val="00257BDE"/>
    <w:rsid w:val="00257EFD"/>
    <w:rsid w:val="0026006F"/>
    <w:rsid w:val="002603C8"/>
    <w:rsid w:val="002603F3"/>
    <w:rsid w:val="0026052A"/>
    <w:rsid w:val="002605B6"/>
    <w:rsid w:val="00260721"/>
    <w:rsid w:val="002607DF"/>
    <w:rsid w:val="00260898"/>
    <w:rsid w:val="0026106C"/>
    <w:rsid w:val="002611B1"/>
    <w:rsid w:val="002612C2"/>
    <w:rsid w:val="002614C4"/>
    <w:rsid w:val="00261656"/>
    <w:rsid w:val="002618D5"/>
    <w:rsid w:val="00261B6C"/>
    <w:rsid w:val="00261E05"/>
    <w:rsid w:val="00261EAA"/>
    <w:rsid w:val="002620EC"/>
    <w:rsid w:val="0026225D"/>
    <w:rsid w:val="0026232B"/>
    <w:rsid w:val="002626F7"/>
    <w:rsid w:val="00262D70"/>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2E"/>
    <w:rsid w:val="00265D46"/>
    <w:rsid w:val="00265D54"/>
    <w:rsid w:val="0026621F"/>
    <w:rsid w:val="002663BD"/>
    <w:rsid w:val="002663DB"/>
    <w:rsid w:val="00266549"/>
    <w:rsid w:val="002665E0"/>
    <w:rsid w:val="002666B7"/>
    <w:rsid w:val="00266847"/>
    <w:rsid w:val="00266931"/>
    <w:rsid w:val="00266B2C"/>
    <w:rsid w:val="00266B32"/>
    <w:rsid w:val="00266C09"/>
    <w:rsid w:val="00266E53"/>
    <w:rsid w:val="00267142"/>
    <w:rsid w:val="0026775B"/>
    <w:rsid w:val="00267B29"/>
    <w:rsid w:val="00267E21"/>
    <w:rsid w:val="00267F44"/>
    <w:rsid w:val="00270208"/>
    <w:rsid w:val="002708BE"/>
    <w:rsid w:val="00270B85"/>
    <w:rsid w:val="00270B8A"/>
    <w:rsid w:val="00270DBA"/>
    <w:rsid w:val="00271210"/>
    <w:rsid w:val="00271720"/>
    <w:rsid w:val="00271C54"/>
    <w:rsid w:val="00271E3F"/>
    <w:rsid w:val="0027232D"/>
    <w:rsid w:val="0027266F"/>
    <w:rsid w:val="00272760"/>
    <w:rsid w:val="0027299E"/>
    <w:rsid w:val="00272BF3"/>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7B"/>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6D3C"/>
    <w:rsid w:val="0027760B"/>
    <w:rsid w:val="00277804"/>
    <w:rsid w:val="00277B3A"/>
    <w:rsid w:val="00277DE9"/>
    <w:rsid w:val="00280133"/>
    <w:rsid w:val="002801AF"/>
    <w:rsid w:val="00280924"/>
    <w:rsid w:val="00280B78"/>
    <w:rsid w:val="00280B91"/>
    <w:rsid w:val="00280F22"/>
    <w:rsid w:val="00280F90"/>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183"/>
    <w:rsid w:val="0028379D"/>
    <w:rsid w:val="002839CB"/>
    <w:rsid w:val="00283DCE"/>
    <w:rsid w:val="00284A33"/>
    <w:rsid w:val="00284C7C"/>
    <w:rsid w:val="00284C80"/>
    <w:rsid w:val="00284E68"/>
    <w:rsid w:val="0028509B"/>
    <w:rsid w:val="0028526A"/>
    <w:rsid w:val="0028527F"/>
    <w:rsid w:val="00285407"/>
    <w:rsid w:val="002854EC"/>
    <w:rsid w:val="002856EB"/>
    <w:rsid w:val="00285715"/>
    <w:rsid w:val="00285DF3"/>
    <w:rsid w:val="00285FA1"/>
    <w:rsid w:val="00286253"/>
    <w:rsid w:val="00286649"/>
    <w:rsid w:val="00286681"/>
    <w:rsid w:val="0028674B"/>
    <w:rsid w:val="00286750"/>
    <w:rsid w:val="00286D7D"/>
    <w:rsid w:val="00286DBA"/>
    <w:rsid w:val="002876E2"/>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3F20"/>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50C"/>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309"/>
    <w:rsid w:val="002A3722"/>
    <w:rsid w:val="002A37B9"/>
    <w:rsid w:val="002A3809"/>
    <w:rsid w:val="002A39D8"/>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048"/>
    <w:rsid w:val="002A7236"/>
    <w:rsid w:val="002A737C"/>
    <w:rsid w:val="002A7383"/>
    <w:rsid w:val="002A755E"/>
    <w:rsid w:val="002A75E1"/>
    <w:rsid w:val="002A795B"/>
    <w:rsid w:val="002A7CD4"/>
    <w:rsid w:val="002A7FEE"/>
    <w:rsid w:val="002B01BE"/>
    <w:rsid w:val="002B0414"/>
    <w:rsid w:val="002B0A01"/>
    <w:rsid w:val="002B0B1D"/>
    <w:rsid w:val="002B0D67"/>
    <w:rsid w:val="002B101C"/>
    <w:rsid w:val="002B1054"/>
    <w:rsid w:val="002B11F5"/>
    <w:rsid w:val="002B12C6"/>
    <w:rsid w:val="002B1385"/>
    <w:rsid w:val="002B15D4"/>
    <w:rsid w:val="002B16F1"/>
    <w:rsid w:val="002B1877"/>
    <w:rsid w:val="002B1914"/>
    <w:rsid w:val="002B1955"/>
    <w:rsid w:val="002B196F"/>
    <w:rsid w:val="002B1A5D"/>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522D"/>
    <w:rsid w:val="002B5326"/>
    <w:rsid w:val="002B56E4"/>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340"/>
    <w:rsid w:val="002C077A"/>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4E"/>
    <w:rsid w:val="002C73D1"/>
    <w:rsid w:val="002C7637"/>
    <w:rsid w:val="002C7BD9"/>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362"/>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7ED"/>
    <w:rsid w:val="002D3B18"/>
    <w:rsid w:val="002D3C96"/>
    <w:rsid w:val="002D3D73"/>
    <w:rsid w:val="002D3E53"/>
    <w:rsid w:val="002D3F29"/>
    <w:rsid w:val="002D3FBF"/>
    <w:rsid w:val="002D3FFA"/>
    <w:rsid w:val="002D4115"/>
    <w:rsid w:val="002D48CA"/>
    <w:rsid w:val="002D4BF2"/>
    <w:rsid w:val="002D4CA1"/>
    <w:rsid w:val="002D4F0C"/>
    <w:rsid w:val="002D5151"/>
    <w:rsid w:val="002D5164"/>
    <w:rsid w:val="002D5328"/>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1C4"/>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DE2"/>
    <w:rsid w:val="002E5E75"/>
    <w:rsid w:val="002E5F1A"/>
    <w:rsid w:val="002E603A"/>
    <w:rsid w:val="002E60BB"/>
    <w:rsid w:val="002E611A"/>
    <w:rsid w:val="002E66F1"/>
    <w:rsid w:val="002E6C8D"/>
    <w:rsid w:val="002E6D06"/>
    <w:rsid w:val="002E72BE"/>
    <w:rsid w:val="002E74A7"/>
    <w:rsid w:val="002E78BB"/>
    <w:rsid w:val="002E79FE"/>
    <w:rsid w:val="002E7BFD"/>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A1C"/>
    <w:rsid w:val="002F7CC9"/>
    <w:rsid w:val="002F7DC1"/>
    <w:rsid w:val="002F7E80"/>
    <w:rsid w:val="003000B1"/>
    <w:rsid w:val="00300122"/>
    <w:rsid w:val="00300194"/>
    <w:rsid w:val="003001D9"/>
    <w:rsid w:val="00300327"/>
    <w:rsid w:val="00300A12"/>
    <w:rsid w:val="00300CCD"/>
    <w:rsid w:val="00300FAB"/>
    <w:rsid w:val="00301176"/>
    <w:rsid w:val="00301295"/>
    <w:rsid w:val="003015D0"/>
    <w:rsid w:val="003015FB"/>
    <w:rsid w:val="00301A03"/>
    <w:rsid w:val="00301B3D"/>
    <w:rsid w:val="00301B8C"/>
    <w:rsid w:val="00302427"/>
    <w:rsid w:val="00302446"/>
    <w:rsid w:val="003025F3"/>
    <w:rsid w:val="003026A3"/>
    <w:rsid w:val="003028C0"/>
    <w:rsid w:val="00302953"/>
    <w:rsid w:val="0030299B"/>
    <w:rsid w:val="00302BDB"/>
    <w:rsid w:val="00302BEA"/>
    <w:rsid w:val="00302E37"/>
    <w:rsid w:val="0030322E"/>
    <w:rsid w:val="003040FB"/>
    <w:rsid w:val="0030437A"/>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EBF"/>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AD2"/>
    <w:rsid w:val="00312B84"/>
    <w:rsid w:val="00312FBD"/>
    <w:rsid w:val="00313050"/>
    <w:rsid w:val="0031318E"/>
    <w:rsid w:val="003134A4"/>
    <w:rsid w:val="003135E9"/>
    <w:rsid w:val="00313697"/>
    <w:rsid w:val="003138E2"/>
    <w:rsid w:val="0031398E"/>
    <w:rsid w:val="00313E15"/>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6F"/>
    <w:rsid w:val="00316A8F"/>
    <w:rsid w:val="00316BE0"/>
    <w:rsid w:val="00316C0A"/>
    <w:rsid w:val="00316D85"/>
    <w:rsid w:val="0031733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4F39"/>
    <w:rsid w:val="003252C8"/>
    <w:rsid w:val="00325513"/>
    <w:rsid w:val="00325787"/>
    <w:rsid w:val="0032579A"/>
    <w:rsid w:val="00325B06"/>
    <w:rsid w:val="00325BBD"/>
    <w:rsid w:val="00325E8B"/>
    <w:rsid w:val="00326111"/>
    <w:rsid w:val="0032619B"/>
    <w:rsid w:val="0032630F"/>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B40"/>
    <w:rsid w:val="00333D72"/>
    <w:rsid w:val="0033417A"/>
    <w:rsid w:val="0033463C"/>
    <w:rsid w:val="00334683"/>
    <w:rsid w:val="00334A50"/>
    <w:rsid w:val="00334BDD"/>
    <w:rsid w:val="00334C25"/>
    <w:rsid w:val="00334C35"/>
    <w:rsid w:val="0033517F"/>
    <w:rsid w:val="003355E5"/>
    <w:rsid w:val="003357B8"/>
    <w:rsid w:val="00335822"/>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BEB"/>
    <w:rsid w:val="00341E26"/>
    <w:rsid w:val="00341F14"/>
    <w:rsid w:val="00342098"/>
    <w:rsid w:val="00342130"/>
    <w:rsid w:val="003421F1"/>
    <w:rsid w:val="0034239B"/>
    <w:rsid w:val="003424D1"/>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674"/>
    <w:rsid w:val="00345939"/>
    <w:rsid w:val="00345965"/>
    <w:rsid w:val="00345BE0"/>
    <w:rsid w:val="00345C33"/>
    <w:rsid w:val="00346897"/>
    <w:rsid w:val="00346C89"/>
    <w:rsid w:val="00346D03"/>
    <w:rsid w:val="00346DEE"/>
    <w:rsid w:val="00346DF1"/>
    <w:rsid w:val="00346F25"/>
    <w:rsid w:val="0034708F"/>
    <w:rsid w:val="003474A0"/>
    <w:rsid w:val="003476A3"/>
    <w:rsid w:val="003476C1"/>
    <w:rsid w:val="0034782A"/>
    <w:rsid w:val="00347868"/>
    <w:rsid w:val="003478A4"/>
    <w:rsid w:val="003478AF"/>
    <w:rsid w:val="003479C8"/>
    <w:rsid w:val="00347D28"/>
    <w:rsid w:val="00347DBD"/>
    <w:rsid w:val="00347FE2"/>
    <w:rsid w:val="00350153"/>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1F"/>
    <w:rsid w:val="0035272A"/>
    <w:rsid w:val="00352A09"/>
    <w:rsid w:val="00352A47"/>
    <w:rsid w:val="00352D3D"/>
    <w:rsid w:val="00352F2A"/>
    <w:rsid w:val="00353228"/>
    <w:rsid w:val="0035371E"/>
    <w:rsid w:val="003538C2"/>
    <w:rsid w:val="003539CF"/>
    <w:rsid w:val="00353C18"/>
    <w:rsid w:val="00353C2C"/>
    <w:rsid w:val="00353F7D"/>
    <w:rsid w:val="003541F1"/>
    <w:rsid w:val="00354281"/>
    <w:rsid w:val="003547AF"/>
    <w:rsid w:val="00354A08"/>
    <w:rsid w:val="00354CEE"/>
    <w:rsid w:val="00354D05"/>
    <w:rsid w:val="00354D0A"/>
    <w:rsid w:val="00354E20"/>
    <w:rsid w:val="00354ECE"/>
    <w:rsid w:val="00355025"/>
    <w:rsid w:val="003550E1"/>
    <w:rsid w:val="00355372"/>
    <w:rsid w:val="0035537A"/>
    <w:rsid w:val="003553F6"/>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D03"/>
    <w:rsid w:val="00357FCE"/>
    <w:rsid w:val="003601BE"/>
    <w:rsid w:val="003604B2"/>
    <w:rsid w:val="003612B0"/>
    <w:rsid w:val="00361315"/>
    <w:rsid w:val="00361457"/>
    <w:rsid w:val="003614AF"/>
    <w:rsid w:val="00361E68"/>
    <w:rsid w:val="00362107"/>
    <w:rsid w:val="00362598"/>
    <w:rsid w:val="00362898"/>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4E96"/>
    <w:rsid w:val="003653B5"/>
    <w:rsid w:val="00365503"/>
    <w:rsid w:val="00365870"/>
    <w:rsid w:val="00365A07"/>
    <w:rsid w:val="00365AD1"/>
    <w:rsid w:val="00365E39"/>
    <w:rsid w:val="0036648B"/>
    <w:rsid w:val="003669FB"/>
    <w:rsid w:val="00367241"/>
    <w:rsid w:val="00367AB6"/>
    <w:rsid w:val="003703C9"/>
    <w:rsid w:val="0037043E"/>
    <w:rsid w:val="0037061A"/>
    <w:rsid w:val="003706E4"/>
    <w:rsid w:val="00370D07"/>
    <w:rsid w:val="00370FD0"/>
    <w:rsid w:val="003711C1"/>
    <w:rsid w:val="00371895"/>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174"/>
    <w:rsid w:val="003775EF"/>
    <w:rsid w:val="00377623"/>
    <w:rsid w:val="0037783A"/>
    <w:rsid w:val="00377BFD"/>
    <w:rsid w:val="00377F22"/>
    <w:rsid w:val="00380095"/>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420"/>
    <w:rsid w:val="003855F0"/>
    <w:rsid w:val="00385950"/>
    <w:rsid w:val="00385CE6"/>
    <w:rsid w:val="00386324"/>
    <w:rsid w:val="003866C4"/>
    <w:rsid w:val="00386A89"/>
    <w:rsid w:val="00386EF7"/>
    <w:rsid w:val="00387231"/>
    <w:rsid w:val="0038729A"/>
    <w:rsid w:val="0038751D"/>
    <w:rsid w:val="003876D4"/>
    <w:rsid w:val="00387EC3"/>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3BFD"/>
    <w:rsid w:val="00394D46"/>
    <w:rsid w:val="00394FE8"/>
    <w:rsid w:val="0039555F"/>
    <w:rsid w:val="0039587A"/>
    <w:rsid w:val="00395BE6"/>
    <w:rsid w:val="00395CE6"/>
    <w:rsid w:val="0039617C"/>
    <w:rsid w:val="0039619D"/>
    <w:rsid w:val="003967C6"/>
    <w:rsid w:val="003969ED"/>
    <w:rsid w:val="00396DCF"/>
    <w:rsid w:val="00396EBA"/>
    <w:rsid w:val="00397039"/>
    <w:rsid w:val="003970FC"/>
    <w:rsid w:val="003971F8"/>
    <w:rsid w:val="00397242"/>
    <w:rsid w:val="00397277"/>
    <w:rsid w:val="00397531"/>
    <w:rsid w:val="0039777B"/>
    <w:rsid w:val="00397A61"/>
    <w:rsid w:val="00397EC9"/>
    <w:rsid w:val="00397F79"/>
    <w:rsid w:val="003A005D"/>
    <w:rsid w:val="003A00D9"/>
    <w:rsid w:val="003A04E0"/>
    <w:rsid w:val="003A0825"/>
    <w:rsid w:val="003A0916"/>
    <w:rsid w:val="003A0BC8"/>
    <w:rsid w:val="003A0F2D"/>
    <w:rsid w:val="003A1139"/>
    <w:rsid w:val="003A173A"/>
    <w:rsid w:val="003A1EC7"/>
    <w:rsid w:val="003A1EF6"/>
    <w:rsid w:val="003A2694"/>
    <w:rsid w:val="003A29AE"/>
    <w:rsid w:val="003A308F"/>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BEE"/>
    <w:rsid w:val="003A6E24"/>
    <w:rsid w:val="003A6F97"/>
    <w:rsid w:val="003A7801"/>
    <w:rsid w:val="003A7DB6"/>
    <w:rsid w:val="003B004D"/>
    <w:rsid w:val="003B00FF"/>
    <w:rsid w:val="003B026B"/>
    <w:rsid w:val="003B06F3"/>
    <w:rsid w:val="003B0CF7"/>
    <w:rsid w:val="003B0D3D"/>
    <w:rsid w:val="003B0D47"/>
    <w:rsid w:val="003B0E72"/>
    <w:rsid w:val="003B0EB6"/>
    <w:rsid w:val="003B126D"/>
    <w:rsid w:val="003B13D5"/>
    <w:rsid w:val="003B163E"/>
    <w:rsid w:val="003B1656"/>
    <w:rsid w:val="003B1713"/>
    <w:rsid w:val="003B179E"/>
    <w:rsid w:val="003B1BD3"/>
    <w:rsid w:val="003B1C8C"/>
    <w:rsid w:val="003B1EE6"/>
    <w:rsid w:val="003B2496"/>
    <w:rsid w:val="003B2725"/>
    <w:rsid w:val="003B27AD"/>
    <w:rsid w:val="003B283E"/>
    <w:rsid w:val="003B297B"/>
    <w:rsid w:val="003B2DD5"/>
    <w:rsid w:val="003B2E3A"/>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FD2"/>
    <w:rsid w:val="003B60B2"/>
    <w:rsid w:val="003B6261"/>
    <w:rsid w:val="003B668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60A"/>
    <w:rsid w:val="003C1AD8"/>
    <w:rsid w:val="003C1AFE"/>
    <w:rsid w:val="003C1C19"/>
    <w:rsid w:val="003C1D63"/>
    <w:rsid w:val="003C208D"/>
    <w:rsid w:val="003C2138"/>
    <w:rsid w:val="003C215C"/>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4E36"/>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4F6"/>
    <w:rsid w:val="003D15AF"/>
    <w:rsid w:val="003D182B"/>
    <w:rsid w:val="003D1DD8"/>
    <w:rsid w:val="003D2938"/>
    <w:rsid w:val="003D3A8D"/>
    <w:rsid w:val="003D3CC1"/>
    <w:rsid w:val="003D3F0D"/>
    <w:rsid w:val="003D4058"/>
    <w:rsid w:val="003D40BB"/>
    <w:rsid w:val="003D43DB"/>
    <w:rsid w:val="003D46CD"/>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2E3E"/>
    <w:rsid w:val="003E3027"/>
    <w:rsid w:val="003E30DB"/>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539"/>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4F30"/>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32D"/>
    <w:rsid w:val="004007BA"/>
    <w:rsid w:val="00400A15"/>
    <w:rsid w:val="00400B6C"/>
    <w:rsid w:val="00400CB0"/>
    <w:rsid w:val="00400F6E"/>
    <w:rsid w:val="004011DB"/>
    <w:rsid w:val="004012F4"/>
    <w:rsid w:val="00401675"/>
    <w:rsid w:val="00401681"/>
    <w:rsid w:val="0040190B"/>
    <w:rsid w:val="00401A44"/>
    <w:rsid w:val="00401D08"/>
    <w:rsid w:val="00401E85"/>
    <w:rsid w:val="0040226D"/>
    <w:rsid w:val="004022D8"/>
    <w:rsid w:val="00402360"/>
    <w:rsid w:val="004026AF"/>
    <w:rsid w:val="00402D49"/>
    <w:rsid w:val="00402DA9"/>
    <w:rsid w:val="00403216"/>
    <w:rsid w:val="004036BD"/>
    <w:rsid w:val="00403BB8"/>
    <w:rsid w:val="00403EAB"/>
    <w:rsid w:val="0040414F"/>
    <w:rsid w:val="00404693"/>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726"/>
    <w:rsid w:val="00406A7A"/>
    <w:rsid w:val="00406B3A"/>
    <w:rsid w:val="004071D7"/>
    <w:rsid w:val="00407916"/>
    <w:rsid w:val="004105E6"/>
    <w:rsid w:val="00410677"/>
    <w:rsid w:val="0041075D"/>
    <w:rsid w:val="00410AC7"/>
    <w:rsid w:val="00410C79"/>
    <w:rsid w:val="00410D94"/>
    <w:rsid w:val="00410ED7"/>
    <w:rsid w:val="004110C3"/>
    <w:rsid w:val="00411360"/>
    <w:rsid w:val="00411737"/>
    <w:rsid w:val="0041174E"/>
    <w:rsid w:val="00411875"/>
    <w:rsid w:val="00411954"/>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9D7"/>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A87"/>
    <w:rsid w:val="00424B54"/>
    <w:rsid w:val="00424BD3"/>
    <w:rsid w:val="00424DC4"/>
    <w:rsid w:val="004250B1"/>
    <w:rsid w:val="00425345"/>
    <w:rsid w:val="00425765"/>
    <w:rsid w:val="004258E9"/>
    <w:rsid w:val="00425EDA"/>
    <w:rsid w:val="00425FB2"/>
    <w:rsid w:val="00426009"/>
    <w:rsid w:val="0042629E"/>
    <w:rsid w:val="00426441"/>
    <w:rsid w:val="00426489"/>
    <w:rsid w:val="00426D21"/>
    <w:rsid w:val="00426DA6"/>
    <w:rsid w:val="00426E17"/>
    <w:rsid w:val="0042719B"/>
    <w:rsid w:val="0042730B"/>
    <w:rsid w:val="0042753B"/>
    <w:rsid w:val="00427582"/>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8"/>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713"/>
    <w:rsid w:val="00442823"/>
    <w:rsid w:val="00442B41"/>
    <w:rsid w:val="00443151"/>
    <w:rsid w:val="0044381A"/>
    <w:rsid w:val="004438A3"/>
    <w:rsid w:val="00443945"/>
    <w:rsid w:val="00443C21"/>
    <w:rsid w:val="00443E77"/>
    <w:rsid w:val="00443EC7"/>
    <w:rsid w:val="00444088"/>
    <w:rsid w:val="00444F0C"/>
    <w:rsid w:val="00445300"/>
    <w:rsid w:val="00445421"/>
    <w:rsid w:val="004454FA"/>
    <w:rsid w:val="00445683"/>
    <w:rsid w:val="004456A1"/>
    <w:rsid w:val="00445897"/>
    <w:rsid w:val="0044618F"/>
    <w:rsid w:val="0044655D"/>
    <w:rsid w:val="00446929"/>
    <w:rsid w:val="0044698D"/>
    <w:rsid w:val="004474C4"/>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0EE0"/>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8E0"/>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6A77"/>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228"/>
    <w:rsid w:val="004725A2"/>
    <w:rsid w:val="00472777"/>
    <w:rsid w:val="00472789"/>
    <w:rsid w:val="004728EF"/>
    <w:rsid w:val="00472922"/>
    <w:rsid w:val="00472AC2"/>
    <w:rsid w:val="00472E49"/>
    <w:rsid w:val="004730EB"/>
    <w:rsid w:val="00473490"/>
    <w:rsid w:val="004734BC"/>
    <w:rsid w:val="0047351C"/>
    <w:rsid w:val="0047359B"/>
    <w:rsid w:val="0047394D"/>
    <w:rsid w:val="00473B9E"/>
    <w:rsid w:val="00473C46"/>
    <w:rsid w:val="00473DB7"/>
    <w:rsid w:val="004743AB"/>
    <w:rsid w:val="004744A4"/>
    <w:rsid w:val="0047463F"/>
    <w:rsid w:val="00474C5E"/>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DEF"/>
    <w:rsid w:val="00477FAE"/>
    <w:rsid w:val="00480043"/>
    <w:rsid w:val="004800BA"/>
    <w:rsid w:val="004804D3"/>
    <w:rsid w:val="00480895"/>
    <w:rsid w:val="00480F71"/>
    <w:rsid w:val="004816F8"/>
    <w:rsid w:val="00481894"/>
    <w:rsid w:val="00481B3B"/>
    <w:rsid w:val="00481C75"/>
    <w:rsid w:val="00481CA5"/>
    <w:rsid w:val="00481F6E"/>
    <w:rsid w:val="00482434"/>
    <w:rsid w:val="00482CBF"/>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114"/>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0D1"/>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E63"/>
    <w:rsid w:val="00491E8B"/>
    <w:rsid w:val="00491FDA"/>
    <w:rsid w:val="0049207E"/>
    <w:rsid w:val="004922E8"/>
    <w:rsid w:val="00492408"/>
    <w:rsid w:val="00492579"/>
    <w:rsid w:val="004926A5"/>
    <w:rsid w:val="004926AD"/>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B4C"/>
    <w:rsid w:val="00494CE3"/>
    <w:rsid w:val="00495071"/>
    <w:rsid w:val="004950D3"/>
    <w:rsid w:val="004954C8"/>
    <w:rsid w:val="0049554C"/>
    <w:rsid w:val="004955F8"/>
    <w:rsid w:val="00495922"/>
    <w:rsid w:val="00495971"/>
    <w:rsid w:val="00495A20"/>
    <w:rsid w:val="00495BA8"/>
    <w:rsid w:val="00495DD6"/>
    <w:rsid w:val="00495E84"/>
    <w:rsid w:val="00495FFA"/>
    <w:rsid w:val="00496017"/>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6D"/>
    <w:rsid w:val="004A37CE"/>
    <w:rsid w:val="004A3891"/>
    <w:rsid w:val="004A3929"/>
    <w:rsid w:val="004A3B2B"/>
    <w:rsid w:val="004A3C20"/>
    <w:rsid w:val="004A3CEF"/>
    <w:rsid w:val="004A3CFC"/>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17F"/>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295"/>
    <w:rsid w:val="004B63C9"/>
    <w:rsid w:val="004B64C2"/>
    <w:rsid w:val="004B65C6"/>
    <w:rsid w:val="004B67B9"/>
    <w:rsid w:val="004B6BA2"/>
    <w:rsid w:val="004B7179"/>
    <w:rsid w:val="004B7226"/>
    <w:rsid w:val="004B72D8"/>
    <w:rsid w:val="004B7530"/>
    <w:rsid w:val="004B7D65"/>
    <w:rsid w:val="004C0116"/>
    <w:rsid w:val="004C050A"/>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14"/>
    <w:rsid w:val="004C3094"/>
    <w:rsid w:val="004C3164"/>
    <w:rsid w:val="004C35E0"/>
    <w:rsid w:val="004C3925"/>
    <w:rsid w:val="004C3AC0"/>
    <w:rsid w:val="004C3C6D"/>
    <w:rsid w:val="004C3D25"/>
    <w:rsid w:val="004C3E0B"/>
    <w:rsid w:val="004C3F65"/>
    <w:rsid w:val="004C3FD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B48"/>
    <w:rsid w:val="004D1DA1"/>
    <w:rsid w:val="004D1E8A"/>
    <w:rsid w:val="004D1FF9"/>
    <w:rsid w:val="004D264F"/>
    <w:rsid w:val="004D27A7"/>
    <w:rsid w:val="004D2864"/>
    <w:rsid w:val="004D29CB"/>
    <w:rsid w:val="004D29FA"/>
    <w:rsid w:val="004D2CDD"/>
    <w:rsid w:val="004D2D59"/>
    <w:rsid w:val="004D2F31"/>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9D8"/>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A64"/>
    <w:rsid w:val="004D7C95"/>
    <w:rsid w:val="004D7CFA"/>
    <w:rsid w:val="004D7D56"/>
    <w:rsid w:val="004E0108"/>
    <w:rsid w:val="004E02E7"/>
    <w:rsid w:val="004E03FD"/>
    <w:rsid w:val="004E062E"/>
    <w:rsid w:val="004E0B32"/>
    <w:rsid w:val="004E1B98"/>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85"/>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BB"/>
    <w:rsid w:val="004F59BB"/>
    <w:rsid w:val="004F59FC"/>
    <w:rsid w:val="004F5C66"/>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2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CFA"/>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869"/>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07D8A"/>
    <w:rsid w:val="005101A1"/>
    <w:rsid w:val="00510C08"/>
    <w:rsid w:val="005119C2"/>
    <w:rsid w:val="00511B70"/>
    <w:rsid w:val="00511BAD"/>
    <w:rsid w:val="00512020"/>
    <w:rsid w:val="005125BA"/>
    <w:rsid w:val="0051294B"/>
    <w:rsid w:val="00512A76"/>
    <w:rsid w:val="00512DC9"/>
    <w:rsid w:val="00512FAB"/>
    <w:rsid w:val="00513457"/>
    <w:rsid w:val="005134B4"/>
    <w:rsid w:val="00513503"/>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6FBF"/>
    <w:rsid w:val="00517284"/>
    <w:rsid w:val="005172A8"/>
    <w:rsid w:val="005175DC"/>
    <w:rsid w:val="00517605"/>
    <w:rsid w:val="00517ADD"/>
    <w:rsid w:val="00517CEE"/>
    <w:rsid w:val="0052011F"/>
    <w:rsid w:val="00520509"/>
    <w:rsid w:val="005205C4"/>
    <w:rsid w:val="00520682"/>
    <w:rsid w:val="00520F69"/>
    <w:rsid w:val="00521304"/>
    <w:rsid w:val="0052134C"/>
    <w:rsid w:val="00521515"/>
    <w:rsid w:val="00521645"/>
    <w:rsid w:val="0052180E"/>
    <w:rsid w:val="00521921"/>
    <w:rsid w:val="005219D4"/>
    <w:rsid w:val="00521D29"/>
    <w:rsid w:val="00521E80"/>
    <w:rsid w:val="00521EEF"/>
    <w:rsid w:val="00522072"/>
    <w:rsid w:val="0052235C"/>
    <w:rsid w:val="0052240B"/>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3B7"/>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8CE"/>
    <w:rsid w:val="00541ED3"/>
    <w:rsid w:val="00541FB0"/>
    <w:rsid w:val="0054221F"/>
    <w:rsid w:val="00542B33"/>
    <w:rsid w:val="00542EB9"/>
    <w:rsid w:val="00543020"/>
    <w:rsid w:val="005434E4"/>
    <w:rsid w:val="00543533"/>
    <w:rsid w:val="0054357B"/>
    <w:rsid w:val="005437A0"/>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5DD8"/>
    <w:rsid w:val="00545E64"/>
    <w:rsid w:val="005462D1"/>
    <w:rsid w:val="00546962"/>
    <w:rsid w:val="00547205"/>
    <w:rsid w:val="00547390"/>
    <w:rsid w:val="00547630"/>
    <w:rsid w:val="0054777A"/>
    <w:rsid w:val="00550458"/>
    <w:rsid w:val="0055066E"/>
    <w:rsid w:val="005508AE"/>
    <w:rsid w:val="00550B22"/>
    <w:rsid w:val="00550DF1"/>
    <w:rsid w:val="005511B8"/>
    <w:rsid w:val="005516CB"/>
    <w:rsid w:val="00551796"/>
    <w:rsid w:val="00551D75"/>
    <w:rsid w:val="0055243A"/>
    <w:rsid w:val="00552B51"/>
    <w:rsid w:val="00552C08"/>
    <w:rsid w:val="00552D89"/>
    <w:rsid w:val="00552DA1"/>
    <w:rsid w:val="00552E7A"/>
    <w:rsid w:val="00552F5D"/>
    <w:rsid w:val="00552FC0"/>
    <w:rsid w:val="00553079"/>
    <w:rsid w:val="00553201"/>
    <w:rsid w:val="005532F0"/>
    <w:rsid w:val="00553309"/>
    <w:rsid w:val="00553329"/>
    <w:rsid w:val="005537C8"/>
    <w:rsid w:val="00553AD5"/>
    <w:rsid w:val="00553BDC"/>
    <w:rsid w:val="0055433E"/>
    <w:rsid w:val="00554A78"/>
    <w:rsid w:val="00554DD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0A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6FC"/>
    <w:rsid w:val="00572A0C"/>
    <w:rsid w:val="00572FCA"/>
    <w:rsid w:val="005731B2"/>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96F"/>
    <w:rsid w:val="00575FAC"/>
    <w:rsid w:val="00576383"/>
    <w:rsid w:val="005765C5"/>
    <w:rsid w:val="00576817"/>
    <w:rsid w:val="0057683A"/>
    <w:rsid w:val="00576876"/>
    <w:rsid w:val="00576B0F"/>
    <w:rsid w:val="00576BBD"/>
    <w:rsid w:val="00576C00"/>
    <w:rsid w:val="00576DEA"/>
    <w:rsid w:val="00576DEF"/>
    <w:rsid w:val="0057785C"/>
    <w:rsid w:val="005778FF"/>
    <w:rsid w:val="00577A28"/>
    <w:rsid w:val="00577C9F"/>
    <w:rsid w:val="00580017"/>
    <w:rsid w:val="0058025E"/>
    <w:rsid w:val="0058054E"/>
    <w:rsid w:val="005807E6"/>
    <w:rsid w:val="00580B16"/>
    <w:rsid w:val="005818D6"/>
    <w:rsid w:val="00581BF0"/>
    <w:rsid w:val="00581E54"/>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17C8"/>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0E7"/>
    <w:rsid w:val="005A04CF"/>
    <w:rsid w:val="005A05FA"/>
    <w:rsid w:val="005A0EE2"/>
    <w:rsid w:val="005A0F8A"/>
    <w:rsid w:val="005A0FEE"/>
    <w:rsid w:val="005A1320"/>
    <w:rsid w:val="005A1A63"/>
    <w:rsid w:val="005A1BA5"/>
    <w:rsid w:val="005A1BC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64C"/>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A60"/>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D3"/>
    <w:rsid w:val="005B6CF2"/>
    <w:rsid w:val="005B6FE5"/>
    <w:rsid w:val="005B7067"/>
    <w:rsid w:val="005B7309"/>
    <w:rsid w:val="005B765C"/>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40B"/>
    <w:rsid w:val="005C2F8C"/>
    <w:rsid w:val="005C3282"/>
    <w:rsid w:val="005C34A7"/>
    <w:rsid w:val="005C3804"/>
    <w:rsid w:val="005C3AFD"/>
    <w:rsid w:val="005C3C16"/>
    <w:rsid w:val="005C3DC2"/>
    <w:rsid w:val="005C3E79"/>
    <w:rsid w:val="005C3FAB"/>
    <w:rsid w:val="005C3FE8"/>
    <w:rsid w:val="005C4129"/>
    <w:rsid w:val="005C42A3"/>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869"/>
    <w:rsid w:val="005D1C26"/>
    <w:rsid w:val="005D1DB4"/>
    <w:rsid w:val="005D1E8D"/>
    <w:rsid w:val="005D2391"/>
    <w:rsid w:val="005D2405"/>
    <w:rsid w:val="005D248B"/>
    <w:rsid w:val="005D2A01"/>
    <w:rsid w:val="005D2AD2"/>
    <w:rsid w:val="005D2C1B"/>
    <w:rsid w:val="005D3185"/>
    <w:rsid w:val="005D32BB"/>
    <w:rsid w:val="005D35A9"/>
    <w:rsid w:val="005D3922"/>
    <w:rsid w:val="005D3E76"/>
    <w:rsid w:val="005D3EF8"/>
    <w:rsid w:val="005D4545"/>
    <w:rsid w:val="005D462F"/>
    <w:rsid w:val="005D4936"/>
    <w:rsid w:val="005D4966"/>
    <w:rsid w:val="005D4A4F"/>
    <w:rsid w:val="005D4DED"/>
    <w:rsid w:val="005D4FE8"/>
    <w:rsid w:val="005D53BB"/>
    <w:rsid w:val="005D54F2"/>
    <w:rsid w:val="005D5680"/>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2CB"/>
    <w:rsid w:val="005E33B2"/>
    <w:rsid w:val="005E33CF"/>
    <w:rsid w:val="005E3454"/>
    <w:rsid w:val="005E3723"/>
    <w:rsid w:val="005E3AAC"/>
    <w:rsid w:val="005E3B4C"/>
    <w:rsid w:val="005E3DF1"/>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0EF"/>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687"/>
    <w:rsid w:val="005F1A60"/>
    <w:rsid w:val="005F1AB5"/>
    <w:rsid w:val="005F1C64"/>
    <w:rsid w:val="005F1CC7"/>
    <w:rsid w:val="005F1DD2"/>
    <w:rsid w:val="005F21FE"/>
    <w:rsid w:val="005F23AD"/>
    <w:rsid w:val="005F25FB"/>
    <w:rsid w:val="005F2603"/>
    <w:rsid w:val="005F2B23"/>
    <w:rsid w:val="005F2C06"/>
    <w:rsid w:val="005F2D95"/>
    <w:rsid w:val="005F2DDB"/>
    <w:rsid w:val="005F31E9"/>
    <w:rsid w:val="005F3233"/>
    <w:rsid w:val="005F3722"/>
    <w:rsid w:val="005F3B10"/>
    <w:rsid w:val="005F3D5B"/>
    <w:rsid w:val="005F408B"/>
    <w:rsid w:val="005F4126"/>
    <w:rsid w:val="005F421F"/>
    <w:rsid w:val="005F461B"/>
    <w:rsid w:val="005F4694"/>
    <w:rsid w:val="005F4853"/>
    <w:rsid w:val="005F4B22"/>
    <w:rsid w:val="005F4C7D"/>
    <w:rsid w:val="005F4CC4"/>
    <w:rsid w:val="005F4E3F"/>
    <w:rsid w:val="005F4F8D"/>
    <w:rsid w:val="005F5085"/>
    <w:rsid w:val="005F5449"/>
    <w:rsid w:val="005F54A6"/>
    <w:rsid w:val="005F5566"/>
    <w:rsid w:val="005F55EC"/>
    <w:rsid w:val="005F5698"/>
    <w:rsid w:val="005F576B"/>
    <w:rsid w:val="005F5841"/>
    <w:rsid w:val="005F59BB"/>
    <w:rsid w:val="005F5FB5"/>
    <w:rsid w:val="005F5FC4"/>
    <w:rsid w:val="005F6212"/>
    <w:rsid w:val="005F624E"/>
    <w:rsid w:val="005F6347"/>
    <w:rsid w:val="005F658D"/>
    <w:rsid w:val="005F67E4"/>
    <w:rsid w:val="005F6A5B"/>
    <w:rsid w:val="005F6C71"/>
    <w:rsid w:val="005F6C80"/>
    <w:rsid w:val="005F6E0C"/>
    <w:rsid w:val="005F6EE9"/>
    <w:rsid w:val="005F6FAF"/>
    <w:rsid w:val="005F7023"/>
    <w:rsid w:val="005F73F1"/>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768"/>
    <w:rsid w:val="00604874"/>
    <w:rsid w:val="0060489E"/>
    <w:rsid w:val="006049BE"/>
    <w:rsid w:val="00604BE5"/>
    <w:rsid w:val="00605501"/>
    <w:rsid w:val="0060558D"/>
    <w:rsid w:val="006059E1"/>
    <w:rsid w:val="00605B42"/>
    <w:rsid w:val="00605C18"/>
    <w:rsid w:val="0060659A"/>
    <w:rsid w:val="00606843"/>
    <w:rsid w:val="00606B0A"/>
    <w:rsid w:val="006071DC"/>
    <w:rsid w:val="006075F0"/>
    <w:rsid w:val="006078D7"/>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65A"/>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2CA"/>
    <w:rsid w:val="00617875"/>
    <w:rsid w:val="006178B2"/>
    <w:rsid w:val="00617A16"/>
    <w:rsid w:val="00617C81"/>
    <w:rsid w:val="00617CA9"/>
    <w:rsid w:val="00617D8A"/>
    <w:rsid w:val="00617EDB"/>
    <w:rsid w:val="00620216"/>
    <w:rsid w:val="00620248"/>
    <w:rsid w:val="00620395"/>
    <w:rsid w:val="006203D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2D13"/>
    <w:rsid w:val="0062307A"/>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62"/>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375"/>
    <w:rsid w:val="0064748D"/>
    <w:rsid w:val="00647734"/>
    <w:rsid w:val="006477CD"/>
    <w:rsid w:val="00647BAE"/>
    <w:rsid w:val="00647D9C"/>
    <w:rsid w:val="006502A3"/>
    <w:rsid w:val="00650442"/>
    <w:rsid w:val="006506E0"/>
    <w:rsid w:val="006506EF"/>
    <w:rsid w:val="00650BE1"/>
    <w:rsid w:val="00650D12"/>
    <w:rsid w:val="00650F24"/>
    <w:rsid w:val="00650FEC"/>
    <w:rsid w:val="006515BB"/>
    <w:rsid w:val="006518F1"/>
    <w:rsid w:val="00651975"/>
    <w:rsid w:val="00651F31"/>
    <w:rsid w:val="00651F73"/>
    <w:rsid w:val="00651FA6"/>
    <w:rsid w:val="0065211C"/>
    <w:rsid w:val="00652466"/>
    <w:rsid w:val="00652876"/>
    <w:rsid w:val="006528B6"/>
    <w:rsid w:val="00652991"/>
    <w:rsid w:val="00652AE8"/>
    <w:rsid w:val="00652B8B"/>
    <w:rsid w:val="00652C05"/>
    <w:rsid w:val="00653199"/>
    <w:rsid w:val="0065354F"/>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0E8D"/>
    <w:rsid w:val="006616A8"/>
    <w:rsid w:val="00661835"/>
    <w:rsid w:val="00661D9A"/>
    <w:rsid w:val="006624B2"/>
    <w:rsid w:val="006626E8"/>
    <w:rsid w:val="00662FC0"/>
    <w:rsid w:val="00662FFB"/>
    <w:rsid w:val="006630AF"/>
    <w:rsid w:val="00663123"/>
    <w:rsid w:val="00663273"/>
    <w:rsid w:val="006633AA"/>
    <w:rsid w:val="006642AB"/>
    <w:rsid w:val="006644EA"/>
    <w:rsid w:val="00664501"/>
    <w:rsid w:val="00664554"/>
    <w:rsid w:val="00664BDD"/>
    <w:rsid w:val="00664E61"/>
    <w:rsid w:val="006650BC"/>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0A9"/>
    <w:rsid w:val="0067228E"/>
    <w:rsid w:val="006723EF"/>
    <w:rsid w:val="006724F7"/>
    <w:rsid w:val="0067288E"/>
    <w:rsid w:val="00672AD6"/>
    <w:rsid w:val="00672B74"/>
    <w:rsid w:val="006730A0"/>
    <w:rsid w:val="00673313"/>
    <w:rsid w:val="00673E48"/>
    <w:rsid w:val="00674273"/>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0FAA"/>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9B"/>
    <w:rsid w:val="00683BFA"/>
    <w:rsid w:val="00683C8A"/>
    <w:rsid w:val="00684629"/>
    <w:rsid w:val="006848B5"/>
    <w:rsid w:val="006848F9"/>
    <w:rsid w:val="00684BB4"/>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6FC5"/>
    <w:rsid w:val="00687203"/>
    <w:rsid w:val="0068761C"/>
    <w:rsid w:val="00687664"/>
    <w:rsid w:val="00687B23"/>
    <w:rsid w:val="00687C98"/>
    <w:rsid w:val="00687E31"/>
    <w:rsid w:val="00687F04"/>
    <w:rsid w:val="006901B3"/>
    <w:rsid w:val="006901BC"/>
    <w:rsid w:val="006901D0"/>
    <w:rsid w:val="0069086D"/>
    <w:rsid w:val="006908FF"/>
    <w:rsid w:val="0069090E"/>
    <w:rsid w:val="00690D37"/>
    <w:rsid w:val="00690D5D"/>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B1E"/>
    <w:rsid w:val="00694E50"/>
    <w:rsid w:val="00694F81"/>
    <w:rsid w:val="00695040"/>
    <w:rsid w:val="006950D9"/>
    <w:rsid w:val="00695236"/>
    <w:rsid w:val="006952F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696"/>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1BD"/>
    <w:rsid w:val="006A4693"/>
    <w:rsid w:val="006A4D97"/>
    <w:rsid w:val="006A4EBF"/>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15"/>
    <w:rsid w:val="006A7734"/>
    <w:rsid w:val="006A7794"/>
    <w:rsid w:val="006A79F9"/>
    <w:rsid w:val="006A7A45"/>
    <w:rsid w:val="006A7D0D"/>
    <w:rsid w:val="006A7E4C"/>
    <w:rsid w:val="006B002B"/>
    <w:rsid w:val="006B0311"/>
    <w:rsid w:val="006B09D0"/>
    <w:rsid w:val="006B0DFD"/>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6E"/>
    <w:rsid w:val="006C00F0"/>
    <w:rsid w:val="006C03E5"/>
    <w:rsid w:val="006C045F"/>
    <w:rsid w:val="006C04E7"/>
    <w:rsid w:val="006C0504"/>
    <w:rsid w:val="006C0542"/>
    <w:rsid w:val="006C0570"/>
    <w:rsid w:val="006C059D"/>
    <w:rsid w:val="006C0850"/>
    <w:rsid w:val="006C0D4C"/>
    <w:rsid w:val="006C0DA2"/>
    <w:rsid w:val="006C0DF8"/>
    <w:rsid w:val="006C0F80"/>
    <w:rsid w:val="006C0FCB"/>
    <w:rsid w:val="006C166B"/>
    <w:rsid w:val="006C18AE"/>
    <w:rsid w:val="006C1AE6"/>
    <w:rsid w:val="006C1C7D"/>
    <w:rsid w:val="006C1F04"/>
    <w:rsid w:val="006C1F6E"/>
    <w:rsid w:val="006C2124"/>
    <w:rsid w:val="006C2406"/>
    <w:rsid w:val="006C2622"/>
    <w:rsid w:val="006C2811"/>
    <w:rsid w:val="006C2A39"/>
    <w:rsid w:val="006C2A53"/>
    <w:rsid w:val="006C2A6A"/>
    <w:rsid w:val="006C35C2"/>
    <w:rsid w:val="006C35FB"/>
    <w:rsid w:val="006C3828"/>
    <w:rsid w:val="006C386E"/>
    <w:rsid w:val="006C39BA"/>
    <w:rsid w:val="006C3BBF"/>
    <w:rsid w:val="006C3D8C"/>
    <w:rsid w:val="006C3FCB"/>
    <w:rsid w:val="006C407B"/>
    <w:rsid w:val="006C43CA"/>
    <w:rsid w:val="006C4A2C"/>
    <w:rsid w:val="006C4AA6"/>
    <w:rsid w:val="006C4AAC"/>
    <w:rsid w:val="006C4B76"/>
    <w:rsid w:val="006C505B"/>
    <w:rsid w:val="006C509C"/>
    <w:rsid w:val="006C5166"/>
    <w:rsid w:val="006C53DA"/>
    <w:rsid w:val="006C5579"/>
    <w:rsid w:val="006C5628"/>
    <w:rsid w:val="006C5B13"/>
    <w:rsid w:val="006C5EF9"/>
    <w:rsid w:val="006C5F9C"/>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64C"/>
    <w:rsid w:val="006D4708"/>
    <w:rsid w:val="006D4833"/>
    <w:rsid w:val="006D4840"/>
    <w:rsid w:val="006D4A9F"/>
    <w:rsid w:val="006D4AD5"/>
    <w:rsid w:val="006D4C60"/>
    <w:rsid w:val="006D4DBA"/>
    <w:rsid w:val="006D4F8F"/>
    <w:rsid w:val="006D50FB"/>
    <w:rsid w:val="006D5231"/>
    <w:rsid w:val="006D5249"/>
    <w:rsid w:val="006D535C"/>
    <w:rsid w:val="006D5438"/>
    <w:rsid w:val="006D5458"/>
    <w:rsid w:val="006D54E2"/>
    <w:rsid w:val="006D555B"/>
    <w:rsid w:val="006D575D"/>
    <w:rsid w:val="006D57A7"/>
    <w:rsid w:val="006D5AFC"/>
    <w:rsid w:val="006D5B02"/>
    <w:rsid w:val="006D5D1A"/>
    <w:rsid w:val="006D5EA8"/>
    <w:rsid w:val="006D629C"/>
    <w:rsid w:val="006D63E6"/>
    <w:rsid w:val="006D6554"/>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B5E"/>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0A"/>
    <w:rsid w:val="006E6768"/>
    <w:rsid w:val="006E6936"/>
    <w:rsid w:val="006E6C13"/>
    <w:rsid w:val="006E6C79"/>
    <w:rsid w:val="006E70C6"/>
    <w:rsid w:val="006E72A3"/>
    <w:rsid w:val="006E74FB"/>
    <w:rsid w:val="006E7622"/>
    <w:rsid w:val="006E7784"/>
    <w:rsid w:val="006E7EAB"/>
    <w:rsid w:val="006F013D"/>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2FB2"/>
    <w:rsid w:val="006F307D"/>
    <w:rsid w:val="006F3126"/>
    <w:rsid w:val="006F325A"/>
    <w:rsid w:val="006F3403"/>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93"/>
    <w:rsid w:val="007059E2"/>
    <w:rsid w:val="007061A9"/>
    <w:rsid w:val="00706296"/>
    <w:rsid w:val="007065D3"/>
    <w:rsid w:val="00706806"/>
    <w:rsid w:val="00706891"/>
    <w:rsid w:val="00706AA6"/>
    <w:rsid w:val="00706C4E"/>
    <w:rsid w:val="00706CA5"/>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6E3"/>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2E7"/>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DF0"/>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4CB0"/>
    <w:rsid w:val="00745566"/>
    <w:rsid w:val="007456A3"/>
    <w:rsid w:val="00745BE8"/>
    <w:rsid w:val="00745DD9"/>
    <w:rsid w:val="00745DE0"/>
    <w:rsid w:val="00745E0E"/>
    <w:rsid w:val="0074618A"/>
    <w:rsid w:val="00746325"/>
    <w:rsid w:val="0074648E"/>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106"/>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E25"/>
    <w:rsid w:val="00760E84"/>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5A3A"/>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4C5"/>
    <w:rsid w:val="007808A0"/>
    <w:rsid w:val="007808A5"/>
    <w:rsid w:val="00780C33"/>
    <w:rsid w:val="00780CF3"/>
    <w:rsid w:val="00781260"/>
    <w:rsid w:val="007813FC"/>
    <w:rsid w:val="0078193D"/>
    <w:rsid w:val="00781B2E"/>
    <w:rsid w:val="00781DB9"/>
    <w:rsid w:val="00781EA7"/>
    <w:rsid w:val="0078258B"/>
    <w:rsid w:val="007825D6"/>
    <w:rsid w:val="007828D8"/>
    <w:rsid w:val="00782E34"/>
    <w:rsid w:val="00782FDD"/>
    <w:rsid w:val="00783175"/>
    <w:rsid w:val="00783186"/>
    <w:rsid w:val="007834F4"/>
    <w:rsid w:val="0078359E"/>
    <w:rsid w:val="00783721"/>
    <w:rsid w:val="00783802"/>
    <w:rsid w:val="0078383A"/>
    <w:rsid w:val="0078384D"/>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55ED"/>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0F11"/>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597"/>
    <w:rsid w:val="007A3870"/>
    <w:rsid w:val="007A3B16"/>
    <w:rsid w:val="007A3B21"/>
    <w:rsid w:val="007A40F2"/>
    <w:rsid w:val="007A420A"/>
    <w:rsid w:val="007A453B"/>
    <w:rsid w:val="007A469A"/>
    <w:rsid w:val="007A4CEB"/>
    <w:rsid w:val="007A4DA1"/>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45C"/>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96F"/>
    <w:rsid w:val="007B3EFA"/>
    <w:rsid w:val="007B3F1B"/>
    <w:rsid w:val="007B3F28"/>
    <w:rsid w:val="007B3FE5"/>
    <w:rsid w:val="007B404C"/>
    <w:rsid w:val="007B490C"/>
    <w:rsid w:val="007B4BCE"/>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7E2"/>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4743"/>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6FA"/>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B31"/>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44"/>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C91"/>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1EBD"/>
    <w:rsid w:val="007F203C"/>
    <w:rsid w:val="007F2123"/>
    <w:rsid w:val="007F2140"/>
    <w:rsid w:val="007F23AF"/>
    <w:rsid w:val="007F250A"/>
    <w:rsid w:val="007F254A"/>
    <w:rsid w:val="007F299C"/>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A1F"/>
    <w:rsid w:val="00805B58"/>
    <w:rsid w:val="008061EB"/>
    <w:rsid w:val="00806392"/>
    <w:rsid w:val="0080641C"/>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09"/>
    <w:rsid w:val="00812724"/>
    <w:rsid w:val="0081292F"/>
    <w:rsid w:val="00812A82"/>
    <w:rsid w:val="00812DF3"/>
    <w:rsid w:val="00812FFF"/>
    <w:rsid w:val="00813369"/>
    <w:rsid w:val="008133E7"/>
    <w:rsid w:val="00813666"/>
    <w:rsid w:val="00813767"/>
    <w:rsid w:val="008138EA"/>
    <w:rsid w:val="008139EE"/>
    <w:rsid w:val="00813C06"/>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39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4BC"/>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2FD"/>
    <w:rsid w:val="00831541"/>
    <w:rsid w:val="00831A16"/>
    <w:rsid w:val="00831B58"/>
    <w:rsid w:val="00831C39"/>
    <w:rsid w:val="00831D98"/>
    <w:rsid w:val="00831F87"/>
    <w:rsid w:val="0083209D"/>
    <w:rsid w:val="008320B7"/>
    <w:rsid w:val="00832252"/>
    <w:rsid w:val="0083273C"/>
    <w:rsid w:val="0083274A"/>
    <w:rsid w:val="0083277E"/>
    <w:rsid w:val="00832956"/>
    <w:rsid w:val="00832B9B"/>
    <w:rsid w:val="00833AEA"/>
    <w:rsid w:val="00833D72"/>
    <w:rsid w:val="00833DBB"/>
    <w:rsid w:val="00834147"/>
    <w:rsid w:val="0083473E"/>
    <w:rsid w:val="00834B53"/>
    <w:rsid w:val="00834F72"/>
    <w:rsid w:val="00834FF6"/>
    <w:rsid w:val="0083514F"/>
    <w:rsid w:val="008355D5"/>
    <w:rsid w:val="008358A2"/>
    <w:rsid w:val="008358AF"/>
    <w:rsid w:val="00835970"/>
    <w:rsid w:val="00835A71"/>
    <w:rsid w:val="00835E3C"/>
    <w:rsid w:val="00836362"/>
    <w:rsid w:val="0083643A"/>
    <w:rsid w:val="0083649B"/>
    <w:rsid w:val="00836A4C"/>
    <w:rsid w:val="00836C9F"/>
    <w:rsid w:val="00836F01"/>
    <w:rsid w:val="00836F39"/>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7D9"/>
    <w:rsid w:val="00860840"/>
    <w:rsid w:val="00860A70"/>
    <w:rsid w:val="00860C1B"/>
    <w:rsid w:val="00860DA0"/>
    <w:rsid w:val="00860E70"/>
    <w:rsid w:val="00860FCE"/>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52FC"/>
    <w:rsid w:val="00865330"/>
    <w:rsid w:val="00865AB1"/>
    <w:rsid w:val="00865DC0"/>
    <w:rsid w:val="00865F12"/>
    <w:rsid w:val="00866582"/>
    <w:rsid w:val="008665A7"/>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1CC"/>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9F1"/>
    <w:rsid w:val="00882A8B"/>
    <w:rsid w:val="00882E12"/>
    <w:rsid w:val="00882E69"/>
    <w:rsid w:val="00882FFF"/>
    <w:rsid w:val="0088331D"/>
    <w:rsid w:val="00883933"/>
    <w:rsid w:val="00883A8A"/>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AF5"/>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2D75"/>
    <w:rsid w:val="008930E9"/>
    <w:rsid w:val="008931CF"/>
    <w:rsid w:val="00893439"/>
    <w:rsid w:val="00893520"/>
    <w:rsid w:val="008935C2"/>
    <w:rsid w:val="0089366E"/>
    <w:rsid w:val="00893735"/>
    <w:rsid w:val="00893A1F"/>
    <w:rsid w:val="00893C8F"/>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B1C"/>
    <w:rsid w:val="00897DC4"/>
    <w:rsid w:val="00897DDA"/>
    <w:rsid w:val="008A043E"/>
    <w:rsid w:val="008A05D3"/>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45B"/>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475"/>
    <w:rsid w:val="008A7A44"/>
    <w:rsid w:val="008A7B34"/>
    <w:rsid w:val="008A7BF0"/>
    <w:rsid w:val="008A7C79"/>
    <w:rsid w:val="008A7DFB"/>
    <w:rsid w:val="008A7FED"/>
    <w:rsid w:val="008B004E"/>
    <w:rsid w:val="008B064C"/>
    <w:rsid w:val="008B07AD"/>
    <w:rsid w:val="008B0902"/>
    <w:rsid w:val="008B0DDF"/>
    <w:rsid w:val="008B15DE"/>
    <w:rsid w:val="008B1652"/>
    <w:rsid w:val="008B190B"/>
    <w:rsid w:val="008B1B8C"/>
    <w:rsid w:val="008B2079"/>
    <w:rsid w:val="008B20B5"/>
    <w:rsid w:val="008B253E"/>
    <w:rsid w:val="008B28BE"/>
    <w:rsid w:val="008B2BE4"/>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AB"/>
    <w:rsid w:val="008B6AC3"/>
    <w:rsid w:val="008B6B90"/>
    <w:rsid w:val="008B72D1"/>
    <w:rsid w:val="008B7589"/>
    <w:rsid w:val="008B794E"/>
    <w:rsid w:val="008B7A4E"/>
    <w:rsid w:val="008B7D67"/>
    <w:rsid w:val="008B7D74"/>
    <w:rsid w:val="008B7DBA"/>
    <w:rsid w:val="008C00B3"/>
    <w:rsid w:val="008C0404"/>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04E"/>
    <w:rsid w:val="008C47C8"/>
    <w:rsid w:val="008C4ABB"/>
    <w:rsid w:val="008C5109"/>
    <w:rsid w:val="008C5130"/>
    <w:rsid w:val="008C5B47"/>
    <w:rsid w:val="008C62D2"/>
    <w:rsid w:val="008C6464"/>
    <w:rsid w:val="008C6646"/>
    <w:rsid w:val="008C6A01"/>
    <w:rsid w:val="008C6E73"/>
    <w:rsid w:val="008C703E"/>
    <w:rsid w:val="008C74F5"/>
    <w:rsid w:val="008C77F4"/>
    <w:rsid w:val="008C7A58"/>
    <w:rsid w:val="008C7CFC"/>
    <w:rsid w:val="008D0183"/>
    <w:rsid w:val="008D0422"/>
    <w:rsid w:val="008D08CE"/>
    <w:rsid w:val="008D09B7"/>
    <w:rsid w:val="008D0C0B"/>
    <w:rsid w:val="008D10F7"/>
    <w:rsid w:val="008D1175"/>
    <w:rsid w:val="008D1177"/>
    <w:rsid w:val="008D13F8"/>
    <w:rsid w:val="008D1558"/>
    <w:rsid w:val="008D177D"/>
    <w:rsid w:val="008D18F8"/>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12"/>
    <w:rsid w:val="008E14E0"/>
    <w:rsid w:val="008E17DD"/>
    <w:rsid w:val="008E1C7B"/>
    <w:rsid w:val="008E1E59"/>
    <w:rsid w:val="008E2BF7"/>
    <w:rsid w:val="008E2F03"/>
    <w:rsid w:val="008E3006"/>
    <w:rsid w:val="008E326E"/>
    <w:rsid w:val="008E32F4"/>
    <w:rsid w:val="008E36B6"/>
    <w:rsid w:val="008E39C4"/>
    <w:rsid w:val="008E3C36"/>
    <w:rsid w:val="008E43DD"/>
    <w:rsid w:val="008E4454"/>
    <w:rsid w:val="008E48DE"/>
    <w:rsid w:val="008E4B56"/>
    <w:rsid w:val="008E4B81"/>
    <w:rsid w:val="008E4ED4"/>
    <w:rsid w:val="008E514D"/>
    <w:rsid w:val="008E5528"/>
    <w:rsid w:val="008E581C"/>
    <w:rsid w:val="008E583D"/>
    <w:rsid w:val="008E5C12"/>
    <w:rsid w:val="008E5D6C"/>
    <w:rsid w:val="008E5E26"/>
    <w:rsid w:val="008E5EF2"/>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0FEE"/>
    <w:rsid w:val="008F13AC"/>
    <w:rsid w:val="008F1B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6E56"/>
    <w:rsid w:val="008F6F71"/>
    <w:rsid w:val="008F791B"/>
    <w:rsid w:val="008F7D92"/>
    <w:rsid w:val="008F7FAB"/>
    <w:rsid w:val="009002D8"/>
    <w:rsid w:val="009003F8"/>
    <w:rsid w:val="009004DE"/>
    <w:rsid w:val="009004F0"/>
    <w:rsid w:val="00900CCA"/>
    <w:rsid w:val="00900E58"/>
    <w:rsid w:val="009013EC"/>
    <w:rsid w:val="009018F1"/>
    <w:rsid w:val="00901D6F"/>
    <w:rsid w:val="00901D84"/>
    <w:rsid w:val="00902046"/>
    <w:rsid w:val="0090249C"/>
    <w:rsid w:val="00902690"/>
    <w:rsid w:val="00902AF2"/>
    <w:rsid w:val="00902B8A"/>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5CAE"/>
    <w:rsid w:val="00906004"/>
    <w:rsid w:val="00906107"/>
    <w:rsid w:val="00906226"/>
    <w:rsid w:val="00906314"/>
    <w:rsid w:val="0090643C"/>
    <w:rsid w:val="00906589"/>
    <w:rsid w:val="0090659C"/>
    <w:rsid w:val="009067DE"/>
    <w:rsid w:val="00906E8D"/>
    <w:rsid w:val="00906FFC"/>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870"/>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370"/>
    <w:rsid w:val="00921609"/>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684"/>
    <w:rsid w:val="00926859"/>
    <w:rsid w:val="00926B52"/>
    <w:rsid w:val="00926BD3"/>
    <w:rsid w:val="00926C6A"/>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AC9"/>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272"/>
    <w:rsid w:val="009433C6"/>
    <w:rsid w:val="009435A9"/>
    <w:rsid w:val="009435AE"/>
    <w:rsid w:val="00943D08"/>
    <w:rsid w:val="00943D18"/>
    <w:rsid w:val="0094404D"/>
    <w:rsid w:val="009440FE"/>
    <w:rsid w:val="00944464"/>
    <w:rsid w:val="00944497"/>
    <w:rsid w:val="009445D1"/>
    <w:rsid w:val="00944A42"/>
    <w:rsid w:val="00944C39"/>
    <w:rsid w:val="00944F0D"/>
    <w:rsid w:val="00944F93"/>
    <w:rsid w:val="009451DF"/>
    <w:rsid w:val="00945221"/>
    <w:rsid w:val="0094522F"/>
    <w:rsid w:val="00945539"/>
    <w:rsid w:val="0094595B"/>
    <w:rsid w:val="009459CE"/>
    <w:rsid w:val="00945A0F"/>
    <w:rsid w:val="00946102"/>
    <w:rsid w:val="009465DD"/>
    <w:rsid w:val="00946B6F"/>
    <w:rsid w:val="0094701B"/>
    <w:rsid w:val="00947028"/>
    <w:rsid w:val="009470B6"/>
    <w:rsid w:val="00947426"/>
    <w:rsid w:val="00947683"/>
    <w:rsid w:val="00947ADE"/>
    <w:rsid w:val="00947CB1"/>
    <w:rsid w:val="00950309"/>
    <w:rsid w:val="009504AE"/>
    <w:rsid w:val="00950901"/>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BF5"/>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0E"/>
    <w:rsid w:val="00964BF4"/>
    <w:rsid w:val="00964E1C"/>
    <w:rsid w:val="00964F27"/>
    <w:rsid w:val="00964F91"/>
    <w:rsid w:val="0096500F"/>
    <w:rsid w:val="0096537F"/>
    <w:rsid w:val="00965F3F"/>
    <w:rsid w:val="009661A6"/>
    <w:rsid w:val="0096656B"/>
    <w:rsid w:val="00966B7F"/>
    <w:rsid w:val="00966C01"/>
    <w:rsid w:val="009670BD"/>
    <w:rsid w:val="009672AA"/>
    <w:rsid w:val="00967476"/>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31F"/>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0C1"/>
    <w:rsid w:val="009765EE"/>
    <w:rsid w:val="009769A1"/>
    <w:rsid w:val="00976A31"/>
    <w:rsid w:val="00976E87"/>
    <w:rsid w:val="00977016"/>
    <w:rsid w:val="009770AC"/>
    <w:rsid w:val="009771CA"/>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A3D"/>
    <w:rsid w:val="00983B1C"/>
    <w:rsid w:val="00983DB8"/>
    <w:rsid w:val="00983FF8"/>
    <w:rsid w:val="00984370"/>
    <w:rsid w:val="00984382"/>
    <w:rsid w:val="009849BC"/>
    <w:rsid w:val="00984B6D"/>
    <w:rsid w:val="00984BB8"/>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0FD"/>
    <w:rsid w:val="009926F6"/>
    <w:rsid w:val="009929E3"/>
    <w:rsid w:val="00992D4D"/>
    <w:rsid w:val="00992D5E"/>
    <w:rsid w:val="00992E49"/>
    <w:rsid w:val="00992F31"/>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1D8"/>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651"/>
    <w:rsid w:val="009A18DE"/>
    <w:rsid w:val="009A1AC6"/>
    <w:rsid w:val="009A222C"/>
    <w:rsid w:val="009A26DE"/>
    <w:rsid w:val="009A2982"/>
    <w:rsid w:val="009A2C38"/>
    <w:rsid w:val="009A31E6"/>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70"/>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7A1"/>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B7F05"/>
    <w:rsid w:val="009C00A4"/>
    <w:rsid w:val="009C02AB"/>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2BD"/>
    <w:rsid w:val="009C3309"/>
    <w:rsid w:val="009C3533"/>
    <w:rsid w:val="009C3654"/>
    <w:rsid w:val="009C3883"/>
    <w:rsid w:val="009C3C24"/>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4B7"/>
    <w:rsid w:val="009D075F"/>
    <w:rsid w:val="009D0852"/>
    <w:rsid w:val="009D09AB"/>
    <w:rsid w:val="009D0D38"/>
    <w:rsid w:val="009D0E3F"/>
    <w:rsid w:val="009D0F4D"/>
    <w:rsid w:val="009D15E5"/>
    <w:rsid w:val="009D18C0"/>
    <w:rsid w:val="009D1946"/>
    <w:rsid w:val="009D1A1C"/>
    <w:rsid w:val="009D1BA7"/>
    <w:rsid w:val="009D1C9E"/>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EFB"/>
    <w:rsid w:val="009D6FD9"/>
    <w:rsid w:val="009D7253"/>
    <w:rsid w:val="009D72EC"/>
    <w:rsid w:val="009D7385"/>
    <w:rsid w:val="009D762F"/>
    <w:rsid w:val="009D78F7"/>
    <w:rsid w:val="009D7DB2"/>
    <w:rsid w:val="009E0114"/>
    <w:rsid w:val="009E0346"/>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4CBB"/>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3"/>
    <w:rsid w:val="009F1037"/>
    <w:rsid w:val="009F11C5"/>
    <w:rsid w:val="009F1279"/>
    <w:rsid w:val="009F12AF"/>
    <w:rsid w:val="009F1334"/>
    <w:rsid w:val="009F13F9"/>
    <w:rsid w:val="009F15CE"/>
    <w:rsid w:val="009F163F"/>
    <w:rsid w:val="009F178A"/>
    <w:rsid w:val="009F1AA2"/>
    <w:rsid w:val="009F1B6A"/>
    <w:rsid w:val="009F1F05"/>
    <w:rsid w:val="009F2119"/>
    <w:rsid w:val="009F24DA"/>
    <w:rsid w:val="009F25C1"/>
    <w:rsid w:val="009F2612"/>
    <w:rsid w:val="009F29CB"/>
    <w:rsid w:val="009F2A3B"/>
    <w:rsid w:val="009F2D1D"/>
    <w:rsid w:val="009F2EC4"/>
    <w:rsid w:val="009F3591"/>
    <w:rsid w:val="009F3A25"/>
    <w:rsid w:val="009F3AE8"/>
    <w:rsid w:val="009F3C65"/>
    <w:rsid w:val="009F3E97"/>
    <w:rsid w:val="009F461E"/>
    <w:rsid w:val="009F47B3"/>
    <w:rsid w:val="009F493C"/>
    <w:rsid w:val="009F4A15"/>
    <w:rsid w:val="009F4F00"/>
    <w:rsid w:val="009F50A9"/>
    <w:rsid w:val="009F50DA"/>
    <w:rsid w:val="009F519F"/>
    <w:rsid w:val="009F54C9"/>
    <w:rsid w:val="009F552D"/>
    <w:rsid w:val="009F5BDB"/>
    <w:rsid w:val="009F6280"/>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3F92"/>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258"/>
    <w:rsid w:val="00A073D3"/>
    <w:rsid w:val="00A0780B"/>
    <w:rsid w:val="00A0792E"/>
    <w:rsid w:val="00A07A7F"/>
    <w:rsid w:val="00A07BE8"/>
    <w:rsid w:val="00A07DEB"/>
    <w:rsid w:val="00A07EEB"/>
    <w:rsid w:val="00A1011B"/>
    <w:rsid w:val="00A10364"/>
    <w:rsid w:val="00A10E37"/>
    <w:rsid w:val="00A10F1A"/>
    <w:rsid w:val="00A11052"/>
    <w:rsid w:val="00A11247"/>
    <w:rsid w:val="00A11252"/>
    <w:rsid w:val="00A1137E"/>
    <w:rsid w:val="00A11522"/>
    <w:rsid w:val="00A1153E"/>
    <w:rsid w:val="00A11DC8"/>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2B9"/>
    <w:rsid w:val="00A15414"/>
    <w:rsid w:val="00A15544"/>
    <w:rsid w:val="00A15593"/>
    <w:rsid w:val="00A15717"/>
    <w:rsid w:val="00A157E4"/>
    <w:rsid w:val="00A157E7"/>
    <w:rsid w:val="00A15C44"/>
    <w:rsid w:val="00A1607D"/>
    <w:rsid w:val="00A1621C"/>
    <w:rsid w:val="00A162EA"/>
    <w:rsid w:val="00A163AC"/>
    <w:rsid w:val="00A1676A"/>
    <w:rsid w:val="00A169F6"/>
    <w:rsid w:val="00A16AAC"/>
    <w:rsid w:val="00A16D90"/>
    <w:rsid w:val="00A17019"/>
    <w:rsid w:val="00A171A7"/>
    <w:rsid w:val="00A17360"/>
    <w:rsid w:val="00A17745"/>
    <w:rsid w:val="00A17B2E"/>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3BA"/>
    <w:rsid w:val="00A2541C"/>
    <w:rsid w:val="00A258BF"/>
    <w:rsid w:val="00A25ACB"/>
    <w:rsid w:val="00A25CB6"/>
    <w:rsid w:val="00A25CCB"/>
    <w:rsid w:val="00A25D17"/>
    <w:rsid w:val="00A25DAD"/>
    <w:rsid w:val="00A25FBB"/>
    <w:rsid w:val="00A26310"/>
    <w:rsid w:val="00A269B0"/>
    <w:rsid w:val="00A26A0E"/>
    <w:rsid w:val="00A26C9D"/>
    <w:rsid w:val="00A26FF2"/>
    <w:rsid w:val="00A274B4"/>
    <w:rsid w:val="00A275D3"/>
    <w:rsid w:val="00A27AA1"/>
    <w:rsid w:val="00A27FD4"/>
    <w:rsid w:val="00A304C2"/>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4DB"/>
    <w:rsid w:val="00A35569"/>
    <w:rsid w:val="00A35663"/>
    <w:rsid w:val="00A35C4F"/>
    <w:rsid w:val="00A36336"/>
    <w:rsid w:val="00A3690D"/>
    <w:rsid w:val="00A36984"/>
    <w:rsid w:val="00A370AD"/>
    <w:rsid w:val="00A371E3"/>
    <w:rsid w:val="00A37395"/>
    <w:rsid w:val="00A374BF"/>
    <w:rsid w:val="00A377F3"/>
    <w:rsid w:val="00A379EB"/>
    <w:rsid w:val="00A37B95"/>
    <w:rsid w:val="00A37D99"/>
    <w:rsid w:val="00A40118"/>
    <w:rsid w:val="00A40470"/>
    <w:rsid w:val="00A40504"/>
    <w:rsid w:val="00A4072D"/>
    <w:rsid w:val="00A41288"/>
    <w:rsid w:val="00A4135B"/>
    <w:rsid w:val="00A41413"/>
    <w:rsid w:val="00A41455"/>
    <w:rsid w:val="00A41469"/>
    <w:rsid w:val="00A41B9D"/>
    <w:rsid w:val="00A41D0F"/>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0EC"/>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F0C"/>
    <w:rsid w:val="00A56F6C"/>
    <w:rsid w:val="00A5761B"/>
    <w:rsid w:val="00A578A1"/>
    <w:rsid w:val="00A57C4C"/>
    <w:rsid w:val="00A57D7F"/>
    <w:rsid w:val="00A57F84"/>
    <w:rsid w:val="00A57FB4"/>
    <w:rsid w:val="00A605F6"/>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8E4"/>
    <w:rsid w:val="00A62AF7"/>
    <w:rsid w:val="00A62B20"/>
    <w:rsid w:val="00A62C87"/>
    <w:rsid w:val="00A62CC4"/>
    <w:rsid w:val="00A62D50"/>
    <w:rsid w:val="00A62DA1"/>
    <w:rsid w:val="00A63286"/>
    <w:rsid w:val="00A63673"/>
    <w:rsid w:val="00A63E17"/>
    <w:rsid w:val="00A644A2"/>
    <w:rsid w:val="00A64787"/>
    <w:rsid w:val="00A64D01"/>
    <w:rsid w:val="00A64D28"/>
    <w:rsid w:val="00A65001"/>
    <w:rsid w:val="00A65843"/>
    <w:rsid w:val="00A65CD1"/>
    <w:rsid w:val="00A65DBF"/>
    <w:rsid w:val="00A66107"/>
    <w:rsid w:val="00A6612F"/>
    <w:rsid w:val="00A66373"/>
    <w:rsid w:val="00A663C6"/>
    <w:rsid w:val="00A665CB"/>
    <w:rsid w:val="00A66C14"/>
    <w:rsid w:val="00A67072"/>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B3B"/>
    <w:rsid w:val="00A70C4A"/>
    <w:rsid w:val="00A70C7E"/>
    <w:rsid w:val="00A70CB0"/>
    <w:rsid w:val="00A70D37"/>
    <w:rsid w:val="00A70DE8"/>
    <w:rsid w:val="00A7108C"/>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7A5"/>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711"/>
    <w:rsid w:val="00A77849"/>
    <w:rsid w:val="00A779A4"/>
    <w:rsid w:val="00A77ACB"/>
    <w:rsid w:val="00A77C1D"/>
    <w:rsid w:val="00A77DFB"/>
    <w:rsid w:val="00A77EFC"/>
    <w:rsid w:val="00A77F58"/>
    <w:rsid w:val="00A800C5"/>
    <w:rsid w:val="00A802A7"/>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11C"/>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250"/>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2E"/>
    <w:rsid w:val="00A9223D"/>
    <w:rsid w:val="00A9282C"/>
    <w:rsid w:val="00A92910"/>
    <w:rsid w:val="00A9291C"/>
    <w:rsid w:val="00A92A76"/>
    <w:rsid w:val="00A92B46"/>
    <w:rsid w:val="00A92F9A"/>
    <w:rsid w:val="00A930A4"/>
    <w:rsid w:val="00A933C5"/>
    <w:rsid w:val="00A93522"/>
    <w:rsid w:val="00A9390B"/>
    <w:rsid w:val="00A93F9F"/>
    <w:rsid w:val="00A9409B"/>
    <w:rsid w:val="00A940A2"/>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D2C"/>
    <w:rsid w:val="00A96E47"/>
    <w:rsid w:val="00A9735F"/>
    <w:rsid w:val="00A975B1"/>
    <w:rsid w:val="00A976CF"/>
    <w:rsid w:val="00A97888"/>
    <w:rsid w:val="00A97B8C"/>
    <w:rsid w:val="00A97C8A"/>
    <w:rsid w:val="00A97E01"/>
    <w:rsid w:val="00AA0317"/>
    <w:rsid w:val="00AA0528"/>
    <w:rsid w:val="00AA053A"/>
    <w:rsid w:val="00AA0852"/>
    <w:rsid w:val="00AA0A1F"/>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107"/>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77B"/>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3F9C"/>
    <w:rsid w:val="00AB407A"/>
    <w:rsid w:val="00AB424D"/>
    <w:rsid w:val="00AB42C5"/>
    <w:rsid w:val="00AB43BF"/>
    <w:rsid w:val="00AB489A"/>
    <w:rsid w:val="00AB4E4F"/>
    <w:rsid w:val="00AB5140"/>
    <w:rsid w:val="00AB5269"/>
    <w:rsid w:val="00AB55DE"/>
    <w:rsid w:val="00AB571C"/>
    <w:rsid w:val="00AB5A04"/>
    <w:rsid w:val="00AB5B95"/>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67B"/>
    <w:rsid w:val="00AC080C"/>
    <w:rsid w:val="00AC0C50"/>
    <w:rsid w:val="00AC0CF8"/>
    <w:rsid w:val="00AC0EFF"/>
    <w:rsid w:val="00AC1073"/>
    <w:rsid w:val="00AC115B"/>
    <w:rsid w:val="00AC1824"/>
    <w:rsid w:val="00AC1B4A"/>
    <w:rsid w:val="00AC1BD7"/>
    <w:rsid w:val="00AC2907"/>
    <w:rsid w:val="00AC29ED"/>
    <w:rsid w:val="00AC2D1D"/>
    <w:rsid w:val="00AC2DD2"/>
    <w:rsid w:val="00AC2E6D"/>
    <w:rsid w:val="00AC2EDD"/>
    <w:rsid w:val="00AC3236"/>
    <w:rsid w:val="00AC325C"/>
    <w:rsid w:val="00AC3269"/>
    <w:rsid w:val="00AC326C"/>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C5E"/>
    <w:rsid w:val="00AD0D3F"/>
    <w:rsid w:val="00AD0E16"/>
    <w:rsid w:val="00AD12BA"/>
    <w:rsid w:val="00AD180B"/>
    <w:rsid w:val="00AD1A59"/>
    <w:rsid w:val="00AD28F0"/>
    <w:rsid w:val="00AD2B57"/>
    <w:rsid w:val="00AD2F9C"/>
    <w:rsid w:val="00AD33B9"/>
    <w:rsid w:val="00AD3510"/>
    <w:rsid w:val="00AD3553"/>
    <w:rsid w:val="00AD3B0B"/>
    <w:rsid w:val="00AD3D3A"/>
    <w:rsid w:val="00AD3E1E"/>
    <w:rsid w:val="00AD44EF"/>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1D9"/>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1B7"/>
    <w:rsid w:val="00AF1370"/>
    <w:rsid w:val="00AF154C"/>
    <w:rsid w:val="00AF159F"/>
    <w:rsid w:val="00AF1818"/>
    <w:rsid w:val="00AF1820"/>
    <w:rsid w:val="00AF1850"/>
    <w:rsid w:val="00AF1B0F"/>
    <w:rsid w:val="00AF1BC5"/>
    <w:rsid w:val="00AF1E4C"/>
    <w:rsid w:val="00AF1EAE"/>
    <w:rsid w:val="00AF1EBF"/>
    <w:rsid w:val="00AF26AB"/>
    <w:rsid w:val="00AF298F"/>
    <w:rsid w:val="00AF29E0"/>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B87"/>
    <w:rsid w:val="00AF60C7"/>
    <w:rsid w:val="00AF6589"/>
    <w:rsid w:val="00AF6696"/>
    <w:rsid w:val="00AF6A15"/>
    <w:rsid w:val="00AF6D3A"/>
    <w:rsid w:val="00AF7556"/>
    <w:rsid w:val="00AF76DC"/>
    <w:rsid w:val="00AF7F4E"/>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BDD"/>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542"/>
    <w:rsid w:val="00B069E5"/>
    <w:rsid w:val="00B06FF1"/>
    <w:rsid w:val="00B07660"/>
    <w:rsid w:val="00B07A6C"/>
    <w:rsid w:val="00B07F7A"/>
    <w:rsid w:val="00B07F97"/>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4F73"/>
    <w:rsid w:val="00B152FC"/>
    <w:rsid w:val="00B15658"/>
    <w:rsid w:val="00B1587A"/>
    <w:rsid w:val="00B15A19"/>
    <w:rsid w:val="00B15D68"/>
    <w:rsid w:val="00B15E0D"/>
    <w:rsid w:val="00B15EC7"/>
    <w:rsid w:val="00B162F5"/>
    <w:rsid w:val="00B1645C"/>
    <w:rsid w:val="00B16497"/>
    <w:rsid w:val="00B16537"/>
    <w:rsid w:val="00B1667D"/>
    <w:rsid w:val="00B166ED"/>
    <w:rsid w:val="00B16E87"/>
    <w:rsid w:val="00B1732C"/>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CDE"/>
    <w:rsid w:val="00B21D9C"/>
    <w:rsid w:val="00B22187"/>
    <w:rsid w:val="00B222C4"/>
    <w:rsid w:val="00B2256F"/>
    <w:rsid w:val="00B226D6"/>
    <w:rsid w:val="00B22775"/>
    <w:rsid w:val="00B22B23"/>
    <w:rsid w:val="00B22D3E"/>
    <w:rsid w:val="00B22E61"/>
    <w:rsid w:val="00B230EF"/>
    <w:rsid w:val="00B23228"/>
    <w:rsid w:val="00B23634"/>
    <w:rsid w:val="00B23689"/>
    <w:rsid w:val="00B237B3"/>
    <w:rsid w:val="00B2384D"/>
    <w:rsid w:val="00B239D8"/>
    <w:rsid w:val="00B243F1"/>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625"/>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D5E"/>
    <w:rsid w:val="00B37EEC"/>
    <w:rsid w:val="00B4022E"/>
    <w:rsid w:val="00B402C9"/>
    <w:rsid w:val="00B40519"/>
    <w:rsid w:val="00B405FF"/>
    <w:rsid w:val="00B40675"/>
    <w:rsid w:val="00B406C9"/>
    <w:rsid w:val="00B4091F"/>
    <w:rsid w:val="00B40D02"/>
    <w:rsid w:val="00B40EA3"/>
    <w:rsid w:val="00B41336"/>
    <w:rsid w:val="00B415E5"/>
    <w:rsid w:val="00B41E53"/>
    <w:rsid w:val="00B421A1"/>
    <w:rsid w:val="00B42445"/>
    <w:rsid w:val="00B4250A"/>
    <w:rsid w:val="00B42534"/>
    <w:rsid w:val="00B42717"/>
    <w:rsid w:val="00B42899"/>
    <w:rsid w:val="00B428E9"/>
    <w:rsid w:val="00B42961"/>
    <w:rsid w:val="00B4336F"/>
    <w:rsid w:val="00B4366F"/>
    <w:rsid w:val="00B438B5"/>
    <w:rsid w:val="00B43A31"/>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4A"/>
    <w:rsid w:val="00B46764"/>
    <w:rsid w:val="00B46999"/>
    <w:rsid w:val="00B46D2B"/>
    <w:rsid w:val="00B471F8"/>
    <w:rsid w:val="00B474DC"/>
    <w:rsid w:val="00B47577"/>
    <w:rsid w:val="00B47638"/>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8F"/>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4F6"/>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87"/>
    <w:rsid w:val="00B61ADA"/>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3FA2"/>
    <w:rsid w:val="00B746D3"/>
    <w:rsid w:val="00B74944"/>
    <w:rsid w:val="00B74B24"/>
    <w:rsid w:val="00B74B72"/>
    <w:rsid w:val="00B74D09"/>
    <w:rsid w:val="00B750B4"/>
    <w:rsid w:val="00B751B3"/>
    <w:rsid w:val="00B7593A"/>
    <w:rsid w:val="00B759B9"/>
    <w:rsid w:val="00B75BD6"/>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0F69"/>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7EC"/>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20B6"/>
    <w:rsid w:val="00BA215B"/>
    <w:rsid w:val="00BA2958"/>
    <w:rsid w:val="00BA2D47"/>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4A7"/>
    <w:rsid w:val="00BA6530"/>
    <w:rsid w:val="00BA65FF"/>
    <w:rsid w:val="00BA6EE3"/>
    <w:rsid w:val="00BA71B0"/>
    <w:rsid w:val="00BA74EB"/>
    <w:rsid w:val="00BA793A"/>
    <w:rsid w:val="00BA7CDF"/>
    <w:rsid w:val="00BA7F64"/>
    <w:rsid w:val="00BA7FF9"/>
    <w:rsid w:val="00BB0063"/>
    <w:rsid w:val="00BB08EA"/>
    <w:rsid w:val="00BB0AAA"/>
    <w:rsid w:val="00BB0B1C"/>
    <w:rsid w:val="00BB15D2"/>
    <w:rsid w:val="00BB164E"/>
    <w:rsid w:val="00BB1954"/>
    <w:rsid w:val="00BB1F52"/>
    <w:rsid w:val="00BB2196"/>
    <w:rsid w:val="00BB2679"/>
    <w:rsid w:val="00BB2C4F"/>
    <w:rsid w:val="00BB2CDF"/>
    <w:rsid w:val="00BB354B"/>
    <w:rsid w:val="00BB36A4"/>
    <w:rsid w:val="00BB386D"/>
    <w:rsid w:val="00BB3DD8"/>
    <w:rsid w:val="00BB4029"/>
    <w:rsid w:val="00BB4A6F"/>
    <w:rsid w:val="00BB4D9D"/>
    <w:rsid w:val="00BB4E3C"/>
    <w:rsid w:val="00BB4E57"/>
    <w:rsid w:val="00BB4EBB"/>
    <w:rsid w:val="00BB4F58"/>
    <w:rsid w:val="00BB4FC9"/>
    <w:rsid w:val="00BB5136"/>
    <w:rsid w:val="00BB535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B7B37"/>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2C6"/>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1ED"/>
    <w:rsid w:val="00BD0574"/>
    <w:rsid w:val="00BD05BC"/>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A9"/>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95E"/>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71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BB"/>
    <w:rsid w:val="00BF4E30"/>
    <w:rsid w:val="00BF4E8F"/>
    <w:rsid w:val="00BF500F"/>
    <w:rsid w:val="00BF5454"/>
    <w:rsid w:val="00BF54C6"/>
    <w:rsid w:val="00BF5807"/>
    <w:rsid w:val="00BF58C7"/>
    <w:rsid w:val="00BF5992"/>
    <w:rsid w:val="00BF5BDC"/>
    <w:rsid w:val="00BF5C60"/>
    <w:rsid w:val="00BF5FE0"/>
    <w:rsid w:val="00BF60F0"/>
    <w:rsid w:val="00BF619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2D84"/>
    <w:rsid w:val="00C02DF6"/>
    <w:rsid w:val="00C0301F"/>
    <w:rsid w:val="00C034DF"/>
    <w:rsid w:val="00C03767"/>
    <w:rsid w:val="00C03786"/>
    <w:rsid w:val="00C0388B"/>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7FF"/>
    <w:rsid w:val="00C058BA"/>
    <w:rsid w:val="00C059CE"/>
    <w:rsid w:val="00C059D8"/>
    <w:rsid w:val="00C05D6F"/>
    <w:rsid w:val="00C05D98"/>
    <w:rsid w:val="00C05DEC"/>
    <w:rsid w:val="00C060F0"/>
    <w:rsid w:val="00C0637D"/>
    <w:rsid w:val="00C06465"/>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19FA"/>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0B1"/>
    <w:rsid w:val="00C14C93"/>
    <w:rsid w:val="00C14D02"/>
    <w:rsid w:val="00C14DD1"/>
    <w:rsid w:val="00C1548D"/>
    <w:rsid w:val="00C15A76"/>
    <w:rsid w:val="00C16024"/>
    <w:rsid w:val="00C162BA"/>
    <w:rsid w:val="00C162DE"/>
    <w:rsid w:val="00C16588"/>
    <w:rsid w:val="00C168A7"/>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B57"/>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56"/>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7F3"/>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10F"/>
    <w:rsid w:val="00C40515"/>
    <w:rsid w:val="00C40A76"/>
    <w:rsid w:val="00C40B73"/>
    <w:rsid w:val="00C40E5C"/>
    <w:rsid w:val="00C40EA4"/>
    <w:rsid w:val="00C41161"/>
    <w:rsid w:val="00C41335"/>
    <w:rsid w:val="00C41765"/>
    <w:rsid w:val="00C418DB"/>
    <w:rsid w:val="00C41997"/>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B4E"/>
    <w:rsid w:val="00C60B8D"/>
    <w:rsid w:val="00C60BA2"/>
    <w:rsid w:val="00C60CE2"/>
    <w:rsid w:val="00C61228"/>
    <w:rsid w:val="00C615DF"/>
    <w:rsid w:val="00C61C9C"/>
    <w:rsid w:val="00C61CAC"/>
    <w:rsid w:val="00C61D00"/>
    <w:rsid w:val="00C61D36"/>
    <w:rsid w:val="00C621C0"/>
    <w:rsid w:val="00C6238C"/>
    <w:rsid w:val="00C6252D"/>
    <w:rsid w:val="00C627BF"/>
    <w:rsid w:val="00C628A1"/>
    <w:rsid w:val="00C6293E"/>
    <w:rsid w:val="00C62C27"/>
    <w:rsid w:val="00C62DDF"/>
    <w:rsid w:val="00C631C7"/>
    <w:rsid w:val="00C63257"/>
    <w:rsid w:val="00C63333"/>
    <w:rsid w:val="00C633B8"/>
    <w:rsid w:val="00C6359E"/>
    <w:rsid w:val="00C63732"/>
    <w:rsid w:val="00C63874"/>
    <w:rsid w:val="00C63C20"/>
    <w:rsid w:val="00C6418F"/>
    <w:rsid w:val="00C64644"/>
    <w:rsid w:val="00C646AF"/>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B1F"/>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B7B"/>
    <w:rsid w:val="00C80D55"/>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EA9"/>
    <w:rsid w:val="00C86F10"/>
    <w:rsid w:val="00C87112"/>
    <w:rsid w:val="00C87267"/>
    <w:rsid w:val="00C87631"/>
    <w:rsid w:val="00C8789C"/>
    <w:rsid w:val="00C87FED"/>
    <w:rsid w:val="00C90054"/>
    <w:rsid w:val="00C901C1"/>
    <w:rsid w:val="00C902C1"/>
    <w:rsid w:val="00C9072B"/>
    <w:rsid w:val="00C907C8"/>
    <w:rsid w:val="00C90AFD"/>
    <w:rsid w:val="00C90E34"/>
    <w:rsid w:val="00C90F2C"/>
    <w:rsid w:val="00C913BA"/>
    <w:rsid w:val="00C914E1"/>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0D5"/>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399"/>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A7DBE"/>
    <w:rsid w:val="00CA7ECD"/>
    <w:rsid w:val="00CB0010"/>
    <w:rsid w:val="00CB04FA"/>
    <w:rsid w:val="00CB087A"/>
    <w:rsid w:val="00CB08D5"/>
    <w:rsid w:val="00CB0906"/>
    <w:rsid w:val="00CB09DD"/>
    <w:rsid w:val="00CB0A11"/>
    <w:rsid w:val="00CB0E6A"/>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8CD"/>
    <w:rsid w:val="00CB3B9A"/>
    <w:rsid w:val="00CB3D1E"/>
    <w:rsid w:val="00CB3E9F"/>
    <w:rsid w:val="00CB412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234"/>
    <w:rsid w:val="00CB7686"/>
    <w:rsid w:val="00CB79D8"/>
    <w:rsid w:val="00CB7B36"/>
    <w:rsid w:val="00CC027E"/>
    <w:rsid w:val="00CC029D"/>
    <w:rsid w:val="00CC0365"/>
    <w:rsid w:val="00CC0407"/>
    <w:rsid w:val="00CC07CF"/>
    <w:rsid w:val="00CC0B96"/>
    <w:rsid w:val="00CC0D8C"/>
    <w:rsid w:val="00CC0FD9"/>
    <w:rsid w:val="00CC11F1"/>
    <w:rsid w:val="00CC14EC"/>
    <w:rsid w:val="00CC157A"/>
    <w:rsid w:val="00CC1648"/>
    <w:rsid w:val="00CC1BC0"/>
    <w:rsid w:val="00CC1CA4"/>
    <w:rsid w:val="00CC281E"/>
    <w:rsid w:val="00CC2AA6"/>
    <w:rsid w:val="00CC3135"/>
    <w:rsid w:val="00CC354E"/>
    <w:rsid w:val="00CC485E"/>
    <w:rsid w:val="00CC5134"/>
    <w:rsid w:val="00CC686C"/>
    <w:rsid w:val="00CC69AA"/>
    <w:rsid w:val="00CC6D95"/>
    <w:rsid w:val="00CC6FD9"/>
    <w:rsid w:val="00CC7093"/>
    <w:rsid w:val="00CC70C5"/>
    <w:rsid w:val="00CC72D9"/>
    <w:rsid w:val="00CC747B"/>
    <w:rsid w:val="00CC75BF"/>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3BC3"/>
    <w:rsid w:val="00CD4158"/>
    <w:rsid w:val="00CD438F"/>
    <w:rsid w:val="00CD447D"/>
    <w:rsid w:val="00CD454E"/>
    <w:rsid w:val="00CD47DA"/>
    <w:rsid w:val="00CD4A7D"/>
    <w:rsid w:val="00CD4BF4"/>
    <w:rsid w:val="00CD4C5F"/>
    <w:rsid w:val="00CD5291"/>
    <w:rsid w:val="00CD52D4"/>
    <w:rsid w:val="00CD53E5"/>
    <w:rsid w:val="00CD53E9"/>
    <w:rsid w:val="00CD576C"/>
    <w:rsid w:val="00CD579E"/>
    <w:rsid w:val="00CD57E9"/>
    <w:rsid w:val="00CD597E"/>
    <w:rsid w:val="00CD5EAF"/>
    <w:rsid w:val="00CD629C"/>
    <w:rsid w:val="00CD632A"/>
    <w:rsid w:val="00CD644D"/>
    <w:rsid w:val="00CD6479"/>
    <w:rsid w:val="00CD6875"/>
    <w:rsid w:val="00CD6A3A"/>
    <w:rsid w:val="00CD6DC3"/>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118"/>
    <w:rsid w:val="00CE233C"/>
    <w:rsid w:val="00CE24DA"/>
    <w:rsid w:val="00CE29B4"/>
    <w:rsid w:val="00CE2BF4"/>
    <w:rsid w:val="00CE32F9"/>
    <w:rsid w:val="00CE364E"/>
    <w:rsid w:val="00CE3806"/>
    <w:rsid w:val="00CE38E9"/>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5F5C"/>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6CD"/>
    <w:rsid w:val="00CE7D04"/>
    <w:rsid w:val="00CE7D6C"/>
    <w:rsid w:val="00CF027B"/>
    <w:rsid w:val="00CF0301"/>
    <w:rsid w:val="00CF0373"/>
    <w:rsid w:val="00CF06C7"/>
    <w:rsid w:val="00CF0853"/>
    <w:rsid w:val="00CF0C80"/>
    <w:rsid w:val="00CF0DAE"/>
    <w:rsid w:val="00CF0F09"/>
    <w:rsid w:val="00CF1403"/>
    <w:rsid w:val="00CF1417"/>
    <w:rsid w:val="00CF175C"/>
    <w:rsid w:val="00CF17A2"/>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5AB"/>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38"/>
    <w:rsid w:val="00CF64F4"/>
    <w:rsid w:val="00CF65E8"/>
    <w:rsid w:val="00CF66CC"/>
    <w:rsid w:val="00CF6732"/>
    <w:rsid w:val="00CF694E"/>
    <w:rsid w:val="00CF6C5F"/>
    <w:rsid w:val="00CF7068"/>
    <w:rsid w:val="00CF7705"/>
    <w:rsid w:val="00CF7779"/>
    <w:rsid w:val="00CF7D6C"/>
    <w:rsid w:val="00D0008D"/>
    <w:rsid w:val="00D00221"/>
    <w:rsid w:val="00D005A9"/>
    <w:rsid w:val="00D006F2"/>
    <w:rsid w:val="00D0081B"/>
    <w:rsid w:val="00D0098C"/>
    <w:rsid w:val="00D00D50"/>
    <w:rsid w:val="00D00E67"/>
    <w:rsid w:val="00D00FAF"/>
    <w:rsid w:val="00D0114D"/>
    <w:rsid w:val="00D01262"/>
    <w:rsid w:val="00D01265"/>
    <w:rsid w:val="00D0135B"/>
    <w:rsid w:val="00D015D5"/>
    <w:rsid w:val="00D016F6"/>
    <w:rsid w:val="00D01C10"/>
    <w:rsid w:val="00D01DC9"/>
    <w:rsid w:val="00D01FCE"/>
    <w:rsid w:val="00D01FF7"/>
    <w:rsid w:val="00D02824"/>
    <w:rsid w:val="00D02AB4"/>
    <w:rsid w:val="00D02E25"/>
    <w:rsid w:val="00D030CA"/>
    <w:rsid w:val="00D032A5"/>
    <w:rsid w:val="00D032EE"/>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31B"/>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31"/>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2212"/>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0E0"/>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466"/>
    <w:rsid w:val="00D47500"/>
    <w:rsid w:val="00D47612"/>
    <w:rsid w:val="00D476C6"/>
    <w:rsid w:val="00D476DC"/>
    <w:rsid w:val="00D4787D"/>
    <w:rsid w:val="00D4791E"/>
    <w:rsid w:val="00D4797B"/>
    <w:rsid w:val="00D47ADC"/>
    <w:rsid w:val="00D47AE5"/>
    <w:rsid w:val="00D47B4E"/>
    <w:rsid w:val="00D47BDD"/>
    <w:rsid w:val="00D505F4"/>
    <w:rsid w:val="00D5062A"/>
    <w:rsid w:val="00D507F8"/>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875"/>
    <w:rsid w:val="00D561B0"/>
    <w:rsid w:val="00D5650A"/>
    <w:rsid w:val="00D566DC"/>
    <w:rsid w:val="00D5673D"/>
    <w:rsid w:val="00D568DE"/>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3E33"/>
    <w:rsid w:val="00D6419F"/>
    <w:rsid w:val="00D64230"/>
    <w:rsid w:val="00D64339"/>
    <w:rsid w:val="00D646FF"/>
    <w:rsid w:val="00D647DF"/>
    <w:rsid w:val="00D6482B"/>
    <w:rsid w:val="00D648A5"/>
    <w:rsid w:val="00D648C9"/>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2A"/>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13D"/>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14E"/>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DD0"/>
    <w:rsid w:val="00D77F8A"/>
    <w:rsid w:val="00D801B7"/>
    <w:rsid w:val="00D8059B"/>
    <w:rsid w:val="00D80B7A"/>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D89"/>
    <w:rsid w:val="00D84E06"/>
    <w:rsid w:val="00D850DF"/>
    <w:rsid w:val="00D8556E"/>
    <w:rsid w:val="00D855A8"/>
    <w:rsid w:val="00D85A3F"/>
    <w:rsid w:val="00D86205"/>
    <w:rsid w:val="00D86515"/>
    <w:rsid w:val="00D86665"/>
    <w:rsid w:val="00D866B4"/>
    <w:rsid w:val="00D866C4"/>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2A0"/>
    <w:rsid w:val="00D925B3"/>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2FE4"/>
    <w:rsid w:val="00DA326C"/>
    <w:rsid w:val="00DA3527"/>
    <w:rsid w:val="00DA36FE"/>
    <w:rsid w:val="00DA370E"/>
    <w:rsid w:val="00DA3F65"/>
    <w:rsid w:val="00DA435A"/>
    <w:rsid w:val="00DA4517"/>
    <w:rsid w:val="00DA4BBB"/>
    <w:rsid w:val="00DA4CC3"/>
    <w:rsid w:val="00DA513F"/>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A5"/>
    <w:rsid w:val="00DB01E4"/>
    <w:rsid w:val="00DB0434"/>
    <w:rsid w:val="00DB056E"/>
    <w:rsid w:val="00DB0905"/>
    <w:rsid w:val="00DB0C44"/>
    <w:rsid w:val="00DB0CED"/>
    <w:rsid w:val="00DB0D49"/>
    <w:rsid w:val="00DB1064"/>
    <w:rsid w:val="00DB1391"/>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22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AC7"/>
    <w:rsid w:val="00DB7CD3"/>
    <w:rsid w:val="00DC021F"/>
    <w:rsid w:val="00DC0286"/>
    <w:rsid w:val="00DC0397"/>
    <w:rsid w:val="00DC03E7"/>
    <w:rsid w:val="00DC08A9"/>
    <w:rsid w:val="00DC0AFD"/>
    <w:rsid w:val="00DC0D93"/>
    <w:rsid w:val="00DC178F"/>
    <w:rsid w:val="00DC181B"/>
    <w:rsid w:val="00DC19C8"/>
    <w:rsid w:val="00DC1C37"/>
    <w:rsid w:val="00DC2280"/>
    <w:rsid w:val="00DC254B"/>
    <w:rsid w:val="00DC2945"/>
    <w:rsid w:val="00DC2993"/>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9EE"/>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982"/>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043"/>
    <w:rsid w:val="00DF5142"/>
    <w:rsid w:val="00DF5375"/>
    <w:rsid w:val="00DF57AB"/>
    <w:rsid w:val="00DF5AB5"/>
    <w:rsid w:val="00DF5D46"/>
    <w:rsid w:val="00DF5E40"/>
    <w:rsid w:val="00DF5EC9"/>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951"/>
    <w:rsid w:val="00DF7F99"/>
    <w:rsid w:val="00E00005"/>
    <w:rsid w:val="00E00206"/>
    <w:rsid w:val="00E0024B"/>
    <w:rsid w:val="00E0041A"/>
    <w:rsid w:val="00E004C3"/>
    <w:rsid w:val="00E00503"/>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D0F"/>
    <w:rsid w:val="00E03F12"/>
    <w:rsid w:val="00E0482B"/>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BD5"/>
    <w:rsid w:val="00E22CB1"/>
    <w:rsid w:val="00E230C5"/>
    <w:rsid w:val="00E23523"/>
    <w:rsid w:val="00E23949"/>
    <w:rsid w:val="00E23B7C"/>
    <w:rsid w:val="00E23BFD"/>
    <w:rsid w:val="00E23FD1"/>
    <w:rsid w:val="00E24331"/>
    <w:rsid w:val="00E24A4B"/>
    <w:rsid w:val="00E24C57"/>
    <w:rsid w:val="00E24C8F"/>
    <w:rsid w:val="00E24CEB"/>
    <w:rsid w:val="00E2604A"/>
    <w:rsid w:val="00E260B2"/>
    <w:rsid w:val="00E261CA"/>
    <w:rsid w:val="00E26273"/>
    <w:rsid w:val="00E26794"/>
    <w:rsid w:val="00E2688F"/>
    <w:rsid w:val="00E26B6D"/>
    <w:rsid w:val="00E26F5B"/>
    <w:rsid w:val="00E27549"/>
    <w:rsid w:val="00E278E8"/>
    <w:rsid w:val="00E27E63"/>
    <w:rsid w:val="00E27F3F"/>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28B"/>
    <w:rsid w:val="00E402F4"/>
    <w:rsid w:val="00E40515"/>
    <w:rsid w:val="00E4067F"/>
    <w:rsid w:val="00E406F6"/>
    <w:rsid w:val="00E408DC"/>
    <w:rsid w:val="00E40AF5"/>
    <w:rsid w:val="00E40CF8"/>
    <w:rsid w:val="00E412C3"/>
    <w:rsid w:val="00E4175C"/>
    <w:rsid w:val="00E41880"/>
    <w:rsid w:val="00E41A58"/>
    <w:rsid w:val="00E41E7C"/>
    <w:rsid w:val="00E420C5"/>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6B4"/>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7A9"/>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623"/>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2EC"/>
    <w:rsid w:val="00E564A5"/>
    <w:rsid w:val="00E56A48"/>
    <w:rsid w:val="00E56A93"/>
    <w:rsid w:val="00E56E5E"/>
    <w:rsid w:val="00E56FA9"/>
    <w:rsid w:val="00E57122"/>
    <w:rsid w:val="00E57130"/>
    <w:rsid w:val="00E571E0"/>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66B"/>
    <w:rsid w:val="00E6670F"/>
    <w:rsid w:val="00E669C1"/>
    <w:rsid w:val="00E6700D"/>
    <w:rsid w:val="00E67097"/>
    <w:rsid w:val="00E6711B"/>
    <w:rsid w:val="00E67387"/>
    <w:rsid w:val="00E674BA"/>
    <w:rsid w:val="00E6758F"/>
    <w:rsid w:val="00E6789C"/>
    <w:rsid w:val="00E67A49"/>
    <w:rsid w:val="00E67AB5"/>
    <w:rsid w:val="00E67AC6"/>
    <w:rsid w:val="00E7001A"/>
    <w:rsid w:val="00E701F0"/>
    <w:rsid w:val="00E70246"/>
    <w:rsid w:val="00E702FF"/>
    <w:rsid w:val="00E70405"/>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20F"/>
    <w:rsid w:val="00E7249E"/>
    <w:rsid w:val="00E724BB"/>
    <w:rsid w:val="00E72BB6"/>
    <w:rsid w:val="00E730A1"/>
    <w:rsid w:val="00E733A5"/>
    <w:rsid w:val="00E73899"/>
    <w:rsid w:val="00E738D9"/>
    <w:rsid w:val="00E73A40"/>
    <w:rsid w:val="00E73AA0"/>
    <w:rsid w:val="00E7536B"/>
    <w:rsid w:val="00E75594"/>
    <w:rsid w:val="00E75B47"/>
    <w:rsid w:val="00E75E75"/>
    <w:rsid w:val="00E75F5F"/>
    <w:rsid w:val="00E7602D"/>
    <w:rsid w:val="00E76AF2"/>
    <w:rsid w:val="00E76DE9"/>
    <w:rsid w:val="00E76E1C"/>
    <w:rsid w:val="00E77016"/>
    <w:rsid w:val="00E770F0"/>
    <w:rsid w:val="00E77450"/>
    <w:rsid w:val="00E77593"/>
    <w:rsid w:val="00E77C0B"/>
    <w:rsid w:val="00E77E2D"/>
    <w:rsid w:val="00E77F46"/>
    <w:rsid w:val="00E8006B"/>
    <w:rsid w:val="00E802DE"/>
    <w:rsid w:val="00E8031B"/>
    <w:rsid w:val="00E8034A"/>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50A4"/>
    <w:rsid w:val="00E851C2"/>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507"/>
    <w:rsid w:val="00E927B5"/>
    <w:rsid w:val="00E92BAA"/>
    <w:rsid w:val="00E92C9A"/>
    <w:rsid w:val="00E92E86"/>
    <w:rsid w:val="00E93779"/>
    <w:rsid w:val="00E93ACC"/>
    <w:rsid w:val="00E93B8B"/>
    <w:rsid w:val="00E93E59"/>
    <w:rsid w:val="00E93F0C"/>
    <w:rsid w:val="00E94182"/>
    <w:rsid w:val="00E94497"/>
    <w:rsid w:val="00E9464C"/>
    <w:rsid w:val="00E95333"/>
    <w:rsid w:val="00E954AB"/>
    <w:rsid w:val="00E956D3"/>
    <w:rsid w:val="00E957F6"/>
    <w:rsid w:val="00E95897"/>
    <w:rsid w:val="00E95A07"/>
    <w:rsid w:val="00E95B6F"/>
    <w:rsid w:val="00E95C42"/>
    <w:rsid w:val="00E960D1"/>
    <w:rsid w:val="00E965E2"/>
    <w:rsid w:val="00E96ABE"/>
    <w:rsid w:val="00E96DAB"/>
    <w:rsid w:val="00E9721E"/>
    <w:rsid w:val="00E97271"/>
    <w:rsid w:val="00E97945"/>
    <w:rsid w:val="00E97C49"/>
    <w:rsid w:val="00E97C6B"/>
    <w:rsid w:val="00E97D69"/>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BBF"/>
    <w:rsid w:val="00EA2D19"/>
    <w:rsid w:val="00EA3055"/>
    <w:rsid w:val="00EA361C"/>
    <w:rsid w:val="00EA3A7D"/>
    <w:rsid w:val="00EA3B1D"/>
    <w:rsid w:val="00EA3C67"/>
    <w:rsid w:val="00EA3E68"/>
    <w:rsid w:val="00EA421B"/>
    <w:rsid w:val="00EA4442"/>
    <w:rsid w:val="00EA476B"/>
    <w:rsid w:val="00EA480B"/>
    <w:rsid w:val="00EA4A24"/>
    <w:rsid w:val="00EA4C57"/>
    <w:rsid w:val="00EA4DB2"/>
    <w:rsid w:val="00EA4EED"/>
    <w:rsid w:val="00EA50BB"/>
    <w:rsid w:val="00EA5214"/>
    <w:rsid w:val="00EA530E"/>
    <w:rsid w:val="00EA582F"/>
    <w:rsid w:val="00EA5844"/>
    <w:rsid w:val="00EA5877"/>
    <w:rsid w:val="00EA5A14"/>
    <w:rsid w:val="00EA5A9E"/>
    <w:rsid w:val="00EA5E00"/>
    <w:rsid w:val="00EA60ED"/>
    <w:rsid w:val="00EA614A"/>
    <w:rsid w:val="00EA6363"/>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200E"/>
    <w:rsid w:val="00EB2071"/>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720"/>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2BD8"/>
    <w:rsid w:val="00EC3927"/>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6E4"/>
    <w:rsid w:val="00EC77A2"/>
    <w:rsid w:val="00EC7942"/>
    <w:rsid w:val="00EC798E"/>
    <w:rsid w:val="00EC7A6B"/>
    <w:rsid w:val="00EC7E5F"/>
    <w:rsid w:val="00EC7EE2"/>
    <w:rsid w:val="00ED00E4"/>
    <w:rsid w:val="00ED0100"/>
    <w:rsid w:val="00ED0120"/>
    <w:rsid w:val="00ED0282"/>
    <w:rsid w:val="00ED0383"/>
    <w:rsid w:val="00ED03D4"/>
    <w:rsid w:val="00ED05A3"/>
    <w:rsid w:val="00ED0751"/>
    <w:rsid w:val="00ED08CC"/>
    <w:rsid w:val="00ED095C"/>
    <w:rsid w:val="00ED0A26"/>
    <w:rsid w:val="00ED10F8"/>
    <w:rsid w:val="00ED12E0"/>
    <w:rsid w:val="00ED184A"/>
    <w:rsid w:val="00ED18CC"/>
    <w:rsid w:val="00ED1AA9"/>
    <w:rsid w:val="00ED1C5F"/>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74A"/>
    <w:rsid w:val="00ED4896"/>
    <w:rsid w:val="00ED4B14"/>
    <w:rsid w:val="00ED4B22"/>
    <w:rsid w:val="00ED5647"/>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B55"/>
    <w:rsid w:val="00EE6C43"/>
    <w:rsid w:val="00EE6C88"/>
    <w:rsid w:val="00EE6E54"/>
    <w:rsid w:val="00EE7468"/>
    <w:rsid w:val="00EE786C"/>
    <w:rsid w:val="00EE7CD6"/>
    <w:rsid w:val="00EE7FB6"/>
    <w:rsid w:val="00EF0194"/>
    <w:rsid w:val="00EF01C6"/>
    <w:rsid w:val="00EF03FD"/>
    <w:rsid w:val="00EF03FF"/>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502"/>
    <w:rsid w:val="00EF26E0"/>
    <w:rsid w:val="00EF28C7"/>
    <w:rsid w:val="00EF2AF2"/>
    <w:rsid w:val="00EF2F40"/>
    <w:rsid w:val="00EF2FF6"/>
    <w:rsid w:val="00EF3012"/>
    <w:rsid w:val="00EF379F"/>
    <w:rsid w:val="00EF3827"/>
    <w:rsid w:val="00EF3A65"/>
    <w:rsid w:val="00EF3D2A"/>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3FE9"/>
    <w:rsid w:val="00F04050"/>
    <w:rsid w:val="00F0407E"/>
    <w:rsid w:val="00F04121"/>
    <w:rsid w:val="00F045A4"/>
    <w:rsid w:val="00F045A6"/>
    <w:rsid w:val="00F045A7"/>
    <w:rsid w:val="00F047B1"/>
    <w:rsid w:val="00F0499A"/>
    <w:rsid w:val="00F052A3"/>
    <w:rsid w:val="00F056A9"/>
    <w:rsid w:val="00F05AD3"/>
    <w:rsid w:val="00F05CE4"/>
    <w:rsid w:val="00F06054"/>
    <w:rsid w:val="00F06130"/>
    <w:rsid w:val="00F06334"/>
    <w:rsid w:val="00F067F5"/>
    <w:rsid w:val="00F06843"/>
    <w:rsid w:val="00F06941"/>
    <w:rsid w:val="00F06AD9"/>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4B9"/>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9E0"/>
    <w:rsid w:val="00F16BE6"/>
    <w:rsid w:val="00F16C0C"/>
    <w:rsid w:val="00F16E75"/>
    <w:rsid w:val="00F1714F"/>
    <w:rsid w:val="00F17407"/>
    <w:rsid w:val="00F17650"/>
    <w:rsid w:val="00F17684"/>
    <w:rsid w:val="00F176E6"/>
    <w:rsid w:val="00F17717"/>
    <w:rsid w:val="00F17801"/>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C92"/>
    <w:rsid w:val="00F25E06"/>
    <w:rsid w:val="00F25F04"/>
    <w:rsid w:val="00F26117"/>
    <w:rsid w:val="00F26A1F"/>
    <w:rsid w:val="00F26E23"/>
    <w:rsid w:val="00F272CB"/>
    <w:rsid w:val="00F272EB"/>
    <w:rsid w:val="00F27BBD"/>
    <w:rsid w:val="00F300CA"/>
    <w:rsid w:val="00F301BA"/>
    <w:rsid w:val="00F3026D"/>
    <w:rsid w:val="00F30787"/>
    <w:rsid w:val="00F30CE5"/>
    <w:rsid w:val="00F30CE7"/>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43D6"/>
    <w:rsid w:val="00F3452A"/>
    <w:rsid w:val="00F34708"/>
    <w:rsid w:val="00F34766"/>
    <w:rsid w:val="00F34969"/>
    <w:rsid w:val="00F349B6"/>
    <w:rsid w:val="00F34A09"/>
    <w:rsid w:val="00F34CEB"/>
    <w:rsid w:val="00F34CF8"/>
    <w:rsid w:val="00F34D82"/>
    <w:rsid w:val="00F34E2F"/>
    <w:rsid w:val="00F34EF4"/>
    <w:rsid w:val="00F35110"/>
    <w:rsid w:val="00F351F9"/>
    <w:rsid w:val="00F357E8"/>
    <w:rsid w:val="00F35B25"/>
    <w:rsid w:val="00F35CA4"/>
    <w:rsid w:val="00F35F21"/>
    <w:rsid w:val="00F36261"/>
    <w:rsid w:val="00F364BF"/>
    <w:rsid w:val="00F36A81"/>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C87"/>
    <w:rsid w:val="00F41FE9"/>
    <w:rsid w:val="00F420EB"/>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8A"/>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64D"/>
    <w:rsid w:val="00F50745"/>
    <w:rsid w:val="00F5081D"/>
    <w:rsid w:val="00F509B2"/>
    <w:rsid w:val="00F50A05"/>
    <w:rsid w:val="00F50AC7"/>
    <w:rsid w:val="00F50CAA"/>
    <w:rsid w:val="00F50FC2"/>
    <w:rsid w:val="00F51237"/>
    <w:rsid w:val="00F5153E"/>
    <w:rsid w:val="00F5192F"/>
    <w:rsid w:val="00F519C9"/>
    <w:rsid w:val="00F51A74"/>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5F54"/>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B1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7F9"/>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5321"/>
    <w:rsid w:val="00F75A5E"/>
    <w:rsid w:val="00F75AC8"/>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6F"/>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B57"/>
    <w:rsid w:val="00F87F4E"/>
    <w:rsid w:val="00F90009"/>
    <w:rsid w:val="00F902B4"/>
    <w:rsid w:val="00F90433"/>
    <w:rsid w:val="00F9048D"/>
    <w:rsid w:val="00F90558"/>
    <w:rsid w:val="00F907FE"/>
    <w:rsid w:val="00F909DA"/>
    <w:rsid w:val="00F90AC0"/>
    <w:rsid w:val="00F90B12"/>
    <w:rsid w:val="00F90DEF"/>
    <w:rsid w:val="00F911D0"/>
    <w:rsid w:val="00F91274"/>
    <w:rsid w:val="00F9138E"/>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7FF"/>
    <w:rsid w:val="00F96B2F"/>
    <w:rsid w:val="00F96D75"/>
    <w:rsid w:val="00F96FAC"/>
    <w:rsid w:val="00F9728D"/>
    <w:rsid w:val="00F97309"/>
    <w:rsid w:val="00F974CC"/>
    <w:rsid w:val="00F97651"/>
    <w:rsid w:val="00F976B6"/>
    <w:rsid w:val="00F97D78"/>
    <w:rsid w:val="00F97FE4"/>
    <w:rsid w:val="00FA01F8"/>
    <w:rsid w:val="00FA0261"/>
    <w:rsid w:val="00FA0AF5"/>
    <w:rsid w:val="00FA0EDB"/>
    <w:rsid w:val="00FA0F6B"/>
    <w:rsid w:val="00FA107D"/>
    <w:rsid w:val="00FA15D2"/>
    <w:rsid w:val="00FA1853"/>
    <w:rsid w:val="00FA1BFB"/>
    <w:rsid w:val="00FA203D"/>
    <w:rsid w:val="00FA222A"/>
    <w:rsid w:val="00FA23E3"/>
    <w:rsid w:val="00FA25BE"/>
    <w:rsid w:val="00FA290D"/>
    <w:rsid w:val="00FA2C19"/>
    <w:rsid w:val="00FA2DA0"/>
    <w:rsid w:val="00FA2E8B"/>
    <w:rsid w:val="00FA341B"/>
    <w:rsid w:val="00FA353D"/>
    <w:rsid w:val="00FA37DC"/>
    <w:rsid w:val="00FA3821"/>
    <w:rsid w:val="00FA3A0F"/>
    <w:rsid w:val="00FA3EA5"/>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54"/>
    <w:rsid w:val="00FB2CE9"/>
    <w:rsid w:val="00FB2EE0"/>
    <w:rsid w:val="00FB2FAC"/>
    <w:rsid w:val="00FB2FBE"/>
    <w:rsid w:val="00FB30DE"/>
    <w:rsid w:val="00FB39DF"/>
    <w:rsid w:val="00FB3AC6"/>
    <w:rsid w:val="00FB3D56"/>
    <w:rsid w:val="00FB3D93"/>
    <w:rsid w:val="00FB3E0F"/>
    <w:rsid w:val="00FB3FA4"/>
    <w:rsid w:val="00FB428A"/>
    <w:rsid w:val="00FB436A"/>
    <w:rsid w:val="00FB476A"/>
    <w:rsid w:val="00FB4C08"/>
    <w:rsid w:val="00FB4E1F"/>
    <w:rsid w:val="00FB5329"/>
    <w:rsid w:val="00FB539C"/>
    <w:rsid w:val="00FB5ECB"/>
    <w:rsid w:val="00FB61C0"/>
    <w:rsid w:val="00FB62C3"/>
    <w:rsid w:val="00FB64B2"/>
    <w:rsid w:val="00FB67A6"/>
    <w:rsid w:val="00FB6811"/>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47B"/>
    <w:rsid w:val="00FC350A"/>
    <w:rsid w:val="00FC3811"/>
    <w:rsid w:val="00FC3812"/>
    <w:rsid w:val="00FC3978"/>
    <w:rsid w:val="00FC3CAF"/>
    <w:rsid w:val="00FC45C6"/>
    <w:rsid w:val="00FC4620"/>
    <w:rsid w:val="00FC4D81"/>
    <w:rsid w:val="00FC4E4F"/>
    <w:rsid w:val="00FC4E68"/>
    <w:rsid w:val="00FC5018"/>
    <w:rsid w:val="00FC51F0"/>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862"/>
    <w:rsid w:val="00FD1BAD"/>
    <w:rsid w:val="00FD1FAC"/>
    <w:rsid w:val="00FD2017"/>
    <w:rsid w:val="00FD25FA"/>
    <w:rsid w:val="00FD2727"/>
    <w:rsid w:val="00FD28E5"/>
    <w:rsid w:val="00FD3837"/>
    <w:rsid w:val="00FD3B4E"/>
    <w:rsid w:val="00FD409B"/>
    <w:rsid w:val="00FD4199"/>
    <w:rsid w:val="00FD435C"/>
    <w:rsid w:val="00FD458B"/>
    <w:rsid w:val="00FD4803"/>
    <w:rsid w:val="00FD4818"/>
    <w:rsid w:val="00FD48C0"/>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949"/>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A60"/>
    <w:rsid w:val="00FE7B41"/>
    <w:rsid w:val="00FE7DA2"/>
    <w:rsid w:val="00FE7F59"/>
    <w:rsid w:val="00FE7FF1"/>
    <w:rsid w:val="00FF0090"/>
    <w:rsid w:val="00FF0499"/>
    <w:rsid w:val="00FF054D"/>
    <w:rsid w:val="00FF0948"/>
    <w:rsid w:val="00FF0C91"/>
    <w:rsid w:val="00FF1057"/>
    <w:rsid w:val="00FF1312"/>
    <w:rsid w:val="00FF155E"/>
    <w:rsid w:val="00FF15ED"/>
    <w:rsid w:val="00FF16E4"/>
    <w:rsid w:val="00FF1EA3"/>
    <w:rsid w:val="00FF1F88"/>
    <w:rsid w:val="00FF207B"/>
    <w:rsid w:val="00FF2398"/>
    <w:rsid w:val="00FF245B"/>
    <w:rsid w:val="00FF25AA"/>
    <w:rsid w:val="00FF25E1"/>
    <w:rsid w:val="00FF2B56"/>
    <w:rsid w:val="00FF2F16"/>
    <w:rsid w:val="00FF30AF"/>
    <w:rsid w:val="00FF3185"/>
    <w:rsid w:val="00FF3936"/>
    <w:rsid w:val="00FF41DF"/>
    <w:rsid w:val="00FF47DB"/>
    <w:rsid w:val="00FF4A00"/>
    <w:rsid w:val="00FF4B1C"/>
    <w:rsid w:val="00FF4F09"/>
    <w:rsid w:val="00FF574A"/>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1F7C"/>
  <w15:chartTrackingRefBased/>
  <w15:docId w15:val="{8097C518-71F1-4377-B6CF-41C8D50B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01C"/>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EF03FF"/>
    <w:pPr>
      <w:spacing w:before="120" w:after="240" w:line="276" w:lineRule="auto"/>
      <w:ind w:left="720" w:hanging="720"/>
      <w:jc w:val="both"/>
      <w:outlineLvl w:val="1"/>
    </w:pPr>
    <w:rPr>
      <w:rFonts w:ascii="Times New Roman" w:eastAsia="PMingLiU" w:hAnsi="Times New Roman"/>
      <w:i/>
      <w:spacing w:val="15"/>
      <w:sz w:val="28"/>
      <w:szCs w:val="28"/>
      <w:lang w:eastAsia="en-US"/>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EF03FF"/>
    <w:rPr>
      <w:rFonts w:asciiTheme="majorHAnsi" w:eastAsia="PMingLiU" w:hAnsiTheme="majorHAnsi" w:cstheme="majorBidi"/>
      <w:i/>
      <w:iCs w:val="0"/>
      <w:color w:val="4F81BD" w:themeColor="accent1"/>
      <w:spacing w:val="15"/>
      <w:sz w:val="24"/>
      <w:szCs w:val="28"/>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character" w:styleId="FootnoteReference">
    <w:name w:val="footnote reference"/>
    <w:basedOn w:val="DefaultParagraphFont"/>
    <w:uiPriority w:val="99"/>
    <w:semiHidden/>
    <w:unhideWhenUsed/>
    <w:rsid w:val="005437A0"/>
    <w:rPr>
      <w:vertAlign w:val="superscript"/>
    </w:rPr>
  </w:style>
  <w:style w:type="paragraph" w:styleId="NormalIndent">
    <w:name w:val="Normal Indent"/>
    <w:basedOn w:val="BodyText"/>
    <w:next w:val="BodyText"/>
    <w:autoRedefine/>
    <w:semiHidden/>
    <w:rsid w:val="00B406C9"/>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eastAsia="zh-TW"/>
    </w:rPr>
  </w:style>
  <w:style w:type="paragraph" w:styleId="BodyText">
    <w:name w:val="Body Text"/>
    <w:basedOn w:val="Normal"/>
    <w:link w:val="BodyTextChar"/>
    <w:uiPriority w:val="99"/>
    <w:semiHidden/>
    <w:unhideWhenUsed/>
    <w:rsid w:val="00220849"/>
    <w:pPr>
      <w:spacing w:after="120"/>
    </w:pPr>
  </w:style>
  <w:style w:type="character" w:customStyle="1" w:styleId="BodyTextChar">
    <w:name w:val="Body Text Char"/>
    <w:basedOn w:val="DefaultParagraphFont"/>
    <w:link w:val="BodyText"/>
    <w:uiPriority w:val="99"/>
    <w:semiHidden/>
    <w:rsid w:val="00220849"/>
    <w:rPr>
      <w:lang w:val="en-GB"/>
    </w:rPr>
  </w:style>
  <w:style w:type="paragraph" w:styleId="BodyTextIndent2">
    <w:name w:val="Body Text Indent 2"/>
    <w:basedOn w:val="Normal"/>
    <w:link w:val="BodyTextIndent2Char"/>
    <w:uiPriority w:val="99"/>
    <w:semiHidden/>
    <w:unhideWhenUsed/>
    <w:rsid w:val="00E0482B"/>
    <w:pPr>
      <w:spacing w:after="120" w:line="480" w:lineRule="auto"/>
      <w:ind w:left="360"/>
    </w:pPr>
  </w:style>
  <w:style w:type="character" w:customStyle="1" w:styleId="BodyTextIndent2Char">
    <w:name w:val="Body Text Indent 2 Char"/>
    <w:basedOn w:val="DefaultParagraphFont"/>
    <w:link w:val="BodyTextIndent2"/>
    <w:uiPriority w:val="99"/>
    <w:semiHidden/>
    <w:rsid w:val="00E0482B"/>
    <w:rPr>
      <w:lang w:val="en-GB"/>
    </w:rPr>
  </w:style>
  <w:style w:type="paragraph" w:customStyle="1" w:styleId="Bob10">
    <w:name w:val="Bob1"/>
    <w:autoRedefine/>
    <w:qFormat/>
    <w:rsid w:val="00E0482B"/>
    <w:pPr>
      <w:kinsoku w:val="0"/>
      <w:autoSpaceDE w:val="0"/>
      <w:autoSpaceDN w:val="0"/>
      <w:snapToGrid w:val="0"/>
      <w:spacing w:after="360" w:line="360" w:lineRule="auto"/>
      <w:jc w:val="center"/>
    </w:pPr>
    <w:rPr>
      <w:rFonts w:eastAsia="MingLiU"/>
      <w:color w:val="000000"/>
      <w:lang w:val="en-GB"/>
    </w:rPr>
  </w:style>
  <w:style w:type="paragraph" w:customStyle="1" w:styleId="Normal4">
    <w:name w:val="Normal 4"/>
    <w:basedOn w:val="Normal"/>
    <w:rsid w:val="00E0482B"/>
    <w:pPr>
      <w:overflowPunct w:val="0"/>
      <w:autoSpaceDE w:val="0"/>
      <w:autoSpaceDN w:val="0"/>
      <w:adjustRightInd w:val="0"/>
      <w:snapToGrid w:val="0"/>
      <w:spacing w:after="0" w:line="240" w:lineRule="auto"/>
      <w:jc w:val="center"/>
      <w:textAlignment w:val="baseline"/>
    </w:pPr>
    <w:rPr>
      <w:rFonts w:eastAsia="MingLiU"/>
      <w:b/>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35DBA-DAE2-41B8-8705-CBEBF14D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41</Pages>
  <Words>10678</Words>
  <Characters>60865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Ribeiro</dc:creator>
  <cp:keywords/>
  <dc:description/>
  <cp:lastModifiedBy>Windows User</cp:lastModifiedBy>
  <cp:revision>5</cp:revision>
  <cp:lastPrinted>2017-09-21T07:17:00Z</cp:lastPrinted>
  <dcterms:created xsi:type="dcterms:W3CDTF">2017-09-21T04:06:00Z</dcterms:created>
  <dcterms:modified xsi:type="dcterms:W3CDTF">2017-10-03T01:37:00Z</dcterms:modified>
</cp:coreProperties>
</file>