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275" w:rsidRPr="00DA3E55" w:rsidRDefault="00E07275" w:rsidP="00E07275">
      <w:pPr>
        <w:spacing w:after="0" w:line="240" w:lineRule="auto"/>
        <w:jc w:val="right"/>
        <w:rPr>
          <w:b/>
        </w:rPr>
      </w:pPr>
      <w:bookmarkStart w:id="0" w:name="_GoBack"/>
      <w:bookmarkEnd w:id="0"/>
      <w:r w:rsidRPr="00DA3E55">
        <w:rPr>
          <w:b/>
        </w:rPr>
        <w:t xml:space="preserve">FACC No. </w:t>
      </w:r>
      <w:r>
        <w:rPr>
          <w:b/>
        </w:rPr>
        <w:t>3</w:t>
      </w:r>
      <w:r w:rsidRPr="00DA3E55">
        <w:rPr>
          <w:b/>
        </w:rPr>
        <w:t xml:space="preserve"> of 201</w:t>
      </w:r>
      <w:r>
        <w:rPr>
          <w:b/>
        </w:rPr>
        <w:t>9</w:t>
      </w:r>
    </w:p>
    <w:p w:rsidR="00E07275" w:rsidRPr="00E4666D" w:rsidRDefault="00E07275" w:rsidP="00E07275">
      <w:pPr>
        <w:spacing w:after="0" w:line="240" w:lineRule="auto"/>
        <w:jc w:val="right"/>
        <w:rPr>
          <w:b/>
          <w:color w:val="000000" w:themeColor="text1"/>
        </w:rPr>
      </w:pPr>
      <w:r w:rsidRPr="00DA3E55">
        <w:rPr>
          <w:b/>
        </w:rPr>
        <w:t>[201</w:t>
      </w:r>
      <w:r>
        <w:rPr>
          <w:b/>
        </w:rPr>
        <w:t>9</w:t>
      </w:r>
      <w:r w:rsidRPr="00DA3E55">
        <w:rPr>
          <w:b/>
        </w:rPr>
        <w:t xml:space="preserve">] </w:t>
      </w:r>
      <w:r w:rsidR="00FF550C">
        <w:rPr>
          <w:b/>
          <w:color w:val="000000" w:themeColor="text1"/>
        </w:rPr>
        <w:t>HKCFA 37</w:t>
      </w:r>
    </w:p>
    <w:p w:rsidR="00E07275" w:rsidRPr="00DA3E55" w:rsidRDefault="00E07275" w:rsidP="00E07275">
      <w:pPr>
        <w:spacing w:after="0" w:line="240" w:lineRule="auto"/>
        <w:jc w:val="right"/>
      </w:pPr>
    </w:p>
    <w:p w:rsidR="00E07275" w:rsidRPr="00DA3E55" w:rsidRDefault="00E07275" w:rsidP="00E07275">
      <w:pPr>
        <w:spacing w:after="0" w:line="240" w:lineRule="auto"/>
        <w:jc w:val="center"/>
        <w:rPr>
          <w:b/>
          <w:bCs/>
        </w:rPr>
      </w:pPr>
      <w:r w:rsidRPr="00DA3E55">
        <w:rPr>
          <w:b/>
          <w:bCs/>
        </w:rPr>
        <w:t>IN THE COURT OF FINAL APPEAL OF THE</w:t>
      </w:r>
    </w:p>
    <w:p w:rsidR="00E07275" w:rsidRPr="00DA3E55" w:rsidRDefault="00E07275" w:rsidP="00E07275">
      <w:pPr>
        <w:spacing w:after="0" w:line="240" w:lineRule="auto"/>
        <w:jc w:val="center"/>
      </w:pPr>
      <w:r w:rsidRPr="00DA3E55">
        <w:rPr>
          <w:b/>
          <w:bCs/>
        </w:rPr>
        <w:t>HONG KONG SPECIAL ADMINISTRATIVE REGION</w:t>
      </w:r>
    </w:p>
    <w:p w:rsidR="00E07275" w:rsidRPr="00DA3E55" w:rsidRDefault="00E07275" w:rsidP="00E07275">
      <w:pPr>
        <w:spacing w:after="0" w:line="240" w:lineRule="auto"/>
        <w:jc w:val="center"/>
      </w:pPr>
    </w:p>
    <w:p w:rsidR="00E07275" w:rsidRPr="00DA3E55" w:rsidRDefault="00E07275" w:rsidP="00E07275">
      <w:pPr>
        <w:spacing w:after="0" w:line="240" w:lineRule="auto"/>
        <w:jc w:val="center"/>
        <w:rPr>
          <w:b/>
          <w:bCs/>
        </w:rPr>
      </w:pPr>
      <w:r w:rsidRPr="00DA3E55">
        <w:rPr>
          <w:b/>
          <w:bCs/>
        </w:rPr>
        <w:t xml:space="preserve">FINAL APPEAL NO. </w:t>
      </w:r>
      <w:r>
        <w:rPr>
          <w:b/>
          <w:bCs/>
        </w:rPr>
        <w:t>3</w:t>
      </w:r>
      <w:r w:rsidRPr="00DA3E55">
        <w:rPr>
          <w:b/>
          <w:bCs/>
        </w:rPr>
        <w:t xml:space="preserve"> OF 201</w:t>
      </w:r>
      <w:r>
        <w:rPr>
          <w:b/>
          <w:bCs/>
        </w:rPr>
        <w:t>9</w:t>
      </w:r>
      <w:r w:rsidRPr="00DA3E55">
        <w:rPr>
          <w:b/>
          <w:bCs/>
        </w:rPr>
        <w:t xml:space="preserve"> (CRIMINAL)</w:t>
      </w:r>
    </w:p>
    <w:p w:rsidR="00E07275" w:rsidRPr="00DA3E55" w:rsidRDefault="00E07275" w:rsidP="00E07275">
      <w:pPr>
        <w:spacing w:after="0" w:line="240" w:lineRule="auto"/>
        <w:jc w:val="center"/>
        <w:rPr>
          <w:b/>
        </w:rPr>
      </w:pPr>
      <w:r w:rsidRPr="00DA3E55">
        <w:t>(ON APPEAL FROM CA</w:t>
      </w:r>
      <w:r>
        <w:t>QL</w:t>
      </w:r>
      <w:r w:rsidRPr="00DA3E55">
        <w:t xml:space="preserve"> NO. 1 OF 201</w:t>
      </w:r>
      <w:r>
        <w:t>8</w:t>
      </w:r>
      <w:r w:rsidRPr="00DA3E55">
        <w:t>)</w:t>
      </w:r>
    </w:p>
    <w:p w:rsidR="00E07275" w:rsidRPr="00DA3E55" w:rsidRDefault="00E07275" w:rsidP="00E07275">
      <w:pPr>
        <w:pStyle w:val="MF"/>
        <w:tabs>
          <w:tab w:val="clear" w:pos="1440"/>
          <w:tab w:val="clear" w:pos="4320"/>
          <w:tab w:val="clear" w:pos="8280"/>
          <w:tab w:val="clear" w:pos="9000"/>
          <w:tab w:val="center" w:pos="4680"/>
        </w:tabs>
        <w:rPr>
          <w:szCs w:val="28"/>
          <w:lang w:eastAsia="zh-TW"/>
        </w:rPr>
      </w:pPr>
      <w:r w:rsidRPr="00DA3E55">
        <w:rPr>
          <w:szCs w:val="28"/>
        </w:rPr>
        <w:t>_________________________</w:t>
      </w:r>
    </w:p>
    <w:p w:rsidR="00E07275" w:rsidRPr="00DA3E55" w:rsidRDefault="00E07275" w:rsidP="00E07275">
      <w:pPr>
        <w:spacing w:after="0" w:line="240" w:lineRule="auto"/>
      </w:pPr>
    </w:p>
    <w:p w:rsidR="00E07275" w:rsidRPr="00DA3E55" w:rsidRDefault="00E07275" w:rsidP="00E07275">
      <w:pPr>
        <w:spacing w:after="0" w:line="240" w:lineRule="auto"/>
      </w:pPr>
      <w:r w:rsidRPr="00DA3E55">
        <w:t>BETWEEN</w:t>
      </w:r>
    </w:p>
    <w:tbl>
      <w:tblPr>
        <w:tblW w:w="9090" w:type="dxa"/>
        <w:tblInd w:w="108" w:type="dxa"/>
        <w:tblLook w:val="04A0" w:firstRow="1" w:lastRow="0" w:firstColumn="1" w:lastColumn="0" w:noHBand="0" w:noVBand="1"/>
      </w:tblPr>
      <w:tblGrid>
        <w:gridCol w:w="1710"/>
        <w:gridCol w:w="5580"/>
        <w:gridCol w:w="1800"/>
      </w:tblGrid>
      <w:tr w:rsidR="00E07275" w:rsidRPr="00DA3E55" w:rsidTr="004B1206">
        <w:trPr>
          <w:trHeight w:hRule="exact" w:val="720"/>
        </w:trPr>
        <w:tc>
          <w:tcPr>
            <w:tcW w:w="1710" w:type="dxa"/>
            <w:vAlign w:val="center"/>
          </w:tcPr>
          <w:p w:rsidR="00E07275" w:rsidRPr="00DA3E55" w:rsidRDefault="00E07275" w:rsidP="00E07275">
            <w:pPr>
              <w:spacing w:after="0" w:line="240" w:lineRule="auto"/>
              <w:ind w:left="-15" w:firstLine="3"/>
              <w:jc w:val="center"/>
              <w:rPr>
                <w:b/>
              </w:rPr>
            </w:pPr>
          </w:p>
        </w:tc>
        <w:tc>
          <w:tcPr>
            <w:tcW w:w="5580" w:type="dxa"/>
            <w:vAlign w:val="center"/>
          </w:tcPr>
          <w:p w:rsidR="00E07275" w:rsidRPr="00DA3E55" w:rsidRDefault="00E07275" w:rsidP="00E07275">
            <w:pPr>
              <w:spacing w:after="0" w:line="240" w:lineRule="auto"/>
              <w:ind w:left="-15"/>
              <w:jc w:val="center"/>
              <w:rPr>
                <w:b/>
              </w:rPr>
            </w:pPr>
            <w:r w:rsidRPr="00DA3E55">
              <w:rPr>
                <w:b/>
              </w:rPr>
              <w:t>HKSAR</w:t>
            </w:r>
          </w:p>
        </w:tc>
        <w:tc>
          <w:tcPr>
            <w:tcW w:w="1800" w:type="dxa"/>
            <w:vAlign w:val="center"/>
          </w:tcPr>
          <w:p w:rsidR="00E07275" w:rsidRPr="00DA3E55" w:rsidRDefault="00E07275" w:rsidP="00E07275">
            <w:pPr>
              <w:spacing w:after="0" w:line="240" w:lineRule="auto"/>
              <w:ind w:right="-15"/>
              <w:rPr>
                <w:b/>
              </w:rPr>
            </w:pPr>
            <w:r w:rsidRPr="00DA3E55">
              <w:rPr>
                <w:b/>
              </w:rPr>
              <w:t>Respondent</w:t>
            </w:r>
          </w:p>
        </w:tc>
      </w:tr>
      <w:tr w:rsidR="00E07275" w:rsidRPr="00DA3E55" w:rsidTr="004B1206">
        <w:trPr>
          <w:trHeight w:hRule="exact" w:val="720"/>
        </w:trPr>
        <w:tc>
          <w:tcPr>
            <w:tcW w:w="1710" w:type="dxa"/>
            <w:vAlign w:val="center"/>
          </w:tcPr>
          <w:p w:rsidR="00E07275" w:rsidRPr="00DA3E55" w:rsidRDefault="00E07275" w:rsidP="00E07275">
            <w:pPr>
              <w:spacing w:after="0" w:line="240" w:lineRule="auto"/>
              <w:ind w:left="-15" w:firstLine="3"/>
              <w:jc w:val="center"/>
              <w:rPr>
                <w:b/>
              </w:rPr>
            </w:pPr>
          </w:p>
        </w:tc>
        <w:tc>
          <w:tcPr>
            <w:tcW w:w="5580" w:type="dxa"/>
            <w:vAlign w:val="center"/>
          </w:tcPr>
          <w:p w:rsidR="00E07275" w:rsidRPr="00DA3E55" w:rsidRDefault="00E07275" w:rsidP="00E07275">
            <w:pPr>
              <w:tabs>
                <w:tab w:val="center" w:pos="2585"/>
              </w:tabs>
              <w:spacing w:after="0" w:line="240" w:lineRule="auto"/>
              <w:ind w:left="-15"/>
              <w:jc w:val="center"/>
              <w:rPr>
                <w:b/>
              </w:rPr>
            </w:pPr>
            <w:r w:rsidRPr="00DA3E55">
              <w:rPr>
                <w:b/>
              </w:rPr>
              <w:t>and</w:t>
            </w:r>
          </w:p>
        </w:tc>
        <w:tc>
          <w:tcPr>
            <w:tcW w:w="1800" w:type="dxa"/>
            <w:vAlign w:val="center"/>
          </w:tcPr>
          <w:p w:rsidR="00E07275" w:rsidRPr="00DA3E55" w:rsidRDefault="00E07275" w:rsidP="00E07275">
            <w:pPr>
              <w:spacing w:after="0" w:line="240" w:lineRule="auto"/>
              <w:ind w:right="-15"/>
              <w:rPr>
                <w:b/>
              </w:rPr>
            </w:pPr>
          </w:p>
        </w:tc>
      </w:tr>
      <w:tr w:rsidR="00E07275" w:rsidRPr="00DA3E55" w:rsidTr="004B1206">
        <w:trPr>
          <w:trHeight w:hRule="exact" w:val="720"/>
        </w:trPr>
        <w:tc>
          <w:tcPr>
            <w:tcW w:w="1710" w:type="dxa"/>
            <w:vAlign w:val="center"/>
          </w:tcPr>
          <w:p w:rsidR="00E07275" w:rsidRPr="00DA3E55" w:rsidRDefault="00E07275" w:rsidP="00E07275">
            <w:pPr>
              <w:spacing w:after="0" w:line="240" w:lineRule="auto"/>
              <w:ind w:left="-15" w:firstLine="3"/>
              <w:jc w:val="center"/>
              <w:rPr>
                <w:b/>
              </w:rPr>
            </w:pPr>
          </w:p>
        </w:tc>
        <w:tc>
          <w:tcPr>
            <w:tcW w:w="5580" w:type="dxa"/>
            <w:vAlign w:val="center"/>
          </w:tcPr>
          <w:p w:rsidR="00E07275" w:rsidRPr="00DA3E55" w:rsidRDefault="00E07275" w:rsidP="00E07275">
            <w:pPr>
              <w:spacing w:after="0" w:line="240" w:lineRule="auto"/>
              <w:ind w:left="-15"/>
              <w:jc w:val="center"/>
              <w:rPr>
                <w:b/>
                <w:kern w:val="2"/>
                <w:lang w:val="en-AU"/>
              </w:rPr>
            </w:pPr>
            <w:r w:rsidRPr="0087561B">
              <w:rPr>
                <w:b/>
              </w:rPr>
              <w:t>MAK WAN LING (</w:t>
            </w:r>
            <w:r w:rsidRPr="0087561B">
              <w:rPr>
                <w:b/>
              </w:rPr>
              <w:t>麥允齡</w:t>
            </w:r>
            <w:r w:rsidRPr="0087561B">
              <w:rPr>
                <w:b/>
              </w:rPr>
              <w:t>)</w:t>
            </w:r>
            <w:r>
              <w:rPr>
                <w:b/>
              </w:rPr>
              <w:t xml:space="preserve"> (D3)</w:t>
            </w:r>
          </w:p>
        </w:tc>
        <w:tc>
          <w:tcPr>
            <w:tcW w:w="1800" w:type="dxa"/>
            <w:vAlign w:val="center"/>
          </w:tcPr>
          <w:p w:rsidR="00E07275" w:rsidRPr="00DA3E55" w:rsidRDefault="00E07275" w:rsidP="00E07275">
            <w:pPr>
              <w:spacing w:after="0" w:line="240" w:lineRule="auto"/>
              <w:ind w:right="-15"/>
              <w:rPr>
                <w:b/>
              </w:rPr>
            </w:pPr>
            <w:r w:rsidRPr="00DA3E55">
              <w:rPr>
                <w:b/>
              </w:rPr>
              <w:t>Appellant</w:t>
            </w:r>
          </w:p>
        </w:tc>
      </w:tr>
    </w:tbl>
    <w:p w:rsidR="00E07275" w:rsidRPr="00DA3E55" w:rsidRDefault="00E07275" w:rsidP="00E07275">
      <w:pPr>
        <w:pStyle w:val="MF"/>
        <w:tabs>
          <w:tab w:val="clear" w:pos="1440"/>
          <w:tab w:val="clear" w:pos="4320"/>
          <w:tab w:val="clear" w:pos="8280"/>
          <w:tab w:val="clear" w:pos="9000"/>
        </w:tabs>
        <w:rPr>
          <w:szCs w:val="28"/>
          <w:lang w:eastAsia="zh-TW"/>
        </w:rPr>
      </w:pPr>
      <w:r w:rsidRPr="00DA3E55">
        <w:rPr>
          <w:szCs w:val="28"/>
        </w:rPr>
        <w:t>_________________________</w:t>
      </w:r>
    </w:p>
    <w:p w:rsidR="00E07275" w:rsidRPr="00DA3E55" w:rsidRDefault="00E07275" w:rsidP="00E07275">
      <w:pPr>
        <w:spacing w:after="0" w:line="240" w:lineRule="auto"/>
        <w:rPr>
          <w:bCs/>
        </w:rPr>
      </w:pPr>
    </w:p>
    <w:p w:rsidR="00E07275" w:rsidRPr="00DA3E55" w:rsidRDefault="00E07275" w:rsidP="00E07275">
      <w:pPr>
        <w:pStyle w:val="Bob1"/>
        <w:numPr>
          <w:ilvl w:val="0"/>
          <w:numId w:val="0"/>
        </w:numPr>
        <w:spacing w:after="0" w:line="240" w:lineRule="auto"/>
        <w:ind w:left="720" w:hanging="720"/>
        <w:rPr>
          <w:b/>
        </w:rPr>
      </w:pPr>
    </w:p>
    <w:tbl>
      <w:tblPr>
        <w:tblW w:w="9090" w:type="dxa"/>
        <w:tblInd w:w="108" w:type="dxa"/>
        <w:tblLook w:val="0000" w:firstRow="0" w:lastRow="0" w:firstColumn="0" w:lastColumn="0" w:noHBand="0" w:noVBand="0"/>
      </w:tblPr>
      <w:tblGrid>
        <w:gridCol w:w="2772"/>
        <w:gridCol w:w="558"/>
        <w:gridCol w:w="2250"/>
        <w:gridCol w:w="3510"/>
      </w:tblGrid>
      <w:tr w:rsidR="00E07275" w:rsidRPr="00DA3E55" w:rsidTr="004B1206">
        <w:trPr>
          <w:trHeight w:val="1062"/>
        </w:trPr>
        <w:tc>
          <w:tcPr>
            <w:tcW w:w="2772" w:type="dxa"/>
          </w:tcPr>
          <w:p w:rsidR="00E07275" w:rsidRPr="00DA3E55" w:rsidRDefault="00E07275" w:rsidP="00E07275">
            <w:pPr>
              <w:spacing w:after="0" w:line="240" w:lineRule="auto"/>
              <w:ind w:left="-15" w:right="-180"/>
            </w:pPr>
            <w:r w:rsidRPr="00DA3E55">
              <w:t>Before:</w:t>
            </w:r>
          </w:p>
        </w:tc>
        <w:tc>
          <w:tcPr>
            <w:tcW w:w="6318" w:type="dxa"/>
            <w:gridSpan w:val="3"/>
          </w:tcPr>
          <w:p w:rsidR="00E07275" w:rsidRPr="00DA3E55" w:rsidRDefault="00E07275" w:rsidP="00E07275">
            <w:pPr>
              <w:spacing w:after="0" w:line="240" w:lineRule="auto"/>
            </w:pPr>
            <w:r w:rsidRPr="00DA3E55">
              <w:t>Chief Justice Ma, Mr Justice Ribeiro PJ,</w:t>
            </w:r>
          </w:p>
          <w:p w:rsidR="00E07275" w:rsidRPr="00DA3E55" w:rsidRDefault="00E07275" w:rsidP="00E07275">
            <w:pPr>
              <w:spacing w:after="0" w:line="240" w:lineRule="auto"/>
            </w:pPr>
            <w:r w:rsidRPr="00DA3E55">
              <w:t>Mr Justice Fok PJ, Mr Justice Cheung PJ and</w:t>
            </w:r>
          </w:p>
          <w:p w:rsidR="00E07275" w:rsidRDefault="00E07275" w:rsidP="00E07275">
            <w:pPr>
              <w:spacing w:after="0" w:line="240" w:lineRule="auto"/>
            </w:pPr>
            <w:r>
              <w:t>Lord Reed NPJ</w:t>
            </w:r>
          </w:p>
          <w:p w:rsidR="00E07275" w:rsidRPr="00DA3E55" w:rsidRDefault="00E07275" w:rsidP="00E07275">
            <w:pPr>
              <w:spacing w:after="0" w:line="240" w:lineRule="auto"/>
            </w:pPr>
          </w:p>
        </w:tc>
      </w:tr>
      <w:tr w:rsidR="00E07275" w:rsidRPr="00DA3E55" w:rsidTr="004B1206">
        <w:trPr>
          <w:trHeight w:val="720"/>
        </w:trPr>
        <w:tc>
          <w:tcPr>
            <w:tcW w:w="2772" w:type="dxa"/>
          </w:tcPr>
          <w:p w:rsidR="00E07275" w:rsidRPr="00DA3E55" w:rsidRDefault="00E07275" w:rsidP="00E07275">
            <w:pPr>
              <w:adjustRightInd w:val="0"/>
              <w:snapToGrid w:val="0"/>
              <w:spacing w:after="0" w:line="240" w:lineRule="auto"/>
              <w:ind w:left="-14" w:right="-187"/>
            </w:pPr>
            <w:r w:rsidRPr="00DA3E55">
              <w:t>Date of Hearing</w:t>
            </w:r>
            <w:r>
              <w:t>:</w:t>
            </w:r>
          </w:p>
        </w:tc>
        <w:tc>
          <w:tcPr>
            <w:tcW w:w="6318" w:type="dxa"/>
            <w:gridSpan w:val="3"/>
          </w:tcPr>
          <w:p w:rsidR="00E07275" w:rsidRPr="00DA3E55" w:rsidRDefault="00E07275" w:rsidP="00E07275">
            <w:pPr>
              <w:adjustRightInd w:val="0"/>
              <w:snapToGrid w:val="0"/>
              <w:spacing w:after="0" w:line="240" w:lineRule="auto"/>
            </w:pPr>
            <w:r>
              <w:t>5 September</w:t>
            </w:r>
            <w:r w:rsidRPr="00DA3E55">
              <w:t xml:space="preserve"> 2019</w:t>
            </w:r>
          </w:p>
        </w:tc>
      </w:tr>
      <w:tr w:rsidR="00E07275" w:rsidRPr="00DA3E55" w:rsidTr="004B1206">
        <w:trPr>
          <w:trHeight w:val="720"/>
        </w:trPr>
        <w:tc>
          <w:tcPr>
            <w:tcW w:w="2772" w:type="dxa"/>
          </w:tcPr>
          <w:p w:rsidR="00E07275" w:rsidRPr="00DA3E55" w:rsidRDefault="00E07275" w:rsidP="00E07275">
            <w:pPr>
              <w:spacing w:after="0" w:line="240" w:lineRule="auto"/>
              <w:ind w:left="-15" w:right="-180"/>
            </w:pPr>
            <w:r w:rsidRPr="00DA3E55">
              <w:t xml:space="preserve">Date of Judgment: </w:t>
            </w:r>
          </w:p>
          <w:p w:rsidR="00E07275" w:rsidRPr="00DA3E55" w:rsidRDefault="00E07275" w:rsidP="00E07275">
            <w:pPr>
              <w:spacing w:after="0" w:line="240" w:lineRule="auto"/>
              <w:ind w:left="-15" w:right="-180"/>
            </w:pPr>
          </w:p>
        </w:tc>
        <w:tc>
          <w:tcPr>
            <w:tcW w:w="6318" w:type="dxa"/>
            <w:gridSpan w:val="3"/>
          </w:tcPr>
          <w:p w:rsidR="00E07275" w:rsidRPr="00DA3E55" w:rsidRDefault="00FF550C" w:rsidP="00E07275">
            <w:pPr>
              <w:spacing w:after="0" w:line="240" w:lineRule="auto"/>
            </w:pPr>
            <w:r>
              <w:t>18</w:t>
            </w:r>
            <w:r w:rsidR="00E07275" w:rsidRPr="00DA3E55">
              <w:t xml:space="preserve"> </w:t>
            </w:r>
            <w:r w:rsidR="005F347C">
              <w:t>October</w:t>
            </w:r>
            <w:r w:rsidR="00E07275" w:rsidRPr="00DA3E55">
              <w:t xml:space="preserve"> 201</w:t>
            </w:r>
            <w:r w:rsidR="00E07275">
              <w:t>9</w:t>
            </w:r>
          </w:p>
        </w:tc>
      </w:tr>
      <w:tr w:rsidR="00E07275" w:rsidRPr="00DA3E55" w:rsidTr="004B1206">
        <w:tblPrEx>
          <w:tblLook w:val="04A0" w:firstRow="1" w:lastRow="0" w:firstColumn="1" w:lastColumn="0" w:noHBand="0" w:noVBand="1"/>
        </w:tblPrEx>
        <w:trPr>
          <w:trHeight w:val="864"/>
        </w:trPr>
        <w:tc>
          <w:tcPr>
            <w:tcW w:w="3330" w:type="dxa"/>
            <w:gridSpan w:val="2"/>
            <w:shd w:val="clear" w:color="auto" w:fill="auto"/>
            <w:vAlign w:val="center"/>
          </w:tcPr>
          <w:p w:rsidR="00E07275" w:rsidRPr="00DA3E55" w:rsidRDefault="00E07275" w:rsidP="004B1206">
            <w:pPr>
              <w:ind w:left="-15" w:right="-180"/>
              <w:rPr>
                <w:b/>
                <w:bCs/>
              </w:rPr>
            </w:pPr>
          </w:p>
        </w:tc>
        <w:tc>
          <w:tcPr>
            <w:tcW w:w="2250" w:type="dxa"/>
            <w:tcBorders>
              <w:top w:val="single" w:sz="4" w:space="0" w:color="auto"/>
              <w:bottom w:val="single" w:sz="4" w:space="0" w:color="auto"/>
            </w:tcBorders>
            <w:shd w:val="clear" w:color="auto" w:fill="auto"/>
            <w:vAlign w:val="center"/>
          </w:tcPr>
          <w:p w:rsidR="00E07275" w:rsidRPr="00DA3E55" w:rsidRDefault="00E07275" w:rsidP="004B1206">
            <w:pPr>
              <w:spacing w:before="120" w:after="120"/>
              <w:jc w:val="center"/>
              <w:rPr>
                <w:b/>
                <w:bCs/>
              </w:rPr>
            </w:pPr>
            <w:r w:rsidRPr="00DA3E55">
              <w:rPr>
                <w:b/>
                <w:bCs/>
                <w:spacing w:val="40"/>
              </w:rPr>
              <w:t>JUDGMENT</w:t>
            </w:r>
          </w:p>
        </w:tc>
        <w:tc>
          <w:tcPr>
            <w:tcW w:w="3510" w:type="dxa"/>
            <w:shd w:val="clear" w:color="auto" w:fill="auto"/>
            <w:vAlign w:val="center"/>
          </w:tcPr>
          <w:p w:rsidR="00E07275" w:rsidRPr="00DA3E55" w:rsidRDefault="00E07275" w:rsidP="004B1206">
            <w:pPr>
              <w:rPr>
                <w:b/>
                <w:bCs/>
              </w:rPr>
            </w:pPr>
          </w:p>
        </w:tc>
      </w:tr>
    </w:tbl>
    <w:p w:rsidR="00C53DFD" w:rsidRDefault="00C53DFD">
      <w:pPr>
        <w:rPr>
          <w:sz w:val="20"/>
        </w:rPr>
      </w:pPr>
    </w:p>
    <w:p w:rsidR="00BA7C8A" w:rsidRPr="00E4666D" w:rsidRDefault="00BA7C8A" w:rsidP="00BA7C8A">
      <w:pPr>
        <w:pStyle w:val="Bob1"/>
        <w:numPr>
          <w:ilvl w:val="0"/>
          <w:numId w:val="0"/>
        </w:numPr>
        <w:ind w:left="720" w:hanging="720"/>
        <w:rPr>
          <w:b/>
          <w:color w:val="000000" w:themeColor="text1"/>
        </w:rPr>
      </w:pPr>
      <w:r w:rsidRPr="00E4666D">
        <w:rPr>
          <w:b/>
          <w:color w:val="000000" w:themeColor="text1"/>
        </w:rPr>
        <w:t xml:space="preserve">Chief </w:t>
      </w:r>
      <w:r w:rsidR="00E07275" w:rsidRPr="00E4666D">
        <w:rPr>
          <w:b/>
          <w:color w:val="000000" w:themeColor="text1"/>
        </w:rPr>
        <w:t>J</w:t>
      </w:r>
      <w:r w:rsidRPr="00E4666D">
        <w:rPr>
          <w:b/>
          <w:color w:val="000000" w:themeColor="text1"/>
        </w:rPr>
        <w:t>ustice Ma and Mr Justice Ribeiro</w:t>
      </w:r>
      <w:r w:rsidR="00654E8B" w:rsidRPr="00E4666D">
        <w:rPr>
          <w:b/>
          <w:color w:val="000000" w:themeColor="text1"/>
        </w:rPr>
        <w:t xml:space="preserve"> PJ</w:t>
      </w:r>
      <w:r w:rsidRPr="00E4666D">
        <w:rPr>
          <w:b/>
          <w:color w:val="000000" w:themeColor="text1"/>
        </w:rPr>
        <w:t>:</w:t>
      </w:r>
    </w:p>
    <w:p w:rsidR="00CA3D90" w:rsidRPr="00E4666D" w:rsidRDefault="00CA3D90" w:rsidP="00E07275">
      <w:pPr>
        <w:pStyle w:val="Bob1"/>
        <w:tabs>
          <w:tab w:val="clear" w:pos="720"/>
          <w:tab w:val="left" w:pos="1440"/>
        </w:tabs>
        <w:ind w:left="0" w:firstLine="0"/>
        <w:jc w:val="both"/>
        <w:rPr>
          <w:color w:val="000000" w:themeColor="text1"/>
        </w:rPr>
      </w:pPr>
      <w:r w:rsidRPr="00E4666D">
        <w:rPr>
          <w:color w:val="000000" w:themeColor="text1"/>
        </w:rPr>
        <w:t>The appellant is a registered medical practitioner and was indicted for gross negligence manslaughter (“</w:t>
      </w:r>
      <w:r w:rsidRPr="00E4666D">
        <w:rPr>
          <w:color w:val="000000" w:themeColor="text1"/>
          <w:u w:val="single"/>
        </w:rPr>
        <w:t>GNM</w:t>
      </w:r>
      <w:r w:rsidRPr="00E4666D">
        <w:rPr>
          <w:color w:val="000000" w:themeColor="text1"/>
        </w:rPr>
        <w:t xml:space="preserve">”).  The prosecution alleged that she </w:t>
      </w:r>
      <w:r w:rsidR="00AC761F" w:rsidRPr="00E4666D">
        <w:rPr>
          <w:color w:val="000000" w:themeColor="text1"/>
        </w:rPr>
        <w:t xml:space="preserve">had </w:t>
      </w:r>
      <w:r w:rsidRPr="00E4666D">
        <w:rPr>
          <w:color w:val="000000" w:themeColor="text1"/>
        </w:rPr>
        <w:t xml:space="preserve">administered to her patient a </w:t>
      </w:r>
      <w:r w:rsidR="0039014F" w:rsidRPr="00E4666D">
        <w:rPr>
          <w:color w:val="000000" w:themeColor="text1"/>
        </w:rPr>
        <w:t>highly</w:t>
      </w:r>
      <w:r w:rsidRPr="00E4666D">
        <w:rPr>
          <w:color w:val="000000" w:themeColor="text1"/>
        </w:rPr>
        <w:t xml:space="preserve"> contaminated blood product produced and marketed by two co-defendants, causing the patient’s death.  Her co-defendants were </w:t>
      </w:r>
      <w:r w:rsidRPr="00E4666D">
        <w:rPr>
          <w:color w:val="000000" w:themeColor="text1"/>
        </w:rPr>
        <w:lastRenderedPageBreak/>
        <w:t xml:space="preserve">convicted after trial but the jury was unable to reach a verdict in the appellant’s case, </w:t>
      </w:r>
      <w:r w:rsidR="00B1397D" w:rsidRPr="00E4666D">
        <w:rPr>
          <w:color w:val="000000" w:themeColor="text1"/>
        </w:rPr>
        <w:t>resulting in</w:t>
      </w:r>
      <w:r w:rsidRPr="00E4666D">
        <w:rPr>
          <w:color w:val="000000" w:themeColor="text1"/>
        </w:rPr>
        <w:t xml:space="preserve"> an order for her retrial.  </w:t>
      </w:r>
      <w:r w:rsidR="00654E8B" w:rsidRPr="00E4666D">
        <w:rPr>
          <w:color w:val="000000" w:themeColor="text1"/>
        </w:rPr>
        <w:t>The retrial has yet to take place, awaiting the outcome of the present appeal.</w:t>
      </w:r>
    </w:p>
    <w:p w:rsidR="00E05375" w:rsidRPr="00E4666D" w:rsidRDefault="00883069" w:rsidP="00883069">
      <w:pPr>
        <w:pStyle w:val="docmapheading"/>
        <w:spacing w:after="240"/>
        <w:rPr>
          <w:b/>
          <w:color w:val="000000" w:themeColor="text1"/>
        </w:rPr>
      </w:pPr>
      <w:r>
        <w:rPr>
          <w:b/>
          <w:color w:val="000000" w:themeColor="text1"/>
        </w:rPr>
        <w:t>A.</w:t>
      </w:r>
      <w:r>
        <w:rPr>
          <w:b/>
          <w:color w:val="000000" w:themeColor="text1"/>
        </w:rPr>
        <w:tab/>
        <w:t>The issue in this appeal</w:t>
      </w:r>
    </w:p>
    <w:p w:rsidR="00CA3D90" w:rsidRPr="00E4666D" w:rsidRDefault="0039014F" w:rsidP="00883069">
      <w:pPr>
        <w:pStyle w:val="Bob1"/>
        <w:tabs>
          <w:tab w:val="clear" w:pos="720"/>
          <w:tab w:val="num" w:pos="1440"/>
        </w:tabs>
        <w:spacing w:after="120"/>
        <w:ind w:left="0" w:firstLine="0"/>
        <w:jc w:val="both"/>
        <w:rPr>
          <w:color w:val="000000" w:themeColor="text1"/>
        </w:rPr>
      </w:pPr>
      <w:r w:rsidRPr="00E4666D">
        <w:rPr>
          <w:color w:val="000000" w:themeColor="text1"/>
        </w:rPr>
        <w:t xml:space="preserve">This appeal arises out of a ruling by </w:t>
      </w:r>
      <w:r w:rsidR="00CA3D90" w:rsidRPr="00E4666D">
        <w:rPr>
          <w:color w:val="000000" w:themeColor="text1"/>
        </w:rPr>
        <w:t>Barnes J</w:t>
      </w:r>
      <w:r w:rsidRPr="00E4666D">
        <w:rPr>
          <w:rStyle w:val="FootnoteReference"/>
          <w:color w:val="000000" w:themeColor="text1"/>
        </w:rPr>
        <w:footnoteReference w:id="1"/>
      </w:r>
      <w:r w:rsidRPr="00E4666D">
        <w:rPr>
          <w:color w:val="000000" w:themeColor="text1"/>
        </w:rPr>
        <w:t xml:space="preserve"> regarding the essential elements of </w:t>
      </w:r>
      <w:r w:rsidR="00206835" w:rsidRPr="00E4666D">
        <w:rPr>
          <w:color w:val="000000" w:themeColor="text1"/>
        </w:rPr>
        <w:t xml:space="preserve">the offence of </w:t>
      </w:r>
      <w:r w:rsidRPr="00E4666D">
        <w:rPr>
          <w:color w:val="000000" w:themeColor="text1"/>
        </w:rPr>
        <w:t xml:space="preserve">GNM in determining </w:t>
      </w:r>
      <w:r w:rsidR="00CA3D90" w:rsidRPr="00E4666D">
        <w:rPr>
          <w:color w:val="000000" w:themeColor="text1"/>
        </w:rPr>
        <w:t xml:space="preserve">a preliminary issue </w:t>
      </w:r>
      <w:r w:rsidRPr="00E4666D">
        <w:rPr>
          <w:color w:val="000000" w:themeColor="text1"/>
        </w:rPr>
        <w:t xml:space="preserve">for the purposes of the retrial.  Her Ladyship reserved the question of law </w:t>
      </w:r>
      <w:r w:rsidR="00B1397D" w:rsidRPr="00E4666D">
        <w:rPr>
          <w:color w:val="000000" w:themeColor="text1"/>
        </w:rPr>
        <w:t xml:space="preserve">concerned </w:t>
      </w:r>
      <w:r w:rsidRPr="00E4666D">
        <w:rPr>
          <w:color w:val="000000" w:themeColor="text1"/>
        </w:rPr>
        <w:t>for the Court of Appeal’s consideration</w:t>
      </w:r>
      <w:r w:rsidRPr="00E4666D">
        <w:rPr>
          <w:rStyle w:val="FootnoteReference"/>
          <w:color w:val="000000" w:themeColor="text1"/>
        </w:rPr>
        <w:footnoteReference w:id="2"/>
      </w:r>
      <w:r w:rsidR="00FA6CD1" w:rsidRPr="00E4666D">
        <w:rPr>
          <w:color w:val="000000" w:themeColor="text1"/>
        </w:rPr>
        <w:t xml:space="preserve"> </w:t>
      </w:r>
      <w:r w:rsidR="00206835" w:rsidRPr="00E4666D">
        <w:rPr>
          <w:color w:val="000000" w:themeColor="text1"/>
        </w:rPr>
        <w:t>and the appellant appeals from their</w:t>
      </w:r>
      <w:r w:rsidRPr="00E4666D">
        <w:rPr>
          <w:color w:val="000000" w:themeColor="text1"/>
        </w:rPr>
        <w:t xml:space="preserve"> Lordships’ judgment</w:t>
      </w:r>
      <w:r w:rsidR="00206835" w:rsidRPr="00E4666D">
        <w:rPr>
          <w:rStyle w:val="FootnoteReference"/>
          <w:color w:val="000000" w:themeColor="text1"/>
        </w:rPr>
        <w:footnoteReference w:id="3"/>
      </w:r>
      <w:r w:rsidRPr="00E4666D">
        <w:rPr>
          <w:color w:val="000000" w:themeColor="text1"/>
        </w:rPr>
        <w:t xml:space="preserve"> </w:t>
      </w:r>
      <w:r w:rsidR="00206835" w:rsidRPr="00E4666D">
        <w:rPr>
          <w:color w:val="000000" w:themeColor="text1"/>
        </w:rPr>
        <w:t>on that preliminary issue.  The Court of Appeal certified, and the Appeal Committee</w:t>
      </w:r>
      <w:r w:rsidR="003A6DCC" w:rsidRPr="00E4666D">
        <w:rPr>
          <w:rStyle w:val="FootnoteReference"/>
          <w:color w:val="000000" w:themeColor="text1"/>
        </w:rPr>
        <w:footnoteReference w:id="4"/>
      </w:r>
      <w:r w:rsidR="00206835" w:rsidRPr="00E4666D">
        <w:rPr>
          <w:color w:val="000000" w:themeColor="text1"/>
        </w:rPr>
        <w:t xml:space="preserve"> granted leave </w:t>
      </w:r>
      <w:r w:rsidR="00F71F4A" w:rsidRPr="00E4666D">
        <w:rPr>
          <w:color w:val="000000" w:themeColor="text1"/>
        </w:rPr>
        <w:t xml:space="preserve">to appeal to this Court </w:t>
      </w:r>
      <w:r w:rsidR="00206835" w:rsidRPr="00E4666D">
        <w:rPr>
          <w:color w:val="000000" w:themeColor="text1"/>
        </w:rPr>
        <w:t>on</w:t>
      </w:r>
      <w:r w:rsidR="007102B0" w:rsidRPr="00E4666D">
        <w:rPr>
          <w:color w:val="000000" w:themeColor="text1"/>
        </w:rPr>
        <w:t>,</w:t>
      </w:r>
      <w:r w:rsidR="00206835" w:rsidRPr="00E4666D">
        <w:rPr>
          <w:color w:val="000000" w:themeColor="text1"/>
        </w:rPr>
        <w:t xml:space="preserve"> </w:t>
      </w:r>
      <w:r w:rsidR="007102B0" w:rsidRPr="00E4666D">
        <w:rPr>
          <w:color w:val="000000" w:themeColor="text1"/>
        </w:rPr>
        <w:t xml:space="preserve">the </w:t>
      </w:r>
      <w:r w:rsidR="00206835" w:rsidRPr="00E4666D">
        <w:rPr>
          <w:color w:val="000000" w:themeColor="text1"/>
        </w:rPr>
        <w:t>question</w:t>
      </w:r>
      <w:r w:rsidR="00F71F4A" w:rsidRPr="00E4666D">
        <w:rPr>
          <w:color w:val="000000" w:themeColor="text1"/>
        </w:rPr>
        <w:t xml:space="preserve"> formulated as follows</w:t>
      </w:r>
      <w:r w:rsidR="00206835" w:rsidRPr="00E4666D">
        <w:rPr>
          <w:color w:val="000000" w:themeColor="text1"/>
        </w:rPr>
        <w:t>:</w:t>
      </w:r>
    </w:p>
    <w:p w:rsidR="00F71F4A" w:rsidRPr="00E4666D" w:rsidRDefault="00F71F4A" w:rsidP="00E07275">
      <w:pPr>
        <w:pStyle w:val="Bob1"/>
        <w:numPr>
          <w:ilvl w:val="0"/>
          <w:numId w:val="0"/>
        </w:numPr>
        <w:spacing w:line="240" w:lineRule="auto"/>
        <w:ind w:left="720"/>
        <w:jc w:val="both"/>
        <w:rPr>
          <w:color w:val="000000" w:themeColor="text1"/>
          <w:sz w:val="24"/>
        </w:rPr>
      </w:pPr>
      <w:r w:rsidRPr="00E4666D">
        <w:rPr>
          <w:color w:val="000000" w:themeColor="text1"/>
          <w:sz w:val="24"/>
        </w:rPr>
        <w:t xml:space="preserve">“In the offence of manslaughter by gross negligence, should the gross negligence referred to in the last element of the offence as enunciated in </w:t>
      </w:r>
      <w:r w:rsidRPr="00E4666D">
        <w:rPr>
          <w:i/>
          <w:color w:val="000000" w:themeColor="text1"/>
          <w:sz w:val="24"/>
        </w:rPr>
        <w:t>R v Adomako</w:t>
      </w:r>
      <w:r w:rsidRPr="00E4666D">
        <w:rPr>
          <w:color w:val="000000" w:themeColor="text1"/>
          <w:sz w:val="24"/>
        </w:rPr>
        <w:t xml:space="preserve"> [1995] 1 AC 171, namely ‘the breach of the duty by the defendant being capable of being characterised as gross negligence and therefore a crime’ be proved based on the objective reasonable man test only or that in addition to the objective reasonable man test, the prosecution is also required to prove that the defendant’s subjective state of mind was culpable in that the defendant was subjectively aware of the obvious and serious risk of death to the deceased?”</w:t>
      </w:r>
    </w:p>
    <w:p w:rsidR="00206835" w:rsidRPr="00E4666D" w:rsidRDefault="00EC04B8" w:rsidP="00883069">
      <w:pPr>
        <w:pStyle w:val="docmapheading"/>
        <w:spacing w:after="240"/>
        <w:rPr>
          <w:b/>
          <w:color w:val="000000" w:themeColor="text1"/>
          <w:lang w:eastAsia="zh-TW"/>
        </w:rPr>
      </w:pPr>
      <w:r w:rsidRPr="00E4666D">
        <w:rPr>
          <w:b/>
          <w:color w:val="000000" w:themeColor="text1"/>
        </w:rPr>
        <w:t>B.</w:t>
      </w:r>
      <w:r w:rsidRPr="00E4666D">
        <w:rPr>
          <w:b/>
          <w:color w:val="000000" w:themeColor="text1"/>
        </w:rPr>
        <w:tab/>
        <w:t>The rulings in the Courts below</w:t>
      </w:r>
    </w:p>
    <w:p w:rsidR="00EC04B8" w:rsidRPr="00E4666D" w:rsidRDefault="00860B01" w:rsidP="00883069">
      <w:pPr>
        <w:pStyle w:val="Bob1"/>
        <w:tabs>
          <w:tab w:val="clear" w:pos="720"/>
          <w:tab w:val="left" w:pos="1440"/>
        </w:tabs>
        <w:spacing w:after="120"/>
        <w:ind w:left="0" w:firstLine="0"/>
        <w:jc w:val="both"/>
        <w:rPr>
          <w:color w:val="000000" w:themeColor="text1"/>
        </w:rPr>
      </w:pPr>
      <w:r w:rsidRPr="00E4666D">
        <w:rPr>
          <w:color w:val="000000" w:themeColor="text1"/>
        </w:rPr>
        <w:t xml:space="preserve">Barnes J referred to the </w:t>
      </w:r>
      <w:r w:rsidR="007316D2" w:rsidRPr="00E4666D">
        <w:rPr>
          <w:color w:val="000000" w:themeColor="text1"/>
        </w:rPr>
        <w:t xml:space="preserve">essential </w:t>
      </w:r>
      <w:r w:rsidR="007102B0" w:rsidRPr="00E4666D">
        <w:rPr>
          <w:color w:val="000000" w:themeColor="text1"/>
        </w:rPr>
        <w:t>ingredients</w:t>
      </w:r>
      <w:r w:rsidR="007316D2" w:rsidRPr="00E4666D">
        <w:rPr>
          <w:color w:val="000000" w:themeColor="text1"/>
        </w:rPr>
        <w:t xml:space="preserve"> of GNM as laid down by </w:t>
      </w:r>
      <w:r w:rsidRPr="00E4666D">
        <w:rPr>
          <w:color w:val="000000" w:themeColor="text1"/>
        </w:rPr>
        <w:t xml:space="preserve">the House of Lords in </w:t>
      </w:r>
      <w:r w:rsidRPr="00E4666D">
        <w:rPr>
          <w:i/>
          <w:color w:val="000000" w:themeColor="text1"/>
        </w:rPr>
        <w:t>R v Adomako</w:t>
      </w:r>
      <w:r w:rsidR="00A5071B" w:rsidRPr="00E4666D">
        <w:rPr>
          <w:rStyle w:val="FootnoteReference"/>
          <w:i/>
          <w:color w:val="000000" w:themeColor="text1"/>
        </w:rPr>
        <w:footnoteReference w:id="5"/>
      </w:r>
      <w:r w:rsidRPr="00E4666D">
        <w:rPr>
          <w:color w:val="000000" w:themeColor="text1"/>
        </w:rPr>
        <w:t xml:space="preserve"> </w:t>
      </w:r>
      <w:r w:rsidR="007316D2" w:rsidRPr="00E4666D">
        <w:rPr>
          <w:color w:val="000000" w:themeColor="text1"/>
        </w:rPr>
        <w:t xml:space="preserve">and held that the position in Hong Kong differs in relation to </w:t>
      </w:r>
      <w:r w:rsidR="00A5071B" w:rsidRPr="00E4666D">
        <w:rPr>
          <w:color w:val="000000" w:themeColor="text1"/>
        </w:rPr>
        <w:t xml:space="preserve">the </w:t>
      </w:r>
      <w:r w:rsidR="007102B0" w:rsidRPr="00E4666D">
        <w:rPr>
          <w:color w:val="000000" w:themeColor="text1"/>
        </w:rPr>
        <w:t xml:space="preserve">element consisting of the </w:t>
      </w:r>
      <w:r w:rsidR="00A5071B" w:rsidRPr="00E4666D">
        <w:rPr>
          <w:color w:val="000000" w:themeColor="text1"/>
        </w:rPr>
        <w:t xml:space="preserve">requirement that the defendant’s breach </w:t>
      </w:r>
      <w:r w:rsidR="00A5071B" w:rsidRPr="00E4666D">
        <w:rPr>
          <w:color w:val="000000" w:themeColor="text1"/>
        </w:rPr>
        <w:lastRenderedPageBreak/>
        <w:t>of duty must amount to gross negligence</w:t>
      </w:r>
      <w:r w:rsidR="007316D2" w:rsidRPr="00E4666D">
        <w:rPr>
          <w:color w:val="000000" w:themeColor="text1"/>
        </w:rPr>
        <w:t>.  A</w:t>
      </w:r>
      <w:r w:rsidR="00A5071B" w:rsidRPr="00E4666D">
        <w:rPr>
          <w:color w:val="000000" w:themeColor="text1"/>
        </w:rPr>
        <w:t>dher</w:t>
      </w:r>
      <w:r w:rsidR="007316D2" w:rsidRPr="00E4666D">
        <w:rPr>
          <w:color w:val="000000" w:themeColor="text1"/>
        </w:rPr>
        <w:t>ing</w:t>
      </w:r>
      <w:r w:rsidR="00A5071B" w:rsidRPr="00E4666D">
        <w:rPr>
          <w:color w:val="000000" w:themeColor="text1"/>
        </w:rPr>
        <w:t xml:space="preserve"> to her earlier ruling in </w:t>
      </w:r>
      <w:r w:rsidR="00A5071B" w:rsidRPr="00E4666D">
        <w:rPr>
          <w:i/>
          <w:color w:val="000000" w:themeColor="text1"/>
        </w:rPr>
        <w:t>HKSAR</w:t>
      </w:r>
      <w:r w:rsidR="003A6DCC" w:rsidRPr="00E4666D">
        <w:rPr>
          <w:i/>
          <w:color w:val="000000" w:themeColor="text1"/>
        </w:rPr>
        <w:t xml:space="preserve"> v Lai Shui Yin</w:t>
      </w:r>
      <w:r w:rsidR="00A5071B" w:rsidRPr="00E4666D">
        <w:rPr>
          <w:color w:val="000000" w:themeColor="text1"/>
        </w:rPr>
        <w:t>,</w:t>
      </w:r>
      <w:r w:rsidR="00A5071B" w:rsidRPr="00E4666D">
        <w:rPr>
          <w:rStyle w:val="FootnoteReference"/>
          <w:color w:val="000000" w:themeColor="text1"/>
        </w:rPr>
        <w:footnoteReference w:id="6"/>
      </w:r>
      <w:r w:rsidR="00A5071B" w:rsidRPr="00E4666D">
        <w:rPr>
          <w:color w:val="000000" w:themeColor="text1"/>
        </w:rPr>
        <w:t xml:space="preserve"> </w:t>
      </w:r>
      <w:r w:rsidR="00DA3EA7" w:rsidRPr="00E4666D">
        <w:rPr>
          <w:color w:val="000000" w:themeColor="text1"/>
        </w:rPr>
        <w:t xml:space="preserve">she </w:t>
      </w:r>
      <w:r w:rsidR="007316D2" w:rsidRPr="00E4666D">
        <w:rPr>
          <w:color w:val="000000" w:themeColor="text1"/>
        </w:rPr>
        <w:t>held:</w:t>
      </w:r>
    </w:p>
    <w:p w:rsidR="007316D2" w:rsidRPr="00E4666D" w:rsidRDefault="007316D2" w:rsidP="00E07275">
      <w:pPr>
        <w:pStyle w:val="Bob1"/>
        <w:numPr>
          <w:ilvl w:val="0"/>
          <w:numId w:val="0"/>
        </w:numPr>
        <w:spacing w:line="240" w:lineRule="auto"/>
        <w:ind w:left="720"/>
        <w:jc w:val="both"/>
        <w:rPr>
          <w:color w:val="000000" w:themeColor="text1"/>
          <w:sz w:val="24"/>
        </w:rPr>
      </w:pPr>
      <w:r w:rsidRPr="00E4666D">
        <w:rPr>
          <w:color w:val="000000" w:themeColor="text1"/>
          <w:sz w:val="24"/>
        </w:rPr>
        <w:t xml:space="preserve">“... that </w:t>
      </w:r>
      <w:r w:rsidRPr="00E4666D">
        <w:rPr>
          <w:i/>
          <w:color w:val="000000" w:themeColor="text1"/>
          <w:sz w:val="24"/>
        </w:rPr>
        <w:t>the test</w:t>
      </w:r>
      <w:r w:rsidRPr="00E4666D">
        <w:rPr>
          <w:color w:val="000000" w:themeColor="text1"/>
          <w:sz w:val="24"/>
        </w:rPr>
        <w:t xml:space="preserve"> as to what amount </w:t>
      </w:r>
      <w:r w:rsidR="00796C78" w:rsidRPr="00E4666D">
        <w:rPr>
          <w:color w:val="000000" w:themeColor="text1"/>
          <w:sz w:val="24"/>
        </w:rPr>
        <w:t xml:space="preserve">[sic] </w:t>
      </w:r>
      <w:r w:rsidRPr="00E4666D">
        <w:rPr>
          <w:color w:val="000000" w:themeColor="text1"/>
          <w:sz w:val="24"/>
        </w:rPr>
        <w:t xml:space="preserve">to gross negligence is not just an objective reasonable man test (as in the case of </w:t>
      </w:r>
      <w:r w:rsidR="00AC761F" w:rsidRPr="00E4666D">
        <w:rPr>
          <w:i/>
          <w:color w:val="000000" w:themeColor="text1"/>
          <w:sz w:val="24"/>
        </w:rPr>
        <w:t>Ad</w:t>
      </w:r>
      <w:r w:rsidRPr="00E4666D">
        <w:rPr>
          <w:i/>
          <w:color w:val="000000" w:themeColor="text1"/>
          <w:sz w:val="24"/>
        </w:rPr>
        <w:t>omako</w:t>
      </w:r>
      <w:r w:rsidRPr="00E4666D">
        <w:rPr>
          <w:color w:val="000000" w:themeColor="text1"/>
          <w:sz w:val="24"/>
        </w:rPr>
        <w:t xml:space="preserve">, which was adopted in the subsequent case of </w:t>
      </w:r>
      <w:r w:rsidRPr="00E4666D">
        <w:rPr>
          <w:i/>
          <w:color w:val="000000" w:themeColor="text1"/>
          <w:sz w:val="24"/>
        </w:rPr>
        <w:t>R v Misra</w:t>
      </w:r>
      <w:r w:rsidRPr="00E4666D">
        <w:rPr>
          <w:color w:val="000000" w:themeColor="text1"/>
          <w:sz w:val="24"/>
        </w:rPr>
        <w:t xml:space="preserve"> [2005]</w:t>
      </w:r>
      <w:r w:rsidRPr="00E4666D">
        <w:rPr>
          <w:color w:val="000000" w:themeColor="text1"/>
          <w:sz w:val="24"/>
          <w:lang w:val="en-US"/>
        </w:rPr>
        <w:t> </w:t>
      </w:r>
      <w:r w:rsidRPr="00E4666D">
        <w:rPr>
          <w:color w:val="000000" w:themeColor="text1"/>
          <w:sz w:val="24"/>
        </w:rPr>
        <w:t>1</w:t>
      </w:r>
      <w:r w:rsidRPr="00E4666D">
        <w:rPr>
          <w:color w:val="000000" w:themeColor="text1"/>
          <w:sz w:val="24"/>
          <w:lang w:val="en-US"/>
        </w:rPr>
        <w:t xml:space="preserve"> </w:t>
      </w:r>
      <w:r w:rsidRPr="00E4666D">
        <w:rPr>
          <w:color w:val="000000" w:themeColor="text1"/>
          <w:sz w:val="24"/>
        </w:rPr>
        <w:t>Cr</w:t>
      </w:r>
      <w:r w:rsidRPr="00E4666D">
        <w:rPr>
          <w:color w:val="000000" w:themeColor="text1"/>
          <w:sz w:val="24"/>
          <w:lang w:val="en-US"/>
        </w:rPr>
        <w:t> </w:t>
      </w:r>
      <w:r w:rsidRPr="00E4666D">
        <w:rPr>
          <w:color w:val="000000" w:themeColor="text1"/>
          <w:sz w:val="24"/>
        </w:rPr>
        <w:t>App</w:t>
      </w:r>
      <w:r w:rsidRPr="00E4666D">
        <w:rPr>
          <w:color w:val="000000" w:themeColor="text1"/>
          <w:sz w:val="24"/>
          <w:lang w:val="en-US"/>
        </w:rPr>
        <w:t> </w:t>
      </w:r>
      <w:r w:rsidRPr="00E4666D">
        <w:rPr>
          <w:color w:val="000000" w:themeColor="text1"/>
          <w:sz w:val="24"/>
        </w:rPr>
        <w:t>R</w:t>
      </w:r>
      <w:r w:rsidRPr="00E4666D">
        <w:rPr>
          <w:color w:val="000000" w:themeColor="text1"/>
          <w:sz w:val="24"/>
          <w:lang w:val="en-US"/>
        </w:rPr>
        <w:t> </w:t>
      </w:r>
      <w:r w:rsidRPr="00E4666D">
        <w:rPr>
          <w:color w:val="000000" w:themeColor="text1"/>
          <w:sz w:val="24"/>
        </w:rPr>
        <w:t>328 in the UK), but that the prosecution must prove that the defendant’s subjective state of mind was culpable before the defendant can be found guilty of the offence.”</w:t>
      </w:r>
      <w:r w:rsidRPr="00E4666D">
        <w:rPr>
          <w:rStyle w:val="FootnoteReference"/>
          <w:color w:val="000000" w:themeColor="text1"/>
          <w:sz w:val="24"/>
        </w:rPr>
        <w:footnoteReference w:id="7"/>
      </w:r>
    </w:p>
    <w:p w:rsidR="007316D2" w:rsidRPr="00E4666D" w:rsidRDefault="00B81D10" w:rsidP="00E07275">
      <w:pPr>
        <w:pStyle w:val="Bob1"/>
        <w:tabs>
          <w:tab w:val="clear" w:pos="720"/>
          <w:tab w:val="left" w:pos="1440"/>
        </w:tabs>
        <w:ind w:left="0" w:firstLine="0"/>
        <w:jc w:val="both"/>
        <w:rPr>
          <w:color w:val="000000" w:themeColor="text1"/>
        </w:rPr>
      </w:pPr>
      <w:r w:rsidRPr="00E4666D">
        <w:rPr>
          <w:color w:val="000000" w:themeColor="text1"/>
        </w:rPr>
        <w:t>Her Ladyship arrived at that</w:t>
      </w:r>
      <w:r w:rsidR="00DA3EA7" w:rsidRPr="00E4666D">
        <w:rPr>
          <w:color w:val="000000" w:themeColor="text1"/>
        </w:rPr>
        <w:t xml:space="preserve"> conclusion </w:t>
      </w:r>
      <w:r w:rsidR="007102B0" w:rsidRPr="00E4666D">
        <w:rPr>
          <w:color w:val="000000" w:themeColor="text1"/>
        </w:rPr>
        <w:t xml:space="preserve">mainly </w:t>
      </w:r>
      <w:r w:rsidR="00DA3EA7" w:rsidRPr="00E4666D">
        <w:rPr>
          <w:color w:val="000000" w:themeColor="text1"/>
        </w:rPr>
        <w:t xml:space="preserve">on the basis of her reading of this Court’s decision in </w:t>
      </w:r>
      <w:r w:rsidR="00DA3EA7" w:rsidRPr="00E4666D">
        <w:rPr>
          <w:i/>
          <w:color w:val="000000" w:themeColor="text1"/>
        </w:rPr>
        <w:t>Sin Kam Wah v HKSAR</w:t>
      </w:r>
      <w:r w:rsidR="00DA3EA7" w:rsidRPr="00E4666D">
        <w:rPr>
          <w:rStyle w:val="FootnoteReference"/>
          <w:i/>
          <w:color w:val="000000" w:themeColor="text1"/>
        </w:rPr>
        <w:footnoteReference w:id="8"/>
      </w:r>
      <w:r w:rsidR="00DA3EA7" w:rsidRPr="00E4666D">
        <w:rPr>
          <w:color w:val="000000" w:themeColor="text1"/>
        </w:rPr>
        <w:t xml:space="preserve"> to which we shall return.</w:t>
      </w:r>
    </w:p>
    <w:p w:rsidR="007A17EE" w:rsidRPr="00E4666D" w:rsidRDefault="0017522E" w:rsidP="00E07275">
      <w:pPr>
        <w:pStyle w:val="Bob1"/>
        <w:tabs>
          <w:tab w:val="clear" w:pos="720"/>
          <w:tab w:val="left" w:pos="1440"/>
        </w:tabs>
        <w:ind w:left="0" w:firstLine="0"/>
        <w:jc w:val="both"/>
        <w:rPr>
          <w:color w:val="000000" w:themeColor="text1"/>
        </w:rPr>
      </w:pPr>
      <w:r w:rsidRPr="00E4666D">
        <w:rPr>
          <w:color w:val="000000" w:themeColor="text1"/>
        </w:rPr>
        <w:t xml:space="preserve">In a carefully reasoned judgment, </w:t>
      </w:r>
      <w:r w:rsidR="00B81D10" w:rsidRPr="00E4666D">
        <w:rPr>
          <w:color w:val="000000" w:themeColor="text1"/>
        </w:rPr>
        <w:t xml:space="preserve">Macrae VP, writing for </w:t>
      </w:r>
      <w:r w:rsidRPr="00E4666D">
        <w:rPr>
          <w:color w:val="000000" w:themeColor="text1"/>
        </w:rPr>
        <w:t>the Court of Appeal</w:t>
      </w:r>
      <w:r w:rsidR="00B81D10" w:rsidRPr="00E4666D">
        <w:rPr>
          <w:color w:val="000000" w:themeColor="text1"/>
        </w:rPr>
        <w:t>,</w:t>
      </w:r>
      <w:r w:rsidRPr="00E4666D">
        <w:rPr>
          <w:color w:val="000000" w:themeColor="text1"/>
        </w:rPr>
        <w:t xml:space="preserve"> reversed Barnes J’s</w:t>
      </w:r>
      <w:r w:rsidR="00B81D10" w:rsidRPr="00E4666D">
        <w:rPr>
          <w:color w:val="000000" w:themeColor="text1"/>
        </w:rPr>
        <w:t xml:space="preserve"> decision</w:t>
      </w:r>
      <w:r w:rsidRPr="00E4666D">
        <w:rPr>
          <w:color w:val="000000" w:themeColor="text1"/>
        </w:rPr>
        <w:t xml:space="preserve">.  </w:t>
      </w:r>
      <w:r w:rsidR="00F81C6C" w:rsidRPr="00E4666D">
        <w:rPr>
          <w:color w:val="000000" w:themeColor="text1"/>
        </w:rPr>
        <w:t xml:space="preserve">Having considered the law on GNM in </w:t>
      </w:r>
      <w:r w:rsidR="00FF4205" w:rsidRPr="00E4666D">
        <w:rPr>
          <w:color w:val="000000" w:themeColor="text1"/>
        </w:rPr>
        <w:t xml:space="preserve">Hong Kong, </w:t>
      </w:r>
      <w:r w:rsidR="00AC761F" w:rsidRPr="00E4666D">
        <w:rPr>
          <w:color w:val="000000" w:themeColor="text1"/>
        </w:rPr>
        <w:t>England and Wales</w:t>
      </w:r>
      <w:r w:rsidR="00F81C6C" w:rsidRPr="00E4666D">
        <w:rPr>
          <w:color w:val="000000" w:themeColor="text1"/>
        </w:rPr>
        <w:t>, Australia and Canada</w:t>
      </w:r>
      <w:r w:rsidR="00FF4205" w:rsidRPr="00E4666D">
        <w:rPr>
          <w:color w:val="000000" w:themeColor="text1"/>
        </w:rPr>
        <w:t>,</w:t>
      </w:r>
      <w:r w:rsidR="0060178B" w:rsidRPr="00E4666D">
        <w:rPr>
          <w:color w:val="000000" w:themeColor="text1"/>
        </w:rPr>
        <w:t xml:space="preserve"> as well as issues of legal policy</w:t>
      </w:r>
      <w:r w:rsidR="00F81C6C" w:rsidRPr="00E4666D">
        <w:rPr>
          <w:color w:val="000000" w:themeColor="text1"/>
        </w:rPr>
        <w:t>, his Lordship concluded that there was no basis for the law in Hong Kong to follow a different course.</w:t>
      </w:r>
    </w:p>
    <w:p w:rsidR="0060178B" w:rsidRPr="00E4666D" w:rsidRDefault="00404FE3" w:rsidP="00883069">
      <w:pPr>
        <w:pStyle w:val="docmapheading"/>
        <w:spacing w:after="240"/>
        <w:rPr>
          <w:b/>
          <w:color w:val="000000" w:themeColor="text1"/>
        </w:rPr>
      </w:pPr>
      <w:r w:rsidRPr="00E4666D">
        <w:rPr>
          <w:b/>
          <w:color w:val="000000" w:themeColor="text1"/>
        </w:rPr>
        <w:t>C.</w:t>
      </w:r>
      <w:r w:rsidRPr="00E4666D">
        <w:rPr>
          <w:b/>
          <w:color w:val="000000" w:themeColor="text1"/>
        </w:rPr>
        <w:tab/>
        <w:t xml:space="preserve">The law relating to GNM </w:t>
      </w:r>
    </w:p>
    <w:p w:rsidR="00A07272" w:rsidRPr="00E4666D" w:rsidRDefault="00A07272" w:rsidP="00883069">
      <w:pPr>
        <w:pStyle w:val="docmapheading"/>
        <w:spacing w:after="240"/>
        <w:rPr>
          <w:b/>
          <w:color w:val="000000" w:themeColor="text1"/>
        </w:rPr>
      </w:pPr>
      <w:r w:rsidRPr="00E4666D">
        <w:rPr>
          <w:b/>
          <w:color w:val="000000" w:themeColor="text1"/>
        </w:rPr>
        <w:t>C.1</w:t>
      </w:r>
      <w:r w:rsidRPr="00E4666D">
        <w:rPr>
          <w:b/>
          <w:color w:val="000000" w:themeColor="text1"/>
        </w:rPr>
        <w:tab/>
        <w:t xml:space="preserve">The law in England and Wales  </w:t>
      </w:r>
    </w:p>
    <w:p w:rsidR="00404FE3" w:rsidRPr="00E4666D" w:rsidRDefault="00654E8B" w:rsidP="00E07275">
      <w:pPr>
        <w:pStyle w:val="Bob1"/>
        <w:tabs>
          <w:tab w:val="clear" w:pos="720"/>
          <w:tab w:val="left" w:pos="1440"/>
        </w:tabs>
        <w:ind w:left="0" w:firstLine="0"/>
        <w:jc w:val="both"/>
        <w:rPr>
          <w:color w:val="000000" w:themeColor="text1"/>
        </w:rPr>
      </w:pPr>
      <w:r w:rsidRPr="00E4666D">
        <w:rPr>
          <w:color w:val="000000" w:themeColor="text1"/>
        </w:rPr>
        <w:t xml:space="preserve">Since the certified question relates specifically to </w:t>
      </w:r>
      <w:r w:rsidRPr="00E4666D">
        <w:rPr>
          <w:i/>
          <w:color w:val="000000" w:themeColor="text1"/>
        </w:rPr>
        <w:t>Adomako</w:t>
      </w:r>
      <w:r w:rsidRPr="00E4666D">
        <w:rPr>
          <w:color w:val="000000" w:themeColor="text1"/>
        </w:rPr>
        <w:t>; it is convenient to begin by looking at the law in England and Wales.  There</w:t>
      </w:r>
      <w:r w:rsidR="007102B0" w:rsidRPr="00E4666D">
        <w:rPr>
          <w:color w:val="000000" w:themeColor="text1"/>
        </w:rPr>
        <w:t>, it is settled that the offence of GNM has four principal elements so that the prosecution is required to prove (i) the existence of a duty of care on the part of the accused</w:t>
      </w:r>
      <w:r w:rsidR="005E0C61" w:rsidRPr="00E4666D">
        <w:rPr>
          <w:color w:val="000000" w:themeColor="text1"/>
        </w:rPr>
        <w:t xml:space="preserve"> vis-à-vis the </w:t>
      </w:r>
      <w:r w:rsidR="00AC761F" w:rsidRPr="00E4666D">
        <w:rPr>
          <w:color w:val="000000" w:themeColor="text1"/>
        </w:rPr>
        <w:t>deceased</w:t>
      </w:r>
      <w:r w:rsidR="007102B0" w:rsidRPr="00E4666D">
        <w:rPr>
          <w:color w:val="000000" w:themeColor="text1"/>
        </w:rPr>
        <w:t xml:space="preserve">; (ii) that such duty was breached; (iii) that </w:t>
      </w:r>
      <w:r w:rsidR="005E0C61" w:rsidRPr="00E4666D">
        <w:rPr>
          <w:color w:val="000000" w:themeColor="text1"/>
        </w:rPr>
        <w:t>the</w:t>
      </w:r>
      <w:r w:rsidR="007102B0" w:rsidRPr="00E4666D">
        <w:rPr>
          <w:color w:val="000000" w:themeColor="text1"/>
        </w:rPr>
        <w:t xml:space="preserve"> breach caused the death</w:t>
      </w:r>
      <w:r w:rsidR="00AC761F" w:rsidRPr="00E4666D">
        <w:rPr>
          <w:color w:val="000000" w:themeColor="text1"/>
        </w:rPr>
        <w:t xml:space="preserve"> of the deceased</w:t>
      </w:r>
      <w:r w:rsidR="007102B0" w:rsidRPr="00E4666D">
        <w:rPr>
          <w:color w:val="000000" w:themeColor="text1"/>
        </w:rPr>
        <w:t xml:space="preserve">; and (iv) that the accused’s conduct involved gross negligence.  </w:t>
      </w:r>
      <w:r w:rsidR="002E3AB5" w:rsidRPr="00E4666D">
        <w:rPr>
          <w:color w:val="000000" w:themeColor="text1"/>
        </w:rPr>
        <w:t xml:space="preserve">As indicated in the certified question, the </w:t>
      </w:r>
      <w:r w:rsidR="00A07272" w:rsidRPr="00E4666D">
        <w:rPr>
          <w:color w:val="000000" w:themeColor="text1"/>
        </w:rPr>
        <w:t xml:space="preserve">present </w:t>
      </w:r>
      <w:r w:rsidR="002E3AB5" w:rsidRPr="00E4666D">
        <w:rPr>
          <w:color w:val="000000" w:themeColor="text1"/>
        </w:rPr>
        <w:t xml:space="preserve">debate </w:t>
      </w:r>
      <w:r w:rsidR="00CF28BD" w:rsidRPr="00E4666D">
        <w:rPr>
          <w:color w:val="000000" w:themeColor="text1"/>
        </w:rPr>
        <w:t>centres on the fourth ingredient: W</w:t>
      </w:r>
      <w:r w:rsidR="002E3AB5" w:rsidRPr="00E4666D">
        <w:rPr>
          <w:color w:val="000000" w:themeColor="text1"/>
        </w:rPr>
        <w:t>hat must the prosecution prove to establish “gross negligence”?</w:t>
      </w:r>
    </w:p>
    <w:p w:rsidR="005B6200" w:rsidRPr="00E4666D" w:rsidRDefault="00A07272" w:rsidP="00883069">
      <w:pPr>
        <w:pStyle w:val="Bob1"/>
        <w:tabs>
          <w:tab w:val="clear" w:pos="720"/>
          <w:tab w:val="left" w:pos="1440"/>
        </w:tabs>
        <w:spacing w:after="120"/>
        <w:ind w:left="0" w:firstLine="0"/>
        <w:jc w:val="both"/>
        <w:rPr>
          <w:color w:val="000000" w:themeColor="text1"/>
        </w:rPr>
      </w:pPr>
      <w:r w:rsidRPr="00E4666D">
        <w:rPr>
          <w:color w:val="000000" w:themeColor="text1"/>
        </w:rPr>
        <w:lastRenderedPageBreak/>
        <w:t xml:space="preserve">The law has evolved over the last century </w:t>
      </w:r>
      <w:r w:rsidR="00AC761F" w:rsidRPr="00E4666D">
        <w:rPr>
          <w:color w:val="000000" w:themeColor="text1"/>
        </w:rPr>
        <w:t xml:space="preserve">principally </w:t>
      </w:r>
      <w:r w:rsidR="00372A8F" w:rsidRPr="00E4666D">
        <w:rPr>
          <w:color w:val="000000" w:themeColor="text1"/>
        </w:rPr>
        <w:t>involving</w:t>
      </w:r>
      <w:r w:rsidRPr="00E4666D">
        <w:rPr>
          <w:color w:val="000000" w:themeColor="text1"/>
        </w:rPr>
        <w:t xml:space="preserve"> three leading authorities. The first is</w:t>
      </w:r>
      <w:r w:rsidR="005B6200" w:rsidRPr="00E4666D">
        <w:rPr>
          <w:color w:val="000000" w:themeColor="text1"/>
        </w:rPr>
        <w:t xml:space="preserve"> the judgment of the English Court of Criminal Appeal in</w:t>
      </w:r>
      <w:r w:rsidRPr="00E4666D">
        <w:rPr>
          <w:color w:val="000000" w:themeColor="text1"/>
        </w:rPr>
        <w:t xml:space="preserve"> </w:t>
      </w:r>
      <w:r w:rsidR="005B6200" w:rsidRPr="00E4666D">
        <w:rPr>
          <w:i/>
          <w:color w:val="000000" w:themeColor="text1"/>
        </w:rPr>
        <w:t>R v Bateman</w:t>
      </w:r>
      <w:r w:rsidR="005B6200" w:rsidRPr="00E4666D">
        <w:rPr>
          <w:color w:val="000000" w:themeColor="text1"/>
        </w:rPr>
        <w:t>,</w:t>
      </w:r>
      <w:r w:rsidR="005B6200" w:rsidRPr="00E4666D">
        <w:rPr>
          <w:rStyle w:val="FootnoteReference"/>
          <w:color w:val="000000" w:themeColor="text1"/>
        </w:rPr>
        <w:footnoteReference w:id="9"/>
      </w:r>
      <w:r w:rsidR="005B6200" w:rsidRPr="00E4666D">
        <w:rPr>
          <w:color w:val="000000" w:themeColor="text1"/>
        </w:rPr>
        <w:t xml:space="preserve"> </w:t>
      </w:r>
      <w:r w:rsidR="007B1462" w:rsidRPr="00E4666D">
        <w:rPr>
          <w:color w:val="000000" w:themeColor="text1"/>
        </w:rPr>
        <w:t xml:space="preserve">a case in which a doctor was charged after his patient died as a result of his delivery of her child. </w:t>
      </w:r>
      <w:r w:rsidR="00C53DFD" w:rsidRPr="00E4666D">
        <w:rPr>
          <w:color w:val="000000" w:themeColor="text1"/>
        </w:rPr>
        <w:t xml:space="preserve"> </w:t>
      </w:r>
      <w:r w:rsidR="005B6200" w:rsidRPr="00E4666D">
        <w:rPr>
          <w:color w:val="000000" w:themeColor="text1"/>
        </w:rPr>
        <w:t xml:space="preserve">Hewart LCJ explained that criminal liability for manslaughter by gross negligence shared the </w:t>
      </w:r>
      <w:r w:rsidR="00654E8B" w:rsidRPr="00E4666D">
        <w:rPr>
          <w:color w:val="000000" w:themeColor="text1"/>
        </w:rPr>
        <w:t xml:space="preserve">same </w:t>
      </w:r>
      <w:r w:rsidR="005B6200" w:rsidRPr="00E4666D">
        <w:rPr>
          <w:color w:val="000000" w:themeColor="text1"/>
        </w:rPr>
        <w:t xml:space="preserve">elements of duty, breach and causation required to prove negligence in civil </w:t>
      </w:r>
      <w:r w:rsidR="00755895" w:rsidRPr="00E4666D">
        <w:rPr>
          <w:color w:val="000000" w:themeColor="text1"/>
        </w:rPr>
        <w:t>cases</w:t>
      </w:r>
      <w:r w:rsidR="005B6200" w:rsidRPr="00E4666D">
        <w:rPr>
          <w:color w:val="000000" w:themeColor="text1"/>
        </w:rPr>
        <w:t xml:space="preserve"> </w:t>
      </w:r>
      <w:r w:rsidR="00372A8F" w:rsidRPr="00E4666D">
        <w:rPr>
          <w:color w:val="000000" w:themeColor="text1"/>
        </w:rPr>
        <w:t xml:space="preserve">but </w:t>
      </w:r>
      <w:r w:rsidR="00C53DFD" w:rsidRPr="00E4666D">
        <w:rPr>
          <w:color w:val="000000" w:themeColor="text1"/>
        </w:rPr>
        <w:t>entailed</w:t>
      </w:r>
      <w:r w:rsidR="004D7A57" w:rsidRPr="00E4666D">
        <w:rPr>
          <w:color w:val="000000" w:themeColor="text1"/>
        </w:rPr>
        <w:t xml:space="preserve"> </w:t>
      </w:r>
      <w:r w:rsidR="005B6200" w:rsidRPr="00E4666D">
        <w:rPr>
          <w:color w:val="000000" w:themeColor="text1"/>
        </w:rPr>
        <w:t>the add</w:t>
      </w:r>
      <w:r w:rsidR="00372A8F" w:rsidRPr="00E4666D">
        <w:rPr>
          <w:color w:val="000000" w:themeColor="text1"/>
        </w:rPr>
        <w:t>ed</w:t>
      </w:r>
      <w:r w:rsidR="005B6200" w:rsidRPr="00E4666D">
        <w:rPr>
          <w:color w:val="000000" w:themeColor="text1"/>
        </w:rPr>
        <w:t xml:space="preserve"> requirement that the jury be satisfied that the accused’s negligence “amounted to a crime”.</w:t>
      </w:r>
      <w:r w:rsidR="005B6200" w:rsidRPr="00E4666D">
        <w:rPr>
          <w:rStyle w:val="FootnoteReference"/>
          <w:color w:val="000000" w:themeColor="text1"/>
        </w:rPr>
        <w:footnoteReference w:id="10"/>
      </w:r>
      <w:r w:rsidR="00372A8F" w:rsidRPr="00E4666D">
        <w:rPr>
          <w:color w:val="000000" w:themeColor="text1"/>
        </w:rPr>
        <w:t xml:space="preserve">  His Lordship stated:</w:t>
      </w:r>
    </w:p>
    <w:p w:rsidR="00372A8F" w:rsidRPr="00E4666D" w:rsidRDefault="00372A8F" w:rsidP="00E07275">
      <w:pPr>
        <w:pStyle w:val="Bob1"/>
        <w:numPr>
          <w:ilvl w:val="0"/>
          <w:numId w:val="0"/>
        </w:numPr>
        <w:spacing w:line="240" w:lineRule="auto"/>
        <w:ind w:left="720"/>
        <w:jc w:val="both"/>
        <w:rPr>
          <w:color w:val="000000" w:themeColor="text1"/>
          <w:sz w:val="24"/>
          <w:szCs w:val="24"/>
        </w:rPr>
      </w:pPr>
      <w:r w:rsidRPr="00E4666D">
        <w:rPr>
          <w:color w:val="000000" w:themeColor="text1"/>
          <w:sz w:val="24"/>
          <w:szCs w:val="24"/>
        </w:rPr>
        <w:t>“To support an indictment for manslaughter the prosecution must prove the matters necessary to establish civil liability (except pecuniary loss), and, in addition, must satisfy the jury that the negligence or incompetence of the accused went beyond a mere matter of compensation and showed such disregard for the life and safety of others as to amount to a crime against the State and conduct deserving punishment.”</w:t>
      </w:r>
      <w:r w:rsidRPr="00E4666D">
        <w:rPr>
          <w:rStyle w:val="FootnoteReference"/>
          <w:color w:val="000000" w:themeColor="text1"/>
          <w:sz w:val="24"/>
          <w:szCs w:val="24"/>
        </w:rPr>
        <w:footnoteReference w:id="11"/>
      </w:r>
    </w:p>
    <w:p w:rsidR="008E60AD" w:rsidRPr="00E4666D" w:rsidRDefault="00CB4310" w:rsidP="00E07275">
      <w:pPr>
        <w:pStyle w:val="Bob1"/>
        <w:tabs>
          <w:tab w:val="clear" w:pos="720"/>
          <w:tab w:val="num" w:pos="1440"/>
        </w:tabs>
        <w:ind w:left="0" w:firstLine="0"/>
        <w:jc w:val="both"/>
        <w:rPr>
          <w:color w:val="000000" w:themeColor="text1"/>
        </w:rPr>
      </w:pPr>
      <w:r w:rsidRPr="00E4666D">
        <w:rPr>
          <w:color w:val="000000" w:themeColor="text1"/>
        </w:rPr>
        <w:t>It is understandable that o</w:t>
      </w:r>
      <w:r w:rsidR="00372A8F" w:rsidRPr="00E4666D">
        <w:rPr>
          <w:color w:val="000000" w:themeColor="text1"/>
        </w:rPr>
        <w:t xml:space="preserve">ne might think that a direction </w:t>
      </w:r>
      <w:r w:rsidR="004D7A57" w:rsidRPr="00E4666D">
        <w:rPr>
          <w:color w:val="000000" w:themeColor="text1"/>
        </w:rPr>
        <w:t xml:space="preserve">along those lines </w:t>
      </w:r>
      <w:r w:rsidRPr="00E4666D">
        <w:rPr>
          <w:color w:val="000000" w:themeColor="text1"/>
        </w:rPr>
        <w:t>does</w:t>
      </w:r>
      <w:r w:rsidR="00372A8F" w:rsidRPr="00E4666D">
        <w:rPr>
          <w:color w:val="000000" w:themeColor="text1"/>
        </w:rPr>
        <w:t xml:space="preserve"> not give </w:t>
      </w:r>
      <w:r w:rsidR="00AC761F" w:rsidRPr="00E4666D">
        <w:rPr>
          <w:color w:val="000000" w:themeColor="text1"/>
        </w:rPr>
        <w:t>sufficient</w:t>
      </w:r>
      <w:r w:rsidR="00372A8F" w:rsidRPr="00E4666D">
        <w:rPr>
          <w:color w:val="000000" w:themeColor="text1"/>
        </w:rPr>
        <w:t xml:space="preserve"> guidance to the jury</w:t>
      </w:r>
      <w:r w:rsidR="00654E8B" w:rsidRPr="00E4666D">
        <w:rPr>
          <w:color w:val="000000" w:themeColor="text1"/>
        </w:rPr>
        <w:t xml:space="preserve"> </w:t>
      </w:r>
      <w:r w:rsidR="009F62DF" w:rsidRPr="00E4666D">
        <w:rPr>
          <w:color w:val="000000" w:themeColor="text1"/>
        </w:rPr>
        <w:t xml:space="preserve">regarding </w:t>
      </w:r>
      <w:r w:rsidR="00654E8B" w:rsidRPr="00E4666D">
        <w:rPr>
          <w:color w:val="000000" w:themeColor="text1"/>
        </w:rPr>
        <w:t xml:space="preserve">the additional element that </w:t>
      </w:r>
      <w:r w:rsidR="009F62DF" w:rsidRPr="00E4666D">
        <w:rPr>
          <w:color w:val="000000" w:themeColor="text1"/>
        </w:rPr>
        <w:t>i</w:t>
      </w:r>
      <w:r w:rsidR="00654E8B" w:rsidRPr="00E4666D">
        <w:rPr>
          <w:color w:val="000000" w:themeColor="text1"/>
        </w:rPr>
        <w:t>s needed to attach criminal liability</w:t>
      </w:r>
      <w:r w:rsidR="00372A8F" w:rsidRPr="00E4666D">
        <w:rPr>
          <w:color w:val="000000" w:themeColor="text1"/>
        </w:rPr>
        <w:t xml:space="preserve">: How </w:t>
      </w:r>
      <w:r w:rsidRPr="00E4666D">
        <w:rPr>
          <w:color w:val="000000" w:themeColor="text1"/>
        </w:rPr>
        <w:t xml:space="preserve">are </w:t>
      </w:r>
      <w:r w:rsidR="00372A8F" w:rsidRPr="00E4666D">
        <w:rPr>
          <w:color w:val="000000" w:themeColor="text1"/>
        </w:rPr>
        <w:t xml:space="preserve">they to decide whether the negligence “went beyond a mere matter of compensation” and amounted to “a crime against the State and conduct deserving punishment”?  </w:t>
      </w:r>
    </w:p>
    <w:p w:rsidR="008E60AD" w:rsidRPr="00E4666D" w:rsidRDefault="00372A8F" w:rsidP="00E07275">
      <w:pPr>
        <w:pStyle w:val="Bob1"/>
        <w:tabs>
          <w:tab w:val="clear" w:pos="720"/>
          <w:tab w:val="num" w:pos="1440"/>
        </w:tabs>
        <w:ind w:left="0" w:firstLine="0"/>
        <w:jc w:val="both"/>
        <w:rPr>
          <w:color w:val="000000" w:themeColor="text1"/>
        </w:rPr>
      </w:pPr>
      <w:r w:rsidRPr="00E4666D">
        <w:rPr>
          <w:color w:val="000000" w:themeColor="text1"/>
        </w:rPr>
        <w:t xml:space="preserve">Perhaps more helpful was Hewart LCJ’s </w:t>
      </w:r>
      <w:r w:rsidR="008E60AD" w:rsidRPr="00E4666D">
        <w:rPr>
          <w:color w:val="000000" w:themeColor="text1"/>
        </w:rPr>
        <w:t>statement that “[in] a criminal Court ... the amount and degree of negligence are the determining question.”</w:t>
      </w:r>
      <w:r w:rsidR="008E60AD" w:rsidRPr="00E4666D">
        <w:rPr>
          <w:rStyle w:val="FootnoteReference"/>
          <w:color w:val="000000" w:themeColor="text1"/>
        </w:rPr>
        <w:footnoteReference w:id="12"/>
      </w:r>
      <w:r w:rsidR="008E60AD" w:rsidRPr="00E4666D">
        <w:rPr>
          <w:color w:val="000000" w:themeColor="text1"/>
        </w:rPr>
        <w:t xml:space="preserve">  I</w:t>
      </w:r>
      <w:r w:rsidR="00755895" w:rsidRPr="00E4666D">
        <w:rPr>
          <w:color w:val="000000" w:themeColor="text1"/>
        </w:rPr>
        <w:t>t was, i</w:t>
      </w:r>
      <w:r w:rsidR="008E60AD" w:rsidRPr="00E4666D">
        <w:rPr>
          <w:color w:val="000000" w:themeColor="text1"/>
        </w:rPr>
        <w:t xml:space="preserve">n other words, for the jury to </w:t>
      </w:r>
      <w:r w:rsidR="004D7A57" w:rsidRPr="00E4666D">
        <w:rPr>
          <w:color w:val="000000" w:themeColor="text1"/>
        </w:rPr>
        <w:t>assess</w:t>
      </w:r>
      <w:r w:rsidR="008E60AD" w:rsidRPr="00E4666D">
        <w:rPr>
          <w:color w:val="000000" w:themeColor="text1"/>
        </w:rPr>
        <w:t xml:space="preserve"> just how bad the negligence was and to convict only if </w:t>
      </w:r>
      <w:r w:rsidR="00843281" w:rsidRPr="00E4666D">
        <w:rPr>
          <w:color w:val="000000" w:themeColor="text1"/>
        </w:rPr>
        <w:t xml:space="preserve">it </w:t>
      </w:r>
      <w:r w:rsidR="008E60AD" w:rsidRPr="00E4666D">
        <w:rPr>
          <w:color w:val="000000" w:themeColor="text1"/>
        </w:rPr>
        <w:t xml:space="preserve">was of a particularly high degree.  </w:t>
      </w:r>
    </w:p>
    <w:p w:rsidR="00CA4E5E" w:rsidRPr="00E4666D" w:rsidRDefault="008E60AD" w:rsidP="00E07275">
      <w:pPr>
        <w:pStyle w:val="Bob1"/>
        <w:tabs>
          <w:tab w:val="clear" w:pos="720"/>
          <w:tab w:val="num" w:pos="1440"/>
        </w:tabs>
        <w:ind w:left="0" w:firstLine="0"/>
        <w:jc w:val="both"/>
        <w:rPr>
          <w:color w:val="000000" w:themeColor="text1"/>
        </w:rPr>
      </w:pPr>
      <w:r w:rsidRPr="00E4666D">
        <w:rPr>
          <w:color w:val="000000" w:themeColor="text1"/>
        </w:rPr>
        <w:lastRenderedPageBreak/>
        <w:t xml:space="preserve">However, his Lordship added: “There must be </w:t>
      </w:r>
      <w:r w:rsidRPr="00E4666D">
        <w:rPr>
          <w:i/>
          <w:color w:val="000000" w:themeColor="text1"/>
        </w:rPr>
        <w:t>mens rea</w:t>
      </w:r>
      <w:r w:rsidRPr="00E4666D">
        <w:rPr>
          <w:color w:val="000000" w:themeColor="text1"/>
        </w:rPr>
        <w:t>.”</w:t>
      </w:r>
      <w:r w:rsidRPr="00E4666D">
        <w:rPr>
          <w:rStyle w:val="FootnoteReference"/>
          <w:color w:val="000000" w:themeColor="text1"/>
        </w:rPr>
        <w:footnoteReference w:id="13"/>
      </w:r>
      <w:r w:rsidRPr="00E4666D">
        <w:rPr>
          <w:color w:val="000000" w:themeColor="text1"/>
        </w:rPr>
        <w:t xml:space="preserve">  This, together with his statement that the</w:t>
      </w:r>
      <w:r w:rsidR="00880116" w:rsidRPr="00E4666D">
        <w:rPr>
          <w:color w:val="000000" w:themeColor="text1"/>
        </w:rPr>
        <w:t xml:space="preserve"> prosecution </w:t>
      </w:r>
      <w:r w:rsidR="00755895" w:rsidRPr="00E4666D">
        <w:rPr>
          <w:color w:val="000000" w:themeColor="text1"/>
        </w:rPr>
        <w:t xml:space="preserve">must </w:t>
      </w:r>
      <w:r w:rsidR="00880116" w:rsidRPr="00E4666D">
        <w:rPr>
          <w:color w:val="000000" w:themeColor="text1"/>
        </w:rPr>
        <w:t>prove that the</w:t>
      </w:r>
      <w:r w:rsidRPr="00E4666D">
        <w:rPr>
          <w:color w:val="000000" w:themeColor="text1"/>
        </w:rPr>
        <w:t xml:space="preserve"> accused “showed such disregard for the life and safety of others</w:t>
      </w:r>
      <w:r w:rsidR="00755895" w:rsidRPr="00E4666D">
        <w:rPr>
          <w:color w:val="000000" w:themeColor="text1"/>
        </w:rPr>
        <w:t xml:space="preserve"> ...</w:t>
      </w:r>
      <w:r w:rsidRPr="00E4666D">
        <w:rPr>
          <w:color w:val="000000" w:themeColor="text1"/>
        </w:rPr>
        <w:t>”</w:t>
      </w:r>
      <w:r w:rsidR="00880116" w:rsidRPr="00E4666D">
        <w:rPr>
          <w:color w:val="000000" w:themeColor="text1"/>
        </w:rPr>
        <w:t>,</w:t>
      </w:r>
      <w:r w:rsidRPr="00E4666D">
        <w:rPr>
          <w:color w:val="000000" w:themeColor="text1"/>
        </w:rPr>
        <w:t xml:space="preserve"> </w:t>
      </w:r>
      <w:r w:rsidR="004D7A57" w:rsidRPr="00E4666D">
        <w:rPr>
          <w:color w:val="000000" w:themeColor="text1"/>
        </w:rPr>
        <w:t xml:space="preserve">gave rise to debate </w:t>
      </w:r>
      <w:r w:rsidRPr="00E4666D">
        <w:rPr>
          <w:color w:val="000000" w:themeColor="text1"/>
        </w:rPr>
        <w:t xml:space="preserve">as to whether the fourth element </w:t>
      </w:r>
      <w:r w:rsidR="004D7A57" w:rsidRPr="00E4666D">
        <w:rPr>
          <w:color w:val="000000" w:themeColor="text1"/>
        </w:rPr>
        <w:t xml:space="preserve">of the offence </w:t>
      </w:r>
      <w:r w:rsidRPr="00E4666D">
        <w:rPr>
          <w:color w:val="000000" w:themeColor="text1"/>
        </w:rPr>
        <w:t xml:space="preserve">requires </w:t>
      </w:r>
      <w:r w:rsidR="004D7A57" w:rsidRPr="00E4666D">
        <w:rPr>
          <w:color w:val="000000" w:themeColor="text1"/>
        </w:rPr>
        <w:t xml:space="preserve">proof </w:t>
      </w:r>
      <w:r w:rsidRPr="00E4666D">
        <w:rPr>
          <w:color w:val="000000" w:themeColor="text1"/>
        </w:rPr>
        <w:t xml:space="preserve">not merely </w:t>
      </w:r>
      <w:r w:rsidR="004D7A57" w:rsidRPr="00E4666D">
        <w:rPr>
          <w:color w:val="000000" w:themeColor="text1"/>
        </w:rPr>
        <w:t xml:space="preserve">of </w:t>
      </w:r>
      <w:r w:rsidRPr="00E4666D">
        <w:rPr>
          <w:color w:val="000000" w:themeColor="text1"/>
        </w:rPr>
        <w:t xml:space="preserve">a substantial departure from </w:t>
      </w:r>
      <w:r w:rsidR="007B1462" w:rsidRPr="00E4666D">
        <w:rPr>
          <w:color w:val="000000" w:themeColor="text1"/>
        </w:rPr>
        <w:t xml:space="preserve">an </w:t>
      </w:r>
      <w:r w:rsidRPr="00E4666D">
        <w:rPr>
          <w:color w:val="000000" w:themeColor="text1"/>
        </w:rPr>
        <w:t xml:space="preserve">objective minimum standard of care, but also a subjective awareness </w:t>
      </w:r>
      <w:r w:rsidR="004D7A57" w:rsidRPr="00E4666D">
        <w:rPr>
          <w:color w:val="000000" w:themeColor="text1"/>
        </w:rPr>
        <w:t xml:space="preserve">on the accused’s part </w:t>
      </w:r>
      <w:r w:rsidR="007B1462" w:rsidRPr="00E4666D">
        <w:rPr>
          <w:color w:val="000000" w:themeColor="text1"/>
        </w:rPr>
        <w:t xml:space="preserve">of the risks </w:t>
      </w:r>
      <w:r w:rsidR="004D7A57" w:rsidRPr="00E4666D">
        <w:rPr>
          <w:color w:val="000000" w:themeColor="text1"/>
        </w:rPr>
        <w:t xml:space="preserve">to “the life and safety of others” </w:t>
      </w:r>
      <w:r w:rsidR="007B1462" w:rsidRPr="00E4666D">
        <w:rPr>
          <w:color w:val="000000" w:themeColor="text1"/>
        </w:rPr>
        <w:t>created by</w:t>
      </w:r>
      <w:r w:rsidR="004D7A57" w:rsidRPr="00E4666D">
        <w:rPr>
          <w:color w:val="000000" w:themeColor="text1"/>
        </w:rPr>
        <w:t xml:space="preserve"> his conduct</w:t>
      </w:r>
      <w:r w:rsidR="007B1462" w:rsidRPr="00E4666D">
        <w:rPr>
          <w:color w:val="000000" w:themeColor="text1"/>
        </w:rPr>
        <w:t xml:space="preserve">.  </w:t>
      </w:r>
      <w:r w:rsidR="00CA4E5E" w:rsidRPr="00E4666D">
        <w:rPr>
          <w:color w:val="000000" w:themeColor="text1"/>
        </w:rPr>
        <w:t>That is of course the issue that this Court is asked to determine in the present case.</w:t>
      </w:r>
    </w:p>
    <w:p w:rsidR="0057313B" w:rsidRPr="00E4666D" w:rsidRDefault="009D2705" w:rsidP="00883069">
      <w:pPr>
        <w:pStyle w:val="Bob1"/>
        <w:tabs>
          <w:tab w:val="clear" w:pos="720"/>
          <w:tab w:val="num" w:pos="1440"/>
        </w:tabs>
        <w:spacing w:after="120"/>
        <w:ind w:left="0" w:firstLine="0"/>
        <w:jc w:val="both"/>
        <w:rPr>
          <w:color w:val="000000" w:themeColor="text1"/>
        </w:rPr>
      </w:pPr>
      <w:r w:rsidRPr="00E4666D">
        <w:rPr>
          <w:color w:val="000000" w:themeColor="text1"/>
        </w:rPr>
        <w:t>Some of the</w:t>
      </w:r>
      <w:r w:rsidR="0057313B" w:rsidRPr="00E4666D">
        <w:rPr>
          <w:color w:val="000000" w:themeColor="text1"/>
        </w:rPr>
        <w:t xml:space="preserve"> </w:t>
      </w:r>
      <w:r w:rsidR="00755895" w:rsidRPr="00E4666D">
        <w:rPr>
          <w:color w:val="000000" w:themeColor="text1"/>
        </w:rPr>
        <w:t xml:space="preserve">abovementioned </w:t>
      </w:r>
      <w:r w:rsidR="0057313B" w:rsidRPr="00E4666D">
        <w:rPr>
          <w:color w:val="000000" w:themeColor="text1"/>
        </w:rPr>
        <w:t xml:space="preserve">difficulties were recognised by the House of Lords in </w:t>
      </w:r>
      <w:r w:rsidR="00880116" w:rsidRPr="00E4666D">
        <w:rPr>
          <w:color w:val="000000" w:themeColor="text1"/>
        </w:rPr>
        <w:t xml:space="preserve">the second leading authority, </w:t>
      </w:r>
      <w:r w:rsidR="0057313B" w:rsidRPr="00E4666D">
        <w:rPr>
          <w:i/>
          <w:color w:val="000000" w:themeColor="text1"/>
        </w:rPr>
        <w:t>Andrews v Director of Public Prosecutions</w:t>
      </w:r>
      <w:r w:rsidR="0057313B" w:rsidRPr="00E4666D">
        <w:rPr>
          <w:color w:val="000000" w:themeColor="text1"/>
        </w:rPr>
        <w:t>,</w:t>
      </w:r>
      <w:r w:rsidR="0057313B" w:rsidRPr="00E4666D">
        <w:rPr>
          <w:rStyle w:val="FootnoteReference"/>
          <w:color w:val="000000" w:themeColor="text1"/>
        </w:rPr>
        <w:footnoteReference w:id="14"/>
      </w:r>
      <w:r w:rsidR="0057313B" w:rsidRPr="00E4666D">
        <w:rPr>
          <w:color w:val="000000" w:themeColor="text1"/>
        </w:rPr>
        <w:t xml:space="preserve"> a motor manslaughter case.  </w:t>
      </w:r>
      <w:r w:rsidR="00654E8B" w:rsidRPr="00E4666D">
        <w:rPr>
          <w:color w:val="000000" w:themeColor="text1"/>
        </w:rPr>
        <w:t xml:space="preserve">In his speech, with which the other </w:t>
      </w:r>
      <w:r w:rsidR="009F62DF" w:rsidRPr="00E4666D">
        <w:rPr>
          <w:color w:val="000000" w:themeColor="text1"/>
        </w:rPr>
        <w:t>Law Lords concurred</w:t>
      </w:r>
      <w:r w:rsidR="00654E8B" w:rsidRPr="00E4666D">
        <w:rPr>
          <w:color w:val="000000" w:themeColor="text1"/>
        </w:rPr>
        <w:t xml:space="preserve">, Lord Atkin began his analysis of the law by observing that the crime of manslaughter involved difficulties of definition, particularly in the case of involuntary manslaughter </w:t>
      </w:r>
      <w:r w:rsidR="009F62DF" w:rsidRPr="00E4666D">
        <w:rPr>
          <w:color w:val="000000" w:themeColor="text1"/>
        </w:rPr>
        <w:t xml:space="preserve">which had to identify </w:t>
      </w:r>
      <w:r w:rsidR="00654E8B" w:rsidRPr="00E4666D">
        <w:rPr>
          <w:color w:val="000000" w:themeColor="text1"/>
        </w:rPr>
        <w:t xml:space="preserve">the element of “unlawfulness”, </w:t>
      </w:r>
      <w:r w:rsidR="009F62DF" w:rsidRPr="00E4666D">
        <w:rPr>
          <w:color w:val="000000" w:themeColor="text1"/>
        </w:rPr>
        <w:t xml:space="preserve">this being </w:t>
      </w:r>
      <w:r w:rsidR="00654E8B" w:rsidRPr="00E4666D">
        <w:rPr>
          <w:color w:val="000000" w:themeColor="text1"/>
        </w:rPr>
        <w:t>“the elusive factor”.</w:t>
      </w:r>
      <w:r w:rsidR="00654E8B" w:rsidRPr="00E4666D">
        <w:rPr>
          <w:rStyle w:val="FootnoteReference"/>
          <w:color w:val="000000" w:themeColor="text1"/>
        </w:rPr>
        <w:footnoteReference w:id="15"/>
      </w:r>
      <w:r w:rsidR="00654E8B" w:rsidRPr="00E4666D">
        <w:rPr>
          <w:color w:val="000000" w:themeColor="text1"/>
        </w:rPr>
        <w:t xml:space="preserve">  </w:t>
      </w:r>
      <w:r w:rsidR="0057313B" w:rsidRPr="00E4666D">
        <w:rPr>
          <w:color w:val="000000" w:themeColor="text1"/>
        </w:rPr>
        <w:t xml:space="preserve">Regarding </w:t>
      </w:r>
      <w:r w:rsidR="0057313B" w:rsidRPr="00E4666D">
        <w:rPr>
          <w:i/>
          <w:color w:val="000000" w:themeColor="text1"/>
        </w:rPr>
        <w:t>Bateman</w:t>
      </w:r>
      <w:r w:rsidR="0057313B" w:rsidRPr="00E4666D">
        <w:rPr>
          <w:color w:val="000000" w:themeColor="text1"/>
        </w:rPr>
        <w:t>,</w:t>
      </w:r>
      <w:r w:rsidR="0057313B" w:rsidRPr="00E4666D">
        <w:rPr>
          <w:i/>
          <w:color w:val="000000" w:themeColor="text1"/>
        </w:rPr>
        <w:t xml:space="preserve"> </w:t>
      </w:r>
      <w:r w:rsidR="0057313B" w:rsidRPr="00E4666D">
        <w:rPr>
          <w:color w:val="000000" w:themeColor="text1"/>
        </w:rPr>
        <w:t>Lord Atkin commented:</w:t>
      </w:r>
    </w:p>
    <w:p w:rsidR="0057313B" w:rsidRPr="00E4666D" w:rsidRDefault="0057313B" w:rsidP="00E07275">
      <w:pPr>
        <w:pStyle w:val="Bob1"/>
        <w:numPr>
          <w:ilvl w:val="0"/>
          <w:numId w:val="0"/>
        </w:numPr>
        <w:spacing w:line="240" w:lineRule="auto"/>
        <w:ind w:left="720"/>
        <w:jc w:val="both"/>
        <w:rPr>
          <w:color w:val="000000" w:themeColor="text1"/>
          <w:sz w:val="24"/>
          <w:szCs w:val="24"/>
        </w:rPr>
      </w:pPr>
      <w:r w:rsidRPr="00E4666D">
        <w:rPr>
          <w:color w:val="000000" w:themeColor="text1"/>
          <w:sz w:val="24"/>
          <w:szCs w:val="24"/>
        </w:rPr>
        <w:t xml:space="preserve">“I do not myself find the connotations of </w:t>
      </w:r>
      <w:r w:rsidRPr="00E4666D">
        <w:rPr>
          <w:i/>
          <w:color w:val="000000" w:themeColor="text1"/>
          <w:sz w:val="24"/>
          <w:szCs w:val="24"/>
        </w:rPr>
        <w:t>mens rea</w:t>
      </w:r>
      <w:r w:rsidRPr="00E4666D">
        <w:rPr>
          <w:color w:val="000000" w:themeColor="text1"/>
          <w:sz w:val="24"/>
          <w:szCs w:val="24"/>
        </w:rPr>
        <w:t xml:space="preserve"> helpful in distinguishing between degrees of negligence, nor do the ideas of crime and punishment in themselves carry a jury much further in deciding whether in a particular case the degree of negligence shown is a crime and deserves punishment. But the substance of the judgment is most valuable, and in my opinion is correct.”</w:t>
      </w:r>
      <w:r w:rsidRPr="00E4666D">
        <w:rPr>
          <w:rStyle w:val="FootnoteReference"/>
          <w:color w:val="000000" w:themeColor="text1"/>
          <w:sz w:val="24"/>
          <w:szCs w:val="24"/>
        </w:rPr>
        <w:footnoteReference w:id="16"/>
      </w:r>
      <w:r w:rsidRPr="00E4666D">
        <w:rPr>
          <w:color w:val="000000" w:themeColor="text1"/>
          <w:sz w:val="24"/>
          <w:szCs w:val="24"/>
        </w:rPr>
        <w:t xml:space="preserve"> </w:t>
      </w:r>
    </w:p>
    <w:p w:rsidR="00372A8F" w:rsidRPr="00E4666D" w:rsidRDefault="00CF28BD" w:rsidP="00883069">
      <w:pPr>
        <w:pStyle w:val="Bob1"/>
        <w:tabs>
          <w:tab w:val="clear" w:pos="720"/>
          <w:tab w:val="left" w:pos="1440"/>
        </w:tabs>
        <w:spacing w:after="80"/>
        <w:ind w:left="0" w:firstLine="0"/>
        <w:jc w:val="both"/>
        <w:rPr>
          <w:color w:val="000000" w:themeColor="text1"/>
        </w:rPr>
      </w:pPr>
      <w:r w:rsidRPr="00E4666D">
        <w:rPr>
          <w:color w:val="000000" w:themeColor="text1"/>
        </w:rPr>
        <w:t>His Lordship</w:t>
      </w:r>
      <w:r w:rsidR="009D2705" w:rsidRPr="00E4666D">
        <w:rPr>
          <w:color w:val="000000" w:themeColor="text1"/>
        </w:rPr>
        <w:t xml:space="preserve"> </w:t>
      </w:r>
      <w:r w:rsidR="00843281" w:rsidRPr="00E4666D">
        <w:rPr>
          <w:color w:val="000000" w:themeColor="text1"/>
        </w:rPr>
        <w:t>focussed on the elevated degree of negligence required, stating:</w:t>
      </w:r>
    </w:p>
    <w:p w:rsidR="00843281" w:rsidRPr="00E4666D" w:rsidRDefault="00843281" w:rsidP="00E07275">
      <w:pPr>
        <w:pStyle w:val="Bob1"/>
        <w:numPr>
          <w:ilvl w:val="0"/>
          <w:numId w:val="0"/>
        </w:numPr>
        <w:spacing w:line="240" w:lineRule="auto"/>
        <w:ind w:left="720"/>
        <w:jc w:val="both"/>
        <w:rPr>
          <w:color w:val="000000" w:themeColor="text1"/>
          <w:sz w:val="24"/>
          <w:szCs w:val="24"/>
        </w:rPr>
      </w:pPr>
      <w:r w:rsidRPr="00E4666D">
        <w:rPr>
          <w:color w:val="000000" w:themeColor="text1"/>
          <w:sz w:val="24"/>
          <w:szCs w:val="24"/>
        </w:rPr>
        <w:t>“Simple lack of care such as will constitute civil liability is not enough: for purposes of the criminal law there are degrees of negligence: and a very high degree of negligence is required to be proved before the felony is established. Probably of all the epithets that can be applied ‘reckless’ most nearly covers the case.”</w:t>
      </w:r>
      <w:r w:rsidRPr="00E4666D">
        <w:rPr>
          <w:rStyle w:val="FootnoteReference"/>
          <w:color w:val="000000" w:themeColor="text1"/>
          <w:sz w:val="24"/>
          <w:szCs w:val="24"/>
        </w:rPr>
        <w:footnoteReference w:id="17"/>
      </w:r>
    </w:p>
    <w:p w:rsidR="0026040E" w:rsidRPr="00E4666D" w:rsidRDefault="00843281" w:rsidP="00883069">
      <w:pPr>
        <w:pStyle w:val="Bob1"/>
        <w:tabs>
          <w:tab w:val="clear" w:pos="720"/>
          <w:tab w:val="left" w:pos="1440"/>
        </w:tabs>
        <w:spacing w:after="80"/>
        <w:ind w:left="0" w:firstLine="0"/>
        <w:jc w:val="both"/>
        <w:rPr>
          <w:color w:val="000000" w:themeColor="text1"/>
        </w:rPr>
      </w:pPr>
      <w:r w:rsidRPr="00E4666D">
        <w:rPr>
          <w:color w:val="000000" w:themeColor="text1"/>
        </w:rPr>
        <w:lastRenderedPageBreak/>
        <w:t xml:space="preserve">This provided welcome clarification although, as we shall see, </w:t>
      </w:r>
      <w:r w:rsidR="009D2705" w:rsidRPr="00E4666D">
        <w:rPr>
          <w:color w:val="000000" w:themeColor="text1"/>
        </w:rPr>
        <w:t xml:space="preserve">his use of the word </w:t>
      </w:r>
      <w:r w:rsidRPr="00E4666D">
        <w:rPr>
          <w:color w:val="000000" w:themeColor="text1"/>
        </w:rPr>
        <w:t xml:space="preserve">“reckless” has required </w:t>
      </w:r>
      <w:r w:rsidR="0026040E" w:rsidRPr="00E4666D">
        <w:rPr>
          <w:color w:val="000000" w:themeColor="text1"/>
        </w:rPr>
        <w:t>further explanation</w:t>
      </w:r>
      <w:r w:rsidRPr="00E4666D">
        <w:rPr>
          <w:color w:val="000000" w:themeColor="text1"/>
        </w:rPr>
        <w:t xml:space="preserve">.  </w:t>
      </w:r>
      <w:r w:rsidR="0026040E" w:rsidRPr="00E4666D">
        <w:rPr>
          <w:color w:val="000000" w:themeColor="text1"/>
        </w:rPr>
        <w:t xml:space="preserve">It is </w:t>
      </w:r>
      <w:r w:rsidR="005A3BDB" w:rsidRPr="00E4666D">
        <w:rPr>
          <w:color w:val="000000" w:themeColor="text1"/>
        </w:rPr>
        <w:t>worth noting</w:t>
      </w:r>
      <w:r w:rsidR="0026040E" w:rsidRPr="00E4666D">
        <w:rPr>
          <w:color w:val="000000" w:themeColor="text1"/>
        </w:rPr>
        <w:t xml:space="preserve"> that </w:t>
      </w:r>
      <w:r w:rsidRPr="00E4666D">
        <w:rPr>
          <w:color w:val="000000" w:themeColor="text1"/>
        </w:rPr>
        <w:t xml:space="preserve">Lord Atkin was concerned to address </w:t>
      </w:r>
      <w:r w:rsidR="0026040E" w:rsidRPr="00E4666D">
        <w:rPr>
          <w:color w:val="000000" w:themeColor="text1"/>
        </w:rPr>
        <w:t xml:space="preserve">possible overlaps and </w:t>
      </w:r>
      <w:r w:rsidRPr="00E4666D">
        <w:rPr>
          <w:color w:val="000000" w:themeColor="text1"/>
        </w:rPr>
        <w:t>differences in the constituent</w:t>
      </w:r>
      <w:r w:rsidR="0026040E" w:rsidRPr="00E4666D">
        <w:rPr>
          <w:color w:val="000000" w:themeColor="text1"/>
        </w:rPr>
        <w:t>s</w:t>
      </w:r>
      <w:r w:rsidRPr="00E4666D">
        <w:rPr>
          <w:color w:val="000000" w:themeColor="text1"/>
        </w:rPr>
        <w:t xml:space="preserve"> of GNM </w:t>
      </w:r>
      <w:r w:rsidR="0026040E" w:rsidRPr="00E4666D">
        <w:rPr>
          <w:color w:val="000000" w:themeColor="text1"/>
        </w:rPr>
        <w:t xml:space="preserve">when placed alongside </w:t>
      </w:r>
      <w:r w:rsidRPr="00E4666D">
        <w:rPr>
          <w:color w:val="000000" w:themeColor="text1"/>
        </w:rPr>
        <w:t>the then newly-minted statutory offences</w:t>
      </w:r>
      <w:r w:rsidR="0026040E" w:rsidRPr="00E4666D">
        <w:rPr>
          <w:color w:val="000000" w:themeColor="text1"/>
        </w:rPr>
        <w:t xml:space="preserve"> in the Road Traffic Act 1930 which posited different degrees of negligence</w:t>
      </w:r>
      <w:r w:rsidR="008F05B6" w:rsidRPr="00E4666D">
        <w:rPr>
          <w:color w:val="000000" w:themeColor="text1"/>
        </w:rPr>
        <w:t xml:space="preserve"> for</w:t>
      </w:r>
      <w:r w:rsidR="0026040E" w:rsidRPr="00E4666D">
        <w:rPr>
          <w:color w:val="000000" w:themeColor="text1"/>
        </w:rPr>
        <w:t xml:space="preserve"> </w:t>
      </w:r>
      <w:r w:rsidR="005A3BDB" w:rsidRPr="00E4666D">
        <w:rPr>
          <w:color w:val="000000" w:themeColor="text1"/>
        </w:rPr>
        <w:t xml:space="preserve">offences such as </w:t>
      </w:r>
      <w:r w:rsidR="0026040E" w:rsidRPr="00E4666D">
        <w:rPr>
          <w:color w:val="000000" w:themeColor="text1"/>
        </w:rPr>
        <w:t>driving without due care and attention, driving recklessly or at a speed or in a manner dangerous to the public.</w:t>
      </w:r>
      <w:r w:rsidR="005A3BDB" w:rsidRPr="00E4666D">
        <w:rPr>
          <w:rStyle w:val="FootnoteReference"/>
          <w:color w:val="000000" w:themeColor="text1"/>
        </w:rPr>
        <w:footnoteReference w:id="18"/>
      </w:r>
      <w:r w:rsidR="0026040E" w:rsidRPr="00E4666D">
        <w:rPr>
          <w:color w:val="000000" w:themeColor="text1"/>
        </w:rPr>
        <w:t xml:space="preserve">  </w:t>
      </w:r>
      <w:r w:rsidR="005A3BDB" w:rsidRPr="00E4666D">
        <w:rPr>
          <w:color w:val="000000" w:themeColor="text1"/>
        </w:rPr>
        <w:t>His Lordship stated:</w:t>
      </w:r>
    </w:p>
    <w:p w:rsidR="005A3BDB" w:rsidRPr="00E4666D" w:rsidRDefault="005A3BDB" w:rsidP="00E07275">
      <w:pPr>
        <w:pStyle w:val="Bob1"/>
        <w:numPr>
          <w:ilvl w:val="0"/>
          <w:numId w:val="0"/>
        </w:numPr>
        <w:spacing w:line="240" w:lineRule="auto"/>
        <w:ind w:left="720"/>
        <w:jc w:val="both"/>
        <w:rPr>
          <w:color w:val="000000" w:themeColor="text1"/>
          <w:sz w:val="24"/>
          <w:szCs w:val="24"/>
        </w:rPr>
      </w:pPr>
      <w:r w:rsidRPr="00E4666D">
        <w:rPr>
          <w:color w:val="000000" w:themeColor="text1"/>
          <w:sz w:val="24"/>
          <w:szCs w:val="24"/>
        </w:rPr>
        <w:t>“...in directing the jury in a case of manslaughter the judge should in the first instance charge them substantially in accordance with the</w:t>
      </w:r>
      <w:r w:rsidRPr="00E4666D">
        <w:rPr>
          <w:b/>
          <w:bCs/>
          <w:i/>
          <w:iCs/>
          <w:color w:val="000000" w:themeColor="text1"/>
          <w:sz w:val="24"/>
          <w:szCs w:val="24"/>
        </w:rPr>
        <w:t xml:space="preserve"> </w:t>
      </w:r>
      <w:r w:rsidRPr="00E4666D">
        <w:rPr>
          <w:color w:val="000000" w:themeColor="text1"/>
          <w:sz w:val="24"/>
          <w:szCs w:val="24"/>
        </w:rPr>
        <w:t xml:space="preserve">general law, that is, requiring the high degree of negligence indicated in </w:t>
      </w:r>
      <w:r w:rsidRPr="00E4666D">
        <w:rPr>
          <w:i/>
          <w:color w:val="000000" w:themeColor="text1"/>
          <w:sz w:val="24"/>
          <w:szCs w:val="24"/>
        </w:rPr>
        <w:t>Bateman's</w:t>
      </w:r>
      <w:r w:rsidRPr="00E4666D">
        <w:rPr>
          <w:color w:val="000000" w:themeColor="text1"/>
          <w:sz w:val="24"/>
          <w:szCs w:val="24"/>
        </w:rPr>
        <w:t xml:space="preserve"> case and then explain that such degree of negligence is not necessarily the same as that which is required for the offence of dangerous driving, and then indicate to them the conditions under which they might acquit of manslaughter and convict of dangerous driving.”</w:t>
      </w:r>
      <w:r w:rsidRPr="00E4666D">
        <w:rPr>
          <w:rStyle w:val="FootnoteReference"/>
          <w:color w:val="000000" w:themeColor="text1"/>
          <w:sz w:val="24"/>
          <w:szCs w:val="24"/>
        </w:rPr>
        <w:footnoteReference w:id="19"/>
      </w:r>
    </w:p>
    <w:p w:rsidR="007A6C73" w:rsidRPr="00E4666D" w:rsidRDefault="005A3BDB" w:rsidP="00E07275">
      <w:pPr>
        <w:pStyle w:val="Bob1"/>
        <w:tabs>
          <w:tab w:val="clear" w:pos="720"/>
          <w:tab w:val="left" w:pos="1440"/>
        </w:tabs>
        <w:ind w:left="0" w:firstLine="0"/>
        <w:jc w:val="both"/>
        <w:rPr>
          <w:color w:val="000000" w:themeColor="text1"/>
        </w:rPr>
      </w:pPr>
      <w:r w:rsidRPr="00E4666D">
        <w:rPr>
          <w:color w:val="000000" w:themeColor="text1"/>
        </w:rPr>
        <w:t xml:space="preserve">After </w:t>
      </w:r>
      <w:r w:rsidRPr="00E4666D">
        <w:rPr>
          <w:i/>
          <w:color w:val="000000" w:themeColor="text1"/>
        </w:rPr>
        <w:t>Andrews</w:t>
      </w:r>
      <w:r w:rsidRPr="00E4666D">
        <w:rPr>
          <w:color w:val="000000" w:themeColor="text1"/>
        </w:rPr>
        <w:t xml:space="preserve">, a body of case-law </w:t>
      </w:r>
      <w:r w:rsidR="009D316E" w:rsidRPr="00E4666D">
        <w:rPr>
          <w:color w:val="000000" w:themeColor="text1"/>
        </w:rPr>
        <w:t xml:space="preserve">grew up, </w:t>
      </w:r>
      <w:r w:rsidRPr="00E4666D">
        <w:rPr>
          <w:color w:val="000000" w:themeColor="text1"/>
        </w:rPr>
        <w:t xml:space="preserve">examining the meaning of “recklessness” </w:t>
      </w:r>
      <w:r w:rsidR="009D316E" w:rsidRPr="00E4666D">
        <w:rPr>
          <w:color w:val="000000" w:themeColor="text1"/>
        </w:rPr>
        <w:t>as</w:t>
      </w:r>
      <w:r w:rsidRPr="00E4666D">
        <w:rPr>
          <w:color w:val="000000" w:themeColor="text1"/>
        </w:rPr>
        <w:t xml:space="preserve"> an ingredien</w:t>
      </w:r>
      <w:r w:rsidR="00755895" w:rsidRPr="00E4666D">
        <w:rPr>
          <w:color w:val="000000" w:themeColor="text1"/>
        </w:rPr>
        <w:t>t of certain statutory offences including,</w:t>
      </w:r>
      <w:r w:rsidR="009D316E" w:rsidRPr="00E4666D">
        <w:rPr>
          <w:color w:val="000000" w:themeColor="text1"/>
        </w:rPr>
        <w:t xml:space="preserve"> in the House of Lords</w:t>
      </w:r>
      <w:r w:rsidR="00FA6CD1" w:rsidRPr="00E4666D">
        <w:rPr>
          <w:color w:val="000000" w:themeColor="text1"/>
        </w:rPr>
        <w:t>,</w:t>
      </w:r>
      <w:r w:rsidR="009D316E" w:rsidRPr="00E4666D">
        <w:rPr>
          <w:color w:val="000000" w:themeColor="text1"/>
        </w:rPr>
        <w:t xml:space="preserve"> </w:t>
      </w:r>
      <w:r w:rsidR="003A6DCC" w:rsidRPr="00E4666D">
        <w:rPr>
          <w:i/>
          <w:color w:val="000000" w:themeColor="text1"/>
        </w:rPr>
        <w:t>Commissioner of Police of The Metropolis</w:t>
      </w:r>
      <w:r w:rsidR="009D316E" w:rsidRPr="00E4666D">
        <w:rPr>
          <w:i/>
          <w:color w:val="000000" w:themeColor="text1"/>
        </w:rPr>
        <w:t xml:space="preserve"> v Caldwell</w:t>
      </w:r>
      <w:r w:rsidR="009D316E" w:rsidRPr="00E4666D">
        <w:rPr>
          <w:rStyle w:val="FootnoteReference"/>
          <w:i/>
          <w:color w:val="000000" w:themeColor="text1"/>
        </w:rPr>
        <w:footnoteReference w:id="20"/>
      </w:r>
      <w:r w:rsidR="00883069">
        <w:rPr>
          <w:rFonts w:ascii="PMingLiU" w:eastAsia="PMingLiU" w:hAnsi="PMingLiU" w:hint="eastAsia"/>
          <w:color w:val="000000" w:themeColor="text1"/>
          <w:lang w:eastAsia="zh-TW"/>
        </w:rPr>
        <w:t xml:space="preserve"> </w:t>
      </w:r>
      <w:r w:rsidR="00755895" w:rsidRPr="00E4666D">
        <w:rPr>
          <w:color w:val="000000" w:themeColor="text1"/>
        </w:rPr>
        <w:t>(</w:t>
      </w:r>
      <w:r w:rsidR="009D2705" w:rsidRPr="00E4666D">
        <w:rPr>
          <w:color w:val="000000" w:themeColor="text1"/>
        </w:rPr>
        <w:t>concerning</w:t>
      </w:r>
      <w:r w:rsidRPr="00E4666D">
        <w:rPr>
          <w:color w:val="000000" w:themeColor="text1"/>
        </w:rPr>
        <w:t xml:space="preserve"> </w:t>
      </w:r>
      <w:r w:rsidR="009D316E" w:rsidRPr="00E4666D">
        <w:rPr>
          <w:color w:val="000000" w:themeColor="text1"/>
        </w:rPr>
        <w:t xml:space="preserve">arson </w:t>
      </w:r>
      <w:r w:rsidRPr="00E4666D">
        <w:rPr>
          <w:color w:val="000000" w:themeColor="text1"/>
        </w:rPr>
        <w:t xml:space="preserve">with intention or being reckless as </w:t>
      </w:r>
      <w:r w:rsidR="00C9736F" w:rsidRPr="00E4666D">
        <w:rPr>
          <w:color w:val="000000" w:themeColor="text1"/>
        </w:rPr>
        <w:t xml:space="preserve">to </w:t>
      </w:r>
      <w:r w:rsidR="009D316E" w:rsidRPr="00E4666D">
        <w:rPr>
          <w:color w:val="000000" w:themeColor="text1"/>
        </w:rPr>
        <w:t>whether property would be damaged or destroyed</w:t>
      </w:r>
      <w:r w:rsidR="00755895" w:rsidRPr="00E4666D">
        <w:rPr>
          <w:color w:val="000000" w:themeColor="text1"/>
        </w:rPr>
        <w:t>)</w:t>
      </w:r>
      <w:r w:rsidR="009D316E" w:rsidRPr="00E4666D">
        <w:rPr>
          <w:color w:val="000000" w:themeColor="text1"/>
        </w:rPr>
        <w:t>;</w:t>
      </w:r>
      <w:r w:rsidR="009D316E" w:rsidRPr="00E4666D">
        <w:rPr>
          <w:rStyle w:val="FootnoteReference"/>
          <w:color w:val="000000" w:themeColor="text1"/>
        </w:rPr>
        <w:footnoteReference w:id="21"/>
      </w:r>
      <w:r w:rsidR="009D316E" w:rsidRPr="00E4666D">
        <w:rPr>
          <w:color w:val="000000" w:themeColor="text1"/>
        </w:rPr>
        <w:t xml:space="preserve"> and </w:t>
      </w:r>
      <w:r w:rsidR="009D316E" w:rsidRPr="00E4666D">
        <w:rPr>
          <w:i/>
          <w:color w:val="000000" w:themeColor="text1"/>
        </w:rPr>
        <w:t>R v Lawrence</w:t>
      </w:r>
      <w:r w:rsidR="003A6DCC" w:rsidRPr="00E4666D">
        <w:rPr>
          <w:i/>
          <w:color w:val="000000" w:themeColor="text1"/>
        </w:rPr>
        <w:t xml:space="preserve"> (Stephen)</w:t>
      </w:r>
      <w:r w:rsidR="009D316E" w:rsidRPr="00E4666D">
        <w:rPr>
          <w:rStyle w:val="FootnoteReference"/>
          <w:i/>
          <w:color w:val="000000" w:themeColor="text1"/>
        </w:rPr>
        <w:footnoteReference w:id="22"/>
      </w:r>
      <w:r w:rsidR="009D316E" w:rsidRPr="00E4666D">
        <w:rPr>
          <w:color w:val="000000" w:themeColor="text1"/>
        </w:rPr>
        <w:t xml:space="preserve"> </w:t>
      </w:r>
      <w:r w:rsidR="00755895" w:rsidRPr="00E4666D">
        <w:rPr>
          <w:color w:val="000000" w:themeColor="text1"/>
        </w:rPr>
        <w:t>(</w:t>
      </w:r>
      <w:r w:rsidR="009D2705" w:rsidRPr="00E4666D">
        <w:rPr>
          <w:color w:val="000000" w:themeColor="text1"/>
        </w:rPr>
        <w:t xml:space="preserve">regarding </w:t>
      </w:r>
      <w:r w:rsidR="009D316E" w:rsidRPr="00E4666D">
        <w:rPr>
          <w:color w:val="000000" w:themeColor="text1"/>
        </w:rPr>
        <w:t>causing death by reckless driving</w:t>
      </w:r>
      <w:r w:rsidR="00755895" w:rsidRPr="00E4666D">
        <w:rPr>
          <w:color w:val="000000" w:themeColor="text1"/>
        </w:rPr>
        <w:t>)</w:t>
      </w:r>
      <w:r w:rsidR="009D316E" w:rsidRPr="00E4666D">
        <w:rPr>
          <w:color w:val="000000" w:themeColor="text1"/>
        </w:rPr>
        <w:t>.</w:t>
      </w:r>
      <w:r w:rsidR="009D316E" w:rsidRPr="00E4666D">
        <w:rPr>
          <w:rStyle w:val="FootnoteReference"/>
          <w:color w:val="000000" w:themeColor="text1"/>
        </w:rPr>
        <w:footnoteReference w:id="23"/>
      </w:r>
      <w:r w:rsidR="009D316E" w:rsidRPr="00E4666D">
        <w:rPr>
          <w:color w:val="000000" w:themeColor="text1"/>
        </w:rPr>
        <w:t xml:space="preserve">  These are not of direct relevance to the present discussion.</w:t>
      </w:r>
      <w:r w:rsidR="009D316E" w:rsidRPr="00E4666D">
        <w:rPr>
          <w:rStyle w:val="FootnoteReference"/>
          <w:color w:val="000000" w:themeColor="text1"/>
        </w:rPr>
        <w:footnoteReference w:id="24"/>
      </w:r>
      <w:r w:rsidR="007A6C73" w:rsidRPr="00E4666D">
        <w:rPr>
          <w:color w:val="000000" w:themeColor="text1"/>
        </w:rPr>
        <w:t xml:space="preserve">  </w:t>
      </w:r>
    </w:p>
    <w:p w:rsidR="006B4F11" w:rsidRPr="00E4666D" w:rsidRDefault="007A6C73" w:rsidP="00E07275">
      <w:pPr>
        <w:pStyle w:val="Bob1"/>
        <w:tabs>
          <w:tab w:val="clear" w:pos="720"/>
          <w:tab w:val="left" w:pos="1440"/>
        </w:tabs>
        <w:ind w:left="0" w:firstLine="0"/>
        <w:jc w:val="both"/>
        <w:rPr>
          <w:color w:val="000000" w:themeColor="text1"/>
        </w:rPr>
      </w:pPr>
      <w:r w:rsidRPr="00E4666D">
        <w:rPr>
          <w:color w:val="000000" w:themeColor="text1"/>
        </w:rPr>
        <w:lastRenderedPageBreak/>
        <w:t xml:space="preserve">There was also an attempt </w:t>
      </w:r>
      <w:r w:rsidR="009D2705" w:rsidRPr="00E4666D">
        <w:rPr>
          <w:color w:val="000000" w:themeColor="text1"/>
        </w:rPr>
        <w:t xml:space="preserve">by the Court of Appeal </w:t>
      </w:r>
      <w:r w:rsidRPr="00E4666D">
        <w:rPr>
          <w:color w:val="000000" w:themeColor="text1"/>
        </w:rPr>
        <w:t xml:space="preserve">in </w:t>
      </w:r>
      <w:r w:rsidR="001E3339" w:rsidRPr="00E4666D">
        <w:rPr>
          <w:color w:val="000000" w:themeColor="text1"/>
        </w:rPr>
        <w:t xml:space="preserve">a consolidated appeal in </w:t>
      </w:r>
      <w:r w:rsidRPr="00E4666D">
        <w:rPr>
          <w:i/>
          <w:color w:val="000000" w:themeColor="text1"/>
        </w:rPr>
        <w:t>R v Prentice</w:t>
      </w:r>
      <w:r w:rsidR="001E3339" w:rsidRPr="00E4666D">
        <w:rPr>
          <w:color w:val="000000" w:themeColor="text1"/>
        </w:rPr>
        <w:t>,</w:t>
      </w:r>
      <w:r w:rsidRPr="00E4666D">
        <w:rPr>
          <w:color w:val="000000" w:themeColor="text1"/>
        </w:rPr>
        <w:t xml:space="preserve"> </w:t>
      </w:r>
      <w:r w:rsidRPr="00E4666D">
        <w:rPr>
          <w:i/>
          <w:color w:val="000000" w:themeColor="text1"/>
        </w:rPr>
        <w:t>R v Adomako</w:t>
      </w:r>
      <w:r w:rsidRPr="00E4666D">
        <w:rPr>
          <w:color w:val="000000" w:themeColor="text1"/>
        </w:rPr>
        <w:t xml:space="preserve"> </w:t>
      </w:r>
      <w:r w:rsidR="001E3339" w:rsidRPr="00E4666D">
        <w:rPr>
          <w:color w:val="000000" w:themeColor="text1"/>
        </w:rPr>
        <w:t>and two other cases</w:t>
      </w:r>
      <w:r w:rsidRPr="00E4666D">
        <w:rPr>
          <w:color w:val="000000" w:themeColor="text1"/>
        </w:rPr>
        <w:t>,</w:t>
      </w:r>
      <w:r w:rsidRPr="00E4666D">
        <w:rPr>
          <w:rStyle w:val="FootnoteReference"/>
          <w:color w:val="000000" w:themeColor="text1"/>
        </w:rPr>
        <w:footnoteReference w:id="25"/>
      </w:r>
      <w:r w:rsidRPr="00E4666D">
        <w:rPr>
          <w:color w:val="000000" w:themeColor="text1"/>
        </w:rPr>
        <w:t xml:space="preserve"> to devise a somewhat elaborate scheme </w:t>
      </w:r>
      <w:r w:rsidR="009D2705" w:rsidRPr="00E4666D">
        <w:rPr>
          <w:color w:val="000000" w:themeColor="text1"/>
        </w:rPr>
        <w:t>setting out</w:t>
      </w:r>
      <w:r w:rsidRPr="00E4666D">
        <w:rPr>
          <w:color w:val="000000" w:themeColor="text1"/>
        </w:rPr>
        <w:t xml:space="preserve"> different states of mind in the defendant which would justify a finding of gross negligence.</w:t>
      </w:r>
      <w:r w:rsidRPr="00E4666D">
        <w:rPr>
          <w:rStyle w:val="FootnoteReference"/>
          <w:color w:val="000000" w:themeColor="text1"/>
        </w:rPr>
        <w:footnoteReference w:id="26"/>
      </w:r>
      <w:r w:rsidR="00755895" w:rsidRPr="00E4666D">
        <w:rPr>
          <w:color w:val="000000" w:themeColor="text1"/>
        </w:rPr>
        <w:t xml:space="preserve">  That</w:t>
      </w:r>
      <w:r w:rsidRPr="00E4666D">
        <w:rPr>
          <w:color w:val="000000" w:themeColor="text1"/>
        </w:rPr>
        <w:t xml:space="preserve"> scheme, however, </w:t>
      </w:r>
      <w:r w:rsidR="007C256A" w:rsidRPr="00E4666D">
        <w:rPr>
          <w:color w:val="000000" w:themeColor="text1"/>
        </w:rPr>
        <w:t xml:space="preserve">did not </w:t>
      </w:r>
      <w:r w:rsidRPr="00E4666D">
        <w:rPr>
          <w:color w:val="000000" w:themeColor="text1"/>
        </w:rPr>
        <w:t xml:space="preserve">find favour and was overtaken by the decision in </w:t>
      </w:r>
      <w:r w:rsidRPr="00E4666D">
        <w:rPr>
          <w:i/>
          <w:color w:val="000000" w:themeColor="text1"/>
        </w:rPr>
        <w:t>Adomako</w:t>
      </w:r>
      <w:r w:rsidR="005748FE" w:rsidRPr="00E4666D">
        <w:rPr>
          <w:rStyle w:val="FootnoteReference"/>
          <w:i/>
          <w:color w:val="000000" w:themeColor="text1"/>
        </w:rPr>
        <w:footnoteReference w:id="27"/>
      </w:r>
      <w:r w:rsidRPr="00E4666D">
        <w:rPr>
          <w:i/>
          <w:color w:val="000000" w:themeColor="text1"/>
        </w:rPr>
        <w:t xml:space="preserve"> </w:t>
      </w:r>
      <w:r w:rsidRPr="00E4666D">
        <w:rPr>
          <w:color w:val="000000" w:themeColor="text1"/>
        </w:rPr>
        <w:t>in the House of Lords</w:t>
      </w:r>
      <w:r w:rsidR="00755895" w:rsidRPr="00E4666D">
        <w:rPr>
          <w:color w:val="000000" w:themeColor="text1"/>
        </w:rPr>
        <w:t xml:space="preserve"> which </w:t>
      </w:r>
      <w:r w:rsidR="00654E8B" w:rsidRPr="00E4666D">
        <w:rPr>
          <w:color w:val="000000" w:themeColor="text1"/>
        </w:rPr>
        <w:t xml:space="preserve">sought </w:t>
      </w:r>
      <w:r w:rsidR="00755895" w:rsidRPr="00E4666D">
        <w:rPr>
          <w:color w:val="000000" w:themeColor="text1"/>
        </w:rPr>
        <w:t>to simplify the law</w:t>
      </w:r>
      <w:r w:rsidRPr="00E4666D">
        <w:rPr>
          <w:color w:val="000000" w:themeColor="text1"/>
        </w:rPr>
        <w:t>.</w:t>
      </w:r>
    </w:p>
    <w:p w:rsidR="001E3339" w:rsidRPr="00E4666D" w:rsidRDefault="001578E7" w:rsidP="00883069">
      <w:pPr>
        <w:pStyle w:val="Bob1"/>
        <w:tabs>
          <w:tab w:val="clear" w:pos="720"/>
          <w:tab w:val="left" w:pos="1440"/>
        </w:tabs>
        <w:spacing w:after="120"/>
        <w:ind w:left="0" w:firstLine="0"/>
        <w:jc w:val="both"/>
        <w:rPr>
          <w:color w:val="000000" w:themeColor="text1"/>
        </w:rPr>
      </w:pPr>
      <w:r w:rsidRPr="00E4666D">
        <w:rPr>
          <w:color w:val="000000" w:themeColor="text1"/>
        </w:rPr>
        <w:t xml:space="preserve">In </w:t>
      </w:r>
      <w:r w:rsidR="00162CC0" w:rsidRPr="00E4666D">
        <w:rPr>
          <w:i/>
          <w:color w:val="000000" w:themeColor="text1"/>
        </w:rPr>
        <w:t>Adomako</w:t>
      </w:r>
      <w:r w:rsidRPr="00E4666D">
        <w:rPr>
          <w:color w:val="000000" w:themeColor="text1"/>
        </w:rPr>
        <w:t>,</w:t>
      </w:r>
      <w:r w:rsidR="00162CC0" w:rsidRPr="00E4666D">
        <w:rPr>
          <w:color w:val="000000" w:themeColor="text1"/>
        </w:rPr>
        <w:t xml:space="preserve"> an anaesthetist was charged with GNM, the prosecution alleging that during an operation, despite warning signs, he had failed to notice that a tube had become disconnected, depriving the patient of oxygen and resulting in the patient’s death.</w:t>
      </w:r>
      <w:r w:rsidR="008D24D8" w:rsidRPr="00E4666D">
        <w:rPr>
          <w:color w:val="000000" w:themeColor="text1"/>
        </w:rPr>
        <w:t xml:space="preserve">  Lord Mackay of Clashfern LC</w:t>
      </w:r>
      <w:r w:rsidR="001E3339" w:rsidRPr="00E4666D">
        <w:rPr>
          <w:color w:val="000000" w:themeColor="text1"/>
        </w:rPr>
        <w:t xml:space="preserve"> (with whom the other Law Lords agreed)</w:t>
      </w:r>
      <w:r w:rsidR="00E4754A" w:rsidRPr="00E4666D">
        <w:rPr>
          <w:color w:val="000000" w:themeColor="text1"/>
        </w:rPr>
        <w:t xml:space="preserve"> </w:t>
      </w:r>
      <w:r w:rsidR="008D37AD" w:rsidRPr="00E4666D">
        <w:rPr>
          <w:color w:val="000000" w:themeColor="text1"/>
        </w:rPr>
        <w:t>endors</w:t>
      </w:r>
      <w:r w:rsidR="0001721C" w:rsidRPr="00E4666D">
        <w:rPr>
          <w:color w:val="000000" w:themeColor="text1"/>
        </w:rPr>
        <w:t>ed</w:t>
      </w:r>
      <w:r w:rsidR="00591CFC" w:rsidRPr="00E4666D">
        <w:rPr>
          <w:color w:val="000000" w:themeColor="text1"/>
        </w:rPr>
        <w:t xml:space="preserve"> the approach in</w:t>
      </w:r>
      <w:r w:rsidR="008D37AD" w:rsidRPr="00E4666D">
        <w:rPr>
          <w:color w:val="000000" w:themeColor="text1"/>
        </w:rPr>
        <w:t xml:space="preserve"> </w:t>
      </w:r>
      <w:r w:rsidR="00E4754A" w:rsidRPr="00E4666D">
        <w:rPr>
          <w:i/>
          <w:color w:val="000000" w:themeColor="text1"/>
        </w:rPr>
        <w:t>Bateman</w:t>
      </w:r>
      <w:r w:rsidR="00E4754A" w:rsidRPr="00E4666D">
        <w:rPr>
          <w:color w:val="000000" w:themeColor="text1"/>
        </w:rPr>
        <w:t xml:space="preserve"> and </w:t>
      </w:r>
      <w:r w:rsidR="00E4754A" w:rsidRPr="00E4666D">
        <w:rPr>
          <w:i/>
          <w:color w:val="000000" w:themeColor="text1"/>
        </w:rPr>
        <w:t>Andrews</w:t>
      </w:r>
      <w:r w:rsidR="00FB6A5A" w:rsidRPr="00E4666D">
        <w:rPr>
          <w:color w:val="000000" w:themeColor="text1"/>
        </w:rPr>
        <w:t>,</w:t>
      </w:r>
      <w:r w:rsidR="0001721C" w:rsidRPr="00E4666D">
        <w:rPr>
          <w:color w:val="000000" w:themeColor="text1"/>
        </w:rPr>
        <w:t xml:space="preserve"> and</w:t>
      </w:r>
      <w:r w:rsidR="008D37AD" w:rsidRPr="00E4666D">
        <w:rPr>
          <w:color w:val="000000" w:themeColor="text1"/>
        </w:rPr>
        <w:t xml:space="preserve"> formulated</w:t>
      </w:r>
      <w:r w:rsidR="001E3339" w:rsidRPr="00E4666D">
        <w:rPr>
          <w:color w:val="000000" w:themeColor="text1"/>
        </w:rPr>
        <w:t xml:space="preserve"> the </w:t>
      </w:r>
      <w:r w:rsidR="008D37AD" w:rsidRPr="00E4666D">
        <w:rPr>
          <w:color w:val="000000" w:themeColor="text1"/>
        </w:rPr>
        <w:t>ingredients of GNM as follows</w:t>
      </w:r>
      <w:r w:rsidR="001E3339" w:rsidRPr="00E4666D">
        <w:rPr>
          <w:color w:val="000000" w:themeColor="text1"/>
        </w:rPr>
        <w:t>:</w:t>
      </w:r>
    </w:p>
    <w:p w:rsidR="008D37AD" w:rsidRPr="00E4666D" w:rsidRDefault="001E3339" w:rsidP="00E07275">
      <w:pPr>
        <w:pStyle w:val="Bob1"/>
        <w:numPr>
          <w:ilvl w:val="0"/>
          <w:numId w:val="0"/>
        </w:numPr>
        <w:spacing w:line="240" w:lineRule="auto"/>
        <w:ind w:left="720"/>
        <w:jc w:val="both"/>
        <w:rPr>
          <w:color w:val="000000" w:themeColor="text1"/>
          <w:sz w:val="24"/>
          <w:szCs w:val="24"/>
        </w:rPr>
      </w:pPr>
      <w:r w:rsidRPr="00E4666D">
        <w:rPr>
          <w:color w:val="000000" w:themeColor="text1"/>
          <w:sz w:val="24"/>
        </w:rPr>
        <w:t>“</w:t>
      </w:r>
      <w:r w:rsidR="008D37AD" w:rsidRPr="00E4666D">
        <w:rPr>
          <w:color w:val="000000" w:themeColor="text1"/>
          <w:sz w:val="24"/>
        </w:rPr>
        <w:t xml:space="preserve">... </w:t>
      </w:r>
      <w:r w:rsidR="008D37AD" w:rsidRPr="00E4666D">
        <w:rPr>
          <w:color w:val="000000" w:themeColor="text1"/>
          <w:sz w:val="24"/>
          <w:szCs w:val="24"/>
        </w:rPr>
        <w:t>in my opinion the ordinary principles of the law of negligence apply to ascertain whether or not the defendant has been in breach of a duty of care towards the victim who has died.  If such breach of duty is established the next question is whether that breach of duty caused the death of the victim. If so, the jury must go on to consider whether that breach of duty should be characterised as gross negligence and therefore as a crime. This will depend on the seriousness of the breach of duty committed by the defendant in all the circumstances in which the defendant was placed when it occurred. The jury will have to consider whether the extent to which the defendant's conduct departed from the proper standard of care incumbent upon him, involving as it must have done a risk of death to the patient, was such that it should be judged criminal.</w:t>
      </w:r>
    </w:p>
    <w:p w:rsidR="008D37AD" w:rsidRPr="00E4666D" w:rsidRDefault="008D37AD" w:rsidP="00E07275">
      <w:pPr>
        <w:pStyle w:val="Bob1"/>
        <w:numPr>
          <w:ilvl w:val="0"/>
          <w:numId w:val="0"/>
        </w:numPr>
        <w:spacing w:line="240" w:lineRule="auto"/>
        <w:ind w:left="720"/>
        <w:jc w:val="both"/>
        <w:rPr>
          <w:color w:val="000000" w:themeColor="text1"/>
          <w:sz w:val="24"/>
          <w:szCs w:val="24"/>
        </w:rPr>
      </w:pPr>
      <w:r w:rsidRPr="00E4666D">
        <w:rPr>
          <w:color w:val="000000" w:themeColor="text1"/>
          <w:sz w:val="24"/>
          <w:szCs w:val="24"/>
        </w:rPr>
        <w:t xml:space="preserve">It is true that to a certain extent this involves an element of circularity, but in this branch of the law I do not believe that is fatal to its being correct as a test of how far conduct must depart from accepted standards to be characterised as criminal. This is necessarily a </w:t>
      </w:r>
      <w:r w:rsidRPr="00E4666D">
        <w:rPr>
          <w:color w:val="000000" w:themeColor="text1"/>
          <w:sz w:val="24"/>
          <w:szCs w:val="24"/>
        </w:rPr>
        <w:lastRenderedPageBreak/>
        <w:t>question of degree and an attempt to specify that degree more closely is I think likely to achieve only a spurious precision. The essence of the matter which is supremely a jury question is whether having regard to the risk of death involved, the conduct of the defendant was so bad in all the circumstances as to amount in their judgment to a criminal act or omission.”</w:t>
      </w:r>
      <w:r w:rsidRPr="00E4666D">
        <w:rPr>
          <w:rStyle w:val="FootnoteReference"/>
          <w:color w:val="000000" w:themeColor="text1"/>
          <w:sz w:val="24"/>
          <w:szCs w:val="24"/>
        </w:rPr>
        <w:footnoteReference w:id="28"/>
      </w:r>
    </w:p>
    <w:p w:rsidR="008D37AD" w:rsidRPr="00E4666D" w:rsidRDefault="00591CFC" w:rsidP="00883069">
      <w:pPr>
        <w:pStyle w:val="Bob1"/>
        <w:tabs>
          <w:tab w:val="clear" w:pos="720"/>
          <w:tab w:val="left" w:pos="1440"/>
        </w:tabs>
        <w:spacing w:after="120"/>
        <w:ind w:left="0" w:firstLine="0"/>
        <w:jc w:val="both"/>
        <w:rPr>
          <w:color w:val="000000" w:themeColor="text1"/>
        </w:rPr>
      </w:pPr>
      <w:r w:rsidRPr="00E4666D">
        <w:rPr>
          <w:color w:val="000000" w:themeColor="text1"/>
        </w:rPr>
        <w:t xml:space="preserve">Referring to Lord Atkin’s use of the word “reckless”, Lord Mackay </w:t>
      </w:r>
      <w:r w:rsidR="001578E7" w:rsidRPr="00E4666D">
        <w:rPr>
          <w:color w:val="000000" w:themeColor="text1"/>
        </w:rPr>
        <w:t>commented</w:t>
      </w:r>
      <w:r w:rsidRPr="00E4666D">
        <w:rPr>
          <w:color w:val="000000" w:themeColor="text1"/>
        </w:rPr>
        <w:t>:</w:t>
      </w:r>
    </w:p>
    <w:p w:rsidR="00591CFC" w:rsidRPr="00E4666D" w:rsidRDefault="00591CFC" w:rsidP="00E07275">
      <w:pPr>
        <w:pStyle w:val="Bob1"/>
        <w:numPr>
          <w:ilvl w:val="0"/>
          <w:numId w:val="0"/>
        </w:numPr>
        <w:spacing w:line="240" w:lineRule="auto"/>
        <w:ind w:left="720"/>
        <w:jc w:val="both"/>
        <w:rPr>
          <w:color w:val="000000" w:themeColor="text1"/>
          <w:sz w:val="24"/>
          <w:szCs w:val="24"/>
        </w:rPr>
      </w:pPr>
      <w:r w:rsidRPr="00E4666D">
        <w:rPr>
          <w:color w:val="000000" w:themeColor="text1"/>
          <w:sz w:val="24"/>
          <w:szCs w:val="24"/>
        </w:rPr>
        <w:t>“I consider it perfectly appropriate that the word ‘reckless’ should be used in cases of involuntary manslaughter, but as Lord Atkin put it ‘in the ordinary connotation of that word.’”</w:t>
      </w:r>
      <w:r w:rsidRPr="00E4666D">
        <w:rPr>
          <w:rStyle w:val="FootnoteReference"/>
          <w:color w:val="000000" w:themeColor="text1"/>
          <w:sz w:val="24"/>
          <w:szCs w:val="24"/>
        </w:rPr>
        <w:footnoteReference w:id="29"/>
      </w:r>
    </w:p>
    <w:p w:rsidR="002B1F93" w:rsidRPr="00E4666D" w:rsidRDefault="00E33D53" w:rsidP="00E07275">
      <w:pPr>
        <w:pStyle w:val="Bob1"/>
        <w:tabs>
          <w:tab w:val="clear" w:pos="720"/>
          <w:tab w:val="num" w:pos="1440"/>
        </w:tabs>
        <w:ind w:left="0" w:firstLine="0"/>
        <w:jc w:val="both"/>
        <w:rPr>
          <w:color w:val="000000" w:themeColor="text1"/>
        </w:rPr>
      </w:pPr>
      <w:r w:rsidRPr="00E4666D">
        <w:rPr>
          <w:color w:val="000000" w:themeColor="text1"/>
        </w:rPr>
        <w:t xml:space="preserve">The law so enunciated has since been regarded as authoritative in England and Wales.  </w:t>
      </w:r>
      <w:r w:rsidR="002B1F93" w:rsidRPr="00E4666D">
        <w:rPr>
          <w:color w:val="000000" w:themeColor="text1"/>
        </w:rPr>
        <w:t>As appears from the passages cited above,</w:t>
      </w:r>
      <w:r w:rsidR="003768C9" w:rsidRPr="00E4666D">
        <w:rPr>
          <w:rStyle w:val="FootnoteReference"/>
          <w:color w:val="000000" w:themeColor="text1"/>
        </w:rPr>
        <w:footnoteReference w:id="30"/>
      </w:r>
      <w:r w:rsidR="002B1F93" w:rsidRPr="00E4666D">
        <w:rPr>
          <w:color w:val="000000" w:themeColor="text1"/>
        </w:rPr>
        <w:t xml:space="preserve"> </w:t>
      </w:r>
      <w:r w:rsidR="001E58B7" w:rsidRPr="00E4666D">
        <w:rPr>
          <w:color w:val="000000" w:themeColor="text1"/>
        </w:rPr>
        <w:t xml:space="preserve">after reiterating </w:t>
      </w:r>
      <w:r w:rsidRPr="00E4666D">
        <w:rPr>
          <w:color w:val="000000" w:themeColor="text1"/>
        </w:rPr>
        <w:t xml:space="preserve">the essential elements </w:t>
      </w:r>
      <w:r w:rsidR="003041E2" w:rsidRPr="00E4666D">
        <w:rPr>
          <w:color w:val="000000" w:themeColor="text1"/>
        </w:rPr>
        <w:t xml:space="preserve">of GNM </w:t>
      </w:r>
      <w:r w:rsidR="00755895" w:rsidRPr="00E4666D">
        <w:rPr>
          <w:color w:val="000000" w:themeColor="text1"/>
        </w:rPr>
        <w:t>compris</w:t>
      </w:r>
      <w:r w:rsidR="001E58B7" w:rsidRPr="00E4666D">
        <w:rPr>
          <w:color w:val="000000" w:themeColor="text1"/>
        </w:rPr>
        <w:t>ing duty,</w:t>
      </w:r>
      <w:r w:rsidR="00755895" w:rsidRPr="00E4666D">
        <w:rPr>
          <w:color w:val="000000" w:themeColor="text1"/>
        </w:rPr>
        <w:t xml:space="preserve"> </w:t>
      </w:r>
      <w:r w:rsidR="003041E2" w:rsidRPr="00E4666D">
        <w:rPr>
          <w:color w:val="000000" w:themeColor="text1"/>
        </w:rPr>
        <w:t xml:space="preserve">breach </w:t>
      </w:r>
      <w:r w:rsidR="001E58B7" w:rsidRPr="00E4666D">
        <w:rPr>
          <w:color w:val="000000" w:themeColor="text1"/>
        </w:rPr>
        <w:t>and causation of death,</w:t>
      </w:r>
      <w:r w:rsidR="003041E2" w:rsidRPr="00E4666D">
        <w:rPr>
          <w:color w:val="000000" w:themeColor="text1"/>
        </w:rPr>
        <w:t xml:space="preserve"> </w:t>
      </w:r>
      <w:r w:rsidR="00BC0E83" w:rsidRPr="00E4666D">
        <w:rPr>
          <w:color w:val="000000" w:themeColor="text1"/>
        </w:rPr>
        <w:t xml:space="preserve">Lord Mackay </w:t>
      </w:r>
      <w:r w:rsidR="002B1F93" w:rsidRPr="00E4666D">
        <w:rPr>
          <w:color w:val="000000" w:themeColor="text1"/>
        </w:rPr>
        <w:t xml:space="preserve">explains that the requirement </w:t>
      </w:r>
      <w:r w:rsidR="001E58B7" w:rsidRPr="00E4666D">
        <w:rPr>
          <w:color w:val="000000" w:themeColor="text1"/>
        </w:rPr>
        <w:t>that the negligence be “gross” constitutes</w:t>
      </w:r>
      <w:r w:rsidR="002B1F93" w:rsidRPr="00E4666D">
        <w:rPr>
          <w:color w:val="000000" w:themeColor="text1"/>
        </w:rPr>
        <w:t xml:space="preserve"> </w:t>
      </w:r>
      <w:r w:rsidR="00BC0E83" w:rsidRPr="00E4666D">
        <w:rPr>
          <w:color w:val="000000" w:themeColor="text1"/>
        </w:rPr>
        <w:t>the “</w:t>
      </w:r>
      <w:r w:rsidR="00BC0E83" w:rsidRPr="00E4666D">
        <w:rPr>
          <w:color w:val="000000" w:themeColor="text1"/>
          <w:szCs w:val="24"/>
        </w:rPr>
        <w:t>test of how far conduct must depart from accepted standards to be characterised as criminal”</w:t>
      </w:r>
      <w:r w:rsidR="002B1F93" w:rsidRPr="00E4666D">
        <w:rPr>
          <w:color w:val="000000" w:themeColor="text1"/>
          <w:szCs w:val="24"/>
        </w:rPr>
        <w:t xml:space="preserve">, </w:t>
      </w:r>
      <w:r w:rsidR="001578E7" w:rsidRPr="00E4666D">
        <w:rPr>
          <w:color w:val="000000" w:themeColor="text1"/>
          <w:szCs w:val="24"/>
        </w:rPr>
        <w:t xml:space="preserve">that being </w:t>
      </w:r>
      <w:r w:rsidR="00BC0E83" w:rsidRPr="00E4666D">
        <w:rPr>
          <w:color w:val="000000" w:themeColor="text1"/>
        </w:rPr>
        <w:t>“</w:t>
      </w:r>
      <w:r w:rsidR="002B1F93" w:rsidRPr="00E4666D">
        <w:rPr>
          <w:color w:val="000000" w:themeColor="text1"/>
        </w:rPr>
        <w:t>necessarily a question of degree”</w:t>
      </w:r>
      <w:r w:rsidR="001578E7" w:rsidRPr="00E4666D">
        <w:rPr>
          <w:color w:val="000000" w:themeColor="text1"/>
        </w:rPr>
        <w:t xml:space="preserve">.  He </w:t>
      </w:r>
      <w:r w:rsidR="00637BA5" w:rsidRPr="00E4666D">
        <w:rPr>
          <w:color w:val="000000" w:themeColor="text1"/>
        </w:rPr>
        <w:t>observed</w:t>
      </w:r>
      <w:r w:rsidR="001578E7" w:rsidRPr="00E4666D">
        <w:rPr>
          <w:color w:val="000000" w:themeColor="text1"/>
        </w:rPr>
        <w:t xml:space="preserve"> that</w:t>
      </w:r>
      <w:r w:rsidR="002B1F93" w:rsidRPr="00E4666D">
        <w:rPr>
          <w:color w:val="000000" w:themeColor="text1"/>
        </w:rPr>
        <w:t xml:space="preserve"> “whether that breach of duty should be characterised as gross negligence and therefore as a crime ... will depend on the seriousness of the breach of duty committed by the defendant in all the circumstances in which the defendant was placed when it occurred.”</w:t>
      </w:r>
    </w:p>
    <w:p w:rsidR="00FB6A5A" w:rsidRPr="00E4666D" w:rsidRDefault="002B1F93" w:rsidP="00E07275">
      <w:pPr>
        <w:pStyle w:val="Bob1"/>
        <w:tabs>
          <w:tab w:val="clear" w:pos="720"/>
          <w:tab w:val="num" w:pos="1440"/>
        </w:tabs>
        <w:ind w:left="0" w:firstLine="0"/>
        <w:jc w:val="both"/>
        <w:rPr>
          <w:color w:val="000000" w:themeColor="text1"/>
        </w:rPr>
      </w:pPr>
      <w:r w:rsidRPr="00E4666D">
        <w:rPr>
          <w:color w:val="000000" w:themeColor="text1"/>
        </w:rPr>
        <w:t xml:space="preserve">His Lordship makes it clear that </w:t>
      </w:r>
      <w:r w:rsidR="001578E7" w:rsidRPr="00E4666D">
        <w:rPr>
          <w:color w:val="000000" w:themeColor="text1"/>
        </w:rPr>
        <w:t>this</w:t>
      </w:r>
      <w:r w:rsidRPr="00E4666D">
        <w:rPr>
          <w:color w:val="000000" w:themeColor="text1"/>
        </w:rPr>
        <w:t xml:space="preserve"> is a question for the jury who, looking at all the circumstances, “have to consider whether the extent to which the defendant's conduct departed from the proper standard of care incumbent upon him, involving as it must have done a risk of death to the patient, was such that it should be judged criminal”.  He </w:t>
      </w:r>
      <w:r w:rsidR="001578E7" w:rsidRPr="00E4666D">
        <w:rPr>
          <w:color w:val="000000" w:themeColor="text1"/>
        </w:rPr>
        <w:t xml:space="preserve">disowned </w:t>
      </w:r>
      <w:r w:rsidRPr="00E4666D">
        <w:rPr>
          <w:color w:val="000000" w:themeColor="text1"/>
        </w:rPr>
        <w:t xml:space="preserve">any attempt to specify the required degree more closely as an attempt </w:t>
      </w:r>
      <w:r w:rsidR="00ED10A9" w:rsidRPr="00E4666D">
        <w:rPr>
          <w:color w:val="000000" w:themeColor="text1"/>
        </w:rPr>
        <w:t>c</w:t>
      </w:r>
      <w:r w:rsidRPr="00E4666D">
        <w:rPr>
          <w:color w:val="000000" w:themeColor="text1"/>
        </w:rPr>
        <w:t xml:space="preserve">ould </w:t>
      </w:r>
      <w:r w:rsidR="00ED10A9" w:rsidRPr="00E4666D">
        <w:rPr>
          <w:color w:val="000000" w:themeColor="text1"/>
        </w:rPr>
        <w:t xml:space="preserve">only </w:t>
      </w:r>
      <w:r w:rsidRPr="00E4666D">
        <w:rPr>
          <w:color w:val="000000" w:themeColor="text1"/>
        </w:rPr>
        <w:t>achieve a spurious precision</w:t>
      </w:r>
      <w:r w:rsidR="001578E7" w:rsidRPr="00E4666D">
        <w:rPr>
          <w:color w:val="000000" w:themeColor="text1"/>
        </w:rPr>
        <w:t>, it being “</w:t>
      </w:r>
      <w:r w:rsidR="001E58B7" w:rsidRPr="00E4666D">
        <w:rPr>
          <w:color w:val="000000" w:themeColor="text1"/>
        </w:rPr>
        <w:t xml:space="preserve">supremely a </w:t>
      </w:r>
      <w:r w:rsidR="001E58B7" w:rsidRPr="00E4666D">
        <w:rPr>
          <w:color w:val="000000" w:themeColor="text1"/>
        </w:rPr>
        <w:lastRenderedPageBreak/>
        <w:t>jury question</w:t>
      </w:r>
      <w:r w:rsidR="001578E7" w:rsidRPr="00E4666D">
        <w:rPr>
          <w:color w:val="000000" w:themeColor="text1"/>
        </w:rPr>
        <w:t>”</w:t>
      </w:r>
      <w:r w:rsidR="001E58B7" w:rsidRPr="00E4666D">
        <w:rPr>
          <w:color w:val="000000" w:themeColor="text1"/>
        </w:rPr>
        <w:t xml:space="preserve"> </w:t>
      </w:r>
      <w:r w:rsidR="001578E7" w:rsidRPr="00E4666D">
        <w:rPr>
          <w:color w:val="000000" w:themeColor="text1"/>
        </w:rPr>
        <w:t>as to “</w:t>
      </w:r>
      <w:r w:rsidR="001E58B7" w:rsidRPr="00E4666D">
        <w:rPr>
          <w:color w:val="000000" w:themeColor="text1"/>
        </w:rPr>
        <w:t xml:space="preserve">whether having regard to the risk of death involved, the conduct of the defendant was so bad in all the circumstances as to amount in their judgment to a criminal act or omission”.  </w:t>
      </w:r>
    </w:p>
    <w:p w:rsidR="001E58B7" w:rsidRPr="00E4666D" w:rsidRDefault="005E0660" w:rsidP="00E07275">
      <w:pPr>
        <w:pStyle w:val="Bob1"/>
        <w:tabs>
          <w:tab w:val="clear" w:pos="720"/>
          <w:tab w:val="num" w:pos="1440"/>
        </w:tabs>
        <w:ind w:left="0" w:firstLine="0"/>
        <w:jc w:val="both"/>
        <w:rPr>
          <w:color w:val="000000" w:themeColor="text1"/>
        </w:rPr>
      </w:pPr>
      <w:r w:rsidRPr="00E4666D">
        <w:rPr>
          <w:i/>
          <w:color w:val="000000" w:themeColor="text1"/>
        </w:rPr>
        <w:t xml:space="preserve">Adomako </w:t>
      </w:r>
      <w:r w:rsidR="001578E7" w:rsidRPr="00E4666D">
        <w:rPr>
          <w:color w:val="000000" w:themeColor="text1"/>
        </w:rPr>
        <w:t xml:space="preserve">therefore </w:t>
      </w:r>
      <w:r w:rsidR="00264BC4" w:rsidRPr="00E4666D">
        <w:rPr>
          <w:color w:val="000000" w:themeColor="text1"/>
        </w:rPr>
        <w:t>applies</w:t>
      </w:r>
      <w:r w:rsidRPr="00E4666D">
        <w:rPr>
          <w:color w:val="000000" w:themeColor="text1"/>
        </w:rPr>
        <w:t xml:space="preserve"> an objective test </w:t>
      </w:r>
      <w:r w:rsidR="001578E7" w:rsidRPr="00E4666D">
        <w:rPr>
          <w:color w:val="000000" w:themeColor="text1"/>
        </w:rPr>
        <w:t xml:space="preserve">for gross </w:t>
      </w:r>
      <w:r w:rsidRPr="00E4666D">
        <w:rPr>
          <w:color w:val="000000" w:themeColor="text1"/>
        </w:rPr>
        <w:t xml:space="preserve">negligence by reference to a standard of care, </w:t>
      </w:r>
      <w:r w:rsidR="001578E7" w:rsidRPr="00E4666D">
        <w:rPr>
          <w:color w:val="000000" w:themeColor="text1"/>
        </w:rPr>
        <w:t xml:space="preserve">the jury being charged with </w:t>
      </w:r>
      <w:r w:rsidRPr="00E4666D">
        <w:rPr>
          <w:color w:val="000000" w:themeColor="text1"/>
        </w:rPr>
        <w:t xml:space="preserve">assessing the extent </w:t>
      </w:r>
      <w:r w:rsidR="001578E7" w:rsidRPr="00E4666D">
        <w:rPr>
          <w:color w:val="000000" w:themeColor="text1"/>
        </w:rPr>
        <w:t>by</w:t>
      </w:r>
      <w:r w:rsidRPr="00E4666D">
        <w:rPr>
          <w:color w:val="000000" w:themeColor="text1"/>
        </w:rPr>
        <w:t xml:space="preserve"> which the conduct of the accused fell short.  </w:t>
      </w:r>
      <w:r w:rsidR="008A3FCF" w:rsidRPr="00E4666D">
        <w:rPr>
          <w:color w:val="000000" w:themeColor="text1"/>
        </w:rPr>
        <w:t>It was against this background</w:t>
      </w:r>
      <w:r w:rsidR="003768C9" w:rsidRPr="00E4666D">
        <w:rPr>
          <w:color w:val="000000" w:themeColor="text1"/>
        </w:rPr>
        <w:t xml:space="preserve"> that use by Lord Atkin of the term “reckless” in </w:t>
      </w:r>
      <w:r w:rsidR="003768C9" w:rsidRPr="00E4666D">
        <w:rPr>
          <w:i/>
          <w:color w:val="000000" w:themeColor="text1"/>
        </w:rPr>
        <w:t>Andrews</w:t>
      </w:r>
      <w:r w:rsidR="003768C9" w:rsidRPr="00E4666D">
        <w:rPr>
          <w:color w:val="000000" w:themeColor="text1"/>
        </w:rPr>
        <w:t xml:space="preserve"> – “in the ordinary connotation of that word” – should be understood.</w:t>
      </w:r>
    </w:p>
    <w:p w:rsidR="0026211D" w:rsidRPr="00E4666D" w:rsidRDefault="0026211D" w:rsidP="00883069">
      <w:pPr>
        <w:pStyle w:val="Bob1"/>
        <w:tabs>
          <w:tab w:val="clear" w:pos="720"/>
          <w:tab w:val="num" w:pos="1440"/>
        </w:tabs>
        <w:spacing w:after="120"/>
        <w:ind w:left="0" w:firstLine="0"/>
        <w:jc w:val="both"/>
        <w:rPr>
          <w:color w:val="000000" w:themeColor="text1"/>
        </w:rPr>
      </w:pPr>
      <w:r w:rsidRPr="00E4666D">
        <w:rPr>
          <w:color w:val="000000" w:themeColor="text1"/>
        </w:rPr>
        <w:t xml:space="preserve">Use of “recklessness” in this context was explained by Rose LJ in </w:t>
      </w:r>
      <w:r w:rsidRPr="00E4666D">
        <w:rPr>
          <w:i/>
          <w:color w:val="000000" w:themeColor="text1"/>
        </w:rPr>
        <w:t>AG</w:t>
      </w:r>
      <w:r w:rsidR="003A6DCC" w:rsidRPr="00E4666D">
        <w:rPr>
          <w:i/>
          <w:color w:val="000000" w:themeColor="text1"/>
        </w:rPr>
        <w:t>’s</w:t>
      </w:r>
      <w:r w:rsidRPr="00E4666D">
        <w:rPr>
          <w:i/>
          <w:color w:val="000000" w:themeColor="text1"/>
        </w:rPr>
        <w:t xml:space="preserve"> Reference </w:t>
      </w:r>
      <w:r w:rsidR="003A6DCC" w:rsidRPr="00E4666D">
        <w:rPr>
          <w:i/>
          <w:color w:val="000000" w:themeColor="text1"/>
        </w:rPr>
        <w:t>(</w:t>
      </w:r>
      <w:r w:rsidRPr="00E4666D">
        <w:rPr>
          <w:i/>
          <w:color w:val="000000" w:themeColor="text1"/>
        </w:rPr>
        <w:t>No 2 of 1999</w:t>
      </w:r>
      <w:r w:rsidR="003A6DCC" w:rsidRPr="00E4666D">
        <w:rPr>
          <w:i/>
          <w:color w:val="000000" w:themeColor="text1"/>
        </w:rPr>
        <w:t>)</w:t>
      </w:r>
      <w:r w:rsidRPr="00E4666D">
        <w:rPr>
          <w:color w:val="000000" w:themeColor="text1"/>
        </w:rPr>
        <w:t>,</w:t>
      </w:r>
      <w:r w:rsidRPr="00E4666D">
        <w:rPr>
          <w:rStyle w:val="FootnoteReference"/>
          <w:color w:val="000000" w:themeColor="text1"/>
        </w:rPr>
        <w:footnoteReference w:id="31"/>
      </w:r>
      <w:r w:rsidRPr="00E4666D">
        <w:rPr>
          <w:color w:val="000000" w:themeColor="text1"/>
        </w:rPr>
        <w:t xml:space="preserve"> as follows:</w:t>
      </w:r>
    </w:p>
    <w:p w:rsidR="0026211D" w:rsidRPr="00E4666D" w:rsidRDefault="0026211D" w:rsidP="00E07275">
      <w:pPr>
        <w:pStyle w:val="Bob1"/>
        <w:numPr>
          <w:ilvl w:val="0"/>
          <w:numId w:val="0"/>
        </w:numPr>
        <w:spacing w:line="240" w:lineRule="auto"/>
        <w:ind w:left="720"/>
        <w:jc w:val="both"/>
        <w:rPr>
          <w:color w:val="000000" w:themeColor="text1"/>
          <w:sz w:val="24"/>
        </w:rPr>
      </w:pPr>
      <w:r w:rsidRPr="00E4666D">
        <w:rPr>
          <w:color w:val="000000" w:themeColor="text1"/>
          <w:sz w:val="24"/>
        </w:rPr>
        <w:t>“</w:t>
      </w:r>
      <w:r w:rsidR="00C32337" w:rsidRPr="00E4666D">
        <w:rPr>
          <w:color w:val="000000" w:themeColor="text1"/>
          <w:sz w:val="24"/>
          <w:szCs w:val="24"/>
        </w:rPr>
        <w:t xml:space="preserve">Although there may be cases where the defendant's state of mind is relevant to the jury's consideration when assessing the grossness and criminality of his conduct, evidence of his state of mind is not a prerequisite to a conviction for manslaughter by gross negligence. The </w:t>
      </w:r>
      <w:r w:rsidR="00C32337" w:rsidRPr="00E4666D">
        <w:rPr>
          <w:i/>
          <w:color w:val="000000" w:themeColor="text1"/>
          <w:sz w:val="24"/>
          <w:szCs w:val="24"/>
        </w:rPr>
        <w:t>Adomako</w:t>
      </w:r>
      <w:r w:rsidR="00C32337" w:rsidRPr="00E4666D">
        <w:rPr>
          <w:color w:val="000000" w:themeColor="text1"/>
          <w:sz w:val="24"/>
          <w:szCs w:val="24"/>
        </w:rPr>
        <w:t xml:space="preserve"> test is objective, but a defendant who is reckless as defined in </w:t>
      </w:r>
      <w:r w:rsidR="00C32337" w:rsidRPr="00E4666D">
        <w:rPr>
          <w:i/>
          <w:color w:val="000000" w:themeColor="text1"/>
          <w:sz w:val="24"/>
          <w:szCs w:val="24"/>
        </w:rPr>
        <w:t>Reg v Stone</w:t>
      </w:r>
      <w:r w:rsidR="00C32337" w:rsidRPr="00E4666D">
        <w:rPr>
          <w:color w:val="000000" w:themeColor="text1"/>
          <w:sz w:val="24"/>
          <w:szCs w:val="24"/>
        </w:rPr>
        <w:t xml:space="preserve"> [1977] QB 354 may well be the more readily found to be grossly negligent to a criminal degree.”</w:t>
      </w:r>
    </w:p>
    <w:p w:rsidR="00C32337" w:rsidRPr="00E4666D" w:rsidRDefault="00C32337" w:rsidP="00883069">
      <w:pPr>
        <w:pStyle w:val="Bob1"/>
        <w:tabs>
          <w:tab w:val="clear" w:pos="720"/>
          <w:tab w:val="left" w:pos="1440"/>
        </w:tabs>
        <w:spacing w:after="120"/>
        <w:ind w:left="0" w:firstLine="0"/>
        <w:jc w:val="both"/>
        <w:rPr>
          <w:color w:val="000000" w:themeColor="text1"/>
        </w:rPr>
      </w:pPr>
      <w:r w:rsidRPr="00E4666D">
        <w:rPr>
          <w:color w:val="000000" w:themeColor="text1"/>
        </w:rPr>
        <w:t xml:space="preserve">This was endorsed in the Divisional Court by Buxton LJ in </w:t>
      </w:r>
      <w:r w:rsidRPr="00E4666D">
        <w:rPr>
          <w:rFonts w:eastAsia="PMingLiU"/>
          <w:i/>
          <w:color w:val="000000" w:themeColor="text1"/>
          <w:lang w:eastAsia="zh-TW"/>
        </w:rPr>
        <w:t>R v DPP Ex p Jones</w:t>
      </w:r>
      <w:r w:rsidRPr="00E4666D">
        <w:rPr>
          <w:rFonts w:eastAsia="PMingLiU"/>
          <w:color w:val="000000" w:themeColor="text1"/>
          <w:lang w:eastAsia="zh-TW"/>
        </w:rPr>
        <w:t>,</w:t>
      </w:r>
      <w:r w:rsidRPr="00E4666D">
        <w:rPr>
          <w:rStyle w:val="FootnoteReference"/>
          <w:rFonts w:eastAsia="PMingLiU"/>
          <w:color w:val="000000" w:themeColor="text1"/>
          <w:lang w:eastAsia="zh-TW"/>
        </w:rPr>
        <w:footnoteReference w:id="32"/>
      </w:r>
      <w:r w:rsidRPr="00E4666D">
        <w:rPr>
          <w:rFonts w:eastAsia="PMingLiU"/>
          <w:color w:val="000000" w:themeColor="text1"/>
          <w:lang w:eastAsia="zh-TW"/>
        </w:rPr>
        <w:t xml:space="preserve"> </w:t>
      </w:r>
      <w:r w:rsidR="007277D4" w:rsidRPr="00E4666D">
        <w:rPr>
          <w:rFonts w:eastAsia="PMingLiU"/>
          <w:color w:val="000000" w:themeColor="text1"/>
          <w:lang w:eastAsia="zh-TW"/>
        </w:rPr>
        <w:t>in the following terms:</w:t>
      </w:r>
    </w:p>
    <w:p w:rsidR="007277D4" w:rsidRPr="00E4666D" w:rsidRDefault="007277D4" w:rsidP="00E07275">
      <w:pPr>
        <w:pStyle w:val="Bob1"/>
        <w:numPr>
          <w:ilvl w:val="0"/>
          <w:numId w:val="0"/>
        </w:numPr>
        <w:spacing w:line="240" w:lineRule="auto"/>
        <w:ind w:left="720"/>
        <w:jc w:val="both"/>
        <w:rPr>
          <w:rFonts w:eastAsia="PMingLiU"/>
          <w:color w:val="000000" w:themeColor="text1"/>
          <w:sz w:val="24"/>
          <w:lang w:eastAsia="zh-TW"/>
        </w:rPr>
      </w:pPr>
      <w:r w:rsidRPr="00E4666D">
        <w:rPr>
          <w:rFonts w:eastAsia="PMingLiU"/>
          <w:color w:val="000000" w:themeColor="text1"/>
          <w:sz w:val="24"/>
          <w:lang w:eastAsia="zh-TW"/>
        </w:rPr>
        <w:t xml:space="preserve">“The law is, therefore, quite clear. If the accused is subjectively reckless, then that may be taken into account by the jury as a strong factor demonstrating that his negligence was criminal, but negligence will still be criminal in the absence of any recklessness if on an objective basis the defendant demonstrated what, for instance, Lord Mackay quoted the Court of Appeal in </w:t>
      </w:r>
      <w:r w:rsidRPr="00E4666D">
        <w:rPr>
          <w:rFonts w:eastAsia="PMingLiU"/>
          <w:i/>
          <w:color w:val="000000" w:themeColor="text1"/>
          <w:sz w:val="24"/>
          <w:lang w:eastAsia="zh-TW"/>
        </w:rPr>
        <w:t>Adomako</w:t>
      </w:r>
      <w:r w:rsidRPr="00E4666D">
        <w:rPr>
          <w:rFonts w:eastAsia="PMingLiU"/>
          <w:color w:val="000000" w:themeColor="text1"/>
          <w:sz w:val="24"/>
          <w:lang w:eastAsia="zh-TW"/>
        </w:rPr>
        <w:t xml:space="preserve"> as describing (page 183C) as: ‘… failure to advert to a serious risk going beyond mere inadvertence in respect of an obvious and important matter which the defendant's duty demanded he should address …’”</w:t>
      </w:r>
    </w:p>
    <w:p w:rsidR="007056B2" w:rsidRPr="00E4666D" w:rsidRDefault="007277D4" w:rsidP="00883069">
      <w:pPr>
        <w:pStyle w:val="Bob1"/>
        <w:tabs>
          <w:tab w:val="clear" w:pos="720"/>
          <w:tab w:val="num" w:pos="1440"/>
        </w:tabs>
        <w:spacing w:after="120"/>
        <w:ind w:left="0" w:firstLine="0"/>
        <w:jc w:val="both"/>
        <w:rPr>
          <w:color w:val="000000" w:themeColor="text1"/>
        </w:rPr>
      </w:pPr>
      <w:r w:rsidRPr="00E4666D">
        <w:rPr>
          <w:color w:val="000000" w:themeColor="text1"/>
        </w:rPr>
        <w:lastRenderedPageBreak/>
        <w:t xml:space="preserve">In </w:t>
      </w:r>
      <w:r w:rsidR="003A6DCC" w:rsidRPr="00E4666D">
        <w:rPr>
          <w:i/>
          <w:color w:val="000000" w:themeColor="text1"/>
        </w:rPr>
        <w:t xml:space="preserve">R v </w:t>
      </w:r>
      <w:r w:rsidR="00264BC4" w:rsidRPr="00E4666D">
        <w:rPr>
          <w:i/>
          <w:color w:val="000000" w:themeColor="text1"/>
        </w:rPr>
        <w:t>Misra and Srivastava</w:t>
      </w:r>
      <w:r w:rsidR="00264BC4" w:rsidRPr="00E4666D">
        <w:rPr>
          <w:color w:val="000000" w:themeColor="text1"/>
        </w:rPr>
        <w:t>,</w:t>
      </w:r>
      <w:r w:rsidR="00264BC4" w:rsidRPr="00E4666D">
        <w:rPr>
          <w:rStyle w:val="FootnoteReference"/>
          <w:color w:val="000000" w:themeColor="text1"/>
        </w:rPr>
        <w:footnoteReference w:id="33"/>
      </w:r>
      <w:r w:rsidR="00264BC4" w:rsidRPr="00E4666D">
        <w:rPr>
          <w:color w:val="000000" w:themeColor="text1"/>
        </w:rPr>
        <w:t xml:space="preserve"> </w:t>
      </w:r>
      <w:r w:rsidR="00ED10A9" w:rsidRPr="00E4666D">
        <w:rPr>
          <w:color w:val="000000" w:themeColor="text1"/>
        </w:rPr>
        <w:t xml:space="preserve">Judge LJ, writing for the Court </w:t>
      </w:r>
      <w:r w:rsidR="00264BC4" w:rsidRPr="00E4666D">
        <w:rPr>
          <w:color w:val="000000" w:themeColor="text1"/>
        </w:rPr>
        <w:t>of Appeal</w:t>
      </w:r>
      <w:r w:rsidR="00ED10A9" w:rsidRPr="00E4666D">
        <w:rPr>
          <w:color w:val="000000" w:themeColor="text1"/>
        </w:rPr>
        <w:t xml:space="preserve">, </w:t>
      </w:r>
      <w:r w:rsidRPr="00E4666D">
        <w:rPr>
          <w:color w:val="000000" w:themeColor="text1"/>
        </w:rPr>
        <w:t>appl</w:t>
      </w:r>
      <w:r w:rsidR="00ED10A9" w:rsidRPr="00E4666D">
        <w:rPr>
          <w:color w:val="000000" w:themeColor="text1"/>
        </w:rPr>
        <w:t>ied</w:t>
      </w:r>
      <w:r w:rsidRPr="00E4666D">
        <w:rPr>
          <w:color w:val="000000" w:themeColor="text1"/>
        </w:rPr>
        <w:t xml:space="preserve"> </w:t>
      </w:r>
      <w:r w:rsidRPr="00E4666D">
        <w:rPr>
          <w:i/>
          <w:color w:val="000000" w:themeColor="text1"/>
        </w:rPr>
        <w:t xml:space="preserve">Adomako </w:t>
      </w:r>
      <w:r w:rsidRPr="00E4666D">
        <w:rPr>
          <w:color w:val="000000" w:themeColor="text1"/>
        </w:rPr>
        <w:t>as explained</w:t>
      </w:r>
      <w:r w:rsidR="00ED10A9" w:rsidRPr="00E4666D">
        <w:rPr>
          <w:color w:val="000000" w:themeColor="text1"/>
        </w:rPr>
        <w:t xml:space="preserve"> above and </w:t>
      </w:r>
      <w:r w:rsidR="00A83457" w:rsidRPr="00E4666D">
        <w:rPr>
          <w:color w:val="000000" w:themeColor="text1"/>
        </w:rPr>
        <w:t>confirmed that the</w:t>
      </w:r>
      <w:r w:rsidRPr="00E4666D">
        <w:rPr>
          <w:color w:val="000000" w:themeColor="text1"/>
        </w:rPr>
        <w:t xml:space="preserve"> </w:t>
      </w:r>
      <w:r w:rsidR="00ED10A9" w:rsidRPr="00E4666D">
        <w:rPr>
          <w:color w:val="000000" w:themeColor="text1"/>
        </w:rPr>
        <w:t xml:space="preserve">relevant </w:t>
      </w:r>
      <w:r w:rsidRPr="00E4666D">
        <w:rPr>
          <w:color w:val="000000" w:themeColor="text1"/>
        </w:rPr>
        <w:t xml:space="preserve">risk </w:t>
      </w:r>
      <w:r w:rsidR="00ED10A9" w:rsidRPr="00E4666D">
        <w:rPr>
          <w:color w:val="000000" w:themeColor="text1"/>
        </w:rPr>
        <w:t xml:space="preserve">was the risk </w:t>
      </w:r>
      <w:r w:rsidRPr="00E4666D">
        <w:rPr>
          <w:color w:val="000000" w:themeColor="text1"/>
        </w:rPr>
        <w:t xml:space="preserve">of </w:t>
      </w:r>
      <w:r w:rsidR="00ED10A9" w:rsidRPr="00E4666D">
        <w:rPr>
          <w:color w:val="000000" w:themeColor="text1"/>
        </w:rPr>
        <w:t xml:space="preserve">causing </w:t>
      </w:r>
      <w:r w:rsidRPr="00E4666D">
        <w:rPr>
          <w:color w:val="000000" w:themeColor="text1"/>
        </w:rPr>
        <w:t>death</w:t>
      </w:r>
      <w:r w:rsidR="00264BC4" w:rsidRPr="00E4666D">
        <w:rPr>
          <w:color w:val="000000" w:themeColor="text1"/>
        </w:rPr>
        <w:t>:</w:t>
      </w:r>
    </w:p>
    <w:p w:rsidR="00264BC4" w:rsidRPr="00E4666D" w:rsidRDefault="00264BC4" w:rsidP="00E07275">
      <w:pPr>
        <w:pStyle w:val="Bob1"/>
        <w:numPr>
          <w:ilvl w:val="0"/>
          <w:numId w:val="0"/>
        </w:numPr>
        <w:tabs>
          <w:tab w:val="left" w:pos="810"/>
        </w:tabs>
        <w:spacing w:line="240" w:lineRule="auto"/>
        <w:ind w:left="720"/>
        <w:jc w:val="both"/>
        <w:rPr>
          <w:color w:val="000000" w:themeColor="text1"/>
          <w:sz w:val="24"/>
          <w:szCs w:val="24"/>
        </w:rPr>
      </w:pPr>
      <w:r w:rsidRPr="00E4666D">
        <w:rPr>
          <w:color w:val="000000" w:themeColor="text1"/>
          <w:sz w:val="24"/>
        </w:rPr>
        <w:t xml:space="preserve">“... </w:t>
      </w:r>
      <w:r w:rsidRPr="00E4666D">
        <w:rPr>
          <w:color w:val="000000" w:themeColor="text1"/>
          <w:sz w:val="24"/>
          <w:szCs w:val="24"/>
        </w:rPr>
        <w:t xml:space="preserve">where the issue of risk is engaged, </w:t>
      </w:r>
      <w:r w:rsidRPr="00E4666D">
        <w:rPr>
          <w:i/>
          <w:color w:val="000000" w:themeColor="text1"/>
          <w:sz w:val="24"/>
          <w:szCs w:val="24"/>
        </w:rPr>
        <w:t>Adomako</w:t>
      </w:r>
      <w:r w:rsidRPr="00E4666D">
        <w:rPr>
          <w:color w:val="000000" w:themeColor="text1"/>
          <w:sz w:val="24"/>
          <w:szCs w:val="24"/>
        </w:rPr>
        <w:t xml:space="preserve"> demonstrates, and it is now clearly established, that it relates to the risk of death, and is not sufficiently satisfied by the risk of bodily injury or injury to health. In short, the offence requires gross negligence in circumstances where what is at risk is the life of an individual to whom the defendant owes a duty of care. As such it serves to protect his or her right to life.”</w:t>
      </w:r>
      <w:r w:rsidRPr="00E4666D">
        <w:rPr>
          <w:rStyle w:val="FootnoteReference"/>
          <w:color w:val="000000" w:themeColor="text1"/>
          <w:sz w:val="24"/>
          <w:szCs w:val="24"/>
        </w:rPr>
        <w:footnoteReference w:id="34"/>
      </w:r>
      <w:r w:rsidRPr="00E4666D">
        <w:rPr>
          <w:color w:val="000000" w:themeColor="text1"/>
          <w:sz w:val="24"/>
          <w:szCs w:val="24"/>
        </w:rPr>
        <w:t xml:space="preserve">  </w:t>
      </w:r>
    </w:p>
    <w:p w:rsidR="00264BC4" w:rsidRPr="00883069" w:rsidRDefault="00A83457" w:rsidP="00A83457">
      <w:pPr>
        <w:pStyle w:val="docmapheading"/>
        <w:rPr>
          <w:b/>
          <w:color w:val="000000" w:themeColor="text1"/>
        </w:rPr>
      </w:pPr>
      <w:r w:rsidRPr="00883069">
        <w:rPr>
          <w:b/>
          <w:color w:val="000000" w:themeColor="text1"/>
        </w:rPr>
        <w:t>C.2</w:t>
      </w:r>
      <w:r w:rsidRPr="00883069">
        <w:rPr>
          <w:b/>
          <w:color w:val="000000" w:themeColor="text1"/>
        </w:rPr>
        <w:tab/>
        <w:t xml:space="preserve">The law in Hong Kong </w:t>
      </w:r>
    </w:p>
    <w:p w:rsidR="00E13281" w:rsidRPr="00E4666D" w:rsidRDefault="00E13281" w:rsidP="00E07275">
      <w:pPr>
        <w:pStyle w:val="Bob1"/>
        <w:tabs>
          <w:tab w:val="clear" w:pos="720"/>
          <w:tab w:val="left" w:pos="1440"/>
        </w:tabs>
        <w:ind w:left="0" w:firstLine="0"/>
        <w:jc w:val="both"/>
        <w:rPr>
          <w:color w:val="000000" w:themeColor="text1"/>
        </w:rPr>
      </w:pPr>
      <w:r w:rsidRPr="00E4666D">
        <w:rPr>
          <w:color w:val="000000" w:themeColor="text1"/>
        </w:rPr>
        <w:t>The</w:t>
      </w:r>
      <w:r w:rsidR="00831B94" w:rsidRPr="00E4666D">
        <w:rPr>
          <w:color w:val="000000" w:themeColor="text1"/>
        </w:rPr>
        <w:t xml:space="preserve"> definition of the offence of </w:t>
      </w:r>
      <w:r w:rsidR="00295315" w:rsidRPr="00E4666D">
        <w:rPr>
          <w:color w:val="000000" w:themeColor="text1"/>
        </w:rPr>
        <w:t xml:space="preserve">GNM as developed in </w:t>
      </w:r>
      <w:r w:rsidRPr="00E4666D">
        <w:rPr>
          <w:color w:val="000000" w:themeColor="text1"/>
        </w:rPr>
        <w:t xml:space="preserve">England and Wales has generally been taken to represent the common law applicable in Hong Kong.  Thus, in </w:t>
      </w:r>
      <w:r w:rsidR="003A6DCC" w:rsidRPr="00E4666D">
        <w:rPr>
          <w:i/>
          <w:color w:val="000000" w:themeColor="text1"/>
        </w:rPr>
        <w:t>The Queen</w:t>
      </w:r>
      <w:r w:rsidRPr="00E4666D">
        <w:rPr>
          <w:i/>
          <w:color w:val="000000" w:themeColor="text1"/>
        </w:rPr>
        <w:t xml:space="preserve"> v Kong Cheuk Kwan</w:t>
      </w:r>
      <w:r w:rsidRPr="00E4666D">
        <w:rPr>
          <w:color w:val="000000" w:themeColor="text1"/>
        </w:rPr>
        <w:t>,</w:t>
      </w:r>
      <w:r w:rsidRPr="00E4666D">
        <w:rPr>
          <w:rStyle w:val="FootnoteReference"/>
          <w:color w:val="000000" w:themeColor="text1"/>
        </w:rPr>
        <w:footnoteReference w:id="35"/>
      </w:r>
      <w:r w:rsidRPr="00E4666D">
        <w:rPr>
          <w:color w:val="000000" w:themeColor="text1"/>
        </w:rPr>
        <w:t xml:space="preserve"> a case involving a hydrofoil collision heard just before </w:t>
      </w:r>
      <w:r w:rsidRPr="00E4666D">
        <w:rPr>
          <w:i/>
          <w:color w:val="000000" w:themeColor="text1"/>
        </w:rPr>
        <w:t xml:space="preserve">Adomako </w:t>
      </w:r>
      <w:r w:rsidRPr="00E4666D">
        <w:rPr>
          <w:color w:val="000000" w:themeColor="text1"/>
        </w:rPr>
        <w:t xml:space="preserve">was decided, Lord Roskill stated: “Their Lordships are of the view that the present state of the relevant law in England and Wales </w:t>
      </w:r>
      <w:r w:rsidRPr="00E4666D">
        <w:rPr>
          <w:i/>
          <w:color w:val="000000" w:themeColor="text1"/>
        </w:rPr>
        <w:t>and thus in Hong Kong</w:t>
      </w:r>
      <w:r w:rsidRPr="00E4666D">
        <w:rPr>
          <w:color w:val="000000" w:themeColor="text1"/>
        </w:rPr>
        <w:t xml:space="preserve"> is clear.”</w:t>
      </w:r>
    </w:p>
    <w:p w:rsidR="00E13281" w:rsidRPr="00E4666D" w:rsidRDefault="00502FA2" w:rsidP="00E07275">
      <w:pPr>
        <w:pStyle w:val="Bob1"/>
        <w:tabs>
          <w:tab w:val="clear" w:pos="720"/>
          <w:tab w:val="left" w:pos="1440"/>
        </w:tabs>
        <w:ind w:left="0" w:firstLine="0"/>
        <w:jc w:val="both"/>
        <w:rPr>
          <w:color w:val="000000" w:themeColor="text1"/>
        </w:rPr>
      </w:pPr>
      <w:r w:rsidRPr="00E4666D">
        <w:rPr>
          <w:color w:val="000000" w:themeColor="text1"/>
        </w:rPr>
        <w:t>S</w:t>
      </w:r>
      <w:r w:rsidR="00E13281" w:rsidRPr="00E4666D">
        <w:rPr>
          <w:color w:val="000000" w:themeColor="text1"/>
        </w:rPr>
        <w:t xml:space="preserve">ince </w:t>
      </w:r>
      <w:r w:rsidR="00E13281" w:rsidRPr="00E4666D">
        <w:rPr>
          <w:i/>
          <w:color w:val="000000" w:themeColor="text1"/>
        </w:rPr>
        <w:t xml:space="preserve">Adomako </w:t>
      </w:r>
      <w:r w:rsidR="00E13281" w:rsidRPr="00E4666D">
        <w:rPr>
          <w:color w:val="000000" w:themeColor="text1"/>
        </w:rPr>
        <w:t xml:space="preserve">was handed down, it has been </w:t>
      </w:r>
      <w:r w:rsidR="009D6A62" w:rsidRPr="00E4666D">
        <w:rPr>
          <w:color w:val="000000" w:themeColor="text1"/>
        </w:rPr>
        <w:t xml:space="preserve">applied </w:t>
      </w:r>
      <w:r w:rsidR="00E13281" w:rsidRPr="00E4666D">
        <w:rPr>
          <w:color w:val="000000" w:themeColor="text1"/>
        </w:rPr>
        <w:t xml:space="preserve">in </w:t>
      </w:r>
      <w:r w:rsidR="00B1189E" w:rsidRPr="00E4666D">
        <w:rPr>
          <w:color w:val="000000" w:themeColor="text1"/>
        </w:rPr>
        <w:t xml:space="preserve">the Court of Appeal in </w:t>
      </w:r>
      <w:r w:rsidR="00E13281" w:rsidRPr="00E4666D">
        <w:rPr>
          <w:color w:val="000000" w:themeColor="text1"/>
        </w:rPr>
        <w:t xml:space="preserve">Hong Kong.  </w:t>
      </w:r>
      <w:r w:rsidR="009D6A62" w:rsidRPr="00E4666D">
        <w:rPr>
          <w:color w:val="000000" w:themeColor="text1"/>
        </w:rPr>
        <w:t>Thus i</w:t>
      </w:r>
      <w:r w:rsidRPr="00E4666D">
        <w:rPr>
          <w:color w:val="000000" w:themeColor="text1"/>
        </w:rPr>
        <w:t xml:space="preserve">t was relied on by Stock VP in </w:t>
      </w:r>
      <w:r w:rsidRPr="00E4666D">
        <w:rPr>
          <w:i/>
          <w:color w:val="000000" w:themeColor="text1"/>
        </w:rPr>
        <w:t>Secretary for Justice v Law Siu Kuen</w:t>
      </w:r>
      <w:r w:rsidRPr="00E4666D">
        <w:rPr>
          <w:color w:val="000000" w:themeColor="text1"/>
        </w:rPr>
        <w:t>,</w:t>
      </w:r>
      <w:r w:rsidRPr="00E4666D">
        <w:rPr>
          <w:rStyle w:val="FootnoteReference"/>
          <w:color w:val="000000" w:themeColor="text1"/>
        </w:rPr>
        <w:footnoteReference w:id="36"/>
      </w:r>
      <w:r w:rsidRPr="00E4666D">
        <w:rPr>
          <w:color w:val="000000" w:themeColor="text1"/>
        </w:rPr>
        <w:t xml:space="preserve"> a sentenc</w:t>
      </w:r>
      <w:r w:rsidR="00E625E2" w:rsidRPr="00E4666D">
        <w:rPr>
          <w:color w:val="000000" w:themeColor="text1"/>
        </w:rPr>
        <w:t>e</w:t>
      </w:r>
      <w:r w:rsidRPr="00E4666D">
        <w:rPr>
          <w:color w:val="000000" w:themeColor="text1"/>
        </w:rPr>
        <w:t xml:space="preserve"> review in a motor manslaughter case</w:t>
      </w:r>
      <w:r w:rsidR="00B1189E" w:rsidRPr="00E4666D">
        <w:rPr>
          <w:color w:val="000000" w:themeColor="text1"/>
        </w:rPr>
        <w:t>, for the purpose of</w:t>
      </w:r>
      <w:r w:rsidRPr="00E4666D">
        <w:rPr>
          <w:color w:val="000000" w:themeColor="text1"/>
        </w:rPr>
        <w:t xml:space="preserve"> establishing that a very high degree of negligence</w:t>
      </w:r>
      <w:r w:rsidR="009D6A62" w:rsidRPr="00E4666D">
        <w:rPr>
          <w:color w:val="000000" w:themeColor="text1"/>
        </w:rPr>
        <w:t xml:space="preserve"> is involved in the offence</w:t>
      </w:r>
      <w:r w:rsidRPr="00E4666D">
        <w:rPr>
          <w:color w:val="000000" w:themeColor="text1"/>
        </w:rPr>
        <w:t xml:space="preserve">.  </w:t>
      </w:r>
      <w:r w:rsidR="009D6A62" w:rsidRPr="00E4666D">
        <w:rPr>
          <w:color w:val="000000" w:themeColor="text1"/>
        </w:rPr>
        <w:t>And</w:t>
      </w:r>
      <w:r w:rsidRPr="00E4666D">
        <w:rPr>
          <w:color w:val="000000" w:themeColor="text1"/>
        </w:rPr>
        <w:t xml:space="preserve"> in </w:t>
      </w:r>
      <w:r w:rsidRPr="00E4666D">
        <w:rPr>
          <w:i/>
          <w:color w:val="000000" w:themeColor="text1"/>
        </w:rPr>
        <w:t>HKSAR v Ngai Hon Kwong</w:t>
      </w:r>
      <w:r w:rsidRPr="00E4666D">
        <w:rPr>
          <w:color w:val="000000" w:themeColor="text1"/>
        </w:rPr>
        <w:t>,</w:t>
      </w:r>
      <w:r w:rsidRPr="00E4666D">
        <w:rPr>
          <w:rStyle w:val="FootnoteReference"/>
          <w:color w:val="000000" w:themeColor="text1"/>
        </w:rPr>
        <w:footnoteReference w:id="37"/>
      </w:r>
      <w:r w:rsidRPr="00E4666D">
        <w:rPr>
          <w:color w:val="000000" w:themeColor="text1"/>
        </w:rPr>
        <w:t xml:space="preserve"> an appeal against a murder conviction succeeded on the footing that the trial judge had erroneously failed to leave to the jury GNM as a possible alternative verdict</w:t>
      </w:r>
      <w:r w:rsidR="00831B94" w:rsidRPr="00E4666D">
        <w:rPr>
          <w:color w:val="000000" w:themeColor="text1"/>
        </w:rPr>
        <w:t>.</w:t>
      </w:r>
      <w:r w:rsidRPr="00E4666D">
        <w:rPr>
          <w:color w:val="000000" w:themeColor="text1"/>
        </w:rPr>
        <w:t xml:space="preserve"> McWalters JA (writing for the Court) </w:t>
      </w:r>
      <w:r w:rsidR="009D6A62" w:rsidRPr="00E4666D">
        <w:rPr>
          <w:color w:val="000000" w:themeColor="text1"/>
        </w:rPr>
        <w:t>follow</w:t>
      </w:r>
      <w:r w:rsidR="00831B94" w:rsidRPr="00E4666D">
        <w:rPr>
          <w:color w:val="000000" w:themeColor="text1"/>
        </w:rPr>
        <w:t>ed</w:t>
      </w:r>
      <w:r w:rsidR="009D6A62" w:rsidRPr="00E4666D">
        <w:rPr>
          <w:color w:val="000000" w:themeColor="text1"/>
        </w:rPr>
        <w:t xml:space="preserve"> </w:t>
      </w:r>
      <w:r w:rsidRPr="00E4666D">
        <w:rPr>
          <w:i/>
          <w:color w:val="000000" w:themeColor="text1"/>
        </w:rPr>
        <w:t xml:space="preserve">Adomako </w:t>
      </w:r>
      <w:r w:rsidR="009D6A62" w:rsidRPr="00E4666D">
        <w:rPr>
          <w:color w:val="000000" w:themeColor="text1"/>
        </w:rPr>
        <w:t xml:space="preserve">in </w:t>
      </w:r>
      <w:r w:rsidR="00B1189E" w:rsidRPr="00E4666D">
        <w:rPr>
          <w:color w:val="000000" w:themeColor="text1"/>
        </w:rPr>
        <w:t>identify</w:t>
      </w:r>
      <w:r w:rsidR="009D6A62" w:rsidRPr="00E4666D">
        <w:rPr>
          <w:color w:val="000000" w:themeColor="text1"/>
        </w:rPr>
        <w:t>ing</w:t>
      </w:r>
      <w:r w:rsidR="00B1189E" w:rsidRPr="00E4666D">
        <w:rPr>
          <w:color w:val="000000" w:themeColor="text1"/>
        </w:rPr>
        <w:t xml:space="preserve"> </w:t>
      </w:r>
      <w:r w:rsidRPr="00E4666D">
        <w:rPr>
          <w:color w:val="000000" w:themeColor="text1"/>
        </w:rPr>
        <w:t>the essential ingredients of GNM.</w:t>
      </w:r>
    </w:p>
    <w:p w:rsidR="009D6A62" w:rsidRPr="00E4666D" w:rsidRDefault="009D6A62" w:rsidP="00E07275">
      <w:pPr>
        <w:pStyle w:val="Bob1"/>
        <w:tabs>
          <w:tab w:val="clear" w:pos="720"/>
          <w:tab w:val="left" w:pos="1440"/>
        </w:tabs>
        <w:ind w:left="0" w:firstLine="0"/>
        <w:jc w:val="both"/>
        <w:rPr>
          <w:color w:val="000000" w:themeColor="text1"/>
        </w:rPr>
      </w:pPr>
      <w:r w:rsidRPr="00E4666D">
        <w:rPr>
          <w:color w:val="000000" w:themeColor="text1"/>
        </w:rPr>
        <w:lastRenderedPageBreak/>
        <w:t>Accordingly, subject to determination of the issue raised on this appeal, the law as it stands in England and Wales described above represent</w:t>
      </w:r>
      <w:r w:rsidR="00BB5FB0" w:rsidRPr="00E4666D">
        <w:rPr>
          <w:color w:val="000000" w:themeColor="text1"/>
        </w:rPr>
        <w:t>s</w:t>
      </w:r>
      <w:r w:rsidRPr="00E4666D">
        <w:rPr>
          <w:color w:val="000000" w:themeColor="text1"/>
        </w:rPr>
        <w:t xml:space="preserve"> the </w:t>
      </w:r>
      <w:r w:rsidR="00831B94" w:rsidRPr="00E4666D">
        <w:rPr>
          <w:color w:val="000000" w:themeColor="text1"/>
        </w:rPr>
        <w:t xml:space="preserve">law on </w:t>
      </w:r>
      <w:r w:rsidRPr="00E4666D">
        <w:rPr>
          <w:color w:val="000000" w:themeColor="text1"/>
        </w:rPr>
        <w:t>GNM applicable</w:t>
      </w:r>
      <w:r w:rsidR="00BB5FB0" w:rsidRPr="00E4666D">
        <w:rPr>
          <w:color w:val="000000" w:themeColor="text1"/>
        </w:rPr>
        <w:t xml:space="preserve"> in Hong Kong</w:t>
      </w:r>
      <w:r w:rsidRPr="00E4666D">
        <w:rPr>
          <w:color w:val="000000" w:themeColor="text1"/>
        </w:rPr>
        <w:t xml:space="preserve"> </w:t>
      </w:r>
      <w:r w:rsidR="00BB5FB0" w:rsidRPr="00E4666D">
        <w:rPr>
          <w:color w:val="000000" w:themeColor="text1"/>
        </w:rPr>
        <w:t>as part of the common law</w:t>
      </w:r>
      <w:r w:rsidRPr="00E4666D">
        <w:rPr>
          <w:color w:val="000000" w:themeColor="text1"/>
        </w:rPr>
        <w:t>.</w:t>
      </w:r>
    </w:p>
    <w:p w:rsidR="00831B94" w:rsidRPr="00E4666D" w:rsidRDefault="00831B94" w:rsidP="00E07275">
      <w:pPr>
        <w:pStyle w:val="Bob1"/>
        <w:tabs>
          <w:tab w:val="clear" w:pos="720"/>
          <w:tab w:val="left" w:pos="1440"/>
        </w:tabs>
        <w:ind w:left="0" w:firstLine="0"/>
        <w:jc w:val="both"/>
        <w:rPr>
          <w:color w:val="000000" w:themeColor="text1"/>
        </w:rPr>
      </w:pPr>
      <w:r w:rsidRPr="00E4666D">
        <w:rPr>
          <w:color w:val="000000" w:themeColor="text1"/>
        </w:rPr>
        <w:t>It may also be noted that, so far as the fourth “gross negligence” element of the offence is concerned, the objective test is embraced by the Supreme Court of Canada</w:t>
      </w:r>
      <w:r w:rsidRPr="00E4666D">
        <w:rPr>
          <w:rStyle w:val="FootnoteReference"/>
          <w:color w:val="000000" w:themeColor="text1"/>
        </w:rPr>
        <w:footnoteReference w:id="38"/>
      </w:r>
      <w:r w:rsidRPr="00E4666D">
        <w:rPr>
          <w:color w:val="000000" w:themeColor="text1"/>
        </w:rPr>
        <w:t xml:space="preserve"> and the High Court of Australia</w:t>
      </w:r>
      <w:r w:rsidRPr="00E4666D">
        <w:rPr>
          <w:rStyle w:val="FootnoteReference"/>
          <w:color w:val="000000" w:themeColor="text1"/>
        </w:rPr>
        <w:footnoteReference w:id="39"/>
      </w:r>
      <w:r w:rsidR="00352AC8" w:rsidRPr="00E4666D">
        <w:rPr>
          <w:color w:val="000000" w:themeColor="text1"/>
        </w:rPr>
        <w:t xml:space="preserve"> where attempts to persuade those tribunals to jettison that test have failed.</w:t>
      </w:r>
    </w:p>
    <w:p w:rsidR="00831B94" w:rsidRPr="00883069" w:rsidRDefault="00C536F9" w:rsidP="00C536F9">
      <w:pPr>
        <w:pStyle w:val="docmapheading"/>
        <w:rPr>
          <w:b/>
          <w:color w:val="000000" w:themeColor="text1"/>
        </w:rPr>
      </w:pPr>
      <w:r w:rsidRPr="00883069">
        <w:rPr>
          <w:b/>
          <w:color w:val="000000" w:themeColor="text1"/>
        </w:rPr>
        <w:t>D.</w:t>
      </w:r>
      <w:r w:rsidRPr="00883069">
        <w:rPr>
          <w:b/>
          <w:color w:val="000000" w:themeColor="text1"/>
        </w:rPr>
        <w:tab/>
      </w:r>
      <w:r w:rsidR="00EC0357" w:rsidRPr="00883069">
        <w:rPr>
          <w:b/>
          <w:color w:val="000000" w:themeColor="text1"/>
        </w:rPr>
        <w:t>Should the law in Hong Kong depart from the objective test?</w:t>
      </w:r>
    </w:p>
    <w:p w:rsidR="00FA7091" w:rsidRPr="00E4666D" w:rsidRDefault="00EC0357" w:rsidP="002100C0">
      <w:pPr>
        <w:pStyle w:val="Bob1"/>
        <w:tabs>
          <w:tab w:val="clear" w:pos="720"/>
          <w:tab w:val="left" w:pos="1440"/>
        </w:tabs>
        <w:ind w:left="0" w:firstLine="0"/>
        <w:jc w:val="both"/>
        <w:rPr>
          <w:color w:val="000000" w:themeColor="text1"/>
        </w:rPr>
      </w:pPr>
      <w:r w:rsidRPr="00E4666D">
        <w:rPr>
          <w:color w:val="000000" w:themeColor="text1"/>
        </w:rPr>
        <w:t>Mr Peter Duncan SC, appearing</w:t>
      </w:r>
      <w:r w:rsidRPr="00E4666D">
        <w:rPr>
          <w:rStyle w:val="FootnoteReference"/>
          <w:color w:val="000000" w:themeColor="text1"/>
        </w:rPr>
        <w:footnoteReference w:id="40"/>
      </w:r>
      <w:r w:rsidRPr="00E4666D">
        <w:rPr>
          <w:color w:val="000000" w:themeColor="text1"/>
        </w:rPr>
        <w:t xml:space="preserve"> for the appellant, submits that the law in this jurisdiction should </w:t>
      </w:r>
      <w:r w:rsidR="004601A1" w:rsidRPr="00E4666D">
        <w:rPr>
          <w:color w:val="000000" w:themeColor="text1"/>
        </w:rPr>
        <w:t>eschew</w:t>
      </w:r>
      <w:r w:rsidRPr="00E4666D">
        <w:rPr>
          <w:color w:val="000000" w:themeColor="text1"/>
        </w:rPr>
        <w:t xml:space="preserve"> the objective approach to establishing gross negligence.  As reflected in the certified question, </w:t>
      </w:r>
      <w:r w:rsidR="006C4BEC" w:rsidRPr="00E4666D">
        <w:rPr>
          <w:color w:val="000000" w:themeColor="text1"/>
        </w:rPr>
        <w:t xml:space="preserve">he submits </w:t>
      </w:r>
      <w:r w:rsidRPr="00E4666D">
        <w:rPr>
          <w:color w:val="000000" w:themeColor="text1"/>
        </w:rPr>
        <w:t xml:space="preserve">that </w:t>
      </w:r>
      <w:r w:rsidR="006C4BEC" w:rsidRPr="00E4666D">
        <w:rPr>
          <w:color w:val="000000" w:themeColor="text1"/>
        </w:rPr>
        <w:t xml:space="preserve">the Court should hold that </w:t>
      </w:r>
      <w:r w:rsidRPr="00E4666D">
        <w:rPr>
          <w:color w:val="000000" w:themeColor="text1"/>
        </w:rPr>
        <w:t>“in addition to the objective reasonable man test, the prosecution is also required to prove that the defendant’s subjective state of mind was culpable in that the defendant was subjectively aware of the obvious and serious risk of death to the deceased”.</w:t>
      </w:r>
      <w:r w:rsidR="005B3F6A" w:rsidRPr="00E4666D">
        <w:rPr>
          <w:color w:val="000000" w:themeColor="text1"/>
        </w:rPr>
        <w:t xml:space="preserve">  This </w:t>
      </w:r>
      <w:r w:rsidR="00F32427" w:rsidRPr="00E4666D">
        <w:rPr>
          <w:color w:val="000000" w:themeColor="text1"/>
        </w:rPr>
        <w:t xml:space="preserve">is in substance </w:t>
      </w:r>
      <w:r w:rsidR="005B3F6A" w:rsidRPr="00E4666D">
        <w:rPr>
          <w:color w:val="000000" w:themeColor="text1"/>
        </w:rPr>
        <w:t xml:space="preserve">a submission that </w:t>
      </w:r>
      <w:r w:rsidR="00F32427" w:rsidRPr="00E4666D">
        <w:rPr>
          <w:color w:val="000000" w:themeColor="text1"/>
        </w:rPr>
        <w:t xml:space="preserve">the offence of manslaughter by </w:t>
      </w:r>
      <w:r w:rsidR="00260349" w:rsidRPr="00E4666D">
        <w:rPr>
          <w:color w:val="000000" w:themeColor="text1"/>
        </w:rPr>
        <w:t>negligence</w:t>
      </w:r>
      <w:r w:rsidR="00F32427" w:rsidRPr="00E4666D">
        <w:rPr>
          <w:color w:val="000000" w:themeColor="text1"/>
        </w:rPr>
        <w:t xml:space="preserve"> should </w:t>
      </w:r>
      <w:r w:rsidR="00260349" w:rsidRPr="00E4666D">
        <w:rPr>
          <w:color w:val="000000" w:themeColor="text1"/>
        </w:rPr>
        <w:t xml:space="preserve">be transformed into an offence </w:t>
      </w:r>
      <w:r w:rsidR="00F32427" w:rsidRPr="00E4666D">
        <w:rPr>
          <w:color w:val="000000" w:themeColor="text1"/>
        </w:rPr>
        <w:t xml:space="preserve">of </w:t>
      </w:r>
      <w:r w:rsidR="005B3F6A" w:rsidRPr="00E4666D">
        <w:rPr>
          <w:color w:val="000000" w:themeColor="text1"/>
        </w:rPr>
        <w:t>manslaughter by</w:t>
      </w:r>
      <w:r w:rsidR="00260349" w:rsidRPr="00E4666D">
        <w:rPr>
          <w:color w:val="000000" w:themeColor="text1"/>
        </w:rPr>
        <w:t xml:space="preserve"> recklessness</w:t>
      </w:r>
      <w:r w:rsidR="00346E35" w:rsidRPr="00E4666D">
        <w:rPr>
          <w:color w:val="000000" w:themeColor="text1"/>
        </w:rPr>
        <w:t xml:space="preserve"> in the sense of requir</w:t>
      </w:r>
      <w:r w:rsidR="008A3FCF" w:rsidRPr="00E4666D">
        <w:rPr>
          <w:color w:val="000000" w:themeColor="text1"/>
        </w:rPr>
        <w:t>ing a subjective recklessness as to</w:t>
      </w:r>
      <w:r w:rsidR="00346E35" w:rsidRPr="00E4666D">
        <w:rPr>
          <w:color w:val="000000" w:themeColor="text1"/>
        </w:rPr>
        <w:t xml:space="preserve"> the risk involved</w:t>
      </w:r>
      <w:r w:rsidR="00FA6CD1" w:rsidRPr="00E4666D">
        <w:rPr>
          <w:color w:val="000000" w:themeColor="text1"/>
        </w:rPr>
        <w:t>:</w:t>
      </w:r>
      <w:r w:rsidR="00346E35" w:rsidRPr="00E4666D">
        <w:rPr>
          <w:rStyle w:val="FootnoteReference"/>
          <w:color w:val="000000" w:themeColor="text1"/>
        </w:rPr>
        <w:footnoteReference w:id="41"/>
      </w:r>
      <w:r w:rsidR="00F32427" w:rsidRPr="00E4666D">
        <w:rPr>
          <w:color w:val="000000" w:themeColor="text1"/>
        </w:rPr>
        <w:t xml:space="preserve"> that no one should be convicted of </w:t>
      </w:r>
      <w:r w:rsidR="00260349" w:rsidRPr="00E4666D">
        <w:rPr>
          <w:color w:val="000000" w:themeColor="text1"/>
        </w:rPr>
        <w:t xml:space="preserve">GNM </w:t>
      </w:r>
      <w:r w:rsidR="00F32427" w:rsidRPr="00E4666D">
        <w:rPr>
          <w:color w:val="000000" w:themeColor="text1"/>
        </w:rPr>
        <w:t xml:space="preserve">unless he or she proceeded with the conduct </w:t>
      </w:r>
      <w:r w:rsidR="00260349" w:rsidRPr="00E4666D">
        <w:rPr>
          <w:color w:val="000000" w:themeColor="text1"/>
        </w:rPr>
        <w:t xml:space="preserve">causing death </w:t>
      </w:r>
      <w:r w:rsidR="00F32427" w:rsidRPr="00E4666D">
        <w:rPr>
          <w:color w:val="000000" w:themeColor="text1"/>
        </w:rPr>
        <w:t>while aware of an obvious and serious risk of causing death</w:t>
      </w:r>
      <w:r w:rsidR="005B3F6A" w:rsidRPr="00E4666D">
        <w:rPr>
          <w:color w:val="000000" w:themeColor="text1"/>
        </w:rPr>
        <w:t>.</w:t>
      </w:r>
    </w:p>
    <w:p w:rsidR="006C4BEC" w:rsidRPr="00E4666D" w:rsidRDefault="0061038B" w:rsidP="002100C0">
      <w:pPr>
        <w:pStyle w:val="Bob1"/>
        <w:tabs>
          <w:tab w:val="clear" w:pos="720"/>
          <w:tab w:val="left" w:pos="1440"/>
        </w:tabs>
        <w:ind w:left="0" w:firstLine="0"/>
        <w:jc w:val="both"/>
        <w:rPr>
          <w:color w:val="000000" w:themeColor="text1"/>
        </w:rPr>
      </w:pPr>
      <w:r w:rsidRPr="00E4666D">
        <w:rPr>
          <w:color w:val="000000" w:themeColor="text1"/>
        </w:rPr>
        <w:t xml:space="preserve">Two </w:t>
      </w:r>
      <w:r w:rsidR="00260349" w:rsidRPr="00E4666D">
        <w:rPr>
          <w:color w:val="000000" w:themeColor="text1"/>
        </w:rPr>
        <w:t xml:space="preserve">main </w:t>
      </w:r>
      <w:r w:rsidR="004601A1" w:rsidRPr="00E4666D">
        <w:rPr>
          <w:color w:val="000000" w:themeColor="text1"/>
        </w:rPr>
        <w:t>propositions</w:t>
      </w:r>
      <w:r w:rsidRPr="00E4666D">
        <w:rPr>
          <w:color w:val="000000" w:themeColor="text1"/>
        </w:rPr>
        <w:t xml:space="preserve"> are advanced in </w:t>
      </w:r>
      <w:r w:rsidR="004601A1" w:rsidRPr="00E4666D">
        <w:rPr>
          <w:color w:val="000000" w:themeColor="text1"/>
        </w:rPr>
        <w:t>support</w:t>
      </w:r>
      <w:r w:rsidRPr="00E4666D">
        <w:rPr>
          <w:color w:val="000000" w:themeColor="text1"/>
        </w:rPr>
        <w:t xml:space="preserve"> of th</w:t>
      </w:r>
      <w:r w:rsidR="004601A1" w:rsidRPr="00E4666D">
        <w:rPr>
          <w:color w:val="000000" w:themeColor="text1"/>
        </w:rPr>
        <w:t>at</w:t>
      </w:r>
      <w:r w:rsidR="00FA6CD1" w:rsidRPr="00E4666D">
        <w:rPr>
          <w:color w:val="000000" w:themeColor="text1"/>
        </w:rPr>
        <w:t xml:space="preserve"> submission.  The first</w:t>
      </w:r>
      <w:r w:rsidRPr="00E4666D">
        <w:rPr>
          <w:color w:val="000000" w:themeColor="text1"/>
        </w:rPr>
        <w:t xml:space="preserve"> is </w:t>
      </w:r>
      <w:r w:rsidR="004601A1" w:rsidRPr="00E4666D">
        <w:rPr>
          <w:color w:val="000000" w:themeColor="text1"/>
        </w:rPr>
        <w:t xml:space="preserve">that </w:t>
      </w:r>
      <w:r w:rsidR="00083393" w:rsidRPr="00E4666D">
        <w:rPr>
          <w:color w:val="000000" w:themeColor="text1"/>
        </w:rPr>
        <w:t xml:space="preserve">the definition of the offence </w:t>
      </w:r>
      <w:r w:rsidR="004601A1" w:rsidRPr="00E4666D">
        <w:rPr>
          <w:color w:val="000000" w:themeColor="text1"/>
        </w:rPr>
        <w:t xml:space="preserve">is objectionably “circular”. </w:t>
      </w:r>
      <w:r w:rsidRPr="00E4666D">
        <w:rPr>
          <w:color w:val="000000" w:themeColor="text1"/>
        </w:rPr>
        <w:t xml:space="preserve"> </w:t>
      </w:r>
      <w:r w:rsidR="004601A1" w:rsidRPr="00E4666D">
        <w:rPr>
          <w:color w:val="000000" w:themeColor="text1"/>
        </w:rPr>
        <w:t>T</w:t>
      </w:r>
      <w:r w:rsidRPr="00E4666D">
        <w:rPr>
          <w:color w:val="000000" w:themeColor="text1"/>
        </w:rPr>
        <w:t xml:space="preserve">he second, </w:t>
      </w:r>
      <w:r w:rsidR="004601A1" w:rsidRPr="00E4666D">
        <w:rPr>
          <w:color w:val="000000" w:themeColor="text1"/>
        </w:rPr>
        <w:lastRenderedPageBreak/>
        <w:t>comprising</w:t>
      </w:r>
      <w:r w:rsidRPr="00E4666D">
        <w:rPr>
          <w:color w:val="000000" w:themeColor="text1"/>
        </w:rPr>
        <w:t xml:space="preserve"> </w:t>
      </w:r>
      <w:r w:rsidR="004601A1" w:rsidRPr="00E4666D">
        <w:rPr>
          <w:color w:val="000000" w:themeColor="text1"/>
        </w:rPr>
        <w:t>related</w:t>
      </w:r>
      <w:r w:rsidRPr="00E4666D">
        <w:rPr>
          <w:color w:val="000000" w:themeColor="text1"/>
        </w:rPr>
        <w:t xml:space="preserve"> arguments</w:t>
      </w:r>
      <w:r w:rsidR="00083393" w:rsidRPr="00E4666D">
        <w:rPr>
          <w:color w:val="000000" w:themeColor="text1"/>
        </w:rPr>
        <w:t xml:space="preserve"> </w:t>
      </w:r>
      <w:r w:rsidR="005B3F6A" w:rsidRPr="00E4666D">
        <w:rPr>
          <w:color w:val="000000" w:themeColor="text1"/>
        </w:rPr>
        <w:t xml:space="preserve">regarding </w:t>
      </w:r>
      <w:r w:rsidR="00083393" w:rsidRPr="00E4666D">
        <w:rPr>
          <w:color w:val="000000" w:themeColor="text1"/>
        </w:rPr>
        <w:t>culpability</w:t>
      </w:r>
      <w:r w:rsidRPr="00E4666D">
        <w:rPr>
          <w:color w:val="000000" w:themeColor="text1"/>
        </w:rPr>
        <w:t xml:space="preserve">, </w:t>
      </w:r>
      <w:r w:rsidR="004601A1" w:rsidRPr="00E4666D">
        <w:rPr>
          <w:color w:val="000000" w:themeColor="text1"/>
        </w:rPr>
        <w:t xml:space="preserve">is </w:t>
      </w:r>
      <w:r w:rsidRPr="00E4666D">
        <w:rPr>
          <w:color w:val="000000" w:themeColor="text1"/>
        </w:rPr>
        <w:t xml:space="preserve">that it is </w:t>
      </w:r>
      <w:r w:rsidR="004601A1" w:rsidRPr="00E4666D">
        <w:rPr>
          <w:color w:val="000000" w:themeColor="text1"/>
        </w:rPr>
        <w:t>unacceptable</w:t>
      </w:r>
      <w:r w:rsidRPr="00E4666D">
        <w:rPr>
          <w:color w:val="000000" w:themeColor="text1"/>
        </w:rPr>
        <w:t xml:space="preserve"> in principle and contrary to authority that liability for an offence as serious as </w:t>
      </w:r>
      <w:r w:rsidR="005B3F6A" w:rsidRPr="00E4666D">
        <w:rPr>
          <w:color w:val="000000" w:themeColor="text1"/>
        </w:rPr>
        <w:t>manslaughter</w:t>
      </w:r>
      <w:r w:rsidRPr="00E4666D">
        <w:rPr>
          <w:color w:val="000000" w:themeColor="text1"/>
        </w:rPr>
        <w:t xml:space="preserve"> should rest on an objective test rather than on </w:t>
      </w:r>
      <w:r w:rsidR="004601A1" w:rsidRPr="00E4666D">
        <w:rPr>
          <w:color w:val="000000" w:themeColor="text1"/>
        </w:rPr>
        <w:t xml:space="preserve">proof of </w:t>
      </w:r>
      <w:r w:rsidRPr="00E4666D">
        <w:rPr>
          <w:color w:val="000000" w:themeColor="text1"/>
        </w:rPr>
        <w:t>the accused’s awareness of the risk of causing death.</w:t>
      </w:r>
    </w:p>
    <w:p w:rsidR="0061038B" w:rsidRPr="00883069" w:rsidRDefault="0061038B" w:rsidP="0061038B">
      <w:pPr>
        <w:pStyle w:val="docmapheading"/>
        <w:rPr>
          <w:b/>
          <w:color w:val="000000" w:themeColor="text1"/>
        </w:rPr>
      </w:pPr>
      <w:r w:rsidRPr="00883069">
        <w:rPr>
          <w:b/>
          <w:color w:val="000000" w:themeColor="text1"/>
        </w:rPr>
        <w:t>D.1</w:t>
      </w:r>
      <w:r w:rsidRPr="00883069">
        <w:rPr>
          <w:b/>
          <w:color w:val="000000" w:themeColor="text1"/>
        </w:rPr>
        <w:tab/>
        <w:t xml:space="preserve">The circularity argument </w:t>
      </w:r>
    </w:p>
    <w:p w:rsidR="00083393" w:rsidRPr="00E4666D" w:rsidRDefault="00260349" w:rsidP="0053080D">
      <w:pPr>
        <w:pStyle w:val="Bob1"/>
        <w:tabs>
          <w:tab w:val="clear" w:pos="720"/>
          <w:tab w:val="left" w:pos="1440"/>
        </w:tabs>
        <w:spacing w:after="120"/>
        <w:ind w:left="0" w:firstLine="0"/>
        <w:rPr>
          <w:color w:val="000000" w:themeColor="text1"/>
        </w:rPr>
      </w:pPr>
      <w:r w:rsidRPr="00E4666D">
        <w:rPr>
          <w:color w:val="000000" w:themeColor="text1"/>
        </w:rPr>
        <w:t>A similar argument was advanced i</w:t>
      </w:r>
      <w:r w:rsidR="00083393" w:rsidRPr="00E4666D">
        <w:rPr>
          <w:color w:val="000000" w:themeColor="text1"/>
        </w:rPr>
        <w:t xml:space="preserve">n </w:t>
      </w:r>
      <w:r w:rsidR="00083393" w:rsidRPr="00E4666D">
        <w:rPr>
          <w:i/>
          <w:color w:val="000000" w:themeColor="text1"/>
        </w:rPr>
        <w:t>Adomako</w:t>
      </w:r>
      <w:r w:rsidR="00083393" w:rsidRPr="00E4666D">
        <w:rPr>
          <w:color w:val="000000" w:themeColor="text1"/>
        </w:rPr>
        <w:t>:</w:t>
      </w:r>
    </w:p>
    <w:p w:rsidR="00BD50F6" w:rsidRPr="00E4666D" w:rsidRDefault="00083393" w:rsidP="002100C0">
      <w:pPr>
        <w:pStyle w:val="Bob1"/>
        <w:numPr>
          <w:ilvl w:val="0"/>
          <w:numId w:val="0"/>
        </w:numPr>
        <w:spacing w:line="240" w:lineRule="auto"/>
        <w:ind w:left="720"/>
        <w:jc w:val="both"/>
        <w:rPr>
          <w:color w:val="000000" w:themeColor="text1"/>
          <w:sz w:val="24"/>
        </w:rPr>
      </w:pPr>
      <w:r w:rsidRPr="00E4666D">
        <w:rPr>
          <w:color w:val="000000" w:themeColor="text1"/>
          <w:sz w:val="24"/>
        </w:rPr>
        <w:t xml:space="preserve">“... </w:t>
      </w:r>
      <w:r w:rsidR="005B3F6A" w:rsidRPr="00E4666D">
        <w:rPr>
          <w:color w:val="000000" w:themeColor="text1"/>
          <w:sz w:val="24"/>
        </w:rPr>
        <w:t xml:space="preserve">[Counsel] </w:t>
      </w:r>
      <w:r w:rsidR="00BD50F6" w:rsidRPr="00E4666D">
        <w:rPr>
          <w:color w:val="000000" w:themeColor="text1"/>
          <w:sz w:val="24"/>
          <w:szCs w:val="24"/>
        </w:rPr>
        <w:t>criticised the concept of gross negligence which was the basis of the judgment of the Court of Appeal submitting that its formulation involved circularity, the jury being told in effect to convict of a crime if they thought a crime had been committed and that accordingly using gross negligence as the conceptual basis for the crime of involuntary manslaughter was unsatisfactory ...</w:t>
      </w:r>
      <w:r w:rsidRPr="00E4666D">
        <w:rPr>
          <w:color w:val="000000" w:themeColor="text1"/>
          <w:sz w:val="24"/>
          <w:szCs w:val="24"/>
        </w:rPr>
        <w:t>”</w:t>
      </w:r>
      <w:r w:rsidRPr="00E4666D">
        <w:rPr>
          <w:rStyle w:val="FootnoteReference"/>
          <w:color w:val="000000" w:themeColor="text1"/>
          <w:sz w:val="24"/>
          <w:szCs w:val="24"/>
        </w:rPr>
        <w:footnoteReference w:id="42"/>
      </w:r>
    </w:p>
    <w:p w:rsidR="00083393" w:rsidRPr="00E4666D" w:rsidRDefault="00B4361C" w:rsidP="0053080D">
      <w:pPr>
        <w:pStyle w:val="Bob1"/>
        <w:tabs>
          <w:tab w:val="clear" w:pos="720"/>
          <w:tab w:val="num" w:pos="1440"/>
        </w:tabs>
        <w:spacing w:after="120"/>
        <w:ind w:left="0" w:firstLine="0"/>
        <w:jc w:val="both"/>
        <w:rPr>
          <w:color w:val="000000" w:themeColor="text1"/>
        </w:rPr>
      </w:pPr>
      <w:r w:rsidRPr="00E4666D">
        <w:rPr>
          <w:color w:val="000000" w:themeColor="text1"/>
        </w:rPr>
        <w:t>T</w:t>
      </w:r>
      <w:r w:rsidR="005B3F6A" w:rsidRPr="00E4666D">
        <w:rPr>
          <w:color w:val="000000" w:themeColor="text1"/>
        </w:rPr>
        <w:t xml:space="preserve">he </w:t>
      </w:r>
      <w:r w:rsidR="00083393" w:rsidRPr="00E4666D">
        <w:rPr>
          <w:color w:val="000000" w:themeColor="text1"/>
        </w:rPr>
        <w:t xml:space="preserve">complaint </w:t>
      </w:r>
      <w:r w:rsidR="005B3F6A" w:rsidRPr="00E4666D">
        <w:rPr>
          <w:color w:val="000000" w:themeColor="text1"/>
        </w:rPr>
        <w:t xml:space="preserve">is </w:t>
      </w:r>
      <w:r w:rsidR="00083393" w:rsidRPr="00E4666D">
        <w:rPr>
          <w:color w:val="000000" w:themeColor="text1"/>
        </w:rPr>
        <w:t xml:space="preserve">that </w:t>
      </w:r>
      <w:r w:rsidR="00D879FC" w:rsidRPr="00E4666D">
        <w:rPr>
          <w:color w:val="000000" w:themeColor="text1"/>
        </w:rPr>
        <w:t xml:space="preserve">the </w:t>
      </w:r>
      <w:r w:rsidR="00083393" w:rsidRPr="00E4666D">
        <w:rPr>
          <w:color w:val="000000" w:themeColor="text1"/>
        </w:rPr>
        <w:t xml:space="preserve">definition </w:t>
      </w:r>
      <w:r w:rsidR="00477608" w:rsidRPr="00E4666D">
        <w:rPr>
          <w:color w:val="000000" w:themeColor="text1"/>
        </w:rPr>
        <w:t>entails</w:t>
      </w:r>
      <w:r w:rsidR="00D879FC" w:rsidRPr="00E4666D">
        <w:rPr>
          <w:color w:val="000000" w:themeColor="text1"/>
        </w:rPr>
        <w:t xml:space="preserve"> the court abandoning its </w:t>
      </w:r>
      <w:r w:rsidR="0018688C" w:rsidRPr="00E4666D">
        <w:rPr>
          <w:color w:val="000000" w:themeColor="text1"/>
        </w:rPr>
        <w:t>proper</w:t>
      </w:r>
      <w:r w:rsidR="00D879FC" w:rsidRPr="00E4666D">
        <w:rPr>
          <w:color w:val="000000" w:themeColor="text1"/>
        </w:rPr>
        <w:t xml:space="preserve"> role of directing the jury</w:t>
      </w:r>
      <w:r w:rsidR="00260349" w:rsidRPr="00E4666D">
        <w:rPr>
          <w:color w:val="000000" w:themeColor="text1"/>
        </w:rPr>
        <w:t xml:space="preserve">. </w:t>
      </w:r>
      <w:r w:rsidR="00D879FC" w:rsidRPr="00E4666D">
        <w:rPr>
          <w:color w:val="000000" w:themeColor="text1"/>
        </w:rPr>
        <w:t xml:space="preserve"> </w:t>
      </w:r>
      <w:r w:rsidR="005B3F6A" w:rsidRPr="00E4666D">
        <w:rPr>
          <w:color w:val="000000" w:themeColor="text1"/>
        </w:rPr>
        <w:t xml:space="preserve">Instead of instructing them </w:t>
      </w:r>
      <w:r w:rsidR="00D879FC" w:rsidRPr="00E4666D">
        <w:rPr>
          <w:color w:val="000000" w:themeColor="text1"/>
        </w:rPr>
        <w:t xml:space="preserve">as to what </w:t>
      </w:r>
      <w:r w:rsidR="005B3F6A" w:rsidRPr="00E4666D">
        <w:rPr>
          <w:color w:val="000000" w:themeColor="text1"/>
        </w:rPr>
        <w:t xml:space="preserve">constitutes the offence </w:t>
      </w:r>
      <w:r w:rsidR="00D879FC" w:rsidRPr="00E4666D">
        <w:rPr>
          <w:color w:val="000000" w:themeColor="text1"/>
        </w:rPr>
        <w:t>in law</w:t>
      </w:r>
      <w:r w:rsidR="005B3F6A" w:rsidRPr="00E4666D">
        <w:rPr>
          <w:color w:val="000000" w:themeColor="text1"/>
        </w:rPr>
        <w:t>, the jury are left (</w:t>
      </w:r>
      <w:r w:rsidR="0018688C" w:rsidRPr="00E4666D">
        <w:rPr>
          <w:color w:val="000000" w:themeColor="text1"/>
        </w:rPr>
        <w:t xml:space="preserve">so </w:t>
      </w:r>
      <w:r w:rsidR="00097D0D" w:rsidRPr="00E4666D">
        <w:rPr>
          <w:color w:val="000000" w:themeColor="text1"/>
        </w:rPr>
        <w:t>it is argued</w:t>
      </w:r>
      <w:r w:rsidR="005B3F6A" w:rsidRPr="00E4666D">
        <w:rPr>
          <w:color w:val="000000" w:themeColor="text1"/>
        </w:rPr>
        <w:t>)</w:t>
      </w:r>
      <w:r w:rsidR="00097D0D" w:rsidRPr="00E4666D">
        <w:rPr>
          <w:color w:val="000000" w:themeColor="text1"/>
        </w:rPr>
        <w:t xml:space="preserve"> to define for themselves whether a</w:t>
      </w:r>
      <w:r w:rsidR="005B3F6A" w:rsidRPr="00E4666D">
        <w:rPr>
          <w:color w:val="000000" w:themeColor="text1"/>
        </w:rPr>
        <w:t>n offence</w:t>
      </w:r>
      <w:r w:rsidR="00097D0D" w:rsidRPr="00E4666D">
        <w:rPr>
          <w:color w:val="000000" w:themeColor="text1"/>
        </w:rPr>
        <w:t xml:space="preserve"> has been committed.</w:t>
      </w:r>
      <w:r w:rsidRPr="00E4666D">
        <w:rPr>
          <w:color w:val="000000" w:themeColor="text1"/>
        </w:rPr>
        <w:t xml:space="preserve">  This is put as follows in the appellant’s Written Case:</w:t>
      </w:r>
    </w:p>
    <w:p w:rsidR="009C39EC" w:rsidRPr="00E4666D" w:rsidRDefault="00D879FC" w:rsidP="002100C0">
      <w:pPr>
        <w:pStyle w:val="Bob1"/>
        <w:numPr>
          <w:ilvl w:val="0"/>
          <w:numId w:val="0"/>
        </w:numPr>
        <w:spacing w:line="240" w:lineRule="auto"/>
        <w:ind w:left="720"/>
        <w:jc w:val="both"/>
        <w:rPr>
          <w:color w:val="000000" w:themeColor="text1"/>
          <w:sz w:val="24"/>
        </w:rPr>
      </w:pPr>
      <w:r w:rsidRPr="00E4666D">
        <w:rPr>
          <w:color w:val="000000" w:themeColor="text1"/>
          <w:sz w:val="24"/>
        </w:rPr>
        <w:t>“</w:t>
      </w:r>
      <w:r w:rsidR="009C39EC" w:rsidRPr="00E4666D">
        <w:rPr>
          <w:rFonts w:hint="eastAsia"/>
          <w:color w:val="000000" w:themeColor="text1"/>
          <w:sz w:val="24"/>
        </w:rPr>
        <w:t xml:space="preserve">The </w:t>
      </w:r>
      <w:r w:rsidR="009C39EC" w:rsidRPr="00E4666D">
        <w:rPr>
          <w:rFonts w:hint="eastAsia"/>
          <w:i/>
          <w:color w:val="000000" w:themeColor="text1"/>
          <w:sz w:val="24"/>
        </w:rPr>
        <w:t>Adomako</w:t>
      </w:r>
      <w:r w:rsidR="009C39EC" w:rsidRPr="00E4666D">
        <w:rPr>
          <w:rFonts w:hint="eastAsia"/>
          <w:color w:val="000000" w:themeColor="text1"/>
          <w:sz w:val="24"/>
        </w:rPr>
        <w:t xml:space="preserve"> line of authority fails to provide a jury with sufficient guidance as to what constitutes </w:t>
      </w:r>
      <w:r w:rsidR="00B4361C" w:rsidRPr="00E4666D">
        <w:rPr>
          <w:color w:val="000000" w:themeColor="text1"/>
          <w:sz w:val="24"/>
        </w:rPr>
        <w:t>‘</w:t>
      </w:r>
      <w:r w:rsidR="009C39EC" w:rsidRPr="00E4666D">
        <w:rPr>
          <w:rFonts w:hint="eastAsia"/>
          <w:color w:val="000000" w:themeColor="text1"/>
          <w:sz w:val="24"/>
        </w:rPr>
        <w:t>gross</w:t>
      </w:r>
      <w:r w:rsidR="00B4361C" w:rsidRPr="00E4666D">
        <w:rPr>
          <w:color w:val="000000" w:themeColor="text1"/>
          <w:sz w:val="24"/>
        </w:rPr>
        <w:t>’</w:t>
      </w:r>
      <w:r w:rsidR="009C39EC" w:rsidRPr="00E4666D">
        <w:rPr>
          <w:rFonts w:hint="eastAsia"/>
          <w:color w:val="000000" w:themeColor="text1"/>
          <w:sz w:val="24"/>
        </w:rPr>
        <w:t xml:space="preserve"> negligence - the jury is left to determine whether the negligence in a particular case warrants determination as a crime rather than simply being a basis for civil liability: this is contrary to the</w:t>
      </w:r>
      <w:r w:rsidRPr="00E4666D">
        <w:rPr>
          <w:rFonts w:hint="eastAsia"/>
          <w:color w:val="000000" w:themeColor="text1"/>
          <w:sz w:val="24"/>
        </w:rPr>
        <w:t xml:space="preserve"> norm </w:t>
      </w:r>
      <w:r w:rsidR="009C39EC" w:rsidRPr="00E4666D">
        <w:rPr>
          <w:rFonts w:hint="eastAsia"/>
          <w:color w:val="000000" w:themeColor="text1"/>
          <w:sz w:val="24"/>
        </w:rPr>
        <w:t>that a jury is directed as to what the law defines a crime to be so that its task is to determine the facts and then apply the law, as directed, to those facts.</w:t>
      </w:r>
      <w:r w:rsidRPr="00E4666D">
        <w:rPr>
          <w:color w:val="000000" w:themeColor="text1"/>
          <w:sz w:val="24"/>
        </w:rPr>
        <w:t>”</w:t>
      </w:r>
      <w:r w:rsidR="00B4361C" w:rsidRPr="00E4666D">
        <w:rPr>
          <w:rStyle w:val="FootnoteReference"/>
          <w:color w:val="000000" w:themeColor="text1"/>
          <w:sz w:val="24"/>
        </w:rPr>
        <w:footnoteReference w:id="43"/>
      </w:r>
    </w:p>
    <w:p w:rsidR="00704D40" w:rsidRPr="00E4666D" w:rsidRDefault="0018688C" w:rsidP="0053080D">
      <w:pPr>
        <w:pStyle w:val="Bob1"/>
        <w:tabs>
          <w:tab w:val="clear" w:pos="720"/>
          <w:tab w:val="left" w:pos="1440"/>
        </w:tabs>
        <w:spacing w:after="120"/>
        <w:ind w:left="0" w:firstLine="0"/>
        <w:jc w:val="both"/>
        <w:rPr>
          <w:color w:val="000000" w:themeColor="text1"/>
        </w:rPr>
      </w:pPr>
      <w:r w:rsidRPr="00E4666D">
        <w:rPr>
          <w:color w:val="000000" w:themeColor="text1"/>
        </w:rPr>
        <w:t xml:space="preserve">There is </w:t>
      </w:r>
      <w:r w:rsidR="00D879FC" w:rsidRPr="00E4666D">
        <w:rPr>
          <w:color w:val="000000" w:themeColor="text1"/>
        </w:rPr>
        <w:t>support for this criticism in writings of distinguished academic authors.</w:t>
      </w:r>
      <w:r w:rsidR="00704D40" w:rsidRPr="00E4666D">
        <w:rPr>
          <w:color w:val="000000" w:themeColor="text1"/>
        </w:rPr>
        <w:t xml:space="preserve">  Thus, the authors of </w:t>
      </w:r>
      <w:r w:rsidR="00704D40" w:rsidRPr="00E4666D">
        <w:rPr>
          <w:i/>
          <w:color w:val="000000" w:themeColor="text1"/>
        </w:rPr>
        <w:t>Smith, Hogan, and Ormerod’s Criminal Law</w:t>
      </w:r>
      <w:r w:rsidR="00704D40" w:rsidRPr="00E4666D">
        <w:rPr>
          <w:color w:val="000000" w:themeColor="text1"/>
        </w:rPr>
        <w:t xml:space="preserve"> </w:t>
      </w:r>
      <w:r w:rsidRPr="00E4666D">
        <w:rPr>
          <w:color w:val="000000" w:themeColor="text1"/>
        </w:rPr>
        <w:t xml:space="preserve">disapprove of </w:t>
      </w:r>
      <w:r w:rsidR="00704D40" w:rsidRPr="00E4666D">
        <w:rPr>
          <w:color w:val="000000" w:themeColor="text1"/>
        </w:rPr>
        <w:t>the current test</w:t>
      </w:r>
      <w:r w:rsidRPr="00E4666D">
        <w:rPr>
          <w:color w:val="000000" w:themeColor="text1"/>
        </w:rPr>
        <w:t xml:space="preserve"> in the following terms</w:t>
      </w:r>
      <w:r w:rsidR="00704D40" w:rsidRPr="00E4666D">
        <w:rPr>
          <w:color w:val="000000" w:themeColor="text1"/>
        </w:rPr>
        <w:t>:</w:t>
      </w:r>
    </w:p>
    <w:p w:rsidR="00704D40" w:rsidRPr="00E4666D" w:rsidRDefault="00704D40" w:rsidP="002100C0">
      <w:pPr>
        <w:pStyle w:val="Bob1"/>
        <w:numPr>
          <w:ilvl w:val="0"/>
          <w:numId w:val="0"/>
        </w:numPr>
        <w:spacing w:line="240" w:lineRule="auto"/>
        <w:ind w:left="720"/>
        <w:jc w:val="both"/>
        <w:rPr>
          <w:color w:val="000000" w:themeColor="text1"/>
          <w:sz w:val="24"/>
        </w:rPr>
      </w:pPr>
      <w:r w:rsidRPr="00E4666D">
        <w:rPr>
          <w:color w:val="000000" w:themeColor="text1"/>
          <w:sz w:val="24"/>
        </w:rPr>
        <w:t xml:space="preserve">“The jury appear to be left with the task of deciding the scope of the offence. The test is quite unlike that in, say, applying the definition of intention, which has been supplied by the judge. In such a case, the jury looks at the facts and applies the legal definition of intention as provided by the judge. In gross negligence, the jury has to determine whether </w:t>
      </w:r>
      <w:r w:rsidRPr="00E4666D">
        <w:rPr>
          <w:color w:val="000000" w:themeColor="text1"/>
          <w:sz w:val="24"/>
        </w:rPr>
        <w:lastRenderedPageBreak/>
        <w:t>on their view the conduct should be called grossly negligent, and if so that amounts to the crime. This seems objectionable in principle.”</w:t>
      </w:r>
      <w:r w:rsidRPr="00E4666D">
        <w:rPr>
          <w:rStyle w:val="FootnoteReference"/>
          <w:color w:val="000000" w:themeColor="text1"/>
          <w:sz w:val="24"/>
        </w:rPr>
        <w:footnoteReference w:id="44"/>
      </w:r>
    </w:p>
    <w:p w:rsidR="00D879FC" w:rsidRPr="00E4666D" w:rsidRDefault="0018688C" w:rsidP="0053080D">
      <w:pPr>
        <w:pStyle w:val="Bob1"/>
        <w:tabs>
          <w:tab w:val="clear" w:pos="720"/>
          <w:tab w:val="left" w:pos="1440"/>
        </w:tabs>
        <w:spacing w:after="120"/>
        <w:ind w:left="0" w:firstLine="0"/>
        <w:jc w:val="both"/>
        <w:rPr>
          <w:color w:val="000000" w:themeColor="text1"/>
        </w:rPr>
      </w:pPr>
      <w:r w:rsidRPr="00E4666D">
        <w:rPr>
          <w:color w:val="000000" w:themeColor="text1"/>
        </w:rPr>
        <w:t xml:space="preserve">And </w:t>
      </w:r>
      <w:r w:rsidR="00704D40" w:rsidRPr="00E4666D">
        <w:rPr>
          <w:color w:val="000000" w:themeColor="text1"/>
        </w:rPr>
        <w:t>Professor Graham Virgo</w:t>
      </w:r>
      <w:r w:rsidR="00DE09A5" w:rsidRPr="00E4666D">
        <w:rPr>
          <w:color w:val="000000" w:themeColor="text1"/>
        </w:rPr>
        <w:t xml:space="preserve"> comments:</w:t>
      </w:r>
    </w:p>
    <w:p w:rsidR="00DE09A5" w:rsidRPr="00E4666D" w:rsidRDefault="00DE09A5" w:rsidP="002100C0">
      <w:pPr>
        <w:pStyle w:val="Bob1"/>
        <w:numPr>
          <w:ilvl w:val="0"/>
          <w:numId w:val="0"/>
        </w:numPr>
        <w:spacing w:line="240" w:lineRule="auto"/>
        <w:ind w:left="720"/>
        <w:jc w:val="both"/>
        <w:rPr>
          <w:color w:val="000000" w:themeColor="text1"/>
          <w:sz w:val="24"/>
        </w:rPr>
      </w:pPr>
      <w:r w:rsidRPr="00E4666D">
        <w:rPr>
          <w:color w:val="000000" w:themeColor="text1"/>
          <w:sz w:val="24"/>
        </w:rPr>
        <w:t>“Such circular reasoning is unsatisfactory and effectively constitutes an open invitation to the jury to find the defendant guilty where their gut reaction is that the defendant is guilty. This confuses to an unacceptable extent questions of law and fact. For such a serious offence as manslaughter principles need to be developed, judicial guidance must be given, otherwise the result will simply be inconsistency and unpredictability…”</w:t>
      </w:r>
      <w:r w:rsidR="0096277A" w:rsidRPr="00E4666D">
        <w:rPr>
          <w:rStyle w:val="FootnoteReference"/>
          <w:color w:val="000000" w:themeColor="text1"/>
        </w:rPr>
        <w:footnoteReference w:id="45"/>
      </w:r>
    </w:p>
    <w:p w:rsidR="00D631CB" w:rsidRPr="00E4666D" w:rsidRDefault="00D501A3" w:rsidP="002100C0">
      <w:pPr>
        <w:pStyle w:val="Bob1"/>
        <w:tabs>
          <w:tab w:val="clear" w:pos="720"/>
          <w:tab w:val="left" w:pos="1440"/>
        </w:tabs>
        <w:ind w:left="0" w:firstLine="0"/>
        <w:jc w:val="both"/>
        <w:rPr>
          <w:color w:val="000000" w:themeColor="text1"/>
        </w:rPr>
      </w:pPr>
      <w:r w:rsidRPr="00E4666D">
        <w:rPr>
          <w:color w:val="000000" w:themeColor="text1"/>
        </w:rPr>
        <w:t>W</w:t>
      </w:r>
      <w:r w:rsidR="0096277A" w:rsidRPr="00E4666D">
        <w:rPr>
          <w:color w:val="000000" w:themeColor="text1"/>
        </w:rPr>
        <w:t>ith respect, w</w:t>
      </w:r>
      <w:r w:rsidRPr="00E4666D">
        <w:rPr>
          <w:color w:val="000000" w:themeColor="text1"/>
        </w:rPr>
        <w:t xml:space="preserve">e </w:t>
      </w:r>
      <w:r w:rsidR="0096277A" w:rsidRPr="00E4666D">
        <w:rPr>
          <w:color w:val="000000" w:themeColor="text1"/>
        </w:rPr>
        <w:t xml:space="preserve">do not accept </w:t>
      </w:r>
      <w:r w:rsidRPr="00E4666D">
        <w:rPr>
          <w:color w:val="000000" w:themeColor="text1"/>
        </w:rPr>
        <w:t>the circularity</w:t>
      </w:r>
      <w:r w:rsidR="0096277A" w:rsidRPr="00E4666D">
        <w:rPr>
          <w:color w:val="000000" w:themeColor="text1"/>
        </w:rPr>
        <w:t xml:space="preserve"> argument</w:t>
      </w:r>
      <w:r w:rsidRPr="00E4666D">
        <w:rPr>
          <w:color w:val="000000" w:themeColor="text1"/>
        </w:rPr>
        <w:t xml:space="preserve">.  As we have seen, Lord Mackay in </w:t>
      </w:r>
      <w:r w:rsidRPr="00E4666D">
        <w:rPr>
          <w:i/>
          <w:color w:val="000000" w:themeColor="text1"/>
        </w:rPr>
        <w:t xml:space="preserve">Adomako </w:t>
      </w:r>
      <w:r w:rsidRPr="00E4666D">
        <w:rPr>
          <w:color w:val="000000" w:themeColor="text1"/>
        </w:rPr>
        <w:t xml:space="preserve">was prepared to nod in the direction of that </w:t>
      </w:r>
      <w:r w:rsidR="004D1BE8" w:rsidRPr="00E4666D">
        <w:rPr>
          <w:color w:val="000000" w:themeColor="text1"/>
        </w:rPr>
        <w:t>criticism</w:t>
      </w:r>
      <w:r w:rsidRPr="00E4666D">
        <w:rPr>
          <w:color w:val="000000" w:themeColor="text1"/>
        </w:rPr>
        <w:t xml:space="preserve"> by accepting that there was “an element of circularity”</w:t>
      </w:r>
      <w:r w:rsidR="004D1BE8" w:rsidRPr="00E4666D">
        <w:rPr>
          <w:color w:val="000000" w:themeColor="text1"/>
        </w:rPr>
        <w:t xml:space="preserve"> in the </w:t>
      </w:r>
      <w:r w:rsidR="001F139D" w:rsidRPr="00E4666D">
        <w:rPr>
          <w:color w:val="000000" w:themeColor="text1"/>
        </w:rPr>
        <w:t>definition</w:t>
      </w:r>
      <w:r w:rsidRPr="00E4666D">
        <w:rPr>
          <w:color w:val="000000" w:themeColor="text1"/>
        </w:rPr>
        <w:t xml:space="preserve">.  However, </w:t>
      </w:r>
      <w:r w:rsidR="004D1BE8" w:rsidRPr="00E4666D">
        <w:rPr>
          <w:color w:val="000000" w:themeColor="text1"/>
        </w:rPr>
        <w:t xml:space="preserve">he </w:t>
      </w:r>
      <w:r w:rsidR="007413A4" w:rsidRPr="00E4666D">
        <w:rPr>
          <w:color w:val="000000" w:themeColor="text1"/>
        </w:rPr>
        <w:t>was not deflected from upholding</w:t>
      </w:r>
      <w:r w:rsidR="001F139D" w:rsidRPr="00E4666D">
        <w:rPr>
          <w:color w:val="000000" w:themeColor="text1"/>
        </w:rPr>
        <w:t xml:space="preserve"> </w:t>
      </w:r>
      <w:r w:rsidR="00260349" w:rsidRPr="00E4666D">
        <w:rPr>
          <w:color w:val="000000" w:themeColor="text1"/>
        </w:rPr>
        <w:t xml:space="preserve">the objective approach.  He </w:t>
      </w:r>
      <w:r w:rsidR="00AD1333" w:rsidRPr="00E4666D">
        <w:rPr>
          <w:color w:val="000000" w:themeColor="text1"/>
        </w:rPr>
        <w:t xml:space="preserve">held to be </w:t>
      </w:r>
      <w:r w:rsidR="001F139D" w:rsidRPr="00E4666D">
        <w:rPr>
          <w:color w:val="000000" w:themeColor="text1"/>
        </w:rPr>
        <w:t xml:space="preserve">correct the </w:t>
      </w:r>
      <w:r w:rsidR="00D631CB" w:rsidRPr="00E4666D">
        <w:rPr>
          <w:color w:val="000000" w:themeColor="text1"/>
        </w:rPr>
        <w:t>“</w:t>
      </w:r>
      <w:r w:rsidR="001F139D" w:rsidRPr="00E4666D">
        <w:rPr>
          <w:color w:val="000000" w:themeColor="text1"/>
        </w:rPr>
        <w:t>test of how far conduct must depart from accepted standards to be characterised as criminal”</w:t>
      </w:r>
      <w:r w:rsidR="007413A4" w:rsidRPr="00E4666D">
        <w:rPr>
          <w:color w:val="000000" w:themeColor="text1"/>
        </w:rPr>
        <w:t xml:space="preserve">, which involves </w:t>
      </w:r>
      <w:r w:rsidR="001F139D" w:rsidRPr="00E4666D">
        <w:rPr>
          <w:color w:val="000000" w:themeColor="text1"/>
        </w:rPr>
        <w:t xml:space="preserve">“necessarily a question of degree”.  </w:t>
      </w:r>
      <w:r w:rsidR="00D631CB" w:rsidRPr="00E4666D">
        <w:rPr>
          <w:color w:val="000000" w:themeColor="text1"/>
        </w:rPr>
        <w:t xml:space="preserve">As indicated in Section C.1 above, </w:t>
      </w:r>
      <w:r w:rsidR="00477608" w:rsidRPr="00E4666D">
        <w:rPr>
          <w:color w:val="000000" w:themeColor="text1"/>
        </w:rPr>
        <w:t xml:space="preserve">that </w:t>
      </w:r>
      <w:r w:rsidR="00AD1333" w:rsidRPr="00E4666D">
        <w:rPr>
          <w:color w:val="000000" w:themeColor="text1"/>
        </w:rPr>
        <w:t xml:space="preserve">approach </w:t>
      </w:r>
      <w:r w:rsidR="00477608" w:rsidRPr="00E4666D">
        <w:rPr>
          <w:color w:val="000000" w:themeColor="text1"/>
        </w:rPr>
        <w:t xml:space="preserve">has been adopted </w:t>
      </w:r>
      <w:r w:rsidR="00AD1333" w:rsidRPr="00E4666D">
        <w:rPr>
          <w:color w:val="000000" w:themeColor="text1"/>
        </w:rPr>
        <w:t>through</w:t>
      </w:r>
      <w:r w:rsidR="00477608" w:rsidRPr="00E4666D">
        <w:rPr>
          <w:color w:val="000000" w:themeColor="text1"/>
        </w:rPr>
        <w:t>out</w:t>
      </w:r>
      <w:r w:rsidR="00AD1333" w:rsidRPr="00E4666D">
        <w:rPr>
          <w:color w:val="000000" w:themeColor="text1"/>
        </w:rPr>
        <w:t xml:space="preserve"> the </w:t>
      </w:r>
      <w:r w:rsidR="00D631CB" w:rsidRPr="00E4666D">
        <w:rPr>
          <w:color w:val="000000" w:themeColor="text1"/>
        </w:rPr>
        <w:t>authorit</w:t>
      </w:r>
      <w:r w:rsidR="00AD1333" w:rsidRPr="00E4666D">
        <w:rPr>
          <w:color w:val="000000" w:themeColor="text1"/>
        </w:rPr>
        <w:t>ies</w:t>
      </w:r>
      <w:r w:rsidR="00D631CB" w:rsidRPr="00E4666D">
        <w:rPr>
          <w:color w:val="000000" w:themeColor="text1"/>
        </w:rPr>
        <w:t xml:space="preserve"> which </w:t>
      </w:r>
      <w:r w:rsidR="00AD1333" w:rsidRPr="00E4666D">
        <w:rPr>
          <w:color w:val="000000" w:themeColor="text1"/>
        </w:rPr>
        <w:t xml:space="preserve">have </w:t>
      </w:r>
      <w:r w:rsidR="00D631CB" w:rsidRPr="00E4666D">
        <w:rPr>
          <w:color w:val="000000" w:themeColor="text1"/>
        </w:rPr>
        <w:t>consistently placed a very high degree of negligence at the heart of the definition of GNM.</w:t>
      </w:r>
      <w:r w:rsidR="0018688C" w:rsidRPr="00E4666D">
        <w:rPr>
          <w:color w:val="000000" w:themeColor="text1"/>
        </w:rPr>
        <w:t xml:space="preserve">  </w:t>
      </w:r>
    </w:p>
    <w:p w:rsidR="006D2EE1" w:rsidRPr="00E4666D" w:rsidRDefault="00D31D42" w:rsidP="0053080D">
      <w:pPr>
        <w:pStyle w:val="Bob1"/>
        <w:tabs>
          <w:tab w:val="clear" w:pos="720"/>
          <w:tab w:val="left" w:pos="1440"/>
        </w:tabs>
        <w:spacing w:after="120"/>
        <w:ind w:left="0" w:firstLine="0"/>
        <w:jc w:val="both"/>
        <w:rPr>
          <w:color w:val="000000" w:themeColor="text1"/>
        </w:rPr>
      </w:pPr>
      <w:r w:rsidRPr="00E4666D">
        <w:rPr>
          <w:color w:val="000000" w:themeColor="text1"/>
        </w:rPr>
        <w:t>A</w:t>
      </w:r>
      <w:r w:rsidR="0018688C" w:rsidRPr="00E4666D">
        <w:rPr>
          <w:color w:val="000000" w:themeColor="text1"/>
        </w:rPr>
        <w:t>s Lord Mackay pointed out</w:t>
      </w:r>
      <w:r w:rsidR="0096277A" w:rsidRPr="00E4666D">
        <w:rPr>
          <w:color w:val="000000" w:themeColor="text1"/>
        </w:rPr>
        <w:t>, such a question of degree</w:t>
      </w:r>
      <w:r w:rsidRPr="00E4666D">
        <w:rPr>
          <w:color w:val="000000" w:themeColor="text1"/>
        </w:rPr>
        <w:t xml:space="preserve"> is</w:t>
      </w:r>
      <w:r w:rsidR="0018688C" w:rsidRPr="00E4666D">
        <w:rPr>
          <w:color w:val="000000" w:themeColor="text1"/>
        </w:rPr>
        <w:t xml:space="preserve"> “supremely a jury question”</w:t>
      </w:r>
      <w:r w:rsidR="0096277A" w:rsidRPr="00E4666D">
        <w:rPr>
          <w:color w:val="000000" w:themeColor="text1"/>
        </w:rPr>
        <w:t>.  H</w:t>
      </w:r>
      <w:r w:rsidR="0018688C" w:rsidRPr="00E4666D">
        <w:rPr>
          <w:color w:val="000000" w:themeColor="text1"/>
        </w:rPr>
        <w:t xml:space="preserve">aving regard to the risk of death </w:t>
      </w:r>
      <w:r w:rsidR="0096277A" w:rsidRPr="00E4666D">
        <w:rPr>
          <w:color w:val="000000" w:themeColor="text1"/>
        </w:rPr>
        <w:t xml:space="preserve">that was necessarily </w:t>
      </w:r>
      <w:r w:rsidR="0018688C" w:rsidRPr="00E4666D">
        <w:rPr>
          <w:color w:val="000000" w:themeColor="text1"/>
        </w:rPr>
        <w:t xml:space="preserve">involved, </w:t>
      </w:r>
      <w:r w:rsidR="0096277A" w:rsidRPr="00E4666D">
        <w:rPr>
          <w:color w:val="000000" w:themeColor="text1"/>
        </w:rPr>
        <w:t xml:space="preserve">they are </w:t>
      </w:r>
      <w:r w:rsidR="00991FB4" w:rsidRPr="00E4666D">
        <w:rPr>
          <w:color w:val="000000" w:themeColor="text1"/>
        </w:rPr>
        <w:t xml:space="preserve">asked </w:t>
      </w:r>
      <w:r w:rsidR="006D2EE1" w:rsidRPr="00E4666D">
        <w:rPr>
          <w:color w:val="000000" w:themeColor="text1"/>
        </w:rPr>
        <w:t xml:space="preserve">to </w:t>
      </w:r>
      <w:r w:rsidR="0096277A" w:rsidRPr="00E4666D">
        <w:rPr>
          <w:color w:val="000000" w:themeColor="text1"/>
        </w:rPr>
        <w:t xml:space="preserve">find the facts and to </w:t>
      </w:r>
      <w:r w:rsidR="006D2EE1" w:rsidRPr="00E4666D">
        <w:rPr>
          <w:color w:val="000000" w:themeColor="text1"/>
        </w:rPr>
        <w:t>assess</w:t>
      </w:r>
      <w:r w:rsidR="008A38A1" w:rsidRPr="00E4666D">
        <w:rPr>
          <w:color w:val="000000" w:themeColor="text1"/>
        </w:rPr>
        <w:t xml:space="preserve"> the</w:t>
      </w:r>
      <w:r w:rsidR="0096277A" w:rsidRPr="00E4666D">
        <w:rPr>
          <w:color w:val="000000" w:themeColor="text1"/>
        </w:rPr>
        <w:t xml:space="preserve"> degree </w:t>
      </w:r>
      <w:r w:rsidR="008A38A1" w:rsidRPr="00E4666D">
        <w:rPr>
          <w:color w:val="000000" w:themeColor="text1"/>
        </w:rPr>
        <w:t xml:space="preserve">to which </w:t>
      </w:r>
      <w:r w:rsidR="0018688C" w:rsidRPr="00E4666D">
        <w:rPr>
          <w:color w:val="000000" w:themeColor="text1"/>
        </w:rPr>
        <w:t xml:space="preserve">the defendant’s conduct was </w:t>
      </w:r>
      <w:r w:rsidR="0096277A" w:rsidRPr="00E4666D">
        <w:rPr>
          <w:color w:val="000000" w:themeColor="text1"/>
        </w:rPr>
        <w:t xml:space="preserve">negligent </w:t>
      </w:r>
      <w:r w:rsidR="008A38A1" w:rsidRPr="00E4666D">
        <w:rPr>
          <w:color w:val="000000" w:themeColor="text1"/>
        </w:rPr>
        <w:t xml:space="preserve">in all the circumstances </w:t>
      </w:r>
      <w:r w:rsidR="0096277A" w:rsidRPr="00E4666D">
        <w:rPr>
          <w:color w:val="000000" w:themeColor="text1"/>
        </w:rPr>
        <w:t xml:space="preserve">– </w:t>
      </w:r>
      <w:r w:rsidR="00AD1333" w:rsidRPr="00E4666D">
        <w:rPr>
          <w:color w:val="000000" w:themeColor="text1"/>
        </w:rPr>
        <w:t xml:space="preserve">to assess </w:t>
      </w:r>
      <w:r w:rsidR="0096277A" w:rsidRPr="00E4666D">
        <w:rPr>
          <w:color w:val="000000" w:themeColor="text1"/>
        </w:rPr>
        <w:t>how far</w:t>
      </w:r>
      <w:r w:rsidR="008A38A1" w:rsidRPr="00E4666D">
        <w:rPr>
          <w:color w:val="000000" w:themeColor="text1"/>
        </w:rPr>
        <w:t>, if at all,</w:t>
      </w:r>
      <w:r w:rsidR="0096277A" w:rsidRPr="00E4666D">
        <w:rPr>
          <w:color w:val="000000" w:themeColor="text1"/>
        </w:rPr>
        <w:t xml:space="preserve"> it fell short of the minimum standard of care reasonably to be expected</w:t>
      </w:r>
      <w:r w:rsidR="0018688C" w:rsidRPr="00E4666D">
        <w:rPr>
          <w:color w:val="000000" w:themeColor="text1"/>
        </w:rPr>
        <w:t xml:space="preserve">.  </w:t>
      </w:r>
      <w:r w:rsidRPr="00E4666D">
        <w:rPr>
          <w:color w:val="000000" w:themeColor="text1"/>
        </w:rPr>
        <w:t xml:space="preserve">The </w:t>
      </w:r>
      <w:r w:rsidR="00642D50" w:rsidRPr="00E4666D">
        <w:rPr>
          <w:color w:val="000000" w:themeColor="text1"/>
        </w:rPr>
        <w:t xml:space="preserve">Judge </w:t>
      </w:r>
      <w:r w:rsidR="006D2EE1" w:rsidRPr="00E4666D">
        <w:rPr>
          <w:color w:val="000000" w:themeColor="text1"/>
        </w:rPr>
        <w:t>directs</w:t>
      </w:r>
      <w:r w:rsidR="00642D50" w:rsidRPr="00E4666D">
        <w:rPr>
          <w:color w:val="000000" w:themeColor="text1"/>
        </w:rPr>
        <w:t xml:space="preserve"> them </w:t>
      </w:r>
      <w:r w:rsidRPr="00E4666D">
        <w:rPr>
          <w:color w:val="000000" w:themeColor="text1"/>
        </w:rPr>
        <w:t xml:space="preserve">that </w:t>
      </w:r>
      <w:r w:rsidR="00642D50" w:rsidRPr="00E4666D">
        <w:rPr>
          <w:color w:val="000000" w:themeColor="text1"/>
        </w:rPr>
        <w:t xml:space="preserve">the offence </w:t>
      </w:r>
      <w:r w:rsidR="00991FB4" w:rsidRPr="00E4666D">
        <w:rPr>
          <w:color w:val="000000" w:themeColor="text1"/>
        </w:rPr>
        <w:t xml:space="preserve">is only constituted upon </w:t>
      </w:r>
      <w:r w:rsidR="006D2EE1" w:rsidRPr="00E4666D">
        <w:rPr>
          <w:color w:val="000000" w:themeColor="text1"/>
        </w:rPr>
        <w:t xml:space="preserve">proof </w:t>
      </w:r>
      <w:r w:rsidRPr="00E4666D">
        <w:rPr>
          <w:color w:val="000000" w:themeColor="text1"/>
        </w:rPr>
        <w:t>that the defendant was guilty of a very high degree of negligence in all the circumstances</w:t>
      </w:r>
      <w:r w:rsidR="00642D50" w:rsidRPr="00E4666D">
        <w:rPr>
          <w:color w:val="000000" w:themeColor="text1"/>
        </w:rPr>
        <w:t>.</w:t>
      </w:r>
      <w:r w:rsidR="00654E8B" w:rsidRPr="00E4666D">
        <w:rPr>
          <w:rStyle w:val="FootnoteReference"/>
          <w:color w:val="000000" w:themeColor="text1"/>
        </w:rPr>
        <w:footnoteReference w:id="46"/>
      </w:r>
      <w:r w:rsidR="00642D50" w:rsidRPr="00E4666D">
        <w:rPr>
          <w:color w:val="000000" w:themeColor="text1"/>
        </w:rPr>
        <w:t xml:space="preserve">  </w:t>
      </w:r>
      <w:r w:rsidR="00AD1333" w:rsidRPr="00E4666D">
        <w:rPr>
          <w:color w:val="000000" w:themeColor="text1"/>
        </w:rPr>
        <w:t>In our view, t</w:t>
      </w:r>
      <w:r w:rsidR="006D2EE1" w:rsidRPr="00E4666D">
        <w:rPr>
          <w:color w:val="000000" w:themeColor="text1"/>
        </w:rPr>
        <w:t>he</w:t>
      </w:r>
      <w:r w:rsidR="002A417D" w:rsidRPr="00E4666D">
        <w:rPr>
          <w:color w:val="000000" w:themeColor="text1"/>
        </w:rPr>
        <w:t xml:space="preserve"> test is </w:t>
      </w:r>
      <w:r w:rsidR="002A417D" w:rsidRPr="00E4666D">
        <w:rPr>
          <w:color w:val="000000" w:themeColor="text1"/>
        </w:rPr>
        <w:lastRenderedPageBreak/>
        <w:t>not circular and the</w:t>
      </w:r>
      <w:r w:rsidR="006D2EE1" w:rsidRPr="00E4666D">
        <w:rPr>
          <w:color w:val="000000" w:themeColor="text1"/>
        </w:rPr>
        <w:t xml:space="preserve">re is no abdication of the judge’s role of </w:t>
      </w:r>
      <w:r w:rsidR="00991FB4" w:rsidRPr="00E4666D">
        <w:rPr>
          <w:color w:val="000000" w:themeColor="text1"/>
        </w:rPr>
        <w:t>defining the offence</w:t>
      </w:r>
      <w:r w:rsidR="00AD1333" w:rsidRPr="00E4666D">
        <w:rPr>
          <w:color w:val="000000" w:themeColor="text1"/>
        </w:rPr>
        <w:t xml:space="preserve"> for the jury</w:t>
      </w:r>
      <w:r w:rsidR="00991FB4" w:rsidRPr="00E4666D">
        <w:rPr>
          <w:color w:val="000000" w:themeColor="text1"/>
        </w:rPr>
        <w:t xml:space="preserve">.  </w:t>
      </w:r>
      <w:r w:rsidR="008F0F95" w:rsidRPr="00E4666D">
        <w:rPr>
          <w:color w:val="000000" w:themeColor="text1"/>
        </w:rPr>
        <w:t xml:space="preserve">As Judge LJ explained in </w:t>
      </w:r>
      <w:r w:rsidR="008F0F95" w:rsidRPr="00E4666D">
        <w:rPr>
          <w:i/>
          <w:color w:val="000000" w:themeColor="text1"/>
        </w:rPr>
        <w:t>R v Misra and Srivastava</w:t>
      </w:r>
      <w:r w:rsidR="008F0F95" w:rsidRPr="00E4666D">
        <w:rPr>
          <w:color w:val="000000" w:themeColor="text1"/>
        </w:rPr>
        <w:t>:</w:t>
      </w:r>
    </w:p>
    <w:p w:rsidR="008F0F95" w:rsidRPr="00E4666D" w:rsidRDefault="008F0F95" w:rsidP="002100C0">
      <w:pPr>
        <w:pStyle w:val="Bob1"/>
        <w:numPr>
          <w:ilvl w:val="0"/>
          <w:numId w:val="0"/>
        </w:numPr>
        <w:spacing w:line="240" w:lineRule="auto"/>
        <w:ind w:left="720"/>
        <w:jc w:val="both"/>
        <w:rPr>
          <w:color w:val="000000" w:themeColor="text1"/>
          <w:sz w:val="24"/>
        </w:rPr>
      </w:pPr>
      <w:r w:rsidRPr="00E4666D">
        <w:rPr>
          <w:color w:val="000000" w:themeColor="text1"/>
          <w:sz w:val="24"/>
        </w:rPr>
        <w:t xml:space="preserve">“On proper analysis, therefore, the jury is not deciding whether the particular defendant ought to be convicted on some unprincipled basis. The question for the jury is not whether the defendant's negligence was gross, and whether, </w:t>
      </w:r>
      <w:r w:rsidRPr="00E4666D">
        <w:rPr>
          <w:i/>
          <w:color w:val="000000" w:themeColor="text1"/>
          <w:sz w:val="24"/>
        </w:rPr>
        <w:t>additionally</w:t>
      </w:r>
      <w:r w:rsidRPr="00E4666D">
        <w:rPr>
          <w:color w:val="000000" w:themeColor="text1"/>
          <w:sz w:val="24"/>
        </w:rPr>
        <w:t xml:space="preserve">, it was a crime, but whether his behaviour was grossly negligent and </w:t>
      </w:r>
      <w:r w:rsidRPr="00E4666D">
        <w:rPr>
          <w:i/>
          <w:color w:val="000000" w:themeColor="text1"/>
          <w:sz w:val="24"/>
        </w:rPr>
        <w:t xml:space="preserve">consequently </w:t>
      </w:r>
      <w:r w:rsidRPr="00E4666D">
        <w:rPr>
          <w:color w:val="000000" w:themeColor="text1"/>
          <w:sz w:val="24"/>
        </w:rPr>
        <w:t>criminal. This is not a question of law, but one of fact, for decision in the individual case.”</w:t>
      </w:r>
      <w:r w:rsidRPr="00E4666D">
        <w:rPr>
          <w:rStyle w:val="FootnoteReference"/>
          <w:color w:val="000000" w:themeColor="text1"/>
          <w:sz w:val="24"/>
        </w:rPr>
        <w:footnoteReference w:id="47"/>
      </w:r>
    </w:p>
    <w:p w:rsidR="00497A39" w:rsidRPr="00E4666D" w:rsidRDefault="006D2EE1" w:rsidP="0053080D">
      <w:pPr>
        <w:pStyle w:val="Bob1"/>
        <w:tabs>
          <w:tab w:val="clear" w:pos="720"/>
          <w:tab w:val="left" w:pos="1440"/>
        </w:tabs>
        <w:spacing w:after="120"/>
        <w:ind w:left="0" w:firstLine="0"/>
        <w:jc w:val="both"/>
        <w:rPr>
          <w:color w:val="000000" w:themeColor="text1"/>
        </w:rPr>
      </w:pPr>
      <w:r w:rsidRPr="00E4666D">
        <w:rPr>
          <w:color w:val="000000" w:themeColor="text1"/>
        </w:rPr>
        <w:t xml:space="preserve">It is true that the jury are </w:t>
      </w:r>
      <w:r w:rsidR="008A38A1" w:rsidRPr="00E4666D">
        <w:rPr>
          <w:color w:val="000000" w:themeColor="text1"/>
        </w:rPr>
        <w:t xml:space="preserve">here </w:t>
      </w:r>
      <w:r w:rsidRPr="00E4666D">
        <w:rPr>
          <w:color w:val="000000" w:themeColor="text1"/>
        </w:rPr>
        <w:t xml:space="preserve">not dealing with simple </w:t>
      </w:r>
      <w:r w:rsidR="00C36824" w:rsidRPr="00E4666D">
        <w:rPr>
          <w:color w:val="000000" w:themeColor="text1"/>
        </w:rPr>
        <w:t xml:space="preserve">questions </w:t>
      </w:r>
      <w:r w:rsidR="00346E35" w:rsidRPr="00E4666D">
        <w:rPr>
          <w:color w:val="000000" w:themeColor="text1"/>
        </w:rPr>
        <w:t xml:space="preserve">of </w:t>
      </w:r>
      <w:r w:rsidRPr="00E4666D">
        <w:rPr>
          <w:color w:val="000000" w:themeColor="text1"/>
        </w:rPr>
        <w:t>fact, such as whether a certain act was performed</w:t>
      </w:r>
      <w:r w:rsidR="008A38A1" w:rsidRPr="00E4666D">
        <w:rPr>
          <w:color w:val="000000" w:themeColor="text1"/>
        </w:rPr>
        <w:t xml:space="preserve"> or whether the accused was correctly identified as the offender</w:t>
      </w:r>
      <w:r w:rsidRPr="00E4666D">
        <w:rPr>
          <w:color w:val="000000" w:themeColor="text1"/>
        </w:rPr>
        <w:t xml:space="preserve">.  </w:t>
      </w:r>
      <w:r w:rsidR="00BC7FDF" w:rsidRPr="00E4666D">
        <w:rPr>
          <w:color w:val="000000" w:themeColor="text1"/>
        </w:rPr>
        <w:t xml:space="preserve">And often the jury will be assisted by expert evidence.  </w:t>
      </w:r>
      <w:r w:rsidRPr="00E4666D">
        <w:rPr>
          <w:color w:val="000000" w:themeColor="text1"/>
        </w:rPr>
        <w:t xml:space="preserve">They </w:t>
      </w:r>
      <w:r w:rsidR="00C36824" w:rsidRPr="00E4666D">
        <w:rPr>
          <w:color w:val="000000" w:themeColor="text1"/>
        </w:rPr>
        <w:t xml:space="preserve">are asked </w:t>
      </w:r>
      <w:r w:rsidR="00D7461F" w:rsidRPr="00E4666D">
        <w:rPr>
          <w:color w:val="000000" w:themeColor="text1"/>
        </w:rPr>
        <w:t xml:space="preserve">in this context </w:t>
      </w:r>
      <w:r w:rsidR="00C36824" w:rsidRPr="00E4666D">
        <w:rPr>
          <w:color w:val="000000" w:themeColor="text1"/>
        </w:rPr>
        <w:t>to make</w:t>
      </w:r>
      <w:r w:rsidRPr="00E4666D">
        <w:rPr>
          <w:color w:val="000000" w:themeColor="text1"/>
        </w:rPr>
        <w:t xml:space="preserve"> findings on </w:t>
      </w:r>
      <w:r w:rsidR="00D7461F" w:rsidRPr="00E4666D">
        <w:rPr>
          <w:color w:val="000000" w:themeColor="text1"/>
        </w:rPr>
        <w:t>a question</w:t>
      </w:r>
      <w:r w:rsidRPr="00E4666D">
        <w:rPr>
          <w:color w:val="000000" w:themeColor="text1"/>
        </w:rPr>
        <w:t xml:space="preserve"> of degree </w:t>
      </w:r>
      <w:r w:rsidR="00C36824" w:rsidRPr="00E4666D">
        <w:rPr>
          <w:color w:val="000000" w:themeColor="text1"/>
        </w:rPr>
        <w:t xml:space="preserve">and to exercise an </w:t>
      </w:r>
      <w:r w:rsidRPr="00E4666D">
        <w:rPr>
          <w:color w:val="000000" w:themeColor="text1"/>
        </w:rPr>
        <w:t>evaluative function</w:t>
      </w:r>
      <w:r w:rsidR="00C36824" w:rsidRPr="00E4666D">
        <w:rPr>
          <w:color w:val="000000" w:themeColor="text1"/>
        </w:rPr>
        <w:t xml:space="preserve"> on the basis of the findings made</w:t>
      </w:r>
      <w:r w:rsidRPr="00E4666D">
        <w:rPr>
          <w:color w:val="000000" w:themeColor="text1"/>
        </w:rPr>
        <w:t xml:space="preserve">.  </w:t>
      </w:r>
      <w:r w:rsidR="00D7461F" w:rsidRPr="00E4666D">
        <w:rPr>
          <w:color w:val="000000" w:themeColor="text1"/>
        </w:rPr>
        <w:t>It is not unusual for the law to assign such an evaluative function</w:t>
      </w:r>
      <w:r w:rsidR="002A417D" w:rsidRPr="00E4666D">
        <w:rPr>
          <w:color w:val="000000" w:themeColor="text1"/>
        </w:rPr>
        <w:t xml:space="preserve"> to the jury</w:t>
      </w:r>
      <w:r w:rsidR="00D7461F" w:rsidRPr="00E4666D">
        <w:rPr>
          <w:color w:val="000000" w:themeColor="text1"/>
        </w:rPr>
        <w:t xml:space="preserve">, looking to them as the appropriate tribunal for the ascertainment of community standards.  </w:t>
      </w:r>
      <w:r w:rsidR="002A417D" w:rsidRPr="00E4666D">
        <w:rPr>
          <w:color w:val="000000" w:themeColor="text1"/>
        </w:rPr>
        <w:t xml:space="preserve">This was pointed out by Judge LJ in </w:t>
      </w:r>
      <w:r w:rsidR="002A417D" w:rsidRPr="00E4666D">
        <w:rPr>
          <w:i/>
          <w:color w:val="000000" w:themeColor="text1"/>
        </w:rPr>
        <w:t>Misra</w:t>
      </w:r>
      <w:r w:rsidR="002A417D" w:rsidRPr="00E4666D">
        <w:rPr>
          <w:color w:val="000000" w:themeColor="text1"/>
        </w:rPr>
        <w:t>:</w:t>
      </w:r>
    </w:p>
    <w:p w:rsidR="002A417D" w:rsidRPr="00E4666D" w:rsidRDefault="002A417D" w:rsidP="002100C0">
      <w:pPr>
        <w:pStyle w:val="Bob1"/>
        <w:numPr>
          <w:ilvl w:val="0"/>
          <w:numId w:val="0"/>
        </w:numPr>
        <w:spacing w:line="240" w:lineRule="auto"/>
        <w:ind w:left="720"/>
        <w:jc w:val="both"/>
        <w:rPr>
          <w:color w:val="000000" w:themeColor="text1"/>
          <w:sz w:val="24"/>
        </w:rPr>
      </w:pPr>
      <w:r w:rsidRPr="00E4666D">
        <w:rPr>
          <w:color w:val="000000" w:themeColor="text1"/>
          <w:sz w:val="24"/>
        </w:rPr>
        <w:t>“... this represents one example, among many, of problems which juries are expected to address on a daily basis. They include equally difficult questions, such as whether a defendant has acted dishonestly, by reference to contemporary standards, or whether he has acted in reasonable self-defence, or, when charged with causing death by dangerous driving, whether the standards of his driving fell far below what should be expected of a competent and careful driver. These examples represent the commonplace for juries.”</w:t>
      </w:r>
      <w:r w:rsidR="003A6DCC" w:rsidRPr="00E4666D">
        <w:rPr>
          <w:rStyle w:val="FootnoteReference"/>
          <w:color w:val="000000" w:themeColor="text1"/>
          <w:sz w:val="24"/>
        </w:rPr>
        <w:footnoteReference w:id="48"/>
      </w:r>
    </w:p>
    <w:p w:rsidR="00076C9D" w:rsidRPr="00883069" w:rsidRDefault="00076C9D" w:rsidP="00BC7A58">
      <w:pPr>
        <w:pStyle w:val="docmapheading"/>
        <w:keepNext/>
        <w:rPr>
          <w:b/>
          <w:color w:val="000000" w:themeColor="text1"/>
        </w:rPr>
      </w:pPr>
      <w:r w:rsidRPr="00883069">
        <w:rPr>
          <w:b/>
          <w:color w:val="000000" w:themeColor="text1"/>
        </w:rPr>
        <w:t>D.2</w:t>
      </w:r>
      <w:r w:rsidRPr="00883069">
        <w:rPr>
          <w:b/>
          <w:color w:val="000000" w:themeColor="text1"/>
        </w:rPr>
        <w:tab/>
        <w:t xml:space="preserve">Gross negligence as the basis of culpability </w:t>
      </w:r>
    </w:p>
    <w:p w:rsidR="00076C9D" w:rsidRPr="00E4666D" w:rsidRDefault="00BC7A58" w:rsidP="002100C0">
      <w:pPr>
        <w:pStyle w:val="Bob1"/>
        <w:tabs>
          <w:tab w:val="clear" w:pos="720"/>
          <w:tab w:val="left" w:pos="1440"/>
        </w:tabs>
        <w:ind w:left="0" w:firstLine="0"/>
        <w:jc w:val="both"/>
        <w:rPr>
          <w:color w:val="000000" w:themeColor="text1"/>
        </w:rPr>
      </w:pPr>
      <w:r w:rsidRPr="00E4666D">
        <w:rPr>
          <w:color w:val="000000" w:themeColor="text1"/>
        </w:rPr>
        <w:t xml:space="preserve">The next argument in favour of replacing manslaughter by gross negligence with manslaughter by recklessness involves the proposition that manslaughter is a very serious offence and that in principle, liability should depend on proof of culpability involving the defendant’s awareness of the risk of causing death rather than application of an objective standard.  </w:t>
      </w:r>
      <w:r w:rsidR="00306E0E" w:rsidRPr="00E4666D">
        <w:rPr>
          <w:color w:val="000000" w:themeColor="text1"/>
        </w:rPr>
        <w:t xml:space="preserve">As we have seen, the </w:t>
      </w:r>
      <w:r w:rsidR="00306E0E" w:rsidRPr="00E4666D">
        <w:rPr>
          <w:color w:val="000000" w:themeColor="text1"/>
        </w:rPr>
        <w:lastRenderedPageBreak/>
        <w:t>authorities establish that while evidence of a reckless state of mind is relevant to proving gross negligence, recklessness is not a required ingredient of GNM.</w:t>
      </w:r>
    </w:p>
    <w:p w:rsidR="00BC7A58" w:rsidRPr="00E4666D" w:rsidRDefault="0099733B" w:rsidP="002100C0">
      <w:pPr>
        <w:pStyle w:val="Bob1"/>
        <w:tabs>
          <w:tab w:val="clear" w:pos="720"/>
          <w:tab w:val="left" w:pos="1440"/>
        </w:tabs>
        <w:ind w:left="0" w:firstLine="0"/>
        <w:jc w:val="both"/>
        <w:rPr>
          <w:color w:val="000000" w:themeColor="text1"/>
        </w:rPr>
      </w:pPr>
      <w:r w:rsidRPr="00E4666D">
        <w:rPr>
          <w:color w:val="000000" w:themeColor="text1"/>
        </w:rPr>
        <w:t>The premise of the appellant’s</w:t>
      </w:r>
      <w:r w:rsidR="00FF5856" w:rsidRPr="00E4666D">
        <w:rPr>
          <w:color w:val="000000" w:themeColor="text1"/>
        </w:rPr>
        <w:t xml:space="preserve"> argument appears to be that </w:t>
      </w:r>
      <w:r w:rsidR="00422B89" w:rsidRPr="00E4666D">
        <w:rPr>
          <w:color w:val="000000" w:themeColor="text1"/>
        </w:rPr>
        <w:t xml:space="preserve">in adopting an objective standard, </w:t>
      </w:r>
      <w:r w:rsidR="00FF5856" w:rsidRPr="00E4666D">
        <w:rPr>
          <w:color w:val="000000" w:themeColor="text1"/>
        </w:rPr>
        <w:t xml:space="preserve">the GNM offence as defined in the </w:t>
      </w:r>
      <w:r w:rsidR="00FF5856" w:rsidRPr="00E4666D">
        <w:rPr>
          <w:i/>
          <w:color w:val="000000" w:themeColor="text1"/>
        </w:rPr>
        <w:t xml:space="preserve">Adomako </w:t>
      </w:r>
      <w:r w:rsidR="00FF5856" w:rsidRPr="00E4666D">
        <w:rPr>
          <w:color w:val="000000" w:themeColor="text1"/>
        </w:rPr>
        <w:t xml:space="preserve">line of cases does not require proof of </w:t>
      </w:r>
      <w:r w:rsidR="003B79B8" w:rsidRPr="00E4666D">
        <w:rPr>
          <w:color w:val="000000" w:themeColor="text1"/>
        </w:rPr>
        <w:t xml:space="preserve">conduct which is or is sufficiently morally </w:t>
      </w:r>
      <w:r w:rsidR="00FF5856" w:rsidRPr="00E4666D">
        <w:rPr>
          <w:color w:val="000000" w:themeColor="text1"/>
        </w:rPr>
        <w:t xml:space="preserve">culpable </w:t>
      </w:r>
      <w:r w:rsidR="00CE0655" w:rsidRPr="00E4666D">
        <w:rPr>
          <w:color w:val="000000" w:themeColor="text1"/>
        </w:rPr>
        <w:t>to justify conviction for manslaughter</w:t>
      </w:r>
      <w:r w:rsidR="00FF5856" w:rsidRPr="00E4666D">
        <w:rPr>
          <w:color w:val="000000" w:themeColor="text1"/>
        </w:rPr>
        <w:t xml:space="preserve">.  We do not accept that premise.  </w:t>
      </w:r>
      <w:r w:rsidR="00CE0655" w:rsidRPr="00E4666D">
        <w:rPr>
          <w:color w:val="000000" w:themeColor="text1"/>
        </w:rPr>
        <w:t xml:space="preserve">The offence requires proof that the defendant, who owed a duty of care to the deceased, breached that duty causing the deceased’s death when in all the circumstances, the defendant’s conduct fell so far short of what could reasonably </w:t>
      </w:r>
      <w:r w:rsidR="00465CCD" w:rsidRPr="00E4666D">
        <w:rPr>
          <w:color w:val="000000" w:themeColor="text1"/>
        </w:rPr>
        <w:t xml:space="preserve">be </w:t>
      </w:r>
      <w:r w:rsidR="00CE0655" w:rsidRPr="00E4666D">
        <w:rPr>
          <w:color w:val="000000" w:themeColor="text1"/>
        </w:rPr>
        <w:t xml:space="preserve">expected of him or her so that such conduct </w:t>
      </w:r>
      <w:r w:rsidR="00465CCD" w:rsidRPr="00E4666D">
        <w:rPr>
          <w:color w:val="000000" w:themeColor="text1"/>
        </w:rPr>
        <w:t xml:space="preserve">is </w:t>
      </w:r>
      <w:r w:rsidR="003B79B8" w:rsidRPr="00E4666D">
        <w:rPr>
          <w:color w:val="000000" w:themeColor="text1"/>
        </w:rPr>
        <w:t>properly</w:t>
      </w:r>
      <w:r w:rsidR="00CE0655" w:rsidRPr="00E4666D">
        <w:rPr>
          <w:color w:val="000000" w:themeColor="text1"/>
        </w:rPr>
        <w:t xml:space="preserve"> characterised as grossly negligent.  In our view, such conduct is justifiably treated as highly culpable and deserving of being </w:t>
      </w:r>
      <w:r w:rsidR="00A839E9" w:rsidRPr="00E4666D">
        <w:rPr>
          <w:color w:val="000000" w:themeColor="text1"/>
        </w:rPr>
        <w:t>castigated as</w:t>
      </w:r>
      <w:r w:rsidR="00CE0655" w:rsidRPr="00E4666D">
        <w:rPr>
          <w:color w:val="000000" w:themeColor="text1"/>
        </w:rPr>
        <w:t xml:space="preserve"> manslaughter.</w:t>
      </w:r>
    </w:p>
    <w:p w:rsidR="00306E0E" w:rsidRPr="00E4666D" w:rsidRDefault="00B57306" w:rsidP="0053080D">
      <w:pPr>
        <w:pStyle w:val="Bob1"/>
        <w:tabs>
          <w:tab w:val="clear" w:pos="720"/>
          <w:tab w:val="left" w:pos="1440"/>
        </w:tabs>
        <w:spacing w:after="120"/>
        <w:ind w:left="0" w:firstLine="0"/>
        <w:jc w:val="both"/>
        <w:rPr>
          <w:color w:val="000000" w:themeColor="text1"/>
        </w:rPr>
      </w:pPr>
      <w:r w:rsidRPr="00E4666D">
        <w:rPr>
          <w:color w:val="000000" w:themeColor="text1"/>
        </w:rPr>
        <w:t xml:space="preserve">Thus, in </w:t>
      </w:r>
      <w:r w:rsidRPr="00E4666D">
        <w:rPr>
          <w:i/>
          <w:color w:val="000000" w:themeColor="text1"/>
        </w:rPr>
        <w:t>Bateman</w:t>
      </w:r>
      <w:r w:rsidRPr="00E4666D">
        <w:rPr>
          <w:color w:val="000000" w:themeColor="text1"/>
        </w:rPr>
        <w:t>,</w:t>
      </w:r>
      <w:r w:rsidRPr="00E4666D">
        <w:rPr>
          <w:rStyle w:val="FootnoteReference"/>
          <w:color w:val="000000" w:themeColor="text1"/>
        </w:rPr>
        <w:footnoteReference w:id="49"/>
      </w:r>
      <w:r w:rsidRPr="00E4666D">
        <w:rPr>
          <w:color w:val="000000" w:themeColor="text1"/>
        </w:rPr>
        <w:t xml:space="preserve"> regarding </w:t>
      </w:r>
      <w:r w:rsidR="005435C9" w:rsidRPr="00E4666D">
        <w:rPr>
          <w:color w:val="000000" w:themeColor="text1"/>
        </w:rPr>
        <w:t xml:space="preserve">the </w:t>
      </w:r>
      <w:r w:rsidRPr="00E4666D">
        <w:rPr>
          <w:color w:val="000000" w:themeColor="text1"/>
        </w:rPr>
        <w:t>culpability associated with the offence, Hewart LCJ observed:</w:t>
      </w:r>
    </w:p>
    <w:p w:rsidR="00B57306" w:rsidRPr="00E4666D" w:rsidRDefault="00B57306" w:rsidP="002100C0">
      <w:pPr>
        <w:pStyle w:val="Bob1"/>
        <w:numPr>
          <w:ilvl w:val="0"/>
          <w:numId w:val="0"/>
        </w:numPr>
        <w:spacing w:line="240" w:lineRule="auto"/>
        <w:ind w:left="720"/>
        <w:jc w:val="both"/>
        <w:rPr>
          <w:color w:val="000000" w:themeColor="text1"/>
          <w:sz w:val="24"/>
          <w:szCs w:val="24"/>
        </w:rPr>
      </w:pPr>
      <w:r w:rsidRPr="00E4666D">
        <w:rPr>
          <w:color w:val="000000" w:themeColor="text1"/>
          <w:sz w:val="24"/>
        </w:rPr>
        <w:t>“</w:t>
      </w:r>
      <w:r w:rsidRPr="00E4666D">
        <w:rPr>
          <w:color w:val="000000" w:themeColor="text1"/>
          <w:sz w:val="24"/>
          <w:szCs w:val="24"/>
        </w:rPr>
        <w:t>In explaining to juries the test which they should apply to determine whether the negligence, in the particular case, amounted or did not amount to a crime, judges have used many epithets, such as ‘culpable,’ ‘criminal,’ ‘gross,’ ‘wicked,’ ‘clear,’ ‘complete.’ But, whatever epithet be used and whether an epithet be used or not, in order to establish criminal liability the facts must be such that, in the opinion of the jury, the negligence of the accused went beyond a mere matter of compensation between subjects and showed such disregard for the life and safety of others as to amount to a crime against the State and conduct deserving punishment.”</w:t>
      </w:r>
    </w:p>
    <w:p w:rsidR="00BA39D8" w:rsidRPr="00E4666D" w:rsidRDefault="0099733B" w:rsidP="0053080D">
      <w:pPr>
        <w:pStyle w:val="Bob1"/>
        <w:tabs>
          <w:tab w:val="clear" w:pos="720"/>
          <w:tab w:val="left" w:pos="1440"/>
        </w:tabs>
        <w:spacing w:after="120"/>
        <w:ind w:left="0" w:firstLine="0"/>
        <w:jc w:val="both"/>
        <w:rPr>
          <w:color w:val="000000" w:themeColor="text1"/>
        </w:rPr>
      </w:pPr>
      <w:r w:rsidRPr="00E4666D">
        <w:rPr>
          <w:color w:val="000000" w:themeColor="text1"/>
        </w:rPr>
        <w:t>I</w:t>
      </w:r>
      <w:r w:rsidR="00B57306" w:rsidRPr="00E4666D">
        <w:rPr>
          <w:color w:val="000000" w:themeColor="text1"/>
        </w:rPr>
        <w:t xml:space="preserve">n </w:t>
      </w:r>
      <w:r w:rsidR="003A6DCC" w:rsidRPr="00E4666D">
        <w:rPr>
          <w:i/>
          <w:color w:val="000000" w:themeColor="text1"/>
        </w:rPr>
        <w:t>The Queen</w:t>
      </w:r>
      <w:r w:rsidR="00B57306" w:rsidRPr="00E4666D">
        <w:rPr>
          <w:i/>
          <w:color w:val="000000" w:themeColor="text1"/>
        </w:rPr>
        <w:t xml:space="preserve"> v Lavender</w:t>
      </w:r>
      <w:r w:rsidR="00B57306" w:rsidRPr="00E4666D">
        <w:rPr>
          <w:color w:val="000000" w:themeColor="text1"/>
        </w:rPr>
        <w:t>,</w:t>
      </w:r>
      <w:r w:rsidR="00B57306" w:rsidRPr="00E4666D">
        <w:rPr>
          <w:rStyle w:val="FootnoteReference"/>
          <w:color w:val="000000" w:themeColor="text1"/>
        </w:rPr>
        <w:footnoteReference w:id="50"/>
      </w:r>
      <w:r w:rsidR="00B57306" w:rsidRPr="00E4666D">
        <w:rPr>
          <w:color w:val="000000" w:themeColor="text1"/>
        </w:rPr>
        <w:t xml:space="preserve"> concurring with the plurality judgment</w:t>
      </w:r>
      <w:r w:rsidR="003B79B8" w:rsidRPr="00E4666D">
        <w:rPr>
          <w:color w:val="000000" w:themeColor="text1"/>
        </w:rPr>
        <w:t xml:space="preserve"> in the High Court of Australia</w:t>
      </w:r>
      <w:r w:rsidR="00B57306" w:rsidRPr="00E4666D">
        <w:rPr>
          <w:color w:val="000000" w:themeColor="text1"/>
        </w:rPr>
        <w:t>,</w:t>
      </w:r>
      <w:r w:rsidR="00B57306" w:rsidRPr="00E4666D">
        <w:rPr>
          <w:rStyle w:val="FootnoteReference"/>
          <w:color w:val="000000" w:themeColor="text1"/>
        </w:rPr>
        <w:footnoteReference w:id="51"/>
      </w:r>
      <w:r w:rsidR="00B57306" w:rsidRPr="00E4666D">
        <w:rPr>
          <w:color w:val="000000" w:themeColor="text1"/>
        </w:rPr>
        <w:t xml:space="preserve"> Kirby J </w:t>
      </w:r>
      <w:r w:rsidR="003B79B8" w:rsidRPr="00E4666D">
        <w:rPr>
          <w:color w:val="000000" w:themeColor="text1"/>
        </w:rPr>
        <w:t xml:space="preserve">referred to Hewart LCJ’s epithets and pointed out that “[even] in today's society, where death has resulted from aggravated </w:t>
      </w:r>
      <w:r w:rsidR="003B79B8" w:rsidRPr="00E4666D">
        <w:rPr>
          <w:color w:val="000000" w:themeColor="text1"/>
        </w:rPr>
        <w:lastRenderedPageBreak/>
        <w:t xml:space="preserve">negligence ... holding the individual criminally liable has been justified.”  He </w:t>
      </w:r>
      <w:r w:rsidR="00BA39D8" w:rsidRPr="00E4666D">
        <w:rPr>
          <w:color w:val="000000" w:themeColor="text1"/>
        </w:rPr>
        <w:t>observed that</w:t>
      </w:r>
      <w:r w:rsidR="003B79B8" w:rsidRPr="00E4666D">
        <w:rPr>
          <w:color w:val="000000" w:themeColor="text1"/>
        </w:rPr>
        <w:t xml:space="preserve">: </w:t>
      </w:r>
    </w:p>
    <w:p w:rsidR="003B79B8" w:rsidRPr="00E4666D" w:rsidRDefault="003B79B8" w:rsidP="002100C0">
      <w:pPr>
        <w:pStyle w:val="Bob1"/>
        <w:numPr>
          <w:ilvl w:val="0"/>
          <w:numId w:val="0"/>
        </w:numPr>
        <w:spacing w:line="240" w:lineRule="auto"/>
        <w:ind w:left="720"/>
        <w:jc w:val="both"/>
        <w:rPr>
          <w:color w:val="000000" w:themeColor="text1"/>
          <w:sz w:val="24"/>
        </w:rPr>
      </w:pPr>
      <w:r w:rsidRPr="00E4666D">
        <w:rPr>
          <w:color w:val="000000" w:themeColor="text1"/>
          <w:sz w:val="24"/>
        </w:rPr>
        <w:t>“Subjective intention does not enjoy a monopoly on moral culpability.</w:t>
      </w:r>
      <w:r w:rsidR="00BA39D8" w:rsidRPr="00E4666D">
        <w:rPr>
          <w:color w:val="000000" w:themeColor="text1"/>
          <w:sz w:val="24"/>
        </w:rPr>
        <w:t xml:space="preserve"> ... </w:t>
      </w:r>
      <w:r w:rsidR="00BA39D8" w:rsidRPr="00E4666D">
        <w:rPr>
          <w:color w:val="000000" w:themeColor="text1"/>
          <w:sz w:val="24"/>
          <w:szCs w:val="24"/>
        </w:rPr>
        <w:t>The claim of a person who causes harm that he or she did not mean to do it or did not stop to think as excusing them of wrongdoing is commonly treated as unpersuasive, especially where death or serious injury ensue. A person who intends to bring about an undesirable outcome or who is reckless as to the possibility of that outcome but proceeds anyway is more culpable than a person who negligently causes the same outcome. This is because the former is aligned with that outcome while the same cannot be said of the latter. But this is not to say that the latter is always undeserving of moral condemnation and punishment. In some circumstances, the opposite is the case.”</w:t>
      </w:r>
      <w:r w:rsidR="00BA39D8" w:rsidRPr="00E4666D">
        <w:rPr>
          <w:rStyle w:val="FootnoteReference"/>
          <w:color w:val="000000" w:themeColor="text1"/>
          <w:sz w:val="24"/>
          <w:szCs w:val="24"/>
        </w:rPr>
        <w:footnoteReference w:id="52"/>
      </w:r>
    </w:p>
    <w:p w:rsidR="00B57306" w:rsidRPr="00E4666D" w:rsidRDefault="00932EF2" w:rsidP="0053080D">
      <w:pPr>
        <w:pStyle w:val="Bob1"/>
        <w:tabs>
          <w:tab w:val="clear" w:pos="720"/>
          <w:tab w:val="left" w:pos="1440"/>
        </w:tabs>
        <w:spacing w:after="120"/>
        <w:ind w:left="0" w:firstLine="0"/>
        <w:jc w:val="both"/>
        <w:rPr>
          <w:color w:val="000000" w:themeColor="text1"/>
        </w:rPr>
      </w:pPr>
      <w:r w:rsidRPr="00E4666D">
        <w:rPr>
          <w:iCs/>
          <w:color w:val="000000" w:themeColor="text1"/>
        </w:rPr>
        <w:t xml:space="preserve">Kirby J noted </w:t>
      </w:r>
      <w:r w:rsidR="006F18FC" w:rsidRPr="00E4666D">
        <w:rPr>
          <w:iCs/>
          <w:color w:val="000000" w:themeColor="text1"/>
        </w:rPr>
        <w:t xml:space="preserve">the statement </w:t>
      </w:r>
      <w:r w:rsidRPr="00E4666D">
        <w:rPr>
          <w:iCs/>
          <w:color w:val="000000" w:themeColor="text1"/>
        </w:rPr>
        <w:t xml:space="preserve">in </w:t>
      </w:r>
      <w:r w:rsidRPr="00E4666D">
        <w:rPr>
          <w:i/>
          <w:iCs/>
          <w:color w:val="000000" w:themeColor="text1"/>
        </w:rPr>
        <w:t>Wilson v The Queen</w:t>
      </w:r>
      <w:r w:rsidRPr="00E4666D">
        <w:rPr>
          <w:rStyle w:val="FootnoteReference"/>
          <w:iCs/>
          <w:color w:val="000000" w:themeColor="text1"/>
        </w:rPr>
        <w:footnoteReference w:id="53"/>
      </w:r>
      <w:r w:rsidRPr="00E4666D">
        <w:rPr>
          <w:iCs/>
          <w:color w:val="000000" w:themeColor="text1"/>
        </w:rPr>
        <w:t xml:space="preserve"> that </w:t>
      </w:r>
      <w:r w:rsidR="006F18FC" w:rsidRPr="00E4666D">
        <w:rPr>
          <w:color w:val="000000" w:themeColor="text1"/>
          <w:szCs w:val="24"/>
        </w:rPr>
        <w:t>there must “</w:t>
      </w:r>
      <w:r w:rsidRPr="00E4666D">
        <w:rPr>
          <w:color w:val="000000" w:themeColor="text1"/>
          <w:szCs w:val="24"/>
        </w:rPr>
        <w:t>be a close correlation between moral culpability and legal responsibility [for manslaughter]”</w:t>
      </w:r>
      <w:r w:rsidR="0099733B" w:rsidRPr="00E4666D">
        <w:rPr>
          <w:color w:val="000000" w:themeColor="text1"/>
          <w:szCs w:val="24"/>
        </w:rPr>
        <w:t xml:space="preserve"> and</w:t>
      </w:r>
      <w:r w:rsidR="00422B89" w:rsidRPr="00E4666D">
        <w:rPr>
          <w:color w:val="000000" w:themeColor="text1"/>
          <w:szCs w:val="24"/>
        </w:rPr>
        <w:t xml:space="preserve"> concluded that:</w:t>
      </w:r>
    </w:p>
    <w:p w:rsidR="00422B89" w:rsidRPr="00E4666D" w:rsidRDefault="00422B89" w:rsidP="002100C0">
      <w:pPr>
        <w:pStyle w:val="Bob1"/>
        <w:numPr>
          <w:ilvl w:val="0"/>
          <w:numId w:val="0"/>
        </w:numPr>
        <w:spacing w:line="240" w:lineRule="auto"/>
        <w:ind w:left="720"/>
        <w:jc w:val="both"/>
        <w:rPr>
          <w:color w:val="000000" w:themeColor="text1"/>
          <w:sz w:val="24"/>
          <w:szCs w:val="24"/>
        </w:rPr>
      </w:pPr>
      <w:r w:rsidRPr="00E4666D">
        <w:rPr>
          <w:color w:val="000000" w:themeColor="text1"/>
          <w:sz w:val="24"/>
          <w:szCs w:val="24"/>
        </w:rPr>
        <w:t>“Notwithstanding that manslaughter is defined by reference to an objective test, this correlation is assured by the degree of negligence required.”</w:t>
      </w:r>
      <w:r w:rsidRPr="00E4666D">
        <w:rPr>
          <w:rStyle w:val="FootnoteReference"/>
          <w:color w:val="000000" w:themeColor="text1"/>
          <w:sz w:val="24"/>
          <w:szCs w:val="24"/>
        </w:rPr>
        <w:footnoteReference w:id="54"/>
      </w:r>
    </w:p>
    <w:p w:rsidR="00422B89" w:rsidRPr="00883069" w:rsidRDefault="00462410" w:rsidP="00462410">
      <w:pPr>
        <w:pStyle w:val="docmapheading"/>
        <w:keepNext/>
        <w:rPr>
          <w:b/>
          <w:color w:val="000000" w:themeColor="text1"/>
        </w:rPr>
      </w:pPr>
      <w:r w:rsidRPr="00883069">
        <w:rPr>
          <w:b/>
          <w:color w:val="000000" w:themeColor="text1"/>
        </w:rPr>
        <w:t>D.3</w:t>
      </w:r>
      <w:r w:rsidRPr="00883069">
        <w:rPr>
          <w:b/>
          <w:color w:val="000000" w:themeColor="text1"/>
        </w:rPr>
        <w:tab/>
        <w:t xml:space="preserve">The argument based on </w:t>
      </w:r>
      <w:r w:rsidR="002C0C9C" w:rsidRPr="00883069">
        <w:rPr>
          <w:b/>
          <w:color w:val="000000" w:themeColor="text1"/>
        </w:rPr>
        <w:t>R v G and Another</w:t>
      </w:r>
    </w:p>
    <w:p w:rsidR="00462410" w:rsidRPr="00E4666D" w:rsidRDefault="00754A75" w:rsidP="0053080D">
      <w:pPr>
        <w:pStyle w:val="Bob1"/>
        <w:tabs>
          <w:tab w:val="clear" w:pos="720"/>
          <w:tab w:val="left" w:pos="1440"/>
        </w:tabs>
        <w:spacing w:after="120"/>
        <w:ind w:left="0" w:firstLine="0"/>
        <w:jc w:val="both"/>
        <w:rPr>
          <w:color w:val="000000" w:themeColor="text1"/>
        </w:rPr>
      </w:pPr>
      <w:r w:rsidRPr="00E4666D">
        <w:rPr>
          <w:color w:val="000000" w:themeColor="text1"/>
        </w:rPr>
        <w:t xml:space="preserve">Mr Duncan SC relied heavily on the following passage in the speech of Lord Bingham of Cornhill in </w:t>
      </w:r>
      <w:r w:rsidRPr="00E4666D">
        <w:rPr>
          <w:i/>
          <w:color w:val="000000" w:themeColor="text1"/>
        </w:rPr>
        <w:t>R v G and Another</w:t>
      </w:r>
      <w:r w:rsidRPr="00E4666D">
        <w:rPr>
          <w:color w:val="000000" w:themeColor="text1"/>
        </w:rPr>
        <w:t xml:space="preserve"> as authority for requiring recklessness to replace gross negligence as the basis of what is presently GNM:</w:t>
      </w:r>
      <w:r w:rsidRPr="00E4666D">
        <w:rPr>
          <w:rStyle w:val="FootnoteReference"/>
          <w:color w:val="000000" w:themeColor="text1"/>
        </w:rPr>
        <w:t xml:space="preserve"> </w:t>
      </w:r>
      <w:r w:rsidRPr="00E4666D">
        <w:rPr>
          <w:rStyle w:val="FootnoteReference"/>
          <w:color w:val="000000" w:themeColor="text1"/>
        </w:rPr>
        <w:footnoteReference w:id="55"/>
      </w:r>
    </w:p>
    <w:p w:rsidR="00754A75" w:rsidRPr="00E4666D" w:rsidRDefault="00754A75" w:rsidP="002100C0">
      <w:pPr>
        <w:pStyle w:val="Bob1"/>
        <w:numPr>
          <w:ilvl w:val="0"/>
          <w:numId w:val="0"/>
        </w:numPr>
        <w:spacing w:line="240" w:lineRule="auto"/>
        <w:ind w:left="720"/>
        <w:jc w:val="distribute"/>
        <w:rPr>
          <w:color w:val="000000" w:themeColor="text1"/>
          <w:sz w:val="24"/>
          <w:szCs w:val="24"/>
        </w:rPr>
      </w:pPr>
      <w:r w:rsidRPr="00E4666D">
        <w:rPr>
          <w:color w:val="000000" w:themeColor="text1"/>
          <w:sz w:val="24"/>
        </w:rPr>
        <w:t>“...</w:t>
      </w:r>
      <w:r w:rsidRPr="00E4666D">
        <w:rPr>
          <w:color w:val="000000" w:themeColor="text1"/>
          <w:sz w:val="24"/>
          <w:szCs w:val="24"/>
        </w:rPr>
        <w:t xml:space="preserve"> it is a salutary principle that conviction of serious crime should depend on proof not simply that the defendant caused (by act or omission) an injurious result to another but that his state of mind when so acting was culpable. This, after all, is the meaning of the familiar rule </w:t>
      </w:r>
      <w:r w:rsidRPr="00E4666D">
        <w:rPr>
          <w:i/>
          <w:color w:val="000000" w:themeColor="text1"/>
          <w:sz w:val="24"/>
          <w:szCs w:val="24"/>
        </w:rPr>
        <w:t>actus non facit reum nisi mens sit rea</w:t>
      </w:r>
      <w:r w:rsidRPr="00E4666D">
        <w:rPr>
          <w:color w:val="000000" w:themeColor="text1"/>
          <w:sz w:val="24"/>
          <w:szCs w:val="24"/>
        </w:rPr>
        <w:t xml:space="preserve">. The most obviously culpable state of mind is no doubt an intention to cause the injurious result, but knowing disregard of an appreciated and unacceptable risk of causing an injurious result or a deliberate closing of the mind to such risk would be readily accepted as culpable also. It is clearly blameworthy to take an obvious and significant risk of causing injury to another. But it is not clearly blameworthy to do something involving a risk of injury to another if (for reasons other than self-induced intoxication: </w:t>
      </w:r>
      <w:r w:rsidRPr="00E4666D">
        <w:rPr>
          <w:i/>
          <w:color w:val="000000" w:themeColor="text1"/>
          <w:sz w:val="24"/>
          <w:szCs w:val="24"/>
        </w:rPr>
        <w:t>R v Majewski</w:t>
      </w:r>
      <w:r w:rsidRPr="00E4666D">
        <w:rPr>
          <w:color w:val="000000" w:themeColor="text1"/>
          <w:sz w:val="24"/>
          <w:szCs w:val="24"/>
        </w:rPr>
        <w:t xml:space="preserve"> [1977] AC 443) one genuinely does not perceive the risk. Such </w:t>
      </w:r>
      <w:r w:rsidRPr="00E4666D">
        <w:rPr>
          <w:color w:val="000000" w:themeColor="text1"/>
          <w:sz w:val="24"/>
          <w:szCs w:val="24"/>
        </w:rPr>
        <w:lastRenderedPageBreak/>
        <w:t>a person may fairly be accused of stupidity or lack of imagination, but neither of those failings should expose him to conviction of serious crime or the risk of punishment.”</w:t>
      </w:r>
    </w:p>
    <w:p w:rsidR="00970E8B" w:rsidRPr="00E4666D" w:rsidRDefault="00754A75" w:rsidP="005928C6">
      <w:pPr>
        <w:pStyle w:val="Bob1"/>
        <w:tabs>
          <w:tab w:val="clear" w:pos="720"/>
          <w:tab w:val="left" w:pos="1440"/>
        </w:tabs>
        <w:ind w:left="0" w:firstLine="0"/>
        <w:jc w:val="both"/>
        <w:rPr>
          <w:color w:val="000000" w:themeColor="text1"/>
        </w:rPr>
      </w:pPr>
      <w:r w:rsidRPr="00E4666D">
        <w:rPr>
          <w:color w:val="000000" w:themeColor="text1"/>
        </w:rPr>
        <w:t xml:space="preserve">Counsel also </w:t>
      </w:r>
      <w:r w:rsidR="00AC7C5E" w:rsidRPr="00E4666D">
        <w:rPr>
          <w:color w:val="000000" w:themeColor="text1"/>
        </w:rPr>
        <w:t xml:space="preserve">cited </w:t>
      </w:r>
      <w:r w:rsidRPr="00E4666D">
        <w:rPr>
          <w:color w:val="000000" w:themeColor="text1"/>
        </w:rPr>
        <w:t xml:space="preserve">the decisions of this Court in </w:t>
      </w:r>
      <w:r w:rsidRPr="00E4666D">
        <w:rPr>
          <w:rFonts w:eastAsia="PMingLiU"/>
          <w:i/>
          <w:color w:val="000000" w:themeColor="text1"/>
          <w:lang w:eastAsia="zh-TW"/>
        </w:rPr>
        <w:t>Hin Lin Yee v HKSAR</w:t>
      </w:r>
      <w:r w:rsidRPr="00E4666D">
        <w:rPr>
          <w:rFonts w:eastAsia="PMingLiU"/>
          <w:color w:val="000000" w:themeColor="text1"/>
          <w:lang w:eastAsia="zh-TW"/>
        </w:rPr>
        <w:t>;</w:t>
      </w:r>
      <w:r w:rsidRPr="00E4666D">
        <w:rPr>
          <w:rStyle w:val="FootnoteReference"/>
          <w:rFonts w:eastAsia="PMingLiU"/>
          <w:color w:val="000000" w:themeColor="text1"/>
          <w:lang w:eastAsia="zh-TW"/>
        </w:rPr>
        <w:footnoteReference w:id="56"/>
      </w:r>
      <w:r w:rsidRPr="00E4666D">
        <w:rPr>
          <w:rFonts w:eastAsia="PMingLiU"/>
          <w:color w:val="000000" w:themeColor="text1"/>
          <w:lang w:eastAsia="zh-TW"/>
        </w:rPr>
        <w:t xml:space="preserve"> </w:t>
      </w:r>
      <w:r w:rsidRPr="00E4666D">
        <w:rPr>
          <w:rFonts w:eastAsia="PMingLiU"/>
          <w:i/>
          <w:color w:val="000000" w:themeColor="text1"/>
          <w:lang w:eastAsia="zh-TW"/>
        </w:rPr>
        <w:t>Kulemesin v HKSAR</w:t>
      </w:r>
      <w:r w:rsidRPr="00E4666D">
        <w:rPr>
          <w:rFonts w:eastAsia="PMingLiU"/>
          <w:color w:val="000000" w:themeColor="text1"/>
          <w:lang w:eastAsia="zh-TW"/>
        </w:rPr>
        <w:t>;</w:t>
      </w:r>
      <w:r w:rsidRPr="00E4666D">
        <w:rPr>
          <w:rStyle w:val="FootnoteReference"/>
          <w:rFonts w:eastAsia="PMingLiU"/>
          <w:color w:val="000000" w:themeColor="text1"/>
          <w:lang w:eastAsia="zh-TW"/>
        </w:rPr>
        <w:footnoteReference w:id="57"/>
      </w:r>
      <w:r w:rsidRPr="00E4666D">
        <w:rPr>
          <w:rFonts w:eastAsia="PMingLiU"/>
          <w:color w:val="000000" w:themeColor="text1"/>
          <w:lang w:eastAsia="zh-TW"/>
        </w:rPr>
        <w:t xml:space="preserve"> and </w:t>
      </w:r>
      <w:r w:rsidRPr="00E4666D">
        <w:rPr>
          <w:i/>
          <w:color w:val="000000" w:themeColor="text1"/>
        </w:rPr>
        <w:t>HKSAR v Choi Wai Lun</w:t>
      </w:r>
      <w:r w:rsidRPr="00E4666D">
        <w:rPr>
          <w:rStyle w:val="FootnoteReference"/>
          <w:i/>
          <w:color w:val="000000" w:themeColor="text1"/>
        </w:rPr>
        <w:footnoteReference w:id="58"/>
      </w:r>
      <w:r w:rsidRPr="00E4666D">
        <w:rPr>
          <w:color w:val="000000" w:themeColor="text1"/>
        </w:rPr>
        <w:t xml:space="preserve"> as lending support to his argument.</w:t>
      </w:r>
      <w:r w:rsidR="00AC7C5E" w:rsidRPr="00E4666D">
        <w:rPr>
          <w:color w:val="000000" w:themeColor="text1"/>
        </w:rPr>
        <w:t xml:space="preserve">  </w:t>
      </w:r>
    </w:p>
    <w:p w:rsidR="00754A75" w:rsidRPr="00E4666D" w:rsidRDefault="00AC7C5E" w:rsidP="005928C6">
      <w:pPr>
        <w:pStyle w:val="Bob1"/>
        <w:tabs>
          <w:tab w:val="clear" w:pos="720"/>
          <w:tab w:val="left" w:pos="1440"/>
        </w:tabs>
        <w:ind w:left="0" w:firstLine="0"/>
        <w:jc w:val="both"/>
        <w:rPr>
          <w:color w:val="000000" w:themeColor="text1"/>
        </w:rPr>
      </w:pPr>
      <w:r w:rsidRPr="00E4666D">
        <w:rPr>
          <w:color w:val="000000" w:themeColor="text1"/>
        </w:rPr>
        <w:t xml:space="preserve">Additionally, he relied on the judgment of Sir Anthony Mason NPJ in </w:t>
      </w:r>
      <w:r w:rsidRPr="00E4666D">
        <w:rPr>
          <w:i/>
          <w:color w:val="000000" w:themeColor="text1"/>
        </w:rPr>
        <w:t>Sin Kam Wah v HKSAR</w:t>
      </w:r>
      <w:r w:rsidRPr="00E4666D">
        <w:rPr>
          <w:color w:val="000000" w:themeColor="text1"/>
        </w:rPr>
        <w:t>,</w:t>
      </w:r>
      <w:r w:rsidRPr="00E4666D">
        <w:rPr>
          <w:rStyle w:val="FootnoteReference"/>
          <w:color w:val="000000" w:themeColor="text1"/>
        </w:rPr>
        <w:footnoteReference w:id="59"/>
      </w:r>
      <w:r w:rsidRPr="00E4666D">
        <w:rPr>
          <w:color w:val="000000" w:themeColor="text1"/>
        </w:rPr>
        <w:t xml:space="preserve"> where </w:t>
      </w:r>
      <w:r w:rsidRPr="00E4666D">
        <w:rPr>
          <w:i/>
          <w:color w:val="000000" w:themeColor="text1"/>
        </w:rPr>
        <w:t xml:space="preserve">R v G and Another </w:t>
      </w:r>
      <w:r w:rsidRPr="00E4666D">
        <w:rPr>
          <w:color w:val="000000" w:themeColor="text1"/>
        </w:rPr>
        <w:t xml:space="preserve">was adopted, </w:t>
      </w:r>
      <w:r w:rsidR="00A349E6" w:rsidRPr="00E4666D">
        <w:rPr>
          <w:color w:val="000000" w:themeColor="text1"/>
        </w:rPr>
        <w:t xml:space="preserve">overruling two Court of Appeal decisions including a case involving GNM, </w:t>
      </w:r>
      <w:r w:rsidRPr="00E4666D">
        <w:rPr>
          <w:color w:val="000000" w:themeColor="text1"/>
        </w:rPr>
        <w:t>as providing further support.</w:t>
      </w:r>
    </w:p>
    <w:p w:rsidR="00AC7C5E" w:rsidRPr="00E4666D" w:rsidRDefault="00AC7C5E" w:rsidP="0053080D">
      <w:pPr>
        <w:pStyle w:val="Bob1"/>
        <w:tabs>
          <w:tab w:val="clear" w:pos="720"/>
          <w:tab w:val="left" w:pos="1440"/>
        </w:tabs>
        <w:spacing w:after="120"/>
        <w:ind w:left="0" w:firstLine="0"/>
        <w:jc w:val="both"/>
        <w:rPr>
          <w:color w:val="000000" w:themeColor="text1"/>
        </w:rPr>
      </w:pPr>
      <w:r w:rsidRPr="00E4666D">
        <w:rPr>
          <w:color w:val="000000" w:themeColor="text1"/>
        </w:rPr>
        <w:t xml:space="preserve">We do not accept that those authorities, properly understood, are capable of grounding the appellant’s </w:t>
      </w:r>
      <w:r w:rsidR="00970E8B" w:rsidRPr="00E4666D">
        <w:rPr>
          <w:color w:val="000000" w:themeColor="text1"/>
        </w:rPr>
        <w:t xml:space="preserve">argument.  Leaving aside </w:t>
      </w:r>
      <w:r w:rsidR="00970E8B" w:rsidRPr="00E4666D">
        <w:rPr>
          <w:i/>
          <w:color w:val="000000" w:themeColor="text1"/>
        </w:rPr>
        <w:t xml:space="preserve">Sin Kam Wah </w:t>
      </w:r>
      <w:r w:rsidR="00970E8B" w:rsidRPr="00E4666D">
        <w:rPr>
          <w:color w:val="000000" w:themeColor="text1"/>
        </w:rPr>
        <w:t xml:space="preserve">for the moment, the other authorities are all concerned with statutory construction and in </w:t>
      </w:r>
      <w:r w:rsidR="00970E8B" w:rsidRPr="00E4666D">
        <w:rPr>
          <w:i/>
          <w:color w:val="000000" w:themeColor="text1"/>
        </w:rPr>
        <w:t>R v G and Another</w:t>
      </w:r>
      <w:r w:rsidR="00970E8B" w:rsidRPr="00E4666D">
        <w:rPr>
          <w:color w:val="000000" w:themeColor="text1"/>
        </w:rPr>
        <w:t>,</w:t>
      </w:r>
      <w:r w:rsidR="00970E8B" w:rsidRPr="00E4666D">
        <w:rPr>
          <w:i/>
          <w:color w:val="000000" w:themeColor="text1"/>
        </w:rPr>
        <w:t xml:space="preserve"> </w:t>
      </w:r>
      <w:r w:rsidR="00970E8B" w:rsidRPr="00E4666D">
        <w:rPr>
          <w:color w:val="000000" w:themeColor="text1"/>
        </w:rPr>
        <w:t>the “salutary principle” was referred to by Lord Bingham in that context.</w:t>
      </w:r>
      <w:r w:rsidR="005435C9" w:rsidRPr="00E4666D">
        <w:rPr>
          <w:color w:val="000000" w:themeColor="text1"/>
        </w:rPr>
        <w:t xml:space="preserve">  He</w:t>
      </w:r>
      <w:r w:rsidR="00970E8B" w:rsidRPr="00E4666D">
        <w:rPr>
          <w:color w:val="000000" w:themeColor="text1"/>
        </w:rPr>
        <w:t xml:space="preserve"> was careful to point this out:</w:t>
      </w:r>
    </w:p>
    <w:p w:rsidR="00970E8B" w:rsidRPr="00E4666D" w:rsidRDefault="00970E8B" w:rsidP="005928C6">
      <w:pPr>
        <w:pStyle w:val="Bob1"/>
        <w:numPr>
          <w:ilvl w:val="0"/>
          <w:numId w:val="0"/>
        </w:numPr>
        <w:spacing w:line="240" w:lineRule="auto"/>
        <w:ind w:left="720"/>
        <w:jc w:val="both"/>
        <w:rPr>
          <w:color w:val="000000" w:themeColor="text1"/>
          <w:sz w:val="24"/>
          <w:szCs w:val="24"/>
        </w:rPr>
      </w:pPr>
      <w:r w:rsidRPr="00E4666D">
        <w:rPr>
          <w:color w:val="000000" w:themeColor="text1"/>
          <w:sz w:val="24"/>
          <w:szCs w:val="24"/>
        </w:rPr>
        <w:t>“The task confronting the House in this appeal is, first of all, one of statutory construction: what did Parliament mean when it used the word ‘reckless’ in section 1(1) and (2) of the 1971 Act? In so expressing the question I mean to make it as plain as I can that I am not addressing the meaning of ‘reckless’ in any other statutory or common law context.”</w:t>
      </w:r>
      <w:r w:rsidRPr="00E4666D">
        <w:rPr>
          <w:rStyle w:val="FootnoteReference"/>
          <w:color w:val="000000" w:themeColor="text1"/>
          <w:sz w:val="24"/>
          <w:szCs w:val="24"/>
        </w:rPr>
        <w:footnoteReference w:id="60"/>
      </w:r>
      <w:r w:rsidRPr="00E4666D">
        <w:rPr>
          <w:color w:val="000000" w:themeColor="text1"/>
          <w:sz w:val="24"/>
          <w:szCs w:val="24"/>
        </w:rPr>
        <w:t xml:space="preserve"> </w:t>
      </w:r>
    </w:p>
    <w:p w:rsidR="00D80BE8" w:rsidRPr="00E4666D" w:rsidRDefault="005435C9" w:rsidP="005928C6">
      <w:pPr>
        <w:pStyle w:val="Bob1"/>
        <w:tabs>
          <w:tab w:val="clear" w:pos="720"/>
          <w:tab w:val="left" w:pos="1440"/>
        </w:tabs>
        <w:ind w:left="0" w:firstLine="0"/>
        <w:jc w:val="both"/>
        <w:rPr>
          <w:color w:val="000000" w:themeColor="text1"/>
        </w:rPr>
      </w:pPr>
      <w:r w:rsidRPr="00E4666D">
        <w:rPr>
          <w:color w:val="000000" w:themeColor="text1"/>
        </w:rPr>
        <w:t xml:space="preserve">His Lordship </w:t>
      </w:r>
      <w:r w:rsidR="00D80BE8" w:rsidRPr="00E4666D">
        <w:rPr>
          <w:color w:val="000000" w:themeColor="text1"/>
        </w:rPr>
        <w:t xml:space="preserve">was </w:t>
      </w:r>
      <w:r w:rsidR="007C5A58" w:rsidRPr="00E4666D">
        <w:rPr>
          <w:color w:val="000000" w:themeColor="text1"/>
        </w:rPr>
        <w:t xml:space="preserve">construing </w:t>
      </w:r>
      <w:r w:rsidR="00D80BE8" w:rsidRPr="00E4666D">
        <w:rPr>
          <w:color w:val="000000" w:themeColor="text1"/>
        </w:rPr>
        <w:t xml:space="preserve">section 1 of </w:t>
      </w:r>
      <w:r w:rsidR="00F7279E" w:rsidRPr="00E4666D">
        <w:rPr>
          <w:color w:val="000000" w:themeColor="text1"/>
        </w:rPr>
        <w:t xml:space="preserve">the </w:t>
      </w:r>
      <w:r w:rsidR="00F7279E" w:rsidRPr="00E4666D">
        <w:rPr>
          <w:color w:val="000000" w:themeColor="text1"/>
          <w:szCs w:val="24"/>
        </w:rPr>
        <w:t xml:space="preserve">Criminal Damage Act 1971 </w:t>
      </w:r>
      <w:r w:rsidR="007C5A58" w:rsidRPr="00E4666D">
        <w:rPr>
          <w:color w:val="000000" w:themeColor="text1"/>
          <w:szCs w:val="24"/>
        </w:rPr>
        <w:t>in a case involving</w:t>
      </w:r>
      <w:r w:rsidR="00F7279E" w:rsidRPr="00E4666D">
        <w:rPr>
          <w:color w:val="000000" w:themeColor="text1"/>
          <w:szCs w:val="24"/>
        </w:rPr>
        <w:t xml:space="preserve"> </w:t>
      </w:r>
      <w:r w:rsidR="00F7279E" w:rsidRPr="00E4666D">
        <w:rPr>
          <w:color w:val="000000" w:themeColor="text1"/>
        </w:rPr>
        <w:t>b</w:t>
      </w:r>
      <w:r w:rsidR="00F7279E" w:rsidRPr="00E4666D">
        <w:rPr>
          <w:color w:val="000000" w:themeColor="text1"/>
          <w:szCs w:val="24"/>
        </w:rPr>
        <w:t xml:space="preserve">oys aged 11 and 12 who had set fire to newspapers, thrown them under a large plastic dustbin, and left without putting out the burning papers, </w:t>
      </w:r>
      <w:r w:rsidR="00D80BE8" w:rsidRPr="00E4666D">
        <w:rPr>
          <w:color w:val="000000" w:themeColor="text1"/>
          <w:szCs w:val="24"/>
        </w:rPr>
        <w:t>resulting in the fire spreading and causing £1 million worth of damage.  They were charged with arson contrary to section 1</w:t>
      </w:r>
      <w:r w:rsidR="00FA6CD1" w:rsidRPr="00E4666D">
        <w:rPr>
          <w:color w:val="000000" w:themeColor="text1"/>
          <w:szCs w:val="24"/>
        </w:rPr>
        <w:t xml:space="preserve"> </w:t>
      </w:r>
      <w:r w:rsidR="00D80BE8" w:rsidRPr="00E4666D">
        <w:rPr>
          <w:color w:val="000000" w:themeColor="text1"/>
          <w:szCs w:val="24"/>
        </w:rPr>
        <w:t xml:space="preserve">“in that they caused damage to property, </w:t>
      </w:r>
      <w:r w:rsidR="00D80BE8" w:rsidRPr="00E4666D">
        <w:rPr>
          <w:color w:val="000000" w:themeColor="text1"/>
          <w:szCs w:val="24"/>
        </w:rPr>
        <w:lastRenderedPageBreak/>
        <w:t xml:space="preserve">being reckless as to whether such property would be destroyed or damaged” even though it was accepted that neither of the defendants appreciated that there was any risk of the fire spreading.  Lord Bingham was therefore concerned with </w:t>
      </w:r>
      <w:r w:rsidR="007C5A58" w:rsidRPr="00E4666D">
        <w:rPr>
          <w:color w:val="000000" w:themeColor="text1"/>
          <w:szCs w:val="24"/>
        </w:rPr>
        <w:t xml:space="preserve">determining </w:t>
      </w:r>
      <w:r w:rsidR="00D80BE8" w:rsidRPr="00E4666D">
        <w:rPr>
          <w:color w:val="000000" w:themeColor="text1"/>
          <w:szCs w:val="24"/>
        </w:rPr>
        <w:t xml:space="preserve">the meaning of “reckless” in the section and the “salutary principle” he invoked is a common law principle of statutory construction which favours interpreting provisions which create serious criminal offences as presumptively requiring proof of </w:t>
      </w:r>
      <w:r w:rsidR="00D80BE8" w:rsidRPr="00E4666D">
        <w:rPr>
          <w:i/>
          <w:color w:val="000000" w:themeColor="text1"/>
          <w:szCs w:val="24"/>
        </w:rPr>
        <w:t>mens rea</w:t>
      </w:r>
      <w:r w:rsidR="00D80BE8" w:rsidRPr="00E4666D">
        <w:rPr>
          <w:color w:val="000000" w:themeColor="text1"/>
          <w:szCs w:val="24"/>
        </w:rPr>
        <w:t xml:space="preserve">.  </w:t>
      </w:r>
    </w:p>
    <w:p w:rsidR="007C5A58" w:rsidRPr="00E4666D" w:rsidRDefault="007C5A58" w:rsidP="0053080D">
      <w:pPr>
        <w:pStyle w:val="Bob1"/>
        <w:tabs>
          <w:tab w:val="clear" w:pos="720"/>
          <w:tab w:val="left" w:pos="1440"/>
        </w:tabs>
        <w:spacing w:after="120"/>
        <w:ind w:left="0" w:firstLine="0"/>
        <w:jc w:val="both"/>
        <w:rPr>
          <w:color w:val="000000" w:themeColor="text1"/>
        </w:rPr>
      </w:pPr>
      <w:r w:rsidRPr="00E4666D">
        <w:rPr>
          <w:color w:val="000000" w:themeColor="text1"/>
        </w:rPr>
        <w:t xml:space="preserve">Similarly, in </w:t>
      </w:r>
      <w:r w:rsidRPr="00E4666D">
        <w:rPr>
          <w:i/>
          <w:color w:val="000000" w:themeColor="text1"/>
        </w:rPr>
        <w:t>Hin Lin Yee</w:t>
      </w:r>
      <w:r w:rsidRPr="00E4666D">
        <w:rPr>
          <w:color w:val="000000" w:themeColor="text1"/>
        </w:rPr>
        <w:t xml:space="preserve">, this Court was concerned with </w:t>
      </w:r>
      <w:r w:rsidR="003A6DCC" w:rsidRPr="00E4666D">
        <w:rPr>
          <w:color w:val="000000" w:themeColor="text1"/>
        </w:rPr>
        <w:t xml:space="preserve">section </w:t>
      </w:r>
      <w:r w:rsidR="00926C3D" w:rsidRPr="00E4666D">
        <w:rPr>
          <w:color w:val="000000" w:themeColor="text1"/>
          <w:szCs w:val="24"/>
        </w:rPr>
        <w:t>54(1) of the Public Health and Municipal Services Ordinance</w:t>
      </w:r>
      <w:r w:rsidR="003A6DCC" w:rsidRPr="00E4666D">
        <w:rPr>
          <w:rStyle w:val="FootnoteReference"/>
          <w:color w:val="000000" w:themeColor="text1"/>
          <w:szCs w:val="24"/>
        </w:rPr>
        <w:footnoteReference w:id="61"/>
      </w:r>
      <w:r w:rsidR="00926C3D" w:rsidRPr="00E4666D">
        <w:rPr>
          <w:color w:val="000000" w:themeColor="text1"/>
        </w:rPr>
        <w:t xml:space="preserve"> which creates the </w:t>
      </w:r>
      <w:r w:rsidRPr="00E4666D">
        <w:rPr>
          <w:color w:val="000000" w:themeColor="text1"/>
        </w:rPr>
        <w:t>o</w:t>
      </w:r>
      <w:r w:rsidRPr="00E4666D">
        <w:rPr>
          <w:color w:val="000000" w:themeColor="text1"/>
          <w:szCs w:val="24"/>
        </w:rPr>
        <w:t xml:space="preserve">ffence of </w:t>
      </w:r>
      <w:r w:rsidR="00926C3D" w:rsidRPr="00E4666D">
        <w:rPr>
          <w:color w:val="000000" w:themeColor="text1"/>
          <w:szCs w:val="24"/>
        </w:rPr>
        <w:t xml:space="preserve">selling </w:t>
      </w:r>
      <w:r w:rsidRPr="00E4666D">
        <w:rPr>
          <w:color w:val="000000" w:themeColor="text1"/>
          <w:szCs w:val="24"/>
        </w:rPr>
        <w:t>a drug intended for use by</w:t>
      </w:r>
      <w:r w:rsidR="00926C3D" w:rsidRPr="00E4666D">
        <w:rPr>
          <w:color w:val="000000" w:themeColor="text1"/>
          <w:szCs w:val="24"/>
        </w:rPr>
        <w:t xml:space="preserve"> man but unfit for that purpose</w:t>
      </w:r>
      <w:r w:rsidRPr="00E4666D">
        <w:rPr>
          <w:color w:val="000000" w:themeColor="text1"/>
          <w:szCs w:val="24"/>
        </w:rPr>
        <w:t xml:space="preserve">. </w:t>
      </w:r>
      <w:r w:rsidR="00926C3D" w:rsidRPr="00E4666D">
        <w:rPr>
          <w:color w:val="000000" w:themeColor="text1"/>
          <w:szCs w:val="24"/>
        </w:rPr>
        <w:t>The question for the Court</w:t>
      </w:r>
      <w:r w:rsidR="00094802" w:rsidRPr="00E4666D">
        <w:rPr>
          <w:color w:val="000000" w:themeColor="text1"/>
          <w:szCs w:val="24"/>
        </w:rPr>
        <w:t>, obviously one of statutory construction,</w:t>
      </w:r>
      <w:r w:rsidR="00926C3D" w:rsidRPr="00E4666D">
        <w:rPr>
          <w:color w:val="000000" w:themeColor="text1"/>
          <w:szCs w:val="24"/>
        </w:rPr>
        <w:t xml:space="preserve"> was whether a defendant is liable even where the medicine was sold in the honest and reasonable, albeit mistaken, belief that it was fit for human use.  </w:t>
      </w:r>
      <w:r w:rsidR="00094802" w:rsidRPr="00E4666D">
        <w:rPr>
          <w:color w:val="000000" w:themeColor="text1"/>
          <w:szCs w:val="24"/>
        </w:rPr>
        <w:t>It was pointed out that:</w:t>
      </w:r>
    </w:p>
    <w:p w:rsidR="00094802" w:rsidRPr="00E4666D" w:rsidRDefault="00094802" w:rsidP="005928C6">
      <w:pPr>
        <w:pStyle w:val="Bob1"/>
        <w:numPr>
          <w:ilvl w:val="0"/>
          <w:numId w:val="0"/>
        </w:numPr>
        <w:spacing w:line="240" w:lineRule="auto"/>
        <w:ind w:left="720"/>
        <w:jc w:val="both"/>
        <w:rPr>
          <w:color w:val="000000" w:themeColor="text1"/>
          <w:sz w:val="24"/>
        </w:rPr>
      </w:pPr>
      <w:r w:rsidRPr="00E4666D">
        <w:rPr>
          <w:color w:val="000000" w:themeColor="text1"/>
          <w:sz w:val="24"/>
        </w:rPr>
        <w:t>“The possible difficulty, in cases like the present, arises because the provision which creates the offence is silent or ambiguous as to the state of mind required.”</w:t>
      </w:r>
      <w:r w:rsidRPr="00E4666D">
        <w:rPr>
          <w:rStyle w:val="FootnoteReference"/>
          <w:color w:val="000000" w:themeColor="text1"/>
          <w:sz w:val="24"/>
          <w:szCs w:val="24"/>
        </w:rPr>
        <w:footnoteReference w:id="62"/>
      </w:r>
      <w:r w:rsidRPr="00E4666D">
        <w:rPr>
          <w:color w:val="000000" w:themeColor="text1"/>
          <w:sz w:val="24"/>
        </w:rPr>
        <w:t xml:space="preserve">  </w:t>
      </w:r>
    </w:p>
    <w:p w:rsidR="00094802" w:rsidRPr="00E4666D" w:rsidRDefault="00094802" w:rsidP="005928C6">
      <w:pPr>
        <w:pStyle w:val="Bob1"/>
        <w:tabs>
          <w:tab w:val="clear" w:pos="720"/>
          <w:tab w:val="left" w:pos="1440"/>
        </w:tabs>
        <w:ind w:left="0" w:firstLine="0"/>
        <w:jc w:val="both"/>
        <w:rPr>
          <w:color w:val="000000" w:themeColor="text1"/>
        </w:rPr>
      </w:pPr>
      <w:r w:rsidRPr="00E4666D">
        <w:rPr>
          <w:i/>
          <w:color w:val="000000" w:themeColor="text1"/>
        </w:rPr>
        <w:t xml:space="preserve">Hin Lin Yee </w:t>
      </w:r>
      <w:r w:rsidRPr="00E4666D">
        <w:rPr>
          <w:color w:val="000000" w:themeColor="text1"/>
        </w:rPr>
        <w:t>set</w:t>
      </w:r>
      <w:r w:rsidR="004E2666" w:rsidRPr="00E4666D">
        <w:rPr>
          <w:color w:val="000000" w:themeColor="text1"/>
        </w:rPr>
        <w:t>s</w:t>
      </w:r>
      <w:r w:rsidRPr="00E4666D">
        <w:rPr>
          <w:color w:val="000000" w:themeColor="text1"/>
        </w:rPr>
        <w:t xml:space="preserve"> out the principles to be adopted in construing such provisions, beginning with a presumption of </w:t>
      </w:r>
      <w:r w:rsidRPr="00E4666D">
        <w:rPr>
          <w:i/>
          <w:color w:val="000000" w:themeColor="text1"/>
        </w:rPr>
        <w:t>mens rea</w:t>
      </w:r>
      <w:r w:rsidRPr="00E4666D">
        <w:rPr>
          <w:color w:val="000000" w:themeColor="text1"/>
        </w:rPr>
        <w:t xml:space="preserve">, </w:t>
      </w:r>
      <w:r w:rsidR="00CB61F7" w:rsidRPr="00E4666D">
        <w:rPr>
          <w:color w:val="000000" w:themeColor="text1"/>
        </w:rPr>
        <w:t>echoing Lord Bingham’s approach.</w:t>
      </w:r>
    </w:p>
    <w:p w:rsidR="00094802" w:rsidRPr="00E4666D" w:rsidRDefault="00094802" w:rsidP="005928C6">
      <w:pPr>
        <w:pStyle w:val="Bob1"/>
        <w:tabs>
          <w:tab w:val="clear" w:pos="720"/>
          <w:tab w:val="left" w:pos="1440"/>
        </w:tabs>
        <w:ind w:left="0" w:firstLine="0"/>
        <w:jc w:val="both"/>
        <w:rPr>
          <w:color w:val="000000" w:themeColor="text1"/>
        </w:rPr>
      </w:pPr>
      <w:r w:rsidRPr="00E4666D">
        <w:rPr>
          <w:color w:val="000000" w:themeColor="text1"/>
        </w:rPr>
        <w:t xml:space="preserve">This was re-iterated in </w:t>
      </w:r>
      <w:r w:rsidRPr="00E4666D">
        <w:rPr>
          <w:rFonts w:eastAsia="PMingLiU"/>
          <w:i/>
          <w:color w:val="000000" w:themeColor="text1"/>
          <w:lang w:eastAsia="zh-TW"/>
        </w:rPr>
        <w:t>Kulemesin v HKSAR</w:t>
      </w:r>
      <w:r w:rsidRPr="00E4666D">
        <w:rPr>
          <w:rStyle w:val="FootnoteReference"/>
          <w:rFonts w:eastAsia="PMingLiU"/>
          <w:i/>
          <w:color w:val="000000" w:themeColor="text1"/>
          <w:lang w:eastAsia="zh-TW"/>
        </w:rPr>
        <w:footnoteReference w:id="63"/>
      </w:r>
      <w:r w:rsidRPr="00E4666D">
        <w:rPr>
          <w:rFonts w:eastAsia="PMingLiU"/>
          <w:color w:val="000000" w:themeColor="text1"/>
          <w:lang w:eastAsia="zh-TW"/>
        </w:rPr>
        <w:t xml:space="preserve"> where the Court had to construe s</w:t>
      </w:r>
      <w:r w:rsidRPr="00E4666D">
        <w:rPr>
          <w:color w:val="000000" w:themeColor="text1"/>
        </w:rPr>
        <w:t>ection 72 of the Shipping and Port Control Ordinance,</w:t>
      </w:r>
      <w:r w:rsidRPr="00E4666D">
        <w:rPr>
          <w:rStyle w:val="FootnoteReference"/>
          <w:color w:val="000000" w:themeColor="text1"/>
        </w:rPr>
        <w:footnoteReference w:id="64"/>
      </w:r>
      <w:r w:rsidRPr="00E4666D">
        <w:rPr>
          <w:color w:val="000000" w:themeColor="text1"/>
        </w:rPr>
        <w:t xml:space="preserve"> and, referring back to </w:t>
      </w:r>
      <w:r w:rsidRPr="00E4666D">
        <w:rPr>
          <w:i/>
          <w:color w:val="000000" w:themeColor="text1"/>
        </w:rPr>
        <w:t>Hin Lin Yee</w:t>
      </w:r>
      <w:r w:rsidRPr="00E4666D">
        <w:rPr>
          <w:color w:val="000000" w:themeColor="text1"/>
        </w:rPr>
        <w:t xml:space="preserve">, </w:t>
      </w:r>
      <w:r w:rsidR="004E2666" w:rsidRPr="00E4666D">
        <w:rPr>
          <w:color w:val="000000" w:themeColor="text1"/>
        </w:rPr>
        <w:t>Ribeiro PJ</w:t>
      </w:r>
      <w:r w:rsidRPr="00E4666D">
        <w:rPr>
          <w:color w:val="000000" w:themeColor="text1"/>
        </w:rPr>
        <w:t xml:space="preserve"> stated:</w:t>
      </w:r>
    </w:p>
    <w:p w:rsidR="00094802" w:rsidRPr="00E4666D" w:rsidRDefault="00094802" w:rsidP="005928C6">
      <w:pPr>
        <w:pStyle w:val="Bob1"/>
        <w:numPr>
          <w:ilvl w:val="0"/>
          <w:numId w:val="0"/>
        </w:numPr>
        <w:spacing w:line="240" w:lineRule="auto"/>
        <w:ind w:left="720"/>
        <w:jc w:val="both"/>
        <w:rPr>
          <w:color w:val="000000" w:themeColor="text1"/>
          <w:sz w:val="24"/>
          <w:szCs w:val="24"/>
        </w:rPr>
      </w:pPr>
      <w:r w:rsidRPr="00E4666D">
        <w:rPr>
          <w:color w:val="000000" w:themeColor="text1"/>
          <w:sz w:val="24"/>
        </w:rPr>
        <w:lastRenderedPageBreak/>
        <w:t>“</w:t>
      </w:r>
      <w:r w:rsidR="00CB61F7" w:rsidRPr="00E4666D">
        <w:rPr>
          <w:color w:val="000000" w:themeColor="text1"/>
          <w:sz w:val="24"/>
        </w:rPr>
        <w:t xml:space="preserve">... </w:t>
      </w:r>
      <w:r w:rsidRPr="00E4666D">
        <w:rPr>
          <w:color w:val="000000" w:themeColor="text1"/>
          <w:sz w:val="24"/>
          <w:szCs w:val="24"/>
        </w:rPr>
        <w:t xml:space="preserve">where the offence-creating provisions are silent or ambiguous as to the mental requirements, the starting-point is that the statute must be construed adopting the presumption that it is incumbent on the prosecution to prove </w:t>
      </w:r>
      <w:r w:rsidRPr="00E4666D">
        <w:rPr>
          <w:i/>
          <w:iCs/>
          <w:color w:val="000000" w:themeColor="text1"/>
          <w:sz w:val="24"/>
          <w:szCs w:val="24"/>
        </w:rPr>
        <w:t>mens rea</w:t>
      </w:r>
      <w:r w:rsidRPr="00E4666D">
        <w:rPr>
          <w:color w:val="000000" w:themeColor="text1"/>
          <w:sz w:val="24"/>
          <w:szCs w:val="24"/>
        </w:rPr>
        <w:t xml:space="preserve"> in relation to each element of the offence.”</w:t>
      </w:r>
      <w:r w:rsidR="00CB61F7" w:rsidRPr="00E4666D">
        <w:rPr>
          <w:rStyle w:val="FootnoteReference"/>
          <w:color w:val="000000" w:themeColor="text1"/>
          <w:sz w:val="24"/>
          <w:szCs w:val="24"/>
        </w:rPr>
        <w:footnoteReference w:id="65"/>
      </w:r>
    </w:p>
    <w:p w:rsidR="008E398E" w:rsidRPr="00E4666D" w:rsidRDefault="000538A0" w:rsidP="0053080D">
      <w:pPr>
        <w:pStyle w:val="Bob1"/>
        <w:tabs>
          <w:tab w:val="clear" w:pos="720"/>
          <w:tab w:val="left" w:pos="1440"/>
        </w:tabs>
        <w:spacing w:after="120"/>
        <w:ind w:left="0" w:firstLine="0"/>
        <w:jc w:val="both"/>
        <w:rPr>
          <w:color w:val="000000" w:themeColor="text1"/>
        </w:rPr>
      </w:pPr>
      <w:r w:rsidRPr="00E4666D">
        <w:rPr>
          <w:color w:val="000000" w:themeColor="text1"/>
        </w:rPr>
        <w:t xml:space="preserve">Similarly, in </w:t>
      </w:r>
      <w:r w:rsidRPr="00E4666D">
        <w:rPr>
          <w:i/>
          <w:color w:val="000000" w:themeColor="text1"/>
        </w:rPr>
        <w:t>HKSAR v Choi Wai Lun</w:t>
      </w:r>
      <w:r w:rsidRPr="00E4666D">
        <w:rPr>
          <w:color w:val="000000" w:themeColor="text1"/>
        </w:rPr>
        <w:t>,</w:t>
      </w:r>
      <w:r w:rsidRPr="00E4666D">
        <w:rPr>
          <w:rStyle w:val="FootnoteReference"/>
          <w:color w:val="000000" w:themeColor="text1"/>
        </w:rPr>
        <w:footnoteReference w:id="66"/>
      </w:r>
      <w:r w:rsidRPr="00E4666D">
        <w:rPr>
          <w:color w:val="000000" w:themeColor="text1"/>
        </w:rPr>
        <w:t xml:space="preserve"> the Court was engaged in construing section 122 of the Crimes Ordinance</w:t>
      </w:r>
      <w:r w:rsidRPr="00E4666D">
        <w:rPr>
          <w:rStyle w:val="FootnoteReference"/>
          <w:color w:val="000000" w:themeColor="text1"/>
        </w:rPr>
        <w:footnoteReference w:id="67"/>
      </w:r>
      <w:r w:rsidRPr="00E4666D">
        <w:rPr>
          <w:color w:val="000000" w:themeColor="text1"/>
        </w:rPr>
        <w:t xml:space="preserve"> </w:t>
      </w:r>
      <w:r w:rsidR="008E398E" w:rsidRPr="00E4666D">
        <w:rPr>
          <w:color w:val="000000" w:themeColor="text1"/>
        </w:rPr>
        <w:t xml:space="preserve">which makes it an offence to commit an </w:t>
      </w:r>
      <w:r w:rsidRPr="00E4666D">
        <w:rPr>
          <w:color w:val="000000" w:themeColor="text1"/>
        </w:rPr>
        <w:t xml:space="preserve">indecent assault </w:t>
      </w:r>
      <w:r w:rsidR="008E398E" w:rsidRPr="00E4666D">
        <w:rPr>
          <w:color w:val="000000" w:themeColor="text1"/>
        </w:rPr>
        <w:t xml:space="preserve">on another person and goes on to provide that a </w:t>
      </w:r>
      <w:r w:rsidRPr="00E4666D">
        <w:rPr>
          <w:color w:val="000000" w:themeColor="text1"/>
        </w:rPr>
        <w:t xml:space="preserve">person under 16 </w:t>
      </w:r>
      <w:r w:rsidR="008E398E" w:rsidRPr="00E4666D">
        <w:rPr>
          <w:color w:val="000000" w:themeColor="text1"/>
        </w:rPr>
        <w:t xml:space="preserve">is legally </w:t>
      </w:r>
      <w:r w:rsidR="005435C9" w:rsidRPr="00E4666D">
        <w:rPr>
          <w:color w:val="000000" w:themeColor="text1"/>
        </w:rPr>
        <w:t xml:space="preserve">incapable of </w:t>
      </w:r>
      <w:r w:rsidRPr="00E4666D">
        <w:rPr>
          <w:color w:val="000000" w:themeColor="text1"/>
        </w:rPr>
        <w:t>consent</w:t>
      </w:r>
      <w:r w:rsidR="005435C9" w:rsidRPr="00E4666D">
        <w:rPr>
          <w:color w:val="000000" w:themeColor="text1"/>
        </w:rPr>
        <w:t>ing</w:t>
      </w:r>
      <w:r w:rsidR="008E398E" w:rsidRPr="00E4666D">
        <w:rPr>
          <w:color w:val="000000" w:themeColor="text1"/>
        </w:rPr>
        <w:t xml:space="preserve"> to the behaviour in question, which consent would otherwise prevent the act being an assault for the purposes of the section. The question was whether a person commits the offence if he engages in sexual conduct which is in fact consensual with a girl who is actually aged 13 when he honestly and reasonably believes her to be aged 16 or above.  It was once again made clear that the issue was one of statutory construction:</w:t>
      </w:r>
    </w:p>
    <w:p w:rsidR="000538A0" w:rsidRPr="00E4666D" w:rsidRDefault="000538A0" w:rsidP="005928C6">
      <w:pPr>
        <w:pStyle w:val="Bob1"/>
        <w:numPr>
          <w:ilvl w:val="0"/>
          <w:numId w:val="0"/>
        </w:numPr>
        <w:spacing w:line="240" w:lineRule="auto"/>
        <w:ind w:left="720"/>
        <w:jc w:val="both"/>
        <w:rPr>
          <w:color w:val="000000" w:themeColor="text1"/>
          <w:sz w:val="24"/>
        </w:rPr>
      </w:pPr>
      <w:r w:rsidRPr="00E4666D">
        <w:rPr>
          <w:color w:val="000000" w:themeColor="text1"/>
          <w:sz w:val="24"/>
        </w:rPr>
        <w:t xml:space="preserve">“The presumption of </w:t>
      </w:r>
      <w:r w:rsidRPr="00E4666D">
        <w:rPr>
          <w:i/>
          <w:color w:val="000000" w:themeColor="text1"/>
          <w:sz w:val="24"/>
        </w:rPr>
        <w:t>mens rea</w:t>
      </w:r>
      <w:r w:rsidRPr="00E4666D">
        <w:rPr>
          <w:color w:val="000000" w:themeColor="text1"/>
          <w:sz w:val="24"/>
        </w:rPr>
        <w:t xml:space="preserve"> flows from recognition that it is a cardinal principle of our criminal law that </w:t>
      </w:r>
      <w:r w:rsidRPr="00E4666D">
        <w:rPr>
          <w:i/>
          <w:color w:val="000000" w:themeColor="text1"/>
          <w:sz w:val="24"/>
        </w:rPr>
        <w:t>mens rea</w:t>
      </w:r>
      <w:r w:rsidRPr="00E4666D">
        <w:rPr>
          <w:color w:val="000000" w:themeColor="text1"/>
          <w:sz w:val="24"/>
        </w:rPr>
        <w:t>, involving the intentional or knowing performance of prohibited conduct, is ordinarily an essential ingredient of guilt of a criminal offence.  The law therefore assumes that in creating a statutory offence, the legislature does not intend to dispense with that basic principle unless the enactment does so expressly or by necessary implication.  This has been said to reflect the principle of legality or to be a principle of statutory interpretation whereby any ambiguity in a penal statute is resolved in favour of the accused.</w:t>
      </w:r>
      <w:r w:rsidR="003717C3" w:rsidRPr="00E4666D">
        <w:rPr>
          <w:color w:val="000000" w:themeColor="text1"/>
          <w:sz w:val="24"/>
        </w:rPr>
        <w:t>”</w:t>
      </w:r>
      <w:r w:rsidR="003717C3" w:rsidRPr="00E4666D">
        <w:rPr>
          <w:rStyle w:val="FootnoteReference"/>
          <w:color w:val="000000" w:themeColor="text1"/>
          <w:sz w:val="24"/>
        </w:rPr>
        <w:footnoteReference w:id="68"/>
      </w:r>
    </w:p>
    <w:p w:rsidR="00CB61F7" w:rsidRPr="00E4666D" w:rsidRDefault="009013E6" w:rsidP="005928C6">
      <w:pPr>
        <w:pStyle w:val="Bob1"/>
        <w:tabs>
          <w:tab w:val="clear" w:pos="720"/>
          <w:tab w:val="left" w:pos="1440"/>
        </w:tabs>
        <w:ind w:left="0" w:firstLine="0"/>
        <w:jc w:val="both"/>
        <w:rPr>
          <w:color w:val="000000" w:themeColor="text1"/>
        </w:rPr>
      </w:pPr>
      <w:r w:rsidRPr="00E4666D">
        <w:rPr>
          <w:color w:val="000000" w:themeColor="text1"/>
        </w:rPr>
        <w:t xml:space="preserve">It is self-evident that these cases have no application in the present appeal.  GNM is a common law offence.  It is not created by any statutory provision which, because of its silence or ambiguity, </w:t>
      </w:r>
      <w:r w:rsidR="00936CC5" w:rsidRPr="00E4666D">
        <w:rPr>
          <w:color w:val="000000" w:themeColor="text1"/>
        </w:rPr>
        <w:t xml:space="preserve">needs </w:t>
      </w:r>
      <w:r w:rsidRPr="00E4666D">
        <w:rPr>
          <w:color w:val="000000" w:themeColor="text1"/>
        </w:rPr>
        <w:t>to be construed t</w:t>
      </w:r>
      <w:r w:rsidR="005435C9" w:rsidRPr="00E4666D">
        <w:rPr>
          <w:color w:val="000000" w:themeColor="text1"/>
        </w:rPr>
        <w:t xml:space="preserve">o ascertain the mental element </w:t>
      </w:r>
      <w:r w:rsidRPr="00E4666D">
        <w:rPr>
          <w:color w:val="000000" w:themeColor="text1"/>
        </w:rPr>
        <w:t xml:space="preserve">required.  There is no basis for contending that the ingredients of GNM which have long been established at common law should somehow be modified </w:t>
      </w:r>
      <w:r w:rsidR="00936CC5" w:rsidRPr="00E4666D">
        <w:rPr>
          <w:color w:val="000000" w:themeColor="text1"/>
        </w:rPr>
        <w:t xml:space="preserve">to replace the element of gross negligence with a recklessness requirement </w:t>
      </w:r>
      <w:r w:rsidR="00834277" w:rsidRPr="00E4666D">
        <w:rPr>
          <w:color w:val="000000" w:themeColor="text1"/>
        </w:rPr>
        <w:lastRenderedPageBreak/>
        <w:t>through the</w:t>
      </w:r>
      <w:r w:rsidRPr="00E4666D">
        <w:rPr>
          <w:color w:val="000000" w:themeColor="text1"/>
        </w:rPr>
        <w:t xml:space="preserve"> application of a</w:t>
      </w:r>
      <w:r w:rsidR="004E2666" w:rsidRPr="00E4666D">
        <w:rPr>
          <w:color w:val="000000" w:themeColor="text1"/>
        </w:rPr>
        <w:t xml:space="preserve"> </w:t>
      </w:r>
      <w:r w:rsidR="005435C9" w:rsidRPr="00E4666D">
        <w:rPr>
          <w:color w:val="000000" w:themeColor="text1"/>
        </w:rPr>
        <w:t>separate</w:t>
      </w:r>
      <w:r w:rsidR="00834277" w:rsidRPr="00E4666D">
        <w:rPr>
          <w:color w:val="000000" w:themeColor="text1"/>
        </w:rPr>
        <w:t xml:space="preserve"> common law doctrine involving principles</w:t>
      </w:r>
      <w:r w:rsidRPr="00E4666D">
        <w:rPr>
          <w:color w:val="000000" w:themeColor="text1"/>
        </w:rPr>
        <w:t xml:space="preserve"> of statutory construction.</w:t>
      </w:r>
      <w:r w:rsidR="00834277" w:rsidRPr="00E4666D">
        <w:rPr>
          <w:color w:val="000000" w:themeColor="text1"/>
        </w:rPr>
        <w:t xml:space="preserve">  The</w:t>
      </w:r>
      <w:r w:rsidR="005435C9" w:rsidRPr="00E4666D">
        <w:rPr>
          <w:color w:val="000000" w:themeColor="text1"/>
        </w:rPr>
        <w:t xml:space="preserve"> principles of</w:t>
      </w:r>
      <w:r w:rsidR="00834277" w:rsidRPr="00E4666D">
        <w:rPr>
          <w:color w:val="000000" w:themeColor="text1"/>
        </w:rPr>
        <w:t xml:space="preserve"> common law </w:t>
      </w:r>
      <w:r w:rsidR="005435C9" w:rsidRPr="00E4666D">
        <w:rPr>
          <w:color w:val="000000" w:themeColor="text1"/>
        </w:rPr>
        <w:t xml:space="preserve">regarding the essential elements of GNM on the one hand, and </w:t>
      </w:r>
      <w:r w:rsidR="00C02E85" w:rsidRPr="00E4666D">
        <w:rPr>
          <w:color w:val="000000" w:themeColor="text1"/>
        </w:rPr>
        <w:t xml:space="preserve">those laying down principles of statutory interpretation regarding </w:t>
      </w:r>
      <w:r w:rsidR="00C02E85" w:rsidRPr="00E4666D">
        <w:rPr>
          <w:i/>
          <w:color w:val="000000" w:themeColor="text1"/>
        </w:rPr>
        <w:t xml:space="preserve">mens rea </w:t>
      </w:r>
      <w:r w:rsidR="00C02E85" w:rsidRPr="00E4666D">
        <w:rPr>
          <w:color w:val="000000" w:themeColor="text1"/>
        </w:rPr>
        <w:t xml:space="preserve">requirements on the other, </w:t>
      </w:r>
      <w:r w:rsidR="00834277" w:rsidRPr="00E4666D">
        <w:rPr>
          <w:color w:val="000000" w:themeColor="text1"/>
        </w:rPr>
        <w:t xml:space="preserve">obviously operate in entirely </w:t>
      </w:r>
      <w:r w:rsidR="004E2666" w:rsidRPr="00E4666D">
        <w:rPr>
          <w:color w:val="000000" w:themeColor="text1"/>
        </w:rPr>
        <w:t>separate</w:t>
      </w:r>
      <w:r w:rsidR="00834277" w:rsidRPr="00E4666D">
        <w:rPr>
          <w:color w:val="000000" w:themeColor="text1"/>
        </w:rPr>
        <w:t xml:space="preserve"> spheres.</w:t>
      </w:r>
    </w:p>
    <w:p w:rsidR="008C58F5" w:rsidRPr="00E4666D" w:rsidRDefault="008C58F5" w:rsidP="005928C6">
      <w:pPr>
        <w:pStyle w:val="Bob1"/>
        <w:tabs>
          <w:tab w:val="clear" w:pos="720"/>
          <w:tab w:val="left" w:pos="1440"/>
        </w:tabs>
        <w:ind w:left="0" w:firstLine="0"/>
        <w:jc w:val="both"/>
        <w:rPr>
          <w:color w:val="000000" w:themeColor="text1"/>
        </w:rPr>
      </w:pPr>
      <w:r w:rsidRPr="00E4666D">
        <w:rPr>
          <w:i/>
          <w:color w:val="000000" w:themeColor="text1"/>
        </w:rPr>
        <w:t>Sin Kam Wah</w:t>
      </w:r>
      <w:r w:rsidRPr="00E4666D">
        <w:rPr>
          <w:rStyle w:val="FootnoteReference"/>
          <w:i/>
          <w:color w:val="000000" w:themeColor="text1"/>
        </w:rPr>
        <w:footnoteReference w:id="69"/>
      </w:r>
      <w:r w:rsidRPr="00E4666D">
        <w:rPr>
          <w:i/>
          <w:color w:val="000000" w:themeColor="text1"/>
        </w:rPr>
        <w:t xml:space="preserve"> </w:t>
      </w:r>
      <w:r w:rsidRPr="00E4666D">
        <w:rPr>
          <w:color w:val="000000" w:themeColor="text1"/>
        </w:rPr>
        <w:t>is distinguishable on a different basis.  It was a case in which a police officer was convicted</w:t>
      </w:r>
      <w:r w:rsidR="00896C38" w:rsidRPr="00E4666D">
        <w:rPr>
          <w:color w:val="000000" w:themeColor="text1"/>
        </w:rPr>
        <w:t xml:space="preserve"> </w:t>
      </w:r>
      <w:r w:rsidRPr="00E4666D">
        <w:rPr>
          <w:color w:val="000000" w:themeColor="text1"/>
        </w:rPr>
        <w:t>of misconduct in public office by accepting as a “general sweetener” sexual favours from prostitutes arranged and paid for by a person who exercised control over them contrary to section 130(1)(b) of the Crimes Ordinance</w:t>
      </w:r>
      <w:r w:rsidR="003A6DCC" w:rsidRPr="00E4666D">
        <w:rPr>
          <w:rStyle w:val="FootnoteReference"/>
          <w:color w:val="000000" w:themeColor="text1"/>
        </w:rPr>
        <w:footnoteReference w:id="70"/>
      </w:r>
      <w:r w:rsidRPr="00E4666D">
        <w:rPr>
          <w:color w:val="000000" w:themeColor="text1"/>
        </w:rPr>
        <w:t xml:space="preserve">.  It was not in dispute that it would be sufficient to prove recklessness on the part of the officer as to whether the person making the arrangements exercised such control.  The question was: </w:t>
      </w:r>
      <w:r w:rsidR="00C02E85" w:rsidRPr="00E4666D">
        <w:rPr>
          <w:color w:val="000000" w:themeColor="text1"/>
        </w:rPr>
        <w:t xml:space="preserve">What must be proved to establish such </w:t>
      </w:r>
      <w:r w:rsidRPr="00E4666D">
        <w:rPr>
          <w:color w:val="000000" w:themeColor="text1"/>
        </w:rPr>
        <w:t xml:space="preserve">recklessness?  Lord Bingham addressed the same question in </w:t>
      </w:r>
      <w:r w:rsidRPr="00E4666D">
        <w:rPr>
          <w:i/>
          <w:color w:val="000000" w:themeColor="text1"/>
        </w:rPr>
        <w:t>R v G and Another</w:t>
      </w:r>
      <w:r w:rsidRPr="00E4666D">
        <w:rPr>
          <w:color w:val="000000" w:themeColor="text1"/>
        </w:rPr>
        <w:t>,</w:t>
      </w:r>
      <w:r w:rsidR="00782A63" w:rsidRPr="00E4666D">
        <w:rPr>
          <w:rStyle w:val="FootnoteReference"/>
          <w:color w:val="000000" w:themeColor="text1"/>
        </w:rPr>
        <w:footnoteReference w:id="71"/>
      </w:r>
      <w:r w:rsidRPr="00E4666D">
        <w:rPr>
          <w:color w:val="000000" w:themeColor="text1"/>
        </w:rPr>
        <w:t xml:space="preserve"> albeit in a statutory context whereas this Court </w:t>
      </w:r>
      <w:r w:rsidR="00C02E85" w:rsidRPr="00E4666D">
        <w:rPr>
          <w:color w:val="000000" w:themeColor="text1"/>
        </w:rPr>
        <w:t xml:space="preserve">in </w:t>
      </w:r>
      <w:r w:rsidR="00C02E85" w:rsidRPr="00E4666D">
        <w:rPr>
          <w:i/>
          <w:color w:val="000000" w:themeColor="text1"/>
        </w:rPr>
        <w:t xml:space="preserve">Sin Kam Wah </w:t>
      </w:r>
      <w:r w:rsidRPr="00E4666D">
        <w:rPr>
          <w:color w:val="000000" w:themeColor="text1"/>
        </w:rPr>
        <w:t>was concerned with the common law offence of misconduct in public office.</w:t>
      </w:r>
    </w:p>
    <w:p w:rsidR="004E2666" w:rsidRPr="00E4666D" w:rsidRDefault="008C58F5" w:rsidP="005928C6">
      <w:pPr>
        <w:pStyle w:val="Bob1"/>
        <w:tabs>
          <w:tab w:val="clear" w:pos="720"/>
          <w:tab w:val="left" w:pos="1440"/>
        </w:tabs>
        <w:ind w:left="0" w:firstLine="0"/>
        <w:jc w:val="both"/>
        <w:rPr>
          <w:color w:val="000000" w:themeColor="text1"/>
        </w:rPr>
      </w:pPr>
      <w:r w:rsidRPr="00E4666D">
        <w:rPr>
          <w:color w:val="000000" w:themeColor="text1"/>
        </w:rPr>
        <w:t xml:space="preserve">Sir Anthony Mason NPJ </w:t>
      </w:r>
      <w:r w:rsidR="00896C38" w:rsidRPr="00E4666D">
        <w:rPr>
          <w:color w:val="000000" w:themeColor="text1"/>
        </w:rPr>
        <w:t>endorsed Lord Bingham’s approach</w:t>
      </w:r>
      <w:r w:rsidR="00782A63" w:rsidRPr="00E4666D">
        <w:rPr>
          <w:rStyle w:val="FootnoteReference"/>
          <w:color w:val="000000" w:themeColor="text1"/>
        </w:rPr>
        <w:footnoteReference w:id="72"/>
      </w:r>
      <w:r w:rsidR="00896C38" w:rsidRPr="00E4666D">
        <w:rPr>
          <w:color w:val="000000" w:themeColor="text1"/>
        </w:rPr>
        <w:t xml:space="preserve"> and </w:t>
      </w:r>
      <w:r w:rsidRPr="00E4666D">
        <w:rPr>
          <w:color w:val="000000" w:themeColor="text1"/>
        </w:rPr>
        <w:t>was concerned to correct the approach to “recklessness” that had previously been adopted in this jurisdiction</w:t>
      </w:r>
      <w:r w:rsidR="009459BD" w:rsidRPr="00E4666D">
        <w:rPr>
          <w:rStyle w:val="FootnoteReference"/>
          <w:color w:val="000000" w:themeColor="text1"/>
        </w:rPr>
        <w:footnoteReference w:id="73"/>
      </w:r>
      <w:r w:rsidR="00896C38" w:rsidRPr="00E4666D">
        <w:rPr>
          <w:color w:val="000000" w:themeColor="text1"/>
        </w:rPr>
        <w:t xml:space="preserve"> which </w:t>
      </w:r>
      <w:r w:rsidR="00A349E6" w:rsidRPr="00E4666D">
        <w:rPr>
          <w:color w:val="000000" w:themeColor="text1"/>
        </w:rPr>
        <w:t xml:space="preserve">involved </w:t>
      </w:r>
      <w:r w:rsidR="00896C38" w:rsidRPr="00E4666D">
        <w:rPr>
          <w:color w:val="000000" w:themeColor="text1"/>
        </w:rPr>
        <w:t>accept</w:t>
      </w:r>
      <w:r w:rsidR="00A349E6" w:rsidRPr="00E4666D">
        <w:rPr>
          <w:color w:val="000000" w:themeColor="text1"/>
        </w:rPr>
        <w:t>ing</w:t>
      </w:r>
      <w:r w:rsidR="00896C38" w:rsidRPr="00E4666D">
        <w:rPr>
          <w:color w:val="000000" w:themeColor="text1"/>
        </w:rPr>
        <w:t xml:space="preserve"> that recklessness could be proved by applying an objective test.  The approach held to have been erroneous </w:t>
      </w:r>
      <w:r w:rsidR="00C02E85" w:rsidRPr="00E4666D">
        <w:rPr>
          <w:color w:val="000000" w:themeColor="text1"/>
        </w:rPr>
        <w:t>had been</w:t>
      </w:r>
      <w:r w:rsidR="00896C38" w:rsidRPr="00E4666D">
        <w:rPr>
          <w:color w:val="000000" w:themeColor="text1"/>
        </w:rPr>
        <w:t xml:space="preserve"> </w:t>
      </w:r>
      <w:r w:rsidRPr="00E4666D">
        <w:rPr>
          <w:color w:val="000000" w:themeColor="text1"/>
        </w:rPr>
        <w:t>summarised as follows:</w:t>
      </w:r>
    </w:p>
    <w:p w:rsidR="008C58F5" w:rsidRPr="00E4666D" w:rsidRDefault="008C58F5" w:rsidP="005928C6">
      <w:pPr>
        <w:pStyle w:val="Bob1"/>
        <w:numPr>
          <w:ilvl w:val="0"/>
          <w:numId w:val="0"/>
        </w:numPr>
        <w:spacing w:line="240" w:lineRule="auto"/>
        <w:ind w:left="720"/>
        <w:jc w:val="both"/>
        <w:rPr>
          <w:color w:val="000000" w:themeColor="text1"/>
          <w:sz w:val="24"/>
        </w:rPr>
      </w:pPr>
      <w:r w:rsidRPr="00E4666D">
        <w:rPr>
          <w:color w:val="000000" w:themeColor="text1"/>
          <w:sz w:val="24"/>
        </w:rPr>
        <w:lastRenderedPageBreak/>
        <w:t>“Recklessness on the part of the doer of an act presupposes that there is something in the circumstances that would have drawn the attention of an ordinary prudent individual to the possibility that his act was capable of causing the kind of serious harmful consequences that the section that created the offence was intended to prevent and that the risk of those harmful consequences occurring was not so slight that an ordinary prudent individual would feel justified in treating them as negligible. It is only when this is so that the doer of the act is acting ‘recklessly’ if, before doing the act, he either fails to give any thought to the possibility of there being such risk or, having recognized that there was such a risk, he nevertheless goes on to do it.”</w:t>
      </w:r>
      <w:r w:rsidRPr="00E4666D">
        <w:rPr>
          <w:rStyle w:val="FootnoteReference"/>
          <w:color w:val="000000" w:themeColor="text1"/>
          <w:sz w:val="24"/>
        </w:rPr>
        <w:footnoteReference w:id="74"/>
      </w:r>
    </w:p>
    <w:p w:rsidR="00782A63" w:rsidRPr="00E4666D" w:rsidRDefault="00FE0150" w:rsidP="005928C6">
      <w:pPr>
        <w:pStyle w:val="Bob1"/>
        <w:tabs>
          <w:tab w:val="clear" w:pos="720"/>
          <w:tab w:val="left" w:pos="1440"/>
        </w:tabs>
        <w:ind w:left="0" w:firstLine="0"/>
        <w:jc w:val="both"/>
        <w:rPr>
          <w:color w:val="000000" w:themeColor="text1"/>
        </w:rPr>
      </w:pPr>
      <w:r w:rsidRPr="00E4666D">
        <w:rPr>
          <w:color w:val="000000" w:themeColor="text1"/>
        </w:rPr>
        <w:t xml:space="preserve">The Court in </w:t>
      </w:r>
      <w:r w:rsidRPr="00E4666D">
        <w:rPr>
          <w:i/>
          <w:color w:val="000000" w:themeColor="text1"/>
        </w:rPr>
        <w:t xml:space="preserve">Sin Kam Wah </w:t>
      </w:r>
      <w:r w:rsidRPr="00E4666D">
        <w:rPr>
          <w:color w:val="000000" w:themeColor="text1"/>
        </w:rPr>
        <w:t xml:space="preserve">was therefore concerned with elucidating the nature of “recklessness” where </w:t>
      </w:r>
      <w:r w:rsidR="00C02E85" w:rsidRPr="00E4666D">
        <w:rPr>
          <w:color w:val="000000" w:themeColor="text1"/>
        </w:rPr>
        <w:t>recklessness</w:t>
      </w:r>
      <w:r w:rsidRPr="00E4666D">
        <w:rPr>
          <w:color w:val="000000" w:themeColor="text1"/>
        </w:rPr>
        <w:t xml:space="preserve"> is an</w:t>
      </w:r>
      <w:r w:rsidR="00CB1BCB" w:rsidRPr="00E4666D">
        <w:rPr>
          <w:color w:val="000000" w:themeColor="text1"/>
        </w:rPr>
        <w:t xml:space="preserve"> </w:t>
      </w:r>
      <w:r w:rsidR="00B40AD8" w:rsidRPr="00E4666D">
        <w:rPr>
          <w:color w:val="000000" w:themeColor="text1"/>
        </w:rPr>
        <w:t>acknowledged</w:t>
      </w:r>
      <w:r w:rsidRPr="00E4666D">
        <w:rPr>
          <w:color w:val="000000" w:themeColor="text1"/>
        </w:rPr>
        <w:t xml:space="preserve"> </w:t>
      </w:r>
      <w:r w:rsidR="00C02E85" w:rsidRPr="00E4666D">
        <w:rPr>
          <w:color w:val="000000" w:themeColor="text1"/>
        </w:rPr>
        <w:t>element</w:t>
      </w:r>
      <w:r w:rsidRPr="00E4666D">
        <w:rPr>
          <w:color w:val="000000" w:themeColor="text1"/>
        </w:rPr>
        <w:t xml:space="preserve"> of the offence.  It was not concerned with modifying the ingredients of GNM by replacing gross negligence with a requirement of recklessness</w:t>
      </w:r>
      <w:r w:rsidR="00CB1BCB" w:rsidRPr="00E4666D">
        <w:rPr>
          <w:color w:val="000000" w:themeColor="text1"/>
        </w:rPr>
        <w:t xml:space="preserve"> as </w:t>
      </w:r>
      <w:r w:rsidR="005C07F6" w:rsidRPr="00E4666D">
        <w:rPr>
          <w:color w:val="000000" w:themeColor="text1"/>
        </w:rPr>
        <w:t xml:space="preserve">presently </w:t>
      </w:r>
      <w:r w:rsidR="00CB1BCB" w:rsidRPr="00E4666D">
        <w:rPr>
          <w:color w:val="000000" w:themeColor="text1"/>
        </w:rPr>
        <w:t xml:space="preserve">advocated on the appellant’s behalf.  </w:t>
      </w:r>
      <w:r w:rsidRPr="00E4666D">
        <w:rPr>
          <w:color w:val="000000" w:themeColor="text1"/>
        </w:rPr>
        <w:t xml:space="preserve">The Court </w:t>
      </w:r>
      <w:r w:rsidR="00CB1BCB" w:rsidRPr="00E4666D">
        <w:rPr>
          <w:color w:val="000000" w:themeColor="text1"/>
        </w:rPr>
        <w:t>found that</w:t>
      </w:r>
      <w:r w:rsidRPr="00E4666D">
        <w:rPr>
          <w:color w:val="000000" w:themeColor="text1"/>
        </w:rPr>
        <w:t xml:space="preserve"> the basis upon which </w:t>
      </w:r>
      <w:r w:rsidRPr="00E4666D">
        <w:rPr>
          <w:i/>
          <w:color w:val="000000" w:themeColor="text1"/>
        </w:rPr>
        <w:t xml:space="preserve">R v G and Another </w:t>
      </w:r>
      <w:r w:rsidR="00721E67" w:rsidRPr="00E4666D">
        <w:rPr>
          <w:color w:val="000000" w:themeColor="text1"/>
        </w:rPr>
        <w:t>decided to depart</w:t>
      </w:r>
      <w:r w:rsidR="00CB1BCB" w:rsidRPr="00E4666D">
        <w:rPr>
          <w:color w:val="000000" w:themeColor="text1"/>
        </w:rPr>
        <w:t xml:space="preserve"> from </w:t>
      </w:r>
      <w:r w:rsidRPr="00E4666D">
        <w:rPr>
          <w:color w:val="000000" w:themeColor="text1"/>
        </w:rPr>
        <w:t xml:space="preserve">the approach to “recklessness” </w:t>
      </w:r>
      <w:r w:rsidR="00CB1BCB" w:rsidRPr="00E4666D">
        <w:rPr>
          <w:color w:val="000000" w:themeColor="text1"/>
        </w:rPr>
        <w:t xml:space="preserve">enunciated in </w:t>
      </w:r>
      <w:r w:rsidRPr="00E4666D">
        <w:rPr>
          <w:i/>
          <w:color w:val="000000" w:themeColor="text1"/>
        </w:rPr>
        <w:t xml:space="preserve">Caldwell </w:t>
      </w:r>
      <w:r w:rsidRPr="00E4666D">
        <w:rPr>
          <w:color w:val="000000" w:themeColor="text1"/>
        </w:rPr>
        <w:t xml:space="preserve">and </w:t>
      </w:r>
      <w:r w:rsidRPr="00E4666D">
        <w:rPr>
          <w:i/>
          <w:color w:val="000000" w:themeColor="text1"/>
        </w:rPr>
        <w:t xml:space="preserve">Lawrence </w:t>
      </w:r>
      <w:r w:rsidR="00CB1BCB" w:rsidRPr="00E4666D">
        <w:rPr>
          <w:color w:val="000000" w:themeColor="text1"/>
        </w:rPr>
        <w:t xml:space="preserve">was </w:t>
      </w:r>
      <w:r w:rsidRPr="00E4666D">
        <w:rPr>
          <w:color w:val="000000" w:themeColor="text1"/>
        </w:rPr>
        <w:t>compelling and, on that footing, it overruled</w:t>
      </w:r>
      <w:r w:rsidR="00CF3CB5" w:rsidRPr="00E4666D">
        <w:rPr>
          <w:color w:val="000000" w:themeColor="text1"/>
        </w:rPr>
        <w:t xml:space="preserve"> the Court of Appeal decisions in</w:t>
      </w:r>
      <w:r w:rsidRPr="00E4666D">
        <w:rPr>
          <w:color w:val="000000" w:themeColor="text1"/>
        </w:rPr>
        <w:t xml:space="preserve"> </w:t>
      </w:r>
      <w:r w:rsidRPr="00E4666D">
        <w:rPr>
          <w:i/>
          <w:iCs/>
          <w:color w:val="000000" w:themeColor="text1"/>
        </w:rPr>
        <w:t>R v Chau Ming Cheong</w:t>
      </w:r>
      <w:r w:rsidRPr="00E4666D">
        <w:rPr>
          <w:iCs/>
          <w:color w:val="000000" w:themeColor="text1"/>
        </w:rPr>
        <w:t>,</w:t>
      </w:r>
      <w:r w:rsidRPr="00E4666D">
        <w:rPr>
          <w:rStyle w:val="FootnoteReference"/>
          <w:iCs/>
          <w:color w:val="000000" w:themeColor="text1"/>
        </w:rPr>
        <w:footnoteReference w:id="75"/>
      </w:r>
      <w:r w:rsidRPr="00E4666D">
        <w:rPr>
          <w:color w:val="000000" w:themeColor="text1"/>
        </w:rPr>
        <w:t xml:space="preserve"> and </w:t>
      </w:r>
      <w:r w:rsidRPr="00E4666D">
        <w:rPr>
          <w:i/>
          <w:iCs/>
          <w:color w:val="000000" w:themeColor="text1"/>
        </w:rPr>
        <w:t>R v Dung Shue Wah</w:t>
      </w:r>
      <w:r w:rsidRPr="00E4666D">
        <w:rPr>
          <w:color w:val="000000" w:themeColor="text1"/>
        </w:rPr>
        <w:t>,</w:t>
      </w:r>
      <w:r w:rsidRPr="00E4666D">
        <w:rPr>
          <w:rStyle w:val="FootnoteReference"/>
          <w:color w:val="000000" w:themeColor="text1"/>
        </w:rPr>
        <w:footnoteReference w:id="76"/>
      </w:r>
      <w:r w:rsidRPr="00E4666D">
        <w:rPr>
          <w:color w:val="000000" w:themeColor="text1"/>
        </w:rPr>
        <w:t xml:space="preserve"> since they had followed </w:t>
      </w:r>
      <w:r w:rsidRPr="00E4666D">
        <w:rPr>
          <w:i/>
          <w:color w:val="000000" w:themeColor="text1"/>
        </w:rPr>
        <w:t xml:space="preserve">Caldwell </w:t>
      </w:r>
      <w:r w:rsidRPr="00E4666D">
        <w:rPr>
          <w:color w:val="000000" w:themeColor="text1"/>
        </w:rPr>
        <w:t xml:space="preserve">and </w:t>
      </w:r>
      <w:r w:rsidRPr="00E4666D">
        <w:rPr>
          <w:i/>
          <w:color w:val="000000" w:themeColor="text1"/>
        </w:rPr>
        <w:t>Lawrence</w:t>
      </w:r>
      <w:r w:rsidR="00A349E6" w:rsidRPr="00E4666D">
        <w:rPr>
          <w:i/>
          <w:color w:val="000000" w:themeColor="text1"/>
        </w:rPr>
        <w:t>.</w:t>
      </w:r>
      <w:r w:rsidR="00C64A16" w:rsidRPr="00E4666D">
        <w:rPr>
          <w:i/>
          <w:color w:val="000000" w:themeColor="text1"/>
        </w:rPr>
        <w:t xml:space="preserve">  Sin Kam Wah</w:t>
      </w:r>
      <w:r w:rsidR="00A349E6" w:rsidRPr="00E4666D">
        <w:rPr>
          <w:color w:val="000000" w:themeColor="text1"/>
        </w:rPr>
        <w:t xml:space="preserve"> was</w:t>
      </w:r>
      <w:r w:rsidR="00CB1BCB" w:rsidRPr="00E4666D">
        <w:rPr>
          <w:color w:val="000000" w:themeColor="text1"/>
        </w:rPr>
        <w:t xml:space="preserve"> not </w:t>
      </w:r>
      <w:r w:rsidR="00A349E6" w:rsidRPr="00E4666D">
        <w:rPr>
          <w:color w:val="000000" w:themeColor="text1"/>
        </w:rPr>
        <w:t xml:space="preserve">a manslaughter case and the Court had no occasion </w:t>
      </w:r>
      <w:r w:rsidR="00C64A16" w:rsidRPr="00E4666D">
        <w:rPr>
          <w:color w:val="000000" w:themeColor="text1"/>
        </w:rPr>
        <w:t xml:space="preserve">then </w:t>
      </w:r>
      <w:r w:rsidR="00A349E6" w:rsidRPr="00E4666D">
        <w:rPr>
          <w:color w:val="000000" w:themeColor="text1"/>
        </w:rPr>
        <w:t xml:space="preserve">to consider the elements of that offence.  The </w:t>
      </w:r>
      <w:r w:rsidR="00CB1BCB" w:rsidRPr="00E4666D">
        <w:rPr>
          <w:color w:val="000000" w:themeColor="text1"/>
        </w:rPr>
        <w:t xml:space="preserve">Court was </w:t>
      </w:r>
      <w:r w:rsidR="00A349E6" w:rsidRPr="00E4666D">
        <w:rPr>
          <w:color w:val="000000" w:themeColor="text1"/>
        </w:rPr>
        <w:t xml:space="preserve">certainly not </w:t>
      </w:r>
      <w:r w:rsidR="00C02E85" w:rsidRPr="00E4666D">
        <w:rPr>
          <w:color w:val="000000" w:themeColor="text1"/>
        </w:rPr>
        <w:t xml:space="preserve">suggesting any change </w:t>
      </w:r>
      <w:r w:rsidR="00CB1BCB" w:rsidRPr="00E4666D">
        <w:rPr>
          <w:color w:val="000000" w:themeColor="text1"/>
        </w:rPr>
        <w:t>to the accepted basis of liability in cases of manslaughter by gross negligence.</w:t>
      </w:r>
    </w:p>
    <w:p w:rsidR="00BC7FDF" w:rsidRPr="00E4666D" w:rsidRDefault="00BC7FDF" w:rsidP="005928C6">
      <w:pPr>
        <w:pStyle w:val="Bob1"/>
        <w:tabs>
          <w:tab w:val="clear" w:pos="720"/>
          <w:tab w:val="left" w:pos="1440"/>
        </w:tabs>
        <w:ind w:left="0" w:firstLine="0"/>
        <w:jc w:val="both"/>
        <w:rPr>
          <w:color w:val="000000" w:themeColor="text1"/>
        </w:rPr>
      </w:pPr>
      <w:r w:rsidRPr="00E4666D">
        <w:rPr>
          <w:color w:val="000000" w:themeColor="text1"/>
        </w:rPr>
        <w:t>We end by emphasising this.  The common law offence of GNM operates in a sphere in which the courts have consistently referred to the value placed by the law on human life.</w:t>
      </w:r>
      <w:r w:rsidRPr="00E4666D">
        <w:rPr>
          <w:rStyle w:val="FootnoteReference"/>
          <w:color w:val="000000" w:themeColor="text1"/>
        </w:rPr>
        <w:footnoteReference w:id="77"/>
      </w:r>
    </w:p>
    <w:p w:rsidR="00883069" w:rsidRDefault="00883069">
      <w:pPr>
        <w:rPr>
          <w:b/>
          <w:i/>
          <w:color w:val="000000" w:themeColor="text1"/>
        </w:rPr>
      </w:pPr>
      <w:r>
        <w:rPr>
          <w:b/>
          <w:i/>
          <w:color w:val="000000" w:themeColor="text1"/>
        </w:rPr>
        <w:br w:type="page"/>
      </w:r>
    </w:p>
    <w:p w:rsidR="003A6DCC" w:rsidRPr="00883069" w:rsidRDefault="003A6DCC" w:rsidP="003A6DCC">
      <w:pPr>
        <w:pStyle w:val="Bob1"/>
        <w:numPr>
          <w:ilvl w:val="0"/>
          <w:numId w:val="0"/>
        </w:numPr>
        <w:ind w:left="720" w:hanging="720"/>
        <w:rPr>
          <w:b/>
          <w:i/>
          <w:color w:val="000000" w:themeColor="text1"/>
        </w:rPr>
      </w:pPr>
      <w:r w:rsidRPr="00883069">
        <w:rPr>
          <w:b/>
          <w:i/>
          <w:color w:val="000000" w:themeColor="text1"/>
        </w:rPr>
        <w:lastRenderedPageBreak/>
        <w:t>E.</w:t>
      </w:r>
      <w:r w:rsidRPr="00883069">
        <w:rPr>
          <w:b/>
          <w:i/>
          <w:color w:val="000000" w:themeColor="text1"/>
        </w:rPr>
        <w:tab/>
        <w:t>Conclusion</w:t>
      </w:r>
    </w:p>
    <w:p w:rsidR="005B0AD2" w:rsidRPr="00E4666D" w:rsidRDefault="00DE6962" w:rsidP="005928C6">
      <w:pPr>
        <w:pStyle w:val="Bob1"/>
        <w:tabs>
          <w:tab w:val="clear" w:pos="720"/>
          <w:tab w:val="left" w:pos="1440"/>
        </w:tabs>
        <w:ind w:left="0" w:firstLine="0"/>
        <w:jc w:val="both"/>
        <w:rPr>
          <w:color w:val="000000" w:themeColor="text1"/>
        </w:rPr>
      </w:pPr>
      <w:r w:rsidRPr="00E4666D">
        <w:rPr>
          <w:color w:val="000000" w:themeColor="text1"/>
        </w:rPr>
        <w:t>For the foregoing reasons, we would dismiss the appeal</w:t>
      </w:r>
      <w:r w:rsidR="005B0AD2" w:rsidRPr="00E4666D">
        <w:rPr>
          <w:color w:val="000000" w:themeColor="text1"/>
        </w:rPr>
        <w:t xml:space="preserve"> and answer the certified question as follows:  In the offence of manslaughter by gross negligence, the </w:t>
      </w:r>
      <w:r w:rsidR="000F47BF" w:rsidRPr="00E4666D">
        <w:rPr>
          <w:color w:val="000000" w:themeColor="text1"/>
        </w:rPr>
        <w:t xml:space="preserve">element of </w:t>
      </w:r>
      <w:r w:rsidR="005B0AD2" w:rsidRPr="00E4666D">
        <w:rPr>
          <w:color w:val="000000" w:themeColor="text1"/>
        </w:rPr>
        <w:t xml:space="preserve">gross negligence referred to in the last element of the offence as enunciated in </w:t>
      </w:r>
      <w:r w:rsidR="005B0AD2" w:rsidRPr="00E4666D">
        <w:rPr>
          <w:i/>
          <w:color w:val="000000" w:themeColor="text1"/>
        </w:rPr>
        <w:t>R v Adomako</w:t>
      </w:r>
      <w:r w:rsidR="005B0AD2" w:rsidRPr="00E4666D">
        <w:rPr>
          <w:color w:val="000000" w:themeColor="text1"/>
        </w:rPr>
        <w:t xml:space="preserve"> [1995] 1 AC 171, </w:t>
      </w:r>
      <w:r w:rsidR="000F47BF" w:rsidRPr="00E4666D">
        <w:rPr>
          <w:color w:val="000000" w:themeColor="text1"/>
        </w:rPr>
        <w:t xml:space="preserve">is </w:t>
      </w:r>
      <w:r w:rsidR="005B0AD2" w:rsidRPr="00E4666D">
        <w:rPr>
          <w:color w:val="000000" w:themeColor="text1"/>
        </w:rPr>
        <w:t xml:space="preserve">proved </w:t>
      </w:r>
      <w:r w:rsidR="000F47BF" w:rsidRPr="00E4666D">
        <w:rPr>
          <w:color w:val="000000" w:themeColor="text1"/>
        </w:rPr>
        <w:t xml:space="preserve">by application of </w:t>
      </w:r>
      <w:r w:rsidR="005B0AD2" w:rsidRPr="00E4666D">
        <w:rPr>
          <w:color w:val="000000" w:themeColor="text1"/>
        </w:rPr>
        <w:t xml:space="preserve">the objective </w:t>
      </w:r>
      <w:r w:rsidR="000F47BF" w:rsidRPr="00E4666D">
        <w:rPr>
          <w:color w:val="000000" w:themeColor="text1"/>
        </w:rPr>
        <w:t xml:space="preserve">standard of </w:t>
      </w:r>
      <w:r w:rsidR="005B0AD2" w:rsidRPr="00E4666D">
        <w:rPr>
          <w:color w:val="000000" w:themeColor="text1"/>
        </w:rPr>
        <w:t>reasonable</w:t>
      </w:r>
      <w:r w:rsidR="000F47BF" w:rsidRPr="00E4666D">
        <w:rPr>
          <w:color w:val="000000" w:themeColor="text1"/>
        </w:rPr>
        <w:t xml:space="preserve">ness, there being no </w:t>
      </w:r>
      <w:r w:rsidR="005B0AD2" w:rsidRPr="00E4666D">
        <w:rPr>
          <w:color w:val="000000" w:themeColor="text1"/>
        </w:rPr>
        <w:t>addition</w:t>
      </w:r>
      <w:r w:rsidR="000F47BF" w:rsidRPr="00E4666D">
        <w:rPr>
          <w:color w:val="000000" w:themeColor="text1"/>
        </w:rPr>
        <w:t xml:space="preserve">al requirement that </w:t>
      </w:r>
      <w:r w:rsidR="005B0AD2" w:rsidRPr="00E4666D">
        <w:rPr>
          <w:color w:val="000000" w:themeColor="text1"/>
        </w:rPr>
        <w:t xml:space="preserve">the prosecution </w:t>
      </w:r>
      <w:r w:rsidR="00A349E6" w:rsidRPr="00E4666D">
        <w:rPr>
          <w:color w:val="000000" w:themeColor="text1"/>
        </w:rPr>
        <w:t xml:space="preserve">must </w:t>
      </w:r>
      <w:r w:rsidR="005B0AD2" w:rsidRPr="00E4666D">
        <w:rPr>
          <w:color w:val="000000" w:themeColor="text1"/>
        </w:rPr>
        <w:t xml:space="preserve">also prove that the defendant was subjectively aware of </w:t>
      </w:r>
      <w:r w:rsidR="000F47BF" w:rsidRPr="00E4666D">
        <w:rPr>
          <w:color w:val="000000" w:themeColor="text1"/>
        </w:rPr>
        <w:t>an</w:t>
      </w:r>
      <w:r w:rsidR="005B0AD2" w:rsidRPr="00E4666D">
        <w:rPr>
          <w:color w:val="000000" w:themeColor="text1"/>
        </w:rPr>
        <w:t xml:space="preserve"> obvious and serious risk o</w:t>
      </w:r>
      <w:r w:rsidR="00A349E6" w:rsidRPr="00E4666D">
        <w:rPr>
          <w:color w:val="000000" w:themeColor="text1"/>
        </w:rPr>
        <w:t>f death to the deceased.</w:t>
      </w:r>
      <w:r w:rsidR="000F47BF" w:rsidRPr="00E4666D">
        <w:rPr>
          <w:color w:val="000000" w:themeColor="text1"/>
        </w:rPr>
        <w:t xml:space="preserve"> </w:t>
      </w:r>
      <w:r w:rsidR="00A349E6" w:rsidRPr="00E4666D">
        <w:rPr>
          <w:color w:val="000000" w:themeColor="text1"/>
        </w:rPr>
        <w:t xml:space="preserve"> S</w:t>
      </w:r>
      <w:r w:rsidR="000F47BF" w:rsidRPr="00E4666D">
        <w:rPr>
          <w:color w:val="000000" w:themeColor="text1"/>
        </w:rPr>
        <w:t xml:space="preserve">uch awareness, if proved, </w:t>
      </w:r>
      <w:r w:rsidR="00A349E6" w:rsidRPr="00E4666D">
        <w:rPr>
          <w:color w:val="000000" w:themeColor="text1"/>
        </w:rPr>
        <w:t>is</w:t>
      </w:r>
      <w:r w:rsidR="000F47BF" w:rsidRPr="00E4666D">
        <w:rPr>
          <w:color w:val="000000" w:themeColor="text1"/>
        </w:rPr>
        <w:t xml:space="preserve"> relevant to liability but not a necessary ingredient of the offence. </w:t>
      </w:r>
    </w:p>
    <w:p w:rsidR="00346E35" w:rsidRPr="00E4666D" w:rsidRDefault="00346E35" w:rsidP="00346E35">
      <w:pPr>
        <w:pStyle w:val="Bob1"/>
        <w:numPr>
          <w:ilvl w:val="0"/>
          <w:numId w:val="0"/>
        </w:numPr>
        <w:rPr>
          <w:b/>
          <w:color w:val="000000" w:themeColor="text1"/>
        </w:rPr>
      </w:pPr>
      <w:r w:rsidRPr="00E4666D">
        <w:rPr>
          <w:b/>
          <w:color w:val="000000" w:themeColor="text1"/>
        </w:rPr>
        <w:t>Mr Justice Fok PJ:</w:t>
      </w:r>
    </w:p>
    <w:p w:rsidR="00346E35" w:rsidRPr="00E4666D" w:rsidRDefault="00346E35" w:rsidP="00E4666D">
      <w:pPr>
        <w:pStyle w:val="Bob1"/>
        <w:tabs>
          <w:tab w:val="clear" w:pos="720"/>
          <w:tab w:val="num" w:pos="1440"/>
        </w:tabs>
        <w:ind w:left="0" w:firstLine="0"/>
        <w:jc w:val="both"/>
        <w:rPr>
          <w:color w:val="000000" w:themeColor="text1"/>
        </w:rPr>
      </w:pPr>
      <w:r w:rsidRPr="00E4666D">
        <w:rPr>
          <w:color w:val="000000" w:themeColor="text1"/>
        </w:rPr>
        <w:t>I agree with the judgment of the Chief</w:t>
      </w:r>
      <w:r w:rsidR="00E4666D">
        <w:rPr>
          <w:color w:val="000000" w:themeColor="text1"/>
        </w:rPr>
        <w:t xml:space="preserve"> Justice and Mr Justice Ribeiro </w:t>
      </w:r>
      <w:r w:rsidRPr="00E4666D">
        <w:rPr>
          <w:color w:val="000000" w:themeColor="text1"/>
        </w:rPr>
        <w:t>PJ.</w:t>
      </w:r>
    </w:p>
    <w:p w:rsidR="00346E35" w:rsidRPr="00E4666D" w:rsidRDefault="00346E35" w:rsidP="00346E35">
      <w:pPr>
        <w:pStyle w:val="Bob1"/>
        <w:numPr>
          <w:ilvl w:val="0"/>
          <w:numId w:val="0"/>
        </w:numPr>
        <w:rPr>
          <w:b/>
          <w:color w:val="000000" w:themeColor="text1"/>
        </w:rPr>
      </w:pPr>
      <w:r w:rsidRPr="00E4666D">
        <w:rPr>
          <w:b/>
          <w:color w:val="000000" w:themeColor="text1"/>
        </w:rPr>
        <w:t>Mr Justice Cheung PJ:</w:t>
      </w:r>
    </w:p>
    <w:p w:rsidR="00346E35" w:rsidRPr="00E4666D" w:rsidRDefault="00346E35" w:rsidP="00E4666D">
      <w:pPr>
        <w:pStyle w:val="Bob1"/>
        <w:tabs>
          <w:tab w:val="clear" w:pos="720"/>
          <w:tab w:val="left" w:pos="1440"/>
        </w:tabs>
        <w:ind w:left="0" w:firstLine="0"/>
        <w:jc w:val="both"/>
        <w:rPr>
          <w:color w:val="000000" w:themeColor="text1"/>
        </w:rPr>
      </w:pPr>
      <w:r w:rsidRPr="00E4666D">
        <w:rPr>
          <w:color w:val="000000" w:themeColor="text1"/>
        </w:rPr>
        <w:t>I agree with the judgment of the Chief</w:t>
      </w:r>
      <w:r w:rsidR="00E4666D">
        <w:rPr>
          <w:color w:val="000000" w:themeColor="text1"/>
        </w:rPr>
        <w:t xml:space="preserve"> Justice and Mr Justice Ribeiro </w:t>
      </w:r>
      <w:r w:rsidRPr="00E4666D">
        <w:rPr>
          <w:color w:val="000000" w:themeColor="text1"/>
        </w:rPr>
        <w:t>PJ.</w:t>
      </w:r>
    </w:p>
    <w:p w:rsidR="00346E35" w:rsidRPr="00E4666D" w:rsidRDefault="00346E35" w:rsidP="00346E35">
      <w:pPr>
        <w:pStyle w:val="Bob1"/>
        <w:numPr>
          <w:ilvl w:val="0"/>
          <w:numId w:val="0"/>
        </w:numPr>
        <w:rPr>
          <w:b/>
          <w:color w:val="000000" w:themeColor="text1"/>
        </w:rPr>
      </w:pPr>
      <w:r w:rsidRPr="00E4666D">
        <w:rPr>
          <w:b/>
          <w:color w:val="000000" w:themeColor="text1"/>
        </w:rPr>
        <w:t>Lord Reed NPJ:</w:t>
      </w:r>
    </w:p>
    <w:p w:rsidR="00346E35" w:rsidRPr="00E4666D" w:rsidRDefault="00346E35" w:rsidP="00E4666D">
      <w:pPr>
        <w:pStyle w:val="Bob1"/>
        <w:tabs>
          <w:tab w:val="clear" w:pos="720"/>
          <w:tab w:val="left" w:pos="1440"/>
        </w:tabs>
        <w:ind w:left="0" w:firstLine="0"/>
        <w:jc w:val="both"/>
        <w:rPr>
          <w:color w:val="000000" w:themeColor="text1"/>
        </w:rPr>
      </w:pPr>
      <w:r w:rsidRPr="00E4666D">
        <w:rPr>
          <w:color w:val="000000" w:themeColor="text1"/>
        </w:rPr>
        <w:t xml:space="preserve">I agree with the judgment of the Chief Justice and Mr </w:t>
      </w:r>
      <w:r w:rsidR="00E4666D">
        <w:rPr>
          <w:color w:val="000000" w:themeColor="text1"/>
        </w:rPr>
        <w:t>Justice Ribeiro </w:t>
      </w:r>
      <w:r w:rsidRPr="00E4666D">
        <w:rPr>
          <w:color w:val="000000" w:themeColor="text1"/>
        </w:rPr>
        <w:t>PJ.</w:t>
      </w:r>
    </w:p>
    <w:p w:rsidR="00346E35" w:rsidRPr="00E4666D" w:rsidRDefault="00346E35" w:rsidP="00346E35">
      <w:pPr>
        <w:pStyle w:val="Bob1"/>
        <w:numPr>
          <w:ilvl w:val="0"/>
          <w:numId w:val="0"/>
        </w:numPr>
        <w:rPr>
          <w:b/>
          <w:color w:val="000000" w:themeColor="text1"/>
        </w:rPr>
      </w:pPr>
      <w:r w:rsidRPr="00E4666D">
        <w:rPr>
          <w:b/>
          <w:color w:val="000000" w:themeColor="text1"/>
        </w:rPr>
        <w:t>Chief Justice Ma:</w:t>
      </w:r>
    </w:p>
    <w:p w:rsidR="00346E35" w:rsidRPr="00E4666D" w:rsidRDefault="00346E35" w:rsidP="00E4666D">
      <w:pPr>
        <w:pStyle w:val="Bob1"/>
        <w:tabs>
          <w:tab w:val="clear" w:pos="720"/>
          <w:tab w:val="left" w:pos="1440"/>
        </w:tabs>
        <w:ind w:left="0" w:firstLine="0"/>
        <w:jc w:val="both"/>
        <w:rPr>
          <w:color w:val="000000" w:themeColor="text1"/>
        </w:rPr>
      </w:pPr>
      <w:r w:rsidRPr="00E4666D">
        <w:rPr>
          <w:color w:val="000000" w:themeColor="text1"/>
        </w:rPr>
        <w:t>For the above reasons, the appeal is unanimously dismissed and the certified question answered as set out in para. 56 above.</w:t>
      </w:r>
    </w:p>
    <w:p w:rsidR="00883069" w:rsidRDefault="00883069">
      <w:pPr>
        <w:rPr>
          <w:color w:val="000000" w:themeColor="text1"/>
          <w:lang w:val="en-US"/>
        </w:rPr>
      </w:pPr>
      <w:r>
        <w:rPr>
          <w:color w:val="000000" w:themeColor="text1"/>
          <w:lang w:val="en-US"/>
        </w:rPr>
        <w:br w:type="page"/>
      </w:r>
    </w:p>
    <w:p w:rsidR="00E07275" w:rsidRDefault="00E07275" w:rsidP="005928C6">
      <w:pPr>
        <w:pStyle w:val="Bob1"/>
        <w:numPr>
          <w:ilvl w:val="0"/>
          <w:numId w:val="0"/>
        </w:numPr>
        <w:spacing w:after="0" w:line="240" w:lineRule="auto"/>
        <w:ind w:left="720"/>
        <w:rPr>
          <w:color w:val="000000" w:themeColor="text1"/>
          <w:lang w:val="en-US"/>
        </w:rPr>
      </w:pPr>
    </w:p>
    <w:p w:rsidR="00883069" w:rsidRPr="00E4666D" w:rsidRDefault="00883069" w:rsidP="005928C6">
      <w:pPr>
        <w:pStyle w:val="Bob1"/>
        <w:numPr>
          <w:ilvl w:val="0"/>
          <w:numId w:val="0"/>
        </w:numPr>
        <w:spacing w:after="0" w:line="240" w:lineRule="auto"/>
        <w:ind w:left="720"/>
        <w:rPr>
          <w:color w:val="000000" w:themeColor="text1"/>
          <w:lang w:val="en-US"/>
        </w:rPr>
      </w:pPr>
    </w:p>
    <w:p w:rsidR="00E07275" w:rsidRDefault="00E07275" w:rsidP="005928C6">
      <w:pPr>
        <w:pStyle w:val="Bob1"/>
        <w:numPr>
          <w:ilvl w:val="0"/>
          <w:numId w:val="0"/>
        </w:numPr>
        <w:spacing w:after="0" w:line="240" w:lineRule="auto"/>
        <w:ind w:left="720"/>
        <w:rPr>
          <w:color w:val="000000" w:themeColor="text1"/>
          <w:lang w:val="en-US"/>
        </w:rPr>
      </w:pPr>
    </w:p>
    <w:p w:rsidR="00E4666D" w:rsidRPr="00E4666D" w:rsidRDefault="00E4666D" w:rsidP="005928C6">
      <w:pPr>
        <w:pStyle w:val="Bob1"/>
        <w:numPr>
          <w:ilvl w:val="0"/>
          <w:numId w:val="0"/>
        </w:numPr>
        <w:spacing w:after="0" w:line="240" w:lineRule="auto"/>
        <w:ind w:left="720"/>
        <w:rPr>
          <w:color w:val="000000" w:themeColor="text1"/>
          <w:lang w:val="en-US"/>
        </w:rPr>
      </w:pPr>
    </w:p>
    <w:p w:rsidR="00E07275" w:rsidRPr="00E4666D" w:rsidRDefault="00E07275" w:rsidP="005928C6">
      <w:pPr>
        <w:pStyle w:val="Bob1"/>
        <w:numPr>
          <w:ilvl w:val="0"/>
          <w:numId w:val="0"/>
        </w:numPr>
        <w:spacing w:after="0" w:line="240" w:lineRule="auto"/>
        <w:ind w:left="720"/>
        <w:rPr>
          <w:color w:val="000000" w:themeColor="text1"/>
          <w:lang w:val="en-US"/>
        </w:rPr>
      </w:pPr>
    </w:p>
    <w:tbl>
      <w:tblPr>
        <w:tblW w:w="9405" w:type="dxa"/>
        <w:jc w:val="center"/>
        <w:tblLook w:val="0000" w:firstRow="0" w:lastRow="0" w:firstColumn="0" w:lastColumn="0" w:noHBand="0" w:noVBand="0"/>
      </w:tblPr>
      <w:tblGrid>
        <w:gridCol w:w="3135"/>
        <w:gridCol w:w="3135"/>
        <w:gridCol w:w="3135"/>
      </w:tblGrid>
      <w:tr w:rsidR="00E07275" w:rsidRPr="00E4666D" w:rsidTr="004B1206">
        <w:trPr>
          <w:trHeight w:val="720"/>
          <w:jc w:val="center"/>
        </w:trPr>
        <w:tc>
          <w:tcPr>
            <w:tcW w:w="3135" w:type="dxa"/>
          </w:tcPr>
          <w:p w:rsidR="00E07275" w:rsidRPr="00E4666D" w:rsidRDefault="00E07275" w:rsidP="005928C6">
            <w:pPr>
              <w:spacing w:after="0" w:line="240" w:lineRule="auto"/>
              <w:jc w:val="center"/>
              <w:rPr>
                <w:color w:val="000000" w:themeColor="text1"/>
              </w:rPr>
            </w:pPr>
            <w:r w:rsidRPr="00E4666D">
              <w:rPr>
                <w:color w:val="000000" w:themeColor="text1"/>
              </w:rPr>
              <w:t>(Geoffrey Ma)</w:t>
            </w:r>
          </w:p>
          <w:p w:rsidR="00E07275" w:rsidRPr="00E4666D" w:rsidRDefault="00E07275" w:rsidP="005928C6">
            <w:pPr>
              <w:spacing w:after="0" w:line="240" w:lineRule="auto"/>
              <w:jc w:val="center"/>
              <w:rPr>
                <w:color w:val="000000" w:themeColor="text1"/>
              </w:rPr>
            </w:pPr>
            <w:r w:rsidRPr="00E4666D">
              <w:rPr>
                <w:color w:val="000000" w:themeColor="text1"/>
              </w:rPr>
              <w:t>Chief Justice</w:t>
            </w:r>
          </w:p>
        </w:tc>
        <w:tc>
          <w:tcPr>
            <w:tcW w:w="3135" w:type="dxa"/>
          </w:tcPr>
          <w:p w:rsidR="00E07275" w:rsidRPr="00E4666D" w:rsidRDefault="00E07275" w:rsidP="005928C6">
            <w:pPr>
              <w:spacing w:after="0" w:line="240" w:lineRule="auto"/>
              <w:jc w:val="center"/>
              <w:rPr>
                <w:color w:val="000000" w:themeColor="text1"/>
              </w:rPr>
            </w:pPr>
            <w:r w:rsidRPr="00E4666D">
              <w:rPr>
                <w:color w:val="000000" w:themeColor="text1"/>
              </w:rPr>
              <w:t>(R A V Ribeiro)</w:t>
            </w:r>
          </w:p>
          <w:p w:rsidR="00E07275" w:rsidRPr="00E4666D" w:rsidRDefault="00E07275" w:rsidP="005928C6">
            <w:pPr>
              <w:spacing w:after="0" w:line="240" w:lineRule="auto"/>
              <w:jc w:val="center"/>
              <w:rPr>
                <w:color w:val="000000" w:themeColor="text1"/>
              </w:rPr>
            </w:pPr>
            <w:r w:rsidRPr="00E4666D">
              <w:rPr>
                <w:color w:val="000000" w:themeColor="text1"/>
              </w:rPr>
              <w:t>Permanent Judge</w:t>
            </w:r>
          </w:p>
        </w:tc>
        <w:tc>
          <w:tcPr>
            <w:tcW w:w="3135" w:type="dxa"/>
          </w:tcPr>
          <w:p w:rsidR="00E07275" w:rsidRPr="00E4666D" w:rsidRDefault="00E07275" w:rsidP="005928C6">
            <w:pPr>
              <w:spacing w:after="0" w:line="240" w:lineRule="auto"/>
              <w:jc w:val="center"/>
              <w:rPr>
                <w:color w:val="000000" w:themeColor="text1"/>
              </w:rPr>
            </w:pPr>
            <w:r w:rsidRPr="00E4666D">
              <w:rPr>
                <w:color w:val="000000" w:themeColor="text1"/>
              </w:rPr>
              <w:t>(Joseph Fok)</w:t>
            </w:r>
          </w:p>
          <w:p w:rsidR="00E07275" w:rsidRPr="00E4666D" w:rsidRDefault="00E07275" w:rsidP="005928C6">
            <w:pPr>
              <w:spacing w:after="0" w:line="240" w:lineRule="auto"/>
              <w:jc w:val="center"/>
              <w:rPr>
                <w:color w:val="000000" w:themeColor="text1"/>
              </w:rPr>
            </w:pPr>
            <w:r w:rsidRPr="00E4666D">
              <w:rPr>
                <w:color w:val="000000" w:themeColor="text1"/>
              </w:rPr>
              <w:t>Permanent Judge</w:t>
            </w:r>
          </w:p>
        </w:tc>
      </w:tr>
    </w:tbl>
    <w:p w:rsidR="00E07275" w:rsidRPr="00E4666D" w:rsidRDefault="00E07275" w:rsidP="005928C6">
      <w:pPr>
        <w:pStyle w:val="ListParagraph"/>
        <w:rPr>
          <w:color w:val="000000" w:themeColor="text1"/>
          <w:sz w:val="28"/>
          <w:szCs w:val="28"/>
        </w:rPr>
      </w:pPr>
    </w:p>
    <w:p w:rsidR="00E07275" w:rsidRPr="00E4666D" w:rsidRDefault="00E07275" w:rsidP="005928C6">
      <w:pPr>
        <w:pStyle w:val="ListParagraph"/>
        <w:rPr>
          <w:color w:val="000000" w:themeColor="text1"/>
          <w:sz w:val="28"/>
          <w:szCs w:val="28"/>
        </w:rPr>
      </w:pPr>
    </w:p>
    <w:p w:rsidR="00E07275" w:rsidRPr="00E4666D" w:rsidRDefault="00E07275" w:rsidP="005928C6">
      <w:pPr>
        <w:pStyle w:val="ListParagraph"/>
        <w:rPr>
          <w:color w:val="000000" w:themeColor="text1"/>
          <w:sz w:val="28"/>
          <w:szCs w:val="28"/>
        </w:rPr>
      </w:pPr>
    </w:p>
    <w:p w:rsidR="00E07275" w:rsidRPr="00E4666D" w:rsidRDefault="00E07275" w:rsidP="005928C6">
      <w:pPr>
        <w:pStyle w:val="ListParagraph"/>
        <w:rPr>
          <w:color w:val="000000" w:themeColor="text1"/>
          <w:sz w:val="28"/>
          <w:szCs w:val="28"/>
        </w:rPr>
      </w:pPr>
    </w:p>
    <w:p w:rsidR="00E07275" w:rsidRPr="00E4666D" w:rsidRDefault="00E07275" w:rsidP="005928C6">
      <w:pPr>
        <w:pStyle w:val="ListParagraph"/>
        <w:rPr>
          <w:color w:val="000000" w:themeColor="text1"/>
          <w:sz w:val="28"/>
          <w:szCs w:val="28"/>
        </w:rPr>
      </w:pPr>
    </w:p>
    <w:tbl>
      <w:tblPr>
        <w:tblW w:w="0" w:type="auto"/>
        <w:jc w:val="center"/>
        <w:tblLook w:val="0000" w:firstRow="0" w:lastRow="0" w:firstColumn="0" w:lastColumn="0" w:noHBand="0" w:noVBand="0"/>
      </w:tblPr>
      <w:tblGrid>
        <w:gridCol w:w="4005"/>
        <w:gridCol w:w="4005"/>
      </w:tblGrid>
      <w:tr w:rsidR="00E07275" w:rsidRPr="00E4666D" w:rsidTr="004B1206">
        <w:trPr>
          <w:trHeight w:val="738"/>
          <w:jc w:val="center"/>
        </w:trPr>
        <w:tc>
          <w:tcPr>
            <w:tcW w:w="4005" w:type="dxa"/>
          </w:tcPr>
          <w:p w:rsidR="00E07275" w:rsidRPr="00E4666D" w:rsidRDefault="00E07275" w:rsidP="005928C6">
            <w:pPr>
              <w:spacing w:after="0" w:line="240" w:lineRule="auto"/>
              <w:jc w:val="center"/>
              <w:rPr>
                <w:color w:val="000000" w:themeColor="text1"/>
              </w:rPr>
            </w:pPr>
            <w:r w:rsidRPr="00E4666D">
              <w:rPr>
                <w:color w:val="000000" w:themeColor="text1"/>
              </w:rPr>
              <w:t>(Andrew Cheung)</w:t>
            </w:r>
          </w:p>
          <w:p w:rsidR="00E07275" w:rsidRPr="00E4666D" w:rsidRDefault="00E07275" w:rsidP="005928C6">
            <w:pPr>
              <w:spacing w:after="0" w:line="240" w:lineRule="auto"/>
              <w:jc w:val="center"/>
              <w:rPr>
                <w:color w:val="000000" w:themeColor="text1"/>
              </w:rPr>
            </w:pPr>
            <w:r w:rsidRPr="00E4666D">
              <w:rPr>
                <w:color w:val="000000" w:themeColor="text1"/>
              </w:rPr>
              <w:t>Permanent Judge</w:t>
            </w:r>
          </w:p>
        </w:tc>
        <w:tc>
          <w:tcPr>
            <w:tcW w:w="4005" w:type="dxa"/>
          </w:tcPr>
          <w:p w:rsidR="00E07275" w:rsidRPr="00E4666D" w:rsidRDefault="00E07275" w:rsidP="005928C6">
            <w:pPr>
              <w:spacing w:after="0" w:line="240" w:lineRule="auto"/>
              <w:jc w:val="center"/>
              <w:rPr>
                <w:color w:val="000000" w:themeColor="text1"/>
              </w:rPr>
            </w:pPr>
            <w:r w:rsidRPr="00E4666D">
              <w:rPr>
                <w:color w:val="000000" w:themeColor="text1"/>
              </w:rPr>
              <w:t>(Lord Reed)</w:t>
            </w:r>
          </w:p>
          <w:p w:rsidR="00E07275" w:rsidRPr="00E4666D" w:rsidRDefault="00E07275" w:rsidP="005928C6">
            <w:pPr>
              <w:spacing w:after="0" w:line="240" w:lineRule="auto"/>
              <w:ind w:hanging="120"/>
              <w:jc w:val="center"/>
              <w:rPr>
                <w:color w:val="000000" w:themeColor="text1"/>
              </w:rPr>
            </w:pPr>
            <w:r w:rsidRPr="00E4666D">
              <w:rPr>
                <w:color w:val="000000" w:themeColor="text1"/>
              </w:rPr>
              <w:t>Non-Permanent Judge</w:t>
            </w:r>
          </w:p>
        </w:tc>
      </w:tr>
    </w:tbl>
    <w:p w:rsidR="00E07275" w:rsidRPr="00E4666D" w:rsidRDefault="00E07275" w:rsidP="00E07275">
      <w:pPr>
        <w:autoSpaceDE w:val="0"/>
        <w:autoSpaceDN w:val="0"/>
        <w:adjustRightInd w:val="0"/>
        <w:spacing w:before="120" w:after="120" w:line="360" w:lineRule="auto"/>
        <w:ind w:left="720" w:hanging="720"/>
        <w:rPr>
          <w:color w:val="000000" w:themeColor="text1"/>
        </w:rPr>
      </w:pPr>
    </w:p>
    <w:p w:rsidR="00E07275" w:rsidRPr="00E4666D" w:rsidRDefault="00E07275" w:rsidP="005928C6">
      <w:pPr>
        <w:pStyle w:val="Bob1"/>
        <w:numPr>
          <w:ilvl w:val="0"/>
          <w:numId w:val="0"/>
        </w:numPr>
        <w:spacing w:after="0" w:line="240" w:lineRule="auto"/>
        <w:jc w:val="both"/>
        <w:rPr>
          <w:color w:val="000000" w:themeColor="text1"/>
        </w:rPr>
      </w:pPr>
      <w:r w:rsidRPr="00E4666D">
        <w:rPr>
          <w:color w:val="000000" w:themeColor="text1"/>
        </w:rPr>
        <w:t>Mr Peter Duncan SC and Ms Deanna Law, instructed by Howse Williams, for the 3</w:t>
      </w:r>
      <w:r w:rsidRPr="00E4666D">
        <w:rPr>
          <w:color w:val="000000" w:themeColor="text1"/>
          <w:vertAlign w:val="superscript"/>
        </w:rPr>
        <w:t>rd</w:t>
      </w:r>
      <w:r w:rsidRPr="00E4666D">
        <w:rPr>
          <w:color w:val="000000" w:themeColor="text1"/>
        </w:rPr>
        <w:t xml:space="preserve"> Defendant in HCCC 437/2015 (Appellant)</w:t>
      </w:r>
    </w:p>
    <w:p w:rsidR="00E07275" w:rsidRPr="00E4666D" w:rsidRDefault="00E07275" w:rsidP="005928C6">
      <w:pPr>
        <w:pStyle w:val="Bob1"/>
        <w:numPr>
          <w:ilvl w:val="0"/>
          <w:numId w:val="0"/>
        </w:numPr>
        <w:spacing w:after="0" w:line="240" w:lineRule="auto"/>
        <w:jc w:val="both"/>
        <w:rPr>
          <w:color w:val="000000" w:themeColor="text1"/>
        </w:rPr>
      </w:pPr>
    </w:p>
    <w:p w:rsidR="00E07275" w:rsidRPr="00E4666D" w:rsidRDefault="00E07275" w:rsidP="005928C6">
      <w:pPr>
        <w:pStyle w:val="Bob1"/>
        <w:numPr>
          <w:ilvl w:val="0"/>
          <w:numId w:val="0"/>
        </w:numPr>
        <w:spacing w:after="0" w:line="240" w:lineRule="auto"/>
        <w:jc w:val="both"/>
        <w:rPr>
          <w:color w:val="000000" w:themeColor="text1"/>
        </w:rPr>
      </w:pPr>
      <w:r w:rsidRPr="00E4666D">
        <w:rPr>
          <w:color w:val="000000" w:themeColor="text1"/>
        </w:rPr>
        <w:t>Mr Andrew Bruce SC, on fiat, Mr Anthony Chau, ADPP (Ag.) and Ms Margaret Lau, SPP, of the Department of Justice, for the Respondent</w:t>
      </w:r>
    </w:p>
    <w:p w:rsidR="00E07275" w:rsidRPr="00E4666D" w:rsidRDefault="00E07275" w:rsidP="00A8408C">
      <w:pPr>
        <w:pStyle w:val="Bob1"/>
        <w:numPr>
          <w:ilvl w:val="0"/>
          <w:numId w:val="0"/>
        </w:numPr>
        <w:rPr>
          <w:color w:val="000000" w:themeColor="text1"/>
        </w:rPr>
      </w:pPr>
    </w:p>
    <w:sectPr w:rsidR="00E07275" w:rsidRPr="00E4666D" w:rsidSect="0053080D">
      <w:headerReference w:type="default" r:id="rId8"/>
      <w:pgSz w:w="12240" w:h="15840"/>
      <w:pgMar w:top="1440" w:right="1440" w:bottom="900" w:left="1440" w:header="270" w:footer="706"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50DF" w:rsidRDefault="006350DF" w:rsidP="00CC0407">
      <w:pPr>
        <w:spacing w:after="0" w:line="240" w:lineRule="auto"/>
      </w:pPr>
      <w:r>
        <w:separator/>
      </w:r>
    </w:p>
  </w:endnote>
  <w:endnote w:type="continuationSeparator" w:id="0">
    <w:p w:rsidR="006350DF" w:rsidRDefault="006350DF" w:rsidP="00CC0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50DF" w:rsidRDefault="006350DF" w:rsidP="00CC0407">
      <w:pPr>
        <w:spacing w:after="0" w:line="240" w:lineRule="auto"/>
      </w:pPr>
      <w:r>
        <w:separator/>
      </w:r>
    </w:p>
  </w:footnote>
  <w:footnote w:type="continuationSeparator" w:id="0">
    <w:p w:rsidR="006350DF" w:rsidRDefault="006350DF" w:rsidP="00CC0407">
      <w:pPr>
        <w:spacing w:after="0" w:line="240" w:lineRule="auto"/>
      </w:pPr>
      <w:r>
        <w:continuationSeparator/>
      </w:r>
    </w:p>
  </w:footnote>
  <w:footnote w:id="1">
    <w:p w:rsidR="008C58F5" w:rsidRPr="0039014F" w:rsidRDefault="008C58F5" w:rsidP="00E07275">
      <w:pPr>
        <w:pStyle w:val="FootnoteText"/>
        <w:tabs>
          <w:tab w:val="left" w:pos="360"/>
        </w:tabs>
        <w:ind w:left="360" w:hanging="360"/>
        <w:jc w:val="both"/>
      </w:pPr>
      <w:r>
        <w:rPr>
          <w:rStyle w:val="FootnoteReference"/>
        </w:rPr>
        <w:footnoteRef/>
      </w:r>
      <w:r>
        <w:t xml:space="preserve"> </w:t>
      </w:r>
      <w:r>
        <w:tab/>
        <w:t xml:space="preserve">HCCC 437/2015 (Reasons 14 June 2017).  Barnes J gave a like ruling in </w:t>
      </w:r>
      <w:r>
        <w:rPr>
          <w:i/>
        </w:rPr>
        <w:t>HKSAR v Lai Chun Ho</w:t>
      </w:r>
      <w:r>
        <w:t xml:space="preserve"> HCCC 213/2016, the two cases having then been consolidated for consideration by the Court of Appeal.  The present appeal concerns only the appellant’s case HCCC 437/2015.</w:t>
      </w:r>
    </w:p>
  </w:footnote>
  <w:footnote w:id="2">
    <w:p w:rsidR="008C58F5" w:rsidRDefault="008C58F5" w:rsidP="00E07275">
      <w:pPr>
        <w:pStyle w:val="FootnoteText"/>
        <w:tabs>
          <w:tab w:val="left" w:pos="360"/>
        </w:tabs>
        <w:ind w:left="360" w:hanging="360"/>
        <w:jc w:val="both"/>
      </w:pPr>
      <w:r>
        <w:rPr>
          <w:rStyle w:val="FootnoteReference"/>
        </w:rPr>
        <w:footnoteRef/>
      </w:r>
      <w:r>
        <w:t xml:space="preserve"> </w:t>
      </w:r>
      <w:r>
        <w:tab/>
        <w:t>Pursuant to section 81(1) of the Criminal Procedure Ordinance (Cap 221).</w:t>
      </w:r>
    </w:p>
  </w:footnote>
  <w:footnote w:id="3">
    <w:p w:rsidR="008C58F5" w:rsidRDefault="008C58F5" w:rsidP="00E07275">
      <w:pPr>
        <w:pStyle w:val="FootnoteText"/>
        <w:tabs>
          <w:tab w:val="left" w:pos="360"/>
        </w:tabs>
        <w:ind w:left="360" w:hanging="360"/>
        <w:jc w:val="both"/>
      </w:pPr>
      <w:r>
        <w:rPr>
          <w:rStyle w:val="FootnoteReference"/>
        </w:rPr>
        <w:footnoteRef/>
      </w:r>
      <w:r>
        <w:t xml:space="preserve"> </w:t>
      </w:r>
      <w:r>
        <w:tab/>
        <w:t>Macrae VP, McWalt</w:t>
      </w:r>
      <w:r w:rsidR="003A6DCC">
        <w:t>ers and Poon JJA [2018] HKCA 858</w:t>
      </w:r>
      <w:r>
        <w:t xml:space="preserve"> (16 November 2018).</w:t>
      </w:r>
    </w:p>
  </w:footnote>
  <w:footnote w:id="4">
    <w:p w:rsidR="003A6DCC" w:rsidRPr="003A6DCC" w:rsidRDefault="003A6DCC" w:rsidP="00E07275">
      <w:pPr>
        <w:pStyle w:val="FootnoteText"/>
        <w:tabs>
          <w:tab w:val="left" w:pos="360"/>
        </w:tabs>
        <w:ind w:left="360" w:hanging="360"/>
        <w:jc w:val="both"/>
      </w:pPr>
      <w:r>
        <w:rPr>
          <w:rStyle w:val="FootnoteReference"/>
        </w:rPr>
        <w:footnoteRef/>
      </w:r>
      <w:r>
        <w:tab/>
        <w:t>Ma CJ, Fok and Cheung PJJ [2019] HKCFA 11 (22 March 2019).</w:t>
      </w:r>
    </w:p>
  </w:footnote>
  <w:footnote w:id="5">
    <w:p w:rsidR="008C58F5" w:rsidRDefault="008C58F5" w:rsidP="00E07275">
      <w:pPr>
        <w:pStyle w:val="FootnoteText"/>
        <w:tabs>
          <w:tab w:val="left" w:pos="360"/>
        </w:tabs>
        <w:ind w:left="360" w:hanging="360"/>
        <w:jc w:val="both"/>
      </w:pPr>
      <w:r>
        <w:rPr>
          <w:rStyle w:val="FootnoteReference"/>
        </w:rPr>
        <w:footnoteRef/>
      </w:r>
      <w:r>
        <w:t xml:space="preserve"> </w:t>
      </w:r>
      <w:r>
        <w:tab/>
      </w:r>
      <w:r w:rsidRPr="00496E86">
        <w:t>[1995] 1 AC 171</w:t>
      </w:r>
      <w:r>
        <w:t>.</w:t>
      </w:r>
    </w:p>
  </w:footnote>
  <w:footnote w:id="6">
    <w:p w:rsidR="008C58F5" w:rsidRDefault="008C58F5" w:rsidP="00E07275">
      <w:pPr>
        <w:pStyle w:val="FootnoteText"/>
        <w:tabs>
          <w:tab w:val="left" w:pos="360"/>
        </w:tabs>
      </w:pPr>
      <w:r>
        <w:rPr>
          <w:rStyle w:val="FootnoteReference"/>
        </w:rPr>
        <w:footnoteRef/>
      </w:r>
      <w:r>
        <w:t xml:space="preserve"> </w:t>
      </w:r>
      <w:r>
        <w:tab/>
        <w:t>[2012] 2 HKLRD 639.</w:t>
      </w:r>
    </w:p>
  </w:footnote>
  <w:footnote w:id="7">
    <w:p w:rsidR="008C58F5" w:rsidRDefault="008C58F5" w:rsidP="00E07275">
      <w:pPr>
        <w:pStyle w:val="FootnoteText"/>
        <w:tabs>
          <w:tab w:val="left" w:pos="360"/>
        </w:tabs>
      </w:pPr>
      <w:r>
        <w:rPr>
          <w:rStyle w:val="FootnoteReference"/>
        </w:rPr>
        <w:footnoteRef/>
      </w:r>
      <w:r>
        <w:t xml:space="preserve"> </w:t>
      </w:r>
      <w:r>
        <w:tab/>
        <w:t>HCCC 437/2015, §8. Emphasis in the original.</w:t>
      </w:r>
    </w:p>
  </w:footnote>
  <w:footnote w:id="8">
    <w:p w:rsidR="008C58F5" w:rsidRDefault="008C58F5" w:rsidP="00E07275">
      <w:pPr>
        <w:pStyle w:val="FootnoteText"/>
        <w:tabs>
          <w:tab w:val="left" w:pos="360"/>
        </w:tabs>
      </w:pPr>
      <w:r>
        <w:rPr>
          <w:rStyle w:val="FootnoteReference"/>
        </w:rPr>
        <w:footnoteRef/>
      </w:r>
      <w:r>
        <w:t xml:space="preserve"> </w:t>
      </w:r>
      <w:r>
        <w:tab/>
        <w:t>(2005)</w:t>
      </w:r>
      <w:r>
        <w:rPr>
          <w:lang w:val="en-US"/>
        </w:rPr>
        <w:t> </w:t>
      </w:r>
      <w:r>
        <w:t>8</w:t>
      </w:r>
      <w:r>
        <w:rPr>
          <w:lang w:val="en-US"/>
        </w:rPr>
        <w:t xml:space="preserve"> </w:t>
      </w:r>
      <w:r>
        <w:t>HKCFAR</w:t>
      </w:r>
      <w:r>
        <w:rPr>
          <w:lang w:val="en-US"/>
        </w:rPr>
        <w:t> </w:t>
      </w:r>
      <w:r>
        <w:t>192.</w:t>
      </w:r>
    </w:p>
  </w:footnote>
  <w:footnote w:id="9">
    <w:p w:rsidR="008C58F5" w:rsidRDefault="008C58F5" w:rsidP="00E07275">
      <w:pPr>
        <w:pStyle w:val="FootnoteText"/>
        <w:tabs>
          <w:tab w:val="left" w:pos="360"/>
        </w:tabs>
      </w:pPr>
      <w:r>
        <w:rPr>
          <w:rStyle w:val="FootnoteReference"/>
        </w:rPr>
        <w:footnoteRef/>
      </w:r>
      <w:r>
        <w:t xml:space="preserve"> </w:t>
      </w:r>
      <w:r>
        <w:tab/>
      </w:r>
      <w:r w:rsidRPr="00496E86">
        <w:t>(1927) 19 Cr App R 8</w:t>
      </w:r>
      <w:r>
        <w:t>.</w:t>
      </w:r>
    </w:p>
  </w:footnote>
  <w:footnote w:id="10">
    <w:p w:rsidR="008C58F5" w:rsidRDefault="008C58F5" w:rsidP="00E07275">
      <w:pPr>
        <w:pStyle w:val="FootnoteText"/>
        <w:tabs>
          <w:tab w:val="left" w:pos="360"/>
        </w:tabs>
      </w:pPr>
      <w:r>
        <w:rPr>
          <w:rStyle w:val="FootnoteReference"/>
        </w:rPr>
        <w:footnoteRef/>
      </w:r>
      <w:r>
        <w:t xml:space="preserve"> </w:t>
      </w:r>
      <w:r>
        <w:tab/>
        <w:t>At pp 10-11.</w:t>
      </w:r>
    </w:p>
  </w:footnote>
  <w:footnote w:id="11">
    <w:p w:rsidR="008C58F5" w:rsidRDefault="008C58F5" w:rsidP="00E07275">
      <w:pPr>
        <w:pStyle w:val="FootnoteText"/>
        <w:tabs>
          <w:tab w:val="left" w:pos="360"/>
        </w:tabs>
      </w:pPr>
      <w:r>
        <w:rPr>
          <w:rStyle w:val="FootnoteReference"/>
        </w:rPr>
        <w:footnoteRef/>
      </w:r>
      <w:r>
        <w:t xml:space="preserve"> </w:t>
      </w:r>
      <w:r>
        <w:tab/>
        <w:t>At p 13.</w:t>
      </w:r>
    </w:p>
  </w:footnote>
  <w:footnote w:id="12">
    <w:p w:rsidR="008C58F5" w:rsidRDefault="008C58F5" w:rsidP="00E07275">
      <w:pPr>
        <w:pStyle w:val="FootnoteText"/>
        <w:tabs>
          <w:tab w:val="left" w:pos="360"/>
        </w:tabs>
      </w:pPr>
      <w:r>
        <w:rPr>
          <w:rStyle w:val="FootnoteReference"/>
        </w:rPr>
        <w:footnoteRef/>
      </w:r>
      <w:r>
        <w:t xml:space="preserve"> </w:t>
      </w:r>
      <w:r>
        <w:tab/>
        <w:t>At p 11.</w:t>
      </w:r>
    </w:p>
  </w:footnote>
  <w:footnote w:id="13">
    <w:p w:rsidR="008C58F5" w:rsidRPr="008E60AD" w:rsidRDefault="008C58F5" w:rsidP="00E07275">
      <w:pPr>
        <w:pStyle w:val="FootnoteText"/>
        <w:tabs>
          <w:tab w:val="left" w:pos="360"/>
        </w:tabs>
      </w:pPr>
      <w:r>
        <w:rPr>
          <w:rStyle w:val="FootnoteReference"/>
        </w:rPr>
        <w:footnoteRef/>
      </w:r>
      <w:r>
        <w:t xml:space="preserve"> </w:t>
      </w:r>
      <w:r>
        <w:tab/>
      </w:r>
      <w:r>
        <w:rPr>
          <w:i/>
        </w:rPr>
        <w:t>Ibid</w:t>
      </w:r>
      <w:r>
        <w:t>.</w:t>
      </w:r>
    </w:p>
  </w:footnote>
  <w:footnote w:id="14">
    <w:p w:rsidR="008C58F5" w:rsidRDefault="008C58F5" w:rsidP="00E07275">
      <w:pPr>
        <w:pStyle w:val="FootnoteText"/>
        <w:tabs>
          <w:tab w:val="left" w:pos="360"/>
        </w:tabs>
      </w:pPr>
      <w:r>
        <w:rPr>
          <w:rStyle w:val="FootnoteReference"/>
        </w:rPr>
        <w:footnoteRef/>
      </w:r>
      <w:r>
        <w:t xml:space="preserve"> </w:t>
      </w:r>
      <w:r>
        <w:tab/>
        <w:t>[1937] AC 576.</w:t>
      </w:r>
    </w:p>
  </w:footnote>
  <w:footnote w:id="15">
    <w:p w:rsidR="00654E8B" w:rsidRDefault="00654E8B" w:rsidP="00E07275">
      <w:pPr>
        <w:pStyle w:val="FootnoteText"/>
        <w:tabs>
          <w:tab w:val="left" w:pos="360"/>
        </w:tabs>
      </w:pPr>
      <w:r>
        <w:rPr>
          <w:rStyle w:val="FootnoteReference"/>
        </w:rPr>
        <w:footnoteRef/>
      </w:r>
      <w:r>
        <w:tab/>
        <w:t>At p 581.</w:t>
      </w:r>
    </w:p>
  </w:footnote>
  <w:footnote w:id="16">
    <w:p w:rsidR="008C58F5" w:rsidRDefault="008C58F5" w:rsidP="00E07275">
      <w:pPr>
        <w:pStyle w:val="FootnoteText"/>
        <w:tabs>
          <w:tab w:val="left" w:pos="360"/>
        </w:tabs>
      </w:pPr>
      <w:r>
        <w:rPr>
          <w:rStyle w:val="FootnoteReference"/>
        </w:rPr>
        <w:footnoteRef/>
      </w:r>
      <w:r>
        <w:t xml:space="preserve"> </w:t>
      </w:r>
      <w:r>
        <w:tab/>
        <w:t>At p 583.</w:t>
      </w:r>
    </w:p>
  </w:footnote>
  <w:footnote w:id="17">
    <w:p w:rsidR="008C58F5" w:rsidRPr="00843281" w:rsidRDefault="008C58F5" w:rsidP="00E07275">
      <w:pPr>
        <w:pStyle w:val="FootnoteText"/>
        <w:tabs>
          <w:tab w:val="left" w:pos="360"/>
        </w:tabs>
      </w:pPr>
      <w:r>
        <w:rPr>
          <w:rStyle w:val="FootnoteReference"/>
        </w:rPr>
        <w:footnoteRef/>
      </w:r>
      <w:r>
        <w:t xml:space="preserve"> </w:t>
      </w:r>
      <w:r>
        <w:tab/>
      </w:r>
      <w:r>
        <w:rPr>
          <w:i/>
        </w:rPr>
        <w:t>Ibid</w:t>
      </w:r>
      <w:r>
        <w:t>.</w:t>
      </w:r>
    </w:p>
  </w:footnote>
  <w:footnote w:id="18">
    <w:p w:rsidR="008C58F5" w:rsidRDefault="008C58F5" w:rsidP="00E07275">
      <w:pPr>
        <w:pStyle w:val="FootnoteText"/>
        <w:tabs>
          <w:tab w:val="left" w:pos="360"/>
        </w:tabs>
      </w:pPr>
      <w:r>
        <w:rPr>
          <w:rStyle w:val="FootnoteReference"/>
        </w:rPr>
        <w:footnoteRef/>
      </w:r>
      <w:r>
        <w:t xml:space="preserve"> </w:t>
      </w:r>
      <w:r>
        <w:tab/>
        <w:t>At p 584.</w:t>
      </w:r>
    </w:p>
  </w:footnote>
  <w:footnote w:id="19">
    <w:p w:rsidR="008C58F5" w:rsidRDefault="008C58F5" w:rsidP="00E07275">
      <w:pPr>
        <w:pStyle w:val="FootnoteText"/>
        <w:tabs>
          <w:tab w:val="left" w:pos="360"/>
        </w:tabs>
      </w:pPr>
      <w:r>
        <w:rPr>
          <w:rStyle w:val="FootnoteReference"/>
        </w:rPr>
        <w:footnoteRef/>
      </w:r>
      <w:r>
        <w:t xml:space="preserve"> </w:t>
      </w:r>
      <w:r>
        <w:tab/>
        <w:t>At pp 584-585.</w:t>
      </w:r>
    </w:p>
  </w:footnote>
  <w:footnote w:id="20">
    <w:p w:rsidR="008C58F5" w:rsidRDefault="008C58F5" w:rsidP="00E07275">
      <w:pPr>
        <w:pStyle w:val="FootnoteText"/>
        <w:tabs>
          <w:tab w:val="left" w:pos="360"/>
        </w:tabs>
      </w:pPr>
      <w:r>
        <w:rPr>
          <w:rStyle w:val="FootnoteReference"/>
        </w:rPr>
        <w:footnoteRef/>
      </w:r>
      <w:r>
        <w:t xml:space="preserve"> </w:t>
      </w:r>
      <w:r>
        <w:tab/>
      </w:r>
      <w:r w:rsidRPr="00496E86">
        <w:t>[1982] AC 341</w:t>
      </w:r>
      <w:r>
        <w:t>.</w:t>
      </w:r>
    </w:p>
  </w:footnote>
  <w:footnote w:id="21">
    <w:p w:rsidR="008C58F5" w:rsidRDefault="008C58F5" w:rsidP="00E07275">
      <w:pPr>
        <w:pStyle w:val="FootnoteText"/>
        <w:tabs>
          <w:tab w:val="left" w:pos="360"/>
        </w:tabs>
        <w:ind w:left="360" w:hanging="360"/>
        <w:jc w:val="both"/>
      </w:pPr>
      <w:r>
        <w:rPr>
          <w:rStyle w:val="FootnoteReference"/>
        </w:rPr>
        <w:footnoteRef/>
      </w:r>
      <w:r>
        <w:t xml:space="preserve"> </w:t>
      </w:r>
      <w:r>
        <w:tab/>
        <w:t>Contrary to section 1 of the Criminal Damage Act 1971.</w:t>
      </w:r>
    </w:p>
  </w:footnote>
  <w:footnote w:id="22">
    <w:p w:rsidR="008C58F5" w:rsidRDefault="008C58F5" w:rsidP="00E07275">
      <w:pPr>
        <w:pStyle w:val="FootnoteText"/>
        <w:tabs>
          <w:tab w:val="left" w:pos="360"/>
        </w:tabs>
        <w:ind w:left="360" w:hanging="360"/>
        <w:jc w:val="both"/>
      </w:pPr>
      <w:r>
        <w:rPr>
          <w:rStyle w:val="FootnoteReference"/>
        </w:rPr>
        <w:footnoteRef/>
      </w:r>
      <w:r>
        <w:t xml:space="preserve"> </w:t>
      </w:r>
      <w:r>
        <w:tab/>
      </w:r>
      <w:r w:rsidRPr="00496E86">
        <w:t>[1982] AC 510</w:t>
      </w:r>
      <w:r>
        <w:t>.</w:t>
      </w:r>
    </w:p>
  </w:footnote>
  <w:footnote w:id="23">
    <w:p w:rsidR="008C58F5" w:rsidRDefault="008C58F5" w:rsidP="00E07275">
      <w:pPr>
        <w:pStyle w:val="FootnoteText"/>
        <w:tabs>
          <w:tab w:val="left" w:pos="360"/>
        </w:tabs>
        <w:ind w:left="360" w:hanging="360"/>
        <w:jc w:val="both"/>
      </w:pPr>
      <w:r>
        <w:rPr>
          <w:rStyle w:val="FootnoteReference"/>
        </w:rPr>
        <w:footnoteRef/>
      </w:r>
      <w:r>
        <w:t xml:space="preserve"> </w:t>
      </w:r>
      <w:r>
        <w:tab/>
        <w:t>Contrary to section 1 of the Road Traffic Act 1972 (as amended by the Criminal Law Act 1977, section 50(1)).</w:t>
      </w:r>
    </w:p>
  </w:footnote>
  <w:footnote w:id="24">
    <w:p w:rsidR="008C58F5" w:rsidRPr="007A6C73" w:rsidRDefault="008C58F5" w:rsidP="00E07275">
      <w:pPr>
        <w:pStyle w:val="FootnoteText"/>
        <w:tabs>
          <w:tab w:val="left" w:pos="360"/>
        </w:tabs>
        <w:ind w:left="360" w:hanging="360"/>
        <w:jc w:val="both"/>
      </w:pPr>
      <w:r>
        <w:rPr>
          <w:rStyle w:val="FootnoteReference"/>
        </w:rPr>
        <w:footnoteRef/>
      </w:r>
      <w:r>
        <w:t xml:space="preserve"> </w:t>
      </w:r>
      <w:r>
        <w:tab/>
        <w:t xml:space="preserve">Although we shall mention them again in the context of </w:t>
      </w:r>
      <w:r>
        <w:rPr>
          <w:i/>
        </w:rPr>
        <w:t xml:space="preserve">Sin Kam Wah v </w:t>
      </w:r>
      <w:r w:rsidRPr="00496E86">
        <w:rPr>
          <w:i/>
        </w:rPr>
        <w:t>HKSAR</w:t>
      </w:r>
      <w:r w:rsidRPr="00496E86">
        <w:t xml:space="preserve"> (2005) 8 HKCFAR 192</w:t>
      </w:r>
      <w:r>
        <w:t>, discussed below.</w:t>
      </w:r>
    </w:p>
  </w:footnote>
  <w:footnote w:id="25">
    <w:p w:rsidR="008C58F5" w:rsidRDefault="008C58F5" w:rsidP="00E07275">
      <w:pPr>
        <w:pStyle w:val="FootnoteText"/>
        <w:tabs>
          <w:tab w:val="left" w:pos="360"/>
        </w:tabs>
        <w:ind w:left="360" w:hanging="360"/>
        <w:jc w:val="both"/>
      </w:pPr>
      <w:r>
        <w:rPr>
          <w:rStyle w:val="FootnoteReference"/>
        </w:rPr>
        <w:footnoteRef/>
      </w:r>
      <w:r>
        <w:t xml:space="preserve"> </w:t>
      </w:r>
      <w:r>
        <w:tab/>
      </w:r>
      <w:r w:rsidR="00A51F95">
        <w:rPr>
          <w:i/>
        </w:rPr>
        <w:t xml:space="preserve">R v Prentice, R v Sullman, R v Adomako, R v Holloway </w:t>
      </w:r>
      <w:r w:rsidRPr="00496E86">
        <w:t>[1994] QB 302</w:t>
      </w:r>
      <w:r>
        <w:t>.</w:t>
      </w:r>
    </w:p>
  </w:footnote>
  <w:footnote w:id="26">
    <w:p w:rsidR="008C58F5" w:rsidRDefault="008C58F5" w:rsidP="00E07275">
      <w:pPr>
        <w:pStyle w:val="FootnoteText"/>
        <w:tabs>
          <w:tab w:val="left" w:pos="360"/>
        </w:tabs>
        <w:ind w:left="360" w:hanging="360"/>
        <w:jc w:val="both"/>
      </w:pPr>
      <w:r>
        <w:rPr>
          <w:rStyle w:val="FootnoteReference"/>
        </w:rPr>
        <w:footnoteRef/>
      </w:r>
      <w:r>
        <w:t xml:space="preserve"> </w:t>
      </w:r>
      <w:r>
        <w:tab/>
        <w:t>At p</w:t>
      </w:r>
      <w:r w:rsidR="003A6DCC">
        <w:t>p</w:t>
      </w:r>
      <w:r>
        <w:t xml:space="preserve"> 322</w:t>
      </w:r>
      <w:r w:rsidR="00654E8B">
        <w:t>H</w:t>
      </w:r>
      <w:r>
        <w:t>-323</w:t>
      </w:r>
      <w:r w:rsidR="00654E8B">
        <w:t>B</w:t>
      </w:r>
      <w:r>
        <w:t xml:space="preserve">: </w:t>
      </w:r>
      <w:r w:rsidRPr="007A6C73">
        <w:rPr>
          <w:rFonts w:hint="eastAsia"/>
        </w:rPr>
        <w:t>“</w:t>
      </w:r>
      <w:r w:rsidRPr="007A6C73">
        <w:t>...without purporting to give an exhaustive definition, we consider proof of any of the following states of mind in the defendant may properly lead a jury to make a finding of gross negligence: (a) indifference to an obvious risk of injury to health; (b) actual foresight of the risk coupled with the determination nevertheless to run it; (c) an appreciation of the risk coupled with an intention to avoid it but also coupled with such a high degree of negligence in the attempted avoidance as the jury consider justifies conviction; (d) inattention or failure to advert to a serious risk which goes beyond ‘mere inadvertence’ in respect of an obvious and important matter which the defendant's du</w:t>
      </w:r>
      <w:r>
        <w:t>ty demanded he should address.”</w:t>
      </w:r>
    </w:p>
  </w:footnote>
  <w:footnote w:id="27">
    <w:p w:rsidR="008C58F5" w:rsidRDefault="008C58F5" w:rsidP="00E07275">
      <w:pPr>
        <w:pStyle w:val="FootnoteText"/>
        <w:tabs>
          <w:tab w:val="left" w:pos="360"/>
        </w:tabs>
      </w:pPr>
      <w:r>
        <w:rPr>
          <w:rStyle w:val="FootnoteReference"/>
        </w:rPr>
        <w:footnoteRef/>
      </w:r>
      <w:r>
        <w:t xml:space="preserve"> </w:t>
      </w:r>
      <w:r>
        <w:tab/>
      </w:r>
      <w:r w:rsidRPr="00496E86">
        <w:t>[1995] 1 AC 171</w:t>
      </w:r>
      <w:r>
        <w:t>.</w:t>
      </w:r>
    </w:p>
  </w:footnote>
  <w:footnote w:id="28">
    <w:p w:rsidR="008C58F5" w:rsidRDefault="008C58F5" w:rsidP="00E07275">
      <w:pPr>
        <w:pStyle w:val="FootnoteText"/>
        <w:tabs>
          <w:tab w:val="left" w:pos="360"/>
        </w:tabs>
      </w:pPr>
      <w:r>
        <w:rPr>
          <w:rStyle w:val="FootnoteReference"/>
        </w:rPr>
        <w:footnoteRef/>
      </w:r>
      <w:r>
        <w:t xml:space="preserve"> </w:t>
      </w:r>
      <w:r>
        <w:tab/>
        <w:t>At p 187</w:t>
      </w:r>
      <w:r w:rsidR="00654E8B">
        <w:t>B-E</w:t>
      </w:r>
      <w:r>
        <w:t>.</w:t>
      </w:r>
    </w:p>
  </w:footnote>
  <w:footnote w:id="29">
    <w:p w:rsidR="008C58F5" w:rsidRPr="00591CFC" w:rsidRDefault="008C58F5" w:rsidP="00E07275">
      <w:pPr>
        <w:pStyle w:val="FootnoteText"/>
        <w:tabs>
          <w:tab w:val="left" w:pos="360"/>
        </w:tabs>
      </w:pPr>
      <w:r>
        <w:rPr>
          <w:rStyle w:val="FootnoteReference"/>
        </w:rPr>
        <w:footnoteRef/>
      </w:r>
      <w:r>
        <w:t xml:space="preserve"> </w:t>
      </w:r>
      <w:r>
        <w:tab/>
      </w:r>
      <w:r w:rsidR="003A6DCC" w:rsidRPr="003A6DCC">
        <w:t>At p 187H</w:t>
      </w:r>
      <w:r>
        <w:t>.</w:t>
      </w:r>
    </w:p>
  </w:footnote>
  <w:footnote w:id="30">
    <w:p w:rsidR="008C58F5" w:rsidRDefault="008C58F5" w:rsidP="00E07275">
      <w:pPr>
        <w:pStyle w:val="FootnoteText"/>
        <w:tabs>
          <w:tab w:val="left" w:pos="360"/>
        </w:tabs>
      </w:pPr>
      <w:r>
        <w:rPr>
          <w:rStyle w:val="FootnoteReference"/>
        </w:rPr>
        <w:footnoteRef/>
      </w:r>
      <w:r>
        <w:t xml:space="preserve"> </w:t>
      </w:r>
      <w:r>
        <w:tab/>
        <w:t>All at p 187.</w:t>
      </w:r>
    </w:p>
  </w:footnote>
  <w:footnote w:id="31">
    <w:p w:rsidR="008C58F5" w:rsidRDefault="008C58F5" w:rsidP="00E07275">
      <w:pPr>
        <w:pStyle w:val="FootnoteText"/>
        <w:tabs>
          <w:tab w:val="left" w:pos="360"/>
        </w:tabs>
      </w:pPr>
      <w:r>
        <w:rPr>
          <w:rStyle w:val="FootnoteReference"/>
        </w:rPr>
        <w:footnoteRef/>
      </w:r>
      <w:r>
        <w:t xml:space="preserve"> </w:t>
      </w:r>
      <w:r>
        <w:tab/>
      </w:r>
      <w:r w:rsidRPr="00496E86">
        <w:t>[2000] QB 796</w:t>
      </w:r>
      <w:r>
        <w:t xml:space="preserve"> at</w:t>
      </w:r>
      <w:r w:rsidR="003A6DCC">
        <w:t xml:space="preserve"> p</w:t>
      </w:r>
      <w:r>
        <w:t xml:space="preserve"> 809.</w:t>
      </w:r>
    </w:p>
  </w:footnote>
  <w:footnote w:id="32">
    <w:p w:rsidR="008C58F5" w:rsidRDefault="008C58F5" w:rsidP="00E07275">
      <w:pPr>
        <w:pStyle w:val="FootnoteText"/>
        <w:tabs>
          <w:tab w:val="left" w:pos="360"/>
        </w:tabs>
      </w:pPr>
      <w:r>
        <w:rPr>
          <w:rStyle w:val="FootnoteReference"/>
        </w:rPr>
        <w:footnoteRef/>
      </w:r>
      <w:r>
        <w:t xml:space="preserve"> </w:t>
      </w:r>
      <w:r>
        <w:tab/>
      </w:r>
      <w:r>
        <w:rPr>
          <w:rFonts w:eastAsia="PMingLiU"/>
          <w:lang w:eastAsia="zh-TW"/>
        </w:rPr>
        <w:t>[2000] IRLR 373 at §24.</w:t>
      </w:r>
    </w:p>
  </w:footnote>
  <w:footnote w:id="33">
    <w:p w:rsidR="008C58F5" w:rsidRDefault="008C58F5" w:rsidP="00E07275">
      <w:pPr>
        <w:pStyle w:val="FootnoteText"/>
        <w:tabs>
          <w:tab w:val="left" w:pos="360"/>
        </w:tabs>
      </w:pPr>
      <w:r>
        <w:rPr>
          <w:rStyle w:val="FootnoteReference"/>
        </w:rPr>
        <w:footnoteRef/>
      </w:r>
      <w:r>
        <w:t xml:space="preserve"> </w:t>
      </w:r>
      <w:r>
        <w:tab/>
      </w:r>
      <w:r w:rsidR="003A6DCC">
        <w:t>[2005] 1 Cr App R 21</w:t>
      </w:r>
      <w:r>
        <w:t>.</w:t>
      </w:r>
    </w:p>
  </w:footnote>
  <w:footnote w:id="34">
    <w:p w:rsidR="008C58F5" w:rsidRDefault="008C58F5" w:rsidP="00E07275">
      <w:pPr>
        <w:pStyle w:val="FootnoteText"/>
        <w:tabs>
          <w:tab w:val="left" w:pos="360"/>
        </w:tabs>
      </w:pPr>
      <w:r>
        <w:rPr>
          <w:rStyle w:val="FootnoteReference"/>
        </w:rPr>
        <w:footnoteRef/>
      </w:r>
      <w:r>
        <w:t xml:space="preserve"> </w:t>
      </w:r>
      <w:r>
        <w:tab/>
        <w:t>At §52.</w:t>
      </w:r>
    </w:p>
  </w:footnote>
  <w:footnote w:id="35">
    <w:p w:rsidR="008C58F5" w:rsidRDefault="008C58F5" w:rsidP="00E07275">
      <w:pPr>
        <w:pStyle w:val="FootnoteText"/>
        <w:tabs>
          <w:tab w:val="left" w:pos="360"/>
        </w:tabs>
      </w:pPr>
      <w:r>
        <w:rPr>
          <w:rStyle w:val="FootnoteReference"/>
        </w:rPr>
        <w:footnoteRef/>
      </w:r>
      <w:r>
        <w:t xml:space="preserve"> </w:t>
      </w:r>
      <w:r>
        <w:tab/>
        <w:t xml:space="preserve">[1986] HKLR 648 (PC) at </w:t>
      </w:r>
      <w:r w:rsidR="003A6DCC">
        <w:t xml:space="preserve">p </w:t>
      </w:r>
      <w:r>
        <w:t>655.  Emphasis supplied.</w:t>
      </w:r>
    </w:p>
  </w:footnote>
  <w:footnote w:id="36">
    <w:p w:rsidR="008C58F5" w:rsidRDefault="008C58F5" w:rsidP="00E07275">
      <w:pPr>
        <w:pStyle w:val="FootnoteText"/>
        <w:tabs>
          <w:tab w:val="left" w:pos="360"/>
        </w:tabs>
      </w:pPr>
      <w:r>
        <w:rPr>
          <w:rStyle w:val="FootnoteReference"/>
        </w:rPr>
        <w:footnoteRef/>
      </w:r>
      <w:r>
        <w:t xml:space="preserve"> </w:t>
      </w:r>
      <w:r>
        <w:tab/>
      </w:r>
      <w:r w:rsidRPr="00502FA2">
        <w:t>[2011] 1 HKLRD 1022</w:t>
      </w:r>
      <w:r>
        <w:t xml:space="preserve"> at §58.</w:t>
      </w:r>
    </w:p>
  </w:footnote>
  <w:footnote w:id="37">
    <w:p w:rsidR="008C58F5" w:rsidRDefault="008C58F5" w:rsidP="00E07275">
      <w:pPr>
        <w:pStyle w:val="FootnoteText"/>
        <w:tabs>
          <w:tab w:val="left" w:pos="360"/>
        </w:tabs>
      </w:pPr>
      <w:r>
        <w:rPr>
          <w:rStyle w:val="FootnoteReference"/>
        </w:rPr>
        <w:footnoteRef/>
      </w:r>
      <w:r>
        <w:t xml:space="preserve"> </w:t>
      </w:r>
      <w:r>
        <w:tab/>
      </w:r>
      <w:r w:rsidRPr="00496E86">
        <w:t>[2016] 2 HKLRD 149</w:t>
      </w:r>
      <w:r>
        <w:t>.</w:t>
      </w:r>
    </w:p>
  </w:footnote>
  <w:footnote w:id="38">
    <w:p w:rsidR="008C58F5" w:rsidRDefault="008C58F5" w:rsidP="00E07275">
      <w:pPr>
        <w:pStyle w:val="FootnoteText"/>
        <w:tabs>
          <w:tab w:val="left" w:pos="360"/>
        </w:tabs>
      </w:pPr>
      <w:r>
        <w:rPr>
          <w:rStyle w:val="FootnoteReference"/>
        </w:rPr>
        <w:footnoteRef/>
      </w:r>
      <w:r>
        <w:t xml:space="preserve"> </w:t>
      </w:r>
      <w:r>
        <w:tab/>
      </w:r>
      <w:r w:rsidRPr="00496E86">
        <w:rPr>
          <w:i/>
        </w:rPr>
        <w:t xml:space="preserve">R </w:t>
      </w:r>
      <w:r>
        <w:rPr>
          <w:i/>
        </w:rPr>
        <w:t>v</w:t>
      </w:r>
      <w:r w:rsidRPr="00496E86">
        <w:rPr>
          <w:i/>
        </w:rPr>
        <w:t xml:space="preserve"> Creighton</w:t>
      </w:r>
      <w:r w:rsidRPr="00496E86">
        <w:t xml:space="preserve"> [1993] 3 SCR 3</w:t>
      </w:r>
      <w:r>
        <w:t>.</w:t>
      </w:r>
    </w:p>
  </w:footnote>
  <w:footnote w:id="39">
    <w:p w:rsidR="008C58F5" w:rsidRDefault="008C58F5" w:rsidP="00E07275">
      <w:pPr>
        <w:pStyle w:val="FootnoteText"/>
        <w:tabs>
          <w:tab w:val="left" w:pos="360"/>
        </w:tabs>
      </w:pPr>
      <w:r>
        <w:rPr>
          <w:rStyle w:val="FootnoteReference"/>
        </w:rPr>
        <w:footnoteRef/>
      </w:r>
      <w:r>
        <w:t xml:space="preserve"> </w:t>
      </w:r>
      <w:r>
        <w:tab/>
      </w:r>
      <w:r w:rsidR="003A6DCC">
        <w:rPr>
          <w:i/>
        </w:rPr>
        <w:t>The Queen</w:t>
      </w:r>
      <w:r w:rsidRPr="00496E86">
        <w:rPr>
          <w:i/>
        </w:rPr>
        <w:t xml:space="preserve"> </w:t>
      </w:r>
      <w:r>
        <w:rPr>
          <w:i/>
        </w:rPr>
        <w:t>v</w:t>
      </w:r>
      <w:r w:rsidRPr="00496E86">
        <w:rPr>
          <w:i/>
        </w:rPr>
        <w:t xml:space="preserve"> Lavender</w:t>
      </w:r>
      <w:r w:rsidRPr="00496E86">
        <w:t xml:space="preserve"> (2005) 222 CLR 67</w:t>
      </w:r>
      <w:r>
        <w:t xml:space="preserve"> and </w:t>
      </w:r>
      <w:r w:rsidRPr="00496E86">
        <w:rPr>
          <w:i/>
        </w:rPr>
        <w:t xml:space="preserve">Patel </w:t>
      </w:r>
      <w:r>
        <w:rPr>
          <w:i/>
        </w:rPr>
        <w:t>v</w:t>
      </w:r>
      <w:r w:rsidRPr="00496E86">
        <w:rPr>
          <w:i/>
        </w:rPr>
        <w:t xml:space="preserve"> The Queen</w:t>
      </w:r>
      <w:r w:rsidRPr="00496E86">
        <w:t xml:space="preserve"> (2012) 247 CLR 531</w:t>
      </w:r>
      <w:r>
        <w:t>.</w:t>
      </w:r>
    </w:p>
  </w:footnote>
  <w:footnote w:id="40">
    <w:p w:rsidR="008C58F5" w:rsidRDefault="008C58F5" w:rsidP="002100C0">
      <w:pPr>
        <w:pStyle w:val="FootnoteText"/>
        <w:tabs>
          <w:tab w:val="left" w:pos="360"/>
        </w:tabs>
        <w:ind w:left="360" w:hanging="360"/>
        <w:jc w:val="both"/>
      </w:pPr>
      <w:r>
        <w:rPr>
          <w:rStyle w:val="FootnoteReference"/>
        </w:rPr>
        <w:footnoteRef/>
      </w:r>
      <w:r>
        <w:t xml:space="preserve"> </w:t>
      </w:r>
      <w:r>
        <w:tab/>
        <w:t xml:space="preserve">With </w:t>
      </w:r>
      <w:r w:rsidR="00346E35">
        <w:t>Ms Deanna Law</w:t>
      </w:r>
      <w:r>
        <w:t>.</w:t>
      </w:r>
    </w:p>
  </w:footnote>
  <w:footnote w:id="41">
    <w:p w:rsidR="00346E35" w:rsidRPr="00346E35" w:rsidRDefault="00346E35" w:rsidP="002100C0">
      <w:pPr>
        <w:pStyle w:val="FootnoteText"/>
        <w:tabs>
          <w:tab w:val="left" w:pos="360"/>
        </w:tabs>
        <w:ind w:left="360" w:hanging="360"/>
        <w:jc w:val="both"/>
        <w:rPr>
          <w:szCs w:val="24"/>
        </w:rPr>
      </w:pPr>
      <w:r>
        <w:rPr>
          <w:rStyle w:val="FootnoteReference"/>
        </w:rPr>
        <w:footnoteRef/>
      </w:r>
      <w:r>
        <w:tab/>
      </w:r>
      <w:r w:rsidRPr="00346E35">
        <w:rPr>
          <w:color w:val="000000"/>
          <w:szCs w:val="24"/>
          <w:lang w:val="en-US"/>
        </w:rPr>
        <w:t xml:space="preserve">Rather than recklessness </w:t>
      </w:r>
      <w:r>
        <w:rPr>
          <w:color w:val="000000"/>
          <w:szCs w:val="24"/>
          <w:lang w:val="en-US"/>
        </w:rPr>
        <w:t>“</w:t>
      </w:r>
      <w:r w:rsidRPr="00346E35">
        <w:rPr>
          <w:color w:val="000000"/>
          <w:szCs w:val="24"/>
          <w:lang w:val="en-US"/>
        </w:rPr>
        <w:t>in the ordinary connotation of that word</w:t>
      </w:r>
      <w:r>
        <w:rPr>
          <w:color w:val="000000"/>
          <w:szCs w:val="24"/>
          <w:lang w:val="en-US"/>
        </w:rPr>
        <w:t>”</w:t>
      </w:r>
      <w:r w:rsidRPr="00346E35">
        <w:rPr>
          <w:color w:val="000000"/>
          <w:szCs w:val="24"/>
          <w:lang w:val="en-US"/>
        </w:rPr>
        <w:t xml:space="preserve"> as used by Lord Atkin in </w:t>
      </w:r>
      <w:r w:rsidRPr="00346E35">
        <w:rPr>
          <w:i/>
          <w:color w:val="000000"/>
          <w:szCs w:val="24"/>
          <w:lang w:val="en-US"/>
        </w:rPr>
        <w:t>Andrews</w:t>
      </w:r>
      <w:r w:rsidRPr="00346E35">
        <w:rPr>
          <w:color w:val="000000"/>
          <w:szCs w:val="24"/>
          <w:lang w:val="en-US"/>
        </w:rPr>
        <w:t xml:space="preserve">: see </w:t>
      </w:r>
      <w:r>
        <w:t>§</w:t>
      </w:r>
      <w:r w:rsidR="00356079">
        <w:t>§</w:t>
      </w:r>
      <w:r w:rsidRPr="00346E35">
        <w:rPr>
          <w:color w:val="000000"/>
          <w:szCs w:val="24"/>
          <w:lang w:val="en-US"/>
        </w:rPr>
        <w:t>12, 13, 17 and 20 above</w:t>
      </w:r>
      <w:r>
        <w:rPr>
          <w:color w:val="000000"/>
          <w:szCs w:val="24"/>
          <w:lang w:val="en-US"/>
        </w:rPr>
        <w:t>.</w:t>
      </w:r>
    </w:p>
  </w:footnote>
  <w:footnote w:id="42">
    <w:p w:rsidR="008C58F5" w:rsidRPr="00083393" w:rsidRDefault="008C58F5" w:rsidP="002100C0">
      <w:pPr>
        <w:pStyle w:val="FootnoteText"/>
        <w:tabs>
          <w:tab w:val="left" w:pos="360"/>
        </w:tabs>
        <w:jc w:val="both"/>
      </w:pPr>
      <w:r>
        <w:rPr>
          <w:rStyle w:val="FootnoteReference"/>
        </w:rPr>
        <w:footnoteRef/>
      </w:r>
      <w:r>
        <w:t xml:space="preserve"> </w:t>
      </w:r>
      <w:r>
        <w:tab/>
      </w:r>
      <w:r>
        <w:rPr>
          <w:i/>
        </w:rPr>
        <w:t xml:space="preserve">Adomako </w:t>
      </w:r>
      <w:r>
        <w:t>at p 183.</w:t>
      </w:r>
    </w:p>
  </w:footnote>
  <w:footnote w:id="43">
    <w:p w:rsidR="008C58F5" w:rsidRDefault="008C58F5" w:rsidP="002100C0">
      <w:pPr>
        <w:pStyle w:val="FootnoteText"/>
        <w:tabs>
          <w:tab w:val="left" w:pos="360"/>
        </w:tabs>
        <w:jc w:val="both"/>
      </w:pPr>
      <w:r>
        <w:rPr>
          <w:rStyle w:val="FootnoteReference"/>
        </w:rPr>
        <w:footnoteRef/>
      </w:r>
      <w:r>
        <w:t xml:space="preserve"> </w:t>
      </w:r>
      <w:r>
        <w:tab/>
        <w:t>At §14.5.</w:t>
      </w:r>
    </w:p>
  </w:footnote>
  <w:footnote w:id="44">
    <w:p w:rsidR="008C58F5" w:rsidRDefault="008C58F5" w:rsidP="002100C0">
      <w:pPr>
        <w:pStyle w:val="FootnoteText"/>
        <w:tabs>
          <w:tab w:val="left" w:pos="360"/>
        </w:tabs>
        <w:jc w:val="both"/>
      </w:pPr>
      <w:r>
        <w:rPr>
          <w:rStyle w:val="FootnoteReference"/>
        </w:rPr>
        <w:footnoteRef/>
      </w:r>
      <w:r>
        <w:t xml:space="preserve"> </w:t>
      </w:r>
      <w:r>
        <w:tab/>
      </w:r>
      <w:r w:rsidRPr="00D879FC">
        <w:rPr>
          <w:i/>
        </w:rPr>
        <w:t>Smith, Hogan, and Ormerod’s Criminal Law</w:t>
      </w:r>
      <w:r w:rsidRPr="00D879FC">
        <w:t xml:space="preserve"> (15th edition) </w:t>
      </w:r>
      <w:r>
        <w:t xml:space="preserve">at </w:t>
      </w:r>
      <w:r w:rsidR="00654E8B">
        <w:t>p 594 (</w:t>
      </w:r>
      <w:r w:rsidR="009F62DF">
        <w:t>§</w:t>
      </w:r>
      <w:r w:rsidR="00654E8B">
        <w:t>14.2.6.3)</w:t>
      </w:r>
      <w:r w:rsidR="00FA6CD1">
        <w:t>.</w:t>
      </w:r>
    </w:p>
  </w:footnote>
  <w:footnote w:id="45">
    <w:p w:rsidR="008C58F5" w:rsidRDefault="008C58F5" w:rsidP="002100C0">
      <w:pPr>
        <w:pStyle w:val="FootnoteText"/>
        <w:tabs>
          <w:tab w:val="left" w:pos="360"/>
        </w:tabs>
        <w:ind w:left="360" w:hanging="360"/>
        <w:jc w:val="both"/>
      </w:pPr>
      <w:r>
        <w:rPr>
          <w:rStyle w:val="FootnoteReference"/>
        </w:rPr>
        <w:footnoteRef/>
      </w:r>
      <w:r>
        <w:t xml:space="preserve"> </w:t>
      </w:r>
      <w:r>
        <w:tab/>
      </w:r>
      <w:r w:rsidR="002100C0" w:rsidRPr="008F0F95">
        <w:t>“</w:t>
      </w:r>
      <w:r w:rsidRPr="00704D40">
        <w:rPr>
          <w:i/>
        </w:rPr>
        <w:t>Reconstructing Mansla</w:t>
      </w:r>
      <w:r w:rsidR="002100C0">
        <w:rPr>
          <w:i/>
        </w:rPr>
        <w:t>ughter on Defective Foundations</w:t>
      </w:r>
      <w:r w:rsidR="002100C0" w:rsidRPr="008F0F95">
        <w:t>”</w:t>
      </w:r>
      <w:r w:rsidRPr="00704D40">
        <w:t xml:space="preserve"> [1995] CLJ 14</w:t>
      </w:r>
      <w:r w:rsidR="00654E8B">
        <w:t xml:space="preserve">, at </w:t>
      </w:r>
      <w:r w:rsidR="003A6DCC">
        <w:t xml:space="preserve">p </w:t>
      </w:r>
      <w:r w:rsidR="00654E8B">
        <w:t>16</w:t>
      </w:r>
      <w:r w:rsidR="003A6DCC">
        <w:t>.</w:t>
      </w:r>
    </w:p>
  </w:footnote>
  <w:footnote w:id="46">
    <w:p w:rsidR="00654E8B" w:rsidRPr="00BC7FDF" w:rsidRDefault="00654E8B" w:rsidP="002100C0">
      <w:pPr>
        <w:pStyle w:val="FootnoteText"/>
        <w:tabs>
          <w:tab w:val="left" w:pos="360"/>
        </w:tabs>
        <w:ind w:left="360" w:hanging="360"/>
        <w:jc w:val="both"/>
      </w:pPr>
      <w:r>
        <w:rPr>
          <w:rStyle w:val="FootnoteReference"/>
        </w:rPr>
        <w:footnoteRef/>
      </w:r>
      <w:r>
        <w:tab/>
      </w:r>
      <w:r w:rsidR="00BC7FDF">
        <w:t xml:space="preserve">The very high degree of negligence needs to be emphasised to the jury: see </w:t>
      </w:r>
      <w:r w:rsidR="00BC7FDF">
        <w:rPr>
          <w:i/>
        </w:rPr>
        <w:t>Smith, Hogan and Ormerod’s Criminal Law</w:t>
      </w:r>
      <w:r w:rsidR="003A6DCC">
        <w:rPr>
          <w:i/>
        </w:rPr>
        <w:t xml:space="preserve"> </w:t>
      </w:r>
      <w:r w:rsidR="003A6DCC" w:rsidRPr="003A6DCC">
        <w:t>(15</w:t>
      </w:r>
      <w:r w:rsidR="003A6DCC" w:rsidRPr="003A6DCC">
        <w:rPr>
          <w:vertAlign w:val="superscript"/>
        </w:rPr>
        <w:t>th</w:t>
      </w:r>
      <w:r w:rsidR="003A6DCC" w:rsidRPr="003A6DCC">
        <w:t xml:space="preserve"> edition)</w:t>
      </w:r>
      <w:r w:rsidR="00BC7FDF">
        <w:t xml:space="preserve"> at</w:t>
      </w:r>
      <w:r w:rsidR="002B6CDC">
        <w:t xml:space="preserve"> pp</w:t>
      </w:r>
      <w:r w:rsidR="00BC7FDF">
        <w:t xml:space="preserve"> 594-5 (</w:t>
      </w:r>
      <w:r w:rsidR="009F62DF">
        <w:t>§</w:t>
      </w:r>
      <w:r w:rsidR="003A6DCC">
        <w:t>14</w:t>
      </w:r>
      <w:r w:rsidR="00BC7FDF">
        <w:t>.2.6.4).</w:t>
      </w:r>
    </w:p>
  </w:footnote>
  <w:footnote w:id="47">
    <w:p w:rsidR="008C58F5" w:rsidRDefault="008C58F5" w:rsidP="002100C0">
      <w:pPr>
        <w:pStyle w:val="FootnoteText"/>
        <w:tabs>
          <w:tab w:val="left" w:pos="360"/>
        </w:tabs>
      </w:pPr>
      <w:r>
        <w:rPr>
          <w:rStyle w:val="FootnoteReference"/>
        </w:rPr>
        <w:footnoteRef/>
      </w:r>
      <w:r>
        <w:t xml:space="preserve"> </w:t>
      </w:r>
      <w:r>
        <w:tab/>
      </w:r>
      <w:r w:rsidR="003A6DCC">
        <w:t>[2005] 1 Cr App R 21</w:t>
      </w:r>
      <w:r w:rsidRPr="00496E86">
        <w:t xml:space="preserve"> </w:t>
      </w:r>
      <w:r>
        <w:t>at §62.</w:t>
      </w:r>
    </w:p>
  </w:footnote>
  <w:footnote w:id="48">
    <w:p w:rsidR="003A6DCC" w:rsidRPr="003A6DCC" w:rsidRDefault="003A6DCC" w:rsidP="002100C0">
      <w:pPr>
        <w:pStyle w:val="FootnoteText"/>
        <w:tabs>
          <w:tab w:val="left" w:pos="360"/>
        </w:tabs>
      </w:pPr>
      <w:r>
        <w:rPr>
          <w:rStyle w:val="FootnoteReference"/>
        </w:rPr>
        <w:footnoteRef/>
      </w:r>
      <w:r>
        <w:tab/>
      </w:r>
      <w:r w:rsidRPr="002B6CDC">
        <w:rPr>
          <w:i/>
        </w:rPr>
        <w:t xml:space="preserve">Ibid </w:t>
      </w:r>
      <w:r>
        <w:t>at §63.</w:t>
      </w:r>
    </w:p>
  </w:footnote>
  <w:footnote w:id="49">
    <w:p w:rsidR="008C58F5" w:rsidRDefault="008C58F5" w:rsidP="002100C0">
      <w:pPr>
        <w:pStyle w:val="FootnoteText"/>
        <w:tabs>
          <w:tab w:val="left" w:pos="360"/>
        </w:tabs>
      </w:pPr>
      <w:r>
        <w:rPr>
          <w:rStyle w:val="FootnoteReference"/>
        </w:rPr>
        <w:footnoteRef/>
      </w:r>
      <w:r>
        <w:t xml:space="preserve"> </w:t>
      </w:r>
      <w:r>
        <w:tab/>
      </w:r>
      <w:r w:rsidRPr="00496E86">
        <w:rPr>
          <w:i/>
        </w:rPr>
        <w:t xml:space="preserve">R </w:t>
      </w:r>
      <w:r>
        <w:rPr>
          <w:i/>
        </w:rPr>
        <w:t>v</w:t>
      </w:r>
      <w:r w:rsidRPr="00496E86">
        <w:rPr>
          <w:i/>
        </w:rPr>
        <w:t xml:space="preserve"> Bateman</w:t>
      </w:r>
      <w:r w:rsidRPr="00496E86">
        <w:t xml:space="preserve"> (1927) 19 Cr App R 8</w:t>
      </w:r>
      <w:r>
        <w:t xml:space="preserve"> at </w:t>
      </w:r>
      <w:r w:rsidR="003A6DCC">
        <w:t xml:space="preserve">pp </w:t>
      </w:r>
      <w:r>
        <w:t>11-12.</w:t>
      </w:r>
    </w:p>
  </w:footnote>
  <w:footnote w:id="50">
    <w:p w:rsidR="008C58F5" w:rsidRDefault="008C58F5" w:rsidP="002100C0">
      <w:pPr>
        <w:pStyle w:val="FootnoteText"/>
        <w:tabs>
          <w:tab w:val="left" w:pos="360"/>
        </w:tabs>
      </w:pPr>
      <w:r>
        <w:rPr>
          <w:rStyle w:val="FootnoteReference"/>
        </w:rPr>
        <w:footnoteRef/>
      </w:r>
      <w:r>
        <w:t xml:space="preserve"> </w:t>
      </w:r>
      <w:r>
        <w:tab/>
      </w:r>
      <w:r w:rsidRPr="00496E86">
        <w:t>(2005) 222 CLR 67</w:t>
      </w:r>
      <w:r>
        <w:t xml:space="preserve"> at §127.</w:t>
      </w:r>
    </w:p>
  </w:footnote>
  <w:footnote w:id="51">
    <w:p w:rsidR="008C58F5" w:rsidRDefault="008C58F5" w:rsidP="002100C0">
      <w:pPr>
        <w:pStyle w:val="FootnoteText"/>
        <w:tabs>
          <w:tab w:val="left" w:pos="360"/>
        </w:tabs>
      </w:pPr>
      <w:r>
        <w:rPr>
          <w:rStyle w:val="FootnoteReference"/>
        </w:rPr>
        <w:footnoteRef/>
      </w:r>
      <w:r>
        <w:t xml:space="preserve"> </w:t>
      </w:r>
      <w:r>
        <w:tab/>
        <w:t xml:space="preserve">Of </w:t>
      </w:r>
      <w:r w:rsidRPr="00496E86">
        <w:t>Gleeson C</w:t>
      </w:r>
      <w:r>
        <w:t xml:space="preserve">J, </w:t>
      </w:r>
      <w:r w:rsidR="00BC7FDF">
        <w:t>McHugh</w:t>
      </w:r>
      <w:r>
        <w:t>, Gummow a</w:t>
      </w:r>
      <w:r w:rsidRPr="00496E86">
        <w:t>nd Hayne J</w:t>
      </w:r>
      <w:r>
        <w:t>J.</w:t>
      </w:r>
    </w:p>
  </w:footnote>
  <w:footnote w:id="52">
    <w:p w:rsidR="008C58F5" w:rsidRDefault="008C58F5" w:rsidP="002100C0">
      <w:pPr>
        <w:pStyle w:val="FootnoteText"/>
        <w:tabs>
          <w:tab w:val="left" w:pos="360"/>
        </w:tabs>
      </w:pPr>
      <w:r>
        <w:rPr>
          <w:rStyle w:val="FootnoteReference"/>
        </w:rPr>
        <w:footnoteRef/>
      </w:r>
      <w:r>
        <w:t xml:space="preserve"> </w:t>
      </w:r>
      <w:r>
        <w:tab/>
      </w:r>
      <w:r w:rsidRPr="00496E86">
        <w:t>(2005) 222 CLR 67</w:t>
      </w:r>
      <w:r>
        <w:t xml:space="preserve"> at §127.</w:t>
      </w:r>
    </w:p>
  </w:footnote>
  <w:footnote w:id="53">
    <w:p w:rsidR="008C58F5" w:rsidRDefault="008C58F5" w:rsidP="002100C0">
      <w:pPr>
        <w:pStyle w:val="FootnoteText"/>
        <w:tabs>
          <w:tab w:val="left" w:pos="360"/>
        </w:tabs>
      </w:pPr>
      <w:r>
        <w:rPr>
          <w:rStyle w:val="FootnoteReference"/>
        </w:rPr>
        <w:footnoteRef/>
      </w:r>
      <w:r>
        <w:t xml:space="preserve"> </w:t>
      </w:r>
      <w:r>
        <w:tab/>
      </w:r>
      <w:r w:rsidRPr="006024A7">
        <w:rPr>
          <w:color w:val="000000"/>
          <w:szCs w:val="24"/>
        </w:rPr>
        <w:t>(1992) 174 CLR 313 at</w:t>
      </w:r>
      <w:r w:rsidR="003A6DCC">
        <w:rPr>
          <w:color w:val="000000"/>
          <w:szCs w:val="24"/>
        </w:rPr>
        <w:t xml:space="preserve"> p</w:t>
      </w:r>
      <w:r w:rsidRPr="006024A7">
        <w:rPr>
          <w:color w:val="000000"/>
          <w:szCs w:val="24"/>
        </w:rPr>
        <w:t xml:space="preserve"> 334</w:t>
      </w:r>
      <w:r>
        <w:rPr>
          <w:color w:val="000000"/>
          <w:szCs w:val="24"/>
        </w:rPr>
        <w:t xml:space="preserve"> per </w:t>
      </w:r>
      <w:r w:rsidRPr="00496E86">
        <w:rPr>
          <w:color w:val="000000"/>
          <w:szCs w:val="24"/>
        </w:rPr>
        <w:t>Mason CJ, Toohey, Gaudron and McHugh JJ</w:t>
      </w:r>
      <w:r>
        <w:rPr>
          <w:color w:val="000000"/>
          <w:szCs w:val="24"/>
        </w:rPr>
        <w:t>.</w:t>
      </w:r>
    </w:p>
  </w:footnote>
  <w:footnote w:id="54">
    <w:p w:rsidR="008C58F5" w:rsidRDefault="008C58F5" w:rsidP="002100C0">
      <w:pPr>
        <w:pStyle w:val="FootnoteText"/>
        <w:tabs>
          <w:tab w:val="left" w:pos="360"/>
        </w:tabs>
      </w:pPr>
      <w:r>
        <w:rPr>
          <w:rStyle w:val="FootnoteReference"/>
        </w:rPr>
        <w:footnoteRef/>
      </w:r>
      <w:r>
        <w:t xml:space="preserve"> </w:t>
      </w:r>
      <w:r>
        <w:tab/>
      </w:r>
      <w:r w:rsidRPr="00496E86">
        <w:t>(2005) 222 CLR 67</w:t>
      </w:r>
      <w:r>
        <w:t xml:space="preserve"> at </w:t>
      </w:r>
      <w:r w:rsidRPr="00496E86">
        <w:rPr>
          <w:color w:val="000000"/>
          <w:szCs w:val="24"/>
        </w:rPr>
        <w:t>§128</w:t>
      </w:r>
      <w:r>
        <w:rPr>
          <w:color w:val="000000"/>
          <w:szCs w:val="24"/>
        </w:rPr>
        <w:t>.</w:t>
      </w:r>
      <w:r w:rsidRPr="00496E86">
        <w:rPr>
          <w:color w:val="000000"/>
          <w:szCs w:val="24"/>
        </w:rPr>
        <w:t xml:space="preserve">  </w:t>
      </w:r>
    </w:p>
  </w:footnote>
  <w:footnote w:id="55">
    <w:p w:rsidR="008C58F5" w:rsidRDefault="008C58F5" w:rsidP="002100C0">
      <w:pPr>
        <w:pStyle w:val="FootnoteText"/>
        <w:tabs>
          <w:tab w:val="left" w:pos="360"/>
        </w:tabs>
      </w:pPr>
      <w:r>
        <w:rPr>
          <w:rStyle w:val="FootnoteReference"/>
        </w:rPr>
        <w:footnoteRef/>
      </w:r>
      <w:r>
        <w:t xml:space="preserve"> </w:t>
      </w:r>
      <w:r>
        <w:tab/>
      </w:r>
      <w:r>
        <w:rPr>
          <w:rFonts w:eastAsia="PMingLiU"/>
          <w:lang w:eastAsia="zh-TW"/>
        </w:rPr>
        <w:t>[</w:t>
      </w:r>
      <w:r w:rsidRPr="00977FA0">
        <w:rPr>
          <w:rFonts w:eastAsia="PMingLiU"/>
          <w:lang w:eastAsia="zh-TW"/>
        </w:rPr>
        <w:t>2004] 1 AC 1034</w:t>
      </w:r>
      <w:r>
        <w:rPr>
          <w:rFonts w:eastAsia="PMingLiU"/>
          <w:lang w:eastAsia="zh-TW"/>
        </w:rPr>
        <w:t xml:space="preserve"> at §32.</w:t>
      </w:r>
    </w:p>
  </w:footnote>
  <w:footnote w:id="56">
    <w:p w:rsidR="008C58F5" w:rsidRDefault="008C58F5" w:rsidP="005928C6">
      <w:pPr>
        <w:pStyle w:val="FootnoteText"/>
        <w:tabs>
          <w:tab w:val="left" w:pos="360"/>
        </w:tabs>
      </w:pPr>
      <w:r>
        <w:rPr>
          <w:rStyle w:val="FootnoteReference"/>
        </w:rPr>
        <w:footnoteRef/>
      </w:r>
      <w:r>
        <w:t xml:space="preserve"> </w:t>
      </w:r>
      <w:r>
        <w:tab/>
      </w:r>
      <w:r w:rsidRPr="00754A75">
        <w:t>(2010) 13 HKCFAR 142</w:t>
      </w:r>
      <w:r>
        <w:t>.</w:t>
      </w:r>
    </w:p>
  </w:footnote>
  <w:footnote w:id="57">
    <w:p w:rsidR="008C58F5" w:rsidRDefault="008C58F5" w:rsidP="005928C6">
      <w:pPr>
        <w:pStyle w:val="FootnoteText"/>
        <w:tabs>
          <w:tab w:val="left" w:pos="360"/>
        </w:tabs>
      </w:pPr>
      <w:r>
        <w:rPr>
          <w:rStyle w:val="FootnoteReference"/>
        </w:rPr>
        <w:footnoteRef/>
      </w:r>
      <w:r>
        <w:t xml:space="preserve"> </w:t>
      </w:r>
      <w:r>
        <w:tab/>
      </w:r>
      <w:r w:rsidRPr="00496E86">
        <w:rPr>
          <w:rFonts w:eastAsia="PMingLiU"/>
          <w:lang w:eastAsia="zh-TW"/>
        </w:rPr>
        <w:t>(2013) 16 HKCFAR 195</w:t>
      </w:r>
      <w:r>
        <w:rPr>
          <w:rFonts w:eastAsia="PMingLiU"/>
          <w:lang w:eastAsia="zh-TW"/>
        </w:rPr>
        <w:t>.</w:t>
      </w:r>
    </w:p>
  </w:footnote>
  <w:footnote w:id="58">
    <w:p w:rsidR="008C58F5" w:rsidRDefault="008C58F5" w:rsidP="005928C6">
      <w:pPr>
        <w:pStyle w:val="FootnoteText"/>
        <w:tabs>
          <w:tab w:val="left" w:pos="360"/>
        </w:tabs>
      </w:pPr>
      <w:r>
        <w:rPr>
          <w:rStyle w:val="FootnoteReference"/>
        </w:rPr>
        <w:footnoteRef/>
      </w:r>
      <w:r>
        <w:t xml:space="preserve"> </w:t>
      </w:r>
      <w:r>
        <w:tab/>
      </w:r>
      <w:r w:rsidRPr="00496E86">
        <w:t>[2018] HKCFA 18</w:t>
      </w:r>
      <w:r>
        <w:t>.</w:t>
      </w:r>
    </w:p>
  </w:footnote>
  <w:footnote w:id="59">
    <w:p w:rsidR="008C58F5" w:rsidRDefault="008C58F5" w:rsidP="005928C6">
      <w:pPr>
        <w:pStyle w:val="FootnoteText"/>
        <w:tabs>
          <w:tab w:val="left" w:pos="360"/>
        </w:tabs>
      </w:pPr>
      <w:r>
        <w:rPr>
          <w:rStyle w:val="FootnoteReference"/>
        </w:rPr>
        <w:footnoteRef/>
      </w:r>
      <w:r>
        <w:t xml:space="preserve"> </w:t>
      </w:r>
      <w:r>
        <w:tab/>
      </w:r>
      <w:r w:rsidRPr="00496E86">
        <w:t>(2005) 8 HKCFAR 192</w:t>
      </w:r>
      <w:r>
        <w:t>.</w:t>
      </w:r>
    </w:p>
  </w:footnote>
  <w:footnote w:id="60">
    <w:p w:rsidR="008C58F5" w:rsidRDefault="008C58F5" w:rsidP="005928C6">
      <w:pPr>
        <w:pStyle w:val="FootnoteText"/>
        <w:tabs>
          <w:tab w:val="left" w:pos="360"/>
        </w:tabs>
      </w:pPr>
      <w:r>
        <w:rPr>
          <w:rStyle w:val="FootnoteReference"/>
        </w:rPr>
        <w:footnoteRef/>
      </w:r>
      <w:r>
        <w:t xml:space="preserve"> </w:t>
      </w:r>
      <w:r>
        <w:tab/>
      </w:r>
      <w:r>
        <w:rPr>
          <w:rFonts w:eastAsia="PMingLiU"/>
          <w:lang w:eastAsia="zh-TW"/>
        </w:rPr>
        <w:t>[</w:t>
      </w:r>
      <w:r w:rsidRPr="00977FA0">
        <w:rPr>
          <w:rFonts w:eastAsia="PMingLiU"/>
          <w:lang w:eastAsia="zh-TW"/>
        </w:rPr>
        <w:t>2004] 1 AC 1034</w:t>
      </w:r>
      <w:r>
        <w:rPr>
          <w:rFonts w:eastAsia="PMingLiU"/>
          <w:lang w:eastAsia="zh-TW"/>
        </w:rPr>
        <w:t xml:space="preserve"> at §28.</w:t>
      </w:r>
    </w:p>
  </w:footnote>
  <w:footnote w:id="61">
    <w:p w:rsidR="003A6DCC" w:rsidRPr="003A6DCC" w:rsidRDefault="003A6DCC" w:rsidP="005928C6">
      <w:pPr>
        <w:pStyle w:val="FootnoteText"/>
        <w:tabs>
          <w:tab w:val="left" w:pos="360"/>
        </w:tabs>
        <w:rPr>
          <w:lang w:val="en-US"/>
        </w:rPr>
      </w:pPr>
      <w:r>
        <w:rPr>
          <w:rStyle w:val="FootnoteReference"/>
        </w:rPr>
        <w:footnoteRef/>
      </w:r>
      <w:r>
        <w:t xml:space="preserve"> </w:t>
      </w:r>
      <w:r>
        <w:tab/>
      </w:r>
      <w:r>
        <w:rPr>
          <w:lang w:val="en-US"/>
        </w:rPr>
        <w:t>Cap 132.</w:t>
      </w:r>
    </w:p>
  </w:footnote>
  <w:footnote w:id="62">
    <w:p w:rsidR="008C58F5" w:rsidRDefault="008C58F5" w:rsidP="005928C6">
      <w:pPr>
        <w:pStyle w:val="FootnoteText"/>
        <w:tabs>
          <w:tab w:val="left" w:pos="360"/>
        </w:tabs>
      </w:pPr>
      <w:r>
        <w:rPr>
          <w:rStyle w:val="FootnoteReference"/>
        </w:rPr>
        <w:footnoteRef/>
      </w:r>
      <w:r>
        <w:t xml:space="preserve"> </w:t>
      </w:r>
      <w:r>
        <w:tab/>
      </w:r>
      <w:r w:rsidRPr="00496E86">
        <w:rPr>
          <w:rFonts w:eastAsia="PMingLiU"/>
          <w:lang w:eastAsia="zh-TW"/>
        </w:rPr>
        <w:t>(2010) 13 HKCFAR</w:t>
      </w:r>
      <w:r>
        <w:rPr>
          <w:rFonts w:eastAsia="PMingLiU"/>
          <w:lang w:eastAsia="zh-TW"/>
        </w:rPr>
        <w:t xml:space="preserve"> 142 at §40.</w:t>
      </w:r>
    </w:p>
  </w:footnote>
  <w:footnote w:id="63">
    <w:p w:rsidR="008C58F5" w:rsidRDefault="008C58F5" w:rsidP="005928C6">
      <w:pPr>
        <w:pStyle w:val="FootnoteText"/>
        <w:tabs>
          <w:tab w:val="left" w:pos="360"/>
        </w:tabs>
        <w:ind w:left="360" w:hanging="360"/>
        <w:jc w:val="both"/>
      </w:pPr>
      <w:r>
        <w:rPr>
          <w:rStyle w:val="FootnoteReference"/>
        </w:rPr>
        <w:footnoteRef/>
      </w:r>
      <w:r>
        <w:t xml:space="preserve"> </w:t>
      </w:r>
      <w:r>
        <w:tab/>
      </w:r>
      <w:r w:rsidRPr="00496E86">
        <w:rPr>
          <w:rFonts w:eastAsia="PMingLiU"/>
          <w:lang w:eastAsia="zh-TW"/>
        </w:rPr>
        <w:t>(2013) 16 HKCFAR 195</w:t>
      </w:r>
      <w:r>
        <w:rPr>
          <w:rFonts w:eastAsia="PMingLiU"/>
          <w:lang w:eastAsia="zh-TW"/>
        </w:rPr>
        <w:t>.</w:t>
      </w:r>
    </w:p>
  </w:footnote>
  <w:footnote w:id="64">
    <w:p w:rsidR="008C58F5" w:rsidRDefault="008C58F5" w:rsidP="005928C6">
      <w:pPr>
        <w:pStyle w:val="FootnoteText"/>
        <w:tabs>
          <w:tab w:val="left" w:pos="360"/>
        </w:tabs>
        <w:ind w:left="360" w:hanging="360"/>
        <w:jc w:val="both"/>
      </w:pPr>
      <w:r>
        <w:rPr>
          <w:rStyle w:val="FootnoteReference"/>
        </w:rPr>
        <w:footnoteRef/>
      </w:r>
      <w:r>
        <w:t xml:space="preserve"> </w:t>
      </w:r>
      <w:r>
        <w:tab/>
        <w:t xml:space="preserve">Cap </w:t>
      </w:r>
      <w:r w:rsidRPr="00496E86">
        <w:t>313</w:t>
      </w:r>
      <w:r>
        <w:t>.  It</w:t>
      </w:r>
      <w:r w:rsidRPr="00496E86">
        <w:t xml:space="preserve"> provides that "Any person who by any unlawful act, or in any manner whatsoever without reasonable excuse, endangers or causes to be endangered the safety of any person conveyed in or being in or upon any vessel or in the sea commits an offence.</w:t>
      </w:r>
      <w:r>
        <w:t>”</w:t>
      </w:r>
    </w:p>
  </w:footnote>
  <w:footnote w:id="65">
    <w:p w:rsidR="008C58F5" w:rsidRDefault="008C58F5" w:rsidP="005928C6">
      <w:pPr>
        <w:pStyle w:val="FootnoteText"/>
        <w:tabs>
          <w:tab w:val="left" w:pos="360"/>
        </w:tabs>
        <w:ind w:left="360" w:hanging="360"/>
        <w:jc w:val="both"/>
      </w:pPr>
      <w:r>
        <w:rPr>
          <w:rStyle w:val="FootnoteReference"/>
        </w:rPr>
        <w:footnoteRef/>
      </w:r>
      <w:r>
        <w:t xml:space="preserve"> </w:t>
      </w:r>
      <w:r>
        <w:tab/>
      </w:r>
      <w:r w:rsidRPr="00496E86">
        <w:rPr>
          <w:rFonts w:eastAsia="PMingLiU"/>
          <w:i/>
          <w:lang w:eastAsia="zh-TW"/>
        </w:rPr>
        <w:t xml:space="preserve">Kulemesin </w:t>
      </w:r>
      <w:r>
        <w:rPr>
          <w:rFonts w:eastAsia="PMingLiU"/>
          <w:i/>
          <w:lang w:eastAsia="zh-TW"/>
        </w:rPr>
        <w:t>v</w:t>
      </w:r>
      <w:r w:rsidRPr="00496E86">
        <w:rPr>
          <w:rFonts w:eastAsia="PMingLiU"/>
          <w:i/>
          <w:lang w:eastAsia="zh-TW"/>
        </w:rPr>
        <w:t xml:space="preserve"> HKSAR</w:t>
      </w:r>
      <w:r w:rsidRPr="00496E86">
        <w:rPr>
          <w:rFonts w:eastAsia="PMingLiU"/>
          <w:lang w:eastAsia="zh-TW"/>
        </w:rPr>
        <w:t xml:space="preserve"> (2013) 16 HKCFAR 195</w:t>
      </w:r>
      <w:r>
        <w:rPr>
          <w:rFonts w:eastAsia="PMingLiU"/>
          <w:lang w:eastAsia="zh-TW"/>
        </w:rPr>
        <w:t xml:space="preserve"> at §38.</w:t>
      </w:r>
    </w:p>
  </w:footnote>
  <w:footnote w:id="66">
    <w:p w:rsidR="008C58F5" w:rsidRDefault="008C58F5" w:rsidP="005928C6">
      <w:pPr>
        <w:pStyle w:val="FootnoteText"/>
        <w:tabs>
          <w:tab w:val="left" w:pos="360"/>
        </w:tabs>
        <w:ind w:left="360" w:hanging="360"/>
        <w:jc w:val="both"/>
      </w:pPr>
      <w:r>
        <w:rPr>
          <w:rStyle w:val="FootnoteReference"/>
        </w:rPr>
        <w:footnoteRef/>
      </w:r>
      <w:r>
        <w:t xml:space="preserve"> </w:t>
      </w:r>
      <w:r>
        <w:tab/>
      </w:r>
      <w:r w:rsidRPr="00496E86">
        <w:t>[2018] HKCFA 18</w:t>
      </w:r>
      <w:r>
        <w:t>.</w:t>
      </w:r>
    </w:p>
  </w:footnote>
  <w:footnote w:id="67">
    <w:p w:rsidR="008C58F5" w:rsidRDefault="008C58F5" w:rsidP="005928C6">
      <w:pPr>
        <w:pStyle w:val="FootnoteText"/>
        <w:tabs>
          <w:tab w:val="left" w:pos="360"/>
        </w:tabs>
        <w:ind w:left="360" w:hanging="360"/>
        <w:jc w:val="both"/>
      </w:pPr>
      <w:r>
        <w:rPr>
          <w:rStyle w:val="FootnoteReference"/>
        </w:rPr>
        <w:footnoteRef/>
      </w:r>
      <w:r>
        <w:t xml:space="preserve"> </w:t>
      </w:r>
      <w:r>
        <w:tab/>
        <w:t>Cap 200.</w:t>
      </w:r>
    </w:p>
  </w:footnote>
  <w:footnote w:id="68">
    <w:p w:rsidR="008C58F5" w:rsidRDefault="008C58F5" w:rsidP="005928C6">
      <w:pPr>
        <w:pStyle w:val="FootnoteText"/>
        <w:tabs>
          <w:tab w:val="left" w:pos="360"/>
        </w:tabs>
      </w:pPr>
      <w:r>
        <w:rPr>
          <w:rStyle w:val="FootnoteReference"/>
        </w:rPr>
        <w:footnoteRef/>
      </w:r>
      <w:r>
        <w:t xml:space="preserve"> </w:t>
      </w:r>
      <w:r>
        <w:tab/>
      </w:r>
      <w:r w:rsidRPr="00496E86">
        <w:t>[2018] HKCFA 18</w:t>
      </w:r>
      <w:r>
        <w:t xml:space="preserve"> at §14.</w:t>
      </w:r>
    </w:p>
  </w:footnote>
  <w:footnote w:id="69">
    <w:p w:rsidR="008C58F5" w:rsidRDefault="008C58F5" w:rsidP="005928C6">
      <w:pPr>
        <w:pStyle w:val="FootnoteText"/>
        <w:tabs>
          <w:tab w:val="left" w:pos="360"/>
        </w:tabs>
      </w:pPr>
      <w:r>
        <w:rPr>
          <w:rStyle w:val="FootnoteReference"/>
        </w:rPr>
        <w:footnoteRef/>
      </w:r>
      <w:r>
        <w:t xml:space="preserve"> </w:t>
      </w:r>
      <w:r>
        <w:tab/>
      </w:r>
      <w:r w:rsidRPr="00496E86">
        <w:rPr>
          <w:i/>
        </w:rPr>
        <w:t xml:space="preserve">Sin Kam Wah </w:t>
      </w:r>
      <w:r>
        <w:rPr>
          <w:i/>
        </w:rPr>
        <w:t>v</w:t>
      </w:r>
      <w:r w:rsidRPr="00496E86">
        <w:rPr>
          <w:i/>
        </w:rPr>
        <w:t xml:space="preserve"> HKSAR</w:t>
      </w:r>
      <w:r w:rsidRPr="00496E86">
        <w:t xml:space="preserve"> (2005) 8 HKCFAR 192</w:t>
      </w:r>
      <w:r>
        <w:t>.</w:t>
      </w:r>
    </w:p>
  </w:footnote>
  <w:footnote w:id="70">
    <w:p w:rsidR="003A6DCC" w:rsidRPr="003A6DCC" w:rsidRDefault="003A6DCC" w:rsidP="005928C6">
      <w:pPr>
        <w:pStyle w:val="FootnoteText"/>
        <w:tabs>
          <w:tab w:val="left" w:pos="360"/>
        </w:tabs>
        <w:rPr>
          <w:lang w:val="en-US"/>
        </w:rPr>
      </w:pPr>
      <w:r>
        <w:rPr>
          <w:rStyle w:val="FootnoteReference"/>
        </w:rPr>
        <w:footnoteRef/>
      </w:r>
      <w:r>
        <w:t xml:space="preserve"> </w:t>
      </w:r>
      <w:r>
        <w:tab/>
      </w:r>
      <w:r>
        <w:rPr>
          <w:lang w:val="en-US"/>
        </w:rPr>
        <w:t>Cap 200.</w:t>
      </w:r>
    </w:p>
  </w:footnote>
  <w:footnote w:id="71">
    <w:p w:rsidR="00782A63" w:rsidRDefault="00782A63" w:rsidP="005928C6">
      <w:pPr>
        <w:pStyle w:val="FootnoteText"/>
        <w:tabs>
          <w:tab w:val="left" w:pos="360"/>
        </w:tabs>
      </w:pPr>
      <w:r>
        <w:rPr>
          <w:rStyle w:val="FootnoteReference"/>
        </w:rPr>
        <w:footnoteRef/>
      </w:r>
      <w:r>
        <w:t xml:space="preserve"> </w:t>
      </w:r>
      <w:r>
        <w:tab/>
      </w:r>
      <w:r w:rsidRPr="00080E41">
        <w:t>[2004] 1 AC 1034</w:t>
      </w:r>
      <w:r>
        <w:t>.</w:t>
      </w:r>
    </w:p>
  </w:footnote>
  <w:footnote w:id="72">
    <w:p w:rsidR="00782A63" w:rsidRPr="00782A63" w:rsidRDefault="00782A63" w:rsidP="005928C6">
      <w:pPr>
        <w:pStyle w:val="FootnoteText"/>
        <w:tabs>
          <w:tab w:val="left" w:pos="360"/>
        </w:tabs>
        <w:ind w:left="360" w:hanging="360"/>
        <w:jc w:val="both"/>
      </w:pPr>
      <w:r>
        <w:rPr>
          <w:rStyle w:val="FootnoteReference"/>
        </w:rPr>
        <w:footnoteRef/>
      </w:r>
      <w:r>
        <w:t xml:space="preserve"> </w:t>
      </w:r>
      <w:r>
        <w:tab/>
      </w:r>
      <w:r w:rsidRPr="00496E86">
        <w:rPr>
          <w:i/>
        </w:rPr>
        <w:t xml:space="preserve">Sin Kam Wah </w:t>
      </w:r>
      <w:r>
        <w:rPr>
          <w:i/>
        </w:rPr>
        <w:t>v</w:t>
      </w:r>
      <w:r w:rsidRPr="00496E86">
        <w:rPr>
          <w:i/>
        </w:rPr>
        <w:t xml:space="preserve"> HKSAR</w:t>
      </w:r>
      <w:r w:rsidRPr="00496E86">
        <w:t xml:space="preserve"> (2005) 8 HKCFAR 192</w:t>
      </w:r>
      <w:r>
        <w:t xml:space="preserve"> at §§41-44.</w:t>
      </w:r>
    </w:p>
  </w:footnote>
  <w:footnote w:id="73">
    <w:p w:rsidR="009459BD" w:rsidRDefault="009459BD" w:rsidP="005928C6">
      <w:pPr>
        <w:pStyle w:val="FootnoteText"/>
        <w:tabs>
          <w:tab w:val="left" w:pos="360"/>
        </w:tabs>
        <w:ind w:left="360" w:hanging="360"/>
        <w:jc w:val="both"/>
      </w:pPr>
      <w:r>
        <w:rPr>
          <w:rStyle w:val="FootnoteReference"/>
        </w:rPr>
        <w:footnoteRef/>
      </w:r>
      <w:r>
        <w:t xml:space="preserve"> </w:t>
      </w:r>
      <w:r>
        <w:tab/>
        <w:t xml:space="preserve">In </w:t>
      </w:r>
      <w:r w:rsidRPr="00080E41">
        <w:rPr>
          <w:i/>
          <w:iCs/>
        </w:rPr>
        <w:t>R v Chau Ming Cheong</w:t>
      </w:r>
      <w:r w:rsidRPr="00080E41">
        <w:t xml:space="preserve"> [1983]</w:t>
      </w:r>
      <w:r w:rsidR="003A6DCC">
        <w:t xml:space="preserve"> 1</w:t>
      </w:r>
      <w:r w:rsidRPr="00080E41">
        <w:t xml:space="preserve"> HKC 68</w:t>
      </w:r>
      <w:r>
        <w:t xml:space="preserve"> and </w:t>
      </w:r>
      <w:r w:rsidRPr="00080E41">
        <w:rPr>
          <w:i/>
          <w:iCs/>
        </w:rPr>
        <w:t>R v Dung Shue Wah</w:t>
      </w:r>
      <w:r w:rsidRPr="00080E41">
        <w:t xml:space="preserve"> [1983] 2 HKC 30</w:t>
      </w:r>
      <w:r>
        <w:t>;</w:t>
      </w:r>
      <w:r w:rsidRPr="00080E41">
        <w:t xml:space="preserve"> </w:t>
      </w:r>
      <w:r>
        <w:t xml:space="preserve">following </w:t>
      </w:r>
      <w:r w:rsidR="003A6DCC">
        <w:rPr>
          <w:i/>
          <w:iCs/>
        </w:rPr>
        <w:t>Commissioner of Police of The Metropolis</w:t>
      </w:r>
      <w:r w:rsidRPr="00080E41">
        <w:rPr>
          <w:i/>
          <w:iCs/>
        </w:rPr>
        <w:t xml:space="preserve"> v Caldwell</w:t>
      </w:r>
      <w:r w:rsidRPr="00080E41">
        <w:t xml:space="preserve"> [1982] AC 341</w:t>
      </w:r>
      <w:r>
        <w:t xml:space="preserve"> </w:t>
      </w:r>
      <w:r w:rsidRPr="00080E41">
        <w:t xml:space="preserve">and </w:t>
      </w:r>
      <w:r w:rsidRPr="00080E41">
        <w:rPr>
          <w:i/>
          <w:iCs/>
        </w:rPr>
        <w:t>R v Lawrence</w:t>
      </w:r>
      <w:r w:rsidR="003A6DCC">
        <w:rPr>
          <w:i/>
          <w:iCs/>
        </w:rPr>
        <w:t xml:space="preserve"> (Stephen)</w:t>
      </w:r>
      <w:r w:rsidRPr="00080E41">
        <w:t xml:space="preserve"> [1982] AC 510</w:t>
      </w:r>
      <w:r>
        <w:t>.</w:t>
      </w:r>
    </w:p>
  </w:footnote>
  <w:footnote w:id="74">
    <w:p w:rsidR="008C58F5" w:rsidRDefault="008C58F5" w:rsidP="005928C6">
      <w:pPr>
        <w:pStyle w:val="FootnoteText"/>
        <w:tabs>
          <w:tab w:val="left" w:pos="360"/>
        </w:tabs>
        <w:ind w:left="360" w:hanging="360"/>
        <w:jc w:val="both"/>
      </w:pPr>
      <w:r>
        <w:rPr>
          <w:rStyle w:val="FootnoteReference"/>
        </w:rPr>
        <w:footnoteRef/>
      </w:r>
      <w:r>
        <w:t xml:space="preserve"> </w:t>
      </w:r>
      <w:r>
        <w:tab/>
      </w:r>
      <w:r w:rsidR="009459BD" w:rsidRPr="00496E86">
        <w:rPr>
          <w:i/>
        </w:rPr>
        <w:t xml:space="preserve">Sin Kam Wah </w:t>
      </w:r>
      <w:r w:rsidR="009459BD">
        <w:rPr>
          <w:i/>
        </w:rPr>
        <w:t>v</w:t>
      </w:r>
      <w:r w:rsidR="009459BD" w:rsidRPr="00496E86">
        <w:rPr>
          <w:i/>
        </w:rPr>
        <w:t xml:space="preserve"> HKSAR</w:t>
      </w:r>
      <w:r w:rsidR="009459BD" w:rsidRPr="00496E86">
        <w:t xml:space="preserve"> (2005) 8 HKCFAR 192</w:t>
      </w:r>
      <w:r w:rsidR="009459BD">
        <w:t xml:space="preserve"> at </w:t>
      </w:r>
      <w:r>
        <w:t>§41.</w:t>
      </w:r>
    </w:p>
  </w:footnote>
  <w:footnote w:id="75">
    <w:p w:rsidR="00FE0150" w:rsidRDefault="00FE0150" w:rsidP="005928C6">
      <w:pPr>
        <w:pStyle w:val="FootnoteText"/>
        <w:tabs>
          <w:tab w:val="left" w:pos="360"/>
        </w:tabs>
        <w:jc w:val="both"/>
      </w:pPr>
      <w:r>
        <w:rPr>
          <w:rStyle w:val="FootnoteReference"/>
        </w:rPr>
        <w:footnoteRef/>
      </w:r>
      <w:r>
        <w:t xml:space="preserve"> </w:t>
      </w:r>
      <w:r>
        <w:tab/>
      </w:r>
      <w:r w:rsidRPr="00080E41">
        <w:t xml:space="preserve">[1983] </w:t>
      </w:r>
      <w:r w:rsidR="003A6DCC">
        <w:t xml:space="preserve">1 </w:t>
      </w:r>
      <w:r w:rsidRPr="00080E41">
        <w:t>HKC 68</w:t>
      </w:r>
      <w:r>
        <w:t>.</w:t>
      </w:r>
    </w:p>
  </w:footnote>
  <w:footnote w:id="76">
    <w:p w:rsidR="00FE0150" w:rsidRDefault="00FE0150" w:rsidP="005928C6">
      <w:pPr>
        <w:pStyle w:val="FootnoteText"/>
        <w:tabs>
          <w:tab w:val="left" w:pos="360"/>
        </w:tabs>
        <w:jc w:val="both"/>
      </w:pPr>
      <w:r>
        <w:rPr>
          <w:rStyle w:val="FootnoteReference"/>
        </w:rPr>
        <w:footnoteRef/>
      </w:r>
      <w:r>
        <w:t xml:space="preserve"> </w:t>
      </w:r>
      <w:r>
        <w:tab/>
      </w:r>
      <w:r w:rsidRPr="00080E41">
        <w:t>[1983] 2 HKC 30</w:t>
      </w:r>
      <w:r>
        <w:t>.</w:t>
      </w:r>
    </w:p>
  </w:footnote>
  <w:footnote w:id="77">
    <w:p w:rsidR="00BC7FDF" w:rsidRPr="00BC7FDF" w:rsidRDefault="00BC7FDF" w:rsidP="005928C6">
      <w:pPr>
        <w:pStyle w:val="FootnoteText"/>
        <w:tabs>
          <w:tab w:val="left" w:pos="360"/>
        </w:tabs>
        <w:ind w:left="360" w:hanging="360"/>
        <w:jc w:val="both"/>
      </w:pPr>
      <w:r>
        <w:rPr>
          <w:rStyle w:val="FootnoteReference"/>
        </w:rPr>
        <w:footnoteRef/>
      </w:r>
      <w:r>
        <w:tab/>
        <w:t xml:space="preserve">See, for example, </w:t>
      </w:r>
      <w:r w:rsidR="003A6DCC">
        <w:rPr>
          <w:i/>
        </w:rPr>
        <w:t>The Queen</w:t>
      </w:r>
      <w:r>
        <w:rPr>
          <w:i/>
        </w:rPr>
        <w:t xml:space="preserve"> v Lavender</w:t>
      </w:r>
      <w:r w:rsidR="00883069">
        <w:rPr>
          <w:i/>
        </w:rPr>
        <w:t xml:space="preserve"> </w:t>
      </w:r>
      <w:r w:rsidR="00883069">
        <w:t>(2005) 222 CLR 67</w:t>
      </w:r>
      <w:r>
        <w:t xml:space="preserve"> at </w:t>
      </w:r>
      <w:r w:rsidR="008F38F4">
        <w:t>§</w:t>
      </w:r>
      <w:r>
        <w:t xml:space="preserve">60; </w:t>
      </w:r>
      <w:r>
        <w:rPr>
          <w:i/>
        </w:rPr>
        <w:t>Patel v The Queen</w:t>
      </w:r>
      <w:r>
        <w:t xml:space="preserve"> (2012) 247 CLR </w:t>
      </w:r>
      <w:r w:rsidR="003A6DCC">
        <w:t xml:space="preserve">531 </w:t>
      </w:r>
      <w:r>
        <w:t xml:space="preserve">at </w:t>
      </w:r>
      <w:r w:rsidR="008F38F4">
        <w:t>§</w:t>
      </w:r>
      <w:r>
        <w:t xml:space="preserve">87; </w:t>
      </w:r>
      <w:r>
        <w:rPr>
          <w:i/>
        </w:rPr>
        <w:t>R v Creighton</w:t>
      </w:r>
      <w:r>
        <w:t xml:space="preserve"> </w:t>
      </w:r>
      <w:r w:rsidR="00883069" w:rsidRPr="00496E86">
        <w:t>[1993] 3 SCR 3</w:t>
      </w:r>
      <w:r w:rsidR="00883069">
        <w:t xml:space="preserve"> </w:t>
      </w:r>
      <w:r>
        <w:t>at p 57.</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4114381"/>
      <w:docPartObj>
        <w:docPartGallery w:val="Page Numbers (Top of Page)"/>
        <w:docPartUnique/>
      </w:docPartObj>
    </w:sdtPr>
    <w:sdtEndPr/>
    <w:sdtContent>
      <w:p w:rsidR="007F734D" w:rsidRDefault="008C58F5" w:rsidP="00883069">
        <w:pPr>
          <w:pStyle w:val="Header"/>
          <w:jc w:val="center"/>
        </w:pPr>
        <w:r>
          <w:t>-</w:t>
        </w:r>
        <w:r>
          <w:fldChar w:fldCharType="begin"/>
        </w:r>
        <w:r>
          <w:instrText xml:space="preserve"> PAGE   \* MERGEFORMAT </w:instrText>
        </w:r>
        <w:r>
          <w:fldChar w:fldCharType="separate"/>
        </w:r>
        <w:r w:rsidR="00751BDB">
          <w:rPr>
            <w:noProof/>
          </w:rPr>
          <w:t>20</w:t>
        </w:r>
        <w:r>
          <w:rPr>
            <w:noProof/>
          </w:rPr>
          <w:fldChar w:fldCharType="end"/>
        </w:r>
        <w:r>
          <w:t>-</w:t>
        </w:r>
      </w:p>
      <w:p w:rsidR="008C58F5" w:rsidRDefault="006350DF" w:rsidP="007F734D">
        <w:pPr>
          <w:pStyle w:val="Heade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31" style="width:0;height:1.5pt" o:hralign="center" o:bullet="t" o:hrstd="t" o:hr="t" fillcolor="#a0a0a0" stroked="f"/>
    </w:pict>
  </w:numPicBullet>
  <w:abstractNum w:abstractNumId="0" w15:restartNumberingAfterBreak="0">
    <w:nsid w:val="04BC49E2"/>
    <w:multiLevelType w:val="multilevel"/>
    <w:tmpl w:val="D3781E24"/>
    <w:lvl w:ilvl="0">
      <w:start w:val="1"/>
      <w:numFmt w:val="decimal"/>
      <w:pStyle w:val="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 w15:restartNumberingAfterBreak="0">
    <w:nsid w:val="24284230"/>
    <w:multiLevelType w:val="multilevel"/>
    <w:tmpl w:val="B86A6CEC"/>
    <w:lvl w:ilvl="0">
      <w:start w:val="1"/>
      <w:numFmt w:val="decimal"/>
      <w:pStyle w:val="Bob1"/>
      <w:lvlText w:val="%1."/>
      <w:lvlJc w:val="left"/>
      <w:pPr>
        <w:tabs>
          <w:tab w:val="num" w:pos="720"/>
        </w:tabs>
        <w:ind w:left="720" w:hanging="720"/>
      </w:pPr>
      <w:rPr>
        <w:rFonts w:ascii="Times New Roman" w:hAnsi="Times New Roman" w:hint="default"/>
        <w:b w:val="0"/>
        <w:i w:val="0"/>
        <w:sz w:val="28"/>
        <w:szCs w:val="28"/>
      </w:rPr>
    </w:lvl>
    <w:lvl w:ilvl="1">
      <w:start w:val="1"/>
      <w:numFmt w:val="lowerLetter"/>
      <w:lvlText w:val="(%2)"/>
      <w:lvlJc w:val="left"/>
      <w:pPr>
        <w:tabs>
          <w:tab w:val="num" w:pos="1440"/>
        </w:tabs>
        <w:ind w:left="1440" w:hanging="720"/>
      </w:pPr>
      <w:rPr>
        <w:rFonts w:ascii="Times New Roman" w:hAnsi="Times New Roman" w:hint="default"/>
        <w:b w:val="0"/>
        <w:i w:val="0"/>
      </w:rPr>
    </w:lvl>
    <w:lvl w:ilvl="2">
      <w:start w:val="1"/>
      <w:numFmt w:val="lowerRoman"/>
      <w:lvlText w:val="(%3)"/>
      <w:lvlJc w:val="left"/>
      <w:pPr>
        <w:tabs>
          <w:tab w:val="num" w:pos="2160"/>
        </w:tabs>
        <w:ind w:left="2160" w:hanging="720"/>
      </w:pPr>
      <w:rPr>
        <w:rFonts w:ascii="Times New Roman" w:hAnsi="Times New Roman" w:hint="default"/>
        <w:b w:val="0"/>
        <w:i w:val="0"/>
      </w:rPr>
    </w:lvl>
    <w:lvl w:ilvl="3">
      <w:start w:val="1"/>
      <w:numFmt w:val="bullet"/>
      <w:lvlText w:val=""/>
      <w:lvlJc w:val="left"/>
      <w:pPr>
        <w:tabs>
          <w:tab w:val="num" w:pos="2880"/>
        </w:tabs>
        <w:ind w:left="2880" w:hanging="720"/>
      </w:pPr>
      <w:rPr>
        <w:rFonts w:ascii="Symbol" w:hAnsi="Symbol" w:hint="default"/>
        <w:b w:val="0"/>
        <w:i w:val="0"/>
        <w:color w:val="auto"/>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hint="default"/>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0"/>
  </w:num>
  <w:num w:numId="8">
    <w:abstractNumId w:val="1"/>
  </w:num>
  <w:num w:numId="9">
    <w:abstractNumId w:val="1"/>
  </w:num>
  <w:num w:numId="10">
    <w:abstractNumId w:val="1"/>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F55"/>
    <w:rsid w:val="000073F3"/>
    <w:rsid w:val="00016FC9"/>
    <w:rsid w:val="0001721C"/>
    <w:rsid w:val="00017D22"/>
    <w:rsid w:val="0004068A"/>
    <w:rsid w:val="000473AD"/>
    <w:rsid w:val="0005384A"/>
    <w:rsid w:val="000538A0"/>
    <w:rsid w:val="00054BFB"/>
    <w:rsid w:val="00076C9D"/>
    <w:rsid w:val="00083393"/>
    <w:rsid w:val="00094802"/>
    <w:rsid w:val="00097D0D"/>
    <w:rsid w:val="000B5B28"/>
    <w:rsid w:val="000B7069"/>
    <w:rsid w:val="000C516E"/>
    <w:rsid w:val="000D259B"/>
    <w:rsid w:val="000D4169"/>
    <w:rsid w:val="000D501A"/>
    <w:rsid w:val="000E18EF"/>
    <w:rsid w:val="000F47BF"/>
    <w:rsid w:val="000F6CA0"/>
    <w:rsid w:val="0010345D"/>
    <w:rsid w:val="001151FA"/>
    <w:rsid w:val="00124090"/>
    <w:rsid w:val="00136F31"/>
    <w:rsid w:val="001421D8"/>
    <w:rsid w:val="00143E48"/>
    <w:rsid w:val="00155EFA"/>
    <w:rsid w:val="001578E7"/>
    <w:rsid w:val="00162CC0"/>
    <w:rsid w:val="0017326B"/>
    <w:rsid w:val="0017522E"/>
    <w:rsid w:val="0018688C"/>
    <w:rsid w:val="001940DB"/>
    <w:rsid w:val="001A2838"/>
    <w:rsid w:val="001B3700"/>
    <w:rsid w:val="001D3173"/>
    <w:rsid w:val="001D3883"/>
    <w:rsid w:val="001E3339"/>
    <w:rsid w:val="001E58B7"/>
    <w:rsid w:val="001F0C97"/>
    <w:rsid w:val="001F139D"/>
    <w:rsid w:val="001F4B36"/>
    <w:rsid w:val="00206835"/>
    <w:rsid w:val="002100C0"/>
    <w:rsid w:val="00214963"/>
    <w:rsid w:val="002324C2"/>
    <w:rsid w:val="00243E0C"/>
    <w:rsid w:val="00254083"/>
    <w:rsid w:val="00260349"/>
    <w:rsid w:val="0026040E"/>
    <w:rsid w:val="0026211D"/>
    <w:rsid w:val="00264BC4"/>
    <w:rsid w:val="00295315"/>
    <w:rsid w:val="002A417D"/>
    <w:rsid w:val="002B1F93"/>
    <w:rsid w:val="002B6CDC"/>
    <w:rsid w:val="002B7D08"/>
    <w:rsid w:val="002C0C9C"/>
    <w:rsid w:val="002D024F"/>
    <w:rsid w:val="002E3AB5"/>
    <w:rsid w:val="003041E2"/>
    <w:rsid w:val="00306E0E"/>
    <w:rsid w:val="00332436"/>
    <w:rsid w:val="003359A1"/>
    <w:rsid w:val="00346E35"/>
    <w:rsid w:val="00352AC8"/>
    <w:rsid w:val="00356079"/>
    <w:rsid w:val="003717C3"/>
    <w:rsid w:val="00371A31"/>
    <w:rsid w:val="00372A8F"/>
    <w:rsid w:val="00372AB2"/>
    <w:rsid w:val="003768C9"/>
    <w:rsid w:val="00387231"/>
    <w:rsid w:val="0039014F"/>
    <w:rsid w:val="00391A9F"/>
    <w:rsid w:val="003A38F9"/>
    <w:rsid w:val="003A6DCC"/>
    <w:rsid w:val="003B6FE7"/>
    <w:rsid w:val="003B79B8"/>
    <w:rsid w:val="003F04B1"/>
    <w:rsid w:val="003F124C"/>
    <w:rsid w:val="003F3D77"/>
    <w:rsid w:val="003F7894"/>
    <w:rsid w:val="00404FE3"/>
    <w:rsid w:val="0041075D"/>
    <w:rsid w:val="0041338E"/>
    <w:rsid w:val="00422B89"/>
    <w:rsid w:val="00436137"/>
    <w:rsid w:val="004601A1"/>
    <w:rsid w:val="00462410"/>
    <w:rsid w:val="0046251C"/>
    <w:rsid w:val="00465CCD"/>
    <w:rsid w:val="0046781C"/>
    <w:rsid w:val="004767F3"/>
    <w:rsid w:val="00477608"/>
    <w:rsid w:val="00497A39"/>
    <w:rsid w:val="00497FF4"/>
    <w:rsid w:val="004D1BE8"/>
    <w:rsid w:val="004D7A57"/>
    <w:rsid w:val="004E2477"/>
    <w:rsid w:val="004E2666"/>
    <w:rsid w:val="004F1232"/>
    <w:rsid w:val="00500E4F"/>
    <w:rsid w:val="00501FE1"/>
    <w:rsid w:val="00502FA2"/>
    <w:rsid w:val="00504253"/>
    <w:rsid w:val="0053080D"/>
    <w:rsid w:val="00533B02"/>
    <w:rsid w:val="005435C9"/>
    <w:rsid w:val="00553079"/>
    <w:rsid w:val="005607A5"/>
    <w:rsid w:val="00561FF9"/>
    <w:rsid w:val="005670AC"/>
    <w:rsid w:val="0057313B"/>
    <w:rsid w:val="005742C8"/>
    <w:rsid w:val="005748FE"/>
    <w:rsid w:val="00591CFC"/>
    <w:rsid w:val="005928C6"/>
    <w:rsid w:val="005A3BDB"/>
    <w:rsid w:val="005A4AD0"/>
    <w:rsid w:val="005A6AF6"/>
    <w:rsid w:val="005A7B9F"/>
    <w:rsid w:val="005B0AD2"/>
    <w:rsid w:val="005B3F6A"/>
    <w:rsid w:val="005B51FA"/>
    <w:rsid w:val="005B6200"/>
    <w:rsid w:val="005C07F6"/>
    <w:rsid w:val="005C39ED"/>
    <w:rsid w:val="005C618B"/>
    <w:rsid w:val="005C7FDD"/>
    <w:rsid w:val="005E0660"/>
    <w:rsid w:val="005E0C61"/>
    <w:rsid w:val="005E7939"/>
    <w:rsid w:val="005F347C"/>
    <w:rsid w:val="0060178B"/>
    <w:rsid w:val="00603597"/>
    <w:rsid w:val="0061038B"/>
    <w:rsid w:val="00617A16"/>
    <w:rsid w:val="00633B6F"/>
    <w:rsid w:val="006350DF"/>
    <w:rsid w:val="00637BA5"/>
    <w:rsid w:val="006417C4"/>
    <w:rsid w:val="00642D50"/>
    <w:rsid w:val="00654E8B"/>
    <w:rsid w:val="00694648"/>
    <w:rsid w:val="006B4F11"/>
    <w:rsid w:val="006C4BEC"/>
    <w:rsid w:val="006D2EE1"/>
    <w:rsid w:val="006F11C3"/>
    <w:rsid w:val="006F18FC"/>
    <w:rsid w:val="006F6C50"/>
    <w:rsid w:val="00704D40"/>
    <w:rsid w:val="007056B2"/>
    <w:rsid w:val="007102B0"/>
    <w:rsid w:val="00721E67"/>
    <w:rsid w:val="007277D4"/>
    <w:rsid w:val="00727B1D"/>
    <w:rsid w:val="007316D2"/>
    <w:rsid w:val="007363BA"/>
    <w:rsid w:val="007413A4"/>
    <w:rsid w:val="00751BDB"/>
    <w:rsid w:val="00754A75"/>
    <w:rsid w:val="00755895"/>
    <w:rsid w:val="00761EC7"/>
    <w:rsid w:val="00782A63"/>
    <w:rsid w:val="007840C7"/>
    <w:rsid w:val="00796C78"/>
    <w:rsid w:val="007A17EE"/>
    <w:rsid w:val="007A1FBA"/>
    <w:rsid w:val="007A29C8"/>
    <w:rsid w:val="007A6C73"/>
    <w:rsid w:val="007B1462"/>
    <w:rsid w:val="007C256A"/>
    <w:rsid w:val="007C5A58"/>
    <w:rsid w:val="007D27AB"/>
    <w:rsid w:val="007E439C"/>
    <w:rsid w:val="007F40F5"/>
    <w:rsid w:val="007F734D"/>
    <w:rsid w:val="00801CE2"/>
    <w:rsid w:val="00811081"/>
    <w:rsid w:val="00813315"/>
    <w:rsid w:val="00830240"/>
    <w:rsid w:val="00831B94"/>
    <w:rsid w:val="00834277"/>
    <w:rsid w:val="0084322B"/>
    <w:rsid w:val="00843281"/>
    <w:rsid w:val="00860B01"/>
    <w:rsid w:val="00872D8E"/>
    <w:rsid w:val="0087557C"/>
    <w:rsid w:val="00880116"/>
    <w:rsid w:val="00883069"/>
    <w:rsid w:val="00884713"/>
    <w:rsid w:val="00896C38"/>
    <w:rsid w:val="008A1593"/>
    <w:rsid w:val="008A38A1"/>
    <w:rsid w:val="008A3F41"/>
    <w:rsid w:val="008A3FCF"/>
    <w:rsid w:val="008C069D"/>
    <w:rsid w:val="008C58F5"/>
    <w:rsid w:val="008D24D8"/>
    <w:rsid w:val="008D37AD"/>
    <w:rsid w:val="008E398E"/>
    <w:rsid w:val="008E60AD"/>
    <w:rsid w:val="008F05B6"/>
    <w:rsid w:val="008F0F95"/>
    <w:rsid w:val="008F13AC"/>
    <w:rsid w:val="008F38F4"/>
    <w:rsid w:val="009013E6"/>
    <w:rsid w:val="00904D2E"/>
    <w:rsid w:val="00926C3D"/>
    <w:rsid w:val="00932EF2"/>
    <w:rsid w:val="00936CC5"/>
    <w:rsid w:val="009459BD"/>
    <w:rsid w:val="009470B6"/>
    <w:rsid w:val="0095110A"/>
    <w:rsid w:val="00955432"/>
    <w:rsid w:val="0096277A"/>
    <w:rsid w:val="00970DE3"/>
    <w:rsid w:val="00970E8B"/>
    <w:rsid w:val="00973551"/>
    <w:rsid w:val="00983A3D"/>
    <w:rsid w:val="009853A7"/>
    <w:rsid w:val="00991FB4"/>
    <w:rsid w:val="0099733B"/>
    <w:rsid w:val="009A0D4B"/>
    <w:rsid w:val="009C39EC"/>
    <w:rsid w:val="009C402A"/>
    <w:rsid w:val="009C7992"/>
    <w:rsid w:val="009D2705"/>
    <w:rsid w:val="009D316E"/>
    <w:rsid w:val="009D3F23"/>
    <w:rsid w:val="009D6A62"/>
    <w:rsid w:val="009E640E"/>
    <w:rsid w:val="009F62DF"/>
    <w:rsid w:val="00A07272"/>
    <w:rsid w:val="00A12ACC"/>
    <w:rsid w:val="00A349E6"/>
    <w:rsid w:val="00A407E7"/>
    <w:rsid w:val="00A5071B"/>
    <w:rsid w:val="00A51F95"/>
    <w:rsid w:val="00A63673"/>
    <w:rsid w:val="00A649C9"/>
    <w:rsid w:val="00A83457"/>
    <w:rsid w:val="00A839E9"/>
    <w:rsid w:val="00A8408C"/>
    <w:rsid w:val="00A87B14"/>
    <w:rsid w:val="00AB0343"/>
    <w:rsid w:val="00AB3DC4"/>
    <w:rsid w:val="00AC7218"/>
    <w:rsid w:val="00AC761F"/>
    <w:rsid w:val="00AC7C5E"/>
    <w:rsid w:val="00AD1333"/>
    <w:rsid w:val="00AE51B8"/>
    <w:rsid w:val="00AF60C7"/>
    <w:rsid w:val="00B1189E"/>
    <w:rsid w:val="00B1397D"/>
    <w:rsid w:val="00B205BD"/>
    <w:rsid w:val="00B23689"/>
    <w:rsid w:val="00B32973"/>
    <w:rsid w:val="00B35981"/>
    <w:rsid w:val="00B37A8B"/>
    <w:rsid w:val="00B40AD8"/>
    <w:rsid w:val="00B4361C"/>
    <w:rsid w:val="00B470A3"/>
    <w:rsid w:val="00B57306"/>
    <w:rsid w:val="00B7601B"/>
    <w:rsid w:val="00B81D10"/>
    <w:rsid w:val="00B83E90"/>
    <w:rsid w:val="00BA2DC0"/>
    <w:rsid w:val="00BA39D8"/>
    <w:rsid w:val="00BA71B0"/>
    <w:rsid w:val="00BA7C8A"/>
    <w:rsid w:val="00BB1F52"/>
    <w:rsid w:val="00BB5FB0"/>
    <w:rsid w:val="00BC0E83"/>
    <w:rsid w:val="00BC7A58"/>
    <w:rsid w:val="00BC7FDF"/>
    <w:rsid w:val="00BD50F6"/>
    <w:rsid w:val="00BD6C49"/>
    <w:rsid w:val="00BE4E46"/>
    <w:rsid w:val="00C02E85"/>
    <w:rsid w:val="00C079A9"/>
    <w:rsid w:val="00C1117B"/>
    <w:rsid w:val="00C32337"/>
    <w:rsid w:val="00C36824"/>
    <w:rsid w:val="00C450DA"/>
    <w:rsid w:val="00C514EC"/>
    <w:rsid w:val="00C536F9"/>
    <w:rsid w:val="00C53DFD"/>
    <w:rsid w:val="00C567CC"/>
    <w:rsid w:val="00C6265C"/>
    <w:rsid w:val="00C64A16"/>
    <w:rsid w:val="00C80468"/>
    <w:rsid w:val="00C9736F"/>
    <w:rsid w:val="00CA03AD"/>
    <w:rsid w:val="00CA3D90"/>
    <w:rsid w:val="00CA4E5E"/>
    <w:rsid w:val="00CB1BCB"/>
    <w:rsid w:val="00CB21DD"/>
    <w:rsid w:val="00CB2C56"/>
    <w:rsid w:val="00CB4310"/>
    <w:rsid w:val="00CB61F7"/>
    <w:rsid w:val="00CC0407"/>
    <w:rsid w:val="00CC281E"/>
    <w:rsid w:val="00CE0655"/>
    <w:rsid w:val="00CF28BD"/>
    <w:rsid w:val="00CF3CB5"/>
    <w:rsid w:val="00D01FCE"/>
    <w:rsid w:val="00D2349E"/>
    <w:rsid w:val="00D31D42"/>
    <w:rsid w:val="00D501A3"/>
    <w:rsid w:val="00D5500F"/>
    <w:rsid w:val="00D631CB"/>
    <w:rsid w:val="00D7461F"/>
    <w:rsid w:val="00D80BE8"/>
    <w:rsid w:val="00D83A62"/>
    <w:rsid w:val="00D879FC"/>
    <w:rsid w:val="00D92116"/>
    <w:rsid w:val="00DA3EA7"/>
    <w:rsid w:val="00DC1B1F"/>
    <w:rsid w:val="00DC5B57"/>
    <w:rsid w:val="00DE003C"/>
    <w:rsid w:val="00DE09A5"/>
    <w:rsid w:val="00DE3982"/>
    <w:rsid w:val="00DE6962"/>
    <w:rsid w:val="00DF2C04"/>
    <w:rsid w:val="00DF7559"/>
    <w:rsid w:val="00E05375"/>
    <w:rsid w:val="00E07275"/>
    <w:rsid w:val="00E13281"/>
    <w:rsid w:val="00E17218"/>
    <w:rsid w:val="00E23949"/>
    <w:rsid w:val="00E33D53"/>
    <w:rsid w:val="00E4666D"/>
    <w:rsid w:val="00E4754A"/>
    <w:rsid w:val="00E60E45"/>
    <w:rsid w:val="00E625E2"/>
    <w:rsid w:val="00E869BC"/>
    <w:rsid w:val="00E87E3F"/>
    <w:rsid w:val="00EA4A24"/>
    <w:rsid w:val="00EC0357"/>
    <w:rsid w:val="00EC04B8"/>
    <w:rsid w:val="00ED10A9"/>
    <w:rsid w:val="00ED297B"/>
    <w:rsid w:val="00EE58C5"/>
    <w:rsid w:val="00EF55BE"/>
    <w:rsid w:val="00F01E6F"/>
    <w:rsid w:val="00F04736"/>
    <w:rsid w:val="00F06941"/>
    <w:rsid w:val="00F0712F"/>
    <w:rsid w:val="00F108CE"/>
    <w:rsid w:val="00F32427"/>
    <w:rsid w:val="00F6375C"/>
    <w:rsid w:val="00F65F55"/>
    <w:rsid w:val="00F71F4A"/>
    <w:rsid w:val="00F7279E"/>
    <w:rsid w:val="00F81C6C"/>
    <w:rsid w:val="00F84774"/>
    <w:rsid w:val="00F915C7"/>
    <w:rsid w:val="00FA6A1E"/>
    <w:rsid w:val="00FA6CD1"/>
    <w:rsid w:val="00FA7091"/>
    <w:rsid w:val="00FB6A5A"/>
    <w:rsid w:val="00FE0150"/>
    <w:rsid w:val="00FF161C"/>
    <w:rsid w:val="00FF4205"/>
    <w:rsid w:val="00FF550C"/>
    <w:rsid w:val="00FF58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78B277-BD33-433A-94B4-0E804F8DE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8"/>
        <w:szCs w:val="28"/>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FF4"/>
    <w:rPr>
      <w:lang w:val="en-GB"/>
    </w:rPr>
  </w:style>
  <w:style w:type="paragraph" w:styleId="Heading1">
    <w:name w:val="heading 1"/>
    <w:basedOn w:val="Normal"/>
    <w:next w:val="Normal"/>
    <w:link w:val="Heading1Char"/>
    <w:uiPriority w:val="9"/>
    <w:qFormat/>
    <w:rsid w:val="00BA2DC0"/>
    <w:pPr>
      <w:keepNext/>
      <w:keepLines/>
      <w:spacing w:before="480" w:after="0"/>
      <w:outlineLvl w:val="0"/>
    </w:pPr>
    <w:rPr>
      <w:rFonts w:asciiTheme="majorHAnsi" w:eastAsiaTheme="majorEastAsia" w:hAnsiTheme="majorHAnsi" w:cstheme="majorBidi"/>
      <w:b/>
      <w:b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itty">
    <w:name w:val="Kitty"/>
    <w:link w:val="KittyChar"/>
    <w:qFormat/>
    <w:rsid w:val="00BA2DC0"/>
    <w:pPr>
      <w:kinsoku w:val="0"/>
      <w:autoSpaceDE w:val="0"/>
      <w:autoSpaceDN w:val="0"/>
      <w:snapToGrid w:val="0"/>
      <w:spacing w:after="240" w:line="360" w:lineRule="auto"/>
    </w:pPr>
    <w:rPr>
      <w:lang w:val="en-GB"/>
    </w:rPr>
  </w:style>
  <w:style w:type="character" w:customStyle="1" w:styleId="KittyChar">
    <w:name w:val="Kitty Char"/>
    <w:basedOn w:val="DefaultParagraphFont"/>
    <w:link w:val="Kitty"/>
    <w:rsid w:val="00BA2DC0"/>
    <w:rPr>
      <w:rFonts w:ascii="Times New Roman" w:eastAsia="宋体" w:hAnsi="Times New Roman" w:cs="Times New Roman"/>
      <w:sz w:val="28"/>
      <w:szCs w:val="24"/>
      <w:lang w:val="en-GB" w:eastAsia="zh-CN"/>
    </w:rPr>
  </w:style>
  <w:style w:type="paragraph" w:customStyle="1" w:styleId="Bob1">
    <w:name w:val="Bob 1"/>
    <w:link w:val="Bob1Char"/>
    <w:qFormat/>
    <w:rsid w:val="00D2349E"/>
    <w:pPr>
      <w:numPr>
        <w:numId w:val="11"/>
      </w:numPr>
      <w:kinsoku w:val="0"/>
      <w:autoSpaceDE w:val="0"/>
      <w:autoSpaceDN w:val="0"/>
      <w:snapToGrid w:val="0"/>
      <w:spacing w:after="240" w:line="360" w:lineRule="auto"/>
    </w:pPr>
    <w:rPr>
      <w:lang w:val="en-GB"/>
    </w:rPr>
  </w:style>
  <w:style w:type="character" w:customStyle="1" w:styleId="Bob1Char">
    <w:name w:val="Bob 1 Char"/>
    <w:basedOn w:val="DefaultParagraphFont"/>
    <w:link w:val="Bob1"/>
    <w:rsid w:val="00D2349E"/>
    <w:rPr>
      <w:iCs/>
      <w:sz w:val="28"/>
      <w:szCs w:val="22"/>
      <w:lang w:val="en-GB" w:eastAsia="zh-CN"/>
    </w:rPr>
  </w:style>
  <w:style w:type="paragraph" w:customStyle="1" w:styleId="judge">
    <w:name w:val="judge"/>
    <w:basedOn w:val="Heading1"/>
    <w:next w:val="Kitty"/>
    <w:qFormat/>
    <w:rsid w:val="00BA2DC0"/>
    <w:pPr>
      <w:keepLines w:val="0"/>
      <w:tabs>
        <w:tab w:val="left" w:pos="980"/>
        <w:tab w:val="left" w:pos="1120"/>
      </w:tabs>
      <w:overflowPunct w:val="0"/>
      <w:autoSpaceDE w:val="0"/>
      <w:autoSpaceDN w:val="0"/>
      <w:adjustRightInd w:val="0"/>
      <w:snapToGrid w:val="0"/>
      <w:spacing w:before="600" w:after="120" w:line="240" w:lineRule="auto"/>
      <w:ind w:left="720" w:right="69" w:hanging="720"/>
      <w:textAlignment w:val="baseline"/>
    </w:pPr>
    <w:rPr>
      <w:rFonts w:ascii="Times New Roman" w:eastAsia="PMingLiU" w:hAnsi="Times New Roman" w:cs="Times New Roman"/>
      <w:snapToGrid w:val="0"/>
      <w:color w:val="auto"/>
    </w:rPr>
  </w:style>
  <w:style w:type="character" w:customStyle="1" w:styleId="Heading1Char">
    <w:name w:val="Heading 1 Char"/>
    <w:basedOn w:val="DefaultParagraphFont"/>
    <w:link w:val="Heading1"/>
    <w:uiPriority w:val="9"/>
    <w:rsid w:val="00BA2DC0"/>
    <w:rPr>
      <w:rFonts w:asciiTheme="majorHAnsi" w:eastAsiaTheme="majorEastAsia" w:hAnsiTheme="majorHAnsi" w:cstheme="majorBidi"/>
      <w:b/>
      <w:bCs/>
      <w:color w:val="365F91" w:themeColor="accent1" w:themeShade="BF"/>
      <w:sz w:val="28"/>
      <w:szCs w:val="28"/>
    </w:rPr>
  </w:style>
  <w:style w:type="paragraph" w:customStyle="1" w:styleId="Judge0">
    <w:name w:val="Judge"/>
    <w:basedOn w:val="Heading1"/>
    <w:next w:val="Kitty"/>
    <w:qFormat/>
    <w:rsid w:val="00BA2DC0"/>
    <w:pPr>
      <w:keepLines w:val="0"/>
      <w:tabs>
        <w:tab w:val="left" w:pos="980"/>
        <w:tab w:val="left" w:pos="1120"/>
      </w:tabs>
      <w:overflowPunct w:val="0"/>
      <w:autoSpaceDE w:val="0"/>
      <w:autoSpaceDN w:val="0"/>
      <w:adjustRightInd w:val="0"/>
      <w:snapToGrid w:val="0"/>
      <w:spacing w:before="600" w:after="120" w:line="240" w:lineRule="auto"/>
      <w:ind w:left="720" w:right="69" w:hanging="720"/>
      <w:textAlignment w:val="baseline"/>
    </w:pPr>
    <w:rPr>
      <w:rFonts w:ascii="Times New Roman" w:eastAsia="PMingLiU" w:hAnsi="Times New Roman" w:cs="Times New Roman"/>
      <w:snapToGrid w:val="0"/>
      <w:color w:val="auto"/>
    </w:rPr>
  </w:style>
  <w:style w:type="paragraph" w:customStyle="1" w:styleId="Draft">
    <w:name w:val="Draft"/>
    <w:basedOn w:val="Normal"/>
    <w:rsid w:val="00BA2DC0"/>
    <w:pPr>
      <w:numPr>
        <w:numId w:val="7"/>
      </w:numPr>
      <w:tabs>
        <w:tab w:val="left" w:pos="1440"/>
      </w:tabs>
      <w:snapToGrid w:val="0"/>
      <w:spacing w:before="360" w:after="0" w:line="360" w:lineRule="auto"/>
    </w:pPr>
    <w:rPr>
      <w:rFonts w:eastAsia="MingLiU"/>
    </w:rPr>
  </w:style>
  <w:style w:type="paragraph" w:customStyle="1" w:styleId="docmapheading">
    <w:name w:val="doc map heading"/>
    <w:basedOn w:val="DocumentMap"/>
    <w:link w:val="docmapheadingChar"/>
    <w:qFormat/>
    <w:rsid w:val="009C402A"/>
    <w:pPr>
      <w:spacing w:before="120" w:after="360" w:line="276" w:lineRule="auto"/>
      <w:outlineLvl w:val="1"/>
    </w:pPr>
    <w:rPr>
      <w:rFonts w:ascii="Times New Roman" w:eastAsia="PMingLiU" w:hAnsi="Times New Roman"/>
      <w:i/>
      <w:spacing w:val="15"/>
      <w:sz w:val="28"/>
      <w:szCs w:val="28"/>
    </w:rPr>
  </w:style>
  <w:style w:type="paragraph" w:styleId="Subtitle">
    <w:name w:val="Subtitle"/>
    <w:basedOn w:val="Normal"/>
    <w:next w:val="Normal"/>
    <w:link w:val="SubtitleChar"/>
    <w:uiPriority w:val="11"/>
    <w:qFormat/>
    <w:rsid w:val="00AB0343"/>
    <w:pPr>
      <w:numPr>
        <w:ilvl w:val="1"/>
      </w:numPr>
    </w:pPr>
    <w:rPr>
      <w:rFonts w:asciiTheme="majorHAnsi" w:eastAsiaTheme="majorEastAsia" w:hAnsiTheme="majorHAnsi" w:cstheme="majorBidi"/>
      <w:color w:val="4F81BD" w:themeColor="accent1"/>
      <w:spacing w:val="15"/>
    </w:rPr>
  </w:style>
  <w:style w:type="character" w:customStyle="1" w:styleId="SubtitleChar">
    <w:name w:val="Subtitle Char"/>
    <w:basedOn w:val="DefaultParagraphFont"/>
    <w:link w:val="Subtitle"/>
    <w:uiPriority w:val="11"/>
    <w:rsid w:val="00AB0343"/>
    <w:rPr>
      <w:rFonts w:asciiTheme="majorHAnsi" w:eastAsiaTheme="majorEastAsia" w:hAnsiTheme="majorHAnsi" w:cstheme="majorBidi"/>
      <w:i/>
      <w:iCs/>
      <w:color w:val="4F81BD" w:themeColor="accent1"/>
      <w:spacing w:val="15"/>
      <w:sz w:val="24"/>
      <w:szCs w:val="24"/>
      <w:lang w:val="en-GB"/>
    </w:rPr>
  </w:style>
  <w:style w:type="character" w:customStyle="1" w:styleId="docmapheadingChar">
    <w:name w:val="doc map heading Char"/>
    <w:basedOn w:val="SubtitleChar"/>
    <w:link w:val="docmapheading"/>
    <w:rsid w:val="009C402A"/>
    <w:rPr>
      <w:rFonts w:asciiTheme="majorHAnsi" w:eastAsia="PMingLiU" w:hAnsiTheme="majorHAnsi" w:cs="Times New Roman"/>
      <w:i/>
      <w:iCs/>
      <w:color w:val="4F81BD" w:themeColor="accent1"/>
      <w:spacing w:val="15"/>
      <w:sz w:val="28"/>
      <w:szCs w:val="28"/>
      <w:lang w:val="en-GB"/>
    </w:rPr>
  </w:style>
  <w:style w:type="paragraph" w:styleId="DocumentMap">
    <w:name w:val="Document Map"/>
    <w:basedOn w:val="Normal"/>
    <w:link w:val="DocumentMapChar"/>
    <w:uiPriority w:val="99"/>
    <w:semiHidden/>
    <w:unhideWhenUsed/>
    <w:rsid w:val="00501FE1"/>
    <w:pPr>
      <w:spacing w:after="0" w:line="240" w:lineRule="auto"/>
    </w:pPr>
    <w:rPr>
      <w:rFonts w:ascii="Tahoma" w:hAnsi="Tahoma"/>
      <w:sz w:val="16"/>
      <w:szCs w:val="16"/>
    </w:rPr>
  </w:style>
  <w:style w:type="character" w:customStyle="1" w:styleId="DocumentMapChar">
    <w:name w:val="Document Map Char"/>
    <w:basedOn w:val="DefaultParagraphFont"/>
    <w:link w:val="DocumentMap"/>
    <w:uiPriority w:val="99"/>
    <w:semiHidden/>
    <w:rsid w:val="00501FE1"/>
    <w:rPr>
      <w:rFonts w:ascii="Tahoma" w:hAnsi="Tahoma" w:cs="Tahoma"/>
      <w:sz w:val="16"/>
      <w:szCs w:val="16"/>
      <w:lang w:val="en-GB"/>
    </w:rPr>
  </w:style>
  <w:style w:type="paragraph" w:styleId="Header">
    <w:name w:val="header"/>
    <w:basedOn w:val="Normal"/>
    <w:link w:val="HeaderChar"/>
    <w:uiPriority w:val="99"/>
    <w:unhideWhenUsed/>
    <w:rsid w:val="00CC04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407"/>
    <w:rPr>
      <w:lang w:val="en-GB"/>
    </w:rPr>
  </w:style>
  <w:style w:type="paragraph" w:styleId="Footer">
    <w:name w:val="footer"/>
    <w:basedOn w:val="Normal"/>
    <w:link w:val="FooterChar"/>
    <w:uiPriority w:val="99"/>
    <w:unhideWhenUsed/>
    <w:rsid w:val="00CC04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407"/>
    <w:rPr>
      <w:lang w:val="en-GB"/>
    </w:rPr>
  </w:style>
  <w:style w:type="paragraph" w:styleId="FootnoteText">
    <w:name w:val="footnote text"/>
    <w:basedOn w:val="Normal"/>
    <w:link w:val="FootnoteTextChar"/>
    <w:uiPriority w:val="99"/>
    <w:semiHidden/>
    <w:unhideWhenUsed/>
    <w:rsid w:val="005C7FDD"/>
    <w:pPr>
      <w:spacing w:after="120" w:line="240" w:lineRule="auto"/>
    </w:pPr>
    <w:rPr>
      <w:sz w:val="24"/>
    </w:rPr>
  </w:style>
  <w:style w:type="character" w:customStyle="1" w:styleId="FootnoteTextChar">
    <w:name w:val="Footnote Text Char"/>
    <w:basedOn w:val="DefaultParagraphFont"/>
    <w:link w:val="FootnoteText"/>
    <w:uiPriority w:val="99"/>
    <w:semiHidden/>
    <w:rsid w:val="005C7FDD"/>
    <w:rPr>
      <w:sz w:val="24"/>
      <w:szCs w:val="28"/>
      <w:lang w:val="en-GB"/>
    </w:rPr>
  </w:style>
  <w:style w:type="character" w:styleId="FootnoteReference">
    <w:name w:val="footnote reference"/>
    <w:basedOn w:val="DefaultParagraphFont"/>
    <w:uiPriority w:val="99"/>
    <w:semiHidden/>
    <w:unhideWhenUsed/>
    <w:rsid w:val="0039014F"/>
    <w:rPr>
      <w:vertAlign w:val="superscript"/>
    </w:rPr>
  </w:style>
  <w:style w:type="paragraph" w:styleId="ListParagraph">
    <w:name w:val="List Paragraph"/>
    <w:basedOn w:val="Normal"/>
    <w:uiPriority w:val="34"/>
    <w:qFormat/>
    <w:rsid w:val="00F71F4A"/>
    <w:pPr>
      <w:spacing w:after="0" w:line="240" w:lineRule="auto"/>
      <w:ind w:left="720"/>
      <w:contextualSpacing/>
      <w:jc w:val="both"/>
    </w:pPr>
    <w:rPr>
      <w:rFonts w:eastAsia="宋体"/>
      <w:sz w:val="26"/>
      <w:szCs w:val="22"/>
      <w:lang w:val="en-US" w:eastAsia="en-US"/>
    </w:rPr>
  </w:style>
  <w:style w:type="paragraph" w:styleId="BalloonText">
    <w:name w:val="Balloon Text"/>
    <w:basedOn w:val="Normal"/>
    <w:link w:val="BalloonTextChar"/>
    <w:uiPriority w:val="99"/>
    <w:semiHidden/>
    <w:unhideWhenUsed/>
    <w:rsid w:val="00654E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4E8B"/>
    <w:rPr>
      <w:rFonts w:ascii="Segoe UI" w:hAnsi="Segoe UI" w:cs="Segoe UI"/>
      <w:sz w:val="18"/>
      <w:szCs w:val="18"/>
      <w:lang w:val="en-GB"/>
    </w:rPr>
  </w:style>
  <w:style w:type="paragraph" w:customStyle="1" w:styleId="MF">
    <w:name w:val="MF"/>
    <w:basedOn w:val="Normal"/>
    <w:rsid w:val="00E07275"/>
    <w:pPr>
      <w:tabs>
        <w:tab w:val="left" w:pos="1440"/>
        <w:tab w:val="center" w:pos="4320"/>
        <w:tab w:val="right" w:pos="8280"/>
        <w:tab w:val="right" w:pos="9000"/>
      </w:tabs>
      <w:overflowPunct w:val="0"/>
      <w:autoSpaceDE w:val="0"/>
      <w:autoSpaceDN w:val="0"/>
      <w:adjustRightInd w:val="0"/>
      <w:snapToGrid w:val="0"/>
      <w:spacing w:after="0" w:line="240" w:lineRule="auto"/>
      <w:jc w:val="center"/>
      <w:textAlignment w:val="baseline"/>
    </w:pPr>
    <w:rPr>
      <w:rFonts w:eastAsia="MingLiU"/>
      <w:cap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0A2145-9506-45F1-ACD4-19F588A4F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5767</Words>
  <Characters>32874</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Ribeiro</dc:creator>
  <cp:keywords/>
  <dc:description/>
  <cp:lastModifiedBy>Phemie WF Chan</cp:lastModifiedBy>
  <cp:revision>2</cp:revision>
  <cp:lastPrinted>2019-10-08T03:43:00Z</cp:lastPrinted>
  <dcterms:created xsi:type="dcterms:W3CDTF">2019-10-15T07:11:00Z</dcterms:created>
  <dcterms:modified xsi:type="dcterms:W3CDTF">2019-10-15T07:11:00Z</dcterms:modified>
</cp:coreProperties>
</file>