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4B5" w:rsidRPr="00C50256" w:rsidRDefault="004814B5" w:rsidP="004814B5">
      <w:pPr>
        <w:pStyle w:val="Heading3"/>
        <w:spacing w:before="0" w:after="0"/>
        <w:ind w:right="-43"/>
        <w:jc w:val="right"/>
        <w:rPr>
          <w:rFonts w:ascii="Times New Roman" w:eastAsia="PMingLiU" w:hAnsi="Times New Roman"/>
          <w:color w:val="000000"/>
          <w:sz w:val="28"/>
          <w:szCs w:val="28"/>
          <w:lang w:eastAsia="zh-CN"/>
        </w:rPr>
      </w:pPr>
      <w:bookmarkStart w:id="0" w:name="_GoBack"/>
      <w:bookmarkEnd w:id="0"/>
      <w:r w:rsidRPr="00C50256">
        <w:rPr>
          <w:rFonts w:ascii="Times New Roman" w:hAnsi="Times New Roman"/>
          <w:color w:val="000000"/>
          <w:sz w:val="28"/>
          <w:szCs w:val="28"/>
        </w:rPr>
        <w:t>FAC</w:t>
      </w:r>
      <w:r w:rsidRPr="00C50256">
        <w:rPr>
          <w:rFonts w:ascii="Times New Roman" w:hAnsi="Times New Roman"/>
          <w:color w:val="000000"/>
          <w:sz w:val="28"/>
          <w:szCs w:val="28"/>
          <w:lang w:eastAsia="zh-CN"/>
        </w:rPr>
        <w:t>C</w:t>
      </w:r>
      <w:r w:rsidRPr="00C50256">
        <w:rPr>
          <w:rFonts w:ascii="Times New Roman" w:hAnsi="Times New Roman"/>
          <w:color w:val="000000"/>
          <w:sz w:val="28"/>
          <w:szCs w:val="28"/>
        </w:rPr>
        <w:t xml:space="preserve"> No</w:t>
      </w:r>
      <w:r w:rsidRPr="00C50256">
        <w:rPr>
          <w:rFonts w:ascii="Times New Roman" w:hAnsi="Times New Roman"/>
          <w:color w:val="000000"/>
          <w:sz w:val="28"/>
          <w:szCs w:val="28"/>
          <w:lang w:eastAsia="zh-CN"/>
        </w:rPr>
        <w:t xml:space="preserve">. </w:t>
      </w:r>
      <w:r w:rsidRPr="00C50256">
        <w:rPr>
          <w:rFonts w:ascii="Times New Roman" w:hAnsi="Times New Roman" w:hint="eastAsia"/>
          <w:color w:val="000000"/>
          <w:sz w:val="28"/>
          <w:szCs w:val="28"/>
          <w:lang w:eastAsia="zh-CN"/>
        </w:rPr>
        <w:t>5</w:t>
      </w:r>
      <w:r w:rsidRPr="00C50256">
        <w:rPr>
          <w:rFonts w:ascii="Times New Roman" w:hAnsi="Times New Roman"/>
          <w:color w:val="000000"/>
          <w:sz w:val="28"/>
          <w:szCs w:val="28"/>
          <w:lang w:eastAsia="zh-CN"/>
        </w:rPr>
        <w:t xml:space="preserve"> </w:t>
      </w:r>
      <w:r w:rsidRPr="00C50256">
        <w:rPr>
          <w:rFonts w:ascii="Times New Roman" w:hAnsi="Times New Roman"/>
          <w:color w:val="000000"/>
          <w:sz w:val="28"/>
          <w:szCs w:val="28"/>
        </w:rPr>
        <w:t>of 201</w:t>
      </w:r>
      <w:r w:rsidRPr="00C50256">
        <w:rPr>
          <w:rFonts w:ascii="Times New Roman" w:hAnsi="Times New Roman" w:hint="eastAsia"/>
          <w:color w:val="000000"/>
          <w:sz w:val="28"/>
          <w:szCs w:val="28"/>
          <w:lang w:eastAsia="zh-CN"/>
        </w:rPr>
        <w:t>6</w:t>
      </w:r>
    </w:p>
    <w:p w:rsidR="004814B5" w:rsidRPr="003015D9" w:rsidRDefault="004814B5" w:rsidP="004814B5">
      <w:pPr>
        <w:pStyle w:val="Normal3"/>
        <w:rPr>
          <w:lang w:eastAsia="zh-TW"/>
        </w:rPr>
      </w:pPr>
    </w:p>
    <w:p w:rsidR="004814B5" w:rsidRPr="00425E7B" w:rsidRDefault="004814B5" w:rsidP="004814B5">
      <w:pPr>
        <w:pStyle w:val="NormalMF"/>
        <w:rPr>
          <w:sz w:val="30"/>
          <w:szCs w:val="28"/>
        </w:rPr>
      </w:pPr>
      <w:r w:rsidRPr="00425E7B">
        <w:rPr>
          <w:sz w:val="30"/>
          <w:szCs w:val="28"/>
        </w:rPr>
        <w:t>IN THE COURT OF FINAL APPEAL OF THE</w:t>
      </w:r>
    </w:p>
    <w:p w:rsidR="004814B5" w:rsidRPr="00425E7B" w:rsidRDefault="004814B5" w:rsidP="004814B5">
      <w:pPr>
        <w:pStyle w:val="NormalMF"/>
        <w:rPr>
          <w:sz w:val="30"/>
          <w:szCs w:val="28"/>
        </w:rPr>
      </w:pPr>
      <w:r w:rsidRPr="00425E7B">
        <w:rPr>
          <w:sz w:val="30"/>
          <w:szCs w:val="28"/>
        </w:rPr>
        <w:t>HONG KONG SPECIAL ADMINISTRATIVE REGION</w:t>
      </w:r>
    </w:p>
    <w:p w:rsidR="004814B5" w:rsidRPr="003015D9" w:rsidRDefault="004814B5" w:rsidP="004814B5">
      <w:pPr>
        <w:pStyle w:val="NormalMF"/>
        <w:rPr>
          <w:sz w:val="28"/>
          <w:szCs w:val="28"/>
        </w:rPr>
      </w:pPr>
    </w:p>
    <w:p w:rsidR="004814B5" w:rsidRPr="003015D9" w:rsidRDefault="004814B5" w:rsidP="004814B5">
      <w:pPr>
        <w:pStyle w:val="MF"/>
        <w:rPr>
          <w:b/>
          <w:bCs/>
          <w:szCs w:val="28"/>
        </w:rPr>
      </w:pPr>
      <w:proofErr w:type="gramStart"/>
      <w:r>
        <w:rPr>
          <w:rFonts w:eastAsia="宋体" w:hint="eastAsia"/>
          <w:b/>
          <w:bCs/>
          <w:szCs w:val="28"/>
        </w:rPr>
        <w:t>Final Appeal</w:t>
      </w:r>
      <w:r w:rsidRPr="003015D9">
        <w:rPr>
          <w:b/>
          <w:bCs/>
          <w:szCs w:val="28"/>
        </w:rPr>
        <w:t xml:space="preserve"> NO.</w:t>
      </w:r>
      <w:proofErr w:type="gramEnd"/>
      <w:r w:rsidRPr="003015D9">
        <w:rPr>
          <w:b/>
          <w:bCs/>
          <w:szCs w:val="28"/>
        </w:rPr>
        <w:t xml:space="preserve"> </w:t>
      </w:r>
      <w:r>
        <w:rPr>
          <w:rFonts w:eastAsia="宋体" w:hint="eastAsia"/>
          <w:b/>
          <w:bCs/>
          <w:szCs w:val="28"/>
        </w:rPr>
        <w:t>5</w:t>
      </w:r>
      <w:r w:rsidRPr="003015D9">
        <w:rPr>
          <w:b/>
          <w:bCs/>
          <w:szCs w:val="28"/>
        </w:rPr>
        <w:t xml:space="preserve"> OF 201</w:t>
      </w:r>
      <w:r>
        <w:rPr>
          <w:rFonts w:eastAsia="宋体" w:hint="eastAsia"/>
          <w:b/>
          <w:bCs/>
          <w:szCs w:val="28"/>
        </w:rPr>
        <w:t>6</w:t>
      </w:r>
      <w:r w:rsidRPr="003015D9">
        <w:rPr>
          <w:b/>
          <w:bCs/>
          <w:szCs w:val="28"/>
        </w:rPr>
        <w:t xml:space="preserve"> (</w:t>
      </w:r>
      <w:r>
        <w:rPr>
          <w:rFonts w:eastAsia="宋体" w:hint="eastAsia"/>
          <w:b/>
          <w:bCs/>
          <w:szCs w:val="28"/>
        </w:rPr>
        <w:t>CRIMINAL</w:t>
      </w:r>
      <w:r w:rsidRPr="003015D9">
        <w:rPr>
          <w:b/>
          <w:bCs/>
          <w:szCs w:val="28"/>
        </w:rPr>
        <w:t>)</w:t>
      </w:r>
    </w:p>
    <w:p w:rsidR="004814B5" w:rsidRPr="003015D9" w:rsidRDefault="004814B5" w:rsidP="004814B5">
      <w:pPr>
        <w:pStyle w:val="MF"/>
        <w:rPr>
          <w:szCs w:val="28"/>
        </w:rPr>
      </w:pPr>
      <w:r w:rsidRPr="003015D9">
        <w:rPr>
          <w:szCs w:val="28"/>
        </w:rPr>
        <w:t>(ON APPEAL</w:t>
      </w:r>
      <w:r>
        <w:rPr>
          <w:rFonts w:eastAsia="宋体" w:hint="eastAsia"/>
          <w:szCs w:val="28"/>
        </w:rPr>
        <w:t xml:space="preserve"> </w:t>
      </w:r>
      <w:r w:rsidRPr="003015D9">
        <w:rPr>
          <w:szCs w:val="28"/>
        </w:rPr>
        <w:t xml:space="preserve">FROM </w:t>
      </w:r>
      <w:r>
        <w:rPr>
          <w:rFonts w:eastAsia="宋体" w:hint="eastAsia"/>
          <w:szCs w:val="28"/>
        </w:rPr>
        <w:t>CACC</w:t>
      </w:r>
      <w:r w:rsidRPr="003015D9">
        <w:rPr>
          <w:szCs w:val="28"/>
        </w:rPr>
        <w:t xml:space="preserve"> No. </w:t>
      </w:r>
      <w:r>
        <w:rPr>
          <w:rFonts w:eastAsia="宋体" w:hint="eastAsia"/>
          <w:szCs w:val="28"/>
        </w:rPr>
        <w:t xml:space="preserve">231 </w:t>
      </w:r>
      <w:r>
        <w:rPr>
          <w:rFonts w:hint="eastAsia"/>
          <w:szCs w:val="28"/>
          <w:lang w:eastAsia="zh-TW"/>
        </w:rPr>
        <w:t>oF 20</w:t>
      </w:r>
      <w:r>
        <w:rPr>
          <w:rFonts w:eastAsia="宋体" w:hint="eastAsia"/>
          <w:szCs w:val="28"/>
        </w:rPr>
        <w:t>14</w:t>
      </w:r>
      <w:r w:rsidRPr="003015D9">
        <w:rPr>
          <w:szCs w:val="28"/>
        </w:rPr>
        <w:t>)</w:t>
      </w:r>
    </w:p>
    <w:p w:rsidR="004814B5" w:rsidRDefault="004814B5" w:rsidP="004814B5">
      <w:pPr>
        <w:pStyle w:val="MF"/>
        <w:rPr>
          <w:szCs w:val="28"/>
          <w:lang w:eastAsia="zh-TW"/>
        </w:rPr>
      </w:pPr>
      <w:r w:rsidRPr="003015D9">
        <w:rPr>
          <w:szCs w:val="28"/>
        </w:rPr>
        <w:t>_______________________</w:t>
      </w:r>
    </w:p>
    <w:p w:rsidR="004814B5" w:rsidRDefault="004814B5" w:rsidP="004814B5">
      <w:pPr>
        <w:pStyle w:val="MF"/>
        <w:rPr>
          <w:rFonts w:eastAsia="宋体"/>
          <w:szCs w:val="28"/>
        </w:rPr>
      </w:pPr>
    </w:p>
    <w:p w:rsidR="004814B5" w:rsidRPr="00DB3A5C" w:rsidRDefault="004814B5" w:rsidP="004814B5">
      <w:pPr>
        <w:pStyle w:val="MF"/>
        <w:rPr>
          <w:rFonts w:eastAsia="宋体"/>
          <w:szCs w:val="28"/>
        </w:rPr>
      </w:pPr>
    </w:p>
    <w:p w:rsidR="004814B5" w:rsidRPr="003015D9" w:rsidRDefault="004814B5" w:rsidP="004814B5">
      <w:pPr>
        <w:pStyle w:val="Normal1"/>
        <w:rPr>
          <w:lang w:eastAsia="zh-TW"/>
        </w:rPr>
      </w:pPr>
      <w:r w:rsidRPr="003015D9">
        <w:t>B</w:t>
      </w:r>
      <w:r>
        <w:rPr>
          <w:rFonts w:eastAsia="宋体" w:hint="eastAsia"/>
        </w:rPr>
        <w:t>ETWEEN</w:t>
      </w:r>
    </w:p>
    <w:p w:rsidR="004814B5" w:rsidRPr="00224479" w:rsidRDefault="004814B5" w:rsidP="004814B5">
      <w:pPr>
        <w:pStyle w:val="Normal1"/>
        <w:rPr>
          <w:sz w:val="18"/>
          <w:szCs w:val="18"/>
        </w:rPr>
      </w:pPr>
    </w:p>
    <w:tbl>
      <w:tblPr>
        <w:tblW w:w="9180" w:type="dxa"/>
        <w:tblLayout w:type="fixed"/>
        <w:tblLook w:val="0000"/>
      </w:tblPr>
      <w:tblGrid>
        <w:gridCol w:w="6629"/>
        <w:gridCol w:w="2551"/>
      </w:tblGrid>
      <w:tr w:rsidR="004814B5" w:rsidRPr="003015D9" w:rsidTr="001A5749">
        <w:trPr>
          <w:cantSplit/>
          <w:trHeight w:val="806"/>
        </w:trPr>
        <w:tc>
          <w:tcPr>
            <w:tcW w:w="6629" w:type="dxa"/>
          </w:tcPr>
          <w:p w:rsidR="004814B5" w:rsidRPr="006C59B6" w:rsidRDefault="004814B5" w:rsidP="001A5749">
            <w:pPr>
              <w:pStyle w:val="Normal2"/>
              <w:tabs>
                <w:tab w:val="clear" w:pos="4320"/>
                <w:tab w:val="clear" w:pos="9000"/>
                <w:tab w:val="left" w:pos="0"/>
              </w:tabs>
              <w:ind w:right="32"/>
              <w:jc w:val="center"/>
              <w:textAlignment w:val="auto"/>
              <w:rPr>
                <w:rFonts w:eastAsia="宋体"/>
              </w:rPr>
            </w:pPr>
            <w:r>
              <w:rPr>
                <w:rFonts w:eastAsia="宋体" w:hint="eastAsia"/>
              </w:rPr>
              <w:t xml:space="preserve">                  HKSAR</w:t>
            </w:r>
          </w:p>
        </w:tc>
        <w:tc>
          <w:tcPr>
            <w:tcW w:w="2551" w:type="dxa"/>
          </w:tcPr>
          <w:p w:rsidR="004814B5" w:rsidRPr="00A43DA5" w:rsidRDefault="004814B5" w:rsidP="001A5749">
            <w:pPr>
              <w:jc w:val="right"/>
              <w:rPr>
                <w:rFonts w:eastAsia="宋体"/>
                <w:b/>
              </w:rPr>
            </w:pPr>
            <w:r>
              <w:rPr>
                <w:rFonts w:eastAsia="宋体" w:hint="eastAsia"/>
                <w:b/>
              </w:rPr>
              <w:t>Responde</w:t>
            </w:r>
            <w:r w:rsidRPr="00A43DA5">
              <w:rPr>
                <w:rFonts w:eastAsia="宋体" w:hint="eastAsia"/>
                <w:b/>
              </w:rPr>
              <w:t>nt</w:t>
            </w:r>
            <w:r>
              <w:rPr>
                <w:rFonts w:eastAsia="宋体" w:hint="eastAsia"/>
                <w:b/>
              </w:rPr>
              <w:t xml:space="preserve"> </w:t>
            </w:r>
          </w:p>
        </w:tc>
      </w:tr>
      <w:tr w:rsidR="004814B5" w:rsidRPr="003015D9" w:rsidTr="001A5749">
        <w:trPr>
          <w:cantSplit/>
          <w:trHeight w:val="718"/>
        </w:trPr>
        <w:tc>
          <w:tcPr>
            <w:tcW w:w="6629" w:type="dxa"/>
          </w:tcPr>
          <w:p w:rsidR="004814B5" w:rsidRPr="003015D9" w:rsidRDefault="004814B5" w:rsidP="001A5749">
            <w:pPr>
              <w:tabs>
                <w:tab w:val="left" w:pos="0"/>
              </w:tabs>
              <w:spacing w:after="240"/>
              <w:ind w:right="34"/>
              <w:jc w:val="center"/>
              <w:rPr>
                <w:b/>
                <w:sz w:val="16"/>
              </w:rPr>
            </w:pPr>
            <w:r>
              <w:rPr>
                <w:rFonts w:hint="eastAsia"/>
                <w:b/>
              </w:rPr>
              <w:t xml:space="preserve">         </w:t>
            </w:r>
            <w:r>
              <w:rPr>
                <w:rFonts w:eastAsia="宋体" w:hint="eastAsia"/>
                <w:b/>
              </w:rPr>
              <w:t xml:space="preserve">        </w:t>
            </w:r>
            <w:r w:rsidRPr="003015D9">
              <w:rPr>
                <w:b/>
              </w:rPr>
              <w:t>and</w:t>
            </w:r>
          </w:p>
        </w:tc>
        <w:tc>
          <w:tcPr>
            <w:tcW w:w="2551" w:type="dxa"/>
          </w:tcPr>
          <w:p w:rsidR="004814B5" w:rsidRPr="003015D9" w:rsidRDefault="004814B5" w:rsidP="001A5749"/>
        </w:tc>
      </w:tr>
      <w:tr w:rsidR="004814B5" w:rsidRPr="003015D9" w:rsidTr="001A5749">
        <w:trPr>
          <w:cantSplit/>
          <w:trHeight w:val="565"/>
        </w:trPr>
        <w:tc>
          <w:tcPr>
            <w:tcW w:w="6629" w:type="dxa"/>
          </w:tcPr>
          <w:p w:rsidR="004814B5" w:rsidRPr="009E579F" w:rsidRDefault="004814B5" w:rsidP="001A5749">
            <w:pPr>
              <w:pStyle w:val="BlockText"/>
              <w:tabs>
                <w:tab w:val="left" w:pos="0"/>
              </w:tabs>
              <w:spacing w:after="0"/>
              <w:ind w:left="0" w:right="32" w:firstLine="0"/>
              <w:jc w:val="center"/>
              <w:rPr>
                <w:rFonts w:eastAsia="宋体"/>
                <w:lang w:eastAsia="zh-TW"/>
              </w:rPr>
            </w:pPr>
            <w:r>
              <w:rPr>
                <w:rFonts w:eastAsia="宋体" w:hint="eastAsia"/>
              </w:rPr>
              <w:t xml:space="preserve">                   </w:t>
            </w:r>
            <w:r w:rsidRPr="009E579F">
              <w:rPr>
                <w:rFonts w:eastAsia="宋体"/>
                <w:bCs/>
                <w:caps/>
              </w:rPr>
              <w:t>CHAN KAM SHING</w:t>
            </w:r>
            <w:r w:rsidRPr="009E579F">
              <w:rPr>
                <w:bCs/>
                <w:caps/>
              </w:rPr>
              <w:t xml:space="preserve"> (</w:t>
            </w:r>
            <w:r w:rsidRPr="009E579F">
              <w:rPr>
                <w:rFonts w:eastAsia="PMingLiU"/>
                <w:lang w:eastAsia="zh-TW"/>
              </w:rPr>
              <w:t>陳錦成</w:t>
            </w:r>
            <w:r w:rsidRPr="009E579F">
              <w:rPr>
                <w:bCs/>
                <w:caps/>
              </w:rPr>
              <w:t>)</w:t>
            </w:r>
          </w:p>
        </w:tc>
        <w:tc>
          <w:tcPr>
            <w:tcW w:w="2551" w:type="dxa"/>
          </w:tcPr>
          <w:p w:rsidR="004814B5" w:rsidRPr="00A43DA5" w:rsidRDefault="004814B5" w:rsidP="001A5749">
            <w:pPr>
              <w:jc w:val="right"/>
              <w:rPr>
                <w:rFonts w:eastAsia="宋体"/>
                <w:b/>
              </w:rPr>
            </w:pPr>
            <w:r>
              <w:rPr>
                <w:rFonts w:eastAsia="宋体" w:hint="eastAsia"/>
                <w:b/>
              </w:rPr>
              <w:t>Appella</w:t>
            </w:r>
            <w:r w:rsidRPr="00A43DA5">
              <w:rPr>
                <w:rFonts w:eastAsia="宋体" w:hint="eastAsia"/>
                <w:b/>
              </w:rPr>
              <w:t>nt</w:t>
            </w:r>
          </w:p>
        </w:tc>
      </w:tr>
      <w:tr w:rsidR="004814B5" w:rsidRPr="003015D9" w:rsidTr="001A5749">
        <w:trPr>
          <w:cantSplit/>
          <w:trHeight w:val="353"/>
        </w:trPr>
        <w:tc>
          <w:tcPr>
            <w:tcW w:w="6629" w:type="dxa"/>
          </w:tcPr>
          <w:p w:rsidR="004814B5" w:rsidRPr="005361E9" w:rsidRDefault="004814B5" w:rsidP="001A5749">
            <w:pPr>
              <w:pStyle w:val="BlockText"/>
              <w:tabs>
                <w:tab w:val="left" w:pos="0"/>
              </w:tabs>
              <w:spacing w:after="0"/>
              <w:ind w:left="0" w:right="32" w:firstLine="0"/>
              <w:rPr>
                <w:rFonts w:eastAsia="宋体"/>
                <w:caps/>
                <w:sz w:val="20"/>
                <w:szCs w:val="20"/>
              </w:rPr>
            </w:pPr>
          </w:p>
        </w:tc>
        <w:tc>
          <w:tcPr>
            <w:tcW w:w="2551" w:type="dxa"/>
          </w:tcPr>
          <w:p w:rsidR="004814B5" w:rsidRPr="003015D9" w:rsidRDefault="004814B5" w:rsidP="001A5749">
            <w:pPr>
              <w:jc w:val="right"/>
              <w:rPr>
                <w:b/>
                <w:sz w:val="20"/>
                <w:szCs w:val="20"/>
                <w:lang w:eastAsia="zh-TW"/>
              </w:rPr>
            </w:pPr>
          </w:p>
        </w:tc>
      </w:tr>
    </w:tbl>
    <w:p w:rsidR="004814B5" w:rsidRDefault="004814B5" w:rsidP="004814B5">
      <w:pPr>
        <w:pStyle w:val="MF"/>
        <w:rPr>
          <w:lang w:eastAsia="zh-TW"/>
        </w:rPr>
      </w:pPr>
      <w:r w:rsidRPr="003015D9">
        <w:t>_______________________</w:t>
      </w:r>
    </w:p>
    <w:p w:rsidR="004814B5" w:rsidRDefault="004814B5" w:rsidP="004814B5">
      <w:pPr>
        <w:pStyle w:val="coram"/>
        <w:tabs>
          <w:tab w:val="clear" w:pos="2880"/>
          <w:tab w:val="left" w:pos="3261"/>
        </w:tabs>
        <w:spacing w:after="0"/>
        <w:ind w:left="3261" w:right="-327" w:hanging="3261"/>
        <w:jc w:val="both"/>
        <w:rPr>
          <w:rFonts w:eastAsia="宋体"/>
          <w:lang w:eastAsia="zh-CN"/>
        </w:rPr>
      </w:pPr>
    </w:p>
    <w:p w:rsidR="004814B5" w:rsidRDefault="004814B5" w:rsidP="004814B5">
      <w:pPr>
        <w:pStyle w:val="coram"/>
        <w:tabs>
          <w:tab w:val="clear" w:pos="2880"/>
          <w:tab w:val="left" w:pos="3261"/>
        </w:tabs>
        <w:spacing w:after="0"/>
        <w:ind w:left="3261" w:right="-327" w:hanging="3261"/>
        <w:jc w:val="both"/>
        <w:rPr>
          <w:rFonts w:eastAsia="宋体"/>
          <w:lang w:eastAsia="zh-CN"/>
        </w:rPr>
      </w:pPr>
    </w:p>
    <w:tbl>
      <w:tblPr>
        <w:tblW w:w="9108" w:type="dxa"/>
        <w:tblInd w:w="108" w:type="dxa"/>
        <w:tblLayout w:type="fixed"/>
        <w:tblLook w:val="0000"/>
      </w:tblPr>
      <w:tblGrid>
        <w:gridCol w:w="2970"/>
        <w:gridCol w:w="6138"/>
      </w:tblGrid>
      <w:tr w:rsidR="004814B5" w:rsidRPr="003850D5" w:rsidTr="001A5749">
        <w:tc>
          <w:tcPr>
            <w:tcW w:w="2970" w:type="dxa"/>
          </w:tcPr>
          <w:p w:rsidR="004814B5" w:rsidRPr="003850D5" w:rsidRDefault="004814B5" w:rsidP="004814B5">
            <w:pPr>
              <w:snapToGrid w:val="0"/>
              <w:spacing w:after="0"/>
            </w:pPr>
            <w:r w:rsidRPr="003850D5">
              <w:rPr>
                <w:bCs/>
                <w:szCs w:val="28"/>
              </w:rPr>
              <w:t>Before :</w:t>
            </w:r>
          </w:p>
        </w:tc>
        <w:tc>
          <w:tcPr>
            <w:tcW w:w="6138" w:type="dxa"/>
          </w:tcPr>
          <w:p w:rsidR="004814B5" w:rsidRPr="003850D5" w:rsidRDefault="004814B5" w:rsidP="004814B5">
            <w:pPr>
              <w:snapToGrid w:val="0"/>
              <w:spacing w:after="0"/>
              <w:jc w:val="both"/>
              <w:rPr>
                <w:bCs/>
                <w:szCs w:val="28"/>
              </w:rPr>
            </w:pPr>
            <w:r w:rsidRPr="003850D5">
              <w:rPr>
                <w:rFonts w:hint="eastAsia"/>
                <w:bCs/>
                <w:szCs w:val="28"/>
              </w:rPr>
              <w:t xml:space="preserve">Chief Justice Ma, </w:t>
            </w:r>
            <w:r w:rsidRPr="003850D5">
              <w:rPr>
                <w:bCs/>
                <w:szCs w:val="28"/>
              </w:rPr>
              <w:t xml:space="preserve">Mr Justice </w:t>
            </w:r>
            <w:proofErr w:type="spellStart"/>
            <w:r w:rsidRPr="003850D5">
              <w:rPr>
                <w:bCs/>
                <w:szCs w:val="28"/>
              </w:rPr>
              <w:t>Ribeiro</w:t>
            </w:r>
            <w:proofErr w:type="spellEnd"/>
            <w:r w:rsidRPr="003850D5">
              <w:rPr>
                <w:bCs/>
                <w:szCs w:val="28"/>
              </w:rPr>
              <w:t xml:space="preserve"> PJ, </w:t>
            </w:r>
          </w:p>
          <w:p w:rsidR="004814B5" w:rsidRPr="003850D5" w:rsidRDefault="004814B5" w:rsidP="004814B5">
            <w:pPr>
              <w:snapToGrid w:val="0"/>
              <w:spacing w:after="0"/>
              <w:rPr>
                <w:bCs/>
                <w:szCs w:val="28"/>
              </w:rPr>
            </w:pPr>
            <w:r w:rsidRPr="003850D5">
              <w:rPr>
                <w:bCs/>
                <w:szCs w:val="28"/>
              </w:rPr>
              <w:t>Mr Justice Tang PJ</w:t>
            </w:r>
            <w:r w:rsidRPr="003850D5">
              <w:rPr>
                <w:rFonts w:hint="eastAsia"/>
                <w:bCs/>
                <w:szCs w:val="28"/>
              </w:rPr>
              <w:t xml:space="preserve">, Mr </w:t>
            </w:r>
            <w:r w:rsidRPr="003850D5">
              <w:rPr>
                <w:bCs/>
                <w:szCs w:val="28"/>
              </w:rPr>
              <w:t>Justice</w:t>
            </w:r>
            <w:r w:rsidRPr="003850D5">
              <w:rPr>
                <w:rFonts w:hint="eastAsia"/>
                <w:bCs/>
                <w:szCs w:val="28"/>
              </w:rPr>
              <w:t xml:space="preserve"> </w:t>
            </w:r>
            <w:proofErr w:type="spellStart"/>
            <w:r w:rsidRPr="003850D5">
              <w:rPr>
                <w:rFonts w:hint="eastAsia"/>
                <w:bCs/>
                <w:szCs w:val="28"/>
              </w:rPr>
              <w:t>Fok</w:t>
            </w:r>
            <w:proofErr w:type="spellEnd"/>
            <w:r w:rsidRPr="003850D5">
              <w:rPr>
                <w:rFonts w:hint="eastAsia"/>
                <w:bCs/>
                <w:szCs w:val="28"/>
              </w:rPr>
              <w:t xml:space="preserve"> PJ and </w:t>
            </w:r>
          </w:p>
          <w:p w:rsidR="004814B5" w:rsidRPr="003850D5" w:rsidRDefault="004814B5" w:rsidP="004814B5">
            <w:pPr>
              <w:snapToGrid w:val="0"/>
              <w:spacing w:after="0"/>
              <w:jc w:val="both"/>
              <w:rPr>
                <w:bCs/>
                <w:szCs w:val="28"/>
              </w:rPr>
            </w:pPr>
            <w:r w:rsidRPr="008D29CF">
              <w:rPr>
                <w:rFonts w:hint="eastAsia"/>
                <w:szCs w:val="28"/>
              </w:rPr>
              <w:t xml:space="preserve">Lord </w:t>
            </w:r>
            <w:r>
              <w:rPr>
                <w:rFonts w:eastAsia="宋体" w:hint="eastAsia"/>
                <w:szCs w:val="28"/>
              </w:rPr>
              <w:t>Hoffmann</w:t>
            </w:r>
            <w:r>
              <w:rPr>
                <w:rFonts w:hint="eastAsia"/>
                <w:szCs w:val="28"/>
              </w:rPr>
              <w:t xml:space="preserve"> </w:t>
            </w:r>
            <w:r w:rsidRPr="008D29CF">
              <w:rPr>
                <w:rFonts w:hint="eastAsia"/>
                <w:szCs w:val="28"/>
              </w:rPr>
              <w:t>NPJ</w:t>
            </w:r>
          </w:p>
          <w:p w:rsidR="004814B5" w:rsidRPr="003850D5" w:rsidRDefault="004814B5" w:rsidP="004814B5">
            <w:pPr>
              <w:snapToGrid w:val="0"/>
              <w:spacing w:after="0"/>
              <w:jc w:val="both"/>
            </w:pPr>
          </w:p>
        </w:tc>
      </w:tr>
      <w:tr w:rsidR="004814B5" w:rsidRPr="003850D5" w:rsidTr="001A5749">
        <w:tc>
          <w:tcPr>
            <w:tcW w:w="2970" w:type="dxa"/>
          </w:tcPr>
          <w:p w:rsidR="004814B5" w:rsidRDefault="004814B5" w:rsidP="004814B5">
            <w:pPr>
              <w:snapToGrid w:val="0"/>
              <w:spacing w:after="0"/>
              <w:rPr>
                <w:rFonts w:eastAsia="宋体"/>
                <w:szCs w:val="28"/>
              </w:rPr>
            </w:pPr>
            <w:r w:rsidRPr="003850D5">
              <w:rPr>
                <w:szCs w:val="28"/>
              </w:rPr>
              <w:t xml:space="preserve">Date of </w:t>
            </w:r>
            <w:r w:rsidRPr="003850D5">
              <w:rPr>
                <w:rFonts w:hint="eastAsia"/>
                <w:szCs w:val="28"/>
              </w:rPr>
              <w:t>H</w:t>
            </w:r>
            <w:r w:rsidRPr="003850D5">
              <w:rPr>
                <w:szCs w:val="28"/>
              </w:rPr>
              <w:t>earing:</w:t>
            </w:r>
          </w:p>
          <w:p w:rsidR="004814B5" w:rsidRPr="00FE7CB5" w:rsidRDefault="004814B5" w:rsidP="004814B5">
            <w:pPr>
              <w:snapToGrid w:val="0"/>
              <w:spacing w:after="0"/>
              <w:rPr>
                <w:rFonts w:eastAsia="宋体"/>
              </w:rPr>
            </w:pPr>
          </w:p>
        </w:tc>
        <w:tc>
          <w:tcPr>
            <w:tcW w:w="6138" w:type="dxa"/>
          </w:tcPr>
          <w:p w:rsidR="004814B5" w:rsidRPr="003850D5" w:rsidRDefault="004814B5" w:rsidP="004814B5">
            <w:pPr>
              <w:snapToGrid w:val="0"/>
              <w:spacing w:after="0"/>
            </w:pPr>
            <w:r>
              <w:rPr>
                <w:rFonts w:eastAsia="宋体" w:hint="eastAsia"/>
              </w:rPr>
              <w:t>28 November</w:t>
            </w:r>
            <w:r w:rsidRPr="003850D5">
              <w:rPr>
                <w:rFonts w:hint="eastAsia"/>
              </w:rPr>
              <w:t xml:space="preserve"> 2016 </w:t>
            </w:r>
          </w:p>
          <w:p w:rsidR="004814B5" w:rsidRPr="003850D5" w:rsidRDefault="004814B5" w:rsidP="004814B5">
            <w:pPr>
              <w:snapToGrid w:val="0"/>
              <w:spacing w:after="0"/>
            </w:pPr>
          </w:p>
        </w:tc>
      </w:tr>
      <w:tr w:rsidR="004814B5" w:rsidRPr="003850D5" w:rsidTr="001A5749">
        <w:tc>
          <w:tcPr>
            <w:tcW w:w="2970" w:type="dxa"/>
          </w:tcPr>
          <w:p w:rsidR="004814B5" w:rsidRPr="003850D5" w:rsidRDefault="004814B5" w:rsidP="004814B5">
            <w:pPr>
              <w:snapToGrid w:val="0"/>
              <w:spacing w:after="0"/>
              <w:rPr>
                <w:color w:val="000000"/>
                <w:szCs w:val="28"/>
              </w:rPr>
            </w:pPr>
            <w:r w:rsidRPr="003850D5">
              <w:rPr>
                <w:color w:val="000000"/>
                <w:szCs w:val="28"/>
              </w:rPr>
              <w:t>Date of Judgment:</w:t>
            </w:r>
            <w:r w:rsidRPr="003850D5">
              <w:rPr>
                <w:rFonts w:hint="eastAsia"/>
                <w:color w:val="000000"/>
                <w:szCs w:val="28"/>
              </w:rPr>
              <w:tab/>
            </w:r>
          </w:p>
        </w:tc>
        <w:tc>
          <w:tcPr>
            <w:tcW w:w="6138" w:type="dxa"/>
          </w:tcPr>
          <w:p w:rsidR="004814B5" w:rsidRPr="003850D5" w:rsidRDefault="009C6506" w:rsidP="004814B5">
            <w:pPr>
              <w:tabs>
                <w:tab w:val="left" w:pos="2160"/>
                <w:tab w:val="left" w:pos="3960"/>
              </w:tabs>
              <w:spacing w:after="0"/>
              <w:rPr>
                <w:color w:val="000000"/>
                <w:szCs w:val="28"/>
              </w:rPr>
            </w:pPr>
            <w:r>
              <w:rPr>
                <w:rFonts w:eastAsia="宋体"/>
                <w:color w:val="000000"/>
              </w:rPr>
              <w:t>16 December</w:t>
            </w:r>
            <w:r w:rsidR="004814B5">
              <w:rPr>
                <w:rFonts w:eastAsia="宋体" w:hint="eastAsia"/>
                <w:color w:val="000000"/>
              </w:rPr>
              <w:t xml:space="preserve"> </w:t>
            </w:r>
            <w:r w:rsidR="004814B5" w:rsidRPr="003850D5">
              <w:rPr>
                <w:rFonts w:hint="eastAsia"/>
                <w:color w:val="000000"/>
              </w:rPr>
              <w:t>2016</w:t>
            </w:r>
          </w:p>
          <w:p w:rsidR="004814B5" w:rsidRPr="003850D5" w:rsidRDefault="004814B5" w:rsidP="004814B5">
            <w:pPr>
              <w:snapToGrid w:val="0"/>
              <w:spacing w:after="0"/>
              <w:rPr>
                <w:color w:val="000000"/>
              </w:rPr>
            </w:pPr>
          </w:p>
        </w:tc>
      </w:tr>
    </w:tbl>
    <w:p w:rsidR="004814B5" w:rsidRDefault="004814B5" w:rsidP="004814B5">
      <w:pPr>
        <w:pStyle w:val="coram"/>
        <w:tabs>
          <w:tab w:val="clear" w:pos="2880"/>
          <w:tab w:val="left" w:pos="2340"/>
          <w:tab w:val="left" w:pos="2800"/>
        </w:tabs>
        <w:spacing w:after="0"/>
        <w:ind w:left="3920" w:hanging="3920"/>
        <w:rPr>
          <w:rFonts w:eastAsia="宋体"/>
          <w:lang w:eastAsia="zh-CN"/>
        </w:rPr>
      </w:pPr>
    </w:p>
    <w:p w:rsidR="004814B5" w:rsidRPr="00B930B7" w:rsidRDefault="004814B5" w:rsidP="004814B5">
      <w:pPr>
        <w:pStyle w:val="Normal4"/>
        <w:rPr>
          <w:rFonts w:eastAsia="宋体"/>
          <w:b w:val="0"/>
          <w:bCs/>
          <w:lang w:eastAsia="zh-CN"/>
        </w:rPr>
      </w:pPr>
      <w:r w:rsidRPr="00B930B7">
        <w:rPr>
          <w:b w:val="0"/>
          <w:bCs/>
        </w:rPr>
        <w:t>_____________</w:t>
      </w:r>
      <w:r>
        <w:rPr>
          <w:rFonts w:eastAsia="宋体" w:hint="eastAsia"/>
          <w:b w:val="0"/>
          <w:bCs/>
          <w:lang w:eastAsia="zh-CN"/>
        </w:rPr>
        <w:t>__</w:t>
      </w:r>
      <w:r w:rsidRPr="00B930B7">
        <w:rPr>
          <w:b w:val="0"/>
          <w:bCs/>
        </w:rPr>
        <w:t>________</w:t>
      </w:r>
      <w:r w:rsidRPr="00B930B7">
        <w:rPr>
          <w:rFonts w:eastAsia="宋体"/>
          <w:b w:val="0"/>
          <w:bCs/>
          <w:lang w:eastAsia="zh-CN"/>
        </w:rPr>
        <w:t>____</w:t>
      </w:r>
    </w:p>
    <w:p w:rsidR="004814B5" w:rsidRPr="00B930B7" w:rsidRDefault="004814B5" w:rsidP="004814B5">
      <w:pPr>
        <w:pStyle w:val="Normal4"/>
      </w:pPr>
    </w:p>
    <w:p w:rsidR="004814B5" w:rsidRPr="00514AB6" w:rsidRDefault="004814B5" w:rsidP="004814B5">
      <w:pPr>
        <w:spacing w:after="0"/>
        <w:jc w:val="center"/>
        <w:rPr>
          <w:b/>
          <w:color w:val="000000"/>
        </w:rPr>
      </w:pPr>
      <w:r w:rsidRPr="00514AB6">
        <w:rPr>
          <w:b/>
          <w:bCs/>
          <w:spacing w:val="60"/>
        </w:rPr>
        <w:t>JUDGMENT</w:t>
      </w:r>
    </w:p>
    <w:p w:rsidR="004814B5" w:rsidRPr="00B930B7" w:rsidRDefault="004814B5" w:rsidP="004814B5">
      <w:pPr>
        <w:pStyle w:val="Bob10"/>
        <w:spacing w:after="0" w:line="240" w:lineRule="auto"/>
      </w:pPr>
      <w:r w:rsidRPr="00B930B7">
        <w:t>_____________</w:t>
      </w:r>
      <w:r>
        <w:rPr>
          <w:rFonts w:eastAsia="宋体" w:hint="eastAsia"/>
        </w:rPr>
        <w:t>__</w:t>
      </w:r>
      <w:r w:rsidRPr="00B930B7">
        <w:t>____________</w:t>
      </w:r>
    </w:p>
    <w:p w:rsidR="004814B5" w:rsidRDefault="004814B5" w:rsidP="004814B5">
      <w:pPr>
        <w:tabs>
          <w:tab w:val="left" w:pos="1418"/>
        </w:tabs>
        <w:spacing w:line="360" w:lineRule="auto"/>
        <w:jc w:val="both"/>
        <w:rPr>
          <w:szCs w:val="28"/>
        </w:rPr>
      </w:pPr>
    </w:p>
    <w:p w:rsidR="003264B6" w:rsidRPr="004814B5" w:rsidRDefault="004814B5" w:rsidP="004814B5">
      <w:pPr>
        <w:pStyle w:val="Bob1"/>
        <w:numPr>
          <w:ilvl w:val="0"/>
          <w:numId w:val="0"/>
        </w:numPr>
        <w:ind w:left="720" w:hanging="720"/>
        <w:rPr>
          <w:b/>
        </w:rPr>
      </w:pPr>
      <w:r w:rsidRPr="004814B5">
        <w:rPr>
          <w:rFonts w:hint="eastAsia"/>
          <w:b/>
        </w:rPr>
        <w:t>Chief Justice Ma:</w:t>
      </w:r>
    </w:p>
    <w:p w:rsidR="004814B5" w:rsidRDefault="00E41B99" w:rsidP="004814B5">
      <w:pPr>
        <w:pStyle w:val="Bob1"/>
        <w:tabs>
          <w:tab w:val="clear" w:pos="720"/>
          <w:tab w:val="left" w:pos="1440"/>
        </w:tabs>
        <w:ind w:left="0" w:firstLine="0"/>
      </w:pPr>
      <w:r>
        <w:t xml:space="preserve">I agree with the judgment of Mr Justice </w:t>
      </w:r>
      <w:proofErr w:type="spellStart"/>
      <w:r>
        <w:t>Ribeiro</w:t>
      </w:r>
      <w:proofErr w:type="spellEnd"/>
      <w:r>
        <w:t xml:space="preserve"> PJ.</w:t>
      </w:r>
    </w:p>
    <w:p w:rsidR="00794C32" w:rsidRPr="004814B5" w:rsidRDefault="00794C32" w:rsidP="00981EA3">
      <w:pPr>
        <w:pStyle w:val="Bob1"/>
        <w:numPr>
          <w:ilvl w:val="0"/>
          <w:numId w:val="0"/>
        </w:numPr>
        <w:ind w:hanging="11"/>
        <w:rPr>
          <w:b/>
        </w:rPr>
      </w:pPr>
      <w:r w:rsidRPr="004814B5">
        <w:rPr>
          <w:b/>
        </w:rPr>
        <w:lastRenderedPageBreak/>
        <w:t xml:space="preserve">Mr Justice </w:t>
      </w:r>
      <w:proofErr w:type="spellStart"/>
      <w:r w:rsidRPr="004814B5">
        <w:rPr>
          <w:b/>
        </w:rPr>
        <w:t>Ribeiro</w:t>
      </w:r>
      <w:proofErr w:type="spellEnd"/>
      <w:r w:rsidRPr="004814B5">
        <w:rPr>
          <w:b/>
        </w:rPr>
        <w:t xml:space="preserve"> PJ:</w:t>
      </w:r>
    </w:p>
    <w:p w:rsidR="00981EA3" w:rsidRPr="00794C32" w:rsidRDefault="00941C0C" w:rsidP="004814B5">
      <w:pPr>
        <w:pStyle w:val="Bob1"/>
        <w:tabs>
          <w:tab w:val="clear" w:pos="720"/>
          <w:tab w:val="left" w:pos="1440"/>
        </w:tabs>
        <w:ind w:left="0" w:firstLine="0"/>
        <w:jc w:val="both"/>
      </w:pPr>
      <w:r>
        <w:t>T</w:t>
      </w:r>
      <w:r w:rsidR="00981EA3">
        <w:t xml:space="preserve">he doctrine of joint enterprise </w:t>
      </w:r>
      <w:r w:rsidR="00A60AB4">
        <w:t xml:space="preserve">in criminal law </w:t>
      </w:r>
      <w:r w:rsidR="009704AB">
        <w:t xml:space="preserve">as </w:t>
      </w:r>
      <w:r w:rsidR="00981EA3">
        <w:t>applied in</w:t>
      </w:r>
      <w:r w:rsidR="00A60AB4">
        <w:t xml:space="preserve"> Hong Kong</w:t>
      </w:r>
      <w:r w:rsidR="00981EA3">
        <w:t xml:space="preserve"> </w:t>
      </w:r>
      <w:r w:rsidR="009704AB">
        <w:t xml:space="preserve">has been </w:t>
      </w:r>
      <w:r w:rsidR="00981EA3">
        <w:t xml:space="preserve">based </w:t>
      </w:r>
      <w:r w:rsidR="009704AB">
        <w:t xml:space="preserve">for many years </w:t>
      </w:r>
      <w:r w:rsidR="00981EA3">
        <w:t xml:space="preserve">on the Privy Council’s decision in </w:t>
      </w:r>
      <w:r w:rsidR="00981EA3">
        <w:rPr>
          <w:i/>
        </w:rPr>
        <w:t xml:space="preserve">Chan Wing </w:t>
      </w:r>
      <w:proofErr w:type="spellStart"/>
      <w:r w:rsidR="00981EA3">
        <w:rPr>
          <w:i/>
        </w:rPr>
        <w:t>Siu</w:t>
      </w:r>
      <w:proofErr w:type="spellEnd"/>
      <w:r w:rsidR="00981EA3">
        <w:rPr>
          <w:i/>
        </w:rPr>
        <w:t xml:space="preserve"> v R</w:t>
      </w:r>
      <w:r w:rsidR="00981EA3">
        <w:t>,</w:t>
      </w:r>
      <w:r w:rsidR="00981EA3">
        <w:rPr>
          <w:rStyle w:val="FootnoteReference"/>
        </w:rPr>
        <w:footnoteReference w:id="1"/>
      </w:r>
      <w:r w:rsidR="00981EA3">
        <w:t xml:space="preserve"> </w:t>
      </w:r>
      <w:r>
        <w:t>endorsed by this</w:t>
      </w:r>
      <w:r w:rsidR="00981EA3">
        <w:t xml:space="preserve"> Court in </w:t>
      </w:r>
      <w:proofErr w:type="spellStart"/>
      <w:r w:rsidR="00981EA3">
        <w:rPr>
          <w:i/>
        </w:rPr>
        <w:t>Sze</w:t>
      </w:r>
      <w:proofErr w:type="spellEnd"/>
      <w:r w:rsidR="00981EA3">
        <w:rPr>
          <w:i/>
        </w:rPr>
        <w:t xml:space="preserve"> Kwan Lung v HKSAR</w:t>
      </w:r>
      <w:r w:rsidR="00981EA3">
        <w:t>.</w:t>
      </w:r>
      <w:r w:rsidR="00981EA3">
        <w:rPr>
          <w:rStyle w:val="FootnoteReference"/>
        </w:rPr>
        <w:footnoteReference w:id="2"/>
      </w:r>
      <w:r w:rsidR="00981EA3">
        <w:t xml:space="preserve">  </w:t>
      </w:r>
      <w:r w:rsidR="00A60AB4">
        <w:t xml:space="preserve">The </w:t>
      </w:r>
      <w:r w:rsidR="009704AB">
        <w:t xml:space="preserve">question in the </w:t>
      </w:r>
      <w:r>
        <w:t>present</w:t>
      </w:r>
      <w:r w:rsidR="00981EA3">
        <w:t xml:space="preserve"> appeal</w:t>
      </w:r>
      <w:r w:rsidR="00A60AB4">
        <w:t xml:space="preserve"> </w:t>
      </w:r>
      <w:r w:rsidR="009704AB">
        <w:t xml:space="preserve">is </w:t>
      </w:r>
      <w:r w:rsidR="00981EA3">
        <w:t>whethe</w:t>
      </w:r>
      <w:r w:rsidR="00EB4C28">
        <w:t>r that</w:t>
      </w:r>
      <w:r w:rsidR="00981EA3">
        <w:t xml:space="preserve"> doctrine should continue to be applied in the light of the decision of the United Kingdom Supreme Court in </w:t>
      </w:r>
      <w:r w:rsidR="00981EA3">
        <w:rPr>
          <w:i/>
        </w:rPr>
        <w:t xml:space="preserve">R v </w:t>
      </w:r>
      <w:proofErr w:type="spellStart"/>
      <w:r w:rsidR="00981EA3">
        <w:rPr>
          <w:i/>
        </w:rPr>
        <w:t>Jogee</w:t>
      </w:r>
      <w:proofErr w:type="spellEnd"/>
      <w:r w:rsidR="00981EA3">
        <w:rPr>
          <w:i/>
        </w:rPr>
        <w:t xml:space="preserve"> and R v Ruddock</w:t>
      </w:r>
      <w:r w:rsidR="00981EA3">
        <w:rPr>
          <w:rStyle w:val="FootnoteReference"/>
        </w:rPr>
        <w:footnoteReference w:id="3"/>
      </w:r>
      <w:r w:rsidR="00EE064D">
        <w:t xml:space="preserve"> </w:t>
      </w:r>
      <w:r w:rsidR="00794C32">
        <w:t xml:space="preserve">disapproving </w:t>
      </w:r>
      <w:r w:rsidR="00794C32">
        <w:rPr>
          <w:i/>
        </w:rPr>
        <w:t xml:space="preserve">Chan Wing </w:t>
      </w:r>
      <w:proofErr w:type="spellStart"/>
      <w:r w:rsidR="00794C32">
        <w:rPr>
          <w:i/>
        </w:rPr>
        <w:t>Siu</w:t>
      </w:r>
      <w:proofErr w:type="spellEnd"/>
      <w:r w:rsidR="00794C32">
        <w:rPr>
          <w:i/>
        </w:rPr>
        <w:t xml:space="preserve"> </w:t>
      </w:r>
      <w:r w:rsidR="00EE064D">
        <w:t xml:space="preserve">and, one might add, in the light of the contrary decision of the Australian High Court in </w:t>
      </w:r>
      <w:r w:rsidR="00794C32" w:rsidRPr="00794C32">
        <w:rPr>
          <w:i/>
        </w:rPr>
        <w:t>Miller v The Queen</w:t>
      </w:r>
      <w:r w:rsidR="00794C32">
        <w:t>.</w:t>
      </w:r>
      <w:r w:rsidR="00794C32">
        <w:rPr>
          <w:rStyle w:val="FootnoteReference"/>
        </w:rPr>
        <w:footnoteReference w:id="4"/>
      </w:r>
      <w:r w:rsidR="00794C32">
        <w:t xml:space="preserve"> </w:t>
      </w:r>
    </w:p>
    <w:p w:rsidR="00EB4C28" w:rsidRPr="004814B5" w:rsidRDefault="003D2C64" w:rsidP="004814B5">
      <w:pPr>
        <w:pStyle w:val="docmapheading"/>
      </w:pPr>
      <w:r w:rsidRPr="004814B5">
        <w:t>A.</w:t>
      </w:r>
      <w:r w:rsidRPr="004814B5">
        <w:tab/>
      </w:r>
      <w:r w:rsidR="00EB4C28" w:rsidRPr="004814B5">
        <w:t xml:space="preserve">The appellant’s conviction </w:t>
      </w:r>
    </w:p>
    <w:p w:rsidR="00121199" w:rsidRDefault="004B0CB2" w:rsidP="004814B5">
      <w:pPr>
        <w:pStyle w:val="Bob1"/>
        <w:tabs>
          <w:tab w:val="clear" w:pos="720"/>
          <w:tab w:val="left" w:pos="1440"/>
        </w:tabs>
        <w:ind w:left="0" w:firstLine="0"/>
        <w:jc w:val="both"/>
      </w:pPr>
      <w:r>
        <w:t>A</w:t>
      </w:r>
      <w:r w:rsidR="00981EA3">
        <w:t xml:space="preserve">fter trial before M </w:t>
      </w:r>
      <w:proofErr w:type="spellStart"/>
      <w:r w:rsidR="00981EA3">
        <w:t>Poon</w:t>
      </w:r>
      <w:proofErr w:type="spellEnd"/>
      <w:r w:rsidR="00981EA3">
        <w:t xml:space="preserve"> J and a jury, the appellant was convicted of the murder of Kwok </w:t>
      </w:r>
      <w:proofErr w:type="spellStart"/>
      <w:r w:rsidR="00981EA3">
        <w:t>Hin</w:t>
      </w:r>
      <w:proofErr w:type="spellEnd"/>
      <w:r w:rsidR="00981EA3">
        <w:t xml:space="preserve"> </w:t>
      </w:r>
      <w:proofErr w:type="spellStart"/>
      <w:r w:rsidR="00981EA3">
        <w:t>Ching</w:t>
      </w:r>
      <w:proofErr w:type="spellEnd"/>
      <w:r w:rsidR="00941C0C">
        <w:t>.</w:t>
      </w:r>
      <w:r w:rsidR="00941C0C">
        <w:rPr>
          <w:rStyle w:val="FootnoteReference"/>
        </w:rPr>
        <w:footnoteReference w:id="5"/>
      </w:r>
      <w:r w:rsidR="00981EA3">
        <w:t xml:space="preserve">  </w:t>
      </w:r>
      <w:r w:rsidR="00941C0C">
        <w:t>The appellant</w:t>
      </w:r>
      <w:r w:rsidR="00121199">
        <w:t xml:space="preserve">, who was a member of the Sun Yee On triad society in </w:t>
      </w:r>
      <w:proofErr w:type="spellStart"/>
      <w:r w:rsidR="00121199">
        <w:t>Tuen</w:t>
      </w:r>
      <w:proofErr w:type="spellEnd"/>
      <w:r w:rsidR="00121199">
        <w:t xml:space="preserve"> </w:t>
      </w:r>
      <w:proofErr w:type="spellStart"/>
      <w:r w:rsidR="00121199">
        <w:t>Mun</w:t>
      </w:r>
      <w:proofErr w:type="spellEnd"/>
      <w:r w:rsidR="00121199">
        <w:t>, received an order from his triad boss</w:t>
      </w:r>
      <w:r w:rsidR="00F77444">
        <w:t>, along with fellow gang members,</w:t>
      </w:r>
      <w:r w:rsidR="00121199">
        <w:t xml:space="preserve"> to “chop” members of a rival faction.  The appellant and other members of the gang therefore armed themselves with knives, water-pipes and torches and went in two cars </w:t>
      </w:r>
      <w:r w:rsidR="002635F6">
        <w:t xml:space="preserve">in </w:t>
      </w:r>
      <w:r w:rsidR="00121199">
        <w:t>search</w:t>
      </w:r>
      <w:r w:rsidR="002635F6">
        <w:t xml:space="preserve"> of</w:t>
      </w:r>
      <w:r w:rsidR="00121199">
        <w:t xml:space="preserve"> their rivals.  When </w:t>
      </w:r>
      <w:r w:rsidR="00982012">
        <w:t>those in the appellant’s car</w:t>
      </w:r>
      <w:r w:rsidR="00121199">
        <w:t xml:space="preserve"> </w:t>
      </w:r>
      <w:r w:rsidR="00842829">
        <w:t>heard</w:t>
      </w:r>
      <w:r w:rsidR="00121199">
        <w:t xml:space="preserve"> that </w:t>
      </w:r>
      <w:r w:rsidR="00842829">
        <w:t>the others</w:t>
      </w:r>
      <w:r w:rsidR="00121199">
        <w:t xml:space="preserve"> had found the intended victims and had set about attacking them, the</w:t>
      </w:r>
      <w:r w:rsidR="00982012">
        <w:t>y</w:t>
      </w:r>
      <w:r w:rsidR="00121199">
        <w:t xml:space="preserve"> immediately drove to the scene to help.</w:t>
      </w:r>
    </w:p>
    <w:p w:rsidR="00981EA3" w:rsidRPr="004814B5" w:rsidRDefault="00121199" w:rsidP="004814B5">
      <w:pPr>
        <w:pStyle w:val="Bob1"/>
        <w:tabs>
          <w:tab w:val="clear" w:pos="720"/>
          <w:tab w:val="left" w:pos="1440"/>
        </w:tabs>
        <w:ind w:left="0" w:firstLine="0"/>
        <w:jc w:val="both"/>
      </w:pPr>
      <w:r>
        <w:t>The deceased, a member of the rival faction, was attacked by four or five persons with knives.  Whilst</w:t>
      </w:r>
      <w:r w:rsidR="00F77444">
        <w:t xml:space="preserve">, </w:t>
      </w:r>
      <w:r w:rsidR="00C16B73">
        <w:t xml:space="preserve">having been </w:t>
      </w:r>
      <w:r w:rsidR="00F77444">
        <w:t>injured,</w:t>
      </w:r>
      <w:r>
        <w:t xml:space="preserve"> he was being helped</w:t>
      </w:r>
      <w:r w:rsidR="00D92A26">
        <w:t xml:space="preserve"> </w:t>
      </w:r>
      <w:r w:rsidR="00D92A26">
        <w:lastRenderedPageBreak/>
        <w:t>to walk</w:t>
      </w:r>
      <w:r>
        <w:t xml:space="preserve"> away by two </w:t>
      </w:r>
      <w:proofErr w:type="gramStart"/>
      <w:r>
        <w:t>others</w:t>
      </w:r>
      <w:r w:rsidR="00241B2B">
        <w:t>,</w:t>
      </w:r>
      <w:proofErr w:type="gramEnd"/>
      <w:r w:rsidR="00241B2B">
        <w:t xml:space="preserve"> a seven-</w:t>
      </w:r>
      <w:proofErr w:type="spellStart"/>
      <w:r w:rsidR="00241B2B">
        <w:t>seater</w:t>
      </w:r>
      <w:proofErr w:type="spellEnd"/>
      <w:r w:rsidR="00241B2B">
        <w:t xml:space="preserve"> vehicle ran him down and, </w:t>
      </w:r>
      <w:r w:rsidR="00842829">
        <w:t>when</w:t>
      </w:r>
      <w:r w:rsidR="00241B2B">
        <w:t xml:space="preserve"> he was </w:t>
      </w:r>
      <w:r w:rsidR="002635F6">
        <w:t xml:space="preserve">lying </w:t>
      </w:r>
      <w:r w:rsidR="00241B2B">
        <w:t xml:space="preserve">on the ground, deliberately </w:t>
      </w:r>
      <w:r w:rsidR="00F77444">
        <w:t xml:space="preserve">ran </w:t>
      </w:r>
      <w:r w:rsidR="00241B2B">
        <w:t xml:space="preserve">over </w:t>
      </w:r>
      <w:r w:rsidR="00F77444">
        <w:t xml:space="preserve">him </w:t>
      </w:r>
      <w:r w:rsidR="00241B2B">
        <w:t xml:space="preserve">again.  The autopsy revealed that </w:t>
      </w:r>
      <w:r w:rsidR="00842829">
        <w:t xml:space="preserve">he </w:t>
      </w:r>
      <w:r w:rsidR="00241B2B" w:rsidRPr="004814B5">
        <w:rPr>
          <w:szCs w:val="28"/>
        </w:rPr>
        <w:t>died from multiple blunt force injuries and cut and stab wounds.</w:t>
      </w:r>
      <w:r w:rsidR="00375210">
        <w:rPr>
          <w:rStyle w:val="FootnoteReference"/>
          <w:szCs w:val="28"/>
        </w:rPr>
        <w:footnoteReference w:id="6"/>
      </w:r>
      <w:r w:rsidR="00241B2B" w:rsidRPr="004814B5">
        <w:rPr>
          <w:szCs w:val="28"/>
        </w:rPr>
        <w:t xml:space="preserve">  </w:t>
      </w:r>
    </w:p>
    <w:p w:rsidR="004B0CB2" w:rsidRPr="004814B5" w:rsidRDefault="00241B2B" w:rsidP="004814B5">
      <w:pPr>
        <w:pStyle w:val="Bob1"/>
        <w:tabs>
          <w:tab w:val="clear" w:pos="720"/>
          <w:tab w:val="left" w:pos="1440"/>
        </w:tabs>
        <w:ind w:left="0" w:firstLine="0"/>
        <w:jc w:val="both"/>
      </w:pPr>
      <w:r w:rsidRPr="004814B5">
        <w:rPr>
          <w:szCs w:val="28"/>
        </w:rPr>
        <w:t>When the appellant</w:t>
      </w:r>
      <w:r w:rsidR="00AC382C" w:rsidRPr="004814B5">
        <w:rPr>
          <w:szCs w:val="28"/>
        </w:rPr>
        <w:t xml:space="preserve"> </w:t>
      </w:r>
      <w:r w:rsidRPr="004814B5">
        <w:rPr>
          <w:szCs w:val="28"/>
        </w:rPr>
        <w:t xml:space="preserve">arrived at the scene, the deceased </w:t>
      </w:r>
      <w:r w:rsidR="00C84F17" w:rsidRPr="004814B5">
        <w:rPr>
          <w:szCs w:val="28"/>
        </w:rPr>
        <w:t xml:space="preserve">was </w:t>
      </w:r>
      <w:r w:rsidRPr="004814B5">
        <w:rPr>
          <w:szCs w:val="28"/>
        </w:rPr>
        <w:t>lying on the ground</w:t>
      </w:r>
      <w:r w:rsidR="00225FB0" w:rsidRPr="004814B5">
        <w:rPr>
          <w:szCs w:val="28"/>
        </w:rPr>
        <w:t xml:space="preserve"> after the attack</w:t>
      </w:r>
      <w:r w:rsidR="002635F6" w:rsidRPr="004814B5">
        <w:rPr>
          <w:szCs w:val="28"/>
        </w:rPr>
        <w:t>.</w:t>
      </w:r>
      <w:r w:rsidRPr="004814B5">
        <w:rPr>
          <w:szCs w:val="28"/>
        </w:rPr>
        <w:t xml:space="preserve"> </w:t>
      </w:r>
      <w:r w:rsidR="002635F6" w:rsidRPr="004814B5">
        <w:rPr>
          <w:szCs w:val="28"/>
        </w:rPr>
        <w:t xml:space="preserve"> </w:t>
      </w:r>
      <w:r w:rsidR="000A1732" w:rsidRPr="004814B5">
        <w:rPr>
          <w:szCs w:val="28"/>
        </w:rPr>
        <w:t xml:space="preserve">He and his party </w:t>
      </w:r>
      <w:r w:rsidR="00225FB0" w:rsidRPr="004814B5">
        <w:rPr>
          <w:szCs w:val="28"/>
        </w:rPr>
        <w:t>helped th</w:t>
      </w:r>
      <w:r w:rsidR="002635F6" w:rsidRPr="004814B5">
        <w:rPr>
          <w:szCs w:val="28"/>
        </w:rPr>
        <w:t>e</w:t>
      </w:r>
      <w:r w:rsidR="00225FB0" w:rsidRPr="004814B5">
        <w:rPr>
          <w:szCs w:val="28"/>
        </w:rPr>
        <w:t>ir</w:t>
      </w:r>
      <w:r w:rsidRPr="004814B5">
        <w:rPr>
          <w:szCs w:val="28"/>
        </w:rPr>
        <w:t xml:space="preserve"> </w:t>
      </w:r>
      <w:r w:rsidR="004B0CB2" w:rsidRPr="004814B5">
        <w:rPr>
          <w:szCs w:val="28"/>
        </w:rPr>
        <w:t xml:space="preserve">fellow </w:t>
      </w:r>
      <w:r w:rsidR="002635F6" w:rsidRPr="004814B5">
        <w:rPr>
          <w:szCs w:val="28"/>
        </w:rPr>
        <w:t xml:space="preserve">gang members </w:t>
      </w:r>
      <w:r w:rsidR="00225FB0" w:rsidRPr="004814B5">
        <w:rPr>
          <w:szCs w:val="28"/>
        </w:rPr>
        <w:t xml:space="preserve">who were facing </w:t>
      </w:r>
      <w:r w:rsidRPr="004814B5">
        <w:rPr>
          <w:szCs w:val="28"/>
        </w:rPr>
        <w:t>a</w:t>
      </w:r>
      <w:r w:rsidR="005C1EA1" w:rsidRPr="004814B5">
        <w:rPr>
          <w:szCs w:val="28"/>
        </w:rPr>
        <w:t xml:space="preserve"> furious</w:t>
      </w:r>
      <w:r w:rsidRPr="004814B5">
        <w:rPr>
          <w:szCs w:val="28"/>
        </w:rPr>
        <w:t xml:space="preserve"> co</w:t>
      </w:r>
      <w:r w:rsidR="002635F6" w:rsidRPr="004814B5">
        <w:rPr>
          <w:szCs w:val="28"/>
        </w:rPr>
        <w:t>unter-</w:t>
      </w:r>
      <w:r w:rsidRPr="004814B5">
        <w:rPr>
          <w:szCs w:val="28"/>
        </w:rPr>
        <w:t>attack by the rival faction</w:t>
      </w:r>
      <w:r w:rsidR="00225FB0" w:rsidRPr="004814B5">
        <w:rPr>
          <w:szCs w:val="28"/>
        </w:rPr>
        <w:t xml:space="preserve"> to leave the scene</w:t>
      </w:r>
      <w:r w:rsidRPr="004814B5">
        <w:rPr>
          <w:szCs w:val="28"/>
        </w:rPr>
        <w:t xml:space="preserve">.  </w:t>
      </w:r>
    </w:p>
    <w:p w:rsidR="004B0CB2" w:rsidRPr="004814B5" w:rsidRDefault="00241B2B" w:rsidP="004814B5">
      <w:pPr>
        <w:pStyle w:val="Bob1"/>
        <w:tabs>
          <w:tab w:val="clear" w:pos="720"/>
          <w:tab w:val="left" w:pos="1440"/>
        </w:tabs>
        <w:ind w:left="0" w:firstLine="0"/>
        <w:jc w:val="both"/>
      </w:pPr>
      <w:r w:rsidRPr="004814B5">
        <w:rPr>
          <w:szCs w:val="28"/>
        </w:rPr>
        <w:t>There was no evidence that the appellant had been present during the attack on the deceased or that he had himself done any act causing injury or death to the deceased.</w:t>
      </w:r>
      <w:r w:rsidR="004B0CB2" w:rsidRPr="004814B5">
        <w:rPr>
          <w:szCs w:val="28"/>
        </w:rPr>
        <w:t xml:space="preserve">  His </w:t>
      </w:r>
      <w:r w:rsidR="003A00CA" w:rsidRPr="004814B5">
        <w:rPr>
          <w:szCs w:val="28"/>
        </w:rPr>
        <w:t xml:space="preserve">murder </w:t>
      </w:r>
      <w:r w:rsidR="004B0CB2" w:rsidRPr="004814B5">
        <w:rPr>
          <w:szCs w:val="28"/>
        </w:rPr>
        <w:t xml:space="preserve">conviction, upheld by the Court of Appeal, was based </w:t>
      </w:r>
      <w:r w:rsidR="008D55DA" w:rsidRPr="004814B5">
        <w:rPr>
          <w:szCs w:val="28"/>
        </w:rPr>
        <w:t xml:space="preserve">on his </w:t>
      </w:r>
      <w:r w:rsidR="00CD14DA" w:rsidRPr="004814B5">
        <w:rPr>
          <w:szCs w:val="28"/>
        </w:rPr>
        <w:t xml:space="preserve">active </w:t>
      </w:r>
      <w:r w:rsidR="008D55DA" w:rsidRPr="004814B5">
        <w:rPr>
          <w:szCs w:val="28"/>
        </w:rPr>
        <w:t xml:space="preserve">participation in a joint criminal enterprise, “namely </w:t>
      </w:r>
      <w:r w:rsidR="00CD14DA" w:rsidRPr="004814B5">
        <w:rPr>
          <w:bCs/>
          <w:szCs w:val="28"/>
        </w:rPr>
        <w:t>an agreement with others to chop the followers of [the rival faction] with knives with the intent to cause such persons grievous bodily harm”.</w:t>
      </w:r>
      <w:r w:rsidR="00CD14DA">
        <w:rPr>
          <w:rStyle w:val="FootnoteReference"/>
          <w:bCs/>
          <w:szCs w:val="28"/>
        </w:rPr>
        <w:footnoteReference w:id="7"/>
      </w:r>
      <w:r w:rsidR="00FE04DB" w:rsidRPr="004814B5">
        <w:rPr>
          <w:bCs/>
          <w:szCs w:val="28"/>
        </w:rPr>
        <w:t xml:space="preserve">  The Court also held that the appellant’s conduct in giving effect to the joint enterprise constituted encouragement to the others in the gang.</w:t>
      </w:r>
      <w:r w:rsidR="00FE04DB">
        <w:rPr>
          <w:rStyle w:val="FootnoteReference"/>
          <w:bCs/>
          <w:szCs w:val="28"/>
        </w:rPr>
        <w:footnoteReference w:id="8"/>
      </w:r>
    </w:p>
    <w:p w:rsidR="003D2C64" w:rsidRDefault="00A66BF2" w:rsidP="004814B5">
      <w:pPr>
        <w:pStyle w:val="Bob1"/>
        <w:tabs>
          <w:tab w:val="clear" w:pos="720"/>
          <w:tab w:val="left" w:pos="1440"/>
        </w:tabs>
        <w:ind w:left="0" w:firstLine="0"/>
        <w:jc w:val="both"/>
      </w:pPr>
      <w:r>
        <w:t xml:space="preserve">By their decision in </w:t>
      </w:r>
      <w:proofErr w:type="spellStart"/>
      <w:r w:rsidRPr="004814B5">
        <w:rPr>
          <w:i/>
        </w:rPr>
        <w:t>Jogee</w:t>
      </w:r>
      <w:proofErr w:type="spellEnd"/>
      <w:r>
        <w:t xml:space="preserve">, the UK Supreme Court </w:t>
      </w:r>
      <w:r w:rsidR="000E0D89">
        <w:t>held that</w:t>
      </w:r>
      <w:r>
        <w:t xml:space="preserve"> the Privy Council in </w:t>
      </w:r>
      <w:r w:rsidRPr="004814B5">
        <w:rPr>
          <w:i/>
        </w:rPr>
        <w:t xml:space="preserve">Chan Wing </w:t>
      </w:r>
      <w:proofErr w:type="spellStart"/>
      <w:r w:rsidRPr="004814B5">
        <w:rPr>
          <w:i/>
        </w:rPr>
        <w:t>Siu</w:t>
      </w:r>
      <w:proofErr w:type="spellEnd"/>
      <w:r w:rsidRPr="004814B5">
        <w:rPr>
          <w:i/>
        </w:rPr>
        <w:t xml:space="preserve"> </w:t>
      </w:r>
      <w:r w:rsidR="000E0D89">
        <w:t xml:space="preserve">had </w:t>
      </w:r>
      <w:r>
        <w:t>“taken a wrong turn”</w:t>
      </w:r>
      <w:r w:rsidR="00FB3816">
        <w:t>.</w:t>
      </w:r>
      <w:r>
        <w:t xml:space="preserve"> </w:t>
      </w:r>
      <w:r w:rsidR="00FB3816">
        <w:t xml:space="preserve"> It </w:t>
      </w:r>
      <w:r w:rsidR="000E0D89">
        <w:t>decided</w:t>
      </w:r>
      <w:r>
        <w:t xml:space="preserve"> that the doctrine </w:t>
      </w:r>
      <w:r w:rsidR="00794C32">
        <w:t>of</w:t>
      </w:r>
      <w:r>
        <w:t xml:space="preserve"> joint criminal enterprise</w:t>
      </w:r>
      <w:r w:rsidR="00794C32">
        <w:t xml:space="preserve">, especially </w:t>
      </w:r>
      <w:r w:rsidR="003B16F0">
        <w:t xml:space="preserve">that aspect of it </w:t>
      </w:r>
      <w:r w:rsidR="00794C32">
        <w:t>referred to</w:t>
      </w:r>
      <w:r w:rsidR="003704CD">
        <w:t xml:space="preserve"> as</w:t>
      </w:r>
      <w:r w:rsidR="00794C32">
        <w:t xml:space="preserve"> “parasitic accessory liability”,</w:t>
      </w:r>
      <w:r>
        <w:t xml:space="preserve"> should be abolished and </w:t>
      </w:r>
      <w:r w:rsidR="003704CD">
        <w:t xml:space="preserve">replaced by traditional </w:t>
      </w:r>
      <w:r>
        <w:t xml:space="preserve">accessorial liability </w:t>
      </w:r>
      <w:r w:rsidR="00794C32">
        <w:t>principles</w:t>
      </w:r>
      <w:r w:rsidR="00FB3880">
        <w:t>,</w:t>
      </w:r>
      <w:r w:rsidR="00794C32">
        <w:t xml:space="preserve"> assign</w:t>
      </w:r>
      <w:r w:rsidR="003704CD">
        <w:t>ing</w:t>
      </w:r>
      <w:r w:rsidR="00794C32">
        <w:t xml:space="preserve"> culpability </w:t>
      </w:r>
      <w:r>
        <w:t xml:space="preserve">on </w:t>
      </w:r>
      <w:r w:rsidR="00794C32">
        <w:t xml:space="preserve">the basis of the </w:t>
      </w:r>
      <w:r w:rsidR="003704CD">
        <w:t xml:space="preserve">secondary party’s </w:t>
      </w:r>
      <w:r>
        <w:t>intention to aid, abet, counsel or procure a</w:t>
      </w:r>
      <w:r w:rsidR="003704CD">
        <w:t xml:space="preserve"> principal offence</w:t>
      </w:r>
      <w:r>
        <w:t>.</w:t>
      </w:r>
      <w:r w:rsidRPr="004814B5">
        <w:rPr>
          <w:i/>
        </w:rPr>
        <w:t xml:space="preserve"> </w:t>
      </w:r>
      <w:r>
        <w:t xml:space="preserve"> It is therefore necessary</w:t>
      </w:r>
      <w:r w:rsidR="00392678">
        <w:t xml:space="preserve"> to </w:t>
      </w:r>
      <w:r w:rsidR="00FB3816">
        <w:t>examine</w:t>
      </w:r>
      <w:r w:rsidR="00392678">
        <w:t xml:space="preserve"> </w:t>
      </w:r>
      <w:r w:rsidR="00FB3816">
        <w:t xml:space="preserve">the </w:t>
      </w:r>
      <w:proofErr w:type="spellStart"/>
      <w:r w:rsidR="00392678" w:rsidRPr="004814B5">
        <w:rPr>
          <w:i/>
        </w:rPr>
        <w:t>Jogee</w:t>
      </w:r>
      <w:proofErr w:type="spellEnd"/>
      <w:r w:rsidR="00392678" w:rsidRPr="004814B5">
        <w:rPr>
          <w:i/>
        </w:rPr>
        <w:t xml:space="preserve"> </w:t>
      </w:r>
      <w:r w:rsidR="00FB3816">
        <w:t xml:space="preserve">decision </w:t>
      </w:r>
      <w:r w:rsidR="00392678">
        <w:t>against the background of existing accessorial liability principles and the doctrine of joint criminal enterprise.</w:t>
      </w:r>
    </w:p>
    <w:p w:rsidR="00392678" w:rsidRDefault="002C59D4" w:rsidP="004814B5">
      <w:pPr>
        <w:pStyle w:val="docmapheading"/>
      </w:pPr>
      <w:r>
        <w:lastRenderedPageBreak/>
        <w:t>B.</w:t>
      </w:r>
      <w:r>
        <w:tab/>
        <w:t>Accessorial liability</w:t>
      </w:r>
      <w:r w:rsidR="002B0C02">
        <w:t xml:space="preserve"> principles</w:t>
      </w:r>
      <w:r>
        <w:t xml:space="preserve"> </w:t>
      </w:r>
    </w:p>
    <w:p w:rsidR="002C59D4" w:rsidRDefault="00F95321" w:rsidP="004814B5">
      <w:pPr>
        <w:pStyle w:val="Bob1"/>
        <w:tabs>
          <w:tab w:val="clear" w:pos="720"/>
          <w:tab w:val="left" w:pos="1440"/>
        </w:tabs>
        <w:ind w:left="0" w:firstLine="0"/>
        <w:jc w:val="both"/>
      </w:pPr>
      <w:r>
        <w:t>A</w:t>
      </w:r>
      <w:r w:rsidR="002C59D4">
        <w:t xml:space="preserve">t common law, </w:t>
      </w:r>
      <w:r w:rsidR="00392DC0">
        <w:t xml:space="preserve">a person is held to be </w:t>
      </w:r>
      <w:r w:rsidR="00E57247">
        <w:t>an accessory to</w:t>
      </w:r>
      <w:r w:rsidR="00392DC0">
        <w:t xml:space="preserve"> </w:t>
      </w:r>
      <w:r w:rsidR="00E57247">
        <w:t>a</w:t>
      </w:r>
      <w:r w:rsidR="00A463A7">
        <w:t xml:space="preserve"> crime </w:t>
      </w:r>
      <w:r w:rsidR="00392DC0">
        <w:t>if he or she aids, abets, counsels or procures the commission of an offence by another.</w:t>
      </w:r>
      <w:r w:rsidR="00A463A7">
        <w:t xml:space="preserve">  This is reflected in section 89 of the Criminal Procedure Ordinance</w:t>
      </w:r>
      <w:r w:rsidR="00A463A7">
        <w:rPr>
          <w:rStyle w:val="FootnoteReference"/>
        </w:rPr>
        <w:footnoteReference w:id="9"/>
      </w:r>
      <w:r w:rsidR="00A463A7">
        <w:t xml:space="preserve"> which states: “</w:t>
      </w:r>
      <w:r w:rsidR="00A463A7" w:rsidRPr="00A463A7">
        <w:t>Any person who aids, abets, counsels or procures the commission by another person of any offence shall be guilty of the like offence.</w:t>
      </w:r>
      <w:r w:rsidR="00A463A7">
        <w:t>”</w:t>
      </w:r>
    </w:p>
    <w:p w:rsidR="00A463A7" w:rsidRDefault="00F95321" w:rsidP="004814B5">
      <w:pPr>
        <w:pStyle w:val="Bob1"/>
        <w:tabs>
          <w:tab w:val="clear" w:pos="720"/>
          <w:tab w:val="left" w:pos="1440"/>
        </w:tabs>
        <w:ind w:left="0" w:firstLine="0"/>
        <w:jc w:val="both"/>
      </w:pPr>
      <w:r>
        <w:t xml:space="preserve">The principal offender is the person who carries out the prohibited conduct or </w:t>
      </w:r>
      <w:proofErr w:type="spellStart"/>
      <w:r w:rsidRPr="004814B5">
        <w:rPr>
          <w:i/>
        </w:rPr>
        <w:t>actus</w:t>
      </w:r>
      <w:proofErr w:type="spellEnd"/>
      <w:r w:rsidRPr="004814B5">
        <w:rPr>
          <w:i/>
        </w:rPr>
        <w:t xml:space="preserve"> </w:t>
      </w:r>
      <w:proofErr w:type="spellStart"/>
      <w:proofErr w:type="gramStart"/>
      <w:r w:rsidRPr="004814B5">
        <w:rPr>
          <w:i/>
        </w:rPr>
        <w:t>reus</w:t>
      </w:r>
      <w:proofErr w:type="spellEnd"/>
      <w:proofErr w:type="gramEnd"/>
      <w:r>
        <w:t xml:space="preserve"> with the requisite mental state or </w:t>
      </w:r>
      <w:proofErr w:type="spellStart"/>
      <w:r w:rsidRPr="004814B5">
        <w:rPr>
          <w:i/>
        </w:rPr>
        <w:t>mens</w:t>
      </w:r>
      <w:proofErr w:type="spellEnd"/>
      <w:r w:rsidRPr="004814B5">
        <w:rPr>
          <w:i/>
        </w:rPr>
        <w:t xml:space="preserve"> </w:t>
      </w:r>
      <w:proofErr w:type="spellStart"/>
      <w:r w:rsidRPr="004814B5">
        <w:rPr>
          <w:i/>
        </w:rPr>
        <w:t>rea</w:t>
      </w:r>
      <w:proofErr w:type="spellEnd"/>
      <w:r>
        <w:t xml:space="preserve"> constituting the main offence</w:t>
      </w:r>
      <w:r w:rsidR="008247F8">
        <w:t xml:space="preserve">.  </w:t>
      </w:r>
      <w:r w:rsidR="000E0D89">
        <w:t xml:space="preserve">Thus, in a murder case, the </w:t>
      </w:r>
      <w:r w:rsidR="00DF7689">
        <w:t>principal offender</w:t>
      </w:r>
      <w:r w:rsidR="000E0D89">
        <w:t xml:space="preserve"> is the person who </w:t>
      </w:r>
      <w:r w:rsidR="00AB798D">
        <w:t xml:space="preserve">causes </w:t>
      </w:r>
      <w:r w:rsidR="000E0D89">
        <w:t xml:space="preserve">death to the victim with intent to cause death or </w:t>
      </w:r>
      <w:r w:rsidR="00AB798D">
        <w:t xml:space="preserve">to do </w:t>
      </w:r>
      <w:r w:rsidR="000E0D89">
        <w:t xml:space="preserve">grievous bodily harm.  </w:t>
      </w:r>
      <w:r w:rsidR="008247F8">
        <w:t>He</w:t>
      </w:r>
      <w:r>
        <w:t xml:space="preserve"> </w:t>
      </w:r>
      <w:r w:rsidR="00F94779">
        <w:t xml:space="preserve">or she </w:t>
      </w:r>
      <w:r w:rsidR="008247F8" w:rsidRPr="008247F8">
        <w:t xml:space="preserve">was </w:t>
      </w:r>
      <w:r w:rsidR="00DF7689">
        <w:t xml:space="preserve">also </w:t>
      </w:r>
      <w:r w:rsidR="008247F8" w:rsidRPr="008247F8">
        <w:t>known as the principal in the first degree.</w:t>
      </w:r>
      <w:r>
        <w:t xml:space="preserve"> </w:t>
      </w:r>
      <w:r w:rsidR="00F94779">
        <w:t xml:space="preserve"> </w:t>
      </w:r>
      <w:r>
        <w:t xml:space="preserve">There may be more than one </w:t>
      </w:r>
      <w:r w:rsidR="00E57247">
        <w:t xml:space="preserve">person acting together as joint </w:t>
      </w:r>
      <w:r>
        <w:t>principal</w:t>
      </w:r>
      <w:r w:rsidR="00E57247">
        <w:t>s.</w:t>
      </w:r>
      <w:r>
        <w:t xml:space="preserve"> </w:t>
      </w:r>
    </w:p>
    <w:p w:rsidR="00F95321" w:rsidRDefault="008247F8" w:rsidP="004814B5">
      <w:pPr>
        <w:pStyle w:val="Bob1"/>
        <w:tabs>
          <w:tab w:val="clear" w:pos="720"/>
          <w:tab w:val="left" w:pos="1440"/>
        </w:tabs>
        <w:ind w:left="0" w:firstLine="0"/>
        <w:jc w:val="both"/>
      </w:pPr>
      <w:r>
        <w:t xml:space="preserve">A person who aids or abets the principal offence, </w:t>
      </w:r>
      <w:r w:rsidR="00C638BB">
        <w:t xml:space="preserve">sometimes </w:t>
      </w:r>
      <w:r w:rsidR="00AF0684">
        <w:t xml:space="preserve">referred to as an accessory at the fact (and </w:t>
      </w:r>
      <w:r>
        <w:t>in felony cases as the principal in the second degree</w:t>
      </w:r>
      <w:r w:rsidR="00AF0684">
        <w:t>)</w:t>
      </w:r>
      <w:r>
        <w:t>, is one who is present and</w:t>
      </w:r>
      <w:r w:rsidR="00F94779">
        <w:t xml:space="preserve">, by way of </w:t>
      </w:r>
      <w:proofErr w:type="spellStart"/>
      <w:r w:rsidR="00F94779" w:rsidRPr="004814B5">
        <w:rPr>
          <w:i/>
        </w:rPr>
        <w:t>actus</w:t>
      </w:r>
      <w:proofErr w:type="spellEnd"/>
      <w:r w:rsidR="00F94779" w:rsidRPr="004814B5">
        <w:rPr>
          <w:i/>
        </w:rPr>
        <w:t xml:space="preserve"> </w:t>
      </w:r>
      <w:proofErr w:type="spellStart"/>
      <w:r w:rsidR="00F94779" w:rsidRPr="004814B5">
        <w:rPr>
          <w:i/>
        </w:rPr>
        <w:t>reus</w:t>
      </w:r>
      <w:proofErr w:type="spellEnd"/>
      <w:r w:rsidR="00F94779">
        <w:t>,</w:t>
      </w:r>
      <w:r>
        <w:t xml:space="preserve"> renders assistance or encouragement to the principal in the commission of </w:t>
      </w:r>
      <w:r w:rsidR="00E57247">
        <w:t>th</w:t>
      </w:r>
      <w:r w:rsidR="00F94E6C">
        <w:t>e</w:t>
      </w:r>
      <w:r w:rsidR="00E57247">
        <w:t xml:space="preserve"> </w:t>
      </w:r>
      <w:r>
        <w:t>offence.</w:t>
      </w:r>
      <w:r>
        <w:rPr>
          <w:rStyle w:val="FootnoteReference"/>
        </w:rPr>
        <w:footnoteReference w:id="10"/>
      </w:r>
      <w:r>
        <w:t xml:space="preserve">  </w:t>
      </w:r>
      <w:r w:rsidR="003604F9">
        <w:t xml:space="preserve">The aider and abettor must provide </w:t>
      </w:r>
      <w:r>
        <w:t>active assistance or encouragement by words or action</w:t>
      </w:r>
      <w:r w:rsidR="003604F9">
        <w:t>.</w:t>
      </w:r>
      <w:r>
        <w:t xml:space="preserve"> </w:t>
      </w:r>
      <w:r w:rsidR="003604F9">
        <w:t xml:space="preserve"> M</w:t>
      </w:r>
      <w:r w:rsidR="00AF0684">
        <w:t xml:space="preserve">ere </w:t>
      </w:r>
      <w:r>
        <w:t>presence at the scene</w:t>
      </w:r>
      <w:r w:rsidR="003604F9">
        <w:t xml:space="preserve"> may</w:t>
      </w:r>
      <w:r w:rsidR="00F94779">
        <w:t xml:space="preserve"> </w:t>
      </w:r>
      <w:r w:rsidR="003604F9">
        <w:t xml:space="preserve">in some cases be </w:t>
      </w:r>
      <w:r>
        <w:t xml:space="preserve">evidence of encouragement, </w:t>
      </w:r>
      <w:r w:rsidR="003604F9">
        <w:t xml:space="preserve">but in itself </w:t>
      </w:r>
      <w:r>
        <w:t xml:space="preserve">is not enough </w:t>
      </w:r>
      <w:r w:rsidR="00AF0684">
        <w:t>to constitute aiding and abetting.</w:t>
      </w:r>
      <w:r w:rsidR="00AF0684">
        <w:rPr>
          <w:rStyle w:val="FootnoteReference"/>
        </w:rPr>
        <w:footnoteReference w:id="11"/>
      </w:r>
      <w:r w:rsidR="00F94779">
        <w:t xml:space="preserve">  </w:t>
      </w:r>
    </w:p>
    <w:p w:rsidR="00F94779" w:rsidRDefault="00F94779" w:rsidP="004814B5">
      <w:pPr>
        <w:pStyle w:val="Bob1"/>
        <w:tabs>
          <w:tab w:val="clear" w:pos="720"/>
          <w:tab w:val="left" w:pos="1440"/>
        </w:tabs>
        <w:ind w:left="0" w:firstLine="0"/>
        <w:jc w:val="both"/>
      </w:pPr>
      <w:r>
        <w:lastRenderedPageBreak/>
        <w:t xml:space="preserve">The </w:t>
      </w:r>
      <w:proofErr w:type="spellStart"/>
      <w:r w:rsidRPr="004814B5">
        <w:rPr>
          <w:i/>
        </w:rPr>
        <w:t>mens</w:t>
      </w:r>
      <w:proofErr w:type="spellEnd"/>
      <w:r w:rsidRPr="004814B5">
        <w:rPr>
          <w:i/>
        </w:rPr>
        <w:t xml:space="preserve"> </w:t>
      </w:r>
      <w:proofErr w:type="spellStart"/>
      <w:r w:rsidRPr="004814B5">
        <w:rPr>
          <w:i/>
        </w:rPr>
        <w:t>rea</w:t>
      </w:r>
      <w:proofErr w:type="spellEnd"/>
      <w:r>
        <w:t xml:space="preserve"> of aiding and abetting involves </w:t>
      </w:r>
      <w:r w:rsidR="00C638BB">
        <w:t>the accessory acting with knowledge of the essential matters constituting the offence and with the</w:t>
      </w:r>
      <w:r>
        <w:t xml:space="preserve"> intention </w:t>
      </w:r>
      <w:r w:rsidR="00C638BB">
        <w:t xml:space="preserve">of </w:t>
      </w:r>
      <w:r>
        <w:t>assist</w:t>
      </w:r>
      <w:r w:rsidR="00C638BB">
        <w:t>ing or encouraging</w:t>
      </w:r>
      <w:r>
        <w:t xml:space="preserve"> the principal offender </w:t>
      </w:r>
      <w:r w:rsidR="00C638BB">
        <w:t xml:space="preserve">to </w:t>
      </w:r>
      <w:r w:rsidR="00AD2E71">
        <w:t xml:space="preserve">do the things which constitute </w:t>
      </w:r>
      <w:r w:rsidR="00C638BB">
        <w:t>the offence</w:t>
      </w:r>
      <w:r>
        <w:t>.</w:t>
      </w:r>
      <w:r>
        <w:rPr>
          <w:rStyle w:val="FootnoteReference"/>
        </w:rPr>
        <w:footnoteReference w:id="12"/>
      </w:r>
      <w:r>
        <w:t xml:space="preserve">  </w:t>
      </w:r>
    </w:p>
    <w:p w:rsidR="00202913" w:rsidRDefault="00B61BBC" w:rsidP="004814B5">
      <w:pPr>
        <w:pStyle w:val="Bob1"/>
        <w:tabs>
          <w:tab w:val="clear" w:pos="720"/>
          <w:tab w:val="left" w:pos="1440"/>
        </w:tabs>
        <w:ind w:left="0" w:firstLine="0"/>
        <w:jc w:val="both"/>
      </w:pPr>
      <w:r>
        <w:t xml:space="preserve">A person who counsels or procures an offence </w:t>
      </w:r>
      <w:r w:rsidR="00031270">
        <w:t xml:space="preserve">(referred to </w:t>
      </w:r>
      <w:r w:rsidR="00802391">
        <w:t xml:space="preserve">also </w:t>
      </w:r>
      <w:r w:rsidR="00031270">
        <w:t xml:space="preserve">as an accessory before the fact) </w:t>
      </w:r>
      <w:r>
        <w:t xml:space="preserve">is not present but provides assistance or encouragement prior to </w:t>
      </w:r>
      <w:r w:rsidR="00D727C2">
        <w:t xml:space="preserve">the </w:t>
      </w:r>
      <w:r>
        <w:t>commission of the offence.</w:t>
      </w:r>
      <w:r>
        <w:rPr>
          <w:rStyle w:val="FootnoteReference"/>
        </w:rPr>
        <w:footnoteReference w:id="13"/>
      </w:r>
      <w:r>
        <w:t xml:space="preserve">  </w:t>
      </w:r>
      <w:r w:rsidR="003604F9">
        <w:t>Such a</w:t>
      </w:r>
      <w:r>
        <w:t xml:space="preserve"> person </w:t>
      </w:r>
      <w:r w:rsidR="00031270">
        <w:t xml:space="preserve">performs the </w:t>
      </w:r>
      <w:proofErr w:type="spellStart"/>
      <w:r w:rsidR="00031270" w:rsidRPr="004814B5">
        <w:rPr>
          <w:i/>
        </w:rPr>
        <w:t>actus</w:t>
      </w:r>
      <w:proofErr w:type="spellEnd"/>
      <w:r w:rsidR="00031270" w:rsidRPr="004814B5">
        <w:rPr>
          <w:i/>
        </w:rPr>
        <w:t xml:space="preserve"> </w:t>
      </w:r>
      <w:proofErr w:type="spellStart"/>
      <w:proofErr w:type="gramStart"/>
      <w:r w:rsidR="00031270" w:rsidRPr="004814B5">
        <w:rPr>
          <w:i/>
        </w:rPr>
        <w:t>reus</w:t>
      </w:r>
      <w:proofErr w:type="spellEnd"/>
      <w:proofErr w:type="gramEnd"/>
      <w:r w:rsidR="00031270" w:rsidRPr="004814B5">
        <w:rPr>
          <w:i/>
        </w:rPr>
        <w:t xml:space="preserve"> </w:t>
      </w:r>
      <w:r w:rsidR="00031270">
        <w:t xml:space="preserve">of </w:t>
      </w:r>
      <w:r>
        <w:t>“procur</w:t>
      </w:r>
      <w:r w:rsidR="00031270">
        <w:t>ing</w:t>
      </w:r>
      <w:r>
        <w:t>” an offence “</w:t>
      </w:r>
      <w:r w:rsidRPr="00B61BBC">
        <w:t>by setting out to see that it happens and taking the appropriate steps to produce that happening</w:t>
      </w:r>
      <w:r>
        <w:t>”.</w:t>
      </w:r>
      <w:r>
        <w:rPr>
          <w:rStyle w:val="FootnoteReference"/>
        </w:rPr>
        <w:footnoteReference w:id="14"/>
      </w:r>
      <w:r w:rsidR="00802391">
        <w:t xml:space="preserve">  A person</w:t>
      </w:r>
      <w:r w:rsidR="00031270">
        <w:t xml:space="preserve"> “counsels” an offence by soliciting or encouraging its commission.</w:t>
      </w:r>
    </w:p>
    <w:p w:rsidR="00F94E6C" w:rsidRDefault="00090D0E" w:rsidP="004814B5">
      <w:pPr>
        <w:pStyle w:val="Bob1"/>
        <w:tabs>
          <w:tab w:val="clear" w:pos="720"/>
          <w:tab w:val="left" w:pos="1440"/>
        </w:tabs>
        <w:ind w:left="0" w:firstLine="0"/>
        <w:jc w:val="both"/>
      </w:pPr>
      <w:r>
        <w:t xml:space="preserve">The </w:t>
      </w:r>
      <w:proofErr w:type="spellStart"/>
      <w:r w:rsidR="00F94E6C" w:rsidRPr="004814B5">
        <w:rPr>
          <w:i/>
        </w:rPr>
        <w:t>actus</w:t>
      </w:r>
      <w:proofErr w:type="spellEnd"/>
      <w:r w:rsidR="00F94E6C" w:rsidRPr="004814B5">
        <w:rPr>
          <w:i/>
        </w:rPr>
        <w:t xml:space="preserve"> </w:t>
      </w:r>
      <w:proofErr w:type="spellStart"/>
      <w:proofErr w:type="gramStart"/>
      <w:r w:rsidR="00F94E6C" w:rsidRPr="004814B5">
        <w:rPr>
          <w:i/>
        </w:rPr>
        <w:t>reus</w:t>
      </w:r>
      <w:proofErr w:type="spellEnd"/>
      <w:proofErr w:type="gramEnd"/>
      <w:r w:rsidR="00F94E6C" w:rsidRPr="004814B5">
        <w:rPr>
          <w:i/>
        </w:rPr>
        <w:t xml:space="preserve"> </w:t>
      </w:r>
      <w:r w:rsidR="00F94E6C">
        <w:t xml:space="preserve">of </w:t>
      </w:r>
      <w:r w:rsidR="00031270">
        <w:t xml:space="preserve">counselling or procuring </w:t>
      </w:r>
      <w:r>
        <w:t>therefore comprise</w:t>
      </w:r>
      <w:r w:rsidR="00F94E6C">
        <w:t>s</w:t>
      </w:r>
      <w:r>
        <w:t xml:space="preserve"> </w:t>
      </w:r>
      <w:r w:rsidR="00802391">
        <w:t>assisting</w:t>
      </w:r>
      <w:r w:rsidR="00031270">
        <w:t xml:space="preserve"> or encourag</w:t>
      </w:r>
      <w:r w:rsidR="00802391">
        <w:t>ing</w:t>
      </w:r>
      <w:r w:rsidR="00244FA5">
        <w:t xml:space="preserve"> </w:t>
      </w:r>
      <w:r w:rsidR="00802391">
        <w:t xml:space="preserve">commission of </w:t>
      </w:r>
      <w:r w:rsidR="00244FA5">
        <w:t xml:space="preserve">the principal offence </w:t>
      </w:r>
      <w:r w:rsidR="00802391">
        <w:t xml:space="preserve">by words or action </w:t>
      </w:r>
      <w:r w:rsidR="00F94E6C">
        <w:t xml:space="preserve">prior to its </w:t>
      </w:r>
      <w:r w:rsidR="00802391">
        <w:t xml:space="preserve">occurrence </w:t>
      </w:r>
      <w:r w:rsidR="00244FA5">
        <w:t xml:space="preserve">and the </w:t>
      </w:r>
      <w:proofErr w:type="spellStart"/>
      <w:r w:rsidR="00F94E6C" w:rsidRPr="004814B5">
        <w:rPr>
          <w:i/>
        </w:rPr>
        <w:t>mens</w:t>
      </w:r>
      <w:proofErr w:type="spellEnd"/>
      <w:r w:rsidR="00F94E6C" w:rsidRPr="004814B5">
        <w:rPr>
          <w:i/>
        </w:rPr>
        <w:t xml:space="preserve"> </w:t>
      </w:r>
      <w:proofErr w:type="spellStart"/>
      <w:r w:rsidR="00F94E6C" w:rsidRPr="004814B5">
        <w:rPr>
          <w:i/>
        </w:rPr>
        <w:t>rea</w:t>
      </w:r>
      <w:proofErr w:type="spellEnd"/>
      <w:r w:rsidR="00F94E6C" w:rsidRPr="004814B5">
        <w:rPr>
          <w:i/>
        </w:rPr>
        <w:t xml:space="preserve"> </w:t>
      </w:r>
      <w:r w:rsidR="00802391">
        <w:t xml:space="preserve">is </w:t>
      </w:r>
      <w:r w:rsidR="00F94E6C">
        <w:t>an intention</w:t>
      </w:r>
      <w:r w:rsidR="00DF7689">
        <w:t xml:space="preserve"> to</w:t>
      </w:r>
      <w:r w:rsidR="00D06A97">
        <w:t xml:space="preserve"> </w:t>
      </w:r>
      <w:r w:rsidR="00DF7689">
        <w:t>render</w:t>
      </w:r>
      <w:r w:rsidR="00F94E6C">
        <w:t xml:space="preserve"> the </w:t>
      </w:r>
      <w:r w:rsidR="00244FA5">
        <w:t>assistance or encouragement</w:t>
      </w:r>
      <w:r w:rsidR="00DF7689">
        <w:t xml:space="preserve"> with a view to facilitating</w:t>
      </w:r>
      <w:r w:rsidR="00F94E6C">
        <w:t xml:space="preserve"> or bring</w:t>
      </w:r>
      <w:r w:rsidR="00DF7689">
        <w:t>ing</w:t>
      </w:r>
      <w:r w:rsidR="00F94E6C">
        <w:t xml:space="preserve"> about commission of the offence</w:t>
      </w:r>
      <w:r w:rsidR="00244FA5">
        <w:t>.</w:t>
      </w:r>
      <w:r w:rsidR="00D25C5C">
        <w:t xml:space="preserve">  </w:t>
      </w:r>
    </w:p>
    <w:p w:rsidR="00031270" w:rsidRDefault="00756433" w:rsidP="004814B5">
      <w:pPr>
        <w:pStyle w:val="Bob1"/>
        <w:tabs>
          <w:tab w:val="clear" w:pos="720"/>
          <w:tab w:val="left" w:pos="1440"/>
        </w:tabs>
        <w:ind w:left="0" w:firstLine="0"/>
        <w:jc w:val="both"/>
      </w:pPr>
      <w:r>
        <w:t>Under traditional accessorial rules, t</w:t>
      </w:r>
      <w:r w:rsidR="00D25C5C">
        <w:t xml:space="preserve">he secondary party’s liability is derivative.  Only if it is proved that the principal offence has been committed </w:t>
      </w:r>
      <w:r w:rsidR="00047389">
        <w:t xml:space="preserve">(even if the identity of the principal is not known) can a person’s liability as an accessory to that offence be </w:t>
      </w:r>
      <w:proofErr w:type="gramStart"/>
      <w:r w:rsidR="00047389">
        <w:t>established.</w:t>
      </w:r>
      <w:proofErr w:type="gramEnd"/>
      <w:r w:rsidR="00EE6118">
        <w:rPr>
          <w:rStyle w:val="FootnoteReference"/>
        </w:rPr>
        <w:footnoteReference w:id="15"/>
      </w:r>
      <w:r w:rsidR="00047389">
        <w:t xml:space="preserve">  Otherwise the defendant may be guilty of an inchoate offence of conspiracy, incitement or attempt but not as an accessory.</w:t>
      </w:r>
    </w:p>
    <w:p w:rsidR="00E57247" w:rsidRDefault="00E87F86" w:rsidP="004814B5">
      <w:pPr>
        <w:pStyle w:val="docmapheading"/>
      </w:pPr>
      <w:r>
        <w:lastRenderedPageBreak/>
        <w:t>B.</w:t>
      </w:r>
      <w:r w:rsidR="002B0C02">
        <w:t>1</w:t>
      </w:r>
      <w:r>
        <w:tab/>
      </w:r>
      <w:proofErr w:type="gramStart"/>
      <w:r w:rsidR="00034106">
        <w:t>Stretching</w:t>
      </w:r>
      <w:proofErr w:type="gramEnd"/>
      <w:r w:rsidR="00034106">
        <w:t xml:space="preserve"> the boundaries of accessorial liability </w:t>
      </w:r>
    </w:p>
    <w:p w:rsidR="00E87F86" w:rsidRDefault="00056279" w:rsidP="004814B5">
      <w:pPr>
        <w:pStyle w:val="Bob1"/>
        <w:tabs>
          <w:tab w:val="clear" w:pos="720"/>
          <w:tab w:val="left" w:pos="1440"/>
        </w:tabs>
        <w:ind w:left="0" w:firstLine="0"/>
        <w:jc w:val="both"/>
      </w:pPr>
      <w:r>
        <w:t>T</w:t>
      </w:r>
      <w:r w:rsidR="00D25C5C">
        <w:t xml:space="preserve">he </w:t>
      </w:r>
      <w:r w:rsidR="00047389">
        <w:t xml:space="preserve">abovementioned </w:t>
      </w:r>
      <w:r w:rsidR="00D25C5C">
        <w:t xml:space="preserve">rules are </w:t>
      </w:r>
      <w:r w:rsidR="002B4EDA">
        <w:t xml:space="preserve">well </w:t>
      </w:r>
      <w:r w:rsidR="00D25C5C">
        <w:t>adapted to clear-cut, static situations and</w:t>
      </w:r>
      <w:r w:rsidR="00034106">
        <w:t xml:space="preserve"> </w:t>
      </w:r>
      <w:r w:rsidR="00D25C5C">
        <w:t xml:space="preserve">place considerable evidential demands on the prosecution.  </w:t>
      </w:r>
      <w:r w:rsidR="006E4F88">
        <w:t>T</w:t>
      </w:r>
      <w:r w:rsidR="00221F2B">
        <w:t>o establish the accessory’s guilt, t</w:t>
      </w:r>
      <w:r w:rsidR="00D25C5C">
        <w:t xml:space="preserve">he prosecution </w:t>
      </w:r>
      <w:r w:rsidR="00034106">
        <w:t>must</w:t>
      </w:r>
      <w:r w:rsidR="00057085">
        <w:t xml:space="preserve"> be able to</w:t>
      </w:r>
      <w:r w:rsidR="00034106">
        <w:t xml:space="preserve"> </w:t>
      </w:r>
      <w:r w:rsidR="00047389">
        <w:t xml:space="preserve">prove the commission of the </w:t>
      </w:r>
      <w:r w:rsidR="006E4F88">
        <w:t xml:space="preserve">principal </w:t>
      </w:r>
      <w:r w:rsidR="00047389">
        <w:t>offence</w:t>
      </w:r>
      <w:r w:rsidR="00221F2B">
        <w:t xml:space="preserve"> and</w:t>
      </w:r>
      <w:r w:rsidR="00047389">
        <w:t xml:space="preserve"> the accessory’s performance of intentional acts </w:t>
      </w:r>
      <w:r w:rsidR="00221F2B">
        <w:t xml:space="preserve">capable </w:t>
      </w:r>
      <w:r w:rsidR="00047389">
        <w:t>of assist</w:t>
      </w:r>
      <w:r w:rsidR="00221F2B">
        <w:t>ing</w:t>
      </w:r>
      <w:r w:rsidR="00047389">
        <w:t xml:space="preserve"> or encourag</w:t>
      </w:r>
      <w:r w:rsidR="00221F2B">
        <w:t>ing</w:t>
      </w:r>
      <w:r w:rsidR="00047389">
        <w:t xml:space="preserve"> that offence</w:t>
      </w:r>
      <w:r w:rsidR="00221F2B">
        <w:t>,</w:t>
      </w:r>
      <w:r w:rsidR="00047389">
        <w:t xml:space="preserve"> </w:t>
      </w:r>
      <w:r w:rsidR="002B4EDA">
        <w:t xml:space="preserve">with knowledge of the essential facts </w:t>
      </w:r>
      <w:r w:rsidR="00221F2B">
        <w:t xml:space="preserve">constituting the offence </w:t>
      </w:r>
      <w:r w:rsidR="002B4EDA">
        <w:t>and</w:t>
      </w:r>
      <w:r w:rsidR="00047389">
        <w:t xml:space="preserve"> </w:t>
      </w:r>
      <w:r w:rsidR="00221F2B">
        <w:t xml:space="preserve">an </w:t>
      </w:r>
      <w:r w:rsidR="00047389">
        <w:t xml:space="preserve">intention to assist or encourage </w:t>
      </w:r>
      <w:r w:rsidR="00F94E6C">
        <w:t xml:space="preserve">its </w:t>
      </w:r>
      <w:r w:rsidR="00047389">
        <w:t>commission.</w:t>
      </w:r>
    </w:p>
    <w:p w:rsidR="00821C60" w:rsidRDefault="00821C60" w:rsidP="004814B5">
      <w:pPr>
        <w:pStyle w:val="Bob1"/>
        <w:tabs>
          <w:tab w:val="clear" w:pos="720"/>
          <w:tab w:val="left" w:pos="1440"/>
        </w:tabs>
        <w:ind w:left="0" w:firstLine="0"/>
        <w:jc w:val="both"/>
      </w:pPr>
      <w:r>
        <w:t xml:space="preserve">There will of course be many cases where </w:t>
      </w:r>
      <w:r w:rsidR="00F94E6C">
        <w:t xml:space="preserve">such </w:t>
      </w:r>
      <w:r>
        <w:t xml:space="preserve">requirements can readily be met.  However, </w:t>
      </w:r>
      <w:r w:rsidR="00F94E6C">
        <w:t xml:space="preserve">it will </w:t>
      </w:r>
      <w:r w:rsidR="008C60EA">
        <w:t xml:space="preserve">often </w:t>
      </w:r>
      <w:r w:rsidR="00F94E6C">
        <w:t xml:space="preserve">be the case that </w:t>
      </w:r>
      <w:r w:rsidR="00357D5E">
        <w:t xml:space="preserve">the </w:t>
      </w:r>
      <w:r w:rsidR="007A6D8D">
        <w:t>co-adventurer</w:t>
      </w:r>
      <w:r w:rsidR="00357D5E">
        <w:t>s</w:t>
      </w:r>
      <w:r w:rsidR="00457F50">
        <w:t xml:space="preserve"> </w:t>
      </w:r>
      <w:r w:rsidR="00034106">
        <w:t>do not spell</w:t>
      </w:r>
      <w:r w:rsidR="00E117CD">
        <w:t xml:space="preserve"> out their plans</w:t>
      </w:r>
      <w:r w:rsidR="00457F50">
        <w:t xml:space="preserve"> </w:t>
      </w:r>
      <w:r w:rsidR="00056279">
        <w:t>to each other</w:t>
      </w:r>
      <w:r w:rsidR="00357D5E">
        <w:t xml:space="preserve">.  </w:t>
      </w:r>
      <w:r w:rsidR="00056279">
        <w:t>Such cases have given rise to</w:t>
      </w:r>
      <w:r w:rsidR="00357D5E">
        <w:t xml:space="preserve"> </w:t>
      </w:r>
      <w:r w:rsidR="00056279">
        <w:t xml:space="preserve">difficulties regarding </w:t>
      </w:r>
      <w:r w:rsidR="00034106">
        <w:t xml:space="preserve">proof of the accessory’s </w:t>
      </w:r>
      <w:r w:rsidR="00457F50">
        <w:t>intention to assist or encourage the principal</w:t>
      </w:r>
      <w:r w:rsidR="00682D32">
        <w:t>.</w:t>
      </w:r>
      <w:r w:rsidR="00713D8F">
        <w:t xml:space="preserve">  How is such intention to be proved </w:t>
      </w:r>
      <w:r w:rsidR="00F132BD">
        <w:t xml:space="preserve">if </w:t>
      </w:r>
      <w:r w:rsidR="00713D8F">
        <w:t>the accessory did not know what the principal was actually going to do?</w:t>
      </w:r>
    </w:p>
    <w:p w:rsidR="00682D32" w:rsidRDefault="00682D32" w:rsidP="004814B5">
      <w:pPr>
        <w:pStyle w:val="Bob1"/>
        <w:tabs>
          <w:tab w:val="clear" w:pos="720"/>
          <w:tab w:val="left" w:pos="1440"/>
        </w:tabs>
        <w:ind w:left="0" w:firstLine="0"/>
        <w:jc w:val="both"/>
      </w:pPr>
      <w:r w:rsidRPr="004814B5">
        <w:rPr>
          <w:i/>
        </w:rPr>
        <w:t xml:space="preserve">R v </w:t>
      </w:r>
      <w:proofErr w:type="gramStart"/>
      <w:r w:rsidRPr="004814B5">
        <w:rPr>
          <w:i/>
        </w:rPr>
        <w:t>Bainbridge</w:t>
      </w:r>
      <w:r>
        <w:t>,</w:t>
      </w:r>
      <w:proofErr w:type="gramEnd"/>
      <w:r>
        <w:rPr>
          <w:rStyle w:val="FootnoteReference"/>
        </w:rPr>
        <w:footnoteReference w:id="16"/>
      </w:r>
      <w:r>
        <w:t xml:space="preserve"> provides an example</w:t>
      </w:r>
      <w:r w:rsidR="003D589F">
        <w:t xml:space="preserve"> of a blurring of the </w:t>
      </w:r>
      <w:proofErr w:type="spellStart"/>
      <w:r w:rsidR="003D589F" w:rsidRPr="004814B5">
        <w:rPr>
          <w:i/>
        </w:rPr>
        <w:t>mens</w:t>
      </w:r>
      <w:proofErr w:type="spellEnd"/>
      <w:r w:rsidR="003D589F" w:rsidRPr="004814B5">
        <w:rPr>
          <w:i/>
        </w:rPr>
        <w:t xml:space="preserve"> </w:t>
      </w:r>
      <w:proofErr w:type="spellStart"/>
      <w:r w:rsidR="003D589F" w:rsidRPr="004814B5">
        <w:rPr>
          <w:i/>
        </w:rPr>
        <w:t>rea</w:t>
      </w:r>
      <w:proofErr w:type="spellEnd"/>
      <w:r w:rsidR="003D589F" w:rsidRPr="004814B5">
        <w:rPr>
          <w:i/>
        </w:rPr>
        <w:t xml:space="preserve"> </w:t>
      </w:r>
      <w:r w:rsidR="003D589F">
        <w:t>requirement</w:t>
      </w:r>
      <w:r w:rsidR="00C14033">
        <w:t xml:space="preserve"> in a counselling and procuring case</w:t>
      </w:r>
      <w:r>
        <w:t xml:space="preserve">.  A bank was broken into using </w:t>
      </w:r>
      <w:r w:rsidRPr="00682D32">
        <w:t>oxyacetylene</w:t>
      </w:r>
      <w:r>
        <w:t xml:space="preserve"> cutting equipment which was traced back to the defendant who had </w:t>
      </w:r>
      <w:r w:rsidR="00112E32">
        <w:t xml:space="preserve">bought </w:t>
      </w:r>
      <w:r>
        <w:t xml:space="preserve">it </w:t>
      </w:r>
      <w:r w:rsidR="00112E32">
        <w:t xml:space="preserve">some </w:t>
      </w:r>
      <w:r>
        <w:t xml:space="preserve">six weeks earlier.  </w:t>
      </w:r>
      <w:r w:rsidR="00112E32">
        <w:t>The defendant testified that</w:t>
      </w:r>
      <w:r w:rsidR="00AB3CD6">
        <w:t xml:space="preserve"> he</w:t>
      </w:r>
      <w:r w:rsidR="00112E32">
        <w:t xml:space="preserve"> had bought it on someone</w:t>
      </w:r>
      <w:r w:rsidR="00AB3CD6">
        <w:t xml:space="preserve"> else</w:t>
      </w:r>
      <w:r w:rsidR="00112E32">
        <w:t>’s b</w:t>
      </w:r>
      <w:r w:rsidR="00034106">
        <w:t xml:space="preserve">ehalf and admitted that he was </w:t>
      </w:r>
      <w:r w:rsidR="00112E32">
        <w:t>suspicious that the equipment was “wanted ... for something illegal”, thinking “it was for breaking up stolen goods which [that person] had received”.  He</w:t>
      </w:r>
      <w:r w:rsidR="007626E3">
        <w:t xml:space="preserve"> denied knowing that it was </w:t>
      </w:r>
      <w:r w:rsidR="00112E32">
        <w:t xml:space="preserve">intended for breaking and entering premises.  The English Court of Appeal held that the jury had correctly been directed that he </w:t>
      </w:r>
      <w:r w:rsidR="003D589F">
        <w:t xml:space="preserve">should be convicted of counselling or procuring the bank robbery </w:t>
      </w:r>
      <w:r w:rsidR="00112E32">
        <w:t xml:space="preserve">if they were satisfied that he had “knowledge that a crime of the type in question was intended”, meaning </w:t>
      </w:r>
      <w:r w:rsidR="003D589F">
        <w:t xml:space="preserve">a crime involving </w:t>
      </w:r>
      <w:r w:rsidR="00112E32">
        <w:t xml:space="preserve">“breaking and entering premises and the stealing of property from </w:t>
      </w:r>
      <w:r w:rsidR="00112E32">
        <w:lastRenderedPageBreak/>
        <w:t>those premises”.</w:t>
      </w:r>
      <w:r w:rsidR="003D589F">
        <w:t xml:space="preserve">  The submission that “</w:t>
      </w:r>
      <w:r w:rsidR="003D589F" w:rsidRPr="003D589F">
        <w:t>there was no evidence which was more consistent with the equipment being needed for a felony of this type than for any other kind of illegal venture</w:t>
      </w:r>
      <w:r w:rsidR="003D589F">
        <w:t>” was robustly brushed aside.</w:t>
      </w:r>
      <w:r w:rsidR="00741FC7">
        <w:t xml:space="preserve"> </w:t>
      </w:r>
    </w:p>
    <w:p w:rsidR="005A5C18" w:rsidRDefault="00741FC7" w:rsidP="004814B5">
      <w:pPr>
        <w:pStyle w:val="Bob1"/>
        <w:tabs>
          <w:tab w:val="clear" w:pos="720"/>
          <w:tab w:val="left" w:pos="1440"/>
        </w:tabs>
        <w:ind w:left="0" w:firstLine="0"/>
        <w:jc w:val="both"/>
      </w:pPr>
      <w:r w:rsidRPr="004814B5">
        <w:rPr>
          <w:i/>
        </w:rPr>
        <w:t xml:space="preserve">Maxwell v DPP for Northern </w:t>
      </w:r>
      <w:proofErr w:type="gramStart"/>
      <w:r w:rsidRPr="004814B5">
        <w:rPr>
          <w:i/>
        </w:rPr>
        <w:t>Ireland</w:t>
      </w:r>
      <w:r>
        <w:t>,</w:t>
      </w:r>
      <w:proofErr w:type="gramEnd"/>
      <w:r>
        <w:rPr>
          <w:rStyle w:val="FootnoteReference"/>
        </w:rPr>
        <w:footnoteReference w:id="17"/>
      </w:r>
      <w:r>
        <w:t xml:space="preserve"> </w:t>
      </w:r>
      <w:r w:rsidR="00AB3CD6">
        <w:t>furnishes</w:t>
      </w:r>
      <w:r>
        <w:t xml:space="preserve"> another example.  Maxwell, who was</w:t>
      </w:r>
      <w:r w:rsidRPr="00741FC7">
        <w:t xml:space="preserve"> a member of the Ulster Volunteer Force, drove </w:t>
      </w:r>
      <w:r>
        <w:t xml:space="preserve">a </w:t>
      </w:r>
      <w:r w:rsidRPr="00741FC7">
        <w:t xml:space="preserve">car acting as guide </w:t>
      </w:r>
      <w:r>
        <w:t>for</w:t>
      </w:r>
      <w:r w:rsidRPr="00741FC7">
        <w:t xml:space="preserve"> </w:t>
      </w:r>
      <w:r>
        <w:t xml:space="preserve">fellow members of the UVF in a </w:t>
      </w:r>
      <w:r w:rsidRPr="00741FC7">
        <w:t>car following</w:t>
      </w:r>
      <w:r>
        <w:t xml:space="preserve">, </w:t>
      </w:r>
      <w:r w:rsidR="001F5A62">
        <w:t>to show</w:t>
      </w:r>
      <w:r>
        <w:t xml:space="preserve"> them</w:t>
      </w:r>
      <w:r w:rsidRPr="00741FC7">
        <w:t xml:space="preserve"> </w:t>
      </w:r>
      <w:r>
        <w:t xml:space="preserve">the way </w:t>
      </w:r>
      <w:r w:rsidRPr="00741FC7">
        <w:t>to a public house</w:t>
      </w:r>
      <w:r>
        <w:t xml:space="preserve"> in a Catholic area where they </w:t>
      </w:r>
      <w:r w:rsidR="00DB2932">
        <w:t>launched a</w:t>
      </w:r>
      <w:r>
        <w:t xml:space="preserve"> bombing attack.  </w:t>
      </w:r>
      <w:r w:rsidR="000A34E6">
        <w:t xml:space="preserve">It was accepted that </w:t>
      </w:r>
      <w:r w:rsidR="00DB2932">
        <w:t xml:space="preserve">Maxwell </w:t>
      </w:r>
      <w:r w:rsidR="000A34E6">
        <w:t xml:space="preserve">knew that a terrorist operation was </w:t>
      </w:r>
      <w:r w:rsidR="00034106">
        <w:t>being conducted</w:t>
      </w:r>
      <w:r w:rsidR="000A34E6">
        <w:t xml:space="preserve"> but argued on his behalf that</w:t>
      </w:r>
      <w:r w:rsidR="004F4B39">
        <w:t>,</w:t>
      </w:r>
      <w:r w:rsidR="000A34E6">
        <w:t xml:space="preserve"> as he did not know what form the attack would take, he </w:t>
      </w:r>
      <w:r w:rsidR="000A34E6" w:rsidRPr="000A34E6">
        <w:t>could not be found guilty of aiding and abetting the commission of a crime which he did not know was to be committed</w:t>
      </w:r>
      <w:r w:rsidR="000A34E6">
        <w:t>.  Unsurprisingly, that argument was rejected</w:t>
      </w:r>
      <w:r w:rsidR="004F4B39">
        <w:t xml:space="preserve">, but it required the traditional </w:t>
      </w:r>
      <w:proofErr w:type="spellStart"/>
      <w:r w:rsidR="004F4B39" w:rsidRPr="004814B5">
        <w:rPr>
          <w:i/>
        </w:rPr>
        <w:t>mens</w:t>
      </w:r>
      <w:proofErr w:type="spellEnd"/>
      <w:r w:rsidR="004F4B39" w:rsidRPr="004814B5">
        <w:rPr>
          <w:i/>
        </w:rPr>
        <w:t xml:space="preserve"> </w:t>
      </w:r>
      <w:proofErr w:type="spellStart"/>
      <w:r w:rsidR="004F4B39" w:rsidRPr="004814B5">
        <w:rPr>
          <w:i/>
        </w:rPr>
        <w:t>rea</w:t>
      </w:r>
      <w:proofErr w:type="spellEnd"/>
      <w:r w:rsidR="004F4B39" w:rsidRPr="004814B5">
        <w:rPr>
          <w:i/>
        </w:rPr>
        <w:t xml:space="preserve"> </w:t>
      </w:r>
      <w:r w:rsidR="004F4B39">
        <w:t xml:space="preserve">rule </w:t>
      </w:r>
      <w:r w:rsidR="00E664A7">
        <w:t xml:space="preserve">on aiding and abetting </w:t>
      </w:r>
      <w:r w:rsidR="004F4B39">
        <w:t>to be</w:t>
      </w:r>
      <w:r w:rsidR="00112C48">
        <w:t xml:space="preserve"> enlarged</w:t>
      </w:r>
      <w:r w:rsidR="00DB2932">
        <w:t xml:space="preserve"> by an exercise of judicial creativity.</w:t>
      </w:r>
      <w:r w:rsidR="000A34E6">
        <w:t xml:space="preserve">  </w:t>
      </w:r>
    </w:p>
    <w:p w:rsidR="00DE20C9" w:rsidRDefault="005A5C18" w:rsidP="004814B5">
      <w:pPr>
        <w:pStyle w:val="Bob1"/>
        <w:tabs>
          <w:tab w:val="clear" w:pos="720"/>
          <w:tab w:val="left" w:pos="1440"/>
        </w:tabs>
        <w:ind w:left="0" w:firstLine="0"/>
        <w:jc w:val="both"/>
      </w:pPr>
      <w:r>
        <w:t xml:space="preserve">In the House of Lords, Lord </w:t>
      </w:r>
      <w:proofErr w:type="spellStart"/>
      <w:r>
        <w:t>Scarman</w:t>
      </w:r>
      <w:proofErr w:type="spellEnd"/>
      <w:r w:rsidR="004C1618">
        <w:t xml:space="preserve"> acknowledged</w:t>
      </w:r>
      <w:r w:rsidR="00DE20C9">
        <w:t xml:space="preserve"> that it was</w:t>
      </w:r>
      <w:r>
        <w:t xml:space="preserve"> </w:t>
      </w:r>
      <w:r w:rsidR="00DE20C9">
        <w:t>“</w:t>
      </w:r>
      <w:r>
        <w:t xml:space="preserve">not possible in the present case to declare that it is proved, beyond reasonable doubt, that the appellant knew a bomb attack upon the inn was intended by those whom he was assisting. </w:t>
      </w:r>
      <w:r w:rsidR="004F4B39">
        <w:t xml:space="preserve"> </w:t>
      </w:r>
      <w:r>
        <w:t>It is not established, therefore, that he knew the particular type of crime intended.</w:t>
      </w:r>
      <w:r w:rsidR="00DE20C9">
        <w:t>”</w:t>
      </w:r>
      <w:r w:rsidR="00092A87">
        <w:rPr>
          <w:rStyle w:val="FootnoteReference"/>
        </w:rPr>
        <w:footnoteReference w:id="18"/>
      </w:r>
      <w:r w:rsidR="00DE20C9">
        <w:t xml:space="preserve">  H</w:t>
      </w:r>
      <w:r w:rsidR="004F4B39">
        <w:t>is Lordship</w:t>
      </w:r>
      <w:r w:rsidR="00DE20C9">
        <w:t xml:space="preserve"> commended Lowry CJ’s approach</w:t>
      </w:r>
      <w:r w:rsidR="00E117CD">
        <w:t xml:space="preserve"> to establishing accessory liability in this kind of case</w:t>
      </w:r>
      <w:r w:rsidR="00DE20C9">
        <w:t xml:space="preserve">, </w:t>
      </w:r>
      <w:r w:rsidR="00E117CD">
        <w:t xml:space="preserve">noting that it </w:t>
      </w:r>
      <w:r w:rsidR="00DE20C9">
        <w:t xml:space="preserve">went beyond the decision in </w:t>
      </w:r>
      <w:r w:rsidR="00DE20C9" w:rsidRPr="004814B5">
        <w:rPr>
          <w:i/>
        </w:rPr>
        <w:t>Bainbridge</w:t>
      </w:r>
      <w:r w:rsidR="00DE20C9">
        <w:t>:</w:t>
      </w:r>
      <w:r>
        <w:t xml:space="preserve"> </w:t>
      </w:r>
    </w:p>
    <w:p w:rsidR="005A5C18" w:rsidRPr="00DE20C9" w:rsidRDefault="00DE20C9" w:rsidP="004814B5">
      <w:pPr>
        <w:pStyle w:val="Bob1"/>
        <w:numPr>
          <w:ilvl w:val="0"/>
          <w:numId w:val="0"/>
        </w:numPr>
        <w:spacing w:line="240" w:lineRule="auto"/>
        <w:ind w:left="720"/>
        <w:jc w:val="both"/>
        <w:rPr>
          <w:sz w:val="24"/>
        </w:rPr>
      </w:pPr>
      <w:r w:rsidRPr="00DE20C9">
        <w:rPr>
          <w:sz w:val="24"/>
        </w:rPr>
        <w:t>“</w:t>
      </w:r>
      <w:r w:rsidR="005A5C18" w:rsidRPr="00DE20C9">
        <w:rPr>
          <w:sz w:val="24"/>
        </w:rPr>
        <w:t xml:space="preserve">The court, however, refused to limit criminal responsibility by reference to knowledge by the accused of the type or class of crime intended by those whom he assisted. Instead, the court has formulated a principle which avoids the uncertainties and ambiguities of classification. The guilt of an accessory springs, according to the court's formulation: </w:t>
      </w:r>
    </w:p>
    <w:p w:rsidR="005A5C18" w:rsidRPr="00DE20C9" w:rsidRDefault="00DE20C9" w:rsidP="004814B5">
      <w:pPr>
        <w:pStyle w:val="Bob1"/>
        <w:numPr>
          <w:ilvl w:val="0"/>
          <w:numId w:val="0"/>
        </w:numPr>
        <w:spacing w:line="240" w:lineRule="auto"/>
        <w:ind w:left="1440"/>
        <w:jc w:val="both"/>
        <w:rPr>
          <w:sz w:val="24"/>
        </w:rPr>
      </w:pPr>
      <w:r w:rsidRPr="00DE20C9">
        <w:rPr>
          <w:sz w:val="24"/>
        </w:rPr>
        <w:lastRenderedPageBreak/>
        <w:t xml:space="preserve">‘... </w:t>
      </w:r>
      <w:r w:rsidR="005A5C18" w:rsidRPr="00DE20C9">
        <w:rPr>
          <w:sz w:val="24"/>
        </w:rPr>
        <w:t>from the fact that he contemplates the commission of one (or more) of a number of crimes by the principal and he intentionally lends his assistance in order that such a crime will be com</w:t>
      </w:r>
      <w:r w:rsidRPr="00DE20C9">
        <w:rPr>
          <w:sz w:val="24"/>
        </w:rPr>
        <w:t>mitted’</w:t>
      </w:r>
      <w:r>
        <w:rPr>
          <w:sz w:val="24"/>
        </w:rPr>
        <w:t>...</w:t>
      </w:r>
      <w:r w:rsidRPr="00DE20C9">
        <w:rPr>
          <w:sz w:val="24"/>
        </w:rPr>
        <w:t xml:space="preserve"> ‘</w:t>
      </w:r>
      <w:r w:rsidR="005A5C18" w:rsidRPr="00DE20C9">
        <w:rPr>
          <w:sz w:val="24"/>
        </w:rPr>
        <w:t>The relevant crime</w:t>
      </w:r>
      <w:r w:rsidRPr="00DE20C9">
        <w:rPr>
          <w:sz w:val="24"/>
        </w:rPr>
        <w:t>,’</w:t>
      </w:r>
      <w:r w:rsidR="005A5C18" w:rsidRPr="00DE20C9">
        <w:rPr>
          <w:sz w:val="24"/>
        </w:rPr>
        <w:t xml:space="preserve"> the Lor</w:t>
      </w:r>
      <w:r w:rsidRPr="00DE20C9">
        <w:rPr>
          <w:sz w:val="24"/>
        </w:rPr>
        <w:t xml:space="preserve">d Chief Justice </w:t>
      </w:r>
      <w:proofErr w:type="gramStart"/>
      <w:r w:rsidRPr="00DE20C9">
        <w:rPr>
          <w:sz w:val="24"/>
        </w:rPr>
        <w:t xml:space="preserve">continues, </w:t>
      </w:r>
      <w:r>
        <w:rPr>
          <w:sz w:val="24"/>
        </w:rPr>
        <w:t>...</w:t>
      </w:r>
      <w:proofErr w:type="gramEnd"/>
      <w:r>
        <w:rPr>
          <w:sz w:val="24"/>
        </w:rPr>
        <w:t xml:space="preserve"> </w:t>
      </w:r>
      <w:r w:rsidRPr="00DE20C9">
        <w:rPr>
          <w:sz w:val="24"/>
        </w:rPr>
        <w:t>‘</w:t>
      </w:r>
      <w:r w:rsidR="005A5C18" w:rsidRPr="00DE20C9">
        <w:rPr>
          <w:sz w:val="24"/>
        </w:rPr>
        <w:t>must be within the contemplation of the accomplice, and only exceptionally would evidence be found to support the allegation that the accomplice had given the princ</w:t>
      </w:r>
      <w:r w:rsidRPr="00DE20C9">
        <w:rPr>
          <w:sz w:val="24"/>
        </w:rPr>
        <w:t>ipal a completely blank cheque.’</w:t>
      </w:r>
    </w:p>
    <w:p w:rsidR="005A5C18" w:rsidRDefault="005A5C18" w:rsidP="004814B5">
      <w:pPr>
        <w:pStyle w:val="Bob1"/>
        <w:numPr>
          <w:ilvl w:val="0"/>
          <w:numId w:val="0"/>
        </w:numPr>
        <w:tabs>
          <w:tab w:val="left" w:pos="720"/>
        </w:tabs>
        <w:spacing w:line="240" w:lineRule="auto"/>
        <w:ind w:left="720"/>
        <w:jc w:val="both"/>
        <w:rPr>
          <w:sz w:val="24"/>
        </w:rPr>
      </w:pPr>
      <w:r w:rsidRPr="00DE20C9">
        <w:rPr>
          <w:sz w:val="24"/>
        </w:rPr>
        <w:t xml:space="preserve">The principle thus formulated has great merit. It directs attention to the state of mind of the accused — not what he ought to have in contemplation, but what he did have: it avoids definition and classification, while ensuring that a man will not be convicted of aiding and abetting any offence his principal may commit, but only one which is within his contemplation. He may have in contemplation only one offence, or several: and the several which he contemplates he may see as alternatives. An accessory </w:t>
      </w:r>
      <w:proofErr w:type="gramStart"/>
      <w:r w:rsidRPr="00DE20C9">
        <w:rPr>
          <w:sz w:val="24"/>
        </w:rPr>
        <w:t>who</w:t>
      </w:r>
      <w:proofErr w:type="gramEnd"/>
      <w:r w:rsidRPr="00DE20C9">
        <w:rPr>
          <w:sz w:val="24"/>
        </w:rPr>
        <w:t xml:space="preserve"> leaves it to his principal to choose is liable, provided always the choice is made from the range of offences from which the accessory contemplates the choice will be made. Although the court's formulation of the principle goes further than the earlier cases, it is a sound development of the law and in no way inconsistent with them. </w:t>
      </w:r>
      <w:r w:rsidR="00DE20C9" w:rsidRPr="00DE20C9">
        <w:rPr>
          <w:sz w:val="24"/>
        </w:rPr>
        <w:t xml:space="preserve"> </w:t>
      </w:r>
      <w:r w:rsidRPr="00DE20C9">
        <w:rPr>
          <w:sz w:val="24"/>
        </w:rPr>
        <w:t>I accept it as good judge-made law in a field where there is no statute to offer guidance.</w:t>
      </w:r>
      <w:r w:rsidR="00DE20C9" w:rsidRPr="00DE20C9">
        <w:rPr>
          <w:sz w:val="24"/>
        </w:rPr>
        <w:t>”</w:t>
      </w:r>
    </w:p>
    <w:p w:rsidR="008C60EA" w:rsidRDefault="008C60EA" w:rsidP="004814B5">
      <w:pPr>
        <w:pStyle w:val="Bob1"/>
        <w:tabs>
          <w:tab w:val="clear" w:pos="720"/>
          <w:tab w:val="left" w:pos="1440"/>
        </w:tabs>
        <w:ind w:left="0" w:firstLine="0"/>
        <w:jc w:val="both"/>
      </w:pPr>
      <w:r>
        <w:t>Other frequently-encountered</w:t>
      </w:r>
      <w:r w:rsidR="00E43D9F">
        <w:t xml:space="preserve"> uncertainties</w:t>
      </w:r>
      <w:r>
        <w:t xml:space="preserve"> have been less easily accommodated </w:t>
      </w:r>
      <w:r w:rsidR="00AD2E71">
        <w:t>by enlarging</w:t>
      </w:r>
      <w:r>
        <w:t xml:space="preserve"> traditional accessorial concepts.  These arise </w:t>
      </w:r>
      <w:r w:rsidR="00643DD3">
        <w:t xml:space="preserve">especially </w:t>
      </w:r>
      <w:r w:rsidR="00E43D9F">
        <w:t xml:space="preserve">in </w:t>
      </w:r>
      <w:r>
        <w:t>circumstances involving what one might call eviden</w:t>
      </w:r>
      <w:r w:rsidR="00CF7F7A">
        <w:t>tial and situational uncertainties</w:t>
      </w:r>
      <w:r>
        <w:t xml:space="preserve">.  </w:t>
      </w:r>
    </w:p>
    <w:p w:rsidR="008A74CA" w:rsidRDefault="008A74CA" w:rsidP="004814B5">
      <w:pPr>
        <w:pStyle w:val="docmapheading"/>
      </w:pPr>
      <w:r>
        <w:t>B.</w:t>
      </w:r>
      <w:r w:rsidR="002B0C02">
        <w:t>2</w:t>
      </w:r>
      <w:r>
        <w:tab/>
        <w:t>Evidential uncertaint</w:t>
      </w:r>
      <w:r w:rsidR="00CF7F7A">
        <w:t>ies</w:t>
      </w:r>
    </w:p>
    <w:p w:rsidR="00404B95" w:rsidRDefault="008C60EA" w:rsidP="004814B5">
      <w:pPr>
        <w:pStyle w:val="Bob1"/>
        <w:tabs>
          <w:tab w:val="clear" w:pos="720"/>
          <w:tab w:val="left" w:pos="1440"/>
        </w:tabs>
        <w:ind w:left="0" w:firstLine="0"/>
        <w:jc w:val="both"/>
      </w:pPr>
      <w:r>
        <w:t xml:space="preserve">Evidential uncertainty </w:t>
      </w:r>
      <w:r w:rsidR="00601BFE">
        <w:t xml:space="preserve">as to who struck the fatal blow </w:t>
      </w:r>
      <w:r>
        <w:t xml:space="preserve">often </w:t>
      </w:r>
      <w:r w:rsidR="001F5A62">
        <w:t>arises</w:t>
      </w:r>
      <w:r>
        <w:t xml:space="preserve"> in homicide cases </w:t>
      </w:r>
      <w:r w:rsidR="00B838E2">
        <w:t>involving more than one defendant.</w:t>
      </w:r>
      <w:r>
        <w:t xml:space="preserve"> </w:t>
      </w:r>
      <w:r w:rsidR="009902A9">
        <w:t xml:space="preserve"> Thus, for instance, in </w:t>
      </w:r>
      <w:r w:rsidR="009902A9" w:rsidRPr="009902A9">
        <w:rPr>
          <w:i/>
        </w:rPr>
        <w:t>R v Powell (Anthony)</w:t>
      </w:r>
      <w:r w:rsidR="009902A9">
        <w:t>,</w:t>
      </w:r>
      <w:r w:rsidR="009902A9">
        <w:rPr>
          <w:rStyle w:val="FootnoteReference"/>
        </w:rPr>
        <w:footnoteReference w:id="19"/>
      </w:r>
      <w:r w:rsidR="009902A9">
        <w:t xml:space="preserve"> three men went to purchase drugs from a drug dealer but one of them shot the dealer dead when he came to the door, the Crown being unable to prove which of them fired the gun.  Similarly, in </w:t>
      </w:r>
      <w:proofErr w:type="spellStart"/>
      <w:r w:rsidR="009902A9" w:rsidRPr="009902A9">
        <w:rPr>
          <w:i/>
        </w:rPr>
        <w:t>Hui</w:t>
      </w:r>
      <w:proofErr w:type="spellEnd"/>
      <w:r w:rsidR="009902A9" w:rsidRPr="009902A9">
        <w:rPr>
          <w:i/>
        </w:rPr>
        <w:t xml:space="preserve"> Chi-</w:t>
      </w:r>
      <w:proofErr w:type="spellStart"/>
      <w:r w:rsidR="009902A9" w:rsidRPr="009902A9">
        <w:rPr>
          <w:i/>
        </w:rPr>
        <w:t>ming</w:t>
      </w:r>
      <w:proofErr w:type="spellEnd"/>
      <w:r w:rsidR="009902A9" w:rsidRPr="009902A9">
        <w:rPr>
          <w:i/>
        </w:rPr>
        <w:t xml:space="preserve"> v The Queen</w:t>
      </w:r>
      <w:r w:rsidR="009902A9">
        <w:t>,</w:t>
      </w:r>
      <w:r w:rsidR="009902A9">
        <w:rPr>
          <w:rStyle w:val="FootnoteReference"/>
        </w:rPr>
        <w:footnoteReference w:id="20"/>
      </w:r>
      <w:r w:rsidR="009902A9">
        <w:t xml:space="preserve"> the deceased was attacked by a group of youths and one of them – the prosecution could not say </w:t>
      </w:r>
      <w:r w:rsidR="00A16111">
        <w:t>which</w:t>
      </w:r>
      <w:r w:rsidR="004C1618">
        <w:t xml:space="preserve"> </w:t>
      </w:r>
      <w:r w:rsidR="009902A9">
        <w:t>– struck the fatal blow using a metal pipe.  Numerous</w:t>
      </w:r>
      <w:r w:rsidR="00A16111">
        <w:t xml:space="preserve"> other</w:t>
      </w:r>
      <w:r w:rsidR="009902A9">
        <w:t xml:space="preserve"> examples can be found.</w:t>
      </w:r>
      <w:r w:rsidR="009902A9">
        <w:rPr>
          <w:rStyle w:val="FootnoteReference"/>
        </w:rPr>
        <w:footnoteReference w:id="21"/>
      </w:r>
    </w:p>
    <w:p w:rsidR="008B0CE6" w:rsidRDefault="008B0CE6" w:rsidP="004814B5">
      <w:pPr>
        <w:pStyle w:val="Bob1"/>
        <w:tabs>
          <w:tab w:val="clear" w:pos="720"/>
          <w:tab w:val="left" w:pos="1440"/>
        </w:tabs>
        <w:ind w:left="0" w:firstLine="0"/>
        <w:jc w:val="both"/>
      </w:pPr>
      <w:r>
        <w:lastRenderedPageBreak/>
        <w:t xml:space="preserve">Such cases pose difficulties.  If </w:t>
      </w:r>
      <w:r w:rsidR="00D16707">
        <w:t xml:space="preserve">several persons were present and </w:t>
      </w:r>
      <w:r w:rsidR="00BB39C0">
        <w:t>possibly involved</w:t>
      </w:r>
      <w:r w:rsidR="00D16707">
        <w:t xml:space="preserve"> but </w:t>
      </w:r>
      <w:r>
        <w:t xml:space="preserve">the principal offender </w:t>
      </w:r>
      <w:r w:rsidR="00D16707">
        <w:t xml:space="preserve">cannot be identified, </w:t>
      </w:r>
      <w:r w:rsidR="00D16707" w:rsidRPr="004814B5">
        <w:rPr>
          <w:i/>
        </w:rPr>
        <w:t xml:space="preserve">prima facie </w:t>
      </w:r>
      <w:r>
        <w:t xml:space="preserve">all </w:t>
      </w:r>
      <w:r w:rsidR="00D16707">
        <w:t xml:space="preserve">should be </w:t>
      </w:r>
      <w:r>
        <w:t xml:space="preserve">acquitted.  Thus, in </w:t>
      </w:r>
      <w:r w:rsidR="00E723E3" w:rsidRPr="004814B5">
        <w:rPr>
          <w:i/>
        </w:rPr>
        <w:t>R v Abbott</w:t>
      </w:r>
      <w:r w:rsidR="00E723E3">
        <w:t>,</w:t>
      </w:r>
      <w:r w:rsidR="00E723E3">
        <w:rPr>
          <w:rStyle w:val="FootnoteReference"/>
        </w:rPr>
        <w:footnoteReference w:id="22"/>
      </w:r>
      <w:r w:rsidR="00E723E3">
        <w:t xml:space="preserve"> Lord Goddard CJ stated:</w:t>
      </w:r>
    </w:p>
    <w:p w:rsidR="00E723E3" w:rsidRPr="00E723E3" w:rsidRDefault="00E723E3" w:rsidP="004814B5">
      <w:pPr>
        <w:pStyle w:val="Bob1"/>
        <w:numPr>
          <w:ilvl w:val="0"/>
          <w:numId w:val="0"/>
        </w:numPr>
        <w:tabs>
          <w:tab w:val="left" w:pos="720"/>
        </w:tabs>
        <w:spacing w:line="240" w:lineRule="auto"/>
        <w:ind w:left="720"/>
        <w:jc w:val="both"/>
        <w:rPr>
          <w:sz w:val="24"/>
        </w:rPr>
      </w:pPr>
      <w:r w:rsidRPr="00E723E3">
        <w:rPr>
          <w:sz w:val="24"/>
        </w:rPr>
        <w:t>“If two people are jointly indicted for the commission of a crime and the evidence does not point to one rather than the other, and there is no evidence that they were acting in concert, the jury ought to return a verdict of not guilty against both because the prosecution have not proved the case.”</w:t>
      </w:r>
    </w:p>
    <w:p w:rsidR="00E723E3" w:rsidRDefault="00D16707" w:rsidP="004814B5">
      <w:pPr>
        <w:pStyle w:val="Bob1"/>
        <w:tabs>
          <w:tab w:val="clear" w:pos="720"/>
          <w:tab w:val="left" w:pos="1440"/>
        </w:tabs>
        <w:ind w:left="0" w:firstLine="0"/>
        <w:jc w:val="both"/>
      </w:pPr>
      <w:r>
        <w:t xml:space="preserve">As his Lordship </w:t>
      </w:r>
      <w:r w:rsidR="001F5A62">
        <w:t xml:space="preserve">there </w:t>
      </w:r>
      <w:r>
        <w:t xml:space="preserve">indicated, </w:t>
      </w:r>
      <w:r w:rsidR="00BB39C0">
        <w:t xml:space="preserve">the qualification is that </w:t>
      </w:r>
      <w:r>
        <w:t>a basis for liability may be found if those present “were acting in concert”.  As we shall see, resort has been had to the doctrine of joint criminal enterprise to</w:t>
      </w:r>
      <w:r w:rsidR="004C1618">
        <w:t xml:space="preserve"> deal with such cases</w:t>
      </w:r>
      <w:r>
        <w:t xml:space="preserve">.  But </w:t>
      </w:r>
      <w:r w:rsidR="001F5A62">
        <w:t xml:space="preserve">it </w:t>
      </w:r>
      <w:r>
        <w:t xml:space="preserve">has also </w:t>
      </w:r>
      <w:r w:rsidR="00F11434">
        <w:t xml:space="preserve">been </w:t>
      </w:r>
      <w:r>
        <w:t>more problematical</w:t>
      </w:r>
      <w:r w:rsidR="00091D1B">
        <w:t>ly suggested that</w:t>
      </w:r>
      <w:r>
        <w:t xml:space="preserve"> </w:t>
      </w:r>
      <w:r w:rsidR="00091D1B">
        <w:t xml:space="preserve">the </w:t>
      </w:r>
      <w:r>
        <w:t>accessorial liability rules</w:t>
      </w:r>
      <w:r w:rsidR="005F10B5">
        <w:t xml:space="preserve"> </w:t>
      </w:r>
      <w:r w:rsidR="001F5A62">
        <w:t xml:space="preserve">can </w:t>
      </w:r>
      <w:r w:rsidR="00091D1B">
        <w:t xml:space="preserve">be relied on for the </w:t>
      </w:r>
      <w:r w:rsidR="005F10B5">
        <w:t>same purpose</w:t>
      </w:r>
      <w:r w:rsidR="00091D1B">
        <w:t xml:space="preserve">.  Thus, the learned editors of </w:t>
      </w:r>
      <w:r w:rsidR="00091D1B">
        <w:rPr>
          <w:i/>
        </w:rPr>
        <w:t>Smith and Hogan</w:t>
      </w:r>
      <w:r>
        <w:t>,</w:t>
      </w:r>
      <w:r w:rsidR="00D10774">
        <w:t xml:space="preserve"> take as an example an attack on V by a group of individuals where V’s death results from a single stab wound</w:t>
      </w:r>
      <w:r w:rsidR="001F5A62">
        <w:t>,</w:t>
      </w:r>
      <w:r w:rsidR="00D10774">
        <w:t xml:space="preserve"> comment</w:t>
      </w:r>
      <w:r w:rsidR="001F5A62">
        <w:t>ing</w:t>
      </w:r>
      <w:r w:rsidR="00D10774">
        <w:t xml:space="preserve"> as follows:</w:t>
      </w:r>
      <w:r w:rsidR="00091D1B">
        <w:t xml:space="preserve"> </w:t>
      </w:r>
    </w:p>
    <w:p w:rsidR="00D10774" w:rsidRPr="008333E4" w:rsidRDefault="00D10774" w:rsidP="004814B5">
      <w:pPr>
        <w:pStyle w:val="Bob1"/>
        <w:numPr>
          <w:ilvl w:val="0"/>
          <w:numId w:val="0"/>
        </w:numPr>
        <w:spacing w:line="240" w:lineRule="auto"/>
        <w:ind w:left="720"/>
        <w:jc w:val="both"/>
        <w:rPr>
          <w:sz w:val="24"/>
        </w:rPr>
      </w:pPr>
      <w:r w:rsidRPr="008333E4">
        <w:rPr>
          <w:sz w:val="24"/>
        </w:rPr>
        <w:t>“Unless the evidence can establish that a particular member of the group must have been responsible for inflicting the fatal wound, the prosecution may have no alternative but to allege that each member was either the principal offender or an accessory.  Considerable difficulty would arise in such cases if the prosecution had to choose.</w:t>
      </w:r>
      <w:r w:rsidR="008333E4" w:rsidRPr="008333E4">
        <w:rPr>
          <w:sz w:val="24"/>
        </w:rPr>
        <w:t xml:space="preserve">  If there is only one fatal stab wound, the Crown cannot simply allege that each defendant was the principal.  As a matter of fact that is most unlikely to be true; only one person will have plunged the knife in.  Equally, the Crown would face difficulty if they alleged that each defendant was an accessory; unless the jury could be sure when considering the case against a particular defendant that he was not the principal, he would have to be acquitted.  In view of these forensic difficulties, the pragmatic solution of being able to charge D with being either an accessory or a principal is understandable.”</w:t>
      </w:r>
      <w:r w:rsidR="008333E4" w:rsidRPr="008333E4">
        <w:rPr>
          <w:rStyle w:val="FootnoteReference"/>
        </w:rPr>
        <w:t xml:space="preserve"> </w:t>
      </w:r>
      <w:r w:rsidR="008333E4">
        <w:rPr>
          <w:rStyle w:val="FootnoteReference"/>
        </w:rPr>
        <w:footnoteReference w:id="23"/>
      </w:r>
    </w:p>
    <w:p w:rsidR="004D06CF" w:rsidRDefault="004D06CF" w:rsidP="004814B5">
      <w:pPr>
        <w:pStyle w:val="Bob1"/>
        <w:tabs>
          <w:tab w:val="clear" w:pos="720"/>
          <w:tab w:val="left" w:pos="1440"/>
        </w:tabs>
        <w:ind w:left="0" w:firstLine="0"/>
        <w:jc w:val="both"/>
      </w:pPr>
      <w:r>
        <w:t xml:space="preserve">In </w:t>
      </w:r>
      <w:proofErr w:type="spellStart"/>
      <w:r>
        <w:rPr>
          <w:i/>
        </w:rPr>
        <w:t>Jogee</w:t>
      </w:r>
      <w:proofErr w:type="spellEnd"/>
      <w:r>
        <w:t>,</w:t>
      </w:r>
      <w:r>
        <w:rPr>
          <w:rStyle w:val="FootnoteReference"/>
        </w:rPr>
        <w:footnoteReference w:id="24"/>
      </w:r>
      <w:r>
        <w:t xml:space="preserve"> </w:t>
      </w:r>
      <w:r w:rsidR="006A3F12">
        <w:t>a similar</w:t>
      </w:r>
      <w:r>
        <w:t xml:space="preserve"> approach is </w:t>
      </w:r>
      <w:r w:rsidR="00BB39C0">
        <w:t>suggested</w:t>
      </w:r>
      <w:r>
        <w:t xml:space="preserve"> </w:t>
      </w:r>
      <w:r w:rsidR="00162281">
        <w:t>in the joint judgment of</w:t>
      </w:r>
      <w:r>
        <w:t xml:space="preserve"> Lord Hughes and Lord </w:t>
      </w:r>
      <w:proofErr w:type="spellStart"/>
      <w:r>
        <w:t>Toulson</w:t>
      </w:r>
      <w:proofErr w:type="spellEnd"/>
      <w:r>
        <w:t xml:space="preserve"> JJSC: “</w:t>
      </w:r>
      <w:r w:rsidR="00F10654" w:rsidRPr="00F10654">
        <w:t xml:space="preserve">In some cases the prosecution may not </w:t>
      </w:r>
      <w:r w:rsidR="00F10654" w:rsidRPr="00F10654">
        <w:lastRenderedPageBreak/>
        <w:t>be able to prove whether a defendant was principal or accessory, but it is sufficient to be able to prove that he participated in the crime in one way or another.</w:t>
      </w:r>
      <w:r w:rsidR="00F10654">
        <w:t>”</w:t>
      </w:r>
    </w:p>
    <w:p w:rsidR="001E3894" w:rsidRDefault="00F11434" w:rsidP="004814B5">
      <w:pPr>
        <w:pStyle w:val="Bob1"/>
        <w:tabs>
          <w:tab w:val="clear" w:pos="720"/>
          <w:tab w:val="left" w:pos="1440"/>
        </w:tabs>
        <w:ind w:left="0" w:firstLine="0"/>
        <w:jc w:val="both"/>
      </w:pPr>
      <w:r>
        <w:t xml:space="preserve">It </w:t>
      </w:r>
      <w:r w:rsidR="00F10654">
        <w:t>sh</w:t>
      </w:r>
      <w:r>
        <w:t>ould</w:t>
      </w:r>
      <w:r w:rsidR="001E3894">
        <w:t>,</w:t>
      </w:r>
      <w:r>
        <w:t xml:space="preserve"> </w:t>
      </w:r>
      <w:r w:rsidR="001E3894">
        <w:t xml:space="preserve">however, </w:t>
      </w:r>
      <w:r>
        <w:t xml:space="preserve">be </w:t>
      </w:r>
      <w:r w:rsidR="00F10654">
        <w:t>emphasised</w:t>
      </w:r>
      <w:r w:rsidR="00BB39C0">
        <w:t xml:space="preserve"> that that</w:t>
      </w:r>
      <w:r>
        <w:t xml:space="preserve"> “</w:t>
      </w:r>
      <w:r w:rsidRPr="00F11434">
        <w:t>pragmatic solution</w:t>
      </w:r>
      <w:r>
        <w:t xml:space="preserve">” is </w:t>
      </w:r>
      <w:r w:rsidR="00F10654">
        <w:t xml:space="preserve">not </w:t>
      </w:r>
      <w:r>
        <w:t xml:space="preserve">available in every case where the prosecution cannot prove who acted as principal.  </w:t>
      </w:r>
      <w:r w:rsidR="00F10654">
        <w:t xml:space="preserve">It </w:t>
      </w:r>
      <w:r w:rsidR="00162281">
        <w:t xml:space="preserve">can </w:t>
      </w:r>
      <w:r>
        <w:t>only</w:t>
      </w:r>
      <w:r w:rsidR="005A1917">
        <w:t xml:space="preserve"> apply</w:t>
      </w:r>
      <w:r w:rsidR="00162281">
        <w:t xml:space="preserve">, on </w:t>
      </w:r>
      <w:r w:rsidR="005A1917">
        <w:t>accessorial liability principles,</w:t>
      </w:r>
      <w:r>
        <w:t xml:space="preserve"> where there is </w:t>
      </w:r>
      <w:r w:rsidR="001E3894">
        <w:t xml:space="preserve">sufficient </w:t>
      </w:r>
      <w:r>
        <w:t xml:space="preserve">evidence </w:t>
      </w:r>
      <w:r w:rsidR="001F5A62">
        <w:t xml:space="preserve">as against </w:t>
      </w:r>
      <w:r w:rsidR="00162281">
        <w:t xml:space="preserve">the relevant </w:t>
      </w:r>
      <w:r>
        <w:t xml:space="preserve">defendant </w:t>
      </w:r>
      <w:r w:rsidR="00BB39C0">
        <w:t xml:space="preserve">to prove </w:t>
      </w:r>
      <w:r w:rsidR="001F5A62">
        <w:t xml:space="preserve">that he or she </w:t>
      </w:r>
      <w:r>
        <w:t xml:space="preserve">must at least </w:t>
      </w:r>
      <w:r w:rsidR="00BB39C0">
        <w:t xml:space="preserve">have acted </w:t>
      </w:r>
      <w:r>
        <w:t>as an accessory</w:t>
      </w:r>
      <w:r w:rsidR="00A16111">
        <w:t xml:space="preserve">, </w:t>
      </w:r>
      <w:proofErr w:type="spellStart"/>
      <w:r w:rsidR="00A16111">
        <w:t>ie</w:t>
      </w:r>
      <w:proofErr w:type="spellEnd"/>
      <w:r w:rsidR="00A16111">
        <w:t xml:space="preserve">, had </w:t>
      </w:r>
      <w:r w:rsidR="00CA07D2">
        <w:t>aided, abetted, counselled or procured the offence</w:t>
      </w:r>
      <w:r w:rsidR="00162281">
        <w:t xml:space="preserve"> with the requisite intent</w:t>
      </w:r>
      <w:r>
        <w:t xml:space="preserve">.  </w:t>
      </w:r>
    </w:p>
    <w:p w:rsidR="00CA1DC5" w:rsidRDefault="001F5A62" w:rsidP="004814B5">
      <w:pPr>
        <w:pStyle w:val="Bob1"/>
        <w:tabs>
          <w:tab w:val="clear" w:pos="720"/>
          <w:tab w:val="left" w:pos="1440"/>
        </w:tabs>
        <w:ind w:left="0" w:firstLine="0"/>
        <w:jc w:val="both"/>
      </w:pPr>
      <w:r>
        <w:t xml:space="preserve">For </w:t>
      </w:r>
      <w:r w:rsidR="00CA1DC5">
        <w:t xml:space="preserve">example, </w:t>
      </w:r>
      <w:r w:rsidR="00F11434">
        <w:t xml:space="preserve">in </w:t>
      </w:r>
      <w:r w:rsidR="00B843CF" w:rsidRPr="00B843CF">
        <w:rPr>
          <w:rFonts w:hint="eastAsia"/>
          <w:i/>
        </w:rPr>
        <w:t xml:space="preserve">R v </w:t>
      </w:r>
      <w:proofErr w:type="spellStart"/>
      <w:r w:rsidR="00B843CF" w:rsidRPr="00B843CF">
        <w:rPr>
          <w:i/>
        </w:rPr>
        <w:t>Swindall</w:t>
      </w:r>
      <w:proofErr w:type="spellEnd"/>
      <w:r w:rsidR="00B843CF" w:rsidRPr="00B843CF">
        <w:rPr>
          <w:i/>
        </w:rPr>
        <w:t xml:space="preserve"> </w:t>
      </w:r>
      <w:r w:rsidR="00B843CF" w:rsidRPr="00B843CF">
        <w:rPr>
          <w:rFonts w:hint="eastAsia"/>
          <w:i/>
        </w:rPr>
        <w:t>&amp;</w:t>
      </w:r>
      <w:r w:rsidR="00F11434" w:rsidRPr="00B843CF">
        <w:rPr>
          <w:i/>
        </w:rPr>
        <w:t xml:space="preserve"> Osborne</w:t>
      </w:r>
      <w:r w:rsidR="00F11434">
        <w:t>,</w:t>
      </w:r>
      <w:r w:rsidR="00F11434">
        <w:rPr>
          <w:rStyle w:val="FootnoteReference"/>
        </w:rPr>
        <w:footnoteReference w:id="25"/>
      </w:r>
      <w:r w:rsidR="009F5976">
        <w:t xml:space="preserve"> </w:t>
      </w:r>
      <w:r w:rsidR="00E33B2D">
        <w:t xml:space="preserve">a man was run down and killed as a result of </w:t>
      </w:r>
      <w:r w:rsidR="009F5976">
        <w:t xml:space="preserve">two </w:t>
      </w:r>
      <w:r w:rsidR="00992BE8">
        <w:t xml:space="preserve">horse and </w:t>
      </w:r>
      <w:r w:rsidR="009F5976">
        <w:t>cart drivers racing each other</w:t>
      </w:r>
      <w:r w:rsidR="00992BE8">
        <w:t xml:space="preserve">. </w:t>
      </w:r>
      <w:r w:rsidR="009F5976">
        <w:t xml:space="preserve"> </w:t>
      </w:r>
      <w:r w:rsidR="00992BE8">
        <w:t>E</w:t>
      </w:r>
      <w:r w:rsidR="009F5976">
        <w:t xml:space="preserve">ach </w:t>
      </w:r>
      <w:r w:rsidR="001E3894">
        <w:t xml:space="preserve">was </w:t>
      </w:r>
      <w:r w:rsidR="009F5976">
        <w:t>convicted of manslaughter</w:t>
      </w:r>
      <w:r w:rsidR="00992BE8">
        <w:t>, Pollock CB holding</w:t>
      </w:r>
      <w:r w:rsidR="00CA1DC5">
        <w:t xml:space="preserve"> </w:t>
      </w:r>
      <w:r w:rsidR="009F5976">
        <w:t xml:space="preserve">that it did not matter which cart </w:t>
      </w:r>
      <w:r w:rsidR="001E3894">
        <w:t>had run</w:t>
      </w:r>
      <w:r w:rsidR="009F5976">
        <w:t xml:space="preserve"> the victim over since the evidence showed that each </w:t>
      </w:r>
      <w:r>
        <w:t xml:space="preserve">defendant </w:t>
      </w:r>
      <w:r w:rsidR="009F5976">
        <w:t xml:space="preserve">had </w:t>
      </w:r>
      <w:r w:rsidR="00992BE8">
        <w:t>encouraged</w:t>
      </w:r>
      <w:r w:rsidR="009F5976">
        <w:t xml:space="preserve"> the other to drive dangerously</w:t>
      </w:r>
      <w:r w:rsidR="00CA1DC5">
        <w:t xml:space="preserve"> and so </w:t>
      </w:r>
      <w:r w:rsidR="00992BE8">
        <w:t xml:space="preserve">that they </w:t>
      </w:r>
      <w:r w:rsidR="00CA1DC5">
        <w:t xml:space="preserve">were </w:t>
      </w:r>
      <w:r>
        <w:t xml:space="preserve">each </w:t>
      </w:r>
      <w:r w:rsidR="00CA1DC5">
        <w:t>at least guilty as</w:t>
      </w:r>
      <w:r>
        <w:t xml:space="preserve"> an accessory</w:t>
      </w:r>
      <w:r w:rsidR="009F5976">
        <w:t xml:space="preserve">.  </w:t>
      </w:r>
    </w:p>
    <w:p w:rsidR="004814B5" w:rsidRDefault="002441DE" w:rsidP="004814B5">
      <w:pPr>
        <w:pStyle w:val="Bob1"/>
        <w:tabs>
          <w:tab w:val="clear" w:pos="720"/>
          <w:tab w:val="left" w:pos="1440"/>
        </w:tabs>
        <w:ind w:left="0" w:firstLine="0"/>
        <w:jc w:val="both"/>
      </w:pPr>
      <w:r>
        <w:t>T</w:t>
      </w:r>
      <w:r w:rsidR="001E3894">
        <w:t xml:space="preserve">he </w:t>
      </w:r>
      <w:r>
        <w:t>c</w:t>
      </w:r>
      <w:r w:rsidR="001E3894">
        <w:t xml:space="preserve">ourts have </w:t>
      </w:r>
      <w:r>
        <w:t xml:space="preserve">sometimes </w:t>
      </w:r>
      <w:r w:rsidR="001E3894">
        <w:t xml:space="preserve">relied on inaction when under a duty to act as evidence of </w:t>
      </w:r>
      <w:r>
        <w:t xml:space="preserve">such </w:t>
      </w:r>
      <w:r w:rsidR="001E3894">
        <w:t>aiding and abetting.  Thus</w:t>
      </w:r>
      <w:r w:rsidR="009F5976">
        <w:t xml:space="preserve">, in </w:t>
      </w:r>
      <w:r w:rsidR="009F5976" w:rsidRPr="004814B5">
        <w:rPr>
          <w:i/>
        </w:rPr>
        <w:t xml:space="preserve">Du </w:t>
      </w:r>
      <w:proofErr w:type="spellStart"/>
      <w:r w:rsidR="009F5976" w:rsidRPr="004814B5">
        <w:rPr>
          <w:i/>
        </w:rPr>
        <w:t>Cros</w:t>
      </w:r>
      <w:proofErr w:type="spellEnd"/>
      <w:r w:rsidR="009F5976" w:rsidRPr="004814B5">
        <w:rPr>
          <w:i/>
        </w:rPr>
        <w:t xml:space="preserve"> v </w:t>
      </w:r>
      <w:proofErr w:type="spellStart"/>
      <w:r w:rsidR="009F5976" w:rsidRPr="004814B5">
        <w:rPr>
          <w:i/>
        </w:rPr>
        <w:t>Lambourne</w:t>
      </w:r>
      <w:proofErr w:type="spellEnd"/>
      <w:r w:rsidR="009F5976" w:rsidRPr="004814B5">
        <w:rPr>
          <w:i/>
        </w:rPr>
        <w:t>,</w:t>
      </w:r>
      <w:r w:rsidR="009F5976">
        <w:rPr>
          <w:rStyle w:val="FootnoteReference"/>
          <w:i/>
        </w:rPr>
        <w:footnoteReference w:id="26"/>
      </w:r>
      <w:r w:rsidR="009F5976">
        <w:t xml:space="preserve"> </w:t>
      </w:r>
      <w:r w:rsidR="001E3894">
        <w:t xml:space="preserve">the defendant was charged with driving a car at a speed dangerous to the public but claimed that he was not the driver but in the passenger seat next to </w:t>
      </w:r>
      <w:r w:rsidR="00CA1DC5">
        <w:t xml:space="preserve">the person </w:t>
      </w:r>
      <w:r w:rsidR="001E3894">
        <w:t>doing the driving.  The Court of Appeal held that th</w:t>
      </w:r>
      <w:r w:rsidR="005A1917">
        <w:t>at</w:t>
      </w:r>
      <w:r w:rsidR="001E3894">
        <w:t xml:space="preserve"> was sufficient evidence of his aiding and abetting since it was his car and “he could, and ought to, have prevented her from driving at this excessive and dangerous speed, but ... he allowed her to do so and did not interfere in any way.”  Similarly, in </w:t>
      </w:r>
      <w:r w:rsidR="001E3894" w:rsidRPr="004814B5">
        <w:rPr>
          <w:i/>
        </w:rPr>
        <w:t>R v Forman and Ford</w:t>
      </w:r>
      <w:r w:rsidR="001E3894">
        <w:t>,</w:t>
      </w:r>
      <w:r w:rsidR="001E3894">
        <w:rPr>
          <w:rStyle w:val="FootnoteReference"/>
        </w:rPr>
        <w:footnoteReference w:id="27"/>
      </w:r>
      <w:r w:rsidR="001E3894">
        <w:t xml:space="preserve"> where it was unclear which of two police </w:t>
      </w:r>
      <w:r w:rsidR="008F07C6">
        <w:t xml:space="preserve">officers had </w:t>
      </w:r>
      <w:r w:rsidR="008F07C6">
        <w:lastRenderedPageBreak/>
        <w:t xml:space="preserve">assaulted the victim by striking him </w:t>
      </w:r>
      <w:r>
        <w:t xml:space="preserve">on </w:t>
      </w:r>
      <w:r w:rsidR="008F07C6">
        <w:t xml:space="preserve">the back of the head, the submission of no case to answer was rejected on the footing that it was open to the jury to find that each was at least guilty of aiding and abetting since </w:t>
      </w:r>
      <w:r w:rsidR="00CA1DC5">
        <w:t xml:space="preserve">the officer who </w:t>
      </w:r>
      <w:r>
        <w:t xml:space="preserve">had </w:t>
      </w:r>
      <w:r w:rsidR="008F07C6">
        <w:t>fail</w:t>
      </w:r>
      <w:r w:rsidR="00CA1DC5">
        <w:t>ed</w:t>
      </w:r>
      <w:r w:rsidR="008F07C6">
        <w:t xml:space="preserve"> in his duty to intervene to prevent the </w:t>
      </w:r>
      <w:r w:rsidR="001F5A62">
        <w:t xml:space="preserve">other’s </w:t>
      </w:r>
      <w:r w:rsidR="008F07C6">
        <w:t xml:space="preserve">commission of </w:t>
      </w:r>
      <w:r>
        <w:t xml:space="preserve">the </w:t>
      </w:r>
      <w:r w:rsidR="008F07C6">
        <w:t xml:space="preserve">crime could </w:t>
      </w:r>
      <w:r w:rsidR="00CA1DC5">
        <w:t xml:space="preserve">be found </w:t>
      </w:r>
      <w:r w:rsidR="00E33B2D">
        <w:t xml:space="preserve">thereby </w:t>
      </w:r>
      <w:r w:rsidR="002D3BC8">
        <w:t xml:space="preserve">to have given encouragement to </w:t>
      </w:r>
      <w:r w:rsidR="008F07C6">
        <w:t>the principal offender.</w:t>
      </w:r>
    </w:p>
    <w:p w:rsidR="00D10774" w:rsidRDefault="00FE770B" w:rsidP="004814B5">
      <w:pPr>
        <w:pStyle w:val="Bob1"/>
        <w:tabs>
          <w:tab w:val="clear" w:pos="720"/>
          <w:tab w:val="left" w:pos="1440"/>
        </w:tabs>
        <w:ind w:left="0" w:firstLine="0"/>
        <w:jc w:val="both"/>
      </w:pPr>
      <w:r>
        <w:t xml:space="preserve">  </w:t>
      </w:r>
      <w:r w:rsidR="008F07C6">
        <w:t xml:space="preserve">But where the identity of the principal cannot be proved and there is insufficient evidence </w:t>
      </w:r>
      <w:r w:rsidR="002D3BC8">
        <w:t xml:space="preserve">of the defendants’ conduct to found conviction on the basis that they must at least have acted as accessories, </w:t>
      </w:r>
      <w:r w:rsidR="000E5ED2">
        <w:t xml:space="preserve">the </w:t>
      </w:r>
      <w:r w:rsidR="00ED2A9A">
        <w:t xml:space="preserve">limits of the </w:t>
      </w:r>
      <w:r w:rsidR="000E5ED2">
        <w:t xml:space="preserve">accessorial liability rules </w:t>
      </w:r>
      <w:r w:rsidR="00ED2A9A">
        <w:t xml:space="preserve">and the role to be played by the joint criminal enterprise doctrine become apparent.  </w:t>
      </w:r>
      <w:r w:rsidR="002441DE" w:rsidRPr="004814B5">
        <w:rPr>
          <w:i/>
        </w:rPr>
        <w:t xml:space="preserve">Brown v </w:t>
      </w:r>
      <w:proofErr w:type="gramStart"/>
      <w:r w:rsidR="002441DE" w:rsidRPr="004814B5">
        <w:rPr>
          <w:i/>
        </w:rPr>
        <w:t>The</w:t>
      </w:r>
      <w:proofErr w:type="gramEnd"/>
      <w:r w:rsidR="002441DE" w:rsidRPr="004814B5">
        <w:rPr>
          <w:i/>
        </w:rPr>
        <w:t xml:space="preserve"> State</w:t>
      </w:r>
      <w:r w:rsidR="002441DE">
        <w:t>, to which I shall return,</w:t>
      </w:r>
      <w:r w:rsidR="00723F52">
        <w:rPr>
          <w:rStyle w:val="FootnoteReference"/>
        </w:rPr>
        <w:footnoteReference w:id="28"/>
      </w:r>
      <w:r w:rsidR="002441DE">
        <w:t xml:space="preserve"> illustrates this.</w:t>
      </w:r>
    </w:p>
    <w:p w:rsidR="00ED2A9A" w:rsidRDefault="00CF7F7A" w:rsidP="004814B5">
      <w:pPr>
        <w:pStyle w:val="docmapheading"/>
      </w:pPr>
      <w:r>
        <w:t>B.</w:t>
      </w:r>
      <w:r w:rsidR="002B0C02">
        <w:t>3</w:t>
      </w:r>
      <w:r>
        <w:tab/>
        <w:t>Situational uncertainties</w:t>
      </w:r>
      <w:r w:rsidR="00104261">
        <w:t xml:space="preserve"> </w:t>
      </w:r>
    </w:p>
    <w:p w:rsidR="008A57D2" w:rsidRDefault="000A047E" w:rsidP="004814B5">
      <w:pPr>
        <w:pStyle w:val="Bob1"/>
        <w:tabs>
          <w:tab w:val="clear" w:pos="720"/>
          <w:tab w:val="left" w:pos="1440"/>
        </w:tabs>
        <w:ind w:left="0" w:firstLine="0"/>
        <w:jc w:val="both"/>
      </w:pPr>
      <w:r>
        <w:t xml:space="preserve">Where </w:t>
      </w:r>
      <w:r w:rsidR="00CF7F7A">
        <w:t xml:space="preserve">the parties agree upon a planned course of criminal conduct, </w:t>
      </w:r>
      <w:r w:rsidR="00660333">
        <w:t xml:space="preserve">experience shows that uncertainties inevitably </w:t>
      </w:r>
      <w:r w:rsidR="000D4C2A">
        <w:t xml:space="preserve">exist </w:t>
      </w:r>
      <w:r w:rsidR="008A57D2">
        <w:t xml:space="preserve">as to what may happen in </w:t>
      </w:r>
      <w:r w:rsidR="00660333">
        <w:t xml:space="preserve">the situation </w:t>
      </w:r>
      <w:r w:rsidR="005A1917">
        <w:t xml:space="preserve">actually faced by </w:t>
      </w:r>
      <w:r w:rsidR="00660333">
        <w:t xml:space="preserve">the </w:t>
      </w:r>
      <w:r w:rsidR="007A6D8D">
        <w:t>co-adventurer</w:t>
      </w:r>
      <w:r w:rsidR="00660333">
        <w:t>s when implementing the plan</w:t>
      </w:r>
      <w:r w:rsidR="008A57D2">
        <w:t>.</w:t>
      </w:r>
    </w:p>
    <w:p w:rsidR="00660333" w:rsidRDefault="008A57D2" w:rsidP="004814B5">
      <w:pPr>
        <w:pStyle w:val="Bob1"/>
        <w:tabs>
          <w:tab w:val="clear" w:pos="720"/>
          <w:tab w:val="left" w:pos="1440"/>
        </w:tabs>
        <w:ind w:left="0" w:firstLine="0"/>
        <w:jc w:val="both"/>
      </w:pPr>
      <w:r>
        <w:t xml:space="preserve">As Stephen J pointed out in </w:t>
      </w:r>
      <w:proofErr w:type="gramStart"/>
      <w:r w:rsidRPr="004814B5">
        <w:rPr>
          <w:i/>
        </w:rPr>
        <w:t>Johns</w:t>
      </w:r>
      <w:proofErr w:type="gramEnd"/>
      <w:r w:rsidRPr="004814B5">
        <w:rPr>
          <w:i/>
        </w:rPr>
        <w:t xml:space="preserve"> v The Queen</w:t>
      </w:r>
      <w:r>
        <w:t>,</w:t>
      </w:r>
      <w:r>
        <w:rPr>
          <w:rStyle w:val="FootnoteReference"/>
        </w:rPr>
        <w:footnoteReference w:id="29"/>
      </w:r>
      <w:r>
        <w:t xml:space="preserve"> one or more of the </w:t>
      </w:r>
      <w:r w:rsidR="007A6D8D">
        <w:t>co-adventurer</w:t>
      </w:r>
      <w:r>
        <w:t xml:space="preserve">s may commit an </w:t>
      </w:r>
      <w:r w:rsidR="000A047E">
        <w:t xml:space="preserve">unplanned </w:t>
      </w:r>
      <w:r>
        <w:t>offence “</w:t>
      </w:r>
      <w:r w:rsidRPr="008A57D2">
        <w:t>as a reaction to whatever response is made by the victim, or by others who attempt to frustrate the venture, upon suddenly being confronted by the criminals.</w:t>
      </w:r>
      <w:r>
        <w:t>”</w:t>
      </w:r>
      <w:r w:rsidRPr="008A57D2">
        <w:t xml:space="preserve"> </w:t>
      </w:r>
      <w:r w:rsidR="00660333">
        <w:t xml:space="preserve">  </w:t>
      </w:r>
      <w:r w:rsidR="000A047E">
        <w:t>I</w:t>
      </w:r>
      <w:r w:rsidR="00736602">
        <w:t xml:space="preserve">n cases involving multiple offenders, such as gang fights, </w:t>
      </w:r>
      <w:r w:rsidR="000A047E">
        <w:t>a</w:t>
      </w:r>
      <w:r w:rsidR="00736602">
        <w:t xml:space="preserve">s Lord </w:t>
      </w:r>
      <w:proofErr w:type="spellStart"/>
      <w:r w:rsidR="00736602">
        <w:t>Steyn</w:t>
      </w:r>
      <w:proofErr w:type="spellEnd"/>
      <w:r w:rsidR="00736602">
        <w:t xml:space="preserve"> noted in </w:t>
      </w:r>
      <w:r w:rsidR="00736602" w:rsidRPr="004814B5">
        <w:rPr>
          <w:i/>
        </w:rPr>
        <w:t>R v Powell (Anthony)</w:t>
      </w:r>
      <w:r w:rsidR="00736602">
        <w:t>:</w:t>
      </w:r>
      <w:r w:rsidR="00736602">
        <w:rPr>
          <w:rStyle w:val="FootnoteReference"/>
        </w:rPr>
        <w:footnoteReference w:id="30"/>
      </w:r>
      <w:r w:rsidR="00736602">
        <w:t xml:space="preserve"> “E</w:t>
      </w:r>
      <w:r w:rsidR="00736602" w:rsidRPr="00736602">
        <w:t>xperience has shown that joint criminal enterprises only too readily escalate into the commission of greater offences.</w:t>
      </w:r>
      <w:r w:rsidR="00736602">
        <w:t>”</w:t>
      </w:r>
      <w:r w:rsidR="00836242">
        <w:t xml:space="preserve">  </w:t>
      </w:r>
      <w:r w:rsidR="000A047E">
        <w:t>V</w:t>
      </w:r>
      <w:r w:rsidR="00836242">
        <w:t xml:space="preserve">entures planned as robberies or burglaries or </w:t>
      </w:r>
      <w:r w:rsidR="002B69D8">
        <w:t xml:space="preserve">as </w:t>
      </w:r>
      <w:r w:rsidR="00836242">
        <w:t xml:space="preserve">an affray between gangs of youths </w:t>
      </w:r>
      <w:r w:rsidR="000A047E">
        <w:t xml:space="preserve">may </w:t>
      </w:r>
      <w:r w:rsidR="002B69D8">
        <w:t xml:space="preserve">turn into </w:t>
      </w:r>
      <w:r w:rsidR="00836242">
        <w:t>murder</w:t>
      </w:r>
      <w:r w:rsidR="002B69D8">
        <w:t xml:space="preserve"> cases</w:t>
      </w:r>
      <w:r w:rsidR="00836242">
        <w:t xml:space="preserve">.  </w:t>
      </w:r>
    </w:p>
    <w:p w:rsidR="00660333" w:rsidRDefault="000A047E" w:rsidP="004814B5">
      <w:pPr>
        <w:pStyle w:val="Bob1"/>
        <w:tabs>
          <w:tab w:val="clear" w:pos="720"/>
          <w:tab w:val="left" w:pos="1440"/>
        </w:tabs>
        <w:ind w:left="0" w:firstLine="0"/>
        <w:jc w:val="both"/>
      </w:pPr>
      <w:r>
        <w:lastRenderedPageBreak/>
        <w:t xml:space="preserve">It is difficult </w:t>
      </w:r>
      <w:r w:rsidR="00836242">
        <w:t xml:space="preserve">to deal with </w:t>
      </w:r>
      <w:r w:rsidR="002B69D8">
        <w:t xml:space="preserve">unplanned </w:t>
      </w:r>
      <w:r w:rsidR="00836242">
        <w:t xml:space="preserve">contingencies within the framework of traditional accessorial liability concepts.  </w:t>
      </w:r>
      <w:r>
        <w:t>Their a</w:t>
      </w:r>
      <w:r w:rsidR="002B69D8">
        <w:t xml:space="preserve">pplication </w:t>
      </w:r>
      <w:r w:rsidR="00DE6201">
        <w:t xml:space="preserve">may be </w:t>
      </w:r>
      <w:r w:rsidR="002B69D8">
        <w:t xml:space="preserve">straightforward in relation to the </w:t>
      </w:r>
      <w:r w:rsidR="00DE6201">
        <w:t xml:space="preserve">original </w:t>
      </w:r>
      <w:r>
        <w:t xml:space="preserve">object of the </w:t>
      </w:r>
      <w:r w:rsidR="002B69D8">
        <w:t>joint enterprise</w:t>
      </w:r>
      <w:r>
        <w:t xml:space="preserve"> such as robbery or burglary</w:t>
      </w:r>
      <w:r w:rsidR="002B69D8">
        <w:t xml:space="preserve">.  But </w:t>
      </w:r>
      <w:r w:rsidR="00E42704">
        <w:t xml:space="preserve">it is hard for </w:t>
      </w:r>
      <w:r>
        <w:t xml:space="preserve">the prosecution </w:t>
      </w:r>
      <w:r w:rsidR="00E42704">
        <w:t xml:space="preserve">to </w:t>
      </w:r>
      <w:r>
        <w:t xml:space="preserve">prove that an </w:t>
      </w:r>
      <w:r w:rsidR="002B69D8">
        <w:t xml:space="preserve">accomplice </w:t>
      </w:r>
      <w:r w:rsidR="00DE6201">
        <w:t xml:space="preserve">has </w:t>
      </w:r>
      <w:r w:rsidR="002B69D8">
        <w:t>performed intentional acts to assist</w:t>
      </w:r>
      <w:r>
        <w:t xml:space="preserve"> or encourage</w:t>
      </w:r>
      <w:r w:rsidR="002B69D8">
        <w:t xml:space="preserve"> the principal in the commission of the further offence of say, murder</w:t>
      </w:r>
      <w:r w:rsidR="00093EA4">
        <w:t xml:space="preserve">, </w:t>
      </w:r>
      <w:r w:rsidR="00E42704">
        <w:t xml:space="preserve">when it is an unplanned offence </w:t>
      </w:r>
      <w:r w:rsidR="00093EA4">
        <w:t>committed</w:t>
      </w:r>
      <w:r w:rsidR="0062781D">
        <w:t xml:space="preserve"> </w:t>
      </w:r>
      <w:r w:rsidR="00E42704">
        <w:t xml:space="preserve">as a spontaneous reaction </w:t>
      </w:r>
      <w:r w:rsidR="0062781D">
        <w:t>to the exigencies of the situation</w:t>
      </w:r>
      <w:r w:rsidR="00093EA4">
        <w:t xml:space="preserve">. </w:t>
      </w:r>
      <w:r w:rsidR="002B69D8">
        <w:t xml:space="preserve"> </w:t>
      </w:r>
      <w:r w:rsidR="0062781D">
        <w:t>A</w:t>
      </w:r>
      <w:r w:rsidR="00FE1136">
        <w:t xml:space="preserve"> workable</w:t>
      </w:r>
      <w:r w:rsidR="00162D09">
        <w:t xml:space="preserve"> principle </w:t>
      </w:r>
      <w:r w:rsidR="0062781D">
        <w:t xml:space="preserve">is therefore needed </w:t>
      </w:r>
      <w:r w:rsidR="00162D09">
        <w:t xml:space="preserve">for </w:t>
      </w:r>
      <w:r w:rsidR="00E42704">
        <w:t>determining</w:t>
      </w:r>
      <w:r w:rsidR="0062781D">
        <w:t xml:space="preserve"> </w:t>
      </w:r>
      <w:r w:rsidR="00E42704">
        <w:t xml:space="preserve">accomplice </w:t>
      </w:r>
      <w:r w:rsidR="00162D09">
        <w:t xml:space="preserve">liability in </w:t>
      </w:r>
      <w:r w:rsidR="00DE6201">
        <w:t xml:space="preserve">such </w:t>
      </w:r>
      <w:r w:rsidR="00162D09">
        <w:t>cases</w:t>
      </w:r>
      <w:r w:rsidR="00FE1136">
        <w:t xml:space="preserve">.  </w:t>
      </w:r>
    </w:p>
    <w:p w:rsidR="00FE1136" w:rsidRDefault="002B0C02" w:rsidP="004814B5">
      <w:pPr>
        <w:pStyle w:val="docmapheading"/>
      </w:pPr>
      <w:r>
        <w:t>C.</w:t>
      </w:r>
      <w:r w:rsidR="00FE1136">
        <w:tab/>
      </w:r>
      <w:r w:rsidR="006A2010">
        <w:t>A distinct doctrine of j</w:t>
      </w:r>
      <w:r w:rsidR="00FE1136">
        <w:t xml:space="preserve">oint criminal enterprise </w:t>
      </w:r>
    </w:p>
    <w:p w:rsidR="00453092" w:rsidRDefault="00FE1136" w:rsidP="004814B5">
      <w:pPr>
        <w:pStyle w:val="Bob1"/>
        <w:tabs>
          <w:tab w:val="clear" w:pos="720"/>
          <w:tab w:val="left" w:pos="0"/>
          <w:tab w:val="left" w:pos="1440"/>
        </w:tabs>
        <w:ind w:left="0" w:firstLine="0"/>
        <w:jc w:val="both"/>
      </w:pPr>
      <w:r>
        <w:t xml:space="preserve">The common law’s </w:t>
      </w:r>
      <w:r w:rsidR="00CF7CCA">
        <w:t xml:space="preserve">approach </w:t>
      </w:r>
      <w:r w:rsidR="00DE6201">
        <w:t xml:space="preserve">has </w:t>
      </w:r>
      <w:r>
        <w:t>been to evolve the doctrine of joint criminal enterprise</w:t>
      </w:r>
      <w:r w:rsidR="004A3856">
        <w:t xml:space="preserve">, also referred to as the doctrine of “common intention”, </w:t>
      </w:r>
      <w:r w:rsidR="003732FF">
        <w:t xml:space="preserve">of </w:t>
      </w:r>
      <w:r w:rsidR="004A3856">
        <w:t xml:space="preserve">“common purpose”, </w:t>
      </w:r>
      <w:r w:rsidR="003732FF">
        <w:t xml:space="preserve">of </w:t>
      </w:r>
      <w:r w:rsidR="004A3856">
        <w:t xml:space="preserve">“acting in concert” and </w:t>
      </w:r>
      <w:r w:rsidR="003732FF">
        <w:t xml:space="preserve">of </w:t>
      </w:r>
      <w:r w:rsidR="004A3856">
        <w:t>“common design”</w:t>
      </w:r>
      <w:r>
        <w:t>.</w:t>
      </w:r>
      <w:r w:rsidR="00496586">
        <w:t xml:space="preserve">  </w:t>
      </w:r>
    </w:p>
    <w:p w:rsidR="00983793" w:rsidRDefault="006A2010" w:rsidP="004814B5">
      <w:pPr>
        <w:pStyle w:val="Bob1"/>
        <w:tabs>
          <w:tab w:val="clear" w:pos="720"/>
          <w:tab w:val="left" w:pos="0"/>
          <w:tab w:val="left" w:pos="1440"/>
        </w:tabs>
        <w:ind w:left="0" w:firstLine="0"/>
        <w:jc w:val="both"/>
      </w:pPr>
      <w:r>
        <w:t xml:space="preserve">The doctrine of joint criminal enterprise is </w:t>
      </w:r>
      <w:r w:rsidR="00496586">
        <w:t>distinct from the traditional</w:t>
      </w:r>
      <w:r w:rsidR="003732FF">
        <w:t xml:space="preserve"> rules on accessorial liability</w:t>
      </w:r>
      <w:r w:rsidR="00DE6201">
        <w:t xml:space="preserve">, </w:t>
      </w:r>
      <w:r>
        <w:t xml:space="preserve">although there are situations where those rules may </w:t>
      </w:r>
      <w:r w:rsidR="00DE6201">
        <w:t>overlap</w:t>
      </w:r>
      <w:r w:rsidR="00496586">
        <w:t xml:space="preserve">.   </w:t>
      </w:r>
      <w:r>
        <w:t>It is important to note – since consequences flow from this – that u</w:t>
      </w:r>
      <w:r w:rsidR="001B1C54">
        <w:t>nder the doctrine of joint criminal enterprise</w:t>
      </w:r>
      <w:r>
        <w:t>,</w:t>
      </w:r>
      <w:r w:rsidR="001B1C54">
        <w:t xml:space="preserve"> </w:t>
      </w:r>
      <w:r w:rsidR="006912AA">
        <w:t xml:space="preserve">liability </w:t>
      </w:r>
      <w:r w:rsidR="001B1C54">
        <w:t>is not derivative</w:t>
      </w:r>
      <w:r w:rsidR="006A593D">
        <w:t>: it is not</w:t>
      </w:r>
      <w:r w:rsidR="001B1C54">
        <w:t xml:space="preserve"> dependent on </w:t>
      </w:r>
      <w:r w:rsidR="006A593D">
        <w:t xml:space="preserve">proving that </w:t>
      </w:r>
      <w:r w:rsidR="003802BB">
        <w:t>one person (</w:t>
      </w:r>
      <w:r w:rsidR="006A593D">
        <w:t xml:space="preserve">the </w:t>
      </w:r>
      <w:r w:rsidR="003732FF">
        <w:t>principal</w:t>
      </w:r>
      <w:r w:rsidR="003802BB">
        <w:t>)</w:t>
      </w:r>
      <w:r w:rsidR="0062781D">
        <w:t xml:space="preserve"> </w:t>
      </w:r>
      <w:r w:rsidR="003732FF">
        <w:t xml:space="preserve">committed the </w:t>
      </w:r>
      <w:r w:rsidR="00DE6201">
        <w:t xml:space="preserve">main </w:t>
      </w:r>
      <w:r w:rsidR="00D64F17">
        <w:t xml:space="preserve">offence </w:t>
      </w:r>
      <w:r w:rsidR="003732FF">
        <w:t>a</w:t>
      </w:r>
      <w:r w:rsidR="000939ED">
        <w:t>nd that another (the accomplice</w:t>
      </w:r>
      <w:r w:rsidR="003732FF">
        <w:t xml:space="preserve">) </w:t>
      </w:r>
      <w:r w:rsidR="001B1C54">
        <w:t>assist</w:t>
      </w:r>
      <w:r w:rsidR="006A593D">
        <w:t>ed</w:t>
      </w:r>
      <w:r w:rsidR="001B1C54">
        <w:t xml:space="preserve"> or encourag</w:t>
      </w:r>
      <w:r w:rsidR="006A593D">
        <w:t>ed</w:t>
      </w:r>
      <w:r w:rsidR="003732FF">
        <w:t xml:space="preserve"> its commission</w:t>
      </w:r>
      <w:r w:rsidR="001B1C54">
        <w:t xml:space="preserve">.  Liability is </w:t>
      </w:r>
      <w:r w:rsidR="00983793">
        <w:t xml:space="preserve">independently based </w:t>
      </w:r>
      <w:r w:rsidR="001B1C54">
        <w:t>on each defendant’s participation in a joint criminal enterprise</w:t>
      </w:r>
      <w:r w:rsidR="006A593D">
        <w:t xml:space="preserve"> </w:t>
      </w:r>
      <w:r w:rsidR="001B1C54">
        <w:t xml:space="preserve">with </w:t>
      </w:r>
      <w:r w:rsidR="006A593D">
        <w:t xml:space="preserve">the requisite </w:t>
      </w:r>
      <w:r w:rsidR="001B1C54">
        <w:t xml:space="preserve">mental state </w:t>
      </w:r>
      <w:r w:rsidR="0062781D">
        <w:t xml:space="preserve">to constitute </w:t>
      </w:r>
      <w:r w:rsidR="001B1C54">
        <w:t>the offence</w:t>
      </w:r>
      <w:r w:rsidR="006A593D">
        <w:t xml:space="preserve"> </w:t>
      </w:r>
      <w:r w:rsidR="0062781D">
        <w:t>relevant to the defendant in question</w:t>
      </w:r>
      <w:r w:rsidR="00492698">
        <w:t>.</w:t>
      </w:r>
    </w:p>
    <w:p w:rsidR="009B0724" w:rsidRDefault="00BC6A84" w:rsidP="004814B5">
      <w:pPr>
        <w:pStyle w:val="Bob1"/>
        <w:tabs>
          <w:tab w:val="clear" w:pos="720"/>
          <w:tab w:val="left" w:pos="0"/>
          <w:tab w:val="left" w:pos="1440"/>
        </w:tabs>
        <w:ind w:left="0" w:firstLine="0"/>
        <w:jc w:val="both"/>
      </w:pPr>
      <w:r>
        <w:t xml:space="preserve">Sir Robin Cooke </w:t>
      </w:r>
      <w:r w:rsidR="006A2010">
        <w:t xml:space="preserve">noted the distinction between the doctrines </w:t>
      </w:r>
      <w:r>
        <w:t xml:space="preserve">in </w:t>
      </w:r>
      <w:r w:rsidRPr="004814B5">
        <w:rPr>
          <w:i/>
        </w:rPr>
        <w:t>Chan Wing-</w:t>
      </w:r>
      <w:proofErr w:type="spellStart"/>
      <w:r w:rsidRPr="004814B5">
        <w:rPr>
          <w:i/>
        </w:rPr>
        <w:t>siu</w:t>
      </w:r>
      <w:proofErr w:type="spellEnd"/>
      <w:r w:rsidRPr="004814B5">
        <w:rPr>
          <w:i/>
        </w:rPr>
        <w:t xml:space="preserve"> v The Queen</w:t>
      </w:r>
      <w:r>
        <w:t>,</w:t>
      </w:r>
      <w:r>
        <w:rPr>
          <w:rStyle w:val="FootnoteReference"/>
        </w:rPr>
        <w:footnoteReference w:id="31"/>
      </w:r>
      <w:r w:rsidR="009B0724">
        <w:t xml:space="preserve"> </w:t>
      </w:r>
      <w:r w:rsidR="006A2010">
        <w:t>contrasting</w:t>
      </w:r>
      <w:r w:rsidR="009B0724">
        <w:t xml:space="preserve"> accessorial liability by “aiding, abetting, counselling, inciting or procuring” the primary offence with </w:t>
      </w:r>
      <w:r w:rsidR="009B0724">
        <w:lastRenderedPageBreak/>
        <w:t>complicity based on participating in a “common unlawful enterprise” in which a crime is “foreseen as a possible incident of the common unlawful enterprise”.</w:t>
      </w:r>
    </w:p>
    <w:p w:rsidR="009D66C7" w:rsidRDefault="009B0724" w:rsidP="004814B5">
      <w:pPr>
        <w:pStyle w:val="Bob1"/>
        <w:tabs>
          <w:tab w:val="clear" w:pos="720"/>
          <w:tab w:val="left" w:pos="0"/>
          <w:tab w:val="left" w:pos="1440"/>
        </w:tabs>
        <w:ind w:left="0" w:firstLine="0"/>
        <w:jc w:val="both"/>
      </w:pPr>
      <w:r>
        <w:t xml:space="preserve"> </w:t>
      </w:r>
      <w:r w:rsidR="00102B0D">
        <w:t xml:space="preserve">In </w:t>
      </w:r>
      <w:r w:rsidR="00102B0D" w:rsidRPr="004814B5">
        <w:rPr>
          <w:i/>
        </w:rPr>
        <w:t>McAu</w:t>
      </w:r>
      <w:r w:rsidR="00A53AA5" w:rsidRPr="004814B5">
        <w:rPr>
          <w:i/>
        </w:rPr>
        <w:t>liffe v The Queen</w:t>
      </w:r>
      <w:r w:rsidR="00102B0D">
        <w:t>,</w:t>
      </w:r>
      <w:r w:rsidR="00102B0D">
        <w:rPr>
          <w:rStyle w:val="FootnoteReference"/>
        </w:rPr>
        <w:footnoteReference w:id="32"/>
      </w:r>
      <w:r w:rsidR="00102B0D">
        <w:t xml:space="preserve"> the </w:t>
      </w:r>
      <w:r>
        <w:t xml:space="preserve">High Court of Australia </w:t>
      </w:r>
      <w:r w:rsidR="00102B0D">
        <w:t>explained that the doctrine of joint criminal enterprise</w:t>
      </w:r>
      <w:r w:rsidR="000C2AB1">
        <w:t xml:space="preserve"> provides an additional means of establishing complicity</w:t>
      </w:r>
      <w:r w:rsidR="00E460C9">
        <w:t xml:space="preserve"> </w:t>
      </w:r>
      <w:r w:rsidR="000939ED">
        <w:t xml:space="preserve">alongside </w:t>
      </w:r>
      <w:r w:rsidR="00E460C9">
        <w:t>the rules of accessorial liability</w:t>
      </w:r>
      <w:r w:rsidR="00102B0D">
        <w:t>:</w:t>
      </w:r>
    </w:p>
    <w:p w:rsidR="00102B0D" w:rsidRDefault="00102B0D" w:rsidP="004814B5">
      <w:pPr>
        <w:pStyle w:val="Bob1"/>
        <w:numPr>
          <w:ilvl w:val="0"/>
          <w:numId w:val="0"/>
        </w:numPr>
        <w:spacing w:line="240" w:lineRule="auto"/>
        <w:ind w:left="810" w:hanging="90"/>
        <w:jc w:val="both"/>
        <w:rPr>
          <w:sz w:val="24"/>
        </w:rPr>
      </w:pPr>
      <w:r w:rsidRPr="00102B0D">
        <w:rPr>
          <w:sz w:val="24"/>
        </w:rPr>
        <w:t>“</w:t>
      </w:r>
      <w:r w:rsidR="00E460C9">
        <w:rPr>
          <w:sz w:val="24"/>
        </w:rPr>
        <w:t xml:space="preserve">... </w:t>
      </w:r>
      <w:proofErr w:type="gramStart"/>
      <w:r w:rsidRPr="00102B0D">
        <w:rPr>
          <w:sz w:val="24"/>
        </w:rPr>
        <w:t>the</w:t>
      </w:r>
      <w:proofErr w:type="gramEnd"/>
      <w:r w:rsidRPr="00102B0D">
        <w:rPr>
          <w:sz w:val="24"/>
        </w:rPr>
        <w:t xml:space="preserve"> complicity of a secondary party may also be established by reason of a common purpose shared with the principal offender or with that offender and others. Such a common purpose arises where a person reaches an understanding or arrangement amounting to an agreement between that person and another or others that they will commit a crime. The understanding or arrangement need not be express and may be inferred from all the circumstances. If one or other of the parties to the understanding or arrangement does, or they do between them, in accordance with the continuing understanding or arrangement, all those things which are necessary to constitute the crime, they are all equally guilty of the crime regardless of the part played by each in its commission.  Not only that, but each of the parties to the arrangement or understanding is guilty of any other crime falling within the scope of the common purpose which is committed in carrying out that purpose.”</w:t>
      </w:r>
    </w:p>
    <w:p w:rsidR="00102B0D" w:rsidRDefault="009B0724" w:rsidP="004814B5">
      <w:pPr>
        <w:pStyle w:val="Bob1"/>
        <w:tabs>
          <w:tab w:val="clear" w:pos="720"/>
          <w:tab w:val="left" w:pos="1440"/>
        </w:tabs>
        <w:ind w:left="180" w:hanging="180"/>
        <w:jc w:val="both"/>
      </w:pPr>
      <w:r>
        <w:t>And i</w:t>
      </w:r>
      <w:r w:rsidR="00102B0D">
        <w:t xml:space="preserve">n </w:t>
      </w:r>
      <w:r w:rsidR="004B1C19" w:rsidRPr="004B1C19">
        <w:rPr>
          <w:i/>
        </w:rPr>
        <w:t>Clayton v The Queen</w:t>
      </w:r>
      <w:r w:rsidR="004B1C19">
        <w:t xml:space="preserve">, </w:t>
      </w:r>
      <w:r w:rsidR="004B1C19" w:rsidRPr="004B1C19">
        <w:t xml:space="preserve">citing Professor A P </w:t>
      </w:r>
      <w:proofErr w:type="spellStart"/>
      <w:r w:rsidR="004B1C19" w:rsidRPr="004B1C19">
        <w:t>Simester</w:t>
      </w:r>
      <w:proofErr w:type="spellEnd"/>
      <w:r w:rsidR="004B1C19">
        <w:t>,</w:t>
      </w:r>
      <w:r w:rsidR="004B1C19">
        <w:rPr>
          <w:rStyle w:val="FootnoteReference"/>
        </w:rPr>
        <w:footnoteReference w:id="33"/>
      </w:r>
      <w:r w:rsidR="004B1C19" w:rsidRPr="004B1C19">
        <w:t xml:space="preserve"> </w:t>
      </w:r>
      <w:r w:rsidR="004B1C19">
        <w:t xml:space="preserve">the </w:t>
      </w:r>
      <w:r>
        <w:t xml:space="preserve">High </w:t>
      </w:r>
      <w:r w:rsidR="004B1C19">
        <w:t>Court</w:t>
      </w:r>
      <w:r w:rsidR="004B1C19">
        <w:rPr>
          <w:rStyle w:val="FootnoteReference"/>
        </w:rPr>
        <w:footnoteReference w:id="34"/>
      </w:r>
      <w:r w:rsidR="004B1C19">
        <w:t xml:space="preserve"> </w:t>
      </w:r>
      <w:r w:rsidR="00492698">
        <w:t>highlighted the different factual bases upon which</w:t>
      </w:r>
      <w:r w:rsidR="004B1C19">
        <w:t xml:space="preserve"> the </w:t>
      </w:r>
      <w:r w:rsidR="00492698">
        <w:t xml:space="preserve">respective </w:t>
      </w:r>
      <w:r w:rsidR="004B1C19">
        <w:t>doctrines</w:t>
      </w:r>
      <w:r w:rsidR="00492698">
        <w:t xml:space="preserve"> rest</w:t>
      </w:r>
      <w:r w:rsidR="004B1C19">
        <w:t>:</w:t>
      </w:r>
    </w:p>
    <w:p w:rsidR="004B1C19" w:rsidRPr="004B1C19" w:rsidRDefault="004B1C19" w:rsidP="004814B5">
      <w:pPr>
        <w:pStyle w:val="Bob1"/>
        <w:numPr>
          <w:ilvl w:val="0"/>
          <w:numId w:val="0"/>
        </w:numPr>
        <w:spacing w:line="240" w:lineRule="auto"/>
        <w:ind w:left="720"/>
        <w:jc w:val="both"/>
        <w:rPr>
          <w:sz w:val="24"/>
        </w:rPr>
      </w:pPr>
      <w:r w:rsidRPr="004B1C19">
        <w:rPr>
          <w:sz w:val="24"/>
        </w:rPr>
        <w:t xml:space="preserve">“... </w:t>
      </w:r>
      <w:proofErr w:type="gramStart"/>
      <w:r w:rsidRPr="004B1C19">
        <w:rPr>
          <w:sz w:val="24"/>
        </w:rPr>
        <w:t>liability</w:t>
      </w:r>
      <w:proofErr w:type="gramEnd"/>
      <w:r w:rsidRPr="004B1C19">
        <w:rPr>
          <w:sz w:val="24"/>
        </w:rPr>
        <w:t xml:space="preserve"> as an </w:t>
      </w:r>
      <w:proofErr w:type="spellStart"/>
      <w:r w:rsidRPr="004B1C19">
        <w:rPr>
          <w:sz w:val="24"/>
        </w:rPr>
        <w:t>aider</w:t>
      </w:r>
      <w:proofErr w:type="spellEnd"/>
      <w:r w:rsidRPr="004B1C19">
        <w:rPr>
          <w:sz w:val="24"/>
        </w:rPr>
        <w:t xml:space="preserve"> and abettor is grounded in the secondary party's contribution to another's crime.  By contrast, in joint enterprise cases, the wrong lies in the mutual embarkation on a crime, and the participants are liable for what they foresee as the possible results of that venture.  In some cases, the accused may be guilty both as an </w:t>
      </w:r>
      <w:proofErr w:type="spellStart"/>
      <w:r w:rsidRPr="004B1C19">
        <w:rPr>
          <w:sz w:val="24"/>
        </w:rPr>
        <w:t>aider</w:t>
      </w:r>
      <w:proofErr w:type="spellEnd"/>
      <w:r w:rsidRPr="004B1C19">
        <w:rPr>
          <w:sz w:val="24"/>
        </w:rPr>
        <w:t xml:space="preserve"> and abettor, and as participant in a joint criminal enterprise. That factual intersection of the two different sets of principles does not deny their separate utility.”</w:t>
      </w:r>
    </w:p>
    <w:p w:rsidR="004B1C19" w:rsidRDefault="00492698" w:rsidP="004814B5">
      <w:pPr>
        <w:pStyle w:val="Bob1"/>
        <w:tabs>
          <w:tab w:val="clear" w:pos="720"/>
          <w:tab w:val="left" w:pos="1440"/>
        </w:tabs>
        <w:ind w:left="0" w:firstLine="0"/>
        <w:jc w:val="both"/>
      </w:pPr>
      <w:r>
        <w:t>I</w:t>
      </w:r>
      <w:r w:rsidR="00831417">
        <w:t xml:space="preserve">n </w:t>
      </w:r>
      <w:r w:rsidR="00831417" w:rsidRPr="00831417">
        <w:rPr>
          <w:i/>
        </w:rPr>
        <w:t>R v Stewart and Schofield</w:t>
      </w:r>
      <w:r>
        <w:rPr>
          <w:i/>
        </w:rPr>
        <w:t>,</w:t>
      </w:r>
      <w:r w:rsidR="00831417">
        <w:rPr>
          <w:rStyle w:val="FootnoteReference"/>
        </w:rPr>
        <w:footnoteReference w:id="35"/>
      </w:r>
      <w:r w:rsidR="00831417">
        <w:t xml:space="preserve"> </w:t>
      </w:r>
      <w:proofErr w:type="spellStart"/>
      <w:r>
        <w:t>Hobhouse</w:t>
      </w:r>
      <w:proofErr w:type="spellEnd"/>
      <w:r>
        <w:t xml:space="preserve"> LJ pointed out that one consequence of the distinction, flowing from </w:t>
      </w:r>
      <w:r w:rsidR="00831417">
        <w:t>the independent rather than derivative liability of participants in a joint criminal enterprise</w:t>
      </w:r>
      <w:r>
        <w:t xml:space="preserve">, is that under the </w:t>
      </w:r>
      <w:r>
        <w:lastRenderedPageBreak/>
        <w:t xml:space="preserve">joint criminal enterprise doctrine, one defendant may be guilty of </w:t>
      </w:r>
      <w:r w:rsidR="00831417">
        <w:t xml:space="preserve">manslaughter </w:t>
      </w:r>
      <w:r>
        <w:t>while a co-defendant is convicted of</w:t>
      </w:r>
      <w:r w:rsidR="000C2AB1">
        <w:t xml:space="preserve"> murder </w:t>
      </w:r>
      <w:r w:rsidR="00831417">
        <w:t>in</w:t>
      </w:r>
      <w:r>
        <w:t xml:space="preserve"> the same case</w:t>
      </w:r>
      <w:r w:rsidR="00831417">
        <w:t xml:space="preserve">: </w:t>
      </w:r>
    </w:p>
    <w:p w:rsidR="00831417" w:rsidRDefault="00831417" w:rsidP="004814B5">
      <w:pPr>
        <w:pStyle w:val="Bob1"/>
        <w:numPr>
          <w:ilvl w:val="0"/>
          <w:numId w:val="0"/>
        </w:numPr>
        <w:spacing w:line="240" w:lineRule="auto"/>
        <w:ind w:left="720"/>
        <w:jc w:val="both"/>
        <w:rPr>
          <w:sz w:val="24"/>
        </w:rPr>
      </w:pPr>
      <w:r w:rsidRPr="00831417">
        <w:rPr>
          <w:sz w:val="24"/>
        </w:rPr>
        <w:t xml:space="preserve">“The allegation that a defendant took part in the execution of a crime as a joint enterprise is not the same as an allegation that he aided, abetted, counselled or procured the commission of that crime. A person who is a mere aider or abettor, etc, is truly a secondary party to the commission of whatever crime it is that the principal has committed although he may be charged as a principal. If the principal has committed the crime of murder, the liability of the secondary party can only be a liability for aiding and abetting murder. In contrast, where the allegation is joint enterprise, the allegation is that one defendant participated in the criminal act of another. This is a different principle. It renders each of the parties to a joint enterprise criminally liable for the acts done in the course of carrying out that joint enterprise. Where the criminal liability of any given defendant depends upon the further proof that he had a certain state of mind, that state of mind must be proved against that defendant. Even though several defendants may, as a result of having engaged in a joint enterprise, be each criminally responsible for the criminal act of one of those defendants done in the course of carrying out the joint enterprise, their individual criminal responsibility will, in such a case, depend upon what individual state of mind or intention has been proved against them. Thus, each may be a party to the unlawful act which caused the victim's death. But one may have had the intent either to kill him or to cause him serious harm and be guilty of murder, whereas another may not have had that intent and may be guilty only of manslaughter.” </w:t>
      </w:r>
    </w:p>
    <w:p w:rsidR="00831417" w:rsidRDefault="00831417" w:rsidP="004814B5">
      <w:pPr>
        <w:pStyle w:val="Bob1"/>
        <w:tabs>
          <w:tab w:val="clear" w:pos="720"/>
          <w:tab w:val="left" w:pos="1440"/>
        </w:tabs>
        <w:ind w:left="0" w:firstLine="0"/>
        <w:jc w:val="both"/>
      </w:pPr>
      <w:r>
        <w:t xml:space="preserve">The difference between the doctrines was </w:t>
      </w:r>
      <w:r w:rsidR="0024475A">
        <w:t xml:space="preserve">also </w:t>
      </w:r>
      <w:r>
        <w:t xml:space="preserve">recognized by this Court in </w:t>
      </w:r>
      <w:proofErr w:type="spellStart"/>
      <w:r w:rsidRPr="00831417">
        <w:rPr>
          <w:i/>
        </w:rPr>
        <w:t>Sze</w:t>
      </w:r>
      <w:proofErr w:type="spellEnd"/>
      <w:r w:rsidRPr="00831417">
        <w:rPr>
          <w:i/>
        </w:rPr>
        <w:t xml:space="preserve"> Kwan Lung v HKSAR</w:t>
      </w:r>
      <w:r>
        <w:t>,</w:t>
      </w:r>
      <w:r>
        <w:rPr>
          <w:rStyle w:val="FootnoteReference"/>
        </w:rPr>
        <w:footnoteReference w:id="36"/>
      </w:r>
      <w:r>
        <w:t xml:space="preserve"> where the </w:t>
      </w:r>
      <w:r w:rsidR="0024475A">
        <w:t xml:space="preserve">consequence of the </w:t>
      </w:r>
      <w:r w:rsidR="00583531">
        <w:t>independent</w:t>
      </w:r>
      <w:r>
        <w:t xml:space="preserve"> liability </w:t>
      </w:r>
      <w:r w:rsidR="00BC6A84">
        <w:t xml:space="preserve">of each </w:t>
      </w:r>
      <w:r w:rsidR="0024475A">
        <w:t xml:space="preserve">participant </w:t>
      </w:r>
      <w:r>
        <w:t xml:space="preserve">in a joint criminal enterprise </w:t>
      </w:r>
      <w:r w:rsidR="0024475A">
        <w:t xml:space="preserve">was that </w:t>
      </w:r>
      <w:r>
        <w:t xml:space="preserve">a verdict </w:t>
      </w:r>
      <w:r w:rsidR="00BC6A84">
        <w:t xml:space="preserve">of murder </w:t>
      </w:r>
      <w:r w:rsidR="0024475A">
        <w:t xml:space="preserve">was available </w:t>
      </w:r>
      <w:r w:rsidR="00BC6A84">
        <w:t xml:space="preserve">against </w:t>
      </w:r>
      <w:r w:rsidR="003B3EFC">
        <w:t xml:space="preserve">a </w:t>
      </w:r>
      <w:r w:rsidR="00BC6A84">
        <w:t xml:space="preserve">participant even where the actual killer </w:t>
      </w:r>
      <w:r w:rsidR="0024475A">
        <w:t xml:space="preserve">was </w:t>
      </w:r>
      <w:r w:rsidR="00BC6A84">
        <w:t xml:space="preserve">acquitted or </w:t>
      </w:r>
      <w:r w:rsidR="00E41B99">
        <w:rPr>
          <w:rFonts w:hint="eastAsia"/>
        </w:rPr>
        <w:t xml:space="preserve">was </w:t>
      </w:r>
      <w:r w:rsidR="00BC6A84">
        <w:t xml:space="preserve">convicted of manslaughter.  </w:t>
      </w:r>
      <w:proofErr w:type="spellStart"/>
      <w:r w:rsidR="00BC6A84">
        <w:t>Bokhary</w:t>
      </w:r>
      <w:proofErr w:type="spellEnd"/>
      <w:r w:rsidR="00BC6A84">
        <w:t xml:space="preserve"> PJ stated:</w:t>
      </w:r>
    </w:p>
    <w:p w:rsidR="00BC6A84" w:rsidRDefault="00BC6A84" w:rsidP="004814B5">
      <w:pPr>
        <w:pStyle w:val="Bob1"/>
        <w:numPr>
          <w:ilvl w:val="0"/>
          <w:numId w:val="0"/>
        </w:numPr>
        <w:spacing w:line="240" w:lineRule="auto"/>
        <w:ind w:left="720"/>
        <w:jc w:val="both"/>
        <w:rPr>
          <w:sz w:val="24"/>
        </w:rPr>
      </w:pPr>
      <w:r w:rsidRPr="00BC6A84">
        <w:rPr>
          <w:sz w:val="24"/>
        </w:rPr>
        <w:t>“The Court of Appeal appears to have misapprehended the basis of the prosecution's case and the defence submission in this context. The case was throughout fought on the basis of the doctrine of joint enterprise. However, the Court of Appeal's reasoning was appropriate only to a conviction based upon the common law principles of accessorial liability whereby the person charged with aiding, abetting, counselling or procuring an offence can only be convicted if the principal offender, charged at the same trial, is found guilty of the relevant principal offence. As further discussed below, a participant in a joint enterprise can be convicted of murder even though the actual killer is acquitted outright or convicted of the lesse</w:t>
      </w:r>
      <w:r>
        <w:rPr>
          <w:sz w:val="24"/>
        </w:rPr>
        <w:t>r offence of manslaughter only.</w:t>
      </w:r>
      <w:r>
        <w:rPr>
          <w:rStyle w:val="FootnoteReference"/>
          <w:sz w:val="24"/>
        </w:rPr>
        <w:footnoteReference w:id="37"/>
      </w:r>
      <w:r>
        <w:rPr>
          <w:sz w:val="24"/>
        </w:rPr>
        <w:t xml:space="preserve"> </w:t>
      </w:r>
    </w:p>
    <w:p w:rsidR="00BC6A84" w:rsidRDefault="00BC6A84" w:rsidP="004814B5">
      <w:pPr>
        <w:pStyle w:val="Bob1"/>
        <w:numPr>
          <w:ilvl w:val="0"/>
          <w:numId w:val="0"/>
        </w:numPr>
        <w:spacing w:line="240" w:lineRule="auto"/>
        <w:ind w:left="720"/>
        <w:jc w:val="both"/>
        <w:rPr>
          <w:sz w:val="24"/>
        </w:rPr>
      </w:pPr>
      <w:r>
        <w:rPr>
          <w:sz w:val="24"/>
        </w:rPr>
        <w:lastRenderedPageBreak/>
        <w:t xml:space="preserve">... </w:t>
      </w:r>
      <w:r w:rsidRPr="00BC6A84">
        <w:rPr>
          <w:sz w:val="24"/>
        </w:rPr>
        <w:t>While this is not the occasion for giving a definitive decision on the entirety of the doctrine of joint enterprise, it is my view, as indicated above, that the doctrine is distinct from the common law principles of aiding, abetting, counselling or procuring. Each participant is criminally liable for all the acts done in pursuance of the joint enterprise. And whether or not he intended it, he will be criminally liable for any such act if it was of a type which he foresaw as a possible incident of the execution of the joint enterprise and he participated in the joint enterprise with such foresight.</w:t>
      </w:r>
      <w:r>
        <w:rPr>
          <w:sz w:val="24"/>
        </w:rPr>
        <w:t>”</w:t>
      </w:r>
      <w:r>
        <w:rPr>
          <w:rStyle w:val="FootnoteReference"/>
          <w:sz w:val="24"/>
        </w:rPr>
        <w:footnoteReference w:id="38"/>
      </w:r>
    </w:p>
    <w:p w:rsidR="003B3EFC" w:rsidRDefault="000939ED" w:rsidP="004814B5">
      <w:pPr>
        <w:pStyle w:val="Bob1"/>
        <w:tabs>
          <w:tab w:val="clear" w:pos="720"/>
          <w:tab w:val="left" w:pos="1440"/>
        </w:tabs>
        <w:ind w:left="0" w:firstLine="0"/>
        <w:jc w:val="both"/>
      </w:pPr>
      <w:r>
        <w:t xml:space="preserve">There are </w:t>
      </w:r>
      <w:r w:rsidR="000E37E7">
        <w:t xml:space="preserve">accordingly </w:t>
      </w:r>
      <w:r w:rsidR="00FE13BF">
        <w:t>compelling reasons for differentiating between the doctrines</w:t>
      </w:r>
      <w:r w:rsidR="00583531">
        <w:t>.  However,</w:t>
      </w:r>
      <w:r w:rsidR="00765E57">
        <w:t xml:space="preserve"> eminent contrary views exist.</w:t>
      </w:r>
      <w:r w:rsidR="00EB5545">
        <w:rPr>
          <w:rStyle w:val="FootnoteReference"/>
        </w:rPr>
        <w:footnoteReference w:id="39"/>
      </w:r>
      <w:r w:rsidR="00765E57">
        <w:t xml:space="preserve">  </w:t>
      </w:r>
      <w:r w:rsidR="00A5767F">
        <w:t>For instance, i</w:t>
      </w:r>
      <w:r w:rsidR="00EB5545">
        <w:t xml:space="preserve">n </w:t>
      </w:r>
      <w:r w:rsidR="00974656">
        <w:rPr>
          <w:i/>
        </w:rPr>
        <w:t>Smith &amp; Hogan</w:t>
      </w:r>
      <w:r w:rsidR="00EB5545">
        <w:t>,</w:t>
      </w:r>
      <w:r w:rsidR="00EB5545">
        <w:rPr>
          <w:rStyle w:val="FootnoteReference"/>
        </w:rPr>
        <w:footnoteReference w:id="40"/>
      </w:r>
      <w:r w:rsidR="00EB5545">
        <w:t xml:space="preserve"> the learned editors argue against </w:t>
      </w:r>
      <w:r w:rsidR="00583531">
        <w:t xml:space="preserve">the separate existence </w:t>
      </w:r>
      <w:r w:rsidR="00EB5545">
        <w:t xml:space="preserve">of </w:t>
      </w:r>
      <w:r w:rsidR="00583531">
        <w:t xml:space="preserve">a </w:t>
      </w:r>
      <w:r w:rsidR="00EB5545">
        <w:t>joint criminal enterprise doctrine in these terms:</w:t>
      </w:r>
    </w:p>
    <w:p w:rsidR="00EB5545" w:rsidRPr="00EB5545" w:rsidRDefault="00EB5545" w:rsidP="004814B5">
      <w:pPr>
        <w:pStyle w:val="Bob1"/>
        <w:numPr>
          <w:ilvl w:val="0"/>
          <w:numId w:val="0"/>
        </w:numPr>
        <w:spacing w:line="240" w:lineRule="auto"/>
        <w:ind w:left="720"/>
        <w:jc w:val="both"/>
        <w:rPr>
          <w:sz w:val="24"/>
        </w:rPr>
      </w:pPr>
      <w:r w:rsidRPr="00EB5545">
        <w:rPr>
          <w:sz w:val="24"/>
        </w:rPr>
        <w:t xml:space="preserve">“If D and P set out together to rape (or to murder), how does D ‘participate’ in P’s act of penile penetration of V (or P’s shooting of V) except by assisting him or encouraging him – that is, aiding, abetting, counselling or procuring him – to do the act?  It is submitted that there is no other way. The only peculiarity of joint enterprise cases is that, once D has been shown to be aiding, abetting, counselling or procuring P in the commission of crime </w:t>
      </w:r>
      <w:proofErr w:type="gramStart"/>
      <w:r w:rsidRPr="00EB5545">
        <w:rPr>
          <w:sz w:val="24"/>
        </w:rPr>
        <w:t>A</w:t>
      </w:r>
      <w:proofErr w:type="gramEnd"/>
      <w:r w:rsidRPr="00EB5545">
        <w:rPr>
          <w:sz w:val="24"/>
        </w:rPr>
        <w:t>, there is no need to look further for evidence of acts of assisting and encouraging in relation to crime B.”</w:t>
      </w:r>
    </w:p>
    <w:p w:rsidR="00EB5545" w:rsidRDefault="00EB5545" w:rsidP="004814B5">
      <w:pPr>
        <w:pStyle w:val="Bob1"/>
        <w:tabs>
          <w:tab w:val="clear" w:pos="720"/>
          <w:tab w:val="left" w:pos="1440"/>
        </w:tabs>
        <w:ind w:left="0" w:firstLine="0"/>
        <w:jc w:val="both"/>
      </w:pPr>
      <w:r>
        <w:t xml:space="preserve">With respect, </w:t>
      </w:r>
      <w:r w:rsidR="00A5767F">
        <w:t>that is a</w:t>
      </w:r>
      <w:r w:rsidR="000939ED">
        <w:t>n</w:t>
      </w:r>
      <w:r w:rsidR="00A5767F">
        <w:t xml:space="preserve"> </w:t>
      </w:r>
      <w:r w:rsidR="000939ED">
        <w:t>un</w:t>
      </w:r>
      <w:r w:rsidR="00A5767F">
        <w:t xml:space="preserve">convincing objection.  </w:t>
      </w:r>
      <w:r w:rsidR="000E37E7">
        <w:t>In the first place, a</w:t>
      </w:r>
      <w:r w:rsidR="00A5767F">
        <w:t xml:space="preserve">ccomplice liability, whether under the joint enterprise or accessorial liability doctrines, is not dependent on the defendants sharing physical performance of the </w:t>
      </w:r>
      <w:proofErr w:type="spellStart"/>
      <w:r w:rsidR="00A5767F">
        <w:rPr>
          <w:i/>
        </w:rPr>
        <w:t>actus</w:t>
      </w:r>
      <w:proofErr w:type="spellEnd"/>
      <w:r w:rsidR="00A5767F">
        <w:rPr>
          <w:i/>
        </w:rPr>
        <w:t xml:space="preserve"> </w:t>
      </w:r>
      <w:proofErr w:type="spellStart"/>
      <w:proofErr w:type="gramStart"/>
      <w:r w:rsidR="00A5767F">
        <w:rPr>
          <w:i/>
        </w:rPr>
        <w:t>reus</w:t>
      </w:r>
      <w:proofErr w:type="spellEnd"/>
      <w:proofErr w:type="gramEnd"/>
      <w:r w:rsidR="00A5767F">
        <w:rPr>
          <w:i/>
        </w:rPr>
        <w:t xml:space="preserve">.  </w:t>
      </w:r>
      <w:r w:rsidR="000E37E7">
        <w:t xml:space="preserve">The essence of </w:t>
      </w:r>
      <w:r w:rsidR="00A5767F">
        <w:t xml:space="preserve">the joint criminal enterprise principle involves </w:t>
      </w:r>
      <w:r w:rsidR="000E37E7">
        <w:t xml:space="preserve">the accomplice’s </w:t>
      </w:r>
      <w:r w:rsidR="00A5767F">
        <w:t xml:space="preserve">culpability for the </w:t>
      </w:r>
      <w:r w:rsidR="000E37E7">
        <w:t xml:space="preserve">criminal </w:t>
      </w:r>
      <w:r w:rsidR="00A5767F">
        <w:t xml:space="preserve">act of </w:t>
      </w:r>
      <w:r w:rsidR="006912AA">
        <w:t>another person</w:t>
      </w:r>
      <w:r w:rsidR="000E37E7">
        <w:t>,</w:t>
      </w:r>
      <w:r w:rsidR="006912AA">
        <w:t xml:space="preserve"> of a </w:t>
      </w:r>
      <w:r w:rsidR="007A6D8D">
        <w:t>co-adventurer</w:t>
      </w:r>
      <w:r w:rsidR="00A5767F">
        <w:t xml:space="preserve"> </w:t>
      </w:r>
      <w:r w:rsidR="006912AA">
        <w:t xml:space="preserve">– </w:t>
      </w:r>
      <w:r w:rsidR="000E37E7">
        <w:t xml:space="preserve">not his own act – </w:t>
      </w:r>
      <w:r w:rsidR="00A5767F">
        <w:t xml:space="preserve">falling within the </w:t>
      </w:r>
      <w:r w:rsidR="000E37E7">
        <w:t xml:space="preserve">agreed </w:t>
      </w:r>
      <w:r w:rsidR="00A5767F">
        <w:t>scope of the j</w:t>
      </w:r>
      <w:r w:rsidR="000E37E7">
        <w:t>oint enterprise or for</w:t>
      </w:r>
      <w:r w:rsidR="00B843CF">
        <w:rPr>
          <w:rFonts w:hint="eastAsia"/>
        </w:rPr>
        <w:t>e</w:t>
      </w:r>
      <w:r w:rsidR="000E37E7">
        <w:t>seen as a possible</w:t>
      </w:r>
      <w:r w:rsidR="00A5767F">
        <w:t xml:space="preserve"> incident thereof.  Secondly, </w:t>
      </w:r>
      <w:r>
        <w:t xml:space="preserve">the absence of any need to look for acts of assistance or encouragement to establish crime B </w:t>
      </w:r>
      <w:r w:rsidR="006912AA">
        <w:t>acknowledged in the second par</w:t>
      </w:r>
      <w:r w:rsidR="00D92A26">
        <w:t>t</w:t>
      </w:r>
      <w:r w:rsidR="006912AA">
        <w:t xml:space="preserve"> of the </w:t>
      </w:r>
      <w:proofErr w:type="gramStart"/>
      <w:r w:rsidR="006912AA">
        <w:t>quote,</w:t>
      </w:r>
      <w:proofErr w:type="gramEnd"/>
      <w:r w:rsidR="006912AA">
        <w:t xml:space="preserve"> </w:t>
      </w:r>
      <w:r>
        <w:t>makes the very point that the doctrine is not, so far as crime B goes, based on traditional accessorial liability principles.</w:t>
      </w:r>
    </w:p>
    <w:p w:rsidR="00EB5545" w:rsidRDefault="003A4428" w:rsidP="004814B5">
      <w:pPr>
        <w:pStyle w:val="docmapheading"/>
      </w:pPr>
      <w:r>
        <w:lastRenderedPageBreak/>
        <w:t>C.1</w:t>
      </w:r>
      <w:r w:rsidR="007D07BD">
        <w:tab/>
      </w:r>
      <w:r>
        <w:t xml:space="preserve">Basic </w:t>
      </w:r>
      <w:r w:rsidR="007D07BD">
        <w:t xml:space="preserve">joint criminal enterprise </w:t>
      </w:r>
    </w:p>
    <w:p w:rsidR="00343C9C" w:rsidRDefault="000E37E7" w:rsidP="004814B5">
      <w:pPr>
        <w:pStyle w:val="Bob1"/>
        <w:tabs>
          <w:tab w:val="clear" w:pos="720"/>
          <w:tab w:val="left" w:pos="1440"/>
        </w:tabs>
        <w:ind w:left="0" w:firstLine="0"/>
        <w:jc w:val="both"/>
      </w:pPr>
      <w:r>
        <w:t>The common law has developed two</w:t>
      </w:r>
      <w:r w:rsidR="00DA0ABD" w:rsidRPr="00DA0ABD">
        <w:rPr>
          <w:rFonts w:hint="eastAsia"/>
        </w:rPr>
        <w:t xml:space="preserve"> forms of joint criminal enterprise which may be referred to as the basic and extended forms</w:t>
      </w:r>
      <w:r>
        <w:t xml:space="preserve">.  </w:t>
      </w:r>
      <w:r w:rsidR="00B854B1">
        <w:t xml:space="preserve">The basic version involves the </w:t>
      </w:r>
      <w:r w:rsidR="007A6D8D">
        <w:t>co-adventurer</w:t>
      </w:r>
      <w:r w:rsidR="00B854B1">
        <w:t>s simply agreeing to carry out and then</w:t>
      </w:r>
      <w:r w:rsidR="00D92A26">
        <w:t xml:space="preserve"> executing</w:t>
      </w:r>
      <w:r w:rsidR="00B854B1">
        <w:t xml:space="preserve"> a planned crime. </w:t>
      </w:r>
      <w:r w:rsidR="00343C9C">
        <w:t xml:space="preserve"> As it was put in the joint judgment of </w:t>
      </w:r>
      <w:r w:rsidR="00343C9C" w:rsidRPr="00343C9C">
        <w:t>French</w:t>
      </w:r>
      <w:r w:rsidR="00D92A26">
        <w:t xml:space="preserve"> </w:t>
      </w:r>
      <w:r w:rsidR="00343C9C" w:rsidRPr="00343C9C">
        <w:t>C</w:t>
      </w:r>
      <w:r w:rsidR="00343C9C">
        <w:t>J</w:t>
      </w:r>
      <w:r w:rsidR="00D92A26">
        <w:t xml:space="preserve">, </w:t>
      </w:r>
      <w:proofErr w:type="spellStart"/>
      <w:r w:rsidR="00D92A26">
        <w:t>Kiefel</w:t>
      </w:r>
      <w:proofErr w:type="spellEnd"/>
      <w:r w:rsidR="00D92A26">
        <w:t>, Bell</w:t>
      </w:r>
      <w:r w:rsidR="00343C9C" w:rsidRPr="00343C9C">
        <w:t xml:space="preserve">, Nettle </w:t>
      </w:r>
      <w:r w:rsidR="00343C9C">
        <w:t>a</w:t>
      </w:r>
      <w:r w:rsidR="00343C9C" w:rsidRPr="00343C9C">
        <w:t>nd Gordon</w:t>
      </w:r>
      <w:r w:rsidR="00343C9C">
        <w:t xml:space="preserve"> </w:t>
      </w:r>
      <w:r w:rsidR="00343C9C" w:rsidRPr="00343C9C">
        <w:t>JJ</w:t>
      </w:r>
      <w:r w:rsidR="00343C9C">
        <w:t>,</w:t>
      </w:r>
      <w:r w:rsidR="00343C9C" w:rsidRPr="00343C9C">
        <w:t xml:space="preserve"> </w:t>
      </w:r>
      <w:r w:rsidR="00343C9C">
        <w:t xml:space="preserve">in </w:t>
      </w:r>
      <w:r w:rsidR="00343C9C" w:rsidRPr="000E37E7">
        <w:rPr>
          <w:i/>
        </w:rPr>
        <w:t>Miller v The Queen</w:t>
      </w:r>
      <w:r w:rsidR="00343C9C">
        <w:t>:</w:t>
      </w:r>
      <w:r w:rsidR="00343C9C">
        <w:rPr>
          <w:rStyle w:val="FootnoteReference"/>
        </w:rPr>
        <w:footnoteReference w:id="41"/>
      </w:r>
    </w:p>
    <w:p w:rsidR="00343C9C" w:rsidRPr="00343C9C" w:rsidRDefault="00343C9C" w:rsidP="004814B5">
      <w:pPr>
        <w:pStyle w:val="Bob1"/>
        <w:numPr>
          <w:ilvl w:val="0"/>
          <w:numId w:val="0"/>
        </w:numPr>
        <w:spacing w:line="240" w:lineRule="auto"/>
        <w:ind w:left="720"/>
        <w:jc w:val="both"/>
        <w:rPr>
          <w:sz w:val="24"/>
        </w:rPr>
      </w:pPr>
      <w:r w:rsidRPr="00343C9C">
        <w:rPr>
          <w:sz w:val="24"/>
        </w:rPr>
        <w:t xml:space="preserve">“If the crime that is the object of the enterprise is committed while the agreement remains on foot, all the parties to the agreement are equally guilty, regardless of the part that each has played in the conduct that constitutes the </w:t>
      </w:r>
      <w:proofErr w:type="spellStart"/>
      <w:r w:rsidRPr="00343C9C">
        <w:rPr>
          <w:i/>
          <w:sz w:val="24"/>
        </w:rPr>
        <w:t>actus</w:t>
      </w:r>
      <w:proofErr w:type="spellEnd"/>
      <w:r w:rsidRPr="00343C9C">
        <w:rPr>
          <w:i/>
          <w:sz w:val="24"/>
        </w:rPr>
        <w:t xml:space="preserve"> </w:t>
      </w:r>
      <w:proofErr w:type="spellStart"/>
      <w:proofErr w:type="gramStart"/>
      <w:r w:rsidRPr="00343C9C">
        <w:rPr>
          <w:i/>
          <w:sz w:val="24"/>
        </w:rPr>
        <w:t>reus</w:t>
      </w:r>
      <w:proofErr w:type="spellEnd"/>
      <w:proofErr w:type="gramEnd"/>
      <w:r>
        <w:rPr>
          <w:sz w:val="24"/>
        </w:rPr>
        <w:t>.”</w:t>
      </w:r>
    </w:p>
    <w:p w:rsidR="003A4428" w:rsidRDefault="00723F52" w:rsidP="004814B5">
      <w:pPr>
        <w:pStyle w:val="Bob1"/>
        <w:tabs>
          <w:tab w:val="clear" w:pos="720"/>
          <w:tab w:val="left" w:pos="1440"/>
        </w:tabs>
        <w:ind w:left="0" w:firstLine="0"/>
        <w:jc w:val="both"/>
      </w:pPr>
      <w:r>
        <w:t>Since</w:t>
      </w:r>
      <w:r w:rsidR="00B854B1">
        <w:t xml:space="preserve"> </w:t>
      </w:r>
      <w:r w:rsidR="003A4428">
        <w:t xml:space="preserve">participation in the joint criminal enterprise </w:t>
      </w:r>
      <w:r w:rsidR="00343C9C">
        <w:t xml:space="preserve">makes </w:t>
      </w:r>
      <w:r w:rsidR="003A4428">
        <w:t xml:space="preserve">all participants </w:t>
      </w:r>
      <w:r w:rsidR="00B854B1" w:rsidRPr="00B854B1">
        <w:t xml:space="preserve">guilty </w:t>
      </w:r>
      <w:r w:rsidR="003A4428">
        <w:t xml:space="preserve">whoever the actual perpetrator may have been, </w:t>
      </w:r>
      <w:r w:rsidR="00B854B1">
        <w:t xml:space="preserve">this doctrine </w:t>
      </w:r>
      <w:r w:rsidR="00343C9C">
        <w:t xml:space="preserve">is </w:t>
      </w:r>
      <w:r w:rsidR="00B854B1">
        <w:t xml:space="preserve">of particular value </w:t>
      </w:r>
      <w:r w:rsidR="003A4428">
        <w:t xml:space="preserve">in murder cases where there is </w:t>
      </w:r>
      <w:r w:rsidR="00B854B1">
        <w:t>evidential uncertainty as to who struck the fatal blow.</w:t>
      </w:r>
      <w:r w:rsidR="00B854B1" w:rsidRPr="00B854B1">
        <w:t xml:space="preserve">  </w:t>
      </w:r>
    </w:p>
    <w:p w:rsidR="006715A8" w:rsidRDefault="006715A8" w:rsidP="004814B5">
      <w:pPr>
        <w:pStyle w:val="Bob1"/>
        <w:tabs>
          <w:tab w:val="clear" w:pos="720"/>
          <w:tab w:val="left" w:pos="1440"/>
        </w:tabs>
        <w:ind w:left="0" w:firstLine="0"/>
        <w:jc w:val="both"/>
      </w:pPr>
      <w:r w:rsidRPr="004814B5">
        <w:rPr>
          <w:i/>
        </w:rPr>
        <w:t xml:space="preserve">Brown v </w:t>
      </w:r>
      <w:proofErr w:type="gramStart"/>
      <w:r w:rsidRPr="004814B5">
        <w:rPr>
          <w:i/>
        </w:rPr>
        <w:t>The</w:t>
      </w:r>
      <w:proofErr w:type="gramEnd"/>
      <w:r w:rsidRPr="004814B5">
        <w:rPr>
          <w:i/>
        </w:rPr>
        <w:t xml:space="preserve"> State</w:t>
      </w:r>
      <w:r>
        <w:rPr>
          <w:rStyle w:val="FootnoteReference"/>
        </w:rPr>
        <w:footnoteReference w:id="42"/>
      </w:r>
      <w:r w:rsidR="00B843CF">
        <w:rPr>
          <w:rFonts w:hint="eastAsia"/>
          <w:i/>
        </w:rPr>
        <w:t xml:space="preserve"> </w:t>
      </w:r>
      <w:r w:rsidR="003A4428">
        <w:t>provides an example.</w:t>
      </w:r>
      <w:r w:rsidR="002420EB">
        <w:t xml:space="preserve"> The two victims were seen being </w:t>
      </w:r>
      <w:r w:rsidR="002256C1">
        <w:t xml:space="preserve">marched off by </w:t>
      </w:r>
      <w:r w:rsidR="002420EB">
        <w:t>the two defendants</w:t>
      </w:r>
      <w:r w:rsidR="00A5767F">
        <w:t xml:space="preserve"> and f</w:t>
      </w:r>
      <w:r w:rsidR="002420EB">
        <w:t xml:space="preserve">our gunshots were later heard.  No one saw what happened but the victims were later found dead, shot in the head.  The evidence strongly pointed to </w:t>
      </w:r>
      <w:r w:rsidR="004F596D">
        <w:t xml:space="preserve">the defendants </w:t>
      </w:r>
      <w:r w:rsidR="002420EB">
        <w:t>as the perpetrators</w:t>
      </w:r>
      <w:r w:rsidR="00C03FA3">
        <w:t xml:space="preserve"> </w:t>
      </w:r>
      <w:r w:rsidR="003A4428">
        <w:t>b</w:t>
      </w:r>
      <w:r w:rsidR="002420EB">
        <w:t xml:space="preserve">ut there was no way to tell who had actually fired the shots.  </w:t>
      </w:r>
      <w:r w:rsidR="004F596D">
        <w:t xml:space="preserve">Traditional </w:t>
      </w:r>
      <w:r w:rsidR="002420EB">
        <w:t xml:space="preserve">accessorial liability principles </w:t>
      </w:r>
      <w:r w:rsidR="002256C1">
        <w:t xml:space="preserve">therefore </w:t>
      </w:r>
      <w:r w:rsidR="002420EB">
        <w:t xml:space="preserve">could not be applied with any confidence.  </w:t>
      </w:r>
      <w:r w:rsidR="00C03FA3">
        <w:t xml:space="preserve">Unlike cases like </w:t>
      </w:r>
      <w:r w:rsidR="00B843CF" w:rsidRPr="00B843CF">
        <w:rPr>
          <w:rFonts w:hint="eastAsia"/>
          <w:i/>
        </w:rPr>
        <w:t xml:space="preserve">R v </w:t>
      </w:r>
      <w:proofErr w:type="spellStart"/>
      <w:r w:rsidR="00B843CF" w:rsidRPr="00B843CF">
        <w:rPr>
          <w:i/>
        </w:rPr>
        <w:t>Swindall</w:t>
      </w:r>
      <w:proofErr w:type="spellEnd"/>
      <w:r w:rsidR="00B843CF" w:rsidRPr="00B843CF">
        <w:rPr>
          <w:i/>
        </w:rPr>
        <w:t xml:space="preserve"> </w:t>
      </w:r>
      <w:r w:rsidR="00B843CF" w:rsidRPr="00B843CF">
        <w:rPr>
          <w:rFonts w:hint="eastAsia"/>
          <w:i/>
        </w:rPr>
        <w:t>&amp;</w:t>
      </w:r>
      <w:r w:rsidR="00C03FA3" w:rsidRPr="00B843CF">
        <w:rPr>
          <w:i/>
        </w:rPr>
        <w:t xml:space="preserve"> Osborne</w:t>
      </w:r>
      <w:r w:rsidR="00C03FA3">
        <w:t>,</w:t>
      </w:r>
      <w:r w:rsidR="00C03FA3">
        <w:rPr>
          <w:rStyle w:val="FootnoteReference"/>
        </w:rPr>
        <w:footnoteReference w:id="43"/>
      </w:r>
      <w:r w:rsidR="00C03FA3">
        <w:t xml:space="preserve"> there was no evidential basis for suggesting that the two defendants must at least have aided and abetted the murder.  </w:t>
      </w:r>
      <w:r w:rsidR="002256C1">
        <w:t xml:space="preserve">The defendants’ guilt </w:t>
      </w:r>
      <w:r w:rsidR="002420EB">
        <w:t>was established applying what Lord Hoffmann called “the simplest form of joint enterprise”</w:t>
      </w:r>
      <w:r w:rsidR="004F596D">
        <w:t xml:space="preserve"> (</w:t>
      </w:r>
      <w:r w:rsidR="002256C1">
        <w:t>or</w:t>
      </w:r>
      <w:r w:rsidR="004F596D">
        <w:t xml:space="preserve"> “the plain vanilla version of joint enterprise”)</w:t>
      </w:r>
      <w:r w:rsidR="002420EB">
        <w:t>.</w:t>
      </w:r>
      <w:r w:rsidR="004F596D">
        <w:rPr>
          <w:rStyle w:val="FootnoteReference"/>
        </w:rPr>
        <w:footnoteReference w:id="44"/>
      </w:r>
      <w:r w:rsidR="002420EB">
        <w:t xml:space="preserve">  </w:t>
      </w:r>
      <w:r w:rsidR="003A4428">
        <w:t>H</w:t>
      </w:r>
      <w:r w:rsidR="004F596D">
        <w:t xml:space="preserve">is Lordship explained that </w:t>
      </w:r>
      <w:r w:rsidR="003A4428">
        <w:t xml:space="preserve">(in murder </w:t>
      </w:r>
      <w:r w:rsidR="003A4428">
        <w:lastRenderedPageBreak/>
        <w:t xml:space="preserve">cases) </w:t>
      </w:r>
      <w:r w:rsidR="004F596D">
        <w:t xml:space="preserve">this basic version applies </w:t>
      </w:r>
      <w:r w:rsidR="002420EB">
        <w:t xml:space="preserve">“when two or more people </w:t>
      </w:r>
      <w:r w:rsidR="002420EB" w:rsidRPr="002420EB">
        <w:t>plan to murder someone and do so.  If both participated in carrying out the plan, both are liable.  It does not matter who actually inflicted the fatal injury</w:t>
      </w:r>
      <w:r w:rsidR="002420EB">
        <w:t>”</w:t>
      </w:r>
      <w:r w:rsidR="002420EB" w:rsidRPr="002420EB">
        <w:t>.</w:t>
      </w:r>
      <w:r w:rsidR="004F596D">
        <w:t xml:space="preserve">  </w:t>
      </w:r>
      <w:r w:rsidR="003A4428">
        <w:t xml:space="preserve">It was a </w:t>
      </w:r>
      <w:r w:rsidR="00C03FA3">
        <w:t>simple</w:t>
      </w:r>
      <w:r w:rsidR="003A4428">
        <w:t xml:space="preserve"> case and</w:t>
      </w:r>
      <w:r w:rsidR="00C03FA3">
        <w:t xml:space="preserve"> </w:t>
      </w:r>
      <w:r w:rsidR="004F596D">
        <w:t xml:space="preserve">the </w:t>
      </w:r>
      <w:r w:rsidR="003A4428">
        <w:t xml:space="preserve">execution-style shootings strongly suggested intentional killings.  The </w:t>
      </w:r>
      <w:r w:rsidR="004F596D">
        <w:t xml:space="preserve">trial judge </w:t>
      </w:r>
      <w:r w:rsidR="00C03FA3">
        <w:t>did not have</w:t>
      </w:r>
      <w:r w:rsidR="004F596D">
        <w:t xml:space="preserve"> to concern himself with </w:t>
      </w:r>
      <w:r w:rsidR="00C03FA3">
        <w:t xml:space="preserve">possible </w:t>
      </w:r>
      <w:r w:rsidR="004F596D">
        <w:t>liability for manslaughter</w:t>
      </w:r>
      <w:r w:rsidR="003A4428">
        <w:t xml:space="preserve"> and it was held</w:t>
      </w:r>
      <w:r w:rsidR="001C3FE6">
        <w:t xml:space="preserve"> sufficient </w:t>
      </w:r>
      <w:r w:rsidR="003A4428">
        <w:t xml:space="preserve">for him </w:t>
      </w:r>
      <w:r w:rsidR="001C3FE6">
        <w:t xml:space="preserve">to instruct the jury that they had to be satisfied that </w:t>
      </w:r>
      <w:r w:rsidR="001C3FE6" w:rsidRPr="00C03FA3">
        <w:t>there was indeed a common intention to murder.</w:t>
      </w:r>
      <w:r w:rsidR="001C3FE6" w:rsidRPr="00C03FA3">
        <w:rPr>
          <w:rStyle w:val="FootnoteReference"/>
        </w:rPr>
        <w:footnoteReference w:id="45"/>
      </w:r>
    </w:p>
    <w:p w:rsidR="00C03FA3" w:rsidRDefault="00626A59" w:rsidP="004814B5">
      <w:pPr>
        <w:pStyle w:val="Bob1"/>
        <w:tabs>
          <w:tab w:val="clear" w:pos="720"/>
          <w:tab w:val="left" w:pos="1440"/>
        </w:tabs>
        <w:ind w:left="0" w:firstLine="0"/>
        <w:jc w:val="both"/>
      </w:pPr>
      <w:r>
        <w:t>In s</w:t>
      </w:r>
      <w:r w:rsidR="00CE47B2">
        <w:t>ome cases</w:t>
      </w:r>
      <w:r>
        <w:t>,</w:t>
      </w:r>
      <w:r w:rsidR="00CE47B2">
        <w:t xml:space="preserve"> </w:t>
      </w:r>
      <w:r w:rsidR="00B0510C">
        <w:t xml:space="preserve">the facts will be such that </w:t>
      </w:r>
      <w:r w:rsidR="002256C1">
        <w:t xml:space="preserve">guilt </w:t>
      </w:r>
      <w:r w:rsidR="00B0510C">
        <w:t xml:space="preserve">can </w:t>
      </w:r>
      <w:r w:rsidR="00CE47B2">
        <w:t xml:space="preserve">be </w:t>
      </w:r>
      <w:r w:rsidR="002256C1">
        <w:t xml:space="preserve">established </w:t>
      </w:r>
      <w:r w:rsidR="00192286">
        <w:t>either</w:t>
      </w:r>
      <w:r w:rsidR="00CE47B2">
        <w:t xml:space="preserve"> </w:t>
      </w:r>
      <w:r w:rsidR="00B0510C">
        <w:t xml:space="preserve">under </w:t>
      </w:r>
      <w:r w:rsidR="00CE47B2">
        <w:t xml:space="preserve">traditional accessorial principles </w:t>
      </w:r>
      <w:r w:rsidR="00192286">
        <w:t xml:space="preserve">or </w:t>
      </w:r>
      <w:r w:rsidR="00CE47B2">
        <w:t>the basic joint criminal enterprise doctrine.</w:t>
      </w:r>
      <w:r w:rsidR="00B0510C">
        <w:t xml:space="preserve">  Thus, in </w:t>
      </w:r>
      <w:proofErr w:type="spellStart"/>
      <w:r w:rsidR="00B843CF">
        <w:rPr>
          <w:i/>
        </w:rPr>
        <w:t>Ra</w:t>
      </w:r>
      <w:r w:rsidR="00B843CF">
        <w:rPr>
          <w:rFonts w:hint="eastAsia"/>
          <w:i/>
        </w:rPr>
        <w:t>mn</w:t>
      </w:r>
      <w:r w:rsidR="00B0510C" w:rsidRPr="004814B5">
        <w:rPr>
          <w:i/>
        </w:rPr>
        <w:t>ath</w:t>
      </w:r>
      <w:proofErr w:type="spellEnd"/>
      <w:r w:rsidR="00B0510C" w:rsidRPr="004814B5">
        <w:rPr>
          <w:i/>
        </w:rPr>
        <w:t xml:space="preserve"> Mohan v The Queen</w:t>
      </w:r>
      <w:r w:rsidR="00B0510C">
        <w:t>,</w:t>
      </w:r>
      <w:r w:rsidR="00B0510C">
        <w:rPr>
          <w:rStyle w:val="FootnoteReference"/>
        </w:rPr>
        <w:footnoteReference w:id="46"/>
      </w:r>
      <w:r w:rsidR="00B0510C">
        <w:t xml:space="preserve"> the victim was attacked by the two appellants wielding “cutlasses” and died from a particularly serious leg wound.  The question arose “</w:t>
      </w:r>
      <w:r w:rsidR="00B0510C" w:rsidRPr="00B0510C">
        <w:t xml:space="preserve">whether each of the appellants </w:t>
      </w:r>
      <w:r w:rsidR="00B0510C">
        <w:t xml:space="preserve">[could] </w:t>
      </w:r>
      <w:r w:rsidR="00B0510C" w:rsidRPr="00B0510C">
        <w:t xml:space="preserve">be held responsible for the leg wound, when it may have been inflicted by the other of them.” </w:t>
      </w:r>
      <w:r w:rsidR="00B0510C">
        <w:t xml:space="preserve"> Lord Pearson, </w:t>
      </w:r>
      <w:r w:rsidR="002256C1">
        <w:t xml:space="preserve">in </w:t>
      </w:r>
      <w:r w:rsidR="00B0510C">
        <w:t>the Privy Council, upheld the murder conviction on the basis of joint criminal enterprise stating:</w:t>
      </w:r>
    </w:p>
    <w:p w:rsidR="00B0510C" w:rsidRPr="00B0510C" w:rsidRDefault="00B0510C" w:rsidP="004814B5">
      <w:pPr>
        <w:pStyle w:val="Bob1"/>
        <w:numPr>
          <w:ilvl w:val="0"/>
          <w:numId w:val="0"/>
        </w:numPr>
        <w:spacing w:line="240" w:lineRule="auto"/>
        <w:ind w:left="810" w:hanging="90"/>
        <w:jc w:val="both"/>
        <w:rPr>
          <w:sz w:val="24"/>
        </w:rPr>
      </w:pPr>
      <w:r w:rsidRPr="00B0510C">
        <w:rPr>
          <w:sz w:val="24"/>
        </w:rPr>
        <w:t>“... both the appellants were armed with cutlasses, both were attacking [the victim], and both struck him. It is impossible on the facts of this case to contend that the fatal blow was outside the scope of the common intention. The two appellants were attacking the same man at the same time with similar weapons and with the common intention that he should suffer grievous bodily harm.”</w:t>
      </w:r>
    </w:p>
    <w:p w:rsidR="00B0510C" w:rsidRPr="00D8319E" w:rsidRDefault="00B0510C" w:rsidP="004814B5">
      <w:pPr>
        <w:pStyle w:val="Bob1"/>
        <w:numPr>
          <w:ilvl w:val="0"/>
          <w:numId w:val="0"/>
        </w:numPr>
        <w:jc w:val="both"/>
      </w:pPr>
      <w:r>
        <w:t xml:space="preserve">His Lordship also held that each </w:t>
      </w:r>
      <w:r w:rsidRPr="00B0510C">
        <w:t xml:space="preserve">of the appellants </w:t>
      </w:r>
      <w:r>
        <w:t>“</w:t>
      </w:r>
      <w:r w:rsidRPr="00B0510C">
        <w:t>was present, and aiding and abetting the other of them in the wounding of</w:t>
      </w:r>
      <w:r>
        <w:t xml:space="preserve"> [the victim]”.</w:t>
      </w:r>
      <w:r w:rsidR="00D8319E">
        <w:t xml:space="preserve">  As the High Court of Australia pointed out in </w:t>
      </w:r>
      <w:r w:rsidR="00D8319E">
        <w:rPr>
          <w:i/>
        </w:rPr>
        <w:t>Clayton</w:t>
      </w:r>
      <w:r w:rsidR="00D8319E">
        <w:t>,</w:t>
      </w:r>
      <w:r w:rsidR="00D8319E">
        <w:rPr>
          <w:rStyle w:val="FootnoteReference"/>
        </w:rPr>
        <w:footnoteReference w:id="47"/>
      </w:r>
      <w:r w:rsidR="00D8319E">
        <w:t xml:space="preserve"> “</w:t>
      </w:r>
      <w:r w:rsidR="00901BD9">
        <w:t>[t</w:t>
      </w:r>
      <w:r w:rsidR="00D8319E">
        <w:t>he</w:t>
      </w:r>
      <w:r w:rsidR="00901BD9">
        <w:t>]</w:t>
      </w:r>
      <w:r w:rsidR="00D8319E">
        <w:t xml:space="preserve"> </w:t>
      </w:r>
      <w:r w:rsidR="00D8319E" w:rsidRPr="00D8319E">
        <w:t>factual intersection of the two different sets of principles does not deny their separate utility</w:t>
      </w:r>
      <w:r w:rsidR="00D8319E">
        <w:t>”.</w:t>
      </w:r>
    </w:p>
    <w:p w:rsidR="004814B5" w:rsidRDefault="004814B5">
      <w:pPr>
        <w:rPr>
          <w:rFonts w:eastAsia="PMingLiU"/>
          <w:b/>
          <w:i/>
          <w:spacing w:val="15"/>
          <w:szCs w:val="28"/>
          <w:lang w:eastAsia="en-US"/>
        </w:rPr>
      </w:pPr>
      <w:r>
        <w:br w:type="page"/>
      </w:r>
    </w:p>
    <w:p w:rsidR="00901BD9" w:rsidRDefault="00901BD9" w:rsidP="004814B5">
      <w:pPr>
        <w:pStyle w:val="docmapheading"/>
      </w:pPr>
      <w:r>
        <w:lastRenderedPageBreak/>
        <w:t>C.</w:t>
      </w:r>
      <w:r w:rsidR="003A4428">
        <w:t>2</w:t>
      </w:r>
      <w:r>
        <w:tab/>
        <w:t xml:space="preserve">Extended joint criminal enterprise </w:t>
      </w:r>
    </w:p>
    <w:p w:rsidR="00B0510C" w:rsidRDefault="00901BD9" w:rsidP="00DB1BD7">
      <w:pPr>
        <w:pStyle w:val="Bob1"/>
        <w:tabs>
          <w:tab w:val="clear" w:pos="720"/>
          <w:tab w:val="left" w:pos="1440"/>
        </w:tabs>
        <w:ind w:left="0" w:firstLine="0"/>
        <w:jc w:val="both"/>
      </w:pPr>
      <w:r>
        <w:t xml:space="preserve">The doctrine of extended joint criminal enterprise </w:t>
      </w:r>
      <w:r w:rsidR="00E766AA">
        <w:t xml:space="preserve">was developed </w:t>
      </w:r>
      <w:r>
        <w:t xml:space="preserve">to </w:t>
      </w:r>
      <w:r w:rsidR="00E766AA">
        <w:t xml:space="preserve">determine </w:t>
      </w:r>
      <w:r>
        <w:t xml:space="preserve">complicity when criminal </w:t>
      </w:r>
      <w:r w:rsidR="007A6D8D">
        <w:t>co-adventurer</w:t>
      </w:r>
      <w:r>
        <w:t xml:space="preserve">s react to situational uncertainties. </w:t>
      </w:r>
      <w:r w:rsidR="0053174C">
        <w:t xml:space="preserve"> </w:t>
      </w:r>
      <w:r w:rsidR="008F7AC0">
        <w:t>In its modern history,</w:t>
      </w:r>
      <w:r w:rsidR="008F7AC0">
        <w:rPr>
          <w:rStyle w:val="FootnoteReference"/>
        </w:rPr>
        <w:footnoteReference w:id="48"/>
      </w:r>
      <w:r w:rsidR="008F7AC0">
        <w:t xml:space="preserve"> </w:t>
      </w:r>
      <w:r w:rsidR="002573E4">
        <w:t xml:space="preserve">the decision of the Australian High Court in </w:t>
      </w:r>
      <w:proofErr w:type="gramStart"/>
      <w:r w:rsidR="002573E4" w:rsidRPr="00836242">
        <w:rPr>
          <w:i/>
        </w:rPr>
        <w:t>Johns</w:t>
      </w:r>
      <w:proofErr w:type="gramEnd"/>
      <w:r w:rsidR="002573E4" w:rsidRPr="00836242">
        <w:rPr>
          <w:i/>
        </w:rPr>
        <w:t xml:space="preserve"> v The Queen</w:t>
      </w:r>
      <w:r w:rsidR="002573E4">
        <w:t>, has been influential.  Stephen J explained the doctrine in the following terms:</w:t>
      </w:r>
    </w:p>
    <w:p w:rsidR="002573E4" w:rsidRDefault="002573E4" w:rsidP="00DB1BD7">
      <w:pPr>
        <w:pStyle w:val="Bob1"/>
        <w:numPr>
          <w:ilvl w:val="0"/>
          <w:numId w:val="0"/>
        </w:numPr>
        <w:spacing w:line="240" w:lineRule="auto"/>
        <w:ind w:left="720"/>
        <w:jc w:val="both"/>
        <w:rPr>
          <w:sz w:val="24"/>
        </w:rPr>
      </w:pPr>
      <w:r w:rsidRPr="0015541C">
        <w:rPr>
          <w:sz w:val="24"/>
        </w:rPr>
        <w:t xml:space="preserve">“The criminal responsibility here under discussion is not that relating to the crime which is the prime object of a criminal venture. ... </w:t>
      </w:r>
      <w:r w:rsidR="00626A59">
        <w:rPr>
          <w:sz w:val="24"/>
        </w:rPr>
        <w:t>[I</w:t>
      </w:r>
      <w:r w:rsidRPr="0015541C">
        <w:rPr>
          <w:sz w:val="24"/>
        </w:rPr>
        <w:t>f</w:t>
      </w:r>
      <w:r w:rsidR="00626A59">
        <w:rPr>
          <w:sz w:val="24"/>
        </w:rPr>
        <w:t>]</w:t>
      </w:r>
      <w:r w:rsidRPr="0015541C">
        <w:rPr>
          <w:sz w:val="24"/>
        </w:rPr>
        <w:t xml:space="preserve">, in carrying out that contemplated crime, another crime is committed there </w:t>
      </w:r>
      <w:proofErr w:type="spellStart"/>
      <w:r w:rsidRPr="0015541C">
        <w:rPr>
          <w:sz w:val="24"/>
        </w:rPr>
        <w:t>arises</w:t>
      </w:r>
      <w:proofErr w:type="spellEnd"/>
      <w:r w:rsidRPr="0015541C">
        <w:rPr>
          <w:sz w:val="24"/>
        </w:rPr>
        <w:t xml:space="preserve"> the question of the complicity of those not directly engaged in its commission. The concept of common purpose provides the measure of complicity, the scope of that common purpose determining whether the accessory before the fact to the original crime is also to share in complicity in the other crime. If the scope of the purpose common both to the principal offender and to the accessory is found to include the other crime, the accessory will be fixed with criminal responsibility for it.”</w:t>
      </w:r>
      <w:r w:rsidR="00394475" w:rsidRPr="00394475">
        <w:rPr>
          <w:rStyle w:val="FootnoteReference"/>
        </w:rPr>
        <w:t xml:space="preserve"> </w:t>
      </w:r>
      <w:r w:rsidR="00394475">
        <w:rPr>
          <w:rStyle w:val="FootnoteReference"/>
        </w:rPr>
        <w:footnoteReference w:id="49"/>
      </w:r>
    </w:p>
    <w:p w:rsidR="002573E4" w:rsidRDefault="0015541C" w:rsidP="00DB1BD7">
      <w:pPr>
        <w:pStyle w:val="Bob1"/>
        <w:tabs>
          <w:tab w:val="clear" w:pos="720"/>
          <w:tab w:val="left" w:pos="1440"/>
        </w:tabs>
        <w:ind w:left="0" w:firstLine="0"/>
        <w:jc w:val="both"/>
      </w:pPr>
      <w:r>
        <w:t xml:space="preserve">While his Honour was speaking of the liability of an accessory before the fact, the principle plainly applies equally to </w:t>
      </w:r>
      <w:r w:rsidR="00AF1C27">
        <w:t>aiders and abettors</w:t>
      </w:r>
      <w:r>
        <w:t xml:space="preserve"> present at the</w:t>
      </w:r>
      <w:r w:rsidR="00626A59">
        <w:t xml:space="preserve"> scene.  Stephen J went on to ho</w:t>
      </w:r>
      <w:r>
        <w:t>ld that the scope of the common purpose included what the participants “</w:t>
      </w:r>
      <w:r w:rsidRPr="0015541C">
        <w:t>regarded as possibly involved in the venture</w:t>
      </w:r>
      <w:r>
        <w:t xml:space="preserve">”, </w:t>
      </w:r>
      <w:r w:rsidR="00394475">
        <w:t xml:space="preserve">arguing </w:t>
      </w:r>
      <w:r w:rsidR="00AF1C27">
        <w:t>powerfully</w:t>
      </w:r>
      <w:r w:rsidR="00394475">
        <w:t xml:space="preserve"> against limiting its scope to what was regarded as probable.  The criterion of “probability” was “singularly inappropriate” since the wide range of possible spontaneous </w:t>
      </w:r>
      <w:r w:rsidR="00AF1C27">
        <w:t>actions taken</w:t>
      </w:r>
      <w:r w:rsidR="00394475">
        <w:t xml:space="preserve"> by victims and third parties when confronted by criminals would make it difficult to characterise any </w:t>
      </w:r>
      <w:r w:rsidR="00394475">
        <w:lastRenderedPageBreak/>
        <w:t xml:space="preserve">reaction to </w:t>
      </w:r>
      <w:r w:rsidR="00AF1C27">
        <w:t xml:space="preserve">actions </w:t>
      </w:r>
      <w:r w:rsidR="00394475">
        <w:t xml:space="preserve">of such unpredictability as probable.  Moreover, a standard of probability </w:t>
      </w:r>
      <w:r w:rsidR="00AF1C27">
        <w:t xml:space="preserve">is not an appropriate standard for judging </w:t>
      </w:r>
      <w:r w:rsidR="00394475">
        <w:t>the</w:t>
      </w:r>
      <w:r w:rsidR="00F36562">
        <w:t xml:space="preserve"> co-adventurer’s</w:t>
      </w:r>
      <w:r w:rsidR="00394475">
        <w:t xml:space="preserve"> blameworthiness: </w:t>
      </w:r>
    </w:p>
    <w:p w:rsidR="00394475" w:rsidRDefault="00394475" w:rsidP="00DB1BD7">
      <w:pPr>
        <w:pStyle w:val="Bob1"/>
        <w:numPr>
          <w:ilvl w:val="0"/>
          <w:numId w:val="0"/>
        </w:numPr>
        <w:tabs>
          <w:tab w:val="left" w:pos="810"/>
        </w:tabs>
        <w:spacing w:line="240" w:lineRule="auto"/>
        <w:ind w:left="720"/>
        <w:jc w:val="both"/>
        <w:rPr>
          <w:sz w:val="24"/>
        </w:rPr>
      </w:pPr>
      <w:r w:rsidRPr="00394475">
        <w:rPr>
          <w:sz w:val="24"/>
        </w:rPr>
        <w:t>“... it would mean that an accessory before the fact to, say, armed robbery, who well knows that the robber is armed with a deadly weapon and is ready to use it on his victim if the need arises, will bear no criminal responsibility for the killing which in fact ensues so long as his state of mind was that, on balance, he thought it rather less likely than not that the occasion for the killing would arise. Yet his complicity seems clear enough; the killing was within the contemplation of the parties, who contemplated ‘a substantial risk’ that the killing would occur...”</w:t>
      </w:r>
      <w:r>
        <w:rPr>
          <w:rStyle w:val="FootnoteReference"/>
          <w:sz w:val="24"/>
        </w:rPr>
        <w:footnoteReference w:id="50"/>
      </w:r>
    </w:p>
    <w:p w:rsidR="005E028F" w:rsidRDefault="005E028F" w:rsidP="00DB1BD7">
      <w:pPr>
        <w:pStyle w:val="Bob1"/>
        <w:tabs>
          <w:tab w:val="clear" w:pos="720"/>
          <w:tab w:val="left" w:pos="1440"/>
        </w:tabs>
        <w:ind w:left="0" w:firstLine="0"/>
        <w:jc w:val="both"/>
      </w:pPr>
      <w:r>
        <w:t>In their joint judgment in</w:t>
      </w:r>
      <w:r w:rsidR="008E1535">
        <w:t xml:space="preserve"> </w:t>
      </w:r>
      <w:proofErr w:type="gramStart"/>
      <w:r w:rsidR="008E1535">
        <w:rPr>
          <w:i/>
        </w:rPr>
        <w:t>Johns</w:t>
      </w:r>
      <w:proofErr w:type="gramEnd"/>
      <w:r w:rsidR="008E1535">
        <w:rPr>
          <w:i/>
        </w:rPr>
        <w:t xml:space="preserve"> v The Queen</w:t>
      </w:r>
      <w:r>
        <w:t>, Mason, Murphy a</w:t>
      </w:r>
      <w:r w:rsidRPr="005E028F">
        <w:t>nd Wilson JJ</w:t>
      </w:r>
      <w:r>
        <w:t xml:space="preserve"> </w:t>
      </w:r>
      <w:r w:rsidR="00323F7E">
        <w:t>explained</w:t>
      </w:r>
      <w:r>
        <w:t xml:space="preserve"> that “</w:t>
      </w:r>
      <w:r w:rsidRPr="005E028F">
        <w:t>the doctrine</w:t>
      </w:r>
      <w:r w:rsidR="00323F7E">
        <w:t xml:space="preserve"> [of common purpose or common design]</w:t>
      </w:r>
      <w:r w:rsidRPr="005E028F">
        <w:t xml:space="preserve"> looks to the scope of the common purpose or design as the gravamen of complicity and criminal liability</w:t>
      </w:r>
      <w:r>
        <w:t>.”</w:t>
      </w:r>
      <w:r w:rsidR="00323F7E">
        <w:rPr>
          <w:rStyle w:val="FootnoteReference"/>
        </w:rPr>
        <w:footnoteReference w:id="51"/>
      </w:r>
      <w:r w:rsidR="0069081B">
        <w:t xml:space="preserve">  After a survey of the authorities, their Honours endorsed Street CJ’s formulation of the </w:t>
      </w:r>
      <w:r w:rsidR="00CC049C">
        <w:t xml:space="preserve">extended joint criminal enterprise </w:t>
      </w:r>
      <w:r w:rsidR="0069081B">
        <w:t>doctrine as follows:</w:t>
      </w:r>
    </w:p>
    <w:p w:rsidR="0069081B" w:rsidRDefault="0069081B" w:rsidP="00DB1BD7">
      <w:pPr>
        <w:pStyle w:val="Bob1"/>
        <w:numPr>
          <w:ilvl w:val="0"/>
          <w:numId w:val="0"/>
        </w:numPr>
        <w:spacing w:line="240" w:lineRule="auto"/>
        <w:ind w:left="720"/>
        <w:jc w:val="both"/>
        <w:rPr>
          <w:sz w:val="24"/>
        </w:rPr>
      </w:pPr>
      <w:r w:rsidRPr="00CC049C">
        <w:rPr>
          <w:sz w:val="24"/>
        </w:rPr>
        <w:t>“‘... an accessory before the fact bears, as does a principal in the second degree, a criminal liability for an act which was within the contemplation of both himself and the principal in the first degree as an act which might be done in the course of carrying out the primary criminal intention - an act contemplated as a possible incident of the originally planned particular venture</w:t>
      </w:r>
      <w:r w:rsidR="00CC049C" w:rsidRPr="00CC049C">
        <w:rPr>
          <w:sz w:val="24"/>
        </w:rPr>
        <w:t>’</w:t>
      </w:r>
      <w:r w:rsidRPr="00CC049C">
        <w:rPr>
          <w:sz w:val="24"/>
        </w:rPr>
        <w:t>. Such an act is one which falls within the parties' own purpose and design precisely because it is within their contemplation and is foreseen as a possible incident of the execution of their planned enterprise.”</w:t>
      </w:r>
      <w:r w:rsidR="00CC049C">
        <w:rPr>
          <w:rStyle w:val="FootnoteReference"/>
          <w:sz w:val="24"/>
        </w:rPr>
        <w:footnoteReference w:id="52"/>
      </w:r>
    </w:p>
    <w:p w:rsidR="00CC049C" w:rsidRDefault="00CC049C" w:rsidP="00DB1BD7">
      <w:pPr>
        <w:pStyle w:val="Bob1"/>
        <w:tabs>
          <w:tab w:val="clear" w:pos="720"/>
          <w:tab w:val="left" w:pos="1440"/>
        </w:tabs>
        <w:ind w:left="0" w:firstLine="0"/>
        <w:jc w:val="both"/>
      </w:pPr>
      <w:r>
        <w:t xml:space="preserve">The requirement is therefore for the defendant to have “contemplated” </w:t>
      </w:r>
      <w:r w:rsidR="00734CD3">
        <w:t xml:space="preserve">commission of </w:t>
      </w:r>
      <w:r>
        <w:t xml:space="preserve">the relevant </w:t>
      </w:r>
      <w:r w:rsidR="00734CD3">
        <w:t>crime as possible – as an act</w:t>
      </w:r>
      <w:r>
        <w:t xml:space="preserve"> which “might” be done </w:t>
      </w:r>
      <w:r w:rsidR="00734CD3">
        <w:t xml:space="preserve">– by one of the other participants </w:t>
      </w:r>
      <w:r>
        <w:t>in the course of c</w:t>
      </w:r>
      <w:r w:rsidR="00734CD3">
        <w:t xml:space="preserve">arrying out the primary criminal </w:t>
      </w:r>
      <w:r>
        <w:t xml:space="preserve">enterprise.  Like Stephen J, their Honours rejected </w:t>
      </w:r>
      <w:r>
        <w:lastRenderedPageBreak/>
        <w:t>probability as a criterion since it unacceptably “</w:t>
      </w:r>
      <w:r w:rsidRPr="00CC049C">
        <w:t>stakes everything on the probability or improbability of an act, admi</w:t>
      </w:r>
      <w:r>
        <w:t xml:space="preserve">ttedly contemplated, occurring”. </w:t>
      </w:r>
      <w:r>
        <w:rPr>
          <w:rStyle w:val="FootnoteReference"/>
        </w:rPr>
        <w:footnoteReference w:id="53"/>
      </w:r>
    </w:p>
    <w:p w:rsidR="00CC049C" w:rsidRDefault="00CB04C4" w:rsidP="00DB1BD7">
      <w:pPr>
        <w:pStyle w:val="Bob1"/>
        <w:tabs>
          <w:tab w:val="clear" w:pos="720"/>
          <w:tab w:val="left" w:pos="1440"/>
        </w:tabs>
        <w:ind w:left="0" w:firstLine="0"/>
        <w:jc w:val="both"/>
      </w:pPr>
      <w:r>
        <w:t xml:space="preserve">In </w:t>
      </w:r>
      <w:r w:rsidRPr="00DB1BD7">
        <w:rPr>
          <w:i/>
        </w:rPr>
        <w:t xml:space="preserve">Chan Wing </w:t>
      </w:r>
      <w:proofErr w:type="spellStart"/>
      <w:r w:rsidRPr="00DB1BD7">
        <w:rPr>
          <w:i/>
        </w:rPr>
        <w:t>Siu</w:t>
      </w:r>
      <w:proofErr w:type="spellEnd"/>
      <w:r>
        <w:t>,</w:t>
      </w:r>
      <w:r>
        <w:rPr>
          <w:rStyle w:val="FootnoteReference"/>
        </w:rPr>
        <w:footnoteReference w:id="54"/>
      </w:r>
      <w:r>
        <w:t xml:space="preserve"> three men armed with knives forced their way into the deceased’s flat.  The defendants did not testify but statements given by them indicated that the third defendant (</w:t>
      </w:r>
      <w:proofErr w:type="spellStart"/>
      <w:r>
        <w:t>Tse</w:t>
      </w:r>
      <w:proofErr w:type="spellEnd"/>
      <w:r>
        <w:t>) had asked the other two to help him collect a debt from the deceased and had armed them with knives for that purpose.  The evidence sufficiently established that two of them had “</w:t>
      </w:r>
      <w:r w:rsidRPr="00CB04C4">
        <w:t>joined in an attack on the deceased with at least the intention of inflicting grievous bodily harm</w:t>
      </w:r>
      <w:r>
        <w:t xml:space="preserve">” but the evidence in relation to </w:t>
      </w:r>
      <w:proofErr w:type="spellStart"/>
      <w:r>
        <w:t>Tse</w:t>
      </w:r>
      <w:proofErr w:type="spellEnd"/>
      <w:r>
        <w:t xml:space="preserve"> was more equivocal, it being suggested that he had run away when the deceased </w:t>
      </w:r>
      <w:r w:rsidR="00C633DB">
        <w:t>put up a strong resistance</w:t>
      </w:r>
      <w:r w:rsidR="00626A59">
        <w:t xml:space="preserve"> and inflicted</w:t>
      </w:r>
      <w:r>
        <w:t xml:space="preserve"> injuries on his two attackers.  This led the trial judge to </w:t>
      </w:r>
      <w:r w:rsidR="00FA5A10">
        <w:t xml:space="preserve">direct the jury along the lines approved in </w:t>
      </w:r>
      <w:proofErr w:type="gramStart"/>
      <w:r w:rsidR="00FA5A10" w:rsidRPr="00DB1BD7">
        <w:rPr>
          <w:i/>
        </w:rPr>
        <w:t>Johns</w:t>
      </w:r>
      <w:proofErr w:type="gramEnd"/>
      <w:r w:rsidR="00C633DB" w:rsidRPr="00DB1BD7">
        <w:rPr>
          <w:i/>
        </w:rPr>
        <w:t xml:space="preserve"> v The Queen</w:t>
      </w:r>
      <w:r w:rsidR="00FA5A10" w:rsidRPr="00DB1BD7">
        <w:rPr>
          <w:i/>
        </w:rPr>
        <w:t xml:space="preserve"> </w:t>
      </w:r>
      <w:r w:rsidR="00FA5A10">
        <w:t>to the effect that the accused would be guilty of murder “</w:t>
      </w:r>
      <w:r w:rsidR="00FA5A10" w:rsidRPr="00FA5A10">
        <w:t>if proved to have had in contemplation that a knife might be used on the occasion by one of his co-adventurers with the intention of inflictin</w:t>
      </w:r>
      <w:r w:rsidR="00FA5A10">
        <w:t>g serious bodily injury.”</w:t>
      </w:r>
      <w:r w:rsidR="00FA5A10">
        <w:rPr>
          <w:rStyle w:val="FootnoteReference"/>
        </w:rPr>
        <w:footnoteReference w:id="55"/>
      </w:r>
      <w:r w:rsidR="00FA5A10">
        <w:t xml:space="preserve">  This was criticised on appeal on the footing that “</w:t>
      </w:r>
      <w:r w:rsidR="00FA5A10" w:rsidRPr="00FA5A10">
        <w:t xml:space="preserve">such an accused does at least have to be proved to have foreseen that, if such a contingency eventuated, it was more probable than not that one of his companions would use a weapon with intent to kill or </w:t>
      </w:r>
      <w:r w:rsidR="00FA5A10">
        <w:t>cause grievous bodily harm.”</w:t>
      </w:r>
      <w:r w:rsidR="00FA5A10">
        <w:rPr>
          <w:rStyle w:val="FootnoteReference"/>
        </w:rPr>
        <w:footnoteReference w:id="56"/>
      </w:r>
    </w:p>
    <w:p w:rsidR="00FA5A10" w:rsidRDefault="00FA5A10" w:rsidP="00DB1BD7">
      <w:pPr>
        <w:pStyle w:val="Bob1"/>
        <w:tabs>
          <w:tab w:val="clear" w:pos="720"/>
          <w:tab w:val="left" w:pos="1440"/>
        </w:tabs>
        <w:ind w:left="0" w:firstLine="0"/>
        <w:jc w:val="both"/>
      </w:pPr>
      <w:r>
        <w:t xml:space="preserve">Having referred to the principles of accessorial liability in cases where typically “the same or the same type of offence is actually intended by all </w:t>
      </w:r>
      <w:r>
        <w:lastRenderedPageBreak/>
        <w:t xml:space="preserve">the parties acting in concert”, Sir Robin Cooke </w:t>
      </w:r>
      <w:r w:rsidR="000010FE">
        <w:t>noted that the case before the Privy Council had to “</w:t>
      </w:r>
      <w:r w:rsidR="000010FE" w:rsidRPr="000010FE">
        <w:t>depend rather on the wider principle whereby a secondary party is criminally liable for acts by the primary offender of a type which the former foresees but does not necessarily intend</w:t>
      </w:r>
      <w:r w:rsidR="000010FE">
        <w:t>.”</w:t>
      </w:r>
      <w:r w:rsidR="000010FE">
        <w:rPr>
          <w:rStyle w:val="FootnoteReference"/>
        </w:rPr>
        <w:footnoteReference w:id="57"/>
      </w:r>
      <w:r w:rsidR="000010FE">
        <w:t xml:space="preserve">  </w:t>
      </w:r>
      <w:r w:rsidR="00C633DB">
        <w:t xml:space="preserve">It was, in other words, an extended joint criminal enterprise case.  </w:t>
      </w:r>
      <w:r w:rsidR="000010FE">
        <w:t>His Lordship elaborated as follows:</w:t>
      </w:r>
    </w:p>
    <w:p w:rsidR="000010FE" w:rsidRDefault="000010FE" w:rsidP="00DB1BD7">
      <w:pPr>
        <w:pStyle w:val="Bob1"/>
        <w:numPr>
          <w:ilvl w:val="0"/>
          <w:numId w:val="0"/>
        </w:numPr>
        <w:spacing w:line="240" w:lineRule="auto"/>
        <w:ind w:left="720"/>
        <w:jc w:val="both"/>
        <w:rPr>
          <w:sz w:val="24"/>
        </w:rPr>
      </w:pPr>
      <w:r w:rsidRPr="000010FE">
        <w:rPr>
          <w:sz w:val="24"/>
        </w:rPr>
        <w:t>“That there is such a principle is not in doubt. It turns on contemplation or, putting the same idea in other words, authorisation, which may be express but is more usually implied. It meets the case of a crime foreseen as a possible incident of the common unlawful enterprise. The criminal culpability lies in participating in the venture with that foresight.”</w:t>
      </w:r>
      <w:r>
        <w:rPr>
          <w:rStyle w:val="FootnoteReference"/>
          <w:sz w:val="24"/>
        </w:rPr>
        <w:footnoteReference w:id="58"/>
      </w:r>
    </w:p>
    <w:p w:rsidR="000010FE" w:rsidRDefault="000010FE" w:rsidP="00DB1BD7">
      <w:pPr>
        <w:pStyle w:val="Bob1"/>
        <w:tabs>
          <w:tab w:val="clear" w:pos="720"/>
          <w:tab w:val="left" w:pos="1440"/>
        </w:tabs>
        <w:ind w:left="0" w:firstLine="0"/>
        <w:jc w:val="both"/>
      </w:pPr>
      <w:r>
        <w:t>After reviewing the authorities,</w:t>
      </w:r>
      <w:r>
        <w:rPr>
          <w:rStyle w:val="FootnoteReference"/>
        </w:rPr>
        <w:footnoteReference w:id="59"/>
      </w:r>
      <w:r>
        <w:t xml:space="preserve"> Sir Robin Cooke held in favour of the </w:t>
      </w:r>
      <w:r w:rsidR="006D28D5">
        <w:t xml:space="preserve">foresight of </w:t>
      </w:r>
      <w:r>
        <w:t xml:space="preserve">possibility and rejected </w:t>
      </w:r>
      <w:r w:rsidR="006D28D5">
        <w:t xml:space="preserve">a criterion of </w:t>
      </w:r>
      <w:r>
        <w:t>probability</w:t>
      </w:r>
      <w:r w:rsidR="006D28D5">
        <w:t>, holding:</w:t>
      </w:r>
    </w:p>
    <w:p w:rsidR="006D28D5" w:rsidRPr="006D28D5" w:rsidRDefault="006D28D5" w:rsidP="00DB1BD7">
      <w:pPr>
        <w:pStyle w:val="Bob1"/>
        <w:numPr>
          <w:ilvl w:val="0"/>
          <w:numId w:val="0"/>
        </w:numPr>
        <w:spacing w:line="240" w:lineRule="auto"/>
        <w:ind w:left="720"/>
        <w:jc w:val="both"/>
        <w:rPr>
          <w:sz w:val="24"/>
        </w:rPr>
      </w:pPr>
      <w:r w:rsidRPr="006D28D5">
        <w:rPr>
          <w:sz w:val="24"/>
        </w:rPr>
        <w:t>“In agreement with the courts in Hong Kong, Australia and New Zealand, their Lordships regard as wholly unacceptable any argument that would propose, as any part of the criteria of the guilt of an accomplice, whether on considering in advance the possibility of a crime of the kind in the event actually committed by his co-adventurers he thought that it was more than an even risk. ...</w:t>
      </w:r>
    </w:p>
    <w:p w:rsidR="006D28D5" w:rsidRPr="006D28D5" w:rsidRDefault="006D28D5" w:rsidP="00DB1BD7">
      <w:pPr>
        <w:pStyle w:val="Bob1"/>
        <w:numPr>
          <w:ilvl w:val="0"/>
          <w:numId w:val="0"/>
        </w:numPr>
        <w:spacing w:line="240" w:lineRule="auto"/>
        <w:ind w:left="720"/>
        <w:jc w:val="both"/>
        <w:rPr>
          <w:sz w:val="24"/>
        </w:rPr>
      </w:pPr>
      <w:r w:rsidRPr="006D28D5">
        <w:rPr>
          <w:sz w:val="24"/>
        </w:rPr>
        <w:t xml:space="preserve">What public policy requires was rightly identified in the submissions for the Crown. Where a man lends himself to a criminal enterprise knowing that potentially murderous weapons are to be carried, and in the event they are in fact used by his partner with </w:t>
      </w:r>
      <w:proofErr w:type="gramStart"/>
      <w:r w:rsidRPr="006D28D5">
        <w:rPr>
          <w:sz w:val="24"/>
        </w:rPr>
        <w:t>an intent</w:t>
      </w:r>
      <w:proofErr w:type="gramEnd"/>
      <w:r w:rsidRPr="006D28D5">
        <w:rPr>
          <w:sz w:val="24"/>
        </w:rPr>
        <w:t xml:space="preserve"> sufficient for murder, he should not escape the consequences by reliance upon a nuance of prior assessment, only too likely to have been optimistic. </w:t>
      </w:r>
    </w:p>
    <w:p w:rsidR="006D28D5" w:rsidRDefault="006D28D5" w:rsidP="00DB1BD7">
      <w:pPr>
        <w:pStyle w:val="Bob1"/>
        <w:numPr>
          <w:ilvl w:val="0"/>
          <w:numId w:val="0"/>
        </w:numPr>
        <w:spacing w:line="240" w:lineRule="auto"/>
        <w:ind w:left="720"/>
        <w:jc w:val="both"/>
        <w:rPr>
          <w:sz w:val="24"/>
        </w:rPr>
      </w:pPr>
      <w:r w:rsidRPr="006D28D5">
        <w:rPr>
          <w:sz w:val="24"/>
        </w:rPr>
        <w:t>On the other hand, if it was not even contemplated by the particular accused that serious bodily harm would be intentionally inflicted, he is not a party to murder.”</w:t>
      </w:r>
      <w:r>
        <w:rPr>
          <w:rStyle w:val="FootnoteReference"/>
          <w:sz w:val="24"/>
        </w:rPr>
        <w:footnoteReference w:id="60"/>
      </w:r>
    </w:p>
    <w:p w:rsidR="006D28D5" w:rsidRDefault="006D28D5" w:rsidP="00DB1BD7">
      <w:pPr>
        <w:pStyle w:val="Bob1"/>
        <w:tabs>
          <w:tab w:val="clear" w:pos="720"/>
          <w:tab w:val="left" w:pos="1440"/>
        </w:tabs>
        <w:ind w:left="0" w:firstLine="0"/>
        <w:jc w:val="both"/>
      </w:pPr>
      <w:r>
        <w:t xml:space="preserve">His Lordship approved the Judge’s direction that if </w:t>
      </w:r>
      <w:proofErr w:type="spellStart"/>
      <w:r>
        <w:t>Tse</w:t>
      </w:r>
      <w:proofErr w:type="spellEnd"/>
      <w:r>
        <w:t xml:space="preserve"> had “thought</w:t>
      </w:r>
      <w:r w:rsidRPr="006D28D5">
        <w:t xml:space="preserve"> that the knives would be used to do no more than frighten the occupants, then he would be guilty not of murder but of</w:t>
      </w:r>
      <w:r>
        <w:t xml:space="preserve"> manslaughter”</w:t>
      </w:r>
      <w:r>
        <w:rPr>
          <w:rStyle w:val="FootnoteReference"/>
        </w:rPr>
        <w:footnoteReference w:id="61"/>
      </w:r>
      <w:r>
        <w:t xml:space="preserve"> and </w:t>
      </w:r>
      <w:r>
        <w:lastRenderedPageBreak/>
        <w:t>also held that if a jury thought there was a reasonable possibility that “</w:t>
      </w:r>
      <w:r w:rsidRPr="006D28D5">
        <w:t xml:space="preserve">a risk may </w:t>
      </w:r>
      <w:r w:rsidR="00A56E4C">
        <w:t xml:space="preserve">have occurred to an </w:t>
      </w:r>
      <w:proofErr w:type="spellStart"/>
      <w:r w:rsidR="00A56E4C">
        <w:t>accused’</w:t>
      </w:r>
      <w:r w:rsidRPr="006D28D5">
        <w:t>s</w:t>
      </w:r>
      <w:proofErr w:type="spellEnd"/>
      <w:r w:rsidRPr="006D28D5">
        <w:t xml:space="preserve"> mind - fleetingly or even causing him some deliberation - but may genuinely have been dismissed by him as altogether negligible</w:t>
      </w:r>
      <w:r>
        <w:t xml:space="preserve">”, he should not be held </w:t>
      </w:r>
      <w:r w:rsidR="00A56E4C">
        <w:t>complicit to the murder or wounding.</w:t>
      </w:r>
      <w:r w:rsidR="00A56E4C">
        <w:rPr>
          <w:rStyle w:val="FootnoteReference"/>
        </w:rPr>
        <w:footnoteReference w:id="62"/>
      </w:r>
    </w:p>
    <w:p w:rsidR="00F0498A" w:rsidRDefault="00025C33" w:rsidP="00DB1BD7">
      <w:pPr>
        <w:pStyle w:val="Bob1"/>
        <w:tabs>
          <w:tab w:val="clear" w:pos="720"/>
          <w:tab w:val="left" w:pos="1440"/>
        </w:tabs>
        <w:ind w:left="0" w:firstLine="0"/>
        <w:jc w:val="both"/>
      </w:pPr>
      <w:r>
        <w:t xml:space="preserve">Until the </w:t>
      </w:r>
      <w:proofErr w:type="spellStart"/>
      <w:r w:rsidRPr="00DB1BD7">
        <w:rPr>
          <w:i/>
        </w:rPr>
        <w:t>Jogee</w:t>
      </w:r>
      <w:proofErr w:type="spellEnd"/>
      <w:r w:rsidRPr="00DB1BD7">
        <w:rPr>
          <w:i/>
        </w:rPr>
        <w:t xml:space="preserve"> </w:t>
      </w:r>
      <w:r>
        <w:t xml:space="preserve">decision, </w:t>
      </w:r>
      <w:r w:rsidR="00B5215E">
        <w:t xml:space="preserve">extended joint criminal enterprise </w:t>
      </w:r>
      <w:r w:rsidR="00A313DE">
        <w:t xml:space="preserve">principles </w:t>
      </w:r>
      <w:r>
        <w:t xml:space="preserve">consistent with </w:t>
      </w:r>
      <w:r w:rsidR="00B5215E">
        <w:t xml:space="preserve">the doctrine </w:t>
      </w:r>
      <w:r w:rsidR="00A313DE">
        <w:t xml:space="preserve">as </w:t>
      </w:r>
      <w:r w:rsidR="00B5215E">
        <w:t xml:space="preserve">expounded in </w:t>
      </w:r>
      <w:r w:rsidRPr="00DB1BD7">
        <w:rPr>
          <w:i/>
        </w:rPr>
        <w:t xml:space="preserve">Chan Wing </w:t>
      </w:r>
      <w:proofErr w:type="spellStart"/>
      <w:r w:rsidRPr="00DB1BD7">
        <w:rPr>
          <w:i/>
        </w:rPr>
        <w:t>Siu</w:t>
      </w:r>
      <w:proofErr w:type="spellEnd"/>
      <w:r w:rsidRPr="00DB1BD7">
        <w:rPr>
          <w:i/>
        </w:rPr>
        <w:t xml:space="preserve"> </w:t>
      </w:r>
      <w:r w:rsidR="000F6D1D">
        <w:t xml:space="preserve">have </w:t>
      </w:r>
      <w:r>
        <w:t xml:space="preserve">been applied in </w:t>
      </w:r>
      <w:r w:rsidR="000F6D1D">
        <w:t xml:space="preserve">numerous cases and in the highest courts of </w:t>
      </w:r>
      <w:r>
        <w:t>Hong Kong,</w:t>
      </w:r>
      <w:r w:rsidR="000F6D1D">
        <w:rPr>
          <w:rStyle w:val="FootnoteReference"/>
        </w:rPr>
        <w:footnoteReference w:id="63"/>
      </w:r>
      <w:r>
        <w:t xml:space="preserve"> England and Wales</w:t>
      </w:r>
      <w:r>
        <w:rPr>
          <w:rStyle w:val="FootnoteReference"/>
        </w:rPr>
        <w:footnoteReference w:id="64"/>
      </w:r>
      <w:r>
        <w:t xml:space="preserve"> and Australia.</w:t>
      </w:r>
      <w:r w:rsidR="000F6D1D">
        <w:rPr>
          <w:rStyle w:val="FootnoteReference"/>
        </w:rPr>
        <w:footnoteReference w:id="65"/>
      </w:r>
      <w:r w:rsidR="00B5215E">
        <w:t xml:space="preserve">  </w:t>
      </w:r>
    </w:p>
    <w:p w:rsidR="000C09ED" w:rsidRDefault="00DC763F" w:rsidP="00DB1BD7">
      <w:pPr>
        <w:pStyle w:val="Bob1"/>
        <w:tabs>
          <w:tab w:val="clear" w:pos="720"/>
          <w:tab w:val="left" w:pos="1440"/>
        </w:tabs>
        <w:ind w:left="0" w:firstLine="0"/>
        <w:jc w:val="both"/>
      </w:pPr>
      <w:r>
        <w:t xml:space="preserve">In </w:t>
      </w:r>
      <w:r w:rsidR="006659FE">
        <w:t xml:space="preserve">the House of Lords </w:t>
      </w:r>
      <w:r>
        <w:t xml:space="preserve">in </w:t>
      </w:r>
      <w:r w:rsidRPr="00DB1BD7">
        <w:rPr>
          <w:i/>
        </w:rPr>
        <w:t>R v Powell (Anthony)</w:t>
      </w:r>
      <w:r>
        <w:t>,</w:t>
      </w:r>
      <w:r>
        <w:rPr>
          <w:rStyle w:val="FootnoteReference"/>
        </w:rPr>
        <w:footnoteReference w:id="66"/>
      </w:r>
      <w:r>
        <w:t xml:space="preserve"> </w:t>
      </w:r>
      <w:r w:rsidR="000C09ED">
        <w:t>Lord Hutton summarised the principle as follows:</w:t>
      </w:r>
    </w:p>
    <w:p w:rsidR="000C09ED" w:rsidRDefault="000C09ED" w:rsidP="00DB1BD7">
      <w:pPr>
        <w:pStyle w:val="Bob1"/>
        <w:numPr>
          <w:ilvl w:val="0"/>
          <w:numId w:val="0"/>
        </w:numPr>
        <w:spacing w:line="240" w:lineRule="auto"/>
        <w:ind w:left="720"/>
        <w:jc w:val="both"/>
        <w:rPr>
          <w:sz w:val="24"/>
        </w:rPr>
      </w:pPr>
      <w:r w:rsidRPr="000C09ED">
        <w:rPr>
          <w:sz w:val="24"/>
        </w:rPr>
        <w:t xml:space="preserve">“... </w:t>
      </w:r>
      <w:proofErr w:type="gramStart"/>
      <w:r w:rsidRPr="000C09ED">
        <w:rPr>
          <w:sz w:val="24"/>
        </w:rPr>
        <w:t>it</w:t>
      </w:r>
      <w:proofErr w:type="gramEnd"/>
      <w:r w:rsidRPr="000C09ED">
        <w:rPr>
          <w:sz w:val="24"/>
        </w:rPr>
        <w:t xml:space="preserve"> is sufficient to found a conviction for murder for a secondary party to have realised that in the course of the joint enterprise the primary party might kill with intent to do so or with intent to cause grievous bodily harm.”</w:t>
      </w:r>
    </w:p>
    <w:p w:rsidR="000C09ED" w:rsidRDefault="000C09ED" w:rsidP="00DB1BD7">
      <w:pPr>
        <w:pStyle w:val="Bob1"/>
        <w:tabs>
          <w:tab w:val="clear" w:pos="720"/>
        </w:tabs>
        <w:ind w:left="0" w:firstLine="0"/>
        <w:jc w:val="both"/>
      </w:pPr>
      <w:r>
        <w:t>Having endorsed the rule that a defendant who did not foresee the principal’s act as a possibility falls outside the scope of the joint enterprise, his Lordship added:</w:t>
      </w:r>
    </w:p>
    <w:p w:rsidR="000C09ED" w:rsidRDefault="000C09ED" w:rsidP="00DB1BD7">
      <w:pPr>
        <w:pStyle w:val="Bob1"/>
        <w:numPr>
          <w:ilvl w:val="0"/>
          <w:numId w:val="0"/>
        </w:numPr>
        <w:spacing w:line="240" w:lineRule="auto"/>
        <w:ind w:left="720"/>
        <w:jc w:val="both"/>
        <w:rPr>
          <w:sz w:val="24"/>
        </w:rPr>
      </w:pPr>
      <w:r w:rsidRPr="000C09ED">
        <w:rPr>
          <w:sz w:val="24"/>
        </w:rPr>
        <w:t>“However ... if the weapon used by the primary party is different to, but as dangerous as, the weapon which the secondary party contemplated he might use, the secondary party should not escape liability for murder because of the difference in the weapon ...”</w:t>
      </w:r>
      <w:r>
        <w:rPr>
          <w:rStyle w:val="FootnoteReference"/>
          <w:sz w:val="24"/>
        </w:rPr>
        <w:footnoteReference w:id="67"/>
      </w:r>
    </w:p>
    <w:p w:rsidR="000C09ED" w:rsidRDefault="00BA6824" w:rsidP="00DB1BD7">
      <w:pPr>
        <w:pStyle w:val="Bob1"/>
        <w:tabs>
          <w:tab w:val="clear" w:pos="720"/>
          <w:tab w:val="left" w:pos="1440"/>
        </w:tabs>
        <w:ind w:left="0" w:firstLine="0"/>
      </w:pPr>
      <w:r>
        <w:lastRenderedPageBreak/>
        <w:t xml:space="preserve">And, agreeing with </w:t>
      </w:r>
      <w:r>
        <w:rPr>
          <w:i/>
        </w:rPr>
        <w:t xml:space="preserve">Chan Wing </w:t>
      </w:r>
      <w:proofErr w:type="spellStart"/>
      <w:r>
        <w:rPr>
          <w:i/>
        </w:rPr>
        <w:t>Siu</w:t>
      </w:r>
      <w:proofErr w:type="spellEnd"/>
      <w:r>
        <w:t>, Lord Hutton held that:</w:t>
      </w:r>
    </w:p>
    <w:p w:rsidR="00BA6824" w:rsidRDefault="00BA6824" w:rsidP="00DB1BD7">
      <w:pPr>
        <w:pStyle w:val="Bob1"/>
        <w:numPr>
          <w:ilvl w:val="0"/>
          <w:numId w:val="0"/>
        </w:numPr>
        <w:spacing w:line="240" w:lineRule="auto"/>
        <w:ind w:left="810" w:hanging="90"/>
        <w:jc w:val="both"/>
        <w:rPr>
          <w:sz w:val="24"/>
        </w:rPr>
      </w:pPr>
      <w:r w:rsidRPr="003C726A">
        <w:rPr>
          <w:sz w:val="24"/>
        </w:rPr>
        <w:t xml:space="preserve">“... </w:t>
      </w:r>
      <w:proofErr w:type="gramStart"/>
      <w:r w:rsidRPr="003C726A">
        <w:rPr>
          <w:sz w:val="24"/>
        </w:rPr>
        <w:t>the</w:t>
      </w:r>
      <w:proofErr w:type="gramEnd"/>
      <w:r w:rsidRPr="003C726A">
        <w:rPr>
          <w:sz w:val="24"/>
        </w:rPr>
        <w:t xml:space="preserve"> secondary party is subject to criminal liabil</w:t>
      </w:r>
      <w:r w:rsidR="003C726A" w:rsidRPr="003C726A">
        <w:rPr>
          <w:sz w:val="24"/>
        </w:rPr>
        <w:t xml:space="preserve">ity if he contemplated the act </w:t>
      </w:r>
      <w:r w:rsidRPr="003C726A">
        <w:rPr>
          <w:sz w:val="24"/>
        </w:rPr>
        <w:t>causing the death as a possible incident of the joint venture, unless the risk was so remote that the jury take the view that the secondary party genuinely dismissed it as altogether negligible.</w:t>
      </w:r>
      <w:r w:rsidR="003C726A" w:rsidRPr="003C726A">
        <w:rPr>
          <w:sz w:val="24"/>
        </w:rPr>
        <w:t>”</w:t>
      </w:r>
      <w:r w:rsidR="003C726A">
        <w:rPr>
          <w:rStyle w:val="FootnoteReference"/>
          <w:sz w:val="24"/>
        </w:rPr>
        <w:footnoteReference w:id="68"/>
      </w:r>
    </w:p>
    <w:p w:rsidR="003C726A" w:rsidRDefault="00F0498A" w:rsidP="004814B5">
      <w:pPr>
        <w:pStyle w:val="docmapheading"/>
      </w:pPr>
      <w:r>
        <w:t>D.</w:t>
      </w:r>
      <w:r>
        <w:tab/>
        <w:t xml:space="preserve">What </w:t>
      </w:r>
      <w:proofErr w:type="spellStart"/>
      <w:r>
        <w:t>Jogee</w:t>
      </w:r>
      <w:proofErr w:type="spellEnd"/>
      <w:r>
        <w:t xml:space="preserve"> decided</w:t>
      </w:r>
    </w:p>
    <w:p w:rsidR="00F0498A" w:rsidRDefault="00253F61" w:rsidP="005C3956">
      <w:pPr>
        <w:pStyle w:val="Bob1"/>
        <w:tabs>
          <w:tab w:val="clear" w:pos="720"/>
          <w:tab w:val="left" w:pos="1440"/>
        </w:tabs>
        <w:ind w:left="0" w:firstLine="0"/>
        <w:jc w:val="both"/>
      </w:pPr>
      <w:r>
        <w:t xml:space="preserve">The UK Supreme Court in </w:t>
      </w:r>
      <w:proofErr w:type="spellStart"/>
      <w:r>
        <w:rPr>
          <w:i/>
        </w:rPr>
        <w:t>Jogee</w:t>
      </w:r>
      <w:proofErr w:type="spellEnd"/>
      <w:r>
        <w:rPr>
          <w:i/>
        </w:rPr>
        <w:t xml:space="preserve"> </w:t>
      </w:r>
      <w:r w:rsidR="00D45043">
        <w:t>decided</w:t>
      </w:r>
      <w:r>
        <w:t xml:space="preserve"> that </w:t>
      </w:r>
      <w:r>
        <w:rPr>
          <w:i/>
        </w:rPr>
        <w:t xml:space="preserve">Chan Wing </w:t>
      </w:r>
      <w:proofErr w:type="spellStart"/>
      <w:r>
        <w:rPr>
          <w:i/>
        </w:rPr>
        <w:t>Siu</w:t>
      </w:r>
      <w:proofErr w:type="spellEnd"/>
      <w:r>
        <w:rPr>
          <w:i/>
        </w:rPr>
        <w:t xml:space="preserve"> </w:t>
      </w:r>
      <w:r>
        <w:t>was wrongly decided.</w:t>
      </w:r>
      <w:r>
        <w:rPr>
          <w:rStyle w:val="FootnoteReference"/>
        </w:rPr>
        <w:footnoteReference w:id="69"/>
      </w:r>
      <w:r>
        <w:t xml:space="preserve">   </w:t>
      </w:r>
      <w:r w:rsidR="003A5441">
        <w:t>It held that t</w:t>
      </w:r>
      <w:r w:rsidR="009B2BAC">
        <w:t>he Privy Council had (on the basis of a</w:t>
      </w:r>
      <w:r w:rsidR="004465C4">
        <w:t>n incomplete or</w:t>
      </w:r>
      <w:r w:rsidR="009B2BAC">
        <w:t xml:space="preserve"> faulty appreciation of the authorities) “taken a wrong turn” by adopting the doctrine of extended joint criminal enterprise, which it referred to as </w:t>
      </w:r>
      <w:r w:rsidR="004465C4">
        <w:t xml:space="preserve">involving </w:t>
      </w:r>
      <w:r w:rsidR="009B2BAC">
        <w:t xml:space="preserve">“parasitic accessory liability”, instead of basing secondary liability solely on traditional accessorial liability principles.  </w:t>
      </w:r>
      <w:r w:rsidR="003A5441">
        <w:t>T</w:t>
      </w:r>
      <w:r w:rsidR="009B2BAC">
        <w:t>he extended doctrine</w:t>
      </w:r>
      <w:r w:rsidR="002E56F7">
        <w:t>, by founding</w:t>
      </w:r>
      <w:r w:rsidR="009B2BAC">
        <w:t xml:space="preserve"> liability on mere foresight that a </w:t>
      </w:r>
      <w:r w:rsidR="007A6D8D">
        <w:t>co-adventurer</w:t>
      </w:r>
      <w:r w:rsidR="009B2BAC">
        <w:t xml:space="preserve"> might commit the further offence</w:t>
      </w:r>
      <w:r w:rsidR="002E56F7">
        <w:t>,</w:t>
      </w:r>
      <w:r w:rsidR="009B2BAC">
        <w:t xml:space="preserve"> “over-</w:t>
      </w:r>
      <w:r w:rsidR="00B542E2">
        <w:t>extends</w:t>
      </w:r>
      <w:r w:rsidR="009B2BAC">
        <w:t>”</w:t>
      </w:r>
      <w:r w:rsidR="003A5441">
        <w:t xml:space="preserve"> secondary</w:t>
      </w:r>
      <w:r w:rsidR="009B2BAC">
        <w:t xml:space="preserve"> liability </w:t>
      </w:r>
      <w:r w:rsidR="003A5441">
        <w:t xml:space="preserve">in a manner </w:t>
      </w:r>
      <w:r w:rsidR="009B2BAC">
        <w:t>savouring of constructive crime.  It also gives r</w:t>
      </w:r>
      <w:r w:rsidR="002E56F7">
        <w:t xml:space="preserve">ise to an anomaly by adopting the </w:t>
      </w:r>
      <w:r w:rsidR="009B2BAC">
        <w:t xml:space="preserve">lower </w:t>
      </w:r>
      <w:proofErr w:type="spellStart"/>
      <w:r w:rsidR="009B2BAC">
        <w:rPr>
          <w:i/>
        </w:rPr>
        <w:t>mens</w:t>
      </w:r>
      <w:proofErr w:type="spellEnd"/>
      <w:r w:rsidR="009B2BAC">
        <w:rPr>
          <w:i/>
        </w:rPr>
        <w:t xml:space="preserve"> </w:t>
      </w:r>
      <w:proofErr w:type="spellStart"/>
      <w:r w:rsidR="009B2BAC">
        <w:rPr>
          <w:i/>
        </w:rPr>
        <w:t>rea</w:t>
      </w:r>
      <w:proofErr w:type="spellEnd"/>
      <w:r w:rsidR="009B2BAC">
        <w:rPr>
          <w:i/>
        </w:rPr>
        <w:t xml:space="preserve"> </w:t>
      </w:r>
      <w:r w:rsidR="009B2BAC">
        <w:t xml:space="preserve">threshold </w:t>
      </w:r>
      <w:r w:rsidR="003A5441">
        <w:t xml:space="preserve">of foresight </w:t>
      </w:r>
      <w:r w:rsidR="009B2BAC">
        <w:t xml:space="preserve">for </w:t>
      </w:r>
      <w:r w:rsidR="002E56F7">
        <w:t xml:space="preserve">the secondary party’s </w:t>
      </w:r>
      <w:r w:rsidR="009B2BAC">
        <w:t xml:space="preserve">liability </w:t>
      </w:r>
      <w:r w:rsidR="003A5441">
        <w:t xml:space="preserve">as opposed to that of intention </w:t>
      </w:r>
      <w:r w:rsidR="009B2BAC">
        <w:t xml:space="preserve">for the principal offender.  </w:t>
      </w:r>
      <w:proofErr w:type="spellStart"/>
      <w:r w:rsidR="009B2BAC">
        <w:rPr>
          <w:i/>
        </w:rPr>
        <w:t>Jogee</w:t>
      </w:r>
      <w:proofErr w:type="spellEnd"/>
      <w:r w:rsidR="009B2BAC">
        <w:rPr>
          <w:i/>
        </w:rPr>
        <w:t xml:space="preserve"> </w:t>
      </w:r>
      <w:r w:rsidR="009B2BAC">
        <w:t xml:space="preserve">therefore decided </w:t>
      </w:r>
      <w:r w:rsidR="004465C4">
        <w:t xml:space="preserve">that </w:t>
      </w:r>
      <w:r w:rsidR="009B2BAC">
        <w:t xml:space="preserve">joint criminal enterprise, both basic and extended, </w:t>
      </w:r>
      <w:r w:rsidR="004465C4">
        <w:t xml:space="preserve">should be abolished </w:t>
      </w:r>
      <w:r w:rsidR="009B2BAC">
        <w:t xml:space="preserve">and secondary liability </w:t>
      </w:r>
      <w:r w:rsidR="004465C4">
        <w:t>established solely on</w:t>
      </w:r>
      <w:r w:rsidR="009B2BAC">
        <w:t xml:space="preserve"> the basis of an intention to aid, abet, counsel or procure the principal offence.  </w:t>
      </w:r>
      <w:r w:rsidR="003A5441">
        <w:t xml:space="preserve">Foresight is only </w:t>
      </w:r>
      <w:r w:rsidR="002E56F7">
        <w:t xml:space="preserve">to be </w:t>
      </w:r>
      <w:r w:rsidR="003A5441">
        <w:t xml:space="preserve">relevant as evidence of such intention and not as a </w:t>
      </w:r>
      <w:r w:rsidR="002E56F7">
        <w:t xml:space="preserve">basis </w:t>
      </w:r>
      <w:r w:rsidR="003A5441">
        <w:t>for establishing complicity.  The rules permitting manslaughter and murder convictions to be reached for different offenders involved in the same violent attack should be retained.  As to cases</w:t>
      </w:r>
      <w:r w:rsidR="009B2BAC">
        <w:t xml:space="preserve"> of evidential uncertainty, </w:t>
      </w:r>
      <w:r w:rsidR="00CC6DB6">
        <w:t>where the prosecution may not be able to prove that a defendant was principal or accessory, it suffices to prove that he participated in the crime “in one way or another”.</w:t>
      </w:r>
      <w:r w:rsidR="00CC6DB6">
        <w:rPr>
          <w:rStyle w:val="FootnoteReference"/>
        </w:rPr>
        <w:footnoteReference w:id="70"/>
      </w:r>
      <w:r w:rsidR="00CC6DB6">
        <w:t xml:space="preserve">  And in cases of what I have called </w:t>
      </w:r>
      <w:r w:rsidR="00CC6DB6">
        <w:lastRenderedPageBreak/>
        <w:t xml:space="preserve">“situational uncertainty” </w:t>
      </w:r>
      <w:proofErr w:type="spellStart"/>
      <w:r w:rsidR="00CC6DB6">
        <w:rPr>
          <w:i/>
        </w:rPr>
        <w:t>Jogee</w:t>
      </w:r>
      <w:proofErr w:type="spellEnd"/>
      <w:r w:rsidR="00CC6DB6">
        <w:rPr>
          <w:i/>
        </w:rPr>
        <w:t xml:space="preserve"> </w:t>
      </w:r>
      <w:r w:rsidR="00CC6DB6">
        <w:t>proposes adoption of liability on the</w:t>
      </w:r>
      <w:r w:rsidR="00377B8A">
        <w:t xml:space="preserve"> basis of “conditional intent</w:t>
      </w:r>
      <w:r w:rsidR="00CC6DB6">
        <w:t>”.</w:t>
      </w:r>
    </w:p>
    <w:p w:rsidR="00CC6DB6" w:rsidRDefault="00CC6DB6" w:rsidP="005C3956">
      <w:pPr>
        <w:pStyle w:val="Bob1"/>
        <w:tabs>
          <w:tab w:val="clear" w:pos="720"/>
          <w:tab w:val="left" w:pos="1440"/>
        </w:tabs>
        <w:ind w:left="0" w:firstLine="0"/>
        <w:jc w:val="both"/>
      </w:pPr>
      <w:r>
        <w:t xml:space="preserve">I respectfully </w:t>
      </w:r>
      <w:r w:rsidR="004465C4">
        <w:t xml:space="preserve">do not </w:t>
      </w:r>
      <w:r>
        <w:t xml:space="preserve">agree with the </w:t>
      </w:r>
      <w:r w:rsidR="0068787D">
        <w:t>decision</w:t>
      </w:r>
      <w:r>
        <w:t xml:space="preserve"> in </w:t>
      </w:r>
      <w:proofErr w:type="spellStart"/>
      <w:r w:rsidRPr="005C3956">
        <w:rPr>
          <w:i/>
        </w:rPr>
        <w:t>Jogee</w:t>
      </w:r>
      <w:proofErr w:type="spellEnd"/>
      <w:r w:rsidR="004465C4">
        <w:t xml:space="preserve"> for three main reasons.  First, I do not share the view of the secondary party’s culpability there expressed.  Secondly, confining the secondary party’s liability to liability </w:t>
      </w:r>
      <w:r w:rsidR="0068787D">
        <w:t xml:space="preserve">under </w:t>
      </w:r>
      <w:r w:rsidR="004465C4">
        <w:t xml:space="preserve">the traditional accessorial liability rules and abolishing the joint criminal enterprise doctrine </w:t>
      </w:r>
      <w:r w:rsidR="00622D12">
        <w:t xml:space="preserve">in my view </w:t>
      </w:r>
      <w:r w:rsidR="00974656">
        <w:t xml:space="preserve">creates a serious gap in the law of </w:t>
      </w:r>
      <w:r w:rsidR="004465C4">
        <w:t xml:space="preserve">complicity in crime.  And thirdly, I consider </w:t>
      </w:r>
      <w:r w:rsidR="0068787D">
        <w:t xml:space="preserve">that </w:t>
      </w:r>
      <w:proofErr w:type="spellStart"/>
      <w:r w:rsidR="0068787D" w:rsidRPr="005C3956">
        <w:rPr>
          <w:i/>
        </w:rPr>
        <w:t>Jogee’s</w:t>
      </w:r>
      <w:proofErr w:type="spellEnd"/>
      <w:r w:rsidR="0068787D" w:rsidRPr="005C3956">
        <w:rPr>
          <w:i/>
        </w:rPr>
        <w:t xml:space="preserve"> </w:t>
      </w:r>
      <w:r w:rsidR="0068787D">
        <w:t xml:space="preserve">introduction of the concept of </w:t>
      </w:r>
      <w:r w:rsidR="00B542E2">
        <w:t>“conditional intent</w:t>
      </w:r>
      <w:r w:rsidR="00377B8A">
        <w:t>”</w:t>
      </w:r>
      <w:r w:rsidR="00B542E2">
        <w:t xml:space="preserve"> in its </w:t>
      </w:r>
      <w:r w:rsidR="0068787D">
        <w:t xml:space="preserve">restatement of the law </w:t>
      </w:r>
      <w:r w:rsidR="00974656">
        <w:t>gives rise to significant conceptual and practical problems</w:t>
      </w:r>
      <w:r w:rsidR="0068787D">
        <w:t xml:space="preserve">.  </w:t>
      </w:r>
      <w:r>
        <w:t>I am respectfully largely in agreement with the views</w:t>
      </w:r>
      <w:r w:rsidR="0068787D">
        <w:t xml:space="preserve">, </w:t>
      </w:r>
      <w:r w:rsidR="000825AA">
        <w:t>differing</w:t>
      </w:r>
      <w:r w:rsidR="00B542E2">
        <w:t xml:space="preserve"> from </w:t>
      </w:r>
      <w:proofErr w:type="spellStart"/>
      <w:r w:rsidR="0068787D" w:rsidRPr="005C3956">
        <w:rPr>
          <w:i/>
        </w:rPr>
        <w:t>Jogee</w:t>
      </w:r>
      <w:proofErr w:type="spellEnd"/>
      <w:r w:rsidR="0068787D">
        <w:t>,</w:t>
      </w:r>
      <w:r>
        <w:t xml:space="preserve"> expressed by the </w:t>
      </w:r>
      <w:r w:rsidR="00B542E2">
        <w:t xml:space="preserve">majority of the </w:t>
      </w:r>
      <w:r>
        <w:t xml:space="preserve">High Court of Australia in </w:t>
      </w:r>
      <w:r w:rsidRPr="005C3956">
        <w:rPr>
          <w:i/>
        </w:rPr>
        <w:t>Miller v The Queen</w:t>
      </w:r>
      <w:r>
        <w:t>.</w:t>
      </w:r>
      <w:r>
        <w:rPr>
          <w:rStyle w:val="FootnoteReference"/>
        </w:rPr>
        <w:footnoteReference w:id="71"/>
      </w:r>
      <w:r>
        <w:t xml:space="preserve">  </w:t>
      </w:r>
    </w:p>
    <w:p w:rsidR="00CC6DB6" w:rsidRDefault="0068787D" w:rsidP="004814B5">
      <w:pPr>
        <w:pStyle w:val="docmapheading"/>
      </w:pPr>
      <w:r>
        <w:t>E.</w:t>
      </w:r>
      <w:r w:rsidR="003960EA">
        <w:tab/>
        <w:t>T</w:t>
      </w:r>
      <w:r>
        <w:t xml:space="preserve">he culpability of the secondary party </w:t>
      </w:r>
    </w:p>
    <w:p w:rsidR="00CC6DB6" w:rsidRDefault="00CC6DB6" w:rsidP="005C3956">
      <w:pPr>
        <w:pStyle w:val="Bob1"/>
        <w:tabs>
          <w:tab w:val="clear" w:pos="720"/>
          <w:tab w:val="left" w:pos="1440"/>
        </w:tabs>
        <w:ind w:left="0" w:firstLine="0"/>
        <w:jc w:val="both"/>
      </w:pPr>
      <w:r>
        <w:t xml:space="preserve">At the heart of </w:t>
      </w:r>
      <w:proofErr w:type="spellStart"/>
      <w:r>
        <w:rPr>
          <w:i/>
        </w:rPr>
        <w:t>Jogee</w:t>
      </w:r>
      <w:proofErr w:type="spellEnd"/>
      <w:r>
        <w:rPr>
          <w:i/>
        </w:rPr>
        <w:t xml:space="preserve"> </w:t>
      </w:r>
      <w:r>
        <w:t>is this passage</w:t>
      </w:r>
      <w:r w:rsidR="00DC763F">
        <w:rPr>
          <w:rStyle w:val="FootnoteReference"/>
        </w:rPr>
        <w:footnoteReference w:id="72"/>
      </w:r>
      <w:r>
        <w:t xml:space="preserve"> from the joint judgment of Lord </w:t>
      </w:r>
      <w:proofErr w:type="spellStart"/>
      <w:r>
        <w:t>Toulson</w:t>
      </w:r>
      <w:proofErr w:type="spellEnd"/>
      <w:r>
        <w:t xml:space="preserve"> and Lord Hughes</w:t>
      </w:r>
      <w:r w:rsidR="00D92A26">
        <w:t xml:space="preserve"> JJSC</w:t>
      </w:r>
      <w:r>
        <w:t>, with whom the other members of the Court agreed:</w:t>
      </w:r>
    </w:p>
    <w:p w:rsidR="00DC763F" w:rsidRDefault="00DC763F" w:rsidP="005C3956">
      <w:pPr>
        <w:pStyle w:val="Bob1"/>
        <w:numPr>
          <w:ilvl w:val="0"/>
          <w:numId w:val="0"/>
        </w:numPr>
        <w:spacing w:line="240" w:lineRule="auto"/>
        <w:ind w:left="720"/>
        <w:jc w:val="both"/>
        <w:rPr>
          <w:sz w:val="24"/>
        </w:rPr>
      </w:pPr>
      <w:r w:rsidRPr="00DC763F">
        <w:rPr>
          <w:sz w:val="24"/>
        </w:rPr>
        <w:t xml:space="preserve">“...in the common law foresight of what might happen is ordinarily no more than evidence from which a jury can infer the presence of a requisite intention. It may be strong evidence, but its adoption as a test for the mental element for murder in the case of a secondary party is a serious and anomalous departure from the basic rule, which results in over-extension of the law of murder and reduction of the law of manslaughter. Murder already has a relatively low </w:t>
      </w:r>
      <w:proofErr w:type="spellStart"/>
      <w:r w:rsidRPr="00DC763F">
        <w:rPr>
          <w:sz w:val="24"/>
        </w:rPr>
        <w:t>mens</w:t>
      </w:r>
      <w:proofErr w:type="spellEnd"/>
      <w:r w:rsidRPr="00DC763F">
        <w:rPr>
          <w:sz w:val="24"/>
        </w:rPr>
        <w:t xml:space="preserve"> </w:t>
      </w:r>
      <w:proofErr w:type="spellStart"/>
      <w:r w:rsidRPr="00DC763F">
        <w:rPr>
          <w:sz w:val="24"/>
        </w:rPr>
        <w:t>rea</w:t>
      </w:r>
      <w:proofErr w:type="spellEnd"/>
      <w:r w:rsidRPr="00DC763F">
        <w:rPr>
          <w:sz w:val="24"/>
        </w:rPr>
        <w:t xml:space="preserve"> threshold, because it includes an intention to cause serious injury, without intent to kill or to cause risk to life. The </w:t>
      </w:r>
      <w:r w:rsidRPr="00DC763F">
        <w:rPr>
          <w:i/>
          <w:sz w:val="24"/>
        </w:rPr>
        <w:t>Chan Wing-</w:t>
      </w:r>
      <w:proofErr w:type="spellStart"/>
      <w:r w:rsidRPr="00DC763F">
        <w:rPr>
          <w:i/>
          <w:sz w:val="24"/>
        </w:rPr>
        <w:t>Siu</w:t>
      </w:r>
      <w:proofErr w:type="spellEnd"/>
      <w:r w:rsidRPr="00DC763F">
        <w:rPr>
          <w:sz w:val="24"/>
        </w:rPr>
        <w:t xml:space="preserve"> principle extends liability for murder to a secondary party on the basis of a still lesser degree of culpability, namely foresight only of the possibility that the principal may commit murder but without there being any need for intention to assist him to do so. It savours, as Professor Smith sugges</w:t>
      </w:r>
      <w:r>
        <w:rPr>
          <w:sz w:val="24"/>
        </w:rPr>
        <w:t>ted, of constructive crime.”</w:t>
      </w:r>
    </w:p>
    <w:p w:rsidR="00B542E2" w:rsidRDefault="00DC763F" w:rsidP="005C3956">
      <w:pPr>
        <w:pStyle w:val="Bob1"/>
        <w:tabs>
          <w:tab w:val="clear" w:pos="720"/>
          <w:tab w:val="left" w:pos="1440"/>
        </w:tabs>
        <w:ind w:left="0" w:firstLine="0"/>
        <w:jc w:val="both"/>
      </w:pPr>
      <w:r>
        <w:t xml:space="preserve">The </w:t>
      </w:r>
      <w:r w:rsidR="007A6D8D">
        <w:t xml:space="preserve">central </w:t>
      </w:r>
      <w:r w:rsidR="00E901E2">
        <w:t xml:space="preserve">proposition </w:t>
      </w:r>
      <w:r>
        <w:t xml:space="preserve">is </w:t>
      </w:r>
      <w:r w:rsidR="00C11D67">
        <w:t xml:space="preserve">therefore </w:t>
      </w:r>
      <w:r w:rsidR="007A6D8D">
        <w:t xml:space="preserve">that it is </w:t>
      </w:r>
      <w:r>
        <w:t xml:space="preserve">unjust to base the culpability of a secondary party on anything other than </w:t>
      </w:r>
      <w:r w:rsidR="00B542E2">
        <w:t xml:space="preserve">an </w:t>
      </w:r>
      <w:r>
        <w:t>intent</w:t>
      </w:r>
      <w:r w:rsidR="00B542E2">
        <w:t xml:space="preserve">ion to assist or </w:t>
      </w:r>
      <w:r w:rsidR="00B542E2">
        <w:lastRenderedPageBreak/>
        <w:t>encourage the principal offender in the commission of the offence</w:t>
      </w:r>
      <w:r>
        <w:t xml:space="preserve">.  </w:t>
      </w:r>
      <w:r w:rsidR="00C40C15">
        <w:t>Foresight is deemed unacceptable as a basis for liability and is to be regarded at most as evidence of the requisite intention.</w:t>
      </w:r>
      <w:r w:rsidR="00C40C15">
        <w:rPr>
          <w:rStyle w:val="FootnoteReference"/>
        </w:rPr>
        <w:footnoteReference w:id="73"/>
      </w:r>
      <w:r w:rsidR="00C40C15">
        <w:t xml:space="preserve">  </w:t>
      </w:r>
      <w:r w:rsidR="002E56F7">
        <w:t xml:space="preserve">With respect, I </w:t>
      </w:r>
      <w:r w:rsidR="00C11D67">
        <w:t xml:space="preserve">do not </w:t>
      </w:r>
      <w:r w:rsidR="002E56F7">
        <w:t>agree.</w:t>
      </w:r>
      <w:r w:rsidR="00C40C15">
        <w:t xml:space="preserve">  </w:t>
      </w:r>
    </w:p>
    <w:p w:rsidR="00E73818" w:rsidRDefault="00B542E2" w:rsidP="005C3956">
      <w:pPr>
        <w:pStyle w:val="Bob1"/>
        <w:tabs>
          <w:tab w:val="clear" w:pos="720"/>
          <w:tab w:val="left" w:pos="1440"/>
        </w:tabs>
        <w:ind w:left="0" w:firstLine="0"/>
        <w:jc w:val="both"/>
      </w:pPr>
      <w:r>
        <w:t xml:space="preserve">An assessment of the secondary party’s culpability is skewed by characterising it as merely the culpability of a person derivatively liable as an accessory and thus </w:t>
      </w:r>
      <w:r w:rsidR="00114607">
        <w:t xml:space="preserve">somehow </w:t>
      </w:r>
      <w:r>
        <w:t xml:space="preserve">less </w:t>
      </w:r>
      <w:r w:rsidR="00582450">
        <w:t xml:space="preserve">blameworthy than </w:t>
      </w:r>
      <w:r>
        <w:t>the principal offender.</w:t>
      </w:r>
      <w:r w:rsidR="00BB7178">
        <w:t xml:space="preserve">  </w:t>
      </w:r>
      <w:r w:rsidR="00705190">
        <w:t xml:space="preserve">It is on this premise that </w:t>
      </w:r>
      <w:r w:rsidR="00705190" w:rsidRPr="005C3956">
        <w:rPr>
          <w:i/>
        </w:rPr>
        <w:t xml:space="preserve">Chan Wing </w:t>
      </w:r>
      <w:proofErr w:type="spellStart"/>
      <w:r w:rsidR="00705190" w:rsidRPr="005C3956">
        <w:rPr>
          <w:i/>
        </w:rPr>
        <w:t>Siu</w:t>
      </w:r>
      <w:proofErr w:type="spellEnd"/>
      <w:r w:rsidR="00705190" w:rsidRPr="005C3956">
        <w:rPr>
          <w:i/>
        </w:rPr>
        <w:t xml:space="preserve"> </w:t>
      </w:r>
      <w:r w:rsidR="00705190">
        <w:t xml:space="preserve">is said to produce an “anomalous” rule setting a lower threshold for the accessory’s, as opposed to the principal’s, liability.  </w:t>
      </w:r>
      <w:r w:rsidR="000825AA">
        <w:t>But e</w:t>
      </w:r>
      <w:r w:rsidR="00114607">
        <w:t xml:space="preserve">ven viewed solely in terms of the traditional accessorial liability principles, it is by no means clear that the accessory should </w:t>
      </w:r>
      <w:r w:rsidR="000825AA">
        <w:t xml:space="preserve">necessarily </w:t>
      </w:r>
      <w:r w:rsidR="00114607">
        <w:t xml:space="preserve">be regarded as having a lesser culpability.  The person who procures </w:t>
      </w:r>
      <w:r w:rsidR="00A409B9">
        <w:t xml:space="preserve">commission of </w:t>
      </w:r>
      <w:r w:rsidR="00114607">
        <w:t xml:space="preserve">a murder by a contract killer is at least as culpable as the killer himself.  Citing Glanville Williams, Stephen J in </w:t>
      </w:r>
      <w:proofErr w:type="gramStart"/>
      <w:r w:rsidR="00114607" w:rsidRPr="005C3956">
        <w:rPr>
          <w:i/>
        </w:rPr>
        <w:t>Johns</w:t>
      </w:r>
      <w:proofErr w:type="gramEnd"/>
      <w:r w:rsidR="00114607" w:rsidRPr="005C3956">
        <w:rPr>
          <w:i/>
        </w:rPr>
        <w:t xml:space="preserve"> v The Queen</w:t>
      </w:r>
      <w:r w:rsidR="00114607">
        <w:rPr>
          <w:rStyle w:val="FootnoteReference"/>
          <w:i/>
        </w:rPr>
        <w:footnoteReference w:id="74"/>
      </w:r>
      <w:r w:rsidR="00114607">
        <w:t xml:space="preserve"> pointed out that </w:t>
      </w:r>
      <w:r w:rsidR="00114607" w:rsidRPr="00114607">
        <w:t>Lady Macbeth was surely more blameworthy than was her husband</w:t>
      </w:r>
      <w:r w:rsidR="00114607">
        <w:t>.</w:t>
      </w:r>
      <w:r w:rsidR="003E644C">
        <w:t xml:space="preserve">  </w:t>
      </w:r>
    </w:p>
    <w:p w:rsidR="003E644C" w:rsidRDefault="000825AA" w:rsidP="005C3956">
      <w:pPr>
        <w:pStyle w:val="Bob1"/>
        <w:tabs>
          <w:tab w:val="clear" w:pos="720"/>
          <w:tab w:val="left" w:pos="1440"/>
        </w:tabs>
        <w:ind w:left="0" w:firstLine="0"/>
        <w:jc w:val="both"/>
      </w:pPr>
      <w:r>
        <w:t>A</w:t>
      </w:r>
      <w:r w:rsidR="003E644C">
        <w:t xml:space="preserve">s </w:t>
      </w:r>
      <w:r w:rsidR="00A409B9">
        <w:t xml:space="preserve">the authorities cited above </w:t>
      </w:r>
      <w:r w:rsidR="003E644C">
        <w:t>show,</w:t>
      </w:r>
      <w:r w:rsidR="003E644C">
        <w:rPr>
          <w:rStyle w:val="FootnoteReference"/>
        </w:rPr>
        <w:footnoteReference w:id="75"/>
      </w:r>
      <w:r w:rsidR="003E644C">
        <w:t xml:space="preserve"> the liability of a party to a joint criminal enterprise is not derivative but arises independently</w:t>
      </w:r>
      <w:r w:rsidR="00582450">
        <w:t xml:space="preserve"> by virtue of</w:t>
      </w:r>
      <w:r w:rsidR="003E644C">
        <w:t xml:space="preserve"> his or her participation in the joint </w:t>
      </w:r>
      <w:r w:rsidR="00582450">
        <w:t xml:space="preserve">criminal </w:t>
      </w:r>
      <w:r w:rsidR="003E644C">
        <w:t xml:space="preserve">enterprise.  </w:t>
      </w:r>
      <w:r w:rsidR="00E73818">
        <w:t xml:space="preserve">So viewed, there is no </w:t>
      </w:r>
      <w:r w:rsidR="00E73818" w:rsidRPr="005C3956">
        <w:rPr>
          <w:i/>
        </w:rPr>
        <w:t>a priori</w:t>
      </w:r>
      <w:r w:rsidR="00E73818">
        <w:t xml:space="preserve"> reason for regarding different </w:t>
      </w:r>
      <w:proofErr w:type="spellStart"/>
      <w:r w:rsidR="00E73818" w:rsidRPr="005C3956">
        <w:rPr>
          <w:i/>
        </w:rPr>
        <w:t>mens</w:t>
      </w:r>
      <w:proofErr w:type="spellEnd"/>
      <w:r w:rsidR="00E73818" w:rsidRPr="005C3956">
        <w:rPr>
          <w:i/>
        </w:rPr>
        <w:t xml:space="preserve"> </w:t>
      </w:r>
      <w:proofErr w:type="spellStart"/>
      <w:r w:rsidR="00E73818" w:rsidRPr="005C3956">
        <w:rPr>
          <w:i/>
        </w:rPr>
        <w:t>rea</w:t>
      </w:r>
      <w:proofErr w:type="spellEnd"/>
      <w:r w:rsidR="00E73818" w:rsidRPr="005C3956">
        <w:rPr>
          <w:i/>
        </w:rPr>
        <w:t xml:space="preserve"> </w:t>
      </w:r>
      <w:r w:rsidR="00E73818">
        <w:t>requirements considered appropriate to different individuals’ participation in the joint enterprise as anomalous.</w:t>
      </w:r>
    </w:p>
    <w:p w:rsidR="003E644C" w:rsidRDefault="003E644C" w:rsidP="005C3956">
      <w:pPr>
        <w:pStyle w:val="Bob1"/>
        <w:tabs>
          <w:tab w:val="clear" w:pos="720"/>
          <w:tab w:val="left" w:pos="1440"/>
        </w:tabs>
        <w:ind w:left="0" w:firstLine="0"/>
        <w:jc w:val="both"/>
      </w:pPr>
      <w:r>
        <w:t xml:space="preserve">In basic (or “plain vanilla”) cases where the </w:t>
      </w:r>
      <w:r w:rsidR="00A409B9">
        <w:t>co-adventurer</w:t>
      </w:r>
      <w:r>
        <w:t>s agree to carry out and then implement a planned crime, there can hardly be any doubt as to the culpability of all</w:t>
      </w:r>
      <w:r w:rsidR="00A409B9">
        <w:t xml:space="preserve"> the participants</w:t>
      </w:r>
      <w:r w:rsidR="003960EA">
        <w:t>,</w:t>
      </w:r>
      <w:r>
        <w:t xml:space="preserve"> whichever one of them actually carried out the </w:t>
      </w:r>
      <w:proofErr w:type="spellStart"/>
      <w:r w:rsidRPr="005C3956">
        <w:rPr>
          <w:i/>
        </w:rPr>
        <w:t>actus</w:t>
      </w:r>
      <w:proofErr w:type="spellEnd"/>
      <w:r w:rsidRPr="005C3956">
        <w:rPr>
          <w:i/>
        </w:rPr>
        <w:t xml:space="preserve"> </w:t>
      </w:r>
      <w:proofErr w:type="spellStart"/>
      <w:r w:rsidRPr="005C3956">
        <w:rPr>
          <w:i/>
        </w:rPr>
        <w:t>reus</w:t>
      </w:r>
      <w:proofErr w:type="spellEnd"/>
      <w:r>
        <w:t xml:space="preserve">.  </w:t>
      </w:r>
      <w:r w:rsidR="003960EA">
        <w:t xml:space="preserve">Their culpability is little different from that of joint </w:t>
      </w:r>
      <w:r w:rsidR="003960EA">
        <w:lastRenderedPageBreak/>
        <w:t xml:space="preserve">principals.  </w:t>
      </w:r>
      <w:proofErr w:type="spellStart"/>
      <w:r w:rsidR="003960EA" w:rsidRPr="005C3956">
        <w:rPr>
          <w:i/>
        </w:rPr>
        <w:t>Jogee’s</w:t>
      </w:r>
      <w:proofErr w:type="spellEnd"/>
      <w:r w:rsidR="003960EA" w:rsidRPr="005C3956">
        <w:rPr>
          <w:i/>
        </w:rPr>
        <w:t xml:space="preserve"> </w:t>
      </w:r>
      <w:r w:rsidR="003960EA">
        <w:t xml:space="preserve">holding that where </w:t>
      </w:r>
      <w:r w:rsidR="003960EA" w:rsidRPr="00F10654">
        <w:t xml:space="preserve">the prosecution </w:t>
      </w:r>
      <w:r w:rsidR="003960EA">
        <w:t xml:space="preserve">cannot </w:t>
      </w:r>
      <w:r w:rsidR="003960EA" w:rsidRPr="00F10654">
        <w:t xml:space="preserve">prove whether a defendant was principal or accessory, it is </w:t>
      </w:r>
      <w:r w:rsidR="003960EA">
        <w:t>“</w:t>
      </w:r>
      <w:r w:rsidR="003960EA" w:rsidRPr="00F10654">
        <w:t>sufficient to be able to prove that he participated in the crime in one way or another</w:t>
      </w:r>
      <w:r w:rsidR="003960EA">
        <w:t>” indicates acceptance of culpability in such cases.</w:t>
      </w:r>
    </w:p>
    <w:p w:rsidR="00750DC0" w:rsidRPr="005C3956" w:rsidRDefault="000825AA" w:rsidP="005C3956">
      <w:pPr>
        <w:pStyle w:val="Bob1"/>
        <w:tabs>
          <w:tab w:val="clear" w:pos="720"/>
          <w:tab w:val="left" w:pos="1440"/>
        </w:tabs>
        <w:ind w:left="0" w:firstLine="0"/>
        <w:jc w:val="both"/>
      </w:pPr>
      <w:r>
        <w:t xml:space="preserve">In an </w:t>
      </w:r>
      <w:r w:rsidR="00131201">
        <w:t>extended joint criminal enterprise</w:t>
      </w:r>
      <w:r>
        <w:t xml:space="preserve"> case, the wrongdoing of the participants</w:t>
      </w:r>
      <w:r w:rsidR="00131201">
        <w:t xml:space="preserve"> </w:t>
      </w:r>
      <w:r w:rsidR="00750DC0" w:rsidRPr="00750DC0">
        <w:t>“</w:t>
      </w:r>
      <w:r w:rsidR="002E56F7" w:rsidRPr="00750DC0">
        <w:t>lies in the mutual embarkation on a crime with the awareness that the incidental crime may be committed in executing their agreement.”</w:t>
      </w:r>
      <w:r w:rsidR="002E56F7" w:rsidRPr="00750DC0">
        <w:rPr>
          <w:rStyle w:val="FootnoteReference"/>
          <w:szCs w:val="28"/>
        </w:rPr>
        <w:footnoteReference w:id="76"/>
      </w:r>
      <w:r w:rsidR="00750DC0" w:rsidRPr="00750DC0">
        <w:t xml:space="preserve">  </w:t>
      </w:r>
      <w:r w:rsidR="00750DC0">
        <w:t>Such a person agrees to carry out a criminal venture with others, foreseeing that one or more of them might</w:t>
      </w:r>
      <w:r w:rsidR="00582450">
        <w:t xml:space="preserve">, in certain contingencies, </w:t>
      </w:r>
      <w:r w:rsidR="00750DC0">
        <w:t>commit some further</w:t>
      </w:r>
      <w:r w:rsidR="00582450">
        <w:t>, more serious</w:t>
      </w:r>
      <w:r w:rsidR="00750DC0">
        <w:t xml:space="preserve"> offence – </w:t>
      </w:r>
      <w:r>
        <w:t xml:space="preserve">where that further offence is </w:t>
      </w:r>
      <w:proofErr w:type="gramStart"/>
      <w:r w:rsidR="00750DC0">
        <w:t xml:space="preserve">murder, </w:t>
      </w:r>
      <w:r>
        <w:t>that</w:t>
      </w:r>
      <w:proofErr w:type="gramEnd"/>
      <w:r>
        <w:t xml:space="preserve"> one of them </w:t>
      </w:r>
      <w:r w:rsidR="00750DC0">
        <w:t xml:space="preserve">might kill </w:t>
      </w:r>
      <w:r>
        <w:t xml:space="preserve">someone </w:t>
      </w:r>
      <w:r w:rsidR="00750DC0">
        <w:t xml:space="preserve">with intent to kill or to cause grievous bodily harm – and </w:t>
      </w:r>
      <w:r w:rsidR="00582450">
        <w:t xml:space="preserve">proceeds with the venture nonetheless.  The foresight required </w:t>
      </w:r>
      <w:r>
        <w:t xml:space="preserve">under this rule </w:t>
      </w:r>
      <w:r w:rsidR="00582450">
        <w:t xml:space="preserve">is not open-ended.  It is foresight of the commission of the </w:t>
      </w:r>
      <w:r w:rsidR="00A409B9">
        <w:t xml:space="preserve">actual </w:t>
      </w:r>
      <w:r w:rsidR="00582450">
        <w:t xml:space="preserve">further offence </w:t>
      </w:r>
      <w:r w:rsidR="00582450" w:rsidRPr="005C3956">
        <w:rPr>
          <w:szCs w:val="28"/>
        </w:rPr>
        <w:t>as a possible incident of the execution of their planned enterprise.  And it is foresight of a real possibility of the offence being committed and excludes a risk fleetingly foreseen and dismissed as negligible.</w:t>
      </w:r>
      <w:r w:rsidR="00497048">
        <w:rPr>
          <w:rStyle w:val="FootnoteReference"/>
          <w:szCs w:val="28"/>
        </w:rPr>
        <w:footnoteReference w:id="77"/>
      </w:r>
      <w:r w:rsidR="00A51DB5" w:rsidRPr="005C3956">
        <w:rPr>
          <w:szCs w:val="28"/>
        </w:rPr>
        <w:t xml:space="preserve">  As the joint judgment in </w:t>
      </w:r>
      <w:r w:rsidR="00A51DB5" w:rsidRPr="005C3956">
        <w:rPr>
          <w:i/>
          <w:szCs w:val="28"/>
        </w:rPr>
        <w:t xml:space="preserve">Miller </w:t>
      </w:r>
      <w:r w:rsidR="00A51DB5" w:rsidRPr="005C3956">
        <w:rPr>
          <w:szCs w:val="28"/>
        </w:rPr>
        <w:t>emphasises:</w:t>
      </w:r>
    </w:p>
    <w:p w:rsidR="002E56F7" w:rsidRDefault="00C40C15" w:rsidP="005C3956">
      <w:pPr>
        <w:pStyle w:val="Bob1"/>
        <w:numPr>
          <w:ilvl w:val="0"/>
          <w:numId w:val="0"/>
        </w:numPr>
        <w:spacing w:line="240" w:lineRule="auto"/>
        <w:ind w:left="720"/>
        <w:jc w:val="both"/>
        <w:rPr>
          <w:sz w:val="24"/>
        </w:rPr>
      </w:pPr>
      <w:r w:rsidRPr="00C40C15">
        <w:rPr>
          <w:sz w:val="24"/>
        </w:rPr>
        <w:t>“It is to be appreciated that in the paradigm case of murder, the secondary party's foresight is not that in executing the agreed criminal enterprise a person may die or suffer grievous bodily harm – it is that in executing the agreed criminal enterprise a party to it may commit murder. And with that knowledge, the secondary party must continue to participate in the agreed criminal enterprise.”</w:t>
      </w:r>
      <w:r>
        <w:rPr>
          <w:rStyle w:val="FootnoteReference"/>
          <w:sz w:val="24"/>
        </w:rPr>
        <w:footnoteReference w:id="78"/>
      </w:r>
    </w:p>
    <w:p w:rsidR="00A51DB5" w:rsidRDefault="00A51DB5" w:rsidP="005C3956">
      <w:pPr>
        <w:pStyle w:val="Bob1"/>
        <w:tabs>
          <w:tab w:val="clear" w:pos="720"/>
          <w:tab w:val="left" w:pos="1440"/>
        </w:tabs>
        <w:ind w:left="0" w:firstLine="0"/>
        <w:jc w:val="both"/>
      </w:pPr>
      <w:r>
        <w:lastRenderedPageBreak/>
        <w:t xml:space="preserve">A party who </w:t>
      </w:r>
      <w:r w:rsidR="00683F5B">
        <w:t xml:space="preserve">is proved to have </w:t>
      </w:r>
      <w:r>
        <w:t>satisfie</w:t>
      </w:r>
      <w:r w:rsidR="00683F5B">
        <w:t>d</w:t>
      </w:r>
      <w:r>
        <w:t xml:space="preserve"> the aforesaid conditions deserves to be regarded as gravely culpable.  I find it impossible to regard liability so imposed as verging on the constructive.  </w:t>
      </w:r>
    </w:p>
    <w:p w:rsidR="00B607A3" w:rsidRDefault="00C11D67" w:rsidP="005C3956">
      <w:pPr>
        <w:pStyle w:val="Bob1"/>
        <w:tabs>
          <w:tab w:val="clear" w:pos="720"/>
          <w:tab w:val="left" w:pos="1440"/>
        </w:tabs>
        <w:ind w:left="0" w:firstLine="0"/>
        <w:jc w:val="both"/>
      </w:pPr>
      <w:r>
        <w:t>I</w:t>
      </w:r>
      <w:r w:rsidR="00176B63">
        <w:t xml:space="preserve">n </w:t>
      </w:r>
      <w:r w:rsidR="00176B63" w:rsidRPr="005C3956">
        <w:rPr>
          <w:i/>
        </w:rPr>
        <w:t>Gillard v The Queen</w:t>
      </w:r>
      <w:r w:rsidR="00176B63">
        <w:t>,</w:t>
      </w:r>
      <w:r w:rsidR="00176B63">
        <w:rPr>
          <w:rStyle w:val="FootnoteReference"/>
        </w:rPr>
        <w:footnoteReference w:id="79"/>
      </w:r>
      <w:r w:rsidR="00176B63" w:rsidRPr="005C3956">
        <w:rPr>
          <w:i/>
        </w:rPr>
        <w:t xml:space="preserve"> </w:t>
      </w:r>
      <w:r w:rsidR="00176B63">
        <w:t xml:space="preserve">Gleeson CJ and </w:t>
      </w:r>
      <w:proofErr w:type="spellStart"/>
      <w:r w:rsidR="00176B63">
        <w:t>Callinan</w:t>
      </w:r>
      <w:proofErr w:type="spellEnd"/>
      <w:r w:rsidR="00176B63">
        <w:t xml:space="preserve"> J </w:t>
      </w:r>
      <w:r w:rsidR="000825AA">
        <w:t xml:space="preserve">took the </w:t>
      </w:r>
      <w:r>
        <w:t>view that</w:t>
      </w:r>
      <w:r w:rsidR="00C61C53">
        <w:t xml:space="preserve"> an offender who </w:t>
      </w:r>
      <w:r w:rsidR="00C61C53" w:rsidRPr="00C61C53">
        <w:t xml:space="preserve">foresaw </w:t>
      </w:r>
      <w:r>
        <w:t xml:space="preserve">as a </w:t>
      </w:r>
      <w:r w:rsidR="00C61C53" w:rsidRPr="00C61C53">
        <w:t xml:space="preserve">possibility that </w:t>
      </w:r>
      <w:r w:rsidR="00C61C53">
        <w:t xml:space="preserve">a co-adventurer </w:t>
      </w:r>
      <w:r w:rsidR="00C61C53" w:rsidRPr="00C61C53">
        <w:t xml:space="preserve">would fire </w:t>
      </w:r>
      <w:r w:rsidR="00C61C53">
        <w:t xml:space="preserve">a </w:t>
      </w:r>
      <w:r w:rsidR="00C61C53" w:rsidRPr="00C61C53">
        <w:t>loaded gun</w:t>
      </w:r>
      <w:r w:rsidR="00C61C53">
        <w:t xml:space="preserve"> at the victim</w:t>
      </w:r>
      <w:r w:rsidR="00C61C53" w:rsidRPr="00C61C53">
        <w:t xml:space="preserve"> and continued to participate with that foresight, </w:t>
      </w:r>
      <w:r w:rsidR="00B607A3">
        <w:t xml:space="preserve">should be regarded as </w:t>
      </w:r>
      <w:r w:rsidR="00C61C53">
        <w:t>“</w:t>
      </w:r>
      <w:r w:rsidR="00C61C53" w:rsidRPr="00C61C53">
        <w:t>intentionally assisting in the commission of culpable homicide</w:t>
      </w:r>
      <w:r w:rsidR="00C61C53">
        <w:t>”</w:t>
      </w:r>
      <w:r w:rsidR="00C61C53" w:rsidRPr="00C61C53">
        <w:t>.</w:t>
      </w:r>
      <w:r w:rsidR="00C61C53">
        <w:t xml:space="preserve">  </w:t>
      </w:r>
    </w:p>
    <w:p w:rsidR="00B607A3" w:rsidRPr="00B607A3" w:rsidRDefault="00711514" w:rsidP="005C3956">
      <w:pPr>
        <w:pStyle w:val="Bob1"/>
        <w:tabs>
          <w:tab w:val="clear" w:pos="720"/>
          <w:tab w:val="left" w:pos="1440"/>
        </w:tabs>
        <w:ind w:left="0" w:firstLine="0"/>
        <w:jc w:val="both"/>
      </w:pPr>
      <w:r>
        <w:t>An</w:t>
      </w:r>
      <w:r w:rsidR="00303ABD">
        <w:t xml:space="preserve">other </w:t>
      </w:r>
      <w:r>
        <w:t xml:space="preserve">way in which </w:t>
      </w:r>
      <w:r w:rsidR="00B607A3">
        <w:t xml:space="preserve">the secondary party’s culpability has </w:t>
      </w:r>
      <w:r w:rsidR="00A409B9">
        <w:t>persuasively</w:t>
      </w:r>
      <w:r w:rsidR="00303ABD">
        <w:t xml:space="preserve"> </w:t>
      </w:r>
      <w:r w:rsidR="00B607A3">
        <w:t xml:space="preserve">been </w:t>
      </w:r>
      <w:r w:rsidR="00303ABD">
        <w:t xml:space="preserve">put has </w:t>
      </w:r>
      <w:r w:rsidR="007D076A">
        <w:t>been to</w:t>
      </w:r>
      <w:r>
        <w:t xml:space="preserve"> </w:t>
      </w:r>
      <w:r w:rsidR="00B607A3">
        <w:t xml:space="preserve">regard </w:t>
      </w:r>
      <w:r>
        <w:t xml:space="preserve">that </w:t>
      </w:r>
      <w:r w:rsidR="007D076A">
        <w:t xml:space="preserve">person </w:t>
      </w:r>
      <w:r w:rsidR="00B607A3">
        <w:t xml:space="preserve">as tacitly agreeing to or “authorising” the crime </w:t>
      </w:r>
      <w:r>
        <w:t xml:space="preserve">by the actual perpetrator </w:t>
      </w:r>
      <w:r w:rsidR="00B607A3">
        <w:t xml:space="preserve">which he foresaw as a possible incident of </w:t>
      </w:r>
      <w:r w:rsidR="000825AA">
        <w:t xml:space="preserve">a </w:t>
      </w:r>
      <w:r w:rsidR="00B607A3">
        <w:t xml:space="preserve">joint criminal enterprise.  Thus, in </w:t>
      </w:r>
      <w:r w:rsidR="00B607A3" w:rsidRPr="005C3956">
        <w:rPr>
          <w:i/>
        </w:rPr>
        <w:t>R v Anderson and Morris</w:t>
      </w:r>
      <w:r w:rsidR="00B607A3">
        <w:t>,</w:t>
      </w:r>
      <w:r w:rsidR="00B607A3">
        <w:rPr>
          <w:rStyle w:val="FootnoteReference"/>
        </w:rPr>
        <w:footnoteReference w:id="80"/>
      </w:r>
      <w:r w:rsidR="00B607A3">
        <w:t xml:space="preserve"> in an often-cited passage, Lord Parker CJ approved Mr Geoffrey Lane QC’s formulation of </w:t>
      </w:r>
      <w:r w:rsidR="004E1056">
        <w:t xml:space="preserve">a </w:t>
      </w:r>
      <w:r>
        <w:t xml:space="preserve">legal </w:t>
      </w:r>
      <w:r w:rsidR="00B607A3">
        <w:t>principle</w:t>
      </w:r>
      <w:r w:rsidR="000825AA">
        <w:t xml:space="preserve"> </w:t>
      </w:r>
      <w:r w:rsidR="00D95295">
        <w:t>set</w:t>
      </w:r>
      <w:r w:rsidR="004E1056">
        <w:t>ting</w:t>
      </w:r>
      <w:r w:rsidR="00D95295">
        <w:t xml:space="preserve"> the </w:t>
      </w:r>
      <w:r w:rsidR="00B607A3">
        <w:t xml:space="preserve">boundaries of the joint enterprise by </w:t>
      </w:r>
      <w:r w:rsidR="00D95295">
        <w:t xml:space="preserve">reference to </w:t>
      </w:r>
      <w:r w:rsidR="00B607A3">
        <w:t>tacit agreement or authorisation:</w:t>
      </w:r>
    </w:p>
    <w:p w:rsidR="00176B63" w:rsidRPr="00B607A3" w:rsidRDefault="00B607A3" w:rsidP="005C3956">
      <w:pPr>
        <w:pStyle w:val="Bob1"/>
        <w:numPr>
          <w:ilvl w:val="0"/>
          <w:numId w:val="0"/>
        </w:numPr>
        <w:spacing w:line="240" w:lineRule="auto"/>
        <w:ind w:left="720"/>
        <w:jc w:val="both"/>
        <w:rPr>
          <w:sz w:val="24"/>
        </w:rPr>
      </w:pPr>
      <w:r w:rsidRPr="00B607A3">
        <w:rPr>
          <w:sz w:val="24"/>
        </w:rPr>
        <w:t>“... where two persons embark on a joint enterprise, each is liable for the acts done in pursuance of that joint enterprise, [and] that includes liability for unusual consequences if they arise from the execution of the agreed joint enterprise but (and this is the crux of the matter)</w:t>
      </w:r>
      <w:r w:rsidR="00D92A26">
        <w:rPr>
          <w:sz w:val="24"/>
        </w:rPr>
        <w:t xml:space="preserve"> ...</w:t>
      </w:r>
      <w:r w:rsidRPr="00B607A3">
        <w:rPr>
          <w:sz w:val="24"/>
        </w:rPr>
        <w:t xml:space="preserve">, if one of the adventurers goes beyond what has been tacitly agreed as part of the common enterprise, his co-adventurer is not liable for the consequences of that unauthorised act. ... </w:t>
      </w:r>
      <w:proofErr w:type="gramStart"/>
      <w:r w:rsidRPr="00B607A3">
        <w:rPr>
          <w:sz w:val="24"/>
        </w:rPr>
        <w:t>it</w:t>
      </w:r>
      <w:proofErr w:type="gramEnd"/>
      <w:r w:rsidRPr="00B607A3">
        <w:rPr>
          <w:sz w:val="24"/>
        </w:rPr>
        <w:t xml:space="preserve"> is for the jury in every case to decide whether what was done was part of the joint enterprise, or went beyond it and was in fact an act unauthorised by that joint enterprise.” </w:t>
      </w:r>
    </w:p>
    <w:p w:rsidR="00B607A3" w:rsidRDefault="00711514" w:rsidP="005C3956">
      <w:pPr>
        <w:pStyle w:val="Bob1"/>
        <w:tabs>
          <w:tab w:val="clear" w:pos="720"/>
          <w:tab w:val="left" w:pos="1440"/>
        </w:tabs>
        <w:ind w:left="0" w:firstLine="0"/>
        <w:jc w:val="both"/>
      </w:pPr>
      <w:r>
        <w:t xml:space="preserve">It was in that sense that Sir Robin Cooke in </w:t>
      </w:r>
      <w:r>
        <w:rPr>
          <w:i/>
        </w:rPr>
        <w:t xml:space="preserve">Chan Wing </w:t>
      </w:r>
      <w:proofErr w:type="spellStart"/>
      <w:r>
        <w:rPr>
          <w:i/>
        </w:rPr>
        <w:t>Siu</w:t>
      </w:r>
      <w:proofErr w:type="spellEnd"/>
      <w:r>
        <w:t>,</w:t>
      </w:r>
      <w:r>
        <w:rPr>
          <w:rStyle w:val="FootnoteReference"/>
        </w:rPr>
        <w:footnoteReference w:id="81"/>
      </w:r>
      <w:r>
        <w:t xml:space="preserve"> speaking of the “wider principle </w:t>
      </w:r>
      <w:r w:rsidRPr="00711514">
        <w:t>whereby a secondary party is criminally liable for acts by the primary offender of a type which the former foresees but does not necessarily intend</w:t>
      </w:r>
      <w:r w:rsidR="005D3711">
        <w:t>”, stated that such principle :</w:t>
      </w:r>
    </w:p>
    <w:p w:rsidR="00711514" w:rsidRDefault="00711514" w:rsidP="005C3956">
      <w:pPr>
        <w:pStyle w:val="Bob1"/>
        <w:numPr>
          <w:ilvl w:val="0"/>
          <w:numId w:val="0"/>
        </w:numPr>
        <w:spacing w:line="240" w:lineRule="auto"/>
        <w:ind w:left="720"/>
        <w:jc w:val="both"/>
        <w:rPr>
          <w:sz w:val="24"/>
        </w:rPr>
      </w:pPr>
      <w:r w:rsidRPr="00711514">
        <w:rPr>
          <w:sz w:val="24"/>
        </w:rPr>
        <w:lastRenderedPageBreak/>
        <w:t>“</w:t>
      </w:r>
      <w:r w:rsidR="005D3711">
        <w:rPr>
          <w:sz w:val="24"/>
        </w:rPr>
        <w:t xml:space="preserve">... </w:t>
      </w:r>
      <w:proofErr w:type="gramStart"/>
      <w:r w:rsidRPr="00711514">
        <w:rPr>
          <w:sz w:val="24"/>
        </w:rPr>
        <w:t>turns</w:t>
      </w:r>
      <w:proofErr w:type="gramEnd"/>
      <w:r w:rsidRPr="00711514">
        <w:rPr>
          <w:sz w:val="24"/>
        </w:rPr>
        <w:t xml:space="preserve"> on contemplation or, putting the same idea in other words, authorisation, which may be express but is more usually implied. It meets the case of a crime foreseen as a possible incident of the common unlawful enterprise. The criminal culpability lies in participating in the ven</w:t>
      </w:r>
      <w:r>
        <w:rPr>
          <w:sz w:val="24"/>
        </w:rPr>
        <w:t>ture with that foresight.”</w:t>
      </w:r>
      <w:r w:rsidR="00446E4D">
        <w:rPr>
          <w:sz w:val="24"/>
        </w:rPr>
        <w:t xml:space="preserve">  </w:t>
      </w:r>
    </w:p>
    <w:p w:rsidR="00446E4D" w:rsidRDefault="00446E4D" w:rsidP="005C3956">
      <w:pPr>
        <w:pStyle w:val="Bob1"/>
        <w:tabs>
          <w:tab w:val="clear" w:pos="720"/>
          <w:tab w:val="left" w:pos="1440"/>
        </w:tabs>
        <w:ind w:left="0" w:firstLine="0"/>
      </w:pPr>
      <w:r>
        <w:t xml:space="preserve">In </w:t>
      </w:r>
      <w:r>
        <w:rPr>
          <w:i/>
        </w:rPr>
        <w:t>Miller</w:t>
      </w:r>
      <w:r w:rsidR="005D3711">
        <w:rPr>
          <w:i/>
        </w:rPr>
        <w:t xml:space="preserve"> v The Queen</w:t>
      </w:r>
      <w:r>
        <w:t>,</w:t>
      </w:r>
      <w:r w:rsidRPr="00446E4D">
        <w:rPr>
          <w:rStyle w:val="FootnoteReference"/>
          <w:sz w:val="24"/>
        </w:rPr>
        <w:t xml:space="preserve"> </w:t>
      </w:r>
      <w:r>
        <w:t>Keane J pointed out that:</w:t>
      </w:r>
    </w:p>
    <w:p w:rsidR="00BA1CA1" w:rsidRPr="00BA1CA1" w:rsidRDefault="00BA1CA1" w:rsidP="005C3956">
      <w:pPr>
        <w:pStyle w:val="Bob1"/>
        <w:numPr>
          <w:ilvl w:val="0"/>
          <w:numId w:val="0"/>
        </w:numPr>
        <w:spacing w:line="240" w:lineRule="auto"/>
        <w:ind w:left="720"/>
        <w:jc w:val="both"/>
        <w:rPr>
          <w:sz w:val="24"/>
        </w:rPr>
      </w:pPr>
      <w:r w:rsidRPr="00BA1CA1">
        <w:rPr>
          <w:sz w:val="24"/>
        </w:rPr>
        <w:t xml:space="preserve">“... </w:t>
      </w:r>
      <w:proofErr w:type="gramStart"/>
      <w:r w:rsidRPr="00BA1CA1">
        <w:rPr>
          <w:sz w:val="24"/>
        </w:rPr>
        <w:t>each</w:t>
      </w:r>
      <w:proofErr w:type="gramEnd"/>
      <w:r w:rsidRPr="00BA1CA1">
        <w:rPr>
          <w:sz w:val="24"/>
        </w:rPr>
        <w:t xml:space="preserve"> participant in a joint criminal enterprise is not merely an accessory to a crime committed by someone else. Where parties commit to a joint criminal enterprise, each participant becomes, by reason of that commitment, both the principal and the agent of the other participants: for the purposes of that enterprise they are partners in crime. Each participant also necessarily authorises those acts which he or she foresees as possible incidents of carrying out the enterprise in which he or she has agreed, and continues, to participate.”</w:t>
      </w:r>
      <w:r>
        <w:rPr>
          <w:rStyle w:val="FootnoteReference"/>
          <w:sz w:val="24"/>
        </w:rPr>
        <w:footnoteReference w:id="82"/>
      </w:r>
    </w:p>
    <w:p w:rsidR="00446E4D" w:rsidRDefault="000F2372" w:rsidP="005C3956">
      <w:pPr>
        <w:pStyle w:val="Bob1"/>
        <w:tabs>
          <w:tab w:val="clear" w:pos="720"/>
          <w:tab w:val="num" w:pos="1440"/>
        </w:tabs>
        <w:ind w:left="0" w:firstLine="0"/>
        <w:jc w:val="both"/>
      </w:pPr>
      <w:r>
        <w:t>C</w:t>
      </w:r>
      <w:r w:rsidR="00446E4D">
        <w:t xml:space="preserve">ulpability </w:t>
      </w:r>
      <w:r>
        <w:t xml:space="preserve">of the secondary party </w:t>
      </w:r>
      <w:r w:rsidR="007D076A">
        <w:t xml:space="preserve">may therefore be seen to be </w:t>
      </w:r>
      <w:r w:rsidR="00D77584">
        <w:t xml:space="preserve">based </w:t>
      </w:r>
      <w:r w:rsidR="00BA1CA1">
        <w:t>on</w:t>
      </w:r>
      <w:r w:rsidR="00446E4D">
        <w:t xml:space="preserve"> implied authorisation</w:t>
      </w:r>
      <w:r w:rsidR="00BA1CA1">
        <w:t xml:space="preserve"> </w:t>
      </w:r>
      <w:r w:rsidR="00D77584">
        <w:t>of the actual perpetrator to act</w:t>
      </w:r>
      <w:r w:rsidR="00D77584" w:rsidRPr="00D77584">
        <w:rPr>
          <w:szCs w:val="28"/>
        </w:rPr>
        <w:t xml:space="preserve"> “as the instrument of the other participants to deal with the foreseen exigencies of carrying their enterprise into effect.”</w:t>
      </w:r>
      <w:r w:rsidR="00D77584" w:rsidRPr="00D77584">
        <w:rPr>
          <w:rStyle w:val="FootnoteReference"/>
          <w:szCs w:val="28"/>
        </w:rPr>
        <w:footnoteReference w:id="83"/>
      </w:r>
      <w:r w:rsidR="00D77584" w:rsidRPr="00D77584">
        <w:rPr>
          <w:szCs w:val="28"/>
        </w:rPr>
        <w:t xml:space="preserve"> </w:t>
      </w:r>
    </w:p>
    <w:p w:rsidR="000F2372" w:rsidRPr="00446E4D" w:rsidRDefault="000F2372" w:rsidP="004814B5">
      <w:pPr>
        <w:pStyle w:val="docmapheading"/>
      </w:pPr>
      <w:r>
        <w:t>F.</w:t>
      </w:r>
      <w:r>
        <w:tab/>
        <w:t xml:space="preserve">Abolition of the joint criminal </w:t>
      </w:r>
      <w:r w:rsidR="00D77584">
        <w:t>enterprise doctrine</w:t>
      </w:r>
    </w:p>
    <w:p w:rsidR="008E14C5" w:rsidRDefault="008E14C5" w:rsidP="005C3956">
      <w:pPr>
        <w:pStyle w:val="Bob1"/>
        <w:numPr>
          <w:ilvl w:val="0"/>
          <w:numId w:val="1"/>
        </w:numPr>
        <w:tabs>
          <w:tab w:val="clear" w:pos="720"/>
          <w:tab w:val="left" w:pos="1440"/>
        </w:tabs>
        <w:ind w:left="0" w:firstLine="0"/>
        <w:jc w:val="both"/>
      </w:pPr>
      <w:r>
        <w:t xml:space="preserve">In my view, </w:t>
      </w:r>
      <w:proofErr w:type="spellStart"/>
      <w:r>
        <w:rPr>
          <w:i/>
        </w:rPr>
        <w:t>Jogee’s</w:t>
      </w:r>
      <w:proofErr w:type="spellEnd"/>
      <w:r>
        <w:t xml:space="preserve"> ab</w:t>
      </w:r>
      <w:r w:rsidR="005D3711">
        <w:t>o</w:t>
      </w:r>
      <w:r>
        <w:t xml:space="preserve">lition of the joint criminal enterprise doctrine, confining </w:t>
      </w:r>
      <w:r w:rsidR="00D77584">
        <w:t>secondary liability to cases where the prosecution can prove intentional assistance or encouragement to a principal offender</w:t>
      </w:r>
      <w:r>
        <w:t>,</w:t>
      </w:r>
      <w:r w:rsidR="00D77584">
        <w:t xml:space="preserve"> </w:t>
      </w:r>
      <w:r>
        <w:t xml:space="preserve">deprives </w:t>
      </w:r>
      <w:r w:rsidR="005D3711">
        <w:t xml:space="preserve">the law </w:t>
      </w:r>
      <w:r>
        <w:t>of a valuable principle</w:t>
      </w:r>
      <w:r w:rsidR="005D3711">
        <w:t xml:space="preserve"> for dealing with dynamic situations involving evidential and situational uncertainties which traditional accessorial liability rules are ill-adapted to addressing</w:t>
      </w:r>
      <w:r>
        <w:t>.</w:t>
      </w:r>
    </w:p>
    <w:p w:rsidR="001A592C" w:rsidRDefault="008E14C5" w:rsidP="005C3956">
      <w:pPr>
        <w:pStyle w:val="Bob1"/>
        <w:numPr>
          <w:ilvl w:val="0"/>
          <w:numId w:val="1"/>
        </w:numPr>
        <w:tabs>
          <w:tab w:val="clear" w:pos="720"/>
          <w:tab w:val="left" w:pos="1440"/>
        </w:tabs>
        <w:ind w:left="0" w:firstLine="0"/>
        <w:jc w:val="both"/>
      </w:pPr>
      <w:r>
        <w:t xml:space="preserve">The need for </w:t>
      </w:r>
      <w:r w:rsidR="005D3711">
        <w:t xml:space="preserve">an </w:t>
      </w:r>
      <w:r>
        <w:t xml:space="preserve">extended joint criminal enterprise </w:t>
      </w:r>
      <w:r w:rsidR="005D3711">
        <w:t xml:space="preserve">doctrine </w:t>
      </w:r>
      <w:r w:rsidR="00D77584">
        <w:t xml:space="preserve">was recognized </w:t>
      </w:r>
      <w:r w:rsidR="005107E2">
        <w:t xml:space="preserve">by Lord </w:t>
      </w:r>
      <w:proofErr w:type="spellStart"/>
      <w:r w:rsidR="005107E2">
        <w:t>Steyn</w:t>
      </w:r>
      <w:proofErr w:type="spellEnd"/>
      <w:r w:rsidR="001A592C">
        <w:t xml:space="preserve"> in </w:t>
      </w:r>
      <w:r w:rsidR="001A592C" w:rsidRPr="005C3956">
        <w:rPr>
          <w:i/>
        </w:rPr>
        <w:t>R v Powell (Anthony)</w:t>
      </w:r>
      <w:r>
        <w:t>:</w:t>
      </w:r>
      <w:r w:rsidR="001A592C">
        <w:rPr>
          <w:rStyle w:val="FootnoteReference"/>
        </w:rPr>
        <w:footnoteReference w:id="84"/>
      </w:r>
    </w:p>
    <w:p w:rsidR="001A592C" w:rsidRDefault="00D77584" w:rsidP="005C3956">
      <w:pPr>
        <w:pStyle w:val="Bob1"/>
        <w:numPr>
          <w:ilvl w:val="0"/>
          <w:numId w:val="0"/>
        </w:numPr>
        <w:spacing w:line="240" w:lineRule="auto"/>
        <w:ind w:left="720"/>
        <w:jc w:val="both"/>
        <w:rPr>
          <w:sz w:val="24"/>
        </w:rPr>
      </w:pPr>
      <w:r>
        <w:rPr>
          <w:sz w:val="24"/>
        </w:rPr>
        <w:t>“</w:t>
      </w:r>
      <w:r w:rsidR="001A592C" w:rsidRPr="000C09ED">
        <w:rPr>
          <w:sz w:val="24"/>
        </w:rPr>
        <w:t xml:space="preserve">If the law required proof of the specific intention on the part of a secondary party, the utility of the accessory principle would be gravely undermined. It is just that a secondary party who foresees that the primary offender might kill with the intent </w:t>
      </w:r>
      <w:r w:rsidR="001A592C" w:rsidRPr="000C09ED">
        <w:rPr>
          <w:sz w:val="24"/>
        </w:rPr>
        <w:lastRenderedPageBreak/>
        <w:t>sufficient for murder, and assists and encourages the primary offender in the criminal enterprise on this basis, should be guilty of murder. He ought to be criminally liable for harm which he foresaw and which in fact resulted from the crime he assisted and encouraged. But it would in practice almost invariably be impossible for a jury to say that the secondary party wanted death to be caused or that he regarded it as virtually certain. In the real world proof of an intention sufficient for murder would be well nigh impossible in the vast majority of joint enterprise cases.”</w:t>
      </w:r>
      <w:r w:rsidR="001A592C">
        <w:rPr>
          <w:rStyle w:val="FootnoteReference"/>
          <w:sz w:val="24"/>
        </w:rPr>
        <w:footnoteReference w:id="85"/>
      </w:r>
    </w:p>
    <w:p w:rsidR="008E14C5" w:rsidRDefault="008E14C5" w:rsidP="005C3956">
      <w:pPr>
        <w:pStyle w:val="Bob1"/>
        <w:tabs>
          <w:tab w:val="clear" w:pos="720"/>
          <w:tab w:val="left" w:pos="1440"/>
        </w:tabs>
        <w:ind w:left="0" w:firstLine="0"/>
        <w:jc w:val="both"/>
      </w:pPr>
      <w:r>
        <w:t xml:space="preserve">As </w:t>
      </w:r>
      <w:r w:rsidR="00E77130">
        <w:t xml:space="preserve">previously noted and as </w:t>
      </w:r>
      <w:r>
        <w:t xml:space="preserve">explained by </w:t>
      </w:r>
      <w:proofErr w:type="spellStart"/>
      <w:r>
        <w:t>Hobhouse</w:t>
      </w:r>
      <w:proofErr w:type="spellEnd"/>
      <w:r>
        <w:t xml:space="preserve"> LJ, in </w:t>
      </w:r>
      <w:r w:rsidRPr="00831417">
        <w:rPr>
          <w:i/>
        </w:rPr>
        <w:t>R v Stewart and Schofield</w:t>
      </w:r>
      <w:r>
        <w:t>,</w:t>
      </w:r>
      <w:r>
        <w:rPr>
          <w:rStyle w:val="FootnoteReference"/>
        </w:rPr>
        <w:footnoteReference w:id="86"/>
      </w:r>
      <w:r w:rsidRPr="008E14C5">
        <w:t xml:space="preserve"> </w:t>
      </w:r>
      <w:r>
        <w:t>the availability of</w:t>
      </w:r>
      <w:r w:rsidRPr="008E14C5">
        <w:t xml:space="preserve"> </w:t>
      </w:r>
      <w:r>
        <w:t>differing verdicts of manslaughter and murder in respect of two co-adventurers who had engaged in the same violent attack is explicable on the basis of the joint criminal enterprise doctrine</w:t>
      </w:r>
      <w:r w:rsidR="00E77130">
        <w:t>.  It</w:t>
      </w:r>
      <w:r>
        <w:t xml:space="preserve"> is unclear how, </w:t>
      </w:r>
      <w:r w:rsidR="00E06C40">
        <w:t xml:space="preserve">after </w:t>
      </w:r>
      <w:r w:rsidR="00632297">
        <w:t>confining liability to</w:t>
      </w:r>
      <w:r>
        <w:t xml:space="preserve"> </w:t>
      </w:r>
      <w:r w:rsidR="001A3392">
        <w:t xml:space="preserve">traditional </w:t>
      </w:r>
      <w:r>
        <w:t xml:space="preserve">accessorial liability principles, </w:t>
      </w:r>
      <w:proofErr w:type="spellStart"/>
      <w:r>
        <w:rPr>
          <w:i/>
        </w:rPr>
        <w:t>Jogee</w:t>
      </w:r>
      <w:proofErr w:type="spellEnd"/>
      <w:r>
        <w:rPr>
          <w:i/>
        </w:rPr>
        <w:t xml:space="preserve"> </w:t>
      </w:r>
      <w:r>
        <w:t xml:space="preserve">accommodates such availability.  </w:t>
      </w:r>
      <w:r w:rsidR="00E77130">
        <w:t>I</w:t>
      </w:r>
      <w:r w:rsidR="00545C43">
        <w:t xml:space="preserve">f each co-adventurer’s liability is only derivative and the principal offender is </w:t>
      </w:r>
      <w:r w:rsidR="00E06C40">
        <w:t xml:space="preserve">convicted </w:t>
      </w:r>
      <w:r w:rsidR="00545C43">
        <w:t xml:space="preserve">of murder, it is hard to see </w:t>
      </w:r>
      <w:r w:rsidR="00E77130">
        <w:t xml:space="preserve">the basis for </w:t>
      </w:r>
      <w:r w:rsidR="00545C43">
        <w:t>secondary parties to be independently convicted of manslaughter.</w:t>
      </w:r>
    </w:p>
    <w:p w:rsidR="007A6D8D" w:rsidRDefault="00632297" w:rsidP="005C3956">
      <w:pPr>
        <w:pStyle w:val="Bob1"/>
        <w:tabs>
          <w:tab w:val="clear" w:pos="720"/>
          <w:tab w:val="left" w:pos="1440"/>
        </w:tabs>
        <w:ind w:left="0" w:firstLine="0"/>
        <w:jc w:val="both"/>
      </w:pPr>
      <w:r>
        <w:t xml:space="preserve">Similarly, </w:t>
      </w:r>
      <w:r w:rsidR="00E06C40">
        <w:t xml:space="preserve">if </w:t>
      </w:r>
      <w:proofErr w:type="spellStart"/>
      <w:r w:rsidRPr="005C3956">
        <w:rPr>
          <w:i/>
        </w:rPr>
        <w:t>Jogee</w:t>
      </w:r>
      <w:proofErr w:type="spellEnd"/>
      <w:r w:rsidR="00E06C40">
        <w:t xml:space="preserve"> is applied</w:t>
      </w:r>
      <w:r>
        <w:t>,</w:t>
      </w:r>
      <w:r w:rsidRPr="005C3956">
        <w:rPr>
          <w:i/>
        </w:rPr>
        <w:t xml:space="preserve"> </w:t>
      </w:r>
      <w:r>
        <w:t xml:space="preserve">flexibility based on the joint criminal enterprise doctrine </w:t>
      </w:r>
      <w:r w:rsidR="00E06C40">
        <w:t xml:space="preserve">is lost </w:t>
      </w:r>
      <w:r>
        <w:t xml:space="preserve">in cases like </w:t>
      </w:r>
      <w:proofErr w:type="spellStart"/>
      <w:r w:rsidRPr="005C3956">
        <w:rPr>
          <w:i/>
        </w:rPr>
        <w:t>Sze</w:t>
      </w:r>
      <w:proofErr w:type="spellEnd"/>
      <w:r w:rsidRPr="005C3956">
        <w:rPr>
          <w:i/>
        </w:rPr>
        <w:t xml:space="preserve"> Kwan Lung v HKSAR</w:t>
      </w:r>
      <w:r>
        <w:t>,</w:t>
      </w:r>
      <w:r>
        <w:rPr>
          <w:rStyle w:val="FootnoteReference"/>
        </w:rPr>
        <w:footnoteReference w:id="87"/>
      </w:r>
      <w:r w:rsidRPr="00632297">
        <w:t xml:space="preserve"> </w:t>
      </w:r>
      <w:r w:rsidR="00E06C40">
        <w:t xml:space="preserve">where </w:t>
      </w:r>
      <w:r>
        <w:t xml:space="preserve">the liability of each participant in </w:t>
      </w:r>
      <w:r w:rsidR="00E06C40">
        <w:t xml:space="preserve">the </w:t>
      </w:r>
      <w:r>
        <w:t xml:space="preserve">criminal </w:t>
      </w:r>
      <w:r w:rsidR="00E06C40">
        <w:t xml:space="preserve">venture </w:t>
      </w:r>
      <w:r>
        <w:t xml:space="preserve">is independently assessed so that a verdict of murder against a participant </w:t>
      </w:r>
      <w:r w:rsidR="00E06C40">
        <w:t xml:space="preserve">is </w:t>
      </w:r>
      <w:r>
        <w:t xml:space="preserve">available notwithstanding the </w:t>
      </w:r>
      <w:r w:rsidR="00E06C40">
        <w:t xml:space="preserve">actual killer’s </w:t>
      </w:r>
      <w:r w:rsidR="006552A2">
        <w:t xml:space="preserve">acquittal or conviction </w:t>
      </w:r>
      <w:r w:rsidR="006552A2">
        <w:rPr>
          <w:rFonts w:hint="eastAsia"/>
        </w:rPr>
        <w:t>of</w:t>
      </w:r>
      <w:r>
        <w:t xml:space="preserve"> </w:t>
      </w:r>
      <w:r w:rsidR="00E06C40">
        <w:t xml:space="preserve">the lesser offence of </w:t>
      </w:r>
      <w:r>
        <w:t>manslaughter.</w:t>
      </w:r>
    </w:p>
    <w:p w:rsidR="00E06C40" w:rsidRDefault="00E06C40" w:rsidP="004814B5">
      <w:pPr>
        <w:pStyle w:val="docmapheading"/>
      </w:pPr>
      <w:r>
        <w:t>G.</w:t>
      </w:r>
      <w:r>
        <w:tab/>
      </w:r>
      <w:proofErr w:type="spellStart"/>
      <w:r>
        <w:t>Jogee’s</w:t>
      </w:r>
      <w:proofErr w:type="spellEnd"/>
      <w:r>
        <w:t xml:space="preserve"> c</w:t>
      </w:r>
      <w:r w:rsidR="00377B8A">
        <w:t>oncept of “conditional intent</w:t>
      </w:r>
      <w:r>
        <w:t>”</w:t>
      </w:r>
    </w:p>
    <w:p w:rsidR="00E06C40" w:rsidRDefault="00402D17" w:rsidP="005C3956">
      <w:pPr>
        <w:pStyle w:val="Bob1"/>
        <w:tabs>
          <w:tab w:val="clear" w:pos="720"/>
          <w:tab w:val="left" w:pos="1440"/>
        </w:tabs>
        <w:ind w:left="0" w:firstLine="0"/>
        <w:jc w:val="both"/>
      </w:pPr>
      <w:r>
        <w:t>In its “Restatement of the principles”,</w:t>
      </w:r>
      <w:r>
        <w:rPr>
          <w:rStyle w:val="FootnoteReference"/>
        </w:rPr>
        <w:footnoteReference w:id="88"/>
      </w:r>
      <w:r>
        <w:t xml:space="preserve"> the </w:t>
      </w:r>
      <w:proofErr w:type="spellStart"/>
      <w:r w:rsidRPr="00402D17">
        <w:rPr>
          <w:i/>
        </w:rPr>
        <w:t>Jogee</w:t>
      </w:r>
      <w:proofErr w:type="spellEnd"/>
      <w:r w:rsidRPr="00402D17">
        <w:rPr>
          <w:i/>
        </w:rPr>
        <w:t xml:space="preserve"> </w:t>
      </w:r>
      <w:r w:rsidR="001A3392">
        <w:t xml:space="preserve">judgment introduces the concept of “conditional intent” in the </w:t>
      </w:r>
      <w:r w:rsidR="001541C8">
        <w:t>follow</w:t>
      </w:r>
      <w:r w:rsidR="001A3392">
        <w:t>ing</w:t>
      </w:r>
      <w:r w:rsidR="001541C8">
        <w:t xml:space="preserve"> three paragraphs which ought to be set out in full:</w:t>
      </w:r>
    </w:p>
    <w:p w:rsidR="001541C8" w:rsidRPr="00A604B7" w:rsidRDefault="001541C8" w:rsidP="005C3956">
      <w:pPr>
        <w:pStyle w:val="Bob1"/>
        <w:numPr>
          <w:ilvl w:val="0"/>
          <w:numId w:val="0"/>
        </w:numPr>
        <w:spacing w:line="240" w:lineRule="auto"/>
        <w:ind w:left="720"/>
        <w:jc w:val="both"/>
        <w:rPr>
          <w:sz w:val="24"/>
          <w:szCs w:val="28"/>
        </w:rPr>
      </w:pPr>
      <w:r w:rsidRPr="00A604B7">
        <w:rPr>
          <w:sz w:val="24"/>
          <w:szCs w:val="28"/>
        </w:rPr>
        <w:lastRenderedPageBreak/>
        <w:t>“92.</w:t>
      </w:r>
      <w:r w:rsidRPr="00A604B7">
        <w:rPr>
          <w:sz w:val="24"/>
          <w:szCs w:val="28"/>
        </w:rPr>
        <w:tab/>
        <w:t xml:space="preserve"> In cases of secondary liability arising out of a prior joint criminal venture, it will also often be necessary to draw the jury's attention to the fact that the intention to assist, and indeed the intention that the crime should be committed, may be conditional. The bank robbers who attack the bank when one or more of them is armed no doubt hope that it will not be necessary to use the guns, but it may be a perfectly proper inference that all were intending that if they met resistance the weapons should be used with the intent to do grievous bodily harm at least. The group of young men which faces down a rival group may hope that the rivals will slink quietly away, but it may well be a perfectly proper inference that all were intending that if resistance were to be met, grievous bodily harm at least should be done.</w:t>
      </w:r>
    </w:p>
    <w:p w:rsidR="001541C8" w:rsidRPr="00A604B7" w:rsidRDefault="001541C8" w:rsidP="005C3956">
      <w:pPr>
        <w:pStyle w:val="Bob1"/>
        <w:numPr>
          <w:ilvl w:val="0"/>
          <w:numId w:val="0"/>
        </w:numPr>
        <w:spacing w:line="240" w:lineRule="auto"/>
        <w:ind w:left="720"/>
        <w:jc w:val="both"/>
        <w:rPr>
          <w:sz w:val="24"/>
          <w:szCs w:val="28"/>
        </w:rPr>
      </w:pPr>
      <w:r w:rsidRPr="00A604B7">
        <w:rPr>
          <w:sz w:val="24"/>
          <w:szCs w:val="28"/>
        </w:rPr>
        <w:t xml:space="preserve">93. </w:t>
      </w:r>
      <w:r w:rsidRPr="00A604B7">
        <w:rPr>
          <w:sz w:val="24"/>
          <w:szCs w:val="28"/>
        </w:rPr>
        <w:tab/>
        <w:t xml:space="preserve">Juries frequently have to decide questions of intent (including conditional intent) by a process of inference from the facts and circumstances proved. The same applies when the question is whether D2, who joined with others in a venture to commit crime A, shared a common purpose or common intent (the two are the same) which included, if things came to it, the commission of crime B, the offence or type of offence with which he is charged, and which was physically committed by D1. A time honoured way of inviting a jury to consider such a question is to ask the jury whether they are sure that D1's act was within the scope of the joint venture, that is, whether D2 expressly or tacitly agreed to a plan which included D1 going as far as he did, and committing crime B, if the occasion arose. </w:t>
      </w:r>
    </w:p>
    <w:p w:rsidR="001541C8" w:rsidRDefault="001541C8" w:rsidP="005C3956">
      <w:pPr>
        <w:pStyle w:val="Bob1"/>
        <w:numPr>
          <w:ilvl w:val="0"/>
          <w:numId w:val="0"/>
        </w:numPr>
        <w:spacing w:line="240" w:lineRule="auto"/>
        <w:ind w:left="720"/>
        <w:jc w:val="both"/>
        <w:rPr>
          <w:sz w:val="24"/>
        </w:rPr>
      </w:pPr>
      <w:r w:rsidRPr="00A604B7">
        <w:rPr>
          <w:sz w:val="24"/>
          <w:szCs w:val="28"/>
        </w:rPr>
        <w:t xml:space="preserve">94. </w:t>
      </w:r>
      <w:r w:rsidRPr="00A604B7">
        <w:rPr>
          <w:sz w:val="24"/>
          <w:szCs w:val="28"/>
        </w:rPr>
        <w:tab/>
        <w:t>If the jury is satisfied that there was an agreed common purpose to commit crime A, and if it is satisfied also that D2 must have foreseen that, in the course of committing crime A, D1 might well commit crime B, it may in appropriate cases be justified in drawing the conclusion that D2 had the necessary conditional intent that crime B should be committed, if the occasion arose; or in other words that it was within the scope of the plan to which D2 gave his assent and intentional support. But that will be a question of fact for the jury in all the circumstances.”</w:t>
      </w:r>
    </w:p>
    <w:p w:rsidR="00082BCD" w:rsidRDefault="000C05F2" w:rsidP="005C3956">
      <w:pPr>
        <w:pStyle w:val="Bob1"/>
        <w:tabs>
          <w:tab w:val="clear" w:pos="720"/>
          <w:tab w:val="left" w:pos="1440"/>
        </w:tabs>
        <w:ind w:left="0" w:firstLine="0"/>
        <w:jc w:val="both"/>
      </w:pPr>
      <w:r>
        <w:t xml:space="preserve">These paragraphs have no doubt introduced the concept of conditional intent in order to deal with situational uncertainties.  However, they have done so in a </w:t>
      </w:r>
      <w:r w:rsidR="00954439">
        <w:t>highly problematical</w:t>
      </w:r>
      <w:r>
        <w:t xml:space="preserve"> way</w:t>
      </w:r>
      <w:r w:rsidR="00057C27">
        <w:t xml:space="preserve">.  </w:t>
      </w:r>
      <w:r>
        <w:t xml:space="preserve">In the first place, given that it is central to </w:t>
      </w:r>
      <w:proofErr w:type="spellStart"/>
      <w:r>
        <w:rPr>
          <w:i/>
        </w:rPr>
        <w:t>Jogee</w:t>
      </w:r>
      <w:proofErr w:type="spellEnd"/>
      <w:r>
        <w:rPr>
          <w:i/>
        </w:rPr>
        <w:t xml:space="preserve"> </w:t>
      </w:r>
      <w:r>
        <w:t xml:space="preserve">that the doctrine of joint criminal enterprise is abolished in favour of traditional accessorial liability, it is strikingly odd that the three paragraphs </w:t>
      </w:r>
      <w:r w:rsidR="00082BCD">
        <w:t>explain</w:t>
      </w:r>
      <w:r>
        <w:t xml:space="preserve"> the conditional intent concept in the context of joint criminal enterprise</w:t>
      </w:r>
      <w:r w:rsidR="00082BCD">
        <w:t xml:space="preserve"> (referring to acts pursuant to “prior joint criminal ventures”, “common purpose” and “common intent”)</w:t>
      </w:r>
      <w:r>
        <w:t xml:space="preserve"> and give no indication of how </w:t>
      </w:r>
      <w:r w:rsidR="00082BCD">
        <w:t>the concept</w:t>
      </w:r>
      <w:r>
        <w:t xml:space="preserve"> is meant to fit in with the </w:t>
      </w:r>
      <w:proofErr w:type="spellStart"/>
      <w:r>
        <w:rPr>
          <w:i/>
        </w:rPr>
        <w:t>actus</w:t>
      </w:r>
      <w:proofErr w:type="spellEnd"/>
      <w:r>
        <w:rPr>
          <w:i/>
        </w:rPr>
        <w:t xml:space="preserve"> </w:t>
      </w:r>
      <w:proofErr w:type="spellStart"/>
      <w:r>
        <w:rPr>
          <w:i/>
        </w:rPr>
        <w:t>reus</w:t>
      </w:r>
      <w:proofErr w:type="spellEnd"/>
      <w:r>
        <w:rPr>
          <w:i/>
        </w:rPr>
        <w:t xml:space="preserve"> </w:t>
      </w:r>
      <w:r>
        <w:t xml:space="preserve">and </w:t>
      </w:r>
      <w:proofErr w:type="spellStart"/>
      <w:r>
        <w:rPr>
          <w:i/>
        </w:rPr>
        <w:t>mens</w:t>
      </w:r>
      <w:proofErr w:type="spellEnd"/>
      <w:r>
        <w:rPr>
          <w:i/>
        </w:rPr>
        <w:t xml:space="preserve"> </w:t>
      </w:r>
      <w:proofErr w:type="spellStart"/>
      <w:r>
        <w:rPr>
          <w:i/>
        </w:rPr>
        <w:t>rea</w:t>
      </w:r>
      <w:proofErr w:type="spellEnd"/>
      <w:r>
        <w:rPr>
          <w:i/>
        </w:rPr>
        <w:t xml:space="preserve"> </w:t>
      </w:r>
      <w:r>
        <w:t xml:space="preserve">of traditional accessorial offences.  </w:t>
      </w:r>
    </w:p>
    <w:p w:rsidR="007B5115" w:rsidRPr="005C3956" w:rsidRDefault="00082BCD" w:rsidP="005C3956">
      <w:pPr>
        <w:pStyle w:val="Bob1"/>
        <w:tabs>
          <w:tab w:val="clear" w:pos="720"/>
          <w:tab w:val="left" w:pos="1440"/>
        </w:tabs>
        <w:ind w:left="0" w:firstLine="0"/>
        <w:jc w:val="both"/>
      </w:pPr>
      <w:r>
        <w:lastRenderedPageBreak/>
        <w:t xml:space="preserve">Secondly, the treatment of conditional intent in the three paragraphs leaves one wondering whether there is any practical difference between that concept and the principle of assigning liability on the basis of foresight of the possible commission of an offence in an extended joint criminal enterprise situation.  </w:t>
      </w:r>
      <w:r w:rsidR="000C05F2">
        <w:t xml:space="preserve">Thus, </w:t>
      </w:r>
      <w:r>
        <w:t xml:space="preserve">paragraph 92 refers </w:t>
      </w:r>
      <w:r w:rsidR="000C05F2">
        <w:t>to a “</w:t>
      </w:r>
      <w:r w:rsidR="000C05F2" w:rsidRPr="00583E7D">
        <w:t>prior joint criminal venture</w:t>
      </w:r>
      <w:r w:rsidR="000C05F2">
        <w:t>” in the pursuit of which it might prove necessary “if resistance were to be met” to do grievous bodily harm</w:t>
      </w:r>
      <w:r>
        <w:t>.  Paragraph 93</w:t>
      </w:r>
      <w:r w:rsidR="000C05F2">
        <w:t xml:space="preserve"> </w:t>
      </w:r>
      <w:r>
        <w:t xml:space="preserve">discusses </w:t>
      </w:r>
      <w:r w:rsidR="000C05F2">
        <w:t>“</w:t>
      </w:r>
      <w:r w:rsidR="000C05F2" w:rsidRPr="005C3956">
        <w:rPr>
          <w:szCs w:val="28"/>
        </w:rPr>
        <w:t xml:space="preserve">a common purpose or common intent” and </w:t>
      </w:r>
      <w:r w:rsidRPr="005C3956">
        <w:rPr>
          <w:szCs w:val="28"/>
        </w:rPr>
        <w:t xml:space="preserve">how </w:t>
      </w:r>
      <w:r w:rsidR="000C05F2" w:rsidRPr="005C3956">
        <w:rPr>
          <w:szCs w:val="28"/>
        </w:rPr>
        <w:t>the “scope of the joint venture” (that is, “whether D2 expressly or tacitly agreed to a plan which included D1 going as far as he did, and committing crime B, if the occasion arose”) determin</w:t>
      </w:r>
      <w:r w:rsidRPr="005C3956">
        <w:rPr>
          <w:szCs w:val="28"/>
        </w:rPr>
        <w:t>es</w:t>
      </w:r>
      <w:r w:rsidR="000C05F2" w:rsidRPr="005C3956">
        <w:rPr>
          <w:szCs w:val="28"/>
        </w:rPr>
        <w:t xml:space="preserve"> whether </w:t>
      </w:r>
      <w:r w:rsidRPr="005C3956">
        <w:rPr>
          <w:szCs w:val="28"/>
        </w:rPr>
        <w:t xml:space="preserve">a </w:t>
      </w:r>
      <w:r w:rsidR="000C05F2" w:rsidRPr="005C3956">
        <w:rPr>
          <w:szCs w:val="28"/>
        </w:rPr>
        <w:t xml:space="preserve">co-adventurer is to be treated as complicit.  </w:t>
      </w:r>
      <w:r w:rsidRPr="005C3956">
        <w:rPr>
          <w:szCs w:val="28"/>
        </w:rPr>
        <w:t xml:space="preserve">Paragraph 94, explicitly conditions liability on the jury being satisfied “that there was an agreed common purpose to commit crime A” and “that D2 must have </w:t>
      </w:r>
      <w:r w:rsidRPr="005C3956">
        <w:rPr>
          <w:i/>
          <w:szCs w:val="28"/>
        </w:rPr>
        <w:t>foreseen</w:t>
      </w:r>
      <w:r w:rsidRPr="005C3956">
        <w:rPr>
          <w:szCs w:val="28"/>
        </w:rPr>
        <w:t xml:space="preserve"> that, in the course of committing crime A, D1 </w:t>
      </w:r>
      <w:r w:rsidRPr="005C3956">
        <w:rPr>
          <w:i/>
          <w:szCs w:val="28"/>
        </w:rPr>
        <w:t>might well</w:t>
      </w:r>
      <w:r w:rsidRPr="005C3956">
        <w:rPr>
          <w:szCs w:val="28"/>
        </w:rPr>
        <w:t xml:space="preserve"> commit crime B”</w:t>
      </w:r>
      <w:r>
        <w:rPr>
          <w:rStyle w:val="FootnoteReference"/>
          <w:szCs w:val="28"/>
        </w:rPr>
        <w:footnoteReference w:id="89"/>
      </w:r>
      <w:r w:rsidRPr="005C3956">
        <w:rPr>
          <w:szCs w:val="28"/>
        </w:rPr>
        <w:t xml:space="preserve"> as justifying an inference that “D2 had the necessary conditional intent that crime B should be committed, if the occasion arose”, adding “in other words that it was within the scope of the plan to which D2 gave his assent and intentional support”.  </w:t>
      </w:r>
      <w:r w:rsidR="00F256C9" w:rsidRPr="005C3956">
        <w:rPr>
          <w:szCs w:val="28"/>
        </w:rPr>
        <w:t>S</w:t>
      </w:r>
      <w:r w:rsidR="007B5115" w:rsidRPr="005C3956">
        <w:rPr>
          <w:szCs w:val="28"/>
        </w:rPr>
        <w:t xml:space="preserve">econdary liability is </w:t>
      </w:r>
      <w:r w:rsidR="006552A2">
        <w:rPr>
          <w:szCs w:val="28"/>
        </w:rPr>
        <w:t>therefore</w:t>
      </w:r>
      <w:r w:rsidR="007B5115" w:rsidRPr="005C3956">
        <w:rPr>
          <w:szCs w:val="28"/>
        </w:rPr>
        <w:t xml:space="preserve"> </w:t>
      </w:r>
      <w:r w:rsidR="001D6264">
        <w:rPr>
          <w:rFonts w:hint="eastAsia"/>
          <w:szCs w:val="28"/>
        </w:rPr>
        <w:t>not here</w:t>
      </w:r>
      <w:r w:rsidR="0090049E" w:rsidRPr="005C3956">
        <w:rPr>
          <w:szCs w:val="28"/>
        </w:rPr>
        <w:t xml:space="preserve"> dependent </w:t>
      </w:r>
      <w:r w:rsidR="007B5115" w:rsidRPr="005C3956">
        <w:rPr>
          <w:szCs w:val="28"/>
        </w:rPr>
        <w:t xml:space="preserve">on proof of </w:t>
      </w:r>
      <w:r w:rsidR="00F256C9" w:rsidRPr="005C3956">
        <w:rPr>
          <w:szCs w:val="28"/>
        </w:rPr>
        <w:t xml:space="preserve">intentional </w:t>
      </w:r>
      <w:r w:rsidR="007B5115" w:rsidRPr="005C3956">
        <w:rPr>
          <w:szCs w:val="28"/>
        </w:rPr>
        <w:t>acts of aiding</w:t>
      </w:r>
      <w:r w:rsidR="00B843CF">
        <w:rPr>
          <w:rFonts w:hint="eastAsia"/>
          <w:szCs w:val="28"/>
        </w:rPr>
        <w:t>,</w:t>
      </w:r>
      <w:r w:rsidR="00B843CF">
        <w:rPr>
          <w:szCs w:val="28"/>
        </w:rPr>
        <w:t xml:space="preserve"> abetting</w:t>
      </w:r>
      <w:r w:rsidR="00B843CF">
        <w:rPr>
          <w:rFonts w:hint="eastAsia"/>
          <w:szCs w:val="28"/>
        </w:rPr>
        <w:t>,</w:t>
      </w:r>
      <w:r w:rsidR="007B5115" w:rsidRPr="005C3956">
        <w:rPr>
          <w:szCs w:val="28"/>
        </w:rPr>
        <w:t xml:space="preserve"> counselling or procuring but </w:t>
      </w:r>
      <w:r w:rsidR="00F256C9" w:rsidRPr="005C3956">
        <w:rPr>
          <w:szCs w:val="28"/>
        </w:rPr>
        <w:t>rather on</w:t>
      </w:r>
      <w:r w:rsidR="007B5115" w:rsidRPr="005C3956">
        <w:rPr>
          <w:szCs w:val="28"/>
        </w:rPr>
        <w:t xml:space="preserve"> participation in a joint criminal enterprise </w:t>
      </w:r>
      <w:r w:rsidR="00F256C9" w:rsidRPr="005C3956">
        <w:rPr>
          <w:szCs w:val="28"/>
        </w:rPr>
        <w:t>envisaging</w:t>
      </w:r>
      <w:r w:rsidR="007B5115" w:rsidRPr="005C3956">
        <w:rPr>
          <w:szCs w:val="28"/>
        </w:rPr>
        <w:t xml:space="preserve"> </w:t>
      </w:r>
      <w:r w:rsidR="00F256C9" w:rsidRPr="005C3956">
        <w:rPr>
          <w:szCs w:val="28"/>
        </w:rPr>
        <w:t xml:space="preserve">commission of </w:t>
      </w:r>
      <w:r w:rsidR="00A604B7" w:rsidRPr="005C3956">
        <w:rPr>
          <w:szCs w:val="28"/>
        </w:rPr>
        <w:t>a further offence,</w:t>
      </w:r>
      <w:r w:rsidR="00F256C9" w:rsidRPr="005C3956">
        <w:rPr>
          <w:szCs w:val="28"/>
        </w:rPr>
        <w:t xml:space="preserve"> crime B, in certain contingencies</w:t>
      </w:r>
      <w:r w:rsidR="007B5115" w:rsidRPr="005C3956">
        <w:rPr>
          <w:szCs w:val="28"/>
        </w:rPr>
        <w:t>.</w:t>
      </w:r>
    </w:p>
    <w:p w:rsidR="0090049E" w:rsidRDefault="00EB1A80" w:rsidP="005C3956">
      <w:pPr>
        <w:pStyle w:val="Bob1"/>
        <w:tabs>
          <w:tab w:val="clear" w:pos="720"/>
          <w:tab w:val="left" w:pos="1440"/>
        </w:tabs>
        <w:ind w:left="0" w:firstLine="0"/>
        <w:jc w:val="both"/>
      </w:pPr>
      <w:r>
        <w:t xml:space="preserve">The only </w:t>
      </w:r>
      <w:r w:rsidR="0090049E">
        <w:t xml:space="preserve">suggested </w:t>
      </w:r>
      <w:r>
        <w:t xml:space="preserve">difference </w:t>
      </w:r>
      <w:r w:rsidR="0090049E">
        <w:t xml:space="preserve">between conditional intent so explained and the foresight principle in the extended joint criminal enterprise doctrine appears to involve </w:t>
      </w:r>
      <w:proofErr w:type="spellStart"/>
      <w:r w:rsidR="0090049E" w:rsidRPr="005C3956">
        <w:rPr>
          <w:i/>
        </w:rPr>
        <w:t>Jogee’s</w:t>
      </w:r>
      <w:proofErr w:type="spellEnd"/>
      <w:r w:rsidR="0090049E" w:rsidRPr="005C3956">
        <w:rPr>
          <w:i/>
        </w:rPr>
        <w:t xml:space="preserve"> </w:t>
      </w:r>
      <w:r w:rsidR="0090049E">
        <w:t>proposition that foresight is only evidence upon which intention, inclu</w:t>
      </w:r>
      <w:r w:rsidR="00B843CF">
        <w:t>ding conditional intent, may be</w:t>
      </w:r>
      <w:r w:rsidR="00B843CF">
        <w:rPr>
          <w:rFonts w:hint="eastAsia"/>
        </w:rPr>
        <w:t xml:space="preserve"> </w:t>
      </w:r>
      <w:r w:rsidR="0090049E">
        <w:t>inferred.  That</w:t>
      </w:r>
      <w:r w:rsidR="00B843CF">
        <w:t xml:space="preserve"> </w:t>
      </w:r>
      <w:r w:rsidR="0090049E">
        <w:t xml:space="preserve">gives rise to a third difficulty.  Foresight and conditional intent are both mental states and can only be found to exist by drawing inferences from the conduct of the </w:t>
      </w:r>
      <w:r w:rsidR="0090049E">
        <w:lastRenderedPageBreak/>
        <w:t>participant in question.  The jury have the task of deciding whether the relevant inference can be drawn beyond reasonable doubt, or, as it is usually put, whether the inference is irresistible.</w:t>
      </w:r>
      <w:r w:rsidR="0090049E">
        <w:rPr>
          <w:rStyle w:val="FootnoteReference"/>
        </w:rPr>
        <w:footnoteReference w:id="90"/>
      </w:r>
      <w:r w:rsidR="0090049E">
        <w:t xml:space="preserve">  If the jury were to decide that the irresistible inference is that the defendant foresaw that one of their </w:t>
      </w:r>
      <w:proofErr w:type="gramStart"/>
      <w:r w:rsidR="0090049E">
        <w:t>number</w:t>
      </w:r>
      <w:proofErr w:type="gramEnd"/>
      <w:r w:rsidR="0090049E">
        <w:t xml:space="preserve"> might, if necessary, commit the further offence B, that would be the inferential conclusion reached.  It would not be “evidence” upon which a further inference as to the existence of conditional intent might be drawn.  </w:t>
      </w:r>
      <w:r w:rsidR="00AE67AB">
        <w:t>The proposition that a finding of foresight is only evidence of conditional intent is therefore difficult to follow.</w:t>
      </w:r>
    </w:p>
    <w:p w:rsidR="00A62991" w:rsidRDefault="00B75F71" w:rsidP="005C3956">
      <w:pPr>
        <w:pStyle w:val="Bob1"/>
        <w:tabs>
          <w:tab w:val="clear" w:pos="720"/>
          <w:tab w:val="left" w:pos="1440"/>
        </w:tabs>
        <w:ind w:left="0" w:firstLine="0"/>
        <w:jc w:val="both"/>
      </w:pPr>
      <w:r>
        <w:t xml:space="preserve">It is possible that the </w:t>
      </w:r>
      <w:r w:rsidR="00AE67AB">
        <w:t xml:space="preserve">proposition </w:t>
      </w:r>
      <w:r w:rsidR="00E96561">
        <w:t>intended by</w:t>
      </w:r>
      <w:r>
        <w:t xml:space="preserve"> </w:t>
      </w:r>
      <w:proofErr w:type="spellStart"/>
      <w:r w:rsidRPr="005C3956">
        <w:rPr>
          <w:i/>
        </w:rPr>
        <w:t>Jogee</w:t>
      </w:r>
      <w:proofErr w:type="spellEnd"/>
      <w:r w:rsidRPr="005C3956">
        <w:rPr>
          <w:i/>
        </w:rPr>
        <w:t xml:space="preserve"> </w:t>
      </w:r>
      <w:r w:rsidR="0035056A">
        <w:t>is</w:t>
      </w:r>
      <w:r w:rsidR="00AE67AB">
        <w:t xml:space="preserve"> not </w:t>
      </w:r>
      <w:r w:rsidR="0035056A">
        <w:t xml:space="preserve">that one should try to </w:t>
      </w:r>
      <w:r w:rsidR="00D92A26">
        <w:t>lay</w:t>
      </w:r>
      <w:r w:rsidR="0035056A">
        <w:t xml:space="preserve"> </w:t>
      </w:r>
      <w:r w:rsidR="00AE67AB">
        <w:t xml:space="preserve">one inference on top of another, but that liability can only be established under </w:t>
      </w:r>
      <w:proofErr w:type="spellStart"/>
      <w:r w:rsidR="00AE67AB" w:rsidRPr="005C3956">
        <w:rPr>
          <w:i/>
        </w:rPr>
        <w:t>Jogee</w:t>
      </w:r>
      <w:proofErr w:type="spellEnd"/>
      <w:r w:rsidR="00AE67AB" w:rsidRPr="005C3956">
        <w:rPr>
          <w:i/>
        </w:rPr>
        <w:t xml:space="preserve"> </w:t>
      </w:r>
      <w:r w:rsidR="00AE67AB">
        <w:t>if the irresistible inference to be drawn is that the participant harboured a conditional intent and not just foresight</w:t>
      </w:r>
      <w:r>
        <w:t xml:space="preserve"> of the possible commission of crime B</w:t>
      </w:r>
      <w:r w:rsidR="00AE67AB">
        <w:t>.  On this reading, proof of full blown intention</w:t>
      </w:r>
      <w:r w:rsidR="00E96561">
        <w:t xml:space="preserve"> is required</w:t>
      </w:r>
      <w:r w:rsidR="00AE67AB">
        <w:t xml:space="preserve">, albeit conditional on the happening of a certain contingency.  In this sense, intention may be taken to </w:t>
      </w:r>
      <w:r w:rsidR="00AE67AB" w:rsidRPr="005C3956">
        <w:rPr>
          <w:szCs w:val="28"/>
        </w:rPr>
        <w:t>involve a person acting with foresig</w:t>
      </w:r>
      <w:r w:rsidR="0035056A" w:rsidRPr="005C3956">
        <w:rPr>
          <w:szCs w:val="28"/>
        </w:rPr>
        <w:t>ht of a particular</w:t>
      </w:r>
      <w:r w:rsidR="00AE67AB" w:rsidRPr="005C3956">
        <w:rPr>
          <w:szCs w:val="28"/>
        </w:rPr>
        <w:t xml:space="preserve"> consequence, desiring to cause it</w:t>
      </w:r>
      <w:r w:rsidR="00AE67AB">
        <w:rPr>
          <w:rStyle w:val="FootnoteReference"/>
          <w:szCs w:val="28"/>
        </w:rPr>
        <w:footnoteReference w:id="91"/>
      </w:r>
      <w:r w:rsidR="00AE67AB" w:rsidRPr="005C3956">
        <w:rPr>
          <w:szCs w:val="28"/>
        </w:rPr>
        <w:t xml:space="preserve"> or</w:t>
      </w:r>
      <w:r w:rsidR="00D92A26" w:rsidRPr="005C3956">
        <w:rPr>
          <w:szCs w:val="28"/>
        </w:rPr>
        <w:t xml:space="preserve"> foreseeing that consequence as a virtually certain result of his act even though it is not the purpose of his act</w:t>
      </w:r>
      <w:r w:rsidR="00AE67AB" w:rsidRPr="005C3956">
        <w:rPr>
          <w:szCs w:val="28"/>
        </w:rPr>
        <w:t>.</w:t>
      </w:r>
      <w:r w:rsidR="00AE67AB">
        <w:rPr>
          <w:rStyle w:val="FootnoteReference"/>
          <w:szCs w:val="28"/>
        </w:rPr>
        <w:footnoteReference w:id="92"/>
      </w:r>
      <w:r w:rsidR="00AE67AB" w:rsidRPr="005C3956">
        <w:rPr>
          <w:szCs w:val="28"/>
        </w:rPr>
        <w:t xml:space="preserve">  </w:t>
      </w:r>
      <w:r w:rsidR="0035056A">
        <w:t>This gives rise to a fourth difficulty</w:t>
      </w:r>
      <w:r w:rsidR="00A62991">
        <w:t xml:space="preserve">.  </w:t>
      </w:r>
      <w:r w:rsidR="00C60C41">
        <w:t>On t</w:t>
      </w:r>
      <w:r w:rsidR="00E96561">
        <w:t xml:space="preserve">his </w:t>
      </w:r>
      <w:r w:rsidR="00C60C41">
        <w:t xml:space="preserve">understanding of “conditional intent”, </w:t>
      </w:r>
      <w:r w:rsidR="00E96561">
        <w:t xml:space="preserve">the prosecution </w:t>
      </w:r>
      <w:r w:rsidR="00C60C41">
        <w:t xml:space="preserve">would be required </w:t>
      </w:r>
      <w:r w:rsidR="00E96561">
        <w:t xml:space="preserve">to prove beyond reasonable doubt that the participant not only foresaw the </w:t>
      </w:r>
      <w:r w:rsidR="00A62991">
        <w:t xml:space="preserve">possible commission of the </w:t>
      </w:r>
      <w:r w:rsidR="00E96561">
        <w:t xml:space="preserve">further offence </w:t>
      </w:r>
      <w:r w:rsidR="00A62991">
        <w:t xml:space="preserve">in </w:t>
      </w:r>
      <w:r w:rsidR="00C60C41">
        <w:t xml:space="preserve">the course of the joint enterprise </w:t>
      </w:r>
      <w:r w:rsidR="00E96561">
        <w:t>but intended, that is, desired</w:t>
      </w:r>
      <w:r w:rsidR="00C867F3">
        <w:t xml:space="preserve"> or believed as a virtual certainty</w:t>
      </w:r>
      <w:r w:rsidR="00E96561">
        <w:t xml:space="preserve">, that it should </w:t>
      </w:r>
      <w:r w:rsidR="00C43F77">
        <w:t xml:space="preserve">contingently </w:t>
      </w:r>
      <w:r w:rsidR="00E96561">
        <w:t xml:space="preserve">occur.  </w:t>
      </w:r>
      <w:r w:rsidR="007C438D">
        <w:t>This would impose an un</w:t>
      </w:r>
      <w:r w:rsidR="00723F52">
        <w:t>justifiably</w:t>
      </w:r>
      <w:r w:rsidR="00C43F77">
        <w:t xml:space="preserve"> high</w:t>
      </w:r>
      <w:r w:rsidR="007C438D">
        <w:t xml:space="preserve"> burden on the prosecution and inappropriately exculpate participants who</w:t>
      </w:r>
      <w:r w:rsidR="002A08B0">
        <w:t xml:space="preserve"> commit themselves to a joint criminal enterprise </w:t>
      </w:r>
      <w:r w:rsidR="002A08B0">
        <w:lastRenderedPageBreak/>
        <w:t xml:space="preserve">fully </w:t>
      </w:r>
      <w:r w:rsidR="007C438D">
        <w:t xml:space="preserve">foreseeing </w:t>
      </w:r>
      <w:r w:rsidR="002A08B0">
        <w:t>– but not desiring</w:t>
      </w:r>
      <w:r w:rsidR="00C867F3">
        <w:t xml:space="preserve"> or viewing as virtually certain </w:t>
      </w:r>
      <w:r w:rsidR="002A08B0">
        <w:t xml:space="preserve">– </w:t>
      </w:r>
      <w:r w:rsidR="007C438D">
        <w:t>the commission of the further offence as an incident of the joint criminal</w:t>
      </w:r>
      <w:r w:rsidR="002A08B0">
        <w:t xml:space="preserve"> venture.</w:t>
      </w:r>
      <w:r w:rsidR="007C438D">
        <w:t xml:space="preserve"> </w:t>
      </w:r>
      <w:r w:rsidR="002A08B0">
        <w:t xml:space="preserve"> </w:t>
      </w:r>
      <w:r w:rsidR="003528CD">
        <w:t xml:space="preserve">Such situations are </w:t>
      </w:r>
      <w:r w:rsidR="00C43F77">
        <w:t>not at all un</w:t>
      </w:r>
      <w:r w:rsidR="003528CD">
        <w:t>common and prompted Sir Robin Cooke to adopt his “wider principle” assigning liability to a secondary party “</w:t>
      </w:r>
      <w:r w:rsidR="003528CD" w:rsidRPr="000010FE">
        <w:t>for acts by the primary offender of a type which the former foresees but does not necessarily intend</w:t>
      </w:r>
      <w:r w:rsidR="003528CD">
        <w:t>.”</w:t>
      </w:r>
      <w:r w:rsidR="00C867F3">
        <w:t xml:space="preserve">  And, as we have seen</w:t>
      </w:r>
      <w:r w:rsidR="007262EE">
        <w:t>,</w:t>
      </w:r>
      <w:r w:rsidR="00C867F3">
        <w:t xml:space="preserve"> Lord </w:t>
      </w:r>
      <w:proofErr w:type="spellStart"/>
      <w:r w:rsidR="00C867F3">
        <w:t>Steyn</w:t>
      </w:r>
      <w:proofErr w:type="spellEnd"/>
      <w:r w:rsidR="00C867F3">
        <w:t xml:space="preserve"> in </w:t>
      </w:r>
      <w:r w:rsidR="00C867F3" w:rsidRPr="005C3956">
        <w:rPr>
          <w:i/>
        </w:rPr>
        <w:t>R v Powell (Anthony)</w:t>
      </w:r>
      <w:r w:rsidR="00C867F3">
        <w:rPr>
          <w:rStyle w:val="FootnoteReference"/>
        </w:rPr>
        <w:footnoteReference w:id="93"/>
      </w:r>
      <w:r w:rsidR="00C867F3">
        <w:t xml:space="preserve"> thought it well nigh impossible for the prosecution to discharge such a burden.</w:t>
      </w:r>
    </w:p>
    <w:p w:rsidR="00C43F77" w:rsidRPr="005C3956" w:rsidRDefault="009E6408" w:rsidP="005C3956">
      <w:pPr>
        <w:pStyle w:val="Bob1"/>
        <w:tabs>
          <w:tab w:val="clear" w:pos="720"/>
          <w:tab w:val="left" w:pos="1440"/>
        </w:tabs>
        <w:ind w:left="0" w:firstLine="0"/>
        <w:jc w:val="both"/>
      </w:pPr>
      <w:r w:rsidRPr="005C3956">
        <w:rPr>
          <w:szCs w:val="28"/>
        </w:rPr>
        <w:t xml:space="preserve">Two </w:t>
      </w:r>
      <w:r w:rsidR="00FE35BB" w:rsidRPr="005C3956">
        <w:rPr>
          <w:szCs w:val="28"/>
        </w:rPr>
        <w:t>post-</w:t>
      </w:r>
      <w:proofErr w:type="spellStart"/>
      <w:r w:rsidR="00FE35BB" w:rsidRPr="005C3956">
        <w:rPr>
          <w:i/>
          <w:szCs w:val="28"/>
        </w:rPr>
        <w:t>Jogee</w:t>
      </w:r>
      <w:proofErr w:type="spellEnd"/>
      <w:r w:rsidRPr="005C3956">
        <w:rPr>
          <w:szCs w:val="28"/>
        </w:rPr>
        <w:t xml:space="preserve"> </w:t>
      </w:r>
      <w:r w:rsidR="00FE35BB" w:rsidRPr="005C3956">
        <w:rPr>
          <w:szCs w:val="28"/>
        </w:rPr>
        <w:t xml:space="preserve">decisions in the English </w:t>
      </w:r>
      <w:r w:rsidRPr="005C3956">
        <w:rPr>
          <w:szCs w:val="28"/>
        </w:rPr>
        <w:t xml:space="preserve">Court of Appeal </w:t>
      </w:r>
      <w:r w:rsidR="00C43F77" w:rsidRPr="005C3956">
        <w:rPr>
          <w:szCs w:val="28"/>
        </w:rPr>
        <w:t>indicate</w:t>
      </w:r>
      <w:r w:rsidRPr="005C3956">
        <w:rPr>
          <w:szCs w:val="28"/>
        </w:rPr>
        <w:t xml:space="preserve"> that </w:t>
      </w:r>
      <w:r w:rsidR="00C43F77" w:rsidRPr="005C3956">
        <w:rPr>
          <w:szCs w:val="28"/>
        </w:rPr>
        <w:t xml:space="preserve">some of the </w:t>
      </w:r>
      <w:r w:rsidR="00C867F3" w:rsidRPr="005C3956">
        <w:rPr>
          <w:szCs w:val="28"/>
        </w:rPr>
        <w:t xml:space="preserve">abovementioned difficulties regarding the </w:t>
      </w:r>
      <w:r w:rsidR="00C43F77" w:rsidRPr="005C3956">
        <w:rPr>
          <w:szCs w:val="28"/>
        </w:rPr>
        <w:t>conditional intent concept have been encountered</w:t>
      </w:r>
      <w:r w:rsidR="00C867F3" w:rsidRPr="005C3956">
        <w:rPr>
          <w:szCs w:val="28"/>
        </w:rPr>
        <w:t xml:space="preserve"> in practice</w:t>
      </w:r>
      <w:r w:rsidR="00C43F77" w:rsidRPr="005C3956">
        <w:rPr>
          <w:szCs w:val="28"/>
        </w:rPr>
        <w:t>.</w:t>
      </w:r>
    </w:p>
    <w:p w:rsidR="00DB3753" w:rsidRDefault="00DB3753" w:rsidP="005C3956">
      <w:pPr>
        <w:pStyle w:val="Bob1"/>
        <w:tabs>
          <w:tab w:val="clear" w:pos="720"/>
          <w:tab w:val="left" w:pos="1440"/>
        </w:tabs>
        <w:ind w:left="0" w:firstLine="0"/>
        <w:jc w:val="both"/>
      </w:pPr>
      <w:r w:rsidRPr="005C3956">
        <w:rPr>
          <w:szCs w:val="28"/>
        </w:rPr>
        <w:t xml:space="preserve">In </w:t>
      </w:r>
      <w:r w:rsidRPr="005C3956">
        <w:rPr>
          <w:i/>
          <w:szCs w:val="28"/>
        </w:rPr>
        <w:t>R v Anwar</w:t>
      </w:r>
      <w:r w:rsidRPr="005C3956">
        <w:rPr>
          <w:szCs w:val="28"/>
        </w:rPr>
        <w:t>,</w:t>
      </w:r>
      <w:r>
        <w:rPr>
          <w:rStyle w:val="FootnoteReference"/>
          <w:szCs w:val="28"/>
        </w:rPr>
        <w:footnoteReference w:id="94"/>
      </w:r>
      <w:r w:rsidRPr="005C3956">
        <w:rPr>
          <w:szCs w:val="28"/>
        </w:rPr>
        <w:t xml:space="preserve"> the prosecution’s case was that all six defendants </w:t>
      </w:r>
      <w:r w:rsidRPr="00B65A1F">
        <w:t xml:space="preserve">were party to a conspiracy to rob </w:t>
      </w:r>
      <w:r>
        <w:t xml:space="preserve">the victim (Mr </w:t>
      </w:r>
      <w:proofErr w:type="spellStart"/>
      <w:r>
        <w:t>Samma</w:t>
      </w:r>
      <w:proofErr w:type="spellEnd"/>
      <w:r>
        <w:t>) “</w:t>
      </w:r>
      <w:r w:rsidRPr="00B65A1F">
        <w:t>and that the agreement, in which all participated, was accompanied by a decision that a loaded firearm would be carried to the scene of the planned robbery, the shared intention being that the gun would be used specifically to kill</w:t>
      </w:r>
      <w:r>
        <w:t xml:space="preserve"> Mr </w:t>
      </w:r>
      <w:proofErr w:type="spellStart"/>
      <w:r>
        <w:t>Samma</w:t>
      </w:r>
      <w:proofErr w:type="spellEnd"/>
      <w:r>
        <w:t xml:space="preserve"> ‘</w:t>
      </w:r>
      <w:r w:rsidRPr="00B65A1F">
        <w:t xml:space="preserve">if the need arose, </w:t>
      </w:r>
      <w:proofErr w:type="spellStart"/>
      <w:r w:rsidRPr="00B65A1F">
        <w:t>eg</w:t>
      </w:r>
      <w:proofErr w:type="spellEnd"/>
      <w:r w:rsidRPr="00B65A1F">
        <w:t xml:space="preserve"> if the victim put up any resistance</w:t>
      </w:r>
      <w:r>
        <w:t xml:space="preserve">’”.  </w:t>
      </w:r>
    </w:p>
    <w:p w:rsidR="00DB3753" w:rsidRPr="005C3956" w:rsidRDefault="00DB3753" w:rsidP="005C3956">
      <w:pPr>
        <w:pStyle w:val="Bob1"/>
        <w:tabs>
          <w:tab w:val="clear" w:pos="720"/>
          <w:tab w:val="left" w:pos="1440"/>
        </w:tabs>
        <w:ind w:left="0" w:firstLine="0"/>
        <w:jc w:val="both"/>
      </w:pPr>
      <w:r>
        <w:t xml:space="preserve">The </w:t>
      </w:r>
      <w:r w:rsidRPr="005C3956">
        <w:rPr>
          <w:szCs w:val="28"/>
        </w:rPr>
        <w:t xml:space="preserve">trial judge, who was guided by paragraph 94 of </w:t>
      </w:r>
      <w:proofErr w:type="spellStart"/>
      <w:r w:rsidRPr="005C3956">
        <w:rPr>
          <w:i/>
          <w:szCs w:val="28"/>
        </w:rPr>
        <w:t>Jogee</w:t>
      </w:r>
      <w:proofErr w:type="spellEnd"/>
      <w:r w:rsidRPr="005C3956">
        <w:rPr>
          <w:szCs w:val="28"/>
        </w:rPr>
        <w:t>, evidently read</w:t>
      </w:r>
      <w:r w:rsidR="000F6766" w:rsidRPr="005C3956">
        <w:rPr>
          <w:szCs w:val="28"/>
        </w:rPr>
        <w:t>ing</w:t>
      </w:r>
      <w:r w:rsidRPr="005C3956">
        <w:rPr>
          <w:szCs w:val="28"/>
        </w:rPr>
        <w:t xml:space="preserve"> it</w:t>
      </w:r>
      <w:r w:rsidRPr="005C3956">
        <w:rPr>
          <w:i/>
          <w:szCs w:val="28"/>
        </w:rPr>
        <w:t xml:space="preserve"> </w:t>
      </w:r>
      <w:r w:rsidRPr="005C3956">
        <w:rPr>
          <w:szCs w:val="28"/>
        </w:rPr>
        <w:t xml:space="preserve">as laying down </w:t>
      </w:r>
      <w:r w:rsidR="008071B2" w:rsidRPr="005C3956">
        <w:rPr>
          <w:szCs w:val="28"/>
        </w:rPr>
        <w:t xml:space="preserve">a </w:t>
      </w:r>
      <w:r w:rsidRPr="005C3956">
        <w:rPr>
          <w:szCs w:val="28"/>
        </w:rPr>
        <w:t>highly demanding</w:t>
      </w:r>
      <w:r w:rsidRPr="005C3956">
        <w:rPr>
          <w:i/>
          <w:szCs w:val="28"/>
        </w:rPr>
        <w:t xml:space="preserve"> </w:t>
      </w:r>
      <w:r w:rsidRPr="005C3956">
        <w:rPr>
          <w:szCs w:val="28"/>
        </w:rPr>
        <w:t>requirement</w:t>
      </w:r>
      <w:r w:rsidR="008071B2" w:rsidRPr="005C3956">
        <w:rPr>
          <w:szCs w:val="28"/>
        </w:rPr>
        <w:t xml:space="preserve"> as to intention</w:t>
      </w:r>
      <w:r w:rsidRPr="005C3956">
        <w:rPr>
          <w:szCs w:val="28"/>
        </w:rPr>
        <w:t>, accepted the defence submission that:</w:t>
      </w:r>
    </w:p>
    <w:p w:rsidR="00DB3753" w:rsidRPr="00DB3753" w:rsidRDefault="00DB3753" w:rsidP="005C3956">
      <w:pPr>
        <w:pStyle w:val="Bob1"/>
        <w:numPr>
          <w:ilvl w:val="0"/>
          <w:numId w:val="0"/>
        </w:numPr>
        <w:spacing w:line="240" w:lineRule="auto"/>
        <w:ind w:left="720"/>
        <w:jc w:val="both"/>
        <w:rPr>
          <w:sz w:val="24"/>
          <w:szCs w:val="28"/>
        </w:rPr>
      </w:pPr>
      <w:r w:rsidRPr="00DB3753">
        <w:rPr>
          <w:sz w:val="24"/>
          <w:szCs w:val="28"/>
        </w:rPr>
        <w:t xml:space="preserve">“... </w:t>
      </w:r>
      <w:r w:rsidRPr="00DB3753">
        <w:rPr>
          <w:sz w:val="24"/>
        </w:rPr>
        <w:t xml:space="preserve">in order to achieve a conviction, the prosecution would have to produce sufficient evidence to make the jury sure that, at the time the conspiracy to commit robbery was hatched, a defendant knew that – as part of the plan – a firearm loaded with live rounds, was to be carried to the scene of the intended robbery and, further, that the defendant (again, at the time he joined in the agreement to rob) intended that the firearm should be used to kill [Mr </w:t>
      </w:r>
      <w:proofErr w:type="spellStart"/>
      <w:r w:rsidRPr="00DB3753">
        <w:rPr>
          <w:sz w:val="24"/>
        </w:rPr>
        <w:t>Samma</w:t>
      </w:r>
      <w:proofErr w:type="spellEnd"/>
      <w:r w:rsidRPr="00DB3753">
        <w:rPr>
          <w:sz w:val="24"/>
        </w:rPr>
        <w:t>] if he resisted the robbers.”</w:t>
      </w:r>
      <w:r>
        <w:rPr>
          <w:rStyle w:val="FootnoteReference"/>
          <w:sz w:val="24"/>
        </w:rPr>
        <w:footnoteReference w:id="95"/>
      </w:r>
    </w:p>
    <w:p w:rsidR="00DB3753" w:rsidRPr="00DB3753" w:rsidRDefault="00DB3753" w:rsidP="005C3956">
      <w:pPr>
        <w:pStyle w:val="Bob1"/>
        <w:tabs>
          <w:tab w:val="clear" w:pos="720"/>
          <w:tab w:val="left" w:pos="1440"/>
        </w:tabs>
        <w:ind w:left="0" w:firstLine="0"/>
        <w:jc w:val="both"/>
        <w:rPr>
          <w:szCs w:val="28"/>
        </w:rPr>
      </w:pPr>
      <w:r>
        <w:rPr>
          <w:szCs w:val="28"/>
        </w:rPr>
        <w:lastRenderedPageBreak/>
        <w:t xml:space="preserve">His Honour accepted that </w:t>
      </w:r>
      <w:proofErr w:type="spellStart"/>
      <w:r>
        <w:rPr>
          <w:i/>
          <w:szCs w:val="28"/>
        </w:rPr>
        <w:t>Jogee</w:t>
      </w:r>
      <w:proofErr w:type="spellEnd"/>
      <w:r>
        <w:rPr>
          <w:i/>
          <w:szCs w:val="28"/>
        </w:rPr>
        <w:t xml:space="preserve"> </w:t>
      </w:r>
      <w:r>
        <w:rPr>
          <w:szCs w:val="28"/>
        </w:rPr>
        <w:t>required “</w:t>
      </w:r>
      <w:r w:rsidRPr="00B65A1F">
        <w:t>that a distinction had to be drawn between conditional intent and foresight of the consequences</w:t>
      </w:r>
      <w:r>
        <w:t>” and consequently held that:</w:t>
      </w:r>
    </w:p>
    <w:p w:rsidR="00DB3753" w:rsidRPr="00DB3753" w:rsidRDefault="00DB3753" w:rsidP="005C3956">
      <w:pPr>
        <w:pStyle w:val="Bob1"/>
        <w:numPr>
          <w:ilvl w:val="0"/>
          <w:numId w:val="0"/>
        </w:numPr>
        <w:spacing w:line="240" w:lineRule="auto"/>
        <w:ind w:left="720"/>
        <w:jc w:val="both"/>
        <w:rPr>
          <w:sz w:val="24"/>
        </w:rPr>
      </w:pPr>
      <w:r w:rsidRPr="00DB3753">
        <w:rPr>
          <w:sz w:val="24"/>
        </w:rPr>
        <w:t xml:space="preserve">“... the Crown’s case required not only proof of awareness that an accomplice carried a loaded firearm and that this might be used to kill during the robbery but also that the gunman shot Mr </w:t>
      </w:r>
      <w:proofErr w:type="spellStart"/>
      <w:r w:rsidRPr="00DB3753">
        <w:rPr>
          <w:sz w:val="24"/>
        </w:rPr>
        <w:t>Samma</w:t>
      </w:r>
      <w:proofErr w:type="spellEnd"/>
      <w:r w:rsidRPr="00DB3753">
        <w:rPr>
          <w:sz w:val="24"/>
        </w:rPr>
        <w:t xml:space="preserve"> with the requisite intention for attempted murder and the particular accomplice then being considered intentionally assisted or encouraged the gunman, intending him to use the gun to kill the victim if the need arose.”</w:t>
      </w:r>
      <w:r>
        <w:rPr>
          <w:rStyle w:val="FootnoteReference"/>
          <w:sz w:val="24"/>
        </w:rPr>
        <w:footnoteReference w:id="96"/>
      </w:r>
    </w:p>
    <w:p w:rsidR="00DB3753" w:rsidRDefault="008071B2" w:rsidP="005C3956">
      <w:pPr>
        <w:pStyle w:val="Bob1"/>
        <w:tabs>
          <w:tab w:val="clear" w:pos="720"/>
          <w:tab w:val="left" w:pos="1440"/>
        </w:tabs>
        <w:ind w:left="0" w:firstLine="0"/>
        <w:jc w:val="both"/>
      </w:pPr>
      <w:r>
        <w:t>On that basis, t</w:t>
      </w:r>
      <w:r w:rsidR="00662808">
        <w:t>he trial judge ruled that there was no case to answer because crucially, there was no evidence to establish a prima facie case of “</w:t>
      </w:r>
      <w:r w:rsidR="00662808" w:rsidRPr="00B65A1F">
        <w:t>any particular defendant being aware, by the time of travelling to the scene that the shotgun was loaded, or that he was intending that it should be used if necessary specifically to kill.</w:t>
      </w:r>
      <w:r w:rsidR="00662808">
        <w:t>”</w:t>
      </w:r>
      <w:r w:rsidR="00662808">
        <w:rPr>
          <w:rStyle w:val="FootnoteReference"/>
        </w:rPr>
        <w:footnoteReference w:id="97"/>
      </w:r>
      <w:r w:rsidR="00662808">
        <w:t xml:space="preserve">  The trial was stayed while the prosecution </w:t>
      </w:r>
      <w:r w:rsidR="000F6766">
        <w:t>appealed</w:t>
      </w:r>
      <w:r w:rsidR="00662808">
        <w:t xml:space="preserve"> the </w:t>
      </w:r>
      <w:r w:rsidR="000F6766">
        <w:t xml:space="preserve">ruling of </w:t>
      </w:r>
      <w:r w:rsidR="00662808">
        <w:t xml:space="preserve">no case </w:t>
      </w:r>
      <w:r w:rsidR="000F6766">
        <w:t>to answer</w:t>
      </w:r>
      <w:r w:rsidR="00662808">
        <w:t>.</w:t>
      </w:r>
    </w:p>
    <w:p w:rsidR="00662808" w:rsidRDefault="00662808" w:rsidP="005C3956">
      <w:pPr>
        <w:pStyle w:val="Bob1"/>
        <w:tabs>
          <w:tab w:val="clear" w:pos="720"/>
          <w:tab w:val="left" w:pos="1440"/>
        </w:tabs>
        <w:ind w:left="0" w:firstLine="0"/>
        <w:jc w:val="both"/>
      </w:pPr>
      <w:r>
        <w:t xml:space="preserve">Sir Brian </w:t>
      </w:r>
      <w:proofErr w:type="spellStart"/>
      <w:r>
        <w:t>Leveson</w:t>
      </w:r>
      <w:proofErr w:type="spellEnd"/>
      <w:r>
        <w:t xml:space="preserve">, giving the judgment of the Court of Appeal, appears to have understood </w:t>
      </w:r>
      <w:proofErr w:type="spellStart"/>
      <w:r w:rsidR="00832F49" w:rsidRPr="005C3956">
        <w:rPr>
          <w:i/>
        </w:rPr>
        <w:t>Jogee</w:t>
      </w:r>
      <w:proofErr w:type="spellEnd"/>
      <w:r w:rsidR="00832F49" w:rsidRPr="005C3956">
        <w:rPr>
          <w:i/>
        </w:rPr>
        <w:t xml:space="preserve"> </w:t>
      </w:r>
      <w:r w:rsidR="00832F49">
        <w:t xml:space="preserve">to have laid down </w:t>
      </w:r>
      <w:r>
        <w:t xml:space="preserve">the law </w:t>
      </w:r>
      <w:r w:rsidR="00832F49">
        <w:t xml:space="preserve">in a manner </w:t>
      </w:r>
      <w:r>
        <w:t xml:space="preserve">differing little in this context from pre-existing law: </w:t>
      </w:r>
    </w:p>
    <w:p w:rsidR="00662808" w:rsidRPr="00662808" w:rsidRDefault="00662808" w:rsidP="005C3956">
      <w:pPr>
        <w:pStyle w:val="Bob1"/>
        <w:numPr>
          <w:ilvl w:val="0"/>
          <w:numId w:val="0"/>
        </w:numPr>
        <w:tabs>
          <w:tab w:val="left" w:pos="720"/>
        </w:tabs>
        <w:spacing w:line="240" w:lineRule="auto"/>
        <w:ind w:left="720"/>
        <w:jc w:val="both"/>
        <w:rPr>
          <w:sz w:val="24"/>
        </w:rPr>
      </w:pPr>
      <w:r w:rsidRPr="00662808">
        <w:rPr>
          <w:sz w:val="24"/>
        </w:rPr>
        <w:t xml:space="preserve">“... </w:t>
      </w:r>
      <w:proofErr w:type="gramStart"/>
      <w:r w:rsidRPr="00662808">
        <w:rPr>
          <w:sz w:val="24"/>
        </w:rPr>
        <w:t>we</w:t>
      </w:r>
      <w:proofErr w:type="gramEnd"/>
      <w:r w:rsidRPr="00662808">
        <w:rPr>
          <w:sz w:val="24"/>
        </w:rPr>
        <w:t xml:space="preserve"> find it difficult to foresee circumstances in which there might have been a case to answer under the law before </w:t>
      </w:r>
      <w:proofErr w:type="spellStart"/>
      <w:r w:rsidRPr="00662808">
        <w:rPr>
          <w:i/>
          <w:sz w:val="24"/>
        </w:rPr>
        <w:t>Jogee</w:t>
      </w:r>
      <w:proofErr w:type="spellEnd"/>
      <w:r w:rsidRPr="00662808">
        <w:rPr>
          <w:i/>
          <w:sz w:val="24"/>
        </w:rPr>
        <w:t xml:space="preserve"> </w:t>
      </w:r>
      <w:r w:rsidRPr="00662808">
        <w:rPr>
          <w:sz w:val="24"/>
        </w:rPr>
        <w:t>but, because of the way in which the law is now articulated, there no longer is.”</w:t>
      </w:r>
      <w:r>
        <w:rPr>
          <w:rStyle w:val="FootnoteReference"/>
          <w:sz w:val="24"/>
        </w:rPr>
        <w:footnoteReference w:id="98"/>
      </w:r>
    </w:p>
    <w:p w:rsidR="00DB3753" w:rsidRDefault="00662808" w:rsidP="005C3956">
      <w:pPr>
        <w:pStyle w:val="Bob1"/>
        <w:tabs>
          <w:tab w:val="clear" w:pos="720"/>
          <w:tab w:val="left" w:pos="1440"/>
        </w:tabs>
        <w:ind w:left="0" w:firstLine="0"/>
        <w:jc w:val="both"/>
        <w:rPr>
          <w:szCs w:val="28"/>
        </w:rPr>
      </w:pPr>
      <w:r>
        <w:rPr>
          <w:szCs w:val="28"/>
        </w:rPr>
        <w:t xml:space="preserve">Citing paragraph 94 of </w:t>
      </w:r>
      <w:proofErr w:type="spellStart"/>
      <w:r>
        <w:rPr>
          <w:i/>
          <w:szCs w:val="28"/>
        </w:rPr>
        <w:t>Jogee</w:t>
      </w:r>
      <w:proofErr w:type="spellEnd"/>
      <w:r>
        <w:rPr>
          <w:i/>
          <w:szCs w:val="28"/>
        </w:rPr>
        <w:t xml:space="preserve"> </w:t>
      </w:r>
      <w:r>
        <w:rPr>
          <w:szCs w:val="28"/>
        </w:rPr>
        <w:t xml:space="preserve">and </w:t>
      </w:r>
      <w:r w:rsidR="00A25307">
        <w:rPr>
          <w:szCs w:val="28"/>
        </w:rPr>
        <w:t>resort</w:t>
      </w:r>
      <w:r w:rsidR="003B6124">
        <w:rPr>
          <w:szCs w:val="28"/>
        </w:rPr>
        <w:t>ing</w:t>
      </w:r>
      <w:r w:rsidR="00C867F3">
        <w:rPr>
          <w:szCs w:val="28"/>
        </w:rPr>
        <w:t xml:space="preserve"> </w:t>
      </w:r>
      <w:r w:rsidR="00A25307">
        <w:rPr>
          <w:szCs w:val="28"/>
        </w:rPr>
        <w:t xml:space="preserve">expressly to the doctrine of </w:t>
      </w:r>
      <w:r>
        <w:rPr>
          <w:szCs w:val="28"/>
        </w:rPr>
        <w:t>joint criminal enterprise</w:t>
      </w:r>
      <w:r w:rsidR="00A25307">
        <w:rPr>
          <w:rStyle w:val="FootnoteReference"/>
          <w:szCs w:val="28"/>
        </w:rPr>
        <w:footnoteReference w:id="99"/>
      </w:r>
      <w:r>
        <w:rPr>
          <w:szCs w:val="28"/>
        </w:rPr>
        <w:t xml:space="preserve"> </w:t>
      </w:r>
      <w:r w:rsidR="003B6124">
        <w:rPr>
          <w:szCs w:val="28"/>
        </w:rPr>
        <w:t xml:space="preserve">his Lordship </w:t>
      </w:r>
      <w:r w:rsidR="00A25307">
        <w:rPr>
          <w:szCs w:val="28"/>
        </w:rPr>
        <w:t>revers</w:t>
      </w:r>
      <w:r w:rsidR="003B6124">
        <w:rPr>
          <w:szCs w:val="28"/>
        </w:rPr>
        <w:t>ed</w:t>
      </w:r>
      <w:r w:rsidR="00A25307">
        <w:rPr>
          <w:szCs w:val="28"/>
        </w:rPr>
        <w:t xml:space="preserve"> the trial judge’s ruling of no case to answer.  </w:t>
      </w:r>
      <w:r w:rsidR="00C867F3">
        <w:rPr>
          <w:szCs w:val="28"/>
        </w:rPr>
        <w:t>His reasoning</w:t>
      </w:r>
      <w:r w:rsidR="003B6124">
        <w:rPr>
          <w:szCs w:val="28"/>
        </w:rPr>
        <w:t xml:space="preserve"> is illustrated by what he said in respect of </w:t>
      </w:r>
      <w:r w:rsidR="00A25307">
        <w:rPr>
          <w:szCs w:val="28"/>
        </w:rPr>
        <w:t>one group of the defendants</w:t>
      </w:r>
      <w:r w:rsidR="003B6124">
        <w:rPr>
          <w:szCs w:val="28"/>
        </w:rPr>
        <w:t xml:space="preserve"> </w:t>
      </w:r>
      <w:r w:rsidR="008071B2">
        <w:rPr>
          <w:szCs w:val="28"/>
        </w:rPr>
        <w:t xml:space="preserve">who were </w:t>
      </w:r>
      <w:r w:rsidR="003B6124">
        <w:rPr>
          <w:szCs w:val="28"/>
        </w:rPr>
        <w:t>in an Astra motor car</w:t>
      </w:r>
      <w:r w:rsidR="00A25307">
        <w:rPr>
          <w:szCs w:val="28"/>
        </w:rPr>
        <w:t>:</w:t>
      </w:r>
    </w:p>
    <w:p w:rsidR="00A25307" w:rsidRPr="003B6124" w:rsidRDefault="00A25307" w:rsidP="005C3956">
      <w:pPr>
        <w:pStyle w:val="ParaLevel1"/>
        <w:numPr>
          <w:ilvl w:val="0"/>
          <w:numId w:val="0"/>
        </w:numPr>
        <w:suppressAutoHyphens w:val="0"/>
        <w:kinsoku w:val="0"/>
        <w:autoSpaceDE w:val="0"/>
        <w:autoSpaceDN w:val="0"/>
        <w:snapToGrid w:val="0"/>
        <w:spacing w:before="0"/>
        <w:ind w:left="720"/>
        <w:outlineLvl w:val="9"/>
        <w:rPr>
          <w:szCs w:val="24"/>
        </w:rPr>
      </w:pPr>
      <w:r w:rsidRPr="003B6124">
        <w:rPr>
          <w:szCs w:val="28"/>
        </w:rPr>
        <w:t>“</w:t>
      </w:r>
      <w:r w:rsidRPr="003B6124">
        <w:rPr>
          <w:szCs w:val="24"/>
        </w:rPr>
        <w:t xml:space="preserve">If the jury were to draw the inference that the planning for the robbery included agreement as to the means to threaten the victim and the willingness to use the </w:t>
      </w:r>
      <w:r w:rsidRPr="003B6124">
        <w:rPr>
          <w:szCs w:val="24"/>
        </w:rPr>
        <w:lastRenderedPageBreak/>
        <w:t xml:space="preserve">weapon if occasion for its use occurred, then the acts of the man in possession of the firearm </w:t>
      </w:r>
      <w:r w:rsidRPr="008071B2">
        <w:rPr>
          <w:szCs w:val="24"/>
        </w:rPr>
        <w:t>were acts in pursuance of the joint enterprise that there is prima facie evidence each defendant was party to</w:t>
      </w:r>
      <w:r w:rsidRPr="003B6124">
        <w:rPr>
          <w:szCs w:val="24"/>
        </w:rPr>
        <w:t>.  In that context, as Judge Pontius observed (and has not been disputed before us), there was undeniably a case to answer in respect of the men in the Astra, one of whom had the gun.”</w:t>
      </w:r>
      <w:r w:rsidR="003B6124">
        <w:rPr>
          <w:rStyle w:val="FootnoteReference"/>
          <w:szCs w:val="24"/>
        </w:rPr>
        <w:footnoteReference w:id="100"/>
      </w:r>
    </w:p>
    <w:p w:rsidR="00A25307" w:rsidRDefault="002651EA" w:rsidP="005C3956">
      <w:pPr>
        <w:pStyle w:val="Bob1"/>
        <w:tabs>
          <w:tab w:val="clear" w:pos="720"/>
          <w:tab w:val="left" w:pos="1440"/>
        </w:tabs>
        <w:ind w:left="0" w:firstLine="0"/>
        <w:jc w:val="both"/>
      </w:pPr>
      <w:r>
        <w:t xml:space="preserve">In </w:t>
      </w:r>
      <w:r w:rsidRPr="002651EA">
        <w:rPr>
          <w:i/>
        </w:rPr>
        <w:t>R v Johnson and Others</w:t>
      </w:r>
      <w:r>
        <w:t>,</w:t>
      </w:r>
      <w:r>
        <w:rPr>
          <w:rStyle w:val="FootnoteReference"/>
        </w:rPr>
        <w:footnoteReference w:id="101"/>
      </w:r>
      <w:r>
        <w:t xml:space="preserve"> it fell to the </w:t>
      </w:r>
      <w:r w:rsidR="008D21A1">
        <w:t xml:space="preserve">English </w:t>
      </w:r>
      <w:r>
        <w:t xml:space="preserve">Court of Appeal to review a series of convictions mainly for murder in respect of which leave to appeal out of time was sought in the light of </w:t>
      </w:r>
      <w:proofErr w:type="spellStart"/>
      <w:r>
        <w:rPr>
          <w:i/>
        </w:rPr>
        <w:t>Jogee</w:t>
      </w:r>
      <w:proofErr w:type="spellEnd"/>
      <w:r>
        <w:t xml:space="preserve">.  </w:t>
      </w:r>
      <w:r w:rsidR="008D21A1">
        <w:t xml:space="preserve">Again, so far as the mental element was concerned, </w:t>
      </w:r>
      <w:r w:rsidR="008071B2">
        <w:t xml:space="preserve">little </w:t>
      </w:r>
      <w:r w:rsidR="006955E9">
        <w:t xml:space="preserve">practical </w:t>
      </w:r>
      <w:r w:rsidR="008071B2">
        <w:t xml:space="preserve">difference appears to have been made </w:t>
      </w:r>
      <w:r w:rsidR="008D21A1">
        <w:t xml:space="preserve">between conditional intent in </w:t>
      </w:r>
      <w:proofErr w:type="spellStart"/>
      <w:r w:rsidR="008D21A1">
        <w:rPr>
          <w:i/>
        </w:rPr>
        <w:t>Jogee</w:t>
      </w:r>
      <w:proofErr w:type="spellEnd"/>
      <w:r w:rsidR="008D21A1">
        <w:rPr>
          <w:i/>
        </w:rPr>
        <w:t xml:space="preserve"> </w:t>
      </w:r>
      <w:r w:rsidR="008D21A1">
        <w:t xml:space="preserve">and the foresight requirement under </w:t>
      </w:r>
      <w:r w:rsidR="008D21A1">
        <w:rPr>
          <w:i/>
        </w:rPr>
        <w:t xml:space="preserve">Chan Wing </w:t>
      </w:r>
      <w:proofErr w:type="spellStart"/>
      <w:r w:rsidR="008D21A1">
        <w:rPr>
          <w:i/>
        </w:rPr>
        <w:t>Siu</w:t>
      </w:r>
      <w:proofErr w:type="spellEnd"/>
      <w:r w:rsidR="008D21A1">
        <w:t xml:space="preserve">.  In their joint judgment, </w:t>
      </w:r>
      <w:r w:rsidR="008D21A1" w:rsidRPr="008D21A1">
        <w:t xml:space="preserve">Lord Thomas of </w:t>
      </w:r>
      <w:proofErr w:type="spellStart"/>
      <w:r w:rsidR="008D21A1" w:rsidRPr="008D21A1">
        <w:t>Cwmgiedd</w:t>
      </w:r>
      <w:proofErr w:type="spellEnd"/>
      <w:r w:rsidR="008D21A1" w:rsidRPr="008D21A1">
        <w:t xml:space="preserve">, CJ, Sir Brian </w:t>
      </w:r>
      <w:proofErr w:type="spellStart"/>
      <w:r w:rsidR="008D21A1" w:rsidRPr="008D21A1">
        <w:t>Leveson</w:t>
      </w:r>
      <w:proofErr w:type="spellEnd"/>
      <w:r w:rsidR="008D21A1" w:rsidRPr="008D21A1">
        <w:t xml:space="preserve"> PQBD and </w:t>
      </w:r>
      <w:proofErr w:type="spellStart"/>
      <w:r w:rsidR="008D21A1" w:rsidRPr="008D21A1">
        <w:t>Hallett</w:t>
      </w:r>
      <w:proofErr w:type="spellEnd"/>
      <w:r w:rsidR="008D21A1" w:rsidRPr="008D21A1">
        <w:t xml:space="preserve"> LJ, V-P</w:t>
      </w:r>
      <w:r w:rsidR="008D21A1">
        <w:t xml:space="preserve"> stated:</w:t>
      </w:r>
    </w:p>
    <w:p w:rsidR="008D21A1" w:rsidRPr="006955E9" w:rsidRDefault="008D21A1" w:rsidP="005C3956">
      <w:pPr>
        <w:pStyle w:val="Bob1"/>
        <w:numPr>
          <w:ilvl w:val="0"/>
          <w:numId w:val="0"/>
        </w:numPr>
        <w:spacing w:line="240" w:lineRule="auto"/>
        <w:ind w:left="720"/>
        <w:jc w:val="both"/>
        <w:rPr>
          <w:sz w:val="24"/>
        </w:rPr>
      </w:pPr>
      <w:r w:rsidRPr="006955E9">
        <w:rPr>
          <w:sz w:val="24"/>
        </w:rPr>
        <w:t>“</w:t>
      </w:r>
      <w:r w:rsidR="006955E9" w:rsidRPr="006955E9">
        <w:rPr>
          <w:sz w:val="24"/>
        </w:rPr>
        <w:t xml:space="preserve">... </w:t>
      </w:r>
      <w:r w:rsidR="006955E9" w:rsidRPr="006955E9">
        <w:rPr>
          <w:rFonts w:eastAsia="Times New Roman"/>
          <w:sz w:val="24"/>
        </w:rPr>
        <w:t xml:space="preserve">by focussing on intention (or conditional intention, that is to say, in circumstances in which D2 expressly or tacitly agreed to a plan to commit crime A which included a common purpose or common intent, if it came to it, to commit crime B), the knowledge of a weapon (being a critical ingredient of parasitic accessory liability under </w:t>
      </w:r>
      <w:r w:rsidR="006955E9" w:rsidRPr="006955E9">
        <w:rPr>
          <w:rFonts w:eastAsia="Times New Roman"/>
          <w:i/>
          <w:iCs/>
          <w:sz w:val="24"/>
        </w:rPr>
        <w:t>Chan Wing-</w:t>
      </w:r>
      <w:proofErr w:type="spellStart"/>
      <w:r w:rsidR="006955E9" w:rsidRPr="006955E9">
        <w:rPr>
          <w:rFonts w:eastAsia="Times New Roman"/>
          <w:i/>
          <w:iCs/>
          <w:sz w:val="24"/>
        </w:rPr>
        <w:t>Siu</w:t>
      </w:r>
      <w:proofErr w:type="spellEnd"/>
      <w:r w:rsidR="006955E9" w:rsidRPr="006955E9">
        <w:rPr>
          <w:rFonts w:eastAsia="Times New Roman"/>
          <w:i/>
          <w:iCs/>
          <w:sz w:val="24"/>
        </w:rPr>
        <w:t xml:space="preserve"> v The Queen </w:t>
      </w:r>
      <w:r w:rsidR="006955E9" w:rsidRPr="006955E9">
        <w:rPr>
          <w:rFonts w:eastAsia="Times New Roman"/>
          <w:sz w:val="24"/>
        </w:rPr>
        <w:t xml:space="preserve">and </w:t>
      </w:r>
      <w:r w:rsidR="006955E9" w:rsidRPr="006955E9">
        <w:rPr>
          <w:rFonts w:eastAsia="Times New Roman"/>
          <w:i/>
          <w:iCs/>
          <w:sz w:val="24"/>
        </w:rPr>
        <w:t>R v Powell, R v English</w:t>
      </w:r>
      <w:r w:rsidR="006955E9" w:rsidRPr="006955E9">
        <w:rPr>
          <w:rFonts w:eastAsia="Times New Roman"/>
          <w:sz w:val="24"/>
        </w:rPr>
        <w:t>) remains highly material in relation to the inference of intention.”</w:t>
      </w:r>
      <w:r w:rsidR="006955E9">
        <w:rPr>
          <w:rStyle w:val="FootnoteReference"/>
          <w:rFonts w:eastAsia="Times New Roman"/>
          <w:sz w:val="24"/>
        </w:rPr>
        <w:footnoteReference w:id="102"/>
      </w:r>
    </w:p>
    <w:p w:rsidR="006955E9" w:rsidRDefault="008071B2" w:rsidP="005C3956">
      <w:pPr>
        <w:pStyle w:val="Bob1"/>
        <w:tabs>
          <w:tab w:val="clear" w:pos="720"/>
          <w:tab w:val="left" w:pos="1440"/>
        </w:tabs>
        <w:ind w:left="0" w:firstLine="0"/>
        <w:jc w:val="both"/>
      </w:pPr>
      <w:r>
        <w:t>N</w:t>
      </w:r>
      <w:r w:rsidR="006955E9">
        <w:t xml:space="preserve">one of the cases </w:t>
      </w:r>
      <w:r>
        <w:t xml:space="preserve">under review </w:t>
      </w:r>
      <w:r w:rsidR="00723F52">
        <w:t>was</w:t>
      </w:r>
      <w:r w:rsidR="006955E9">
        <w:t xml:space="preserve"> re-opened by virtue of the decision in </w:t>
      </w:r>
      <w:proofErr w:type="spellStart"/>
      <w:r w:rsidR="006955E9">
        <w:rPr>
          <w:i/>
        </w:rPr>
        <w:t>Jogee</w:t>
      </w:r>
      <w:proofErr w:type="spellEnd"/>
      <w:r>
        <w:rPr>
          <w:i/>
        </w:rPr>
        <w:t xml:space="preserve"> </w:t>
      </w:r>
      <w:r>
        <w:t>and</w:t>
      </w:r>
      <w:r w:rsidR="006955E9">
        <w:t xml:space="preserve"> in two of those </w:t>
      </w:r>
      <w:proofErr w:type="gramStart"/>
      <w:r w:rsidR="006955E9">
        <w:t>cases,</w:t>
      </w:r>
      <w:proofErr w:type="gramEnd"/>
      <w:r w:rsidR="006955E9">
        <w:t xml:space="preserve"> the application</w:t>
      </w:r>
      <w:r w:rsidR="00AD2A6D">
        <w:t>s were</w:t>
      </w:r>
      <w:r w:rsidR="006955E9">
        <w:t xml:space="preserve"> refused applying </w:t>
      </w:r>
      <w:r w:rsidR="00AD2A6D">
        <w:t xml:space="preserve">joint criminal enterprise principles </w:t>
      </w:r>
      <w:r w:rsidR="006955E9">
        <w:t xml:space="preserve">difficult to distinguish from those applicable under </w:t>
      </w:r>
      <w:r w:rsidR="006955E9">
        <w:rPr>
          <w:i/>
        </w:rPr>
        <w:t xml:space="preserve">Chan Wing </w:t>
      </w:r>
      <w:proofErr w:type="spellStart"/>
      <w:r w:rsidR="006955E9">
        <w:rPr>
          <w:i/>
        </w:rPr>
        <w:t>Siu</w:t>
      </w:r>
      <w:proofErr w:type="spellEnd"/>
      <w:r w:rsidR="006955E9">
        <w:t xml:space="preserve">.  </w:t>
      </w:r>
    </w:p>
    <w:p w:rsidR="006955E9" w:rsidRDefault="006955E9" w:rsidP="005C3956">
      <w:pPr>
        <w:pStyle w:val="Bob1"/>
        <w:tabs>
          <w:tab w:val="clear" w:pos="720"/>
          <w:tab w:val="left" w:pos="1440"/>
        </w:tabs>
        <w:ind w:left="0" w:firstLine="0"/>
        <w:jc w:val="both"/>
      </w:pPr>
      <w:r>
        <w:t xml:space="preserve">Thus, in </w:t>
      </w:r>
      <w:r w:rsidRPr="005C3956">
        <w:rPr>
          <w:i/>
        </w:rPr>
        <w:t xml:space="preserve">R v Burton and </w:t>
      </w:r>
      <w:proofErr w:type="spellStart"/>
      <w:r w:rsidRPr="005C3956">
        <w:rPr>
          <w:i/>
        </w:rPr>
        <w:t>Terrelonge</w:t>
      </w:r>
      <w:proofErr w:type="spellEnd"/>
      <w:r>
        <w:t>,</w:t>
      </w:r>
      <w:r>
        <w:rPr>
          <w:rStyle w:val="FootnoteReference"/>
        </w:rPr>
        <w:footnoteReference w:id="103"/>
      </w:r>
      <w:r w:rsidRPr="006955E9">
        <w:t xml:space="preserve"> </w:t>
      </w:r>
      <w:r>
        <w:t>the Court of Appeal noted that</w:t>
      </w:r>
      <w:r w:rsidRPr="006955E9">
        <w:t xml:space="preserve"> “...the jury convicted both </w:t>
      </w:r>
      <w:proofErr w:type="spellStart"/>
      <w:r w:rsidRPr="006955E9">
        <w:t>Terrelonge</w:t>
      </w:r>
      <w:proofErr w:type="spellEnd"/>
      <w:r w:rsidRPr="006955E9">
        <w:t xml:space="preserve"> and Burton of being party to a common criminal purpose to attack the deceased, knowing one of their </w:t>
      </w:r>
      <w:proofErr w:type="gramStart"/>
      <w:r w:rsidRPr="006955E9">
        <w:t>number</w:t>
      </w:r>
      <w:proofErr w:type="gramEnd"/>
      <w:r w:rsidRPr="006955E9">
        <w:t xml:space="preserve"> </w:t>
      </w:r>
      <w:r w:rsidRPr="006955E9">
        <w:lastRenderedPageBreak/>
        <w:t>had a knife, and knowing that the knife might be used with the relevant intention.”</w:t>
      </w:r>
      <w:r>
        <w:rPr>
          <w:rStyle w:val="FootnoteReference"/>
        </w:rPr>
        <w:footnoteReference w:id="104"/>
      </w:r>
      <w:r w:rsidRPr="006955E9">
        <w:t xml:space="preserve"> </w:t>
      </w:r>
      <w:r>
        <w:t>It dismissed the application holding:</w:t>
      </w:r>
    </w:p>
    <w:p w:rsidR="00AD2A6D" w:rsidRDefault="006955E9" w:rsidP="005C3956">
      <w:pPr>
        <w:pStyle w:val="Bob1"/>
        <w:numPr>
          <w:ilvl w:val="0"/>
          <w:numId w:val="0"/>
        </w:numPr>
        <w:spacing w:line="240" w:lineRule="auto"/>
        <w:ind w:left="720"/>
        <w:jc w:val="both"/>
        <w:rPr>
          <w:sz w:val="24"/>
        </w:rPr>
      </w:pPr>
      <w:r w:rsidRPr="00C867F3">
        <w:rPr>
          <w:sz w:val="24"/>
        </w:rPr>
        <w:t xml:space="preserve">“The judge's directions may not have been in accordance with </w:t>
      </w:r>
      <w:proofErr w:type="spellStart"/>
      <w:r w:rsidRPr="00B843CF">
        <w:rPr>
          <w:i/>
          <w:sz w:val="24"/>
        </w:rPr>
        <w:t>Jogee</w:t>
      </w:r>
      <w:proofErr w:type="spellEnd"/>
      <w:r w:rsidRPr="00B843CF">
        <w:rPr>
          <w:i/>
          <w:sz w:val="24"/>
        </w:rPr>
        <w:t xml:space="preserve"> </w:t>
      </w:r>
      <w:r w:rsidRPr="00C867F3">
        <w:rPr>
          <w:sz w:val="24"/>
        </w:rPr>
        <w:t xml:space="preserve">but, on the jury's findings, this court can safely draw the conclusion that the applicants had the necessary conditional intent (at the very least) that the knife would be used with intent to kill or cause grievous bodily harm should the occasion arise. In other words, the use of the knife with intent to kill or cause grievous bodily harm was within the scope of the plan to which they gave their assent and intentional support (see paragraph 94 of </w:t>
      </w:r>
      <w:proofErr w:type="spellStart"/>
      <w:r w:rsidRPr="00B843CF">
        <w:rPr>
          <w:i/>
          <w:sz w:val="24"/>
        </w:rPr>
        <w:t>Jogee</w:t>
      </w:r>
      <w:proofErr w:type="spellEnd"/>
      <w:r w:rsidRPr="00C867F3">
        <w:rPr>
          <w:sz w:val="24"/>
        </w:rPr>
        <w:t>). Indeed, the prosecution case could be said to be stronger post-</w:t>
      </w:r>
      <w:proofErr w:type="spellStart"/>
      <w:r w:rsidRPr="00B843CF">
        <w:rPr>
          <w:i/>
          <w:sz w:val="24"/>
        </w:rPr>
        <w:t>Jogee</w:t>
      </w:r>
      <w:proofErr w:type="spellEnd"/>
      <w:r w:rsidRPr="00C867F3">
        <w:rPr>
          <w:sz w:val="24"/>
        </w:rPr>
        <w:t>: knowledge of the precise weapon is no longer required but, if proved, may lead to an inference of intention. Here, the verdicts make it clear that there was a joint enterprise to cause grievous bodily harm.”</w:t>
      </w:r>
      <w:r w:rsidR="00AD2A6D" w:rsidRPr="00C867F3">
        <w:rPr>
          <w:rStyle w:val="FootnoteReference"/>
          <w:sz w:val="24"/>
        </w:rPr>
        <w:footnoteReference w:id="105"/>
      </w:r>
      <w:r w:rsidR="00AD2A6D">
        <w:rPr>
          <w:sz w:val="24"/>
        </w:rPr>
        <w:t xml:space="preserve"> </w:t>
      </w:r>
    </w:p>
    <w:p w:rsidR="00AD2A6D" w:rsidRDefault="00AD2A6D" w:rsidP="005C3956">
      <w:pPr>
        <w:pStyle w:val="Bob1"/>
        <w:tabs>
          <w:tab w:val="clear" w:pos="720"/>
          <w:tab w:val="left" w:pos="1440"/>
        </w:tabs>
        <w:ind w:left="0" w:firstLine="0"/>
      </w:pPr>
      <w:r>
        <w:t>The joint judgment concluded:</w:t>
      </w:r>
    </w:p>
    <w:p w:rsidR="00AD2A6D" w:rsidRDefault="00AD2A6D" w:rsidP="005C3956">
      <w:pPr>
        <w:pStyle w:val="Bob1"/>
        <w:numPr>
          <w:ilvl w:val="0"/>
          <w:numId w:val="0"/>
        </w:numPr>
        <w:spacing w:line="240" w:lineRule="auto"/>
        <w:ind w:left="720"/>
        <w:rPr>
          <w:rFonts w:eastAsia="Times New Roman"/>
          <w:sz w:val="24"/>
        </w:rPr>
      </w:pPr>
      <w:r w:rsidRPr="00AD2A6D">
        <w:rPr>
          <w:sz w:val="24"/>
        </w:rPr>
        <w:t xml:space="preserve">“... </w:t>
      </w:r>
      <w:proofErr w:type="gramStart"/>
      <w:r w:rsidRPr="00AD2A6D">
        <w:rPr>
          <w:rFonts w:eastAsia="Times New Roman"/>
          <w:sz w:val="24"/>
        </w:rPr>
        <w:t>in</w:t>
      </w:r>
      <w:proofErr w:type="gramEnd"/>
      <w:r w:rsidRPr="00AD2A6D">
        <w:rPr>
          <w:rFonts w:eastAsia="Times New Roman"/>
          <w:sz w:val="24"/>
        </w:rPr>
        <w:t xml:space="preserve"> our judgment, a post </w:t>
      </w:r>
      <w:proofErr w:type="spellStart"/>
      <w:r w:rsidRPr="00AD2A6D">
        <w:rPr>
          <w:rFonts w:eastAsia="Times New Roman"/>
          <w:i/>
          <w:iCs/>
          <w:sz w:val="24"/>
        </w:rPr>
        <w:t>Jogee</w:t>
      </w:r>
      <w:proofErr w:type="spellEnd"/>
      <w:r w:rsidRPr="00AD2A6D">
        <w:rPr>
          <w:rFonts w:eastAsia="Times New Roman"/>
          <w:i/>
          <w:iCs/>
          <w:sz w:val="24"/>
        </w:rPr>
        <w:t xml:space="preserve"> </w:t>
      </w:r>
      <w:r w:rsidRPr="00AD2A6D">
        <w:rPr>
          <w:rFonts w:eastAsia="Times New Roman"/>
          <w:sz w:val="24"/>
        </w:rPr>
        <w:t>direction would not have made a difference to the jury's verdicts; the convictions were and are safe.”</w:t>
      </w:r>
      <w:r>
        <w:rPr>
          <w:rStyle w:val="FootnoteReference"/>
          <w:rFonts w:eastAsia="Times New Roman"/>
          <w:sz w:val="24"/>
        </w:rPr>
        <w:footnoteReference w:id="106"/>
      </w:r>
    </w:p>
    <w:p w:rsidR="00AD2A6D" w:rsidRPr="00917761" w:rsidRDefault="00832F49" w:rsidP="005C3956">
      <w:pPr>
        <w:pStyle w:val="Bob1"/>
        <w:tabs>
          <w:tab w:val="clear" w:pos="720"/>
          <w:tab w:val="left" w:pos="1440"/>
        </w:tabs>
        <w:ind w:left="0" w:firstLine="0"/>
        <w:jc w:val="both"/>
      </w:pPr>
      <w:r>
        <w:rPr>
          <w:i/>
        </w:rPr>
        <w:t xml:space="preserve">R v </w:t>
      </w:r>
      <w:proofErr w:type="gramStart"/>
      <w:r>
        <w:rPr>
          <w:i/>
        </w:rPr>
        <w:t>Hall</w:t>
      </w:r>
      <w:r>
        <w:t>,</w:t>
      </w:r>
      <w:proofErr w:type="gramEnd"/>
      <w:r>
        <w:rPr>
          <w:rStyle w:val="FootnoteReference"/>
        </w:rPr>
        <w:footnoteReference w:id="107"/>
      </w:r>
      <w:r w:rsidR="00917761">
        <w:t xml:space="preserve"> involved an escalating alcohol-fuelled brawl that ended in the killing of the victim who was attacked by assailants kicking him and using a knuckle duster and other weapons.  It was accepted that the conviction could not </w:t>
      </w:r>
      <w:r w:rsidR="00917761" w:rsidRPr="009D45AD">
        <w:rPr>
          <w:rFonts w:eastAsia="Times New Roman"/>
        </w:rPr>
        <w:t>be challenged on the basis of the law as it stood at the time of the conviction</w:t>
      </w:r>
      <w:r w:rsidR="00917761">
        <w:rPr>
          <w:rFonts w:eastAsia="Times New Roman"/>
        </w:rPr>
        <w:t>.</w:t>
      </w:r>
      <w:r w:rsidR="00917761">
        <w:rPr>
          <w:rStyle w:val="FootnoteReference"/>
          <w:rFonts w:eastAsia="Times New Roman"/>
        </w:rPr>
        <w:footnoteReference w:id="108"/>
      </w:r>
      <w:r w:rsidR="00917761">
        <w:rPr>
          <w:rFonts w:eastAsia="Times New Roman"/>
        </w:rPr>
        <w:t xml:space="preserve">  It was not the prosecution case that Hall was armed or that he was one of those who kicked the deceased on the ground.  However, after citing paragraph 94 of </w:t>
      </w:r>
      <w:proofErr w:type="spellStart"/>
      <w:r w:rsidR="00917761">
        <w:rPr>
          <w:rFonts w:eastAsia="Times New Roman"/>
          <w:i/>
        </w:rPr>
        <w:t>Jogee</w:t>
      </w:r>
      <w:proofErr w:type="spellEnd"/>
      <w:r w:rsidR="00917761">
        <w:rPr>
          <w:rFonts w:eastAsia="Times New Roman"/>
        </w:rPr>
        <w:t>, the English Court of Appeal dismissed the application on the basis of Hall’s foresight of the murder being committed, holding that this satisfied the requirement of conditional intent:</w:t>
      </w:r>
    </w:p>
    <w:p w:rsidR="00917761" w:rsidRDefault="00917761" w:rsidP="005C3956">
      <w:pPr>
        <w:pStyle w:val="Bob1"/>
        <w:numPr>
          <w:ilvl w:val="0"/>
          <w:numId w:val="0"/>
        </w:numPr>
        <w:spacing w:line="240" w:lineRule="auto"/>
        <w:ind w:left="720"/>
        <w:jc w:val="both"/>
        <w:rPr>
          <w:rFonts w:eastAsia="Times New Roman"/>
          <w:sz w:val="24"/>
        </w:rPr>
      </w:pPr>
      <w:r w:rsidRPr="00917761">
        <w:rPr>
          <w:sz w:val="24"/>
        </w:rPr>
        <w:t>“</w:t>
      </w:r>
      <w:r w:rsidRPr="00917761">
        <w:rPr>
          <w:rFonts w:eastAsia="Times New Roman"/>
          <w:sz w:val="24"/>
        </w:rPr>
        <w:t xml:space="preserve">The jury must by their verdict have concluded that he foresaw that Holmes would attack the third member of the group, the deceased, with intent to cause really serious </w:t>
      </w:r>
      <w:r w:rsidRPr="00917761">
        <w:rPr>
          <w:rFonts w:eastAsia="Times New Roman"/>
          <w:sz w:val="24"/>
        </w:rPr>
        <w:lastRenderedPageBreak/>
        <w:t>bodily injury.  In the circumstances it would have been open to them to infer that he had the necessary conditional intent now required.”</w:t>
      </w:r>
      <w:r>
        <w:rPr>
          <w:rStyle w:val="FootnoteReference"/>
          <w:rFonts w:eastAsia="Times New Roman"/>
          <w:sz w:val="24"/>
        </w:rPr>
        <w:footnoteReference w:id="109"/>
      </w:r>
    </w:p>
    <w:p w:rsidR="00917761" w:rsidRDefault="00917761" w:rsidP="005C3956">
      <w:pPr>
        <w:pStyle w:val="Bob1"/>
        <w:tabs>
          <w:tab w:val="clear" w:pos="720"/>
          <w:tab w:val="left" w:pos="1440"/>
        </w:tabs>
        <w:ind w:left="0" w:firstLine="0"/>
        <w:jc w:val="both"/>
      </w:pPr>
      <w:r>
        <w:t xml:space="preserve">It follows that the present indications are that the concept of conditional intent introduced by </w:t>
      </w:r>
      <w:proofErr w:type="spellStart"/>
      <w:r>
        <w:rPr>
          <w:i/>
        </w:rPr>
        <w:t>Jogee</w:t>
      </w:r>
      <w:proofErr w:type="spellEnd"/>
      <w:r>
        <w:rPr>
          <w:i/>
        </w:rPr>
        <w:t xml:space="preserve"> </w:t>
      </w:r>
      <w:r>
        <w:t xml:space="preserve">is being interpreted by the English Court of Appeal </w:t>
      </w:r>
      <w:r w:rsidR="00323C8C">
        <w:t xml:space="preserve">within a joint criminal enterprise framework </w:t>
      </w:r>
      <w:r>
        <w:t xml:space="preserve">as operating in much the same way as the </w:t>
      </w:r>
      <w:r w:rsidR="00E92188">
        <w:t xml:space="preserve">foresight requirement in </w:t>
      </w:r>
      <w:r w:rsidR="00E92188">
        <w:rPr>
          <w:i/>
        </w:rPr>
        <w:t xml:space="preserve">Chan Wing </w:t>
      </w:r>
      <w:proofErr w:type="spellStart"/>
      <w:r w:rsidR="00E92188">
        <w:rPr>
          <w:i/>
        </w:rPr>
        <w:t>Siu</w:t>
      </w:r>
      <w:proofErr w:type="spellEnd"/>
      <w:r w:rsidR="00E92188">
        <w:t>, prompting questions as to the true extent of the changes effected by the UK Supreme Court’s decision.</w:t>
      </w:r>
    </w:p>
    <w:p w:rsidR="00493FB0" w:rsidRDefault="008071B2" w:rsidP="005C3956">
      <w:pPr>
        <w:pStyle w:val="Bob1"/>
        <w:tabs>
          <w:tab w:val="clear" w:pos="720"/>
          <w:tab w:val="left" w:pos="1440"/>
        </w:tabs>
        <w:ind w:left="0" w:firstLine="0"/>
        <w:jc w:val="both"/>
      </w:pPr>
      <w:r>
        <w:t>I</w:t>
      </w:r>
      <w:r w:rsidR="00093146">
        <w:t xml:space="preserve">f one ignores the apparent </w:t>
      </w:r>
      <w:r w:rsidR="00323C8C">
        <w:t xml:space="preserve">drift </w:t>
      </w:r>
      <w:r w:rsidR="00093146">
        <w:t xml:space="preserve">back to joint criminal enterprise </w:t>
      </w:r>
      <w:r>
        <w:t xml:space="preserve">suggested by the three paragraphs </w:t>
      </w:r>
      <w:r w:rsidR="00323C8C">
        <w:t xml:space="preserve">and the Court of Appeal decisions </w:t>
      </w:r>
      <w:r>
        <w:t xml:space="preserve">cited </w:t>
      </w:r>
      <w:r w:rsidR="00A909EE">
        <w:t xml:space="preserve">above </w:t>
      </w:r>
      <w:r w:rsidR="00093146">
        <w:t xml:space="preserve">and assumes that </w:t>
      </w:r>
      <w:proofErr w:type="spellStart"/>
      <w:r w:rsidR="00093146" w:rsidRPr="005C3956">
        <w:rPr>
          <w:i/>
        </w:rPr>
        <w:t>Jogee’s</w:t>
      </w:r>
      <w:proofErr w:type="spellEnd"/>
      <w:r w:rsidR="00093146" w:rsidRPr="005C3956">
        <w:rPr>
          <w:i/>
        </w:rPr>
        <w:t xml:space="preserve"> </w:t>
      </w:r>
      <w:r w:rsidR="00093146">
        <w:t xml:space="preserve">conditional intent concept is intended to operate solely </w:t>
      </w:r>
      <w:r w:rsidR="00323C8C">
        <w:t xml:space="preserve">in relation to </w:t>
      </w:r>
      <w:r w:rsidR="00093146">
        <w:t xml:space="preserve">traditional accessorial liability, problems remain.  </w:t>
      </w:r>
      <w:r w:rsidR="00493FB0">
        <w:t xml:space="preserve">Prof A P </w:t>
      </w:r>
      <w:proofErr w:type="spellStart"/>
      <w:r w:rsidR="00493FB0">
        <w:t>Simester</w:t>
      </w:r>
      <w:proofErr w:type="spellEnd"/>
      <w:r w:rsidR="00493FB0">
        <w:rPr>
          <w:rStyle w:val="FootnoteReference"/>
        </w:rPr>
        <w:footnoteReference w:id="110"/>
      </w:r>
      <w:r w:rsidR="00493FB0">
        <w:t xml:space="preserve"> convincingly </w:t>
      </w:r>
      <w:r w:rsidR="00093146">
        <w:t xml:space="preserve">argues that in the context of traditional accessorial liability, </w:t>
      </w:r>
      <w:proofErr w:type="spellStart"/>
      <w:r w:rsidR="00493FB0" w:rsidRPr="005C3956">
        <w:rPr>
          <w:i/>
        </w:rPr>
        <w:t>Jogee</w:t>
      </w:r>
      <w:proofErr w:type="spellEnd"/>
      <w:r w:rsidR="00493FB0" w:rsidRPr="005C3956">
        <w:rPr>
          <w:i/>
        </w:rPr>
        <w:t xml:space="preserve"> </w:t>
      </w:r>
      <w:r w:rsidR="00093146">
        <w:t xml:space="preserve">“mishandles” </w:t>
      </w:r>
      <w:r w:rsidR="00493FB0">
        <w:t xml:space="preserve">conditional intent since it </w:t>
      </w:r>
      <w:r w:rsidR="00093146">
        <w:t>erroneously attributes</w:t>
      </w:r>
      <w:r w:rsidR="00493FB0">
        <w:t xml:space="preserve"> conditionality to the accessory</w:t>
      </w:r>
      <w:r w:rsidR="00093146">
        <w:t>’s mental state</w:t>
      </w:r>
      <w:r w:rsidR="00493FB0">
        <w:t xml:space="preserve"> when the </w:t>
      </w:r>
      <w:r>
        <w:t xml:space="preserve">only </w:t>
      </w:r>
      <w:r w:rsidR="00493FB0">
        <w:t xml:space="preserve">intent which </w:t>
      </w:r>
      <w:r>
        <w:t xml:space="preserve">might be </w:t>
      </w:r>
      <w:r w:rsidR="00093146">
        <w:t xml:space="preserve">conditional </w:t>
      </w:r>
      <w:r w:rsidR="00493FB0">
        <w:t xml:space="preserve">is </w:t>
      </w:r>
      <w:r w:rsidR="00093146">
        <w:t xml:space="preserve">not </w:t>
      </w:r>
      <w:r w:rsidR="00493FB0">
        <w:t xml:space="preserve">that of the </w:t>
      </w:r>
      <w:r w:rsidR="00093146">
        <w:t xml:space="preserve">accessory but of the </w:t>
      </w:r>
      <w:r w:rsidR="00493FB0">
        <w:t xml:space="preserve">principal offender.  </w:t>
      </w:r>
      <w:r w:rsidR="006E0007">
        <w:t xml:space="preserve">One might </w:t>
      </w:r>
      <w:r>
        <w:t xml:space="preserve">add that since the accessory’s liability is derivative and since there must be proof that he intended to assist or encourage the commission of the principal offence, </w:t>
      </w:r>
      <w:r w:rsidR="006E0007">
        <w:t>this requirement cannot be met so long as the principal offender’s intent is merely conditional and contingent.</w:t>
      </w:r>
    </w:p>
    <w:p w:rsidR="00C424AF" w:rsidRDefault="00F15DDD" w:rsidP="005C3956">
      <w:pPr>
        <w:pStyle w:val="Bob1"/>
        <w:tabs>
          <w:tab w:val="clear" w:pos="720"/>
          <w:tab w:val="left" w:pos="1440"/>
        </w:tabs>
        <w:ind w:left="0" w:firstLine="0"/>
        <w:jc w:val="both"/>
      </w:pPr>
      <w:r>
        <w:t xml:space="preserve">As is to be expected, </w:t>
      </w:r>
      <w:r w:rsidR="00495279">
        <w:t xml:space="preserve">the </w:t>
      </w:r>
      <w:r>
        <w:t xml:space="preserve">reactions </w:t>
      </w:r>
      <w:r w:rsidR="00495279">
        <w:t xml:space="preserve">of eminent academics </w:t>
      </w:r>
      <w:r>
        <w:t xml:space="preserve">to </w:t>
      </w:r>
      <w:proofErr w:type="spellStart"/>
      <w:r w:rsidRPr="005C3956">
        <w:rPr>
          <w:i/>
        </w:rPr>
        <w:t>Jogee’s</w:t>
      </w:r>
      <w:proofErr w:type="spellEnd"/>
      <w:r w:rsidRPr="005C3956">
        <w:rPr>
          <w:i/>
        </w:rPr>
        <w:t xml:space="preserve"> </w:t>
      </w:r>
      <w:r>
        <w:t xml:space="preserve">departure from </w:t>
      </w:r>
      <w:r w:rsidRPr="005C3956">
        <w:rPr>
          <w:i/>
        </w:rPr>
        <w:t xml:space="preserve">Chan Wing </w:t>
      </w:r>
      <w:proofErr w:type="spellStart"/>
      <w:r w:rsidRPr="005C3956">
        <w:rPr>
          <w:i/>
        </w:rPr>
        <w:t>Siu</w:t>
      </w:r>
      <w:proofErr w:type="spellEnd"/>
      <w:r w:rsidRPr="005C3956">
        <w:rPr>
          <w:i/>
        </w:rPr>
        <w:t xml:space="preserve"> </w:t>
      </w:r>
      <w:r>
        <w:t>and the cases following that decision are mixed.</w:t>
      </w:r>
      <w:r w:rsidR="00AB1771">
        <w:t xml:space="preserve">  A number of articles cited to the Court favour </w:t>
      </w:r>
      <w:proofErr w:type="spellStart"/>
      <w:r w:rsidR="00AB1771" w:rsidRPr="005C3956">
        <w:rPr>
          <w:i/>
        </w:rPr>
        <w:t>Jogee’s</w:t>
      </w:r>
      <w:proofErr w:type="spellEnd"/>
      <w:r w:rsidR="00AB1771" w:rsidRPr="005C3956">
        <w:rPr>
          <w:i/>
        </w:rPr>
        <w:t xml:space="preserve"> </w:t>
      </w:r>
      <w:r w:rsidR="00AB1771">
        <w:t xml:space="preserve">approach </w:t>
      </w:r>
      <w:r w:rsidR="006E0007">
        <w:t>which is seen to be</w:t>
      </w:r>
      <w:r w:rsidR="00AB1771">
        <w:t xml:space="preserve"> more consonant with the common law’s historical treatment of accessorial liability</w:t>
      </w:r>
      <w:r w:rsidR="006E0007">
        <w:t>, criticising</w:t>
      </w:r>
      <w:r w:rsidR="00AB1771">
        <w:t xml:space="preserve"> </w:t>
      </w:r>
      <w:r w:rsidR="00AB1771" w:rsidRPr="005C3956">
        <w:rPr>
          <w:i/>
        </w:rPr>
        <w:t xml:space="preserve">Chan Wing </w:t>
      </w:r>
      <w:proofErr w:type="spellStart"/>
      <w:r w:rsidR="00AB1771" w:rsidRPr="005C3956">
        <w:rPr>
          <w:i/>
        </w:rPr>
        <w:t>Siu</w:t>
      </w:r>
      <w:proofErr w:type="spellEnd"/>
      <w:r w:rsidR="00AB1771" w:rsidRPr="005C3956">
        <w:rPr>
          <w:i/>
        </w:rPr>
        <w:t xml:space="preserve"> </w:t>
      </w:r>
      <w:r w:rsidR="006E0007">
        <w:t xml:space="preserve">for </w:t>
      </w:r>
      <w:r w:rsidR="00AB1771">
        <w:t>over-criminalis</w:t>
      </w:r>
      <w:r w:rsidR="007262EE">
        <w:t>ing</w:t>
      </w:r>
      <w:r w:rsidR="00AB1771">
        <w:t xml:space="preserve"> participants in joint </w:t>
      </w:r>
      <w:r w:rsidR="00AB1771">
        <w:lastRenderedPageBreak/>
        <w:t>criminal enterprises.</w:t>
      </w:r>
      <w:r w:rsidR="00AB1771">
        <w:rPr>
          <w:rStyle w:val="FootnoteReference"/>
        </w:rPr>
        <w:footnoteReference w:id="111"/>
      </w:r>
      <w:r w:rsidR="00AB1771">
        <w:t xml:space="preserve">   Other articles approve of the approach based on </w:t>
      </w:r>
      <w:r w:rsidR="00AB1771" w:rsidRPr="005C3956">
        <w:rPr>
          <w:i/>
        </w:rPr>
        <w:t xml:space="preserve">Chan Wing </w:t>
      </w:r>
      <w:proofErr w:type="spellStart"/>
      <w:r w:rsidR="00AB1771" w:rsidRPr="005C3956">
        <w:rPr>
          <w:i/>
        </w:rPr>
        <w:t>Siu</w:t>
      </w:r>
      <w:proofErr w:type="spellEnd"/>
      <w:r w:rsidR="00AB1771">
        <w:t xml:space="preserve"> </w:t>
      </w:r>
      <w:r w:rsidR="00C424AF">
        <w:t>also on historical, doctrinal and policy grounds.</w:t>
      </w:r>
      <w:r w:rsidR="00323C8C">
        <w:rPr>
          <w:rStyle w:val="FootnoteReference"/>
        </w:rPr>
        <w:footnoteReference w:id="112"/>
      </w:r>
      <w:r w:rsidR="00AB1771">
        <w:t xml:space="preserve">  </w:t>
      </w:r>
      <w:r w:rsidR="00AF78B4">
        <w:t>It will be apparent that my v</w:t>
      </w:r>
      <w:r w:rsidR="00323C8C">
        <w:t>iews are allied to those in the</w:t>
      </w:r>
      <w:r w:rsidR="00AF78B4">
        <w:t xml:space="preserve"> latter group.</w:t>
      </w:r>
    </w:p>
    <w:p w:rsidR="00F15DDD" w:rsidRDefault="00C424AF" w:rsidP="005C3956">
      <w:pPr>
        <w:pStyle w:val="Bob1"/>
        <w:tabs>
          <w:tab w:val="clear" w:pos="720"/>
          <w:tab w:val="left" w:pos="1440"/>
        </w:tabs>
        <w:ind w:left="0" w:firstLine="0"/>
        <w:jc w:val="both"/>
      </w:pPr>
      <w:r>
        <w:t>I</w:t>
      </w:r>
      <w:r w:rsidR="005F3422">
        <w:t>t may be noted that</w:t>
      </w:r>
      <w:r>
        <w:t xml:space="preserve"> David </w:t>
      </w:r>
      <w:proofErr w:type="spellStart"/>
      <w:r>
        <w:t>Ormerod</w:t>
      </w:r>
      <w:proofErr w:type="spellEnd"/>
      <w:r>
        <w:t xml:space="preserve"> QC and Karl Laird</w:t>
      </w:r>
      <w:r w:rsidR="005F3422">
        <w:t xml:space="preserve"> express the view that</w:t>
      </w:r>
      <w:r>
        <w:t>: “What is doubtful ... is the extent to which the Supreme Court has conclusively resolved the problems that bedevilled this area of the law”.</w:t>
      </w:r>
      <w:r>
        <w:rPr>
          <w:rStyle w:val="FootnoteReference"/>
        </w:rPr>
        <w:footnoteReference w:id="113"/>
      </w:r>
      <w:r w:rsidR="00D9334D">
        <w:t xml:space="preserve">  The</w:t>
      </w:r>
      <w:r w:rsidR="005F3422">
        <w:t>y</w:t>
      </w:r>
      <w:r w:rsidR="00D9334D">
        <w:t xml:space="preserve"> proceed to identify “a number of key questions [which] require urgent attention”, referring particularly to uncertainties regarding the concepts of intention and foresight and </w:t>
      </w:r>
      <w:r w:rsidR="00A909EE">
        <w:t xml:space="preserve">difficulties </w:t>
      </w:r>
      <w:r w:rsidR="005F3422">
        <w:t xml:space="preserve">associated </w:t>
      </w:r>
      <w:r w:rsidR="00A909EE">
        <w:t xml:space="preserve">with those concepts </w:t>
      </w:r>
      <w:r w:rsidR="00D9334D">
        <w:t>likely to be faced by judges directing juries</w:t>
      </w:r>
      <w:r w:rsidR="00AF78B4">
        <w:t>.</w:t>
      </w:r>
    </w:p>
    <w:p w:rsidR="00AF78B4" w:rsidRDefault="00AF78B4" w:rsidP="005C3956">
      <w:pPr>
        <w:pStyle w:val="Bob1"/>
        <w:tabs>
          <w:tab w:val="clear" w:pos="720"/>
          <w:tab w:val="left" w:pos="1440"/>
        </w:tabs>
        <w:ind w:left="0" w:firstLine="0"/>
        <w:jc w:val="both"/>
      </w:pPr>
      <w:r>
        <w:t>Profes</w:t>
      </w:r>
      <w:r w:rsidR="005F3422">
        <w:t xml:space="preserve">sor </w:t>
      </w:r>
      <w:proofErr w:type="spellStart"/>
      <w:r w:rsidR="005F3422">
        <w:t>Simester</w:t>
      </w:r>
      <w:proofErr w:type="spellEnd"/>
      <w:r w:rsidR="005F3422">
        <w:t xml:space="preserve"> highlights the gap</w:t>
      </w:r>
      <w:r>
        <w:t xml:space="preserve"> in the law resulting from abolition of joint enterprise liability:</w:t>
      </w:r>
    </w:p>
    <w:p w:rsidR="00AF78B4" w:rsidRDefault="00AF78B4" w:rsidP="005C3956">
      <w:pPr>
        <w:pStyle w:val="Bob1"/>
        <w:numPr>
          <w:ilvl w:val="0"/>
          <w:numId w:val="0"/>
        </w:numPr>
        <w:spacing w:line="240" w:lineRule="auto"/>
        <w:ind w:left="720"/>
        <w:jc w:val="both"/>
        <w:rPr>
          <w:sz w:val="24"/>
        </w:rPr>
      </w:pPr>
      <w:r w:rsidRPr="00DC2148">
        <w:rPr>
          <w:sz w:val="24"/>
        </w:rPr>
        <w:t>“</w:t>
      </w:r>
      <w:r w:rsidR="00DF2B13" w:rsidRPr="00DC2148">
        <w:rPr>
          <w:sz w:val="24"/>
        </w:rPr>
        <w:t>In principle, having two distinct channels of complicity liability affords the law greater flexibility and moral sensitiv</w:t>
      </w:r>
      <w:r w:rsidR="00DC2148" w:rsidRPr="00DC2148">
        <w:rPr>
          <w:sz w:val="24"/>
        </w:rPr>
        <w:t>ity when determining whether S [</w:t>
      </w:r>
      <w:r w:rsidR="00DF2B13" w:rsidRPr="00DC2148">
        <w:rPr>
          <w:sz w:val="24"/>
        </w:rPr>
        <w:t>the secondary party</w:t>
      </w:r>
      <w:r w:rsidR="00DC2148" w:rsidRPr="00DC2148">
        <w:rPr>
          <w:sz w:val="24"/>
        </w:rPr>
        <w:t>] is a participant in P’s [the perpetrator’s] crime.  Direct aiding/abetting doctrines are simply too blunt by themselves to capture, without substantial over- or under-inclusion, all forms of association with P’s crime that warrant a finding of guilt alongside P.”</w:t>
      </w:r>
      <w:r w:rsidR="00DC2148">
        <w:rPr>
          <w:rStyle w:val="FootnoteReference"/>
          <w:sz w:val="24"/>
        </w:rPr>
        <w:footnoteReference w:id="114"/>
      </w:r>
    </w:p>
    <w:p w:rsidR="00DC2148" w:rsidRDefault="00DC2148" w:rsidP="005C3956">
      <w:pPr>
        <w:pStyle w:val="Bob1"/>
        <w:numPr>
          <w:ilvl w:val="0"/>
          <w:numId w:val="0"/>
        </w:numPr>
        <w:jc w:val="both"/>
      </w:pPr>
      <w:r>
        <w:lastRenderedPageBreak/>
        <w:t xml:space="preserve">Having noted Lord </w:t>
      </w:r>
      <w:proofErr w:type="spellStart"/>
      <w:r>
        <w:t>Steyn’s</w:t>
      </w:r>
      <w:proofErr w:type="spellEnd"/>
      <w:r>
        <w:t xml:space="preserve"> recognition of the need for a joint criminal enterprise doctrine to deal with dynamic contingencies,</w:t>
      </w:r>
      <w:r>
        <w:rPr>
          <w:rStyle w:val="FootnoteReference"/>
        </w:rPr>
        <w:footnoteReference w:id="115"/>
      </w:r>
      <w:r>
        <w:t xml:space="preserve"> the learned author argues that:</w:t>
      </w:r>
    </w:p>
    <w:p w:rsidR="00DC2148" w:rsidRPr="00DC2148" w:rsidRDefault="00DC2148" w:rsidP="005C3956">
      <w:pPr>
        <w:pStyle w:val="Bob1"/>
        <w:numPr>
          <w:ilvl w:val="0"/>
          <w:numId w:val="0"/>
        </w:numPr>
        <w:spacing w:line="240" w:lineRule="auto"/>
        <w:ind w:left="720"/>
        <w:jc w:val="both"/>
        <w:rPr>
          <w:sz w:val="24"/>
        </w:rPr>
      </w:pPr>
      <w:r w:rsidRPr="00DC2148">
        <w:rPr>
          <w:sz w:val="24"/>
        </w:rPr>
        <w:t xml:space="preserve">“The Court in </w:t>
      </w:r>
      <w:proofErr w:type="spellStart"/>
      <w:r w:rsidRPr="00DC2148">
        <w:rPr>
          <w:i/>
          <w:sz w:val="24"/>
        </w:rPr>
        <w:t>Jogee</w:t>
      </w:r>
      <w:proofErr w:type="spellEnd"/>
      <w:r w:rsidRPr="00DC2148">
        <w:rPr>
          <w:i/>
          <w:sz w:val="24"/>
        </w:rPr>
        <w:t xml:space="preserve"> </w:t>
      </w:r>
      <w:r w:rsidRPr="00DC2148">
        <w:rPr>
          <w:sz w:val="24"/>
        </w:rPr>
        <w:t xml:space="preserve">overestimates the capacity of aiding/abetting law to accommodate such difficulties.  Joint criminal enterprises are a distinct moral phenomenon.  Indeed, only by recognising that can we adequately protect the law of aiding and abetting.  Absent legislative reform, the inadequacy of traditional aiding/abetting doctrine to deal with the complexity of multi-party wrongdoing will inevitably generate pressure, either to restore joint criminal enterprise liability or – disastrously – to water down the </w:t>
      </w:r>
      <w:proofErr w:type="spellStart"/>
      <w:r w:rsidRPr="00DC2148">
        <w:rPr>
          <w:i/>
          <w:sz w:val="24"/>
        </w:rPr>
        <w:t>mens</w:t>
      </w:r>
      <w:proofErr w:type="spellEnd"/>
      <w:r w:rsidRPr="00DC2148">
        <w:rPr>
          <w:i/>
          <w:sz w:val="24"/>
        </w:rPr>
        <w:t xml:space="preserve"> </w:t>
      </w:r>
      <w:proofErr w:type="spellStart"/>
      <w:r w:rsidRPr="00DC2148">
        <w:rPr>
          <w:i/>
          <w:sz w:val="24"/>
        </w:rPr>
        <w:t>rea</w:t>
      </w:r>
      <w:proofErr w:type="spellEnd"/>
      <w:r w:rsidRPr="00DC2148">
        <w:rPr>
          <w:i/>
          <w:sz w:val="24"/>
        </w:rPr>
        <w:t xml:space="preserve"> </w:t>
      </w:r>
      <w:r w:rsidRPr="00DC2148">
        <w:rPr>
          <w:sz w:val="24"/>
        </w:rPr>
        <w:t>requirements of aiding and abetting itself.”</w:t>
      </w:r>
      <w:r>
        <w:rPr>
          <w:rStyle w:val="FootnoteReference"/>
          <w:sz w:val="24"/>
        </w:rPr>
        <w:footnoteReference w:id="116"/>
      </w:r>
    </w:p>
    <w:p w:rsidR="00E92188" w:rsidRDefault="000E4E04" w:rsidP="004814B5">
      <w:pPr>
        <w:pStyle w:val="docmapheading"/>
      </w:pPr>
      <w:r>
        <w:t>H.</w:t>
      </w:r>
      <w:r>
        <w:tab/>
        <w:t xml:space="preserve">Disposition of the present appeal </w:t>
      </w:r>
    </w:p>
    <w:p w:rsidR="000E4E04" w:rsidRDefault="00A507FB" w:rsidP="005C3956">
      <w:pPr>
        <w:pStyle w:val="Bob1"/>
        <w:tabs>
          <w:tab w:val="clear" w:pos="720"/>
          <w:tab w:val="left" w:pos="1440"/>
        </w:tabs>
        <w:ind w:left="0" w:firstLine="0"/>
        <w:jc w:val="both"/>
      </w:pPr>
      <w:r>
        <w:t>The Appeal Committee granted leave to appeal certifying the following question of law:</w:t>
      </w:r>
    </w:p>
    <w:p w:rsidR="00A507FB" w:rsidRDefault="00A507FB" w:rsidP="005C3956">
      <w:pPr>
        <w:pStyle w:val="Bob1"/>
        <w:numPr>
          <w:ilvl w:val="0"/>
          <w:numId w:val="0"/>
        </w:numPr>
        <w:spacing w:line="240" w:lineRule="auto"/>
        <w:ind w:left="720"/>
        <w:jc w:val="both"/>
        <w:rPr>
          <w:sz w:val="24"/>
        </w:rPr>
      </w:pPr>
      <w:r w:rsidRPr="00A507FB">
        <w:rPr>
          <w:sz w:val="24"/>
        </w:rPr>
        <w:t xml:space="preserve">“What is the law of Hong Kong regarding the doctrine of joint enterprise, namely should </w:t>
      </w:r>
      <w:r w:rsidRPr="00A507FB">
        <w:rPr>
          <w:i/>
          <w:iCs/>
          <w:sz w:val="24"/>
        </w:rPr>
        <w:t xml:space="preserve">Chan Wing </w:t>
      </w:r>
      <w:proofErr w:type="spellStart"/>
      <w:r w:rsidRPr="00A507FB">
        <w:rPr>
          <w:i/>
          <w:iCs/>
          <w:sz w:val="24"/>
        </w:rPr>
        <w:t>Siu</w:t>
      </w:r>
      <w:proofErr w:type="spellEnd"/>
      <w:r w:rsidRPr="00A507FB">
        <w:rPr>
          <w:i/>
          <w:sz w:val="24"/>
        </w:rPr>
        <w:t xml:space="preserve"> v R</w:t>
      </w:r>
      <w:r w:rsidRPr="00A507FB">
        <w:rPr>
          <w:sz w:val="24"/>
        </w:rPr>
        <w:t xml:space="preserve"> [1985] 1 AC 168 and </w:t>
      </w:r>
      <w:proofErr w:type="spellStart"/>
      <w:r w:rsidRPr="00A507FB">
        <w:rPr>
          <w:i/>
          <w:sz w:val="24"/>
        </w:rPr>
        <w:t>Sze</w:t>
      </w:r>
      <w:proofErr w:type="spellEnd"/>
      <w:r w:rsidRPr="00A507FB">
        <w:rPr>
          <w:i/>
          <w:sz w:val="24"/>
        </w:rPr>
        <w:t xml:space="preserve"> Kwan Lung v HKSAR</w:t>
      </w:r>
      <w:r w:rsidRPr="00A507FB">
        <w:rPr>
          <w:sz w:val="24"/>
        </w:rPr>
        <w:t xml:space="preserve"> (2004) 7 HKCFAR 475 continue to be applied in the light of </w:t>
      </w:r>
      <w:r w:rsidRPr="00A507FB">
        <w:rPr>
          <w:i/>
          <w:sz w:val="24"/>
        </w:rPr>
        <w:t xml:space="preserve">R v </w:t>
      </w:r>
      <w:proofErr w:type="spellStart"/>
      <w:r w:rsidRPr="00A507FB">
        <w:rPr>
          <w:i/>
          <w:sz w:val="24"/>
        </w:rPr>
        <w:t>Jogee</w:t>
      </w:r>
      <w:proofErr w:type="spellEnd"/>
      <w:r w:rsidRPr="00A507FB">
        <w:rPr>
          <w:sz w:val="24"/>
        </w:rPr>
        <w:t xml:space="preserve"> and </w:t>
      </w:r>
      <w:r w:rsidRPr="00A507FB">
        <w:rPr>
          <w:i/>
          <w:sz w:val="24"/>
        </w:rPr>
        <w:t>R v Ruddock</w:t>
      </w:r>
      <w:r w:rsidRPr="00A507FB">
        <w:rPr>
          <w:sz w:val="24"/>
        </w:rPr>
        <w:t xml:space="preserve"> [2016] 2 WLR 681?”</w:t>
      </w:r>
    </w:p>
    <w:p w:rsidR="00A507FB" w:rsidRDefault="00A507FB" w:rsidP="005C3956">
      <w:pPr>
        <w:pStyle w:val="Bob1"/>
        <w:tabs>
          <w:tab w:val="clear" w:pos="720"/>
          <w:tab w:val="left" w:pos="1440"/>
        </w:tabs>
        <w:ind w:left="0" w:firstLine="0"/>
        <w:jc w:val="both"/>
      </w:pPr>
      <w:r>
        <w:t xml:space="preserve">I would answer it as follows:  </w:t>
      </w:r>
      <w:proofErr w:type="spellStart"/>
      <w:r>
        <w:rPr>
          <w:i/>
        </w:rPr>
        <w:t>Jogee</w:t>
      </w:r>
      <w:proofErr w:type="spellEnd"/>
      <w:r>
        <w:rPr>
          <w:i/>
        </w:rPr>
        <w:t xml:space="preserve"> </w:t>
      </w:r>
      <w:r>
        <w:t xml:space="preserve">should not be adopted in this jurisdiction.  The joint criminal enterprise doctrine based on </w:t>
      </w:r>
      <w:r>
        <w:rPr>
          <w:i/>
        </w:rPr>
        <w:t xml:space="preserve">Chan Wing </w:t>
      </w:r>
      <w:proofErr w:type="spellStart"/>
      <w:r>
        <w:rPr>
          <w:i/>
        </w:rPr>
        <w:t>Siu</w:t>
      </w:r>
      <w:proofErr w:type="spellEnd"/>
      <w:r>
        <w:rPr>
          <w:i/>
        </w:rPr>
        <w:t xml:space="preserve"> </w:t>
      </w:r>
      <w:r>
        <w:t xml:space="preserve">and the cases following it, endorsed by this Court in </w:t>
      </w:r>
      <w:proofErr w:type="spellStart"/>
      <w:r>
        <w:rPr>
          <w:i/>
        </w:rPr>
        <w:t>Sze</w:t>
      </w:r>
      <w:proofErr w:type="spellEnd"/>
      <w:r>
        <w:rPr>
          <w:i/>
        </w:rPr>
        <w:t xml:space="preserve"> Kwan Lung</w:t>
      </w:r>
      <w:r>
        <w:t>,</w:t>
      </w:r>
      <w:r>
        <w:rPr>
          <w:i/>
        </w:rPr>
        <w:t xml:space="preserve"> </w:t>
      </w:r>
      <w:r>
        <w:t>continues to apply in Hong Kong, operating alongside the traditional accessorial liability principles.</w:t>
      </w:r>
    </w:p>
    <w:p w:rsidR="00A507FB" w:rsidRDefault="00A507FB" w:rsidP="005C3956">
      <w:pPr>
        <w:pStyle w:val="Bob1"/>
        <w:tabs>
          <w:tab w:val="clear" w:pos="720"/>
          <w:tab w:val="left" w:pos="1440"/>
        </w:tabs>
        <w:ind w:left="0" w:firstLine="0"/>
        <w:jc w:val="both"/>
      </w:pPr>
      <w:r>
        <w:t xml:space="preserve">Leave </w:t>
      </w:r>
      <w:r w:rsidR="00A909EE">
        <w:t xml:space="preserve">to appeal </w:t>
      </w:r>
      <w:r>
        <w:t xml:space="preserve">was granted because it was appropriate that the aforesaid question should be addressed for the guidance of our criminal courts.  </w:t>
      </w:r>
    </w:p>
    <w:p w:rsidR="00D65E6B" w:rsidRDefault="00A909EE" w:rsidP="005C3956">
      <w:pPr>
        <w:pStyle w:val="Bob1"/>
        <w:tabs>
          <w:tab w:val="clear" w:pos="720"/>
          <w:tab w:val="left" w:pos="1440"/>
        </w:tabs>
        <w:ind w:left="0" w:firstLine="0"/>
        <w:jc w:val="both"/>
      </w:pPr>
      <w:r>
        <w:t>However, t</w:t>
      </w:r>
      <w:r w:rsidR="00A507FB">
        <w:t xml:space="preserve">he appellant’s appeal must, </w:t>
      </w:r>
      <w:r w:rsidR="00D65E6B">
        <w:t>on any</w:t>
      </w:r>
      <w:r w:rsidR="00A507FB">
        <w:t xml:space="preserve"> view, be dismissed.  </w:t>
      </w:r>
      <w:r w:rsidR="00D65E6B">
        <w:t xml:space="preserve">The principles of accessorial and joint criminal enterprise liability provide overlapping bases for establishing his guilt.  Obeying orders from his triad boss, </w:t>
      </w:r>
      <w:r w:rsidR="00D65E6B">
        <w:lastRenderedPageBreak/>
        <w:t xml:space="preserve">he and his fellows armed themselves with lethal weapons </w:t>
      </w:r>
      <w:r w:rsidR="003765F2">
        <w:t xml:space="preserve">with the intention of </w:t>
      </w:r>
      <w:r w:rsidR="00D65E6B">
        <w:t xml:space="preserve">“chopping” – that is, </w:t>
      </w:r>
      <w:r w:rsidR="003765F2">
        <w:t xml:space="preserve">at least </w:t>
      </w:r>
      <w:r w:rsidR="00D65E6B">
        <w:t xml:space="preserve">inflicting grievous bodily harm </w:t>
      </w:r>
      <w:r w:rsidR="003765F2">
        <w:t xml:space="preserve">on </w:t>
      </w:r>
      <w:r w:rsidR="00D65E6B">
        <w:t>–</w:t>
      </w:r>
      <w:r w:rsidR="003765F2">
        <w:t xml:space="preserve"> </w:t>
      </w:r>
      <w:r w:rsidR="00D65E6B">
        <w:t>their rivals</w:t>
      </w:r>
      <w:r w:rsidR="003765F2">
        <w:t xml:space="preserve">.  It was a basic joint criminal enterprise case and it mattered not that other members of the gang were the actual perpetrators of the fatal attack.  By arming himself and participating in the predatory </w:t>
      </w:r>
      <w:r w:rsidR="007610AB">
        <w:t>hunt</w:t>
      </w:r>
      <w:r>
        <w:t xml:space="preserve"> for victims</w:t>
      </w:r>
      <w:r w:rsidR="003765F2">
        <w:t xml:space="preserve">, he </w:t>
      </w:r>
      <w:r w:rsidR="005F3422">
        <w:t xml:space="preserve">also acted as an accessory, </w:t>
      </w:r>
      <w:r w:rsidR="003765F2">
        <w:t>encourag</w:t>
      </w:r>
      <w:r w:rsidR="005F3422">
        <w:t>ing</w:t>
      </w:r>
      <w:r w:rsidR="003765F2">
        <w:t xml:space="preserve"> the other members of the gang, including the eventual perpetrators, to commit the intended offence, giving them “</w:t>
      </w:r>
      <w:r w:rsidR="003765F2" w:rsidRPr="003765F2">
        <w:t xml:space="preserve">the comfort and spur of knowing that </w:t>
      </w:r>
      <w:r w:rsidR="003765F2">
        <w:t xml:space="preserve">[they were] </w:t>
      </w:r>
      <w:r w:rsidR="003765F2" w:rsidRPr="003765F2">
        <w:t xml:space="preserve">not on </w:t>
      </w:r>
      <w:r w:rsidR="003765F2">
        <w:t xml:space="preserve">[their] </w:t>
      </w:r>
      <w:r w:rsidR="003765F2" w:rsidRPr="003765F2">
        <w:t xml:space="preserve">own, but had the support of the </w:t>
      </w:r>
      <w:r w:rsidR="003765F2">
        <w:t xml:space="preserve">[appellant] </w:t>
      </w:r>
      <w:r w:rsidR="003765F2" w:rsidRPr="003765F2">
        <w:t xml:space="preserve">and the reasonable expectation that </w:t>
      </w:r>
      <w:r w:rsidR="003765F2">
        <w:t xml:space="preserve">[he and other members of the gang] </w:t>
      </w:r>
      <w:r w:rsidR="003765F2" w:rsidRPr="003765F2">
        <w:t>would come to his aid if he needed it.”</w:t>
      </w:r>
      <w:r w:rsidR="003765F2">
        <w:rPr>
          <w:rStyle w:val="FootnoteReference"/>
        </w:rPr>
        <w:footnoteReference w:id="117"/>
      </w:r>
    </w:p>
    <w:p w:rsidR="009B000B" w:rsidRDefault="009B000B" w:rsidP="005C3956">
      <w:pPr>
        <w:pStyle w:val="Bob1"/>
        <w:tabs>
          <w:tab w:val="clear" w:pos="720"/>
          <w:tab w:val="left" w:pos="1440"/>
        </w:tabs>
        <w:ind w:left="0" w:firstLine="0"/>
        <w:jc w:val="both"/>
      </w:pPr>
      <w:r>
        <w:t>I would accordingly dismiss the appeal.</w:t>
      </w:r>
    </w:p>
    <w:p w:rsidR="004814B5" w:rsidRPr="005C3956" w:rsidRDefault="005C3956" w:rsidP="005C3956">
      <w:pPr>
        <w:pStyle w:val="Bob1"/>
        <w:numPr>
          <w:ilvl w:val="0"/>
          <w:numId w:val="0"/>
        </w:numPr>
        <w:rPr>
          <w:b/>
        </w:rPr>
      </w:pPr>
      <w:r w:rsidRPr="005C3956">
        <w:rPr>
          <w:rFonts w:hint="eastAsia"/>
          <w:b/>
        </w:rPr>
        <w:t>Mr Justice Tang PJ:</w:t>
      </w:r>
    </w:p>
    <w:p w:rsidR="00CC166B" w:rsidRPr="005C78E7" w:rsidRDefault="00CC166B" w:rsidP="00CC166B">
      <w:pPr>
        <w:pStyle w:val="Bob1"/>
        <w:tabs>
          <w:tab w:val="clear" w:pos="720"/>
          <w:tab w:val="num" w:pos="1440"/>
        </w:tabs>
        <w:ind w:left="0" w:firstLine="0"/>
        <w:rPr>
          <w:lang w:val="en-US"/>
        </w:rPr>
      </w:pPr>
      <w:r>
        <w:t xml:space="preserve">I agree with the judgment of Mr Justice </w:t>
      </w:r>
      <w:proofErr w:type="spellStart"/>
      <w:r>
        <w:t>Ribeiro</w:t>
      </w:r>
      <w:proofErr w:type="spellEnd"/>
      <w:r>
        <w:t xml:space="preserve"> PJ.  </w:t>
      </w:r>
    </w:p>
    <w:p w:rsidR="005C3956" w:rsidRPr="005C3956" w:rsidRDefault="005C3956" w:rsidP="005C3956">
      <w:pPr>
        <w:pStyle w:val="Bob1"/>
        <w:numPr>
          <w:ilvl w:val="0"/>
          <w:numId w:val="0"/>
        </w:numPr>
        <w:rPr>
          <w:b/>
        </w:rPr>
      </w:pPr>
      <w:r w:rsidRPr="005C3956">
        <w:rPr>
          <w:rFonts w:hint="eastAsia"/>
          <w:b/>
        </w:rPr>
        <w:t xml:space="preserve">Mr Justice </w:t>
      </w:r>
      <w:proofErr w:type="spellStart"/>
      <w:r w:rsidRPr="005C3956">
        <w:rPr>
          <w:rFonts w:hint="eastAsia"/>
          <w:b/>
        </w:rPr>
        <w:t>Fok</w:t>
      </w:r>
      <w:proofErr w:type="spellEnd"/>
      <w:r w:rsidRPr="005C3956">
        <w:rPr>
          <w:rFonts w:hint="eastAsia"/>
          <w:b/>
        </w:rPr>
        <w:t xml:space="preserve"> PJ:</w:t>
      </w:r>
    </w:p>
    <w:p w:rsidR="00CC166B" w:rsidRPr="005C78E7" w:rsidRDefault="00CC166B" w:rsidP="00CC166B">
      <w:pPr>
        <w:pStyle w:val="Bob1"/>
        <w:tabs>
          <w:tab w:val="clear" w:pos="720"/>
          <w:tab w:val="left" w:pos="1440"/>
        </w:tabs>
        <w:ind w:left="0" w:firstLine="0"/>
        <w:rPr>
          <w:lang w:val="en-US"/>
        </w:rPr>
      </w:pPr>
      <w:r>
        <w:t xml:space="preserve">I agree with the judgment of Mr Justice </w:t>
      </w:r>
      <w:proofErr w:type="spellStart"/>
      <w:r>
        <w:t>Ribeiro</w:t>
      </w:r>
      <w:proofErr w:type="spellEnd"/>
      <w:r>
        <w:t xml:space="preserve"> PJ.  </w:t>
      </w:r>
    </w:p>
    <w:p w:rsidR="005C3956" w:rsidRPr="005C3956" w:rsidRDefault="005C3956" w:rsidP="005C3956">
      <w:pPr>
        <w:pStyle w:val="Bob1"/>
        <w:numPr>
          <w:ilvl w:val="0"/>
          <w:numId w:val="0"/>
        </w:numPr>
        <w:rPr>
          <w:b/>
        </w:rPr>
      </w:pPr>
      <w:r w:rsidRPr="005C3956">
        <w:rPr>
          <w:rFonts w:hint="eastAsia"/>
          <w:b/>
        </w:rPr>
        <w:t>Lord Hoffmann NPJ:</w:t>
      </w:r>
    </w:p>
    <w:p w:rsidR="00CC166B" w:rsidRPr="005C78E7" w:rsidRDefault="00CC166B" w:rsidP="00CC166B">
      <w:pPr>
        <w:pStyle w:val="Bob1"/>
        <w:tabs>
          <w:tab w:val="clear" w:pos="720"/>
          <w:tab w:val="left" w:pos="1440"/>
        </w:tabs>
        <w:ind w:left="0" w:firstLine="0"/>
        <w:jc w:val="both"/>
        <w:rPr>
          <w:lang w:val="en-US"/>
        </w:rPr>
      </w:pPr>
      <w:r>
        <w:t xml:space="preserve">I agree with the judgment of Mr Justice </w:t>
      </w:r>
      <w:proofErr w:type="spellStart"/>
      <w:r>
        <w:t>Ribeiro</w:t>
      </w:r>
      <w:proofErr w:type="spellEnd"/>
      <w:r>
        <w:t xml:space="preserve"> PJ.  </w:t>
      </w:r>
    </w:p>
    <w:p w:rsidR="005C3956" w:rsidRPr="005C3956" w:rsidRDefault="005C3956" w:rsidP="005C3956">
      <w:pPr>
        <w:pStyle w:val="Bob1"/>
        <w:numPr>
          <w:ilvl w:val="0"/>
          <w:numId w:val="0"/>
        </w:numPr>
        <w:rPr>
          <w:b/>
        </w:rPr>
      </w:pPr>
      <w:r w:rsidRPr="005C3956">
        <w:rPr>
          <w:rFonts w:hint="eastAsia"/>
          <w:b/>
        </w:rPr>
        <w:t>Chief Justice Ma:</w:t>
      </w:r>
    </w:p>
    <w:p w:rsidR="005C3956" w:rsidRDefault="00E41B99" w:rsidP="005C3956">
      <w:pPr>
        <w:pStyle w:val="Bob1"/>
        <w:tabs>
          <w:tab w:val="clear" w:pos="720"/>
        </w:tabs>
        <w:ind w:left="1440" w:hanging="1440"/>
      </w:pPr>
      <w:r>
        <w:rPr>
          <w:rFonts w:hint="eastAsia"/>
        </w:rPr>
        <w:t>The Court unanimously dismisses the appeal.</w:t>
      </w:r>
    </w:p>
    <w:p w:rsidR="005C3956" w:rsidRDefault="005C3956">
      <w:r>
        <w:br w:type="page"/>
      </w:r>
    </w:p>
    <w:p w:rsidR="005C3956" w:rsidRDefault="005C3956" w:rsidP="005C3956">
      <w:pPr>
        <w:pStyle w:val="Bob1"/>
        <w:numPr>
          <w:ilvl w:val="0"/>
          <w:numId w:val="0"/>
        </w:numPr>
      </w:pPr>
    </w:p>
    <w:p w:rsidR="005C3956" w:rsidRDefault="005C3956" w:rsidP="005C3956">
      <w:pPr>
        <w:pStyle w:val="Bob1"/>
        <w:numPr>
          <w:ilvl w:val="0"/>
          <w:numId w:val="0"/>
        </w:numPr>
      </w:pPr>
    </w:p>
    <w:tbl>
      <w:tblPr>
        <w:tblW w:w="0" w:type="auto"/>
        <w:jc w:val="center"/>
        <w:tblLook w:val="0000"/>
      </w:tblPr>
      <w:tblGrid>
        <w:gridCol w:w="2952"/>
        <w:gridCol w:w="2952"/>
        <w:gridCol w:w="2952"/>
      </w:tblGrid>
      <w:tr w:rsidR="004814B5" w:rsidRPr="00013FD3" w:rsidTr="001A5749">
        <w:trPr>
          <w:jc w:val="center"/>
        </w:trPr>
        <w:tc>
          <w:tcPr>
            <w:tcW w:w="2952" w:type="dxa"/>
          </w:tcPr>
          <w:p w:rsidR="004814B5" w:rsidRPr="00013FD3" w:rsidRDefault="004814B5" w:rsidP="005C3956">
            <w:pPr>
              <w:tabs>
                <w:tab w:val="left" w:pos="6660"/>
              </w:tabs>
              <w:spacing w:after="0"/>
              <w:jc w:val="center"/>
              <w:rPr>
                <w:szCs w:val="28"/>
              </w:rPr>
            </w:pPr>
            <w:r w:rsidRPr="00013FD3">
              <w:rPr>
                <w:rFonts w:hint="eastAsia"/>
                <w:szCs w:val="28"/>
              </w:rPr>
              <w:t>(Geoffrey Ma)</w:t>
            </w:r>
          </w:p>
          <w:p w:rsidR="004814B5" w:rsidRPr="00013FD3" w:rsidRDefault="004814B5" w:rsidP="005C3956">
            <w:pPr>
              <w:tabs>
                <w:tab w:val="left" w:pos="6660"/>
              </w:tabs>
              <w:spacing w:after="0"/>
              <w:jc w:val="center"/>
              <w:rPr>
                <w:szCs w:val="28"/>
              </w:rPr>
            </w:pPr>
            <w:r w:rsidRPr="00013FD3">
              <w:rPr>
                <w:rFonts w:hint="eastAsia"/>
                <w:szCs w:val="28"/>
              </w:rPr>
              <w:t>Chief Justice</w:t>
            </w:r>
          </w:p>
        </w:tc>
        <w:tc>
          <w:tcPr>
            <w:tcW w:w="2952" w:type="dxa"/>
          </w:tcPr>
          <w:p w:rsidR="004814B5" w:rsidRPr="00013FD3" w:rsidRDefault="004814B5" w:rsidP="005C3956">
            <w:pPr>
              <w:tabs>
                <w:tab w:val="left" w:pos="6660"/>
              </w:tabs>
              <w:spacing w:after="0"/>
              <w:jc w:val="center"/>
              <w:rPr>
                <w:szCs w:val="28"/>
              </w:rPr>
            </w:pPr>
            <w:r w:rsidRPr="00013FD3">
              <w:rPr>
                <w:rFonts w:hint="eastAsia"/>
                <w:szCs w:val="28"/>
              </w:rPr>
              <w:t xml:space="preserve">(R A V </w:t>
            </w:r>
            <w:proofErr w:type="spellStart"/>
            <w:r w:rsidRPr="00013FD3">
              <w:rPr>
                <w:rFonts w:hint="eastAsia"/>
                <w:szCs w:val="28"/>
              </w:rPr>
              <w:t>Ribeiro</w:t>
            </w:r>
            <w:proofErr w:type="spellEnd"/>
            <w:r w:rsidRPr="00013FD3">
              <w:rPr>
                <w:rFonts w:hint="eastAsia"/>
                <w:szCs w:val="28"/>
              </w:rPr>
              <w:t>)</w:t>
            </w:r>
          </w:p>
          <w:p w:rsidR="004814B5" w:rsidRPr="00013FD3" w:rsidRDefault="004814B5" w:rsidP="005C3956">
            <w:pPr>
              <w:tabs>
                <w:tab w:val="left" w:pos="6660"/>
              </w:tabs>
              <w:spacing w:after="0"/>
              <w:jc w:val="center"/>
              <w:rPr>
                <w:szCs w:val="28"/>
              </w:rPr>
            </w:pPr>
            <w:r w:rsidRPr="00013FD3">
              <w:rPr>
                <w:rFonts w:hint="eastAsia"/>
                <w:szCs w:val="28"/>
              </w:rPr>
              <w:t>Permanent Judge</w:t>
            </w:r>
          </w:p>
        </w:tc>
        <w:tc>
          <w:tcPr>
            <w:tcW w:w="2952" w:type="dxa"/>
          </w:tcPr>
          <w:p w:rsidR="004814B5" w:rsidRPr="00013FD3" w:rsidRDefault="004814B5" w:rsidP="005C3956">
            <w:pPr>
              <w:spacing w:after="0"/>
              <w:jc w:val="center"/>
              <w:rPr>
                <w:szCs w:val="28"/>
              </w:rPr>
            </w:pPr>
            <w:r w:rsidRPr="00013FD3">
              <w:rPr>
                <w:rFonts w:hint="eastAsia"/>
                <w:szCs w:val="28"/>
              </w:rPr>
              <w:t>(Robert Tang)</w:t>
            </w:r>
          </w:p>
          <w:p w:rsidR="004814B5" w:rsidRPr="00013FD3" w:rsidRDefault="004814B5" w:rsidP="005C3956">
            <w:pPr>
              <w:tabs>
                <w:tab w:val="left" w:pos="6660"/>
              </w:tabs>
              <w:spacing w:after="0"/>
              <w:jc w:val="center"/>
              <w:rPr>
                <w:szCs w:val="28"/>
              </w:rPr>
            </w:pPr>
            <w:r w:rsidRPr="00013FD3">
              <w:rPr>
                <w:rFonts w:hint="eastAsia"/>
                <w:szCs w:val="28"/>
              </w:rPr>
              <w:t>Permanent Judge</w:t>
            </w:r>
          </w:p>
        </w:tc>
      </w:tr>
    </w:tbl>
    <w:p w:rsidR="004814B5" w:rsidRPr="00013FD3" w:rsidRDefault="004814B5" w:rsidP="005C3956">
      <w:pPr>
        <w:spacing w:after="0"/>
        <w:rPr>
          <w:szCs w:val="28"/>
        </w:rPr>
      </w:pPr>
    </w:p>
    <w:p w:rsidR="004814B5" w:rsidRPr="00013FD3" w:rsidRDefault="004814B5" w:rsidP="005C3956">
      <w:pPr>
        <w:spacing w:after="0"/>
        <w:rPr>
          <w:szCs w:val="28"/>
        </w:rPr>
      </w:pPr>
    </w:p>
    <w:p w:rsidR="004814B5" w:rsidRPr="00013FD3" w:rsidRDefault="004814B5" w:rsidP="005C3956">
      <w:pPr>
        <w:spacing w:after="0"/>
        <w:rPr>
          <w:szCs w:val="28"/>
        </w:rPr>
      </w:pPr>
    </w:p>
    <w:p w:rsidR="004814B5" w:rsidRPr="00013FD3" w:rsidRDefault="004814B5" w:rsidP="005C3956">
      <w:pPr>
        <w:spacing w:after="0"/>
        <w:rPr>
          <w:szCs w:val="28"/>
        </w:rPr>
      </w:pPr>
    </w:p>
    <w:p w:rsidR="004814B5" w:rsidRPr="00013FD3" w:rsidRDefault="004814B5" w:rsidP="005C3956">
      <w:pPr>
        <w:spacing w:after="0"/>
        <w:rPr>
          <w:szCs w:val="28"/>
        </w:rPr>
      </w:pPr>
    </w:p>
    <w:tbl>
      <w:tblPr>
        <w:tblW w:w="0" w:type="auto"/>
        <w:tblLook w:val="0000"/>
      </w:tblPr>
      <w:tblGrid>
        <w:gridCol w:w="4428"/>
        <w:gridCol w:w="4428"/>
      </w:tblGrid>
      <w:tr w:rsidR="004814B5" w:rsidRPr="00013FD3" w:rsidTr="001A5749">
        <w:tc>
          <w:tcPr>
            <w:tcW w:w="4428" w:type="dxa"/>
          </w:tcPr>
          <w:p w:rsidR="004814B5" w:rsidRPr="00013FD3" w:rsidRDefault="004814B5" w:rsidP="005C3956">
            <w:pPr>
              <w:spacing w:after="0"/>
              <w:jc w:val="center"/>
              <w:rPr>
                <w:szCs w:val="28"/>
              </w:rPr>
            </w:pPr>
            <w:r w:rsidRPr="00013FD3">
              <w:rPr>
                <w:rFonts w:hint="eastAsia"/>
                <w:szCs w:val="28"/>
              </w:rPr>
              <w:t xml:space="preserve">(Joseph </w:t>
            </w:r>
            <w:proofErr w:type="spellStart"/>
            <w:r w:rsidRPr="00013FD3">
              <w:rPr>
                <w:rFonts w:hint="eastAsia"/>
                <w:szCs w:val="28"/>
              </w:rPr>
              <w:t>Fok</w:t>
            </w:r>
            <w:proofErr w:type="spellEnd"/>
            <w:r w:rsidRPr="00013FD3">
              <w:rPr>
                <w:rFonts w:hint="eastAsia"/>
                <w:szCs w:val="28"/>
              </w:rPr>
              <w:t>)</w:t>
            </w:r>
          </w:p>
          <w:p w:rsidR="004814B5" w:rsidRPr="00013FD3" w:rsidRDefault="004814B5" w:rsidP="005C3956">
            <w:pPr>
              <w:spacing w:after="0"/>
              <w:jc w:val="center"/>
              <w:rPr>
                <w:szCs w:val="28"/>
              </w:rPr>
            </w:pPr>
            <w:r w:rsidRPr="00013FD3">
              <w:rPr>
                <w:rFonts w:hint="eastAsia"/>
                <w:szCs w:val="28"/>
              </w:rPr>
              <w:t>Permanent Judge</w:t>
            </w:r>
          </w:p>
        </w:tc>
        <w:tc>
          <w:tcPr>
            <w:tcW w:w="4428" w:type="dxa"/>
          </w:tcPr>
          <w:p w:rsidR="004814B5" w:rsidRPr="00F10E0B" w:rsidRDefault="004814B5" w:rsidP="005C3956">
            <w:pPr>
              <w:spacing w:after="0"/>
              <w:jc w:val="center"/>
              <w:rPr>
                <w:szCs w:val="28"/>
              </w:rPr>
            </w:pPr>
            <w:r w:rsidRPr="00F10E0B">
              <w:rPr>
                <w:rFonts w:hint="eastAsia"/>
                <w:szCs w:val="28"/>
              </w:rPr>
              <w:t>(</w:t>
            </w:r>
            <w:r w:rsidRPr="00F10E0B">
              <w:rPr>
                <w:szCs w:val="28"/>
              </w:rPr>
              <w:t xml:space="preserve">Lord </w:t>
            </w:r>
            <w:r>
              <w:rPr>
                <w:rFonts w:eastAsia="宋体" w:hint="eastAsia"/>
                <w:szCs w:val="28"/>
              </w:rPr>
              <w:t>Hoffmann</w:t>
            </w:r>
            <w:r w:rsidRPr="00F10E0B">
              <w:rPr>
                <w:rFonts w:hint="eastAsia"/>
                <w:szCs w:val="28"/>
              </w:rPr>
              <w:t>)</w:t>
            </w:r>
          </w:p>
          <w:p w:rsidR="004814B5" w:rsidRPr="00013FD3" w:rsidRDefault="004814B5" w:rsidP="005C3956">
            <w:pPr>
              <w:spacing w:after="0"/>
              <w:jc w:val="center"/>
              <w:rPr>
                <w:szCs w:val="28"/>
              </w:rPr>
            </w:pPr>
            <w:r w:rsidRPr="00F10E0B">
              <w:rPr>
                <w:rFonts w:hint="eastAsia"/>
                <w:szCs w:val="28"/>
              </w:rPr>
              <w:t>Non-Permanent Judge</w:t>
            </w:r>
          </w:p>
        </w:tc>
      </w:tr>
    </w:tbl>
    <w:p w:rsidR="004814B5" w:rsidRPr="00013FD3" w:rsidRDefault="004814B5" w:rsidP="005C3956">
      <w:pPr>
        <w:pStyle w:val="Bob1"/>
        <w:numPr>
          <w:ilvl w:val="0"/>
          <w:numId w:val="0"/>
        </w:numPr>
        <w:spacing w:after="0" w:line="240" w:lineRule="auto"/>
        <w:rPr>
          <w:szCs w:val="28"/>
        </w:rPr>
      </w:pPr>
    </w:p>
    <w:p w:rsidR="004814B5" w:rsidRDefault="004814B5" w:rsidP="005C3956">
      <w:pPr>
        <w:pStyle w:val="Final"/>
        <w:numPr>
          <w:ilvl w:val="0"/>
          <w:numId w:val="0"/>
        </w:numPr>
        <w:tabs>
          <w:tab w:val="clear" w:pos="720"/>
          <w:tab w:val="left" w:pos="1134"/>
        </w:tabs>
        <w:spacing w:after="0"/>
        <w:ind w:right="-96"/>
        <w:jc w:val="both"/>
        <w:rPr>
          <w:szCs w:val="28"/>
          <w:lang w:eastAsia="zh-CN"/>
        </w:rPr>
      </w:pPr>
    </w:p>
    <w:p w:rsidR="004814B5" w:rsidRDefault="004814B5" w:rsidP="005C3956">
      <w:pPr>
        <w:pStyle w:val="BodyTextIndent"/>
        <w:spacing w:after="0"/>
        <w:ind w:right="-96" w:hanging="360"/>
        <w:jc w:val="both"/>
        <w:rPr>
          <w:szCs w:val="28"/>
        </w:rPr>
      </w:pPr>
      <w:r>
        <w:rPr>
          <w:szCs w:val="28"/>
        </w:rPr>
        <w:t>M</w:t>
      </w:r>
      <w:r>
        <w:rPr>
          <w:rFonts w:hint="eastAsia"/>
          <w:szCs w:val="28"/>
        </w:rPr>
        <w:t>s</w:t>
      </w:r>
      <w:r w:rsidRPr="00001F5E">
        <w:rPr>
          <w:szCs w:val="28"/>
        </w:rPr>
        <w:t xml:space="preserve"> </w:t>
      </w:r>
      <w:r>
        <w:rPr>
          <w:rFonts w:hint="eastAsia"/>
          <w:szCs w:val="28"/>
        </w:rPr>
        <w:t>Felicity Gerry</w:t>
      </w:r>
      <w:r>
        <w:rPr>
          <w:szCs w:val="28"/>
        </w:rPr>
        <w:t xml:space="preserve"> </w:t>
      </w:r>
      <w:r>
        <w:rPr>
          <w:rFonts w:hint="eastAsia"/>
          <w:szCs w:val="28"/>
        </w:rPr>
        <w:t>Q</w:t>
      </w:r>
      <w:r>
        <w:rPr>
          <w:szCs w:val="28"/>
        </w:rPr>
        <w:t>C</w:t>
      </w:r>
      <w:r>
        <w:rPr>
          <w:rFonts w:hint="eastAsia"/>
          <w:szCs w:val="28"/>
        </w:rPr>
        <w:t>, Ms Margaret</w:t>
      </w:r>
      <w:r>
        <w:rPr>
          <w:szCs w:val="28"/>
        </w:rPr>
        <w:t xml:space="preserve"> </w:t>
      </w:r>
      <w:r>
        <w:rPr>
          <w:rFonts w:hint="eastAsia"/>
          <w:szCs w:val="28"/>
        </w:rPr>
        <w:t xml:space="preserve">Ng </w:t>
      </w:r>
      <w:r>
        <w:rPr>
          <w:szCs w:val="28"/>
        </w:rPr>
        <w:t>and M</w:t>
      </w:r>
      <w:r>
        <w:rPr>
          <w:rFonts w:hint="eastAsia"/>
          <w:szCs w:val="28"/>
        </w:rPr>
        <w:t>r</w:t>
      </w:r>
      <w:r w:rsidRPr="00001F5E">
        <w:rPr>
          <w:szCs w:val="28"/>
        </w:rPr>
        <w:t xml:space="preserve"> </w:t>
      </w:r>
      <w:r>
        <w:rPr>
          <w:rFonts w:hint="eastAsia"/>
          <w:szCs w:val="28"/>
        </w:rPr>
        <w:t>Leonard Chow</w:t>
      </w:r>
      <w:r w:rsidRPr="00001F5E">
        <w:rPr>
          <w:szCs w:val="28"/>
        </w:rPr>
        <w:t xml:space="preserve">, instructed by </w:t>
      </w:r>
      <w:r>
        <w:rPr>
          <w:rFonts w:hint="eastAsia"/>
          <w:szCs w:val="28"/>
        </w:rPr>
        <w:t>Cheung, Chan &amp; Chung</w:t>
      </w:r>
      <w:r w:rsidRPr="00001F5E">
        <w:rPr>
          <w:szCs w:val="28"/>
        </w:rPr>
        <w:t xml:space="preserve">, </w:t>
      </w:r>
      <w:r>
        <w:rPr>
          <w:rFonts w:hint="eastAsia"/>
          <w:szCs w:val="28"/>
        </w:rPr>
        <w:t xml:space="preserve">assigned by Director of Legal Aid, </w:t>
      </w:r>
      <w:r w:rsidRPr="00001F5E">
        <w:rPr>
          <w:szCs w:val="28"/>
        </w:rPr>
        <w:t xml:space="preserve">for the </w:t>
      </w:r>
      <w:r>
        <w:rPr>
          <w:rFonts w:hint="eastAsia"/>
          <w:szCs w:val="28"/>
        </w:rPr>
        <w:t>A</w:t>
      </w:r>
      <w:r w:rsidRPr="00001F5E">
        <w:rPr>
          <w:szCs w:val="28"/>
        </w:rPr>
        <w:t>pp</w:t>
      </w:r>
      <w:r>
        <w:rPr>
          <w:rFonts w:hint="eastAsia"/>
          <w:szCs w:val="28"/>
        </w:rPr>
        <w:t>ell</w:t>
      </w:r>
      <w:r>
        <w:rPr>
          <w:szCs w:val="28"/>
        </w:rPr>
        <w:t>ant</w:t>
      </w:r>
    </w:p>
    <w:p w:rsidR="004814B5" w:rsidRPr="00001F5E" w:rsidRDefault="004814B5" w:rsidP="005C3956">
      <w:pPr>
        <w:pStyle w:val="BodyTextIndent"/>
        <w:spacing w:after="0"/>
        <w:ind w:right="-96"/>
        <w:jc w:val="both"/>
        <w:rPr>
          <w:szCs w:val="28"/>
        </w:rPr>
      </w:pPr>
    </w:p>
    <w:p w:rsidR="004814B5" w:rsidRPr="004F542E" w:rsidRDefault="004814B5" w:rsidP="005C3956">
      <w:pPr>
        <w:pStyle w:val="BodyTextIndent"/>
        <w:spacing w:after="0"/>
        <w:ind w:right="-62" w:hanging="360"/>
        <w:jc w:val="both"/>
        <w:rPr>
          <w:szCs w:val="28"/>
        </w:rPr>
      </w:pPr>
      <w:r>
        <w:rPr>
          <w:szCs w:val="28"/>
        </w:rPr>
        <w:t>M</w:t>
      </w:r>
      <w:r>
        <w:rPr>
          <w:rFonts w:hint="eastAsia"/>
          <w:szCs w:val="28"/>
        </w:rPr>
        <w:t>r</w:t>
      </w:r>
      <w:r w:rsidRPr="00001F5E">
        <w:rPr>
          <w:szCs w:val="28"/>
        </w:rPr>
        <w:t xml:space="preserve"> </w:t>
      </w:r>
      <w:r>
        <w:rPr>
          <w:rFonts w:hint="eastAsia"/>
          <w:szCs w:val="28"/>
        </w:rPr>
        <w:t xml:space="preserve">Gerard McCoy SC and Mr Simon N.M. Young, on fiat, and Mr Raymond </w:t>
      </w:r>
      <w:proofErr w:type="gramStart"/>
      <w:r>
        <w:rPr>
          <w:rFonts w:hint="eastAsia"/>
          <w:szCs w:val="28"/>
        </w:rPr>
        <w:t>Cheng  ADPP</w:t>
      </w:r>
      <w:proofErr w:type="gramEnd"/>
      <w:r>
        <w:rPr>
          <w:rFonts w:hint="eastAsia"/>
          <w:szCs w:val="28"/>
        </w:rPr>
        <w:t xml:space="preserve"> (Ag.)</w:t>
      </w:r>
      <w:r w:rsidRPr="00001F5E">
        <w:rPr>
          <w:szCs w:val="28"/>
        </w:rPr>
        <w:t xml:space="preserve">, </w:t>
      </w:r>
      <w:r>
        <w:rPr>
          <w:rFonts w:hint="eastAsia"/>
          <w:szCs w:val="28"/>
        </w:rPr>
        <w:t>of</w:t>
      </w:r>
      <w:r w:rsidRPr="00001F5E">
        <w:rPr>
          <w:szCs w:val="28"/>
        </w:rPr>
        <w:t xml:space="preserve"> the Department of Justice, for the </w:t>
      </w:r>
      <w:r>
        <w:rPr>
          <w:rFonts w:hint="eastAsia"/>
          <w:szCs w:val="28"/>
        </w:rPr>
        <w:t>Respondent</w:t>
      </w:r>
    </w:p>
    <w:p w:rsidR="004814B5" w:rsidRDefault="004814B5" w:rsidP="005C3956">
      <w:pPr>
        <w:pStyle w:val="Bob1"/>
        <w:numPr>
          <w:ilvl w:val="0"/>
          <w:numId w:val="0"/>
        </w:numPr>
        <w:spacing w:after="0"/>
        <w:ind w:left="720"/>
        <w:jc w:val="both"/>
      </w:pPr>
    </w:p>
    <w:sectPr w:rsidR="004814B5"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D0B" w:rsidRDefault="00BF5D0B" w:rsidP="00CC0407">
      <w:pPr>
        <w:spacing w:after="0" w:line="240" w:lineRule="auto"/>
      </w:pPr>
      <w:r>
        <w:separator/>
      </w:r>
    </w:p>
  </w:endnote>
  <w:endnote w:type="continuationSeparator" w:id="0">
    <w:p w:rsidR="00BF5D0B" w:rsidRDefault="00BF5D0B" w:rsidP="00CC0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D0B" w:rsidRDefault="00BF5D0B" w:rsidP="00CC0407">
      <w:pPr>
        <w:spacing w:after="0" w:line="240" w:lineRule="auto"/>
      </w:pPr>
      <w:r>
        <w:separator/>
      </w:r>
    </w:p>
  </w:footnote>
  <w:footnote w:type="continuationSeparator" w:id="0">
    <w:p w:rsidR="00BF5D0B" w:rsidRDefault="00BF5D0B" w:rsidP="00CC0407">
      <w:pPr>
        <w:spacing w:after="0" w:line="240" w:lineRule="auto"/>
      </w:pPr>
      <w:r>
        <w:continuationSeparator/>
      </w:r>
    </w:p>
  </w:footnote>
  <w:footnote w:id="1">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[1985] 1 AC 168.</w:t>
      </w:r>
      <w:proofErr w:type="gramEnd"/>
    </w:p>
  </w:footnote>
  <w:footnote w:id="2">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(2004) 7 HKCFAR 475.</w:t>
      </w:r>
      <w:proofErr w:type="gramEnd"/>
    </w:p>
  </w:footnote>
  <w:footnote w:id="3">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[2016] 2 WLR 681.</w:t>
      </w:r>
      <w:proofErr w:type="gramEnd"/>
    </w:p>
  </w:footnote>
  <w:footnote w:id="4">
    <w:p w:rsidR="00AE67AB" w:rsidRDefault="00AE67AB" w:rsidP="004814B5">
      <w:pPr>
        <w:pStyle w:val="FootnoteText"/>
        <w:tabs>
          <w:tab w:val="left" w:pos="360"/>
        </w:tabs>
        <w:ind w:left="360" w:hanging="360"/>
        <w:jc w:val="both"/>
      </w:pPr>
      <w:r>
        <w:rPr>
          <w:rStyle w:val="FootnoteReference"/>
        </w:rPr>
        <w:footnoteRef/>
      </w:r>
      <w:r>
        <w:t xml:space="preserve"> </w:t>
      </w:r>
      <w:r>
        <w:tab/>
      </w:r>
      <w:r w:rsidRPr="00794C32">
        <w:rPr>
          <w:i/>
        </w:rPr>
        <w:t xml:space="preserve">Miller v </w:t>
      </w:r>
      <w:proofErr w:type="gramStart"/>
      <w:r w:rsidRPr="00794C32">
        <w:rPr>
          <w:i/>
        </w:rPr>
        <w:t>The Queen; Presley v The</w:t>
      </w:r>
      <w:proofErr w:type="gramEnd"/>
      <w:r w:rsidRPr="00794C32">
        <w:rPr>
          <w:i/>
        </w:rPr>
        <w:t xml:space="preserve"> Director of Public Prosecutions</w:t>
      </w:r>
      <w:r w:rsidRPr="00794C32">
        <w:t xml:space="preserve"> [2016] HCA 30</w:t>
      </w:r>
      <w:r>
        <w:t>.</w:t>
      </w:r>
    </w:p>
  </w:footnote>
  <w:footnote w:id="5">
    <w:p w:rsidR="00AE67AB" w:rsidRDefault="00AE67AB" w:rsidP="004814B5">
      <w:pPr>
        <w:pStyle w:val="FootnoteText"/>
        <w:tabs>
          <w:tab w:val="left" w:pos="360"/>
        </w:tabs>
        <w:ind w:left="360" w:hanging="360"/>
        <w:jc w:val="both"/>
      </w:pPr>
      <w:r>
        <w:rPr>
          <w:rStyle w:val="FootnoteReference"/>
        </w:rPr>
        <w:footnoteRef/>
      </w:r>
      <w:r>
        <w:t xml:space="preserve"> </w:t>
      </w:r>
      <w:r>
        <w:tab/>
        <w:t>HCCC 365/2013 (17 June 2014).  He was also convicted of acting as a member of a triad society.</w:t>
      </w:r>
    </w:p>
  </w:footnote>
  <w:footnote w:id="6">
    <w:p w:rsidR="00375210" w:rsidRDefault="00375210" w:rsidP="004814B5">
      <w:pPr>
        <w:pStyle w:val="FootnoteText"/>
        <w:tabs>
          <w:tab w:val="left" w:pos="360"/>
        </w:tabs>
        <w:ind w:left="360" w:hanging="360"/>
        <w:jc w:val="both"/>
      </w:pPr>
      <w:r>
        <w:rPr>
          <w:rStyle w:val="FootnoteReference"/>
        </w:rPr>
        <w:footnoteRef/>
      </w:r>
      <w:r>
        <w:t xml:space="preserve"> </w:t>
      </w:r>
      <w:r>
        <w:tab/>
      </w:r>
      <w:proofErr w:type="gramStart"/>
      <w:r>
        <w:t xml:space="preserve">Court of Appeal, </w:t>
      </w:r>
      <w:proofErr w:type="spellStart"/>
      <w:r>
        <w:t>Lunn</w:t>
      </w:r>
      <w:proofErr w:type="spellEnd"/>
      <w:r>
        <w:t xml:space="preserve"> VP, </w:t>
      </w:r>
      <w:proofErr w:type="spellStart"/>
      <w:r>
        <w:t>Macrae</w:t>
      </w:r>
      <w:proofErr w:type="spellEnd"/>
      <w:r>
        <w:t xml:space="preserve"> JA and Barnes J, CACC 231/2014 (30 June 2015) </w:t>
      </w:r>
      <w:r w:rsidR="00D64F17">
        <w:t>at</w:t>
      </w:r>
      <w:r>
        <w:t xml:space="preserve"> §19.</w:t>
      </w:r>
      <w:proofErr w:type="gramEnd"/>
    </w:p>
  </w:footnote>
  <w:footnote w:id="7">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 xml:space="preserve">Per </w:t>
      </w:r>
      <w:proofErr w:type="spellStart"/>
      <w:r>
        <w:t>Lunn</w:t>
      </w:r>
      <w:proofErr w:type="spellEnd"/>
      <w:r>
        <w:t xml:space="preserve"> VP, giving the </w:t>
      </w:r>
      <w:r w:rsidR="00375210">
        <w:t>judgment of the Court of Appeal at</w:t>
      </w:r>
      <w:r>
        <w:t xml:space="preserve"> §83.</w:t>
      </w:r>
      <w:proofErr w:type="gramEnd"/>
      <w:r>
        <w:t xml:space="preserve">  This reflected the prosecution case: Court of Appeal</w:t>
      </w:r>
      <w:r w:rsidR="00D64F17">
        <w:t xml:space="preserve"> at</w:t>
      </w:r>
      <w:r>
        <w:t xml:space="preserve"> §§31 and 63-64.</w:t>
      </w:r>
    </w:p>
  </w:footnote>
  <w:footnote w:id="8">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 xml:space="preserve">Court of Appeal </w:t>
      </w:r>
      <w:r w:rsidR="00D64F17">
        <w:t xml:space="preserve">at </w:t>
      </w:r>
      <w:r>
        <w:t>§84.</w:t>
      </w:r>
      <w:proofErr w:type="gramEnd"/>
    </w:p>
  </w:footnote>
  <w:footnote w:id="9">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Cap 221.</w:t>
      </w:r>
      <w:proofErr w:type="gramEnd"/>
      <w:r>
        <w:t xml:space="preserve">  It was originally enacted to duplicate s</w:t>
      </w:r>
      <w:r w:rsidRPr="00BA360C">
        <w:t>ection 8 of the Accessories and Abettors Ac</w:t>
      </w:r>
      <w:r>
        <w:t>t 1861</w:t>
      </w:r>
      <w:r w:rsidRPr="00BA360C">
        <w:t xml:space="preserve"> </w:t>
      </w:r>
      <w:r>
        <w:t xml:space="preserve">which </w:t>
      </w:r>
      <w:r w:rsidRPr="00BA360C">
        <w:t xml:space="preserve">provides: "Whosoever shall aid, abet, counsel or procure the commission of any </w:t>
      </w:r>
      <w:proofErr w:type="spellStart"/>
      <w:r w:rsidRPr="00BA360C">
        <w:t>misdemeanor</w:t>
      </w:r>
      <w:proofErr w:type="spellEnd"/>
      <w:r w:rsidRPr="00BA360C">
        <w:t xml:space="preserve">, whether the same be a </w:t>
      </w:r>
      <w:proofErr w:type="spellStart"/>
      <w:r w:rsidRPr="00BA360C">
        <w:t>misdemeanor</w:t>
      </w:r>
      <w:proofErr w:type="spellEnd"/>
      <w:r w:rsidRPr="00BA360C">
        <w:t xml:space="preserve"> at common law or by virtue of any Act passed or to be passed, shall be liable to be tried, indicted and punished as a principal offender."  </w:t>
      </w:r>
      <w:r>
        <w:t>That section is generally h</w:t>
      </w:r>
      <w:r w:rsidR="00E41B99">
        <w:t>eld to be purely procedural and</w:t>
      </w:r>
      <w:r>
        <w:t xml:space="preserve"> while section 89 appears to address substantive liability, it has not been regarded as adding anything to the established common law principles.</w:t>
      </w:r>
    </w:p>
  </w:footnote>
  <w:footnote w:id="10">
    <w:p w:rsidR="00AE67AB" w:rsidRPr="008247F8"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8247F8">
        <w:rPr>
          <w:i/>
        </w:rPr>
        <w:t xml:space="preserve">Ferguson v Weaving </w:t>
      </w:r>
      <w:r w:rsidRPr="008247F8">
        <w:t>[1951] 1 KB 81</w:t>
      </w:r>
      <w:r>
        <w:t xml:space="preserve">4 at 818-819; </w:t>
      </w:r>
      <w:r w:rsidRPr="008247F8">
        <w:rPr>
          <w:i/>
        </w:rPr>
        <w:t>R v Stringer</w:t>
      </w:r>
      <w:r w:rsidR="00B843CF">
        <w:t xml:space="preserve"> [201</w:t>
      </w:r>
      <w:r w:rsidR="00B843CF">
        <w:rPr>
          <w:rFonts w:hint="eastAsia"/>
        </w:rPr>
        <w:t>2</w:t>
      </w:r>
      <w:r w:rsidRPr="008247F8">
        <w:t>] QB 160</w:t>
      </w:r>
      <w:r>
        <w:t xml:space="preserve"> at §43.</w:t>
      </w:r>
      <w:proofErr w:type="gramEnd"/>
    </w:p>
  </w:footnote>
  <w:footnote w:id="11">
    <w:p w:rsidR="00AE67AB" w:rsidRPr="00AF0684"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AF0684">
        <w:rPr>
          <w:i/>
        </w:rPr>
        <w:t>R v Coney</w:t>
      </w:r>
      <w:r w:rsidRPr="00AF0684">
        <w:t xml:space="preserve"> (1881-82) LR 8 QBD 534</w:t>
      </w:r>
      <w:r>
        <w:t xml:space="preserve">; </w:t>
      </w:r>
      <w:r w:rsidRPr="008247F8">
        <w:rPr>
          <w:i/>
        </w:rPr>
        <w:t>R v Stringer</w:t>
      </w:r>
      <w:r w:rsidR="00B843CF">
        <w:t xml:space="preserve"> [201</w:t>
      </w:r>
      <w:r w:rsidR="00B843CF">
        <w:rPr>
          <w:rFonts w:hint="eastAsia"/>
        </w:rPr>
        <w:t>2</w:t>
      </w:r>
      <w:r w:rsidRPr="008247F8">
        <w:t>] QB 160</w:t>
      </w:r>
      <w:r>
        <w:t xml:space="preserve"> at §43.</w:t>
      </w:r>
      <w:proofErr w:type="gramEnd"/>
    </w:p>
  </w:footnote>
  <w:footnote w:id="12">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AF0684">
        <w:rPr>
          <w:i/>
        </w:rPr>
        <w:t>R v Coney</w:t>
      </w:r>
      <w:r w:rsidRPr="00AF0684">
        <w:t xml:space="preserve"> (1881-82) LR 8 QBD 534</w:t>
      </w:r>
      <w:r>
        <w:t xml:space="preserve"> at 546; </w:t>
      </w:r>
      <w:r w:rsidRPr="00F0495B">
        <w:rPr>
          <w:rFonts w:eastAsia="宋体"/>
          <w:i/>
          <w:szCs w:val="24"/>
        </w:rPr>
        <w:t xml:space="preserve">Maxwell v DPP for NI </w:t>
      </w:r>
      <w:r w:rsidRPr="00F0495B">
        <w:rPr>
          <w:rFonts w:eastAsia="宋体"/>
          <w:szCs w:val="24"/>
        </w:rPr>
        <w:t>[1978] 1 WLR 1350</w:t>
      </w:r>
      <w:r>
        <w:rPr>
          <w:rFonts w:eastAsia="宋体"/>
          <w:szCs w:val="24"/>
        </w:rPr>
        <w:t xml:space="preserve"> at 1359.</w:t>
      </w:r>
      <w:proofErr w:type="gramEnd"/>
      <w:r>
        <w:rPr>
          <w:rFonts w:eastAsia="宋体"/>
          <w:szCs w:val="24"/>
        </w:rPr>
        <w:t xml:space="preserve">  </w:t>
      </w:r>
      <w:r>
        <w:t xml:space="preserve">But it is of course unnecessary for the aider and </w:t>
      </w:r>
      <w:proofErr w:type="spellStart"/>
      <w:r>
        <w:t>abbettor</w:t>
      </w:r>
      <w:proofErr w:type="spellEnd"/>
      <w:r>
        <w:t xml:space="preserve"> to know that such conduct contravenes the law, ignorance of the law being no defence: </w:t>
      </w:r>
      <w:r w:rsidRPr="00F94779">
        <w:rPr>
          <w:i/>
        </w:rPr>
        <w:t xml:space="preserve">Johnson v </w:t>
      </w:r>
      <w:proofErr w:type="spellStart"/>
      <w:r w:rsidRPr="00F94779">
        <w:rPr>
          <w:i/>
        </w:rPr>
        <w:t>Youden</w:t>
      </w:r>
      <w:proofErr w:type="spellEnd"/>
      <w:r w:rsidRPr="00F94779">
        <w:t xml:space="preserve"> [1950] 1 KB 544</w:t>
      </w:r>
      <w:r>
        <w:t xml:space="preserve"> at 546.</w:t>
      </w:r>
    </w:p>
  </w:footnote>
  <w:footnote w:id="13">
    <w:p w:rsidR="00AE67AB" w:rsidRPr="00B61BBC"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B61BBC">
        <w:rPr>
          <w:i/>
        </w:rPr>
        <w:t>Ferguson v Weaving</w:t>
      </w:r>
      <w:r w:rsidR="00B843CF">
        <w:t xml:space="preserve"> [1951] 1 KB 8</w:t>
      </w:r>
      <w:r w:rsidR="00B843CF">
        <w:rPr>
          <w:rFonts w:hint="eastAsia"/>
        </w:rPr>
        <w:t>14</w:t>
      </w:r>
      <w:r>
        <w:t>.</w:t>
      </w:r>
      <w:proofErr w:type="gramEnd"/>
      <w:r>
        <w:t xml:space="preserve">  </w:t>
      </w:r>
    </w:p>
  </w:footnote>
  <w:footnote w:id="14">
    <w:p w:rsidR="00AE67AB" w:rsidRPr="00B61BBC"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566BE4">
        <w:rPr>
          <w:i/>
        </w:rPr>
        <w:t>A-G’s Reference (No 1 of 1975)</w:t>
      </w:r>
      <w:r w:rsidRPr="00B61BBC">
        <w:t xml:space="preserve"> [1975] QB 773</w:t>
      </w:r>
      <w:r>
        <w:t xml:space="preserve"> at 779.</w:t>
      </w:r>
      <w:proofErr w:type="gramEnd"/>
    </w:p>
  </w:footnote>
  <w:footnote w:id="15">
    <w:p w:rsidR="00AE67AB" w:rsidRPr="00EE6118" w:rsidRDefault="00AE67AB" w:rsidP="004814B5">
      <w:pPr>
        <w:pStyle w:val="FootnoteText"/>
        <w:tabs>
          <w:tab w:val="left" w:pos="360"/>
        </w:tabs>
        <w:ind w:left="360" w:hanging="360"/>
        <w:jc w:val="both"/>
      </w:pPr>
      <w:r>
        <w:rPr>
          <w:rStyle w:val="FootnoteReference"/>
        </w:rPr>
        <w:footnoteRef/>
      </w:r>
      <w:r>
        <w:t xml:space="preserve"> </w:t>
      </w:r>
      <w:r>
        <w:tab/>
      </w:r>
      <w:proofErr w:type="spellStart"/>
      <w:r>
        <w:rPr>
          <w:i/>
        </w:rPr>
        <w:t>Osland</w:t>
      </w:r>
      <w:proofErr w:type="spellEnd"/>
      <w:r>
        <w:rPr>
          <w:i/>
        </w:rPr>
        <w:t xml:space="preserve"> v The Queen</w:t>
      </w:r>
      <w:r w:rsidRPr="00EE6118">
        <w:t xml:space="preserve"> (1998) 197 CLR 316</w:t>
      </w:r>
      <w:r>
        <w:t xml:space="preserve"> at §71 and §207.</w:t>
      </w:r>
    </w:p>
  </w:footnote>
  <w:footnote w:id="16">
    <w:p w:rsidR="00AE67AB" w:rsidRDefault="00AE67AB" w:rsidP="004814B5">
      <w:pPr>
        <w:pStyle w:val="FootnoteText"/>
        <w:tabs>
          <w:tab w:val="left" w:pos="360"/>
        </w:tabs>
      </w:pPr>
      <w:r>
        <w:rPr>
          <w:rStyle w:val="FootnoteReference"/>
        </w:rPr>
        <w:footnoteRef/>
      </w:r>
      <w:r>
        <w:t xml:space="preserve"> </w:t>
      </w:r>
      <w:r>
        <w:tab/>
      </w:r>
      <w:proofErr w:type="gramStart"/>
      <w:r w:rsidRPr="00F0495B">
        <w:t>[1960] 1 QB 129</w:t>
      </w:r>
      <w:r>
        <w:t>.</w:t>
      </w:r>
      <w:proofErr w:type="gramEnd"/>
    </w:p>
  </w:footnote>
  <w:footnote w:id="17">
    <w:p w:rsidR="00AE67AB" w:rsidRDefault="00AE67AB" w:rsidP="004814B5">
      <w:pPr>
        <w:pStyle w:val="FootnoteText"/>
        <w:tabs>
          <w:tab w:val="left" w:pos="360"/>
        </w:tabs>
      </w:pPr>
      <w:r>
        <w:rPr>
          <w:rStyle w:val="FootnoteReference"/>
        </w:rPr>
        <w:footnoteRef/>
      </w:r>
      <w:r>
        <w:t xml:space="preserve"> </w:t>
      </w:r>
      <w:r>
        <w:tab/>
      </w:r>
      <w:proofErr w:type="gramStart"/>
      <w:r w:rsidRPr="00F0495B">
        <w:t>[1978] 1 WLR 1350</w:t>
      </w:r>
      <w:r>
        <w:t>.</w:t>
      </w:r>
      <w:proofErr w:type="gramEnd"/>
    </w:p>
  </w:footnote>
  <w:footnote w:id="18">
    <w:p w:rsidR="00AE67AB" w:rsidRDefault="00AE67AB" w:rsidP="004814B5">
      <w:pPr>
        <w:pStyle w:val="FootnoteText"/>
        <w:tabs>
          <w:tab w:val="left" w:pos="360"/>
        </w:tabs>
      </w:pPr>
      <w:r>
        <w:rPr>
          <w:rStyle w:val="FootnoteReference"/>
        </w:rPr>
        <w:footnoteRef/>
      </w:r>
      <w:r>
        <w:t xml:space="preserve"> </w:t>
      </w:r>
      <w:r>
        <w:tab/>
      </w:r>
      <w:proofErr w:type="gramStart"/>
      <w:r>
        <w:t>At 1362.</w:t>
      </w:r>
      <w:proofErr w:type="gramEnd"/>
    </w:p>
  </w:footnote>
  <w:footnote w:id="19">
    <w:p w:rsidR="00AE67AB" w:rsidRDefault="00AE67AB" w:rsidP="004814B5">
      <w:pPr>
        <w:pStyle w:val="FootnoteText"/>
        <w:tabs>
          <w:tab w:val="left" w:pos="360"/>
        </w:tabs>
        <w:jc w:val="both"/>
      </w:pPr>
      <w:r>
        <w:rPr>
          <w:rStyle w:val="FootnoteReference"/>
        </w:rPr>
        <w:footnoteRef/>
      </w:r>
      <w:r>
        <w:t xml:space="preserve"> </w:t>
      </w:r>
      <w:r>
        <w:tab/>
      </w:r>
      <w:proofErr w:type="gramStart"/>
      <w:r w:rsidRPr="009902A9">
        <w:t>[1999] 1 AC 1</w:t>
      </w:r>
      <w:r>
        <w:t xml:space="preserve"> at 16.</w:t>
      </w:r>
      <w:proofErr w:type="gramEnd"/>
    </w:p>
  </w:footnote>
  <w:footnote w:id="20">
    <w:p w:rsidR="00AE67AB" w:rsidRDefault="00AE67AB" w:rsidP="004814B5">
      <w:pPr>
        <w:pStyle w:val="FootnoteText"/>
        <w:tabs>
          <w:tab w:val="left" w:pos="360"/>
        </w:tabs>
        <w:jc w:val="both"/>
      </w:pPr>
      <w:r>
        <w:rPr>
          <w:rStyle w:val="FootnoteReference"/>
        </w:rPr>
        <w:footnoteRef/>
      </w:r>
      <w:r>
        <w:t xml:space="preserve"> </w:t>
      </w:r>
      <w:r>
        <w:tab/>
      </w:r>
      <w:proofErr w:type="gramStart"/>
      <w:r w:rsidRPr="009902A9">
        <w:t>[1992] 1 AC 34</w:t>
      </w:r>
      <w:r>
        <w:t xml:space="preserve"> at 44.</w:t>
      </w:r>
      <w:proofErr w:type="gramEnd"/>
    </w:p>
  </w:footnote>
  <w:footnote w:id="21">
    <w:p w:rsidR="00AE67AB" w:rsidRPr="00B838E2" w:rsidRDefault="00AE67AB" w:rsidP="004814B5">
      <w:pPr>
        <w:pStyle w:val="FootnoteText"/>
        <w:tabs>
          <w:tab w:val="left" w:pos="360"/>
        </w:tabs>
        <w:ind w:left="360" w:hanging="360"/>
        <w:jc w:val="both"/>
        <w:rPr>
          <w:rFonts w:eastAsia="宋体"/>
          <w:szCs w:val="24"/>
        </w:rPr>
      </w:pPr>
      <w:r>
        <w:rPr>
          <w:rStyle w:val="FootnoteReference"/>
        </w:rPr>
        <w:footnoteRef/>
      </w:r>
      <w:r>
        <w:t xml:space="preserve"> </w:t>
      </w:r>
      <w:r>
        <w:tab/>
      </w:r>
      <w:proofErr w:type="spellStart"/>
      <w:proofErr w:type="gramStart"/>
      <w:r>
        <w:t>Eg</w:t>
      </w:r>
      <w:proofErr w:type="spellEnd"/>
      <w:r>
        <w:t xml:space="preserve">, in </w:t>
      </w:r>
      <w:r w:rsidRPr="00F0495B">
        <w:rPr>
          <w:rFonts w:eastAsia="宋体"/>
          <w:i/>
          <w:szCs w:val="24"/>
        </w:rPr>
        <w:t xml:space="preserve">R v Hyde </w:t>
      </w:r>
      <w:r w:rsidRPr="00F0495B">
        <w:rPr>
          <w:rFonts w:eastAsia="宋体"/>
          <w:szCs w:val="24"/>
        </w:rPr>
        <w:t>[1991] 1 QB 134</w:t>
      </w:r>
      <w:r>
        <w:rPr>
          <w:rFonts w:eastAsia="宋体"/>
          <w:szCs w:val="24"/>
        </w:rPr>
        <w:t xml:space="preserve"> at 136; </w:t>
      </w:r>
      <w:r w:rsidRPr="00F0495B">
        <w:rPr>
          <w:rFonts w:eastAsia="宋体"/>
          <w:i/>
          <w:szCs w:val="24"/>
        </w:rPr>
        <w:t xml:space="preserve">R v </w:t>
      </w:r>
      <w:proofErr w:type="spellStart"/>
      <w:r w:rsidRPr="00F0495B">
        <w:rPr>
          <w:rFonts w:eastAsia="宋体"/>
          <w:i/>
          <w:szCs w:val="24"/>
        </w:rPr>
        <w:t>Rahman</w:t>
      </w:r>
      <w:proofErr w:type="spellEnd"/>
      <w:r w:rsidRPr="00F0495B">
        <w:rPr>
          <w:rFonts w:eastAsia="宋体"/>
          <w:i/>
          <w:szCs w:val="24"/>
        </w:rPr>
        <w:t xml:space="preserve"> </w:t>
      </w:r>
      <w:r w:rsidR="00B843CF">
        <w:rPr>
          <w:rFonts w:eastAsia="宋体"/>
          <w:szCs w:val="24"/>
        </w:rPr>
        <w:t>[200</w:t>
      </w:r>
      <w:r w:rsidR="00B843CF">
        <w:rPr>
          <w:rFonts w:eastAsia="宋体" w:hint="eastAsia"/>
          <w:szCs w:val="24"/>
        </w:rPr>
        <w:t>9</w:t>
      </w:r>
      <w:r w:rsidRPr="00F0495B">
        <w:rPr>
          <w:rFonts w:eastAsia="宋体"/>
          <w:szCs w:val="24"/>
        </w:rPr>
        <w:t>] 1 AC 129</w:t>
      </w:r>
      <w:r>
        <w:rPr>
          <w:rFonts w:eastAsia="宋体"/>
          <w:szCs w:val="24"/>
        </w:rPr>
        <w:t xml:space="preserve"> at §4; </w:t>
      </w:r>
      <w:r w:rsidRPr="002D04BB">
        <w:rPr>
          <w:rFonts w:eastAsia="宋体"/>
          <w:i/>
          <w:szCs w:val="24"/>
        </w:rPr>
        <w:t>Clayton v The Queen</w:t>
      </w:r>
      <w:r w:rsidRPr="002D04BB">
        <w:rPr>
          <w:rFonts w:eastAsia="宋体"/>
          <w:szCs w:val="24"/>
        </w:rPr>
        <w:t xml:space="preserve"> (2006) 81 ALJR 439</w:t>
      </w:r>
      <w:r>
        <w:rPr>
          <w:rFonts w:eastAsia="宋体"/>
          <w:szCs w:val="24"/>
        </w:rPr>
        <w:t xml:space="preserve"> at §11; and </w:t>
      </w:r>
      <w:r w:rsidRPr="00B838E2">
        <w:rPr>
          <w:rFonts w:eastAsia="宋体"/>
          <w:i/>
          <w:szCs w:val="24"/>
        </w:rPr>
        <w:t>Miller v The Queen</w:t>
      </w:r>
      <w:r w:rsidRPr="00B838E2">
        <w:rPr>
          <w:rFonts w:eastAsia="宋体"/>
          <w:szCs w:val="24"/>
        </w:rPr>
        <w:t xml:space="preserve"> [2016] HCA 30</w:t>
      </w:r>
      <w:r>
        <w:rPr>
          <w:rFonts w:eastAsia="宋体"/>
          <w:szCs w:val="24"/>
        </w:rPr>
        <w:t xml:space="preserve"> at §35.</w:t>
      </w:r>
      <w:proofErr w:type="gramEnd"/>
    </w:p>
  </w:footnote>
  <w:footnote w:id="22">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[1955] 2 QB 497 at 503.</w:t>
      </w:r>
      <w:proofErr w:type="gramEnd"/>
    </w:p>
  </w:footnote>
  <w:footnote w:id="23">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rsidR="00723F52">
        <w:t xml:space="preserve">D </w:t>
      </w:r>
      <w:proofErr w:type="spellStart"/>
      <w:r w:rsidR="00723F52">
        <w:t>Ormerod</w:t>
      </w:r>
      <w:proofErr w:type="spellEnd"/>
      <w:r w:rsidR="00723F52">
        <w:t xml:space="preserve"> QC and K Laird, </w:t>
      </w:r>
      <w:r w:rsidR="00723F52">
        <w:rPr>
          <w:i/>
        </w:rPr>
        <w:t xml:space="preserve">Smith and Hogan’s Criminal Law </w:t>
      </w:r>
      <w:r w:rsidR="00723F52">
        <w:t>(OUP, 14</w:t>
      </w:r>
      <w:r w:rsidR="00723F52" w:rsidRPr="00645771">
        <w:rPr>
          <w:vertAlign w:val="superscript"/>
        </w:rPr>
        <w:t>th</w:t>
      </w:r>
      <w:r w:rsidR="00723F52">
        <w:t xml:space="preserve"> Ed) (“</w:t>
      </w:r>
      <w:r w:rsidR="00723F52">
        <w:rPr>
          <w:u w:val="single"/>
        </w:rPr>
        <w:t>Smith &amp; Hogan</w:t>
      </w:r>
      <w:r w:rsidR="00723F52">
        <w:t>”)</w:t>
      </w:r>
      <w:r>
        <w:t>, p 206.</w:t>
      </w:r>
      <w:proofErr w:type="gramEnd"/>
    </w:p>
  </w:footnote>
  <w:footnote w:id="24">
    <w:p w:rsidR="00AE67AB" w:rsidRDefault="00AE67AB" w:rsidP="004814B5">
      <w:pPr>
        <w:pStyle w:val="FootnoteText"/>
        <w:tabs>
          <w:tab w:val="left" w:pos="360"/>
        </w:tabs>
        <w:ind w:left="360" w:hanging="360"/>
        <w:jc w:val="both"/>
      </w:pPr>
      <w:r>
        <w:rPr>
          <w:rStyle w:val="FootnoteReference"/>
        </w:rPr>
        <w:footnoteRef/>
      </w:r>
      <w:r>
        <w:t xml:space="preserve"> </w:t>
      </w:r>
      <w:r>
        <w:tab/>
      </w:r>
      <w:r w:rsidRPr="004D06CF">
        <w:rPr>
          <w:i/>
          <w:szCs w:val="24"/>
        </w:rPr>
        <w:t xml:space="preserve">R v </w:t>
      </w:r>
      <w:proofErr w:type="spellStart"/>
      <w:r w:rsidRPr="004D06CF">
        <w:rPr>
          <w:i/>
          <w:szCs w:val="24"/>
        </w:rPr>
        <w:t>Jogee</w:t>
      </w:r>
      <w:proofErr w:type="spellEnd"/>
      <w:r w:rsidRPr="004D06CF">
        <w:rPr>
          <w:i/>
          <w:szCs w:val="24"/>
        </w:rPr>
        <w:t xml:space="preserve">; Ruddock v </w:t>
      </w:r>
      <w:proofErr w:type="gramStart"/>
      <w:r w:rsidRPr="004D06CF">
        <w:rPr>
          <w:i/>
          <w:szCs w:val="24"/>
        </w:rPr>
        <w:t>The</w:t>
      </w:r>
      <w:proofErr w:type="gramEnd"/>
      <w:r w:rsidRPr="004D06CF">
        <w:rPr>
          <w:i/>
          <w:szCs w:val="24"/>
        </w:rPr>
        <w:t xml:space="preserve"> Queen</w:t>
      </w:r>
      <w:r w:rsidRPr="00D12C9C">
        <w:rPr>
          <w:szCs w:val="24"/>
        </w:rPr>
        <w:t xml:space="preserve"> [2016] 2 WLR 681</w:t>
      </w:r>
      <w:r>
        <w:rPr>
          <w:szCs w:val="24"/>
        </w:rPr>
        <w:t xml:space="preserve"> at §88.</w:t>
      </w:r>
    </w:p>
  </w:footnote>
  <w:footnote w:id="25">
    <w:p w:rsidR="00AE67AB" w:rsidRDefault="00AE67AB" w:rsidP="004814B5">
      <w:pPr>
        <w:pStyle w:val="FootnoteText"/>
        <w:tabs>
          <w:tab w:val="left" w:pos="360"/>
        </w:tabs>
      </w:pPr>
      <w:r>
        <w:rPr>
          <w:rStyle w:val="FootnoteReference"/>
        </w:rPr>
        <w:footnoteRef/>
      </w:r>
      <w:r w:rsidR="00B843CF">
        <w:t xml:space="preserve"> </w:t>
      </w:r>
      <w:r w:rsidR="00B843CF">
        <w:tab/>
      </w:r>
      <w:proofErr w:type="gramStart"/>
      <w:r w:rsidR="00B843CF">
        <w:t>(18</w:t>
      </w:r>
      <w:r>
        <w:t>4</w:t>
      </w:r>
      <w:r w:rsidR="00B843CF">
        <w:rPr>
          <w:rFonts w:hint="eastAsia"/>
        </w:rPr>
        <w:t>6</w:t>
      </w:r>
      <w:r>
        <w:t>) 2 Car &amp; K 230.</w:t>
      </w:r>
      <w:proofErr w:type="gramEnd"/>
    </w:p>
  </w:footnote>
  <w:footnote w:id="26">
    <w:p w:rsidR="00AE67AB" w:rsidRDefault="00AE67AB" w:rsidP="004814B5">
      <w:pPr>
        <w:pStyle w:val="FootnoteText"/>
        <w:tabs>
          <w:tab w:val="left" w:pos="360"/>
        </w:tabs>
      </w:pPr>
      <w:r>
        <w:rPr>
          <w:rStyle w:val="FootnoteReference"/>
        </w:rPr>
        <w:footnoteRef/>
      </w:r>
      <w:r>
        <w:t xml:space="preserve"> </w:t>
      </w:r>
      <w:r>
        <w:tab/>
        <w:t>[1907] 1 KB 40 at 45-46.</w:t>
      </w:r>
    </w:p>
  </w:footnote>
  <w:footnote w:id="27">
    <w:p w:rsidR="00AE67AB" w:rsidRDefault="00AE67AB" w:rsidP="004814B5">
      <w:pPr>
        <w:pStyle w:val="FootnoteText"/>
        <w:tabs>
          <w:tab w:val="left" w:pos="360"/>
        </w:tabs>
      </w:pPr>
      <w:r>
        <w:rPr>
          <w:rStyle w:val="FootnoteReference"/>
        </w:rPr>
        <w:footnoteRef/>
      </w:r>
      <w:r w:rsidR="00B843CF">
        <w:t xml:space="preserve"> </w:t>
      </w:r>
      <w:r w:rsidR="00B843CF">
        <w:tab/>
      </w:r>
      <w:proofErr w:type="gramStart"/>
      <w:r w:rsidR="00B843CF">
        <w:t xml:space="preserve">[1988] </w:t>
      </w:r>
      <w:proofErr w:type="spellStart"/>
      <w:r>
        <w:t>Crim</w:t>
      </w:r>
      <w:proofErr w:type="spellEnd"/>
      <w:r>
        <w:t xml:space="preserve"> L R 677.</w:t>
      </w:r>
      <w:proofErr w:type="gramEnd"/>
    </w:p>
  </w:footnote>
  <w:footnote w:id="28">
    <w:p w:rsidR="00723F52" w:rsidRDefault="00723F52" w:rsidP="004814B5">
      <w:pPr>
        <w:pStyle w:val="FootnoteText"/>
        <w:tabs>
          <w:tab w:val="left" w:pos="360"/>
        </w:tabs>
      </w:pPr>
      <w:r>
        <w:rPr>
          <w:rStyle w:val="FootnoteReference"/>
        </w:rPr>
        <w:footnoteRef/>
      </w:r>
      <w:r>
        <w:t xml:space="preserve"> </w:t>
      </w:r>
      <w:r>
        <w:tab/>
      </w:r>
      <w:proofErr w:type="gramStart"/>
      <w:r w:rsidRPr="000E5ED2">
        <w:t>[2003] UKPC 10</w:t>
      </w:r>
      <w:r>
        <w:t>.</w:t>
      </w:r>
      <w:proofErr w:type="gramEnd"/>
      <w:r>
        <w:t xml:space="preserve">  See Section C.1 below.</w:t>
      </w:r>
    </w:p>
  </w:footnote>
  <w:footnote w:id="29">
    <w:p w:rsidR="00AE67AB" w:rsidRDefault="00AE67AB" w:rsidP="004814B5">
      <w:pPr>
        <w:pStyle w:val="FootnoteText"/>
        <w:tabs>
          <w:tab w:val="left" w:pos="360"/>
        </w:tabs>
      </w:pPr>
      <w:r>
        <w:rPr>
          <w:rStyle w:val="FootnoteReference"/>
        </w:rPr>
        <w:footnoteRef/>
      </w:r>
      <w:r>
        <w:t xml:space="preserve"> </w:t>
      </w:r>
      <w:r>
        <w:tab/>
      </w:r>
      <w:proofErr w:type="gramStart"/>
      <w:r w:rsidRPr="008A57D2">
        <w:t>(1980) 143 CLR 108</w:t>
      </w:r>
      <w:r>
        <w:t xml:space="preserve"> at 118.</w:t>
      </w:r>
      <w:proofErr w:type="gramEnd"/>
    </w:p>
  </w:footnote>
  <w:footnote w:id="30">
    <w:p w:rsidR="00AE67AB" w:rsidRDefault="00AE67AB" w:rsidP="004814B5">
      <w:pPr>
        <w:pStyle w:val="FootnoteText"/>
        <w:tabs>
          <w:tab w:val="left" w:pos="360"/>
        </w:tabs>
      </w:pPr>
      <w:r>
        <w:rPr>
          <w:rStyle w:val="FootnoteReference"/>
        </w:rPr>
        <w:footnoteRef/>
      </w:r>
      <w:r>
        <w:t xml:space="preserve"> </w:t>
      </w:r>
      <w:r>
        <w:tab/>
      </w:r>
      <w:proofErr w:type="gramStart"/>
      <w:r w:rsidRPr="00736602">
        <w:t>[1999] 1 AC 1</w:t>
      </w:r>
      <w:r>
        <w:t xml:space="preserve"> at 14.</w:t>
      </w:r>
      <w:proofErr w:type="gramEnd"/>
    </w:p>
  </w:footnote>
  <w:footnote w:id="31">
    <w:p w:rsidR="00AE67AB" w:rsidRDefault="00AE67AB" w:rsidP="004814B5">
      <w:pPr>
        <w:pStyle w:val="FootnoteText"/>
        <w:tabs>
          <w:tab w:val="left" w:pos="360"/>
        </w:tabs>
      </w:pPr>
      <w:r>
        <w:rPr>
          <w:rStyle w:val="FootnoteReference"/>
        </w:rPr>
        <w:footnoteRef/>
      </w:r>
      <w:r>
        <w:t xml:space="preserve"> </w:t>
      </w:r>
      <w:r>
        <w:tab/>
      </w:r>
      <w:proofErr w:type="gramStart"/>
      <w:r w:rsidR="00B843CF">
        <w:t>[1985]</w:t>
      </w:r>
      <w:r w:rsidR="00B843CF">
        <w:rPr>
          <w:rFonts w:hint="eastAsia"/>
        </w:rPr>
        <w:t xml:space="preserve"> 1 </w:t>
      </w:r>
      <w:r w:rsidRPr="00BC6A84">
        <w:t>AC 168</w:t>
      </w:r>
      <w:r>
        <w:t xml:space="preserve"> at 175.</w:t>
      </w:r>
      <w:proofErr w:type="gramEnd"/>
    </w:p>
  </w:footnote>
  <w:footnote w:id="32">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102B0D">
        <w:t>(1995) 183 CLR 108</w:t>
      </w:r>
      <w:r w:rsidR="00B843CF">
        <w:t xml:space="preserve"> at 11</w:t>
      </w:r>
      <w:r w:rsidR="00B843CF">
        <w:rPr>
          <w:rFonts w:hint="eastAsia"/>
        </w:rPr>
        <w:t>4</w:t>
      </w:r>
      <w:r>
        <w:t xml:space="preserve">, per </w:t>
      </w:r>
      <w:r w:rsidRPr="00102B0D">
        <w:t>Brennan C</w:t>
      </w:r>
      <w:r>
        <w:t>J</w:t>
      </w:r>
      <w:r w:rsidRPr="00102B0D">
        <w:t xml:space="preserve">, Deane, Dawson, </w:t>
      </w:r>
      <w:proofErr w:type="spellStart"/>
      <w:r w:rsidRPr="00102B0D">
        <w:t>Toohey</w:t>
      </w:r>
      <w:proofErr w:type="spellEnd"/>
      <w:r w:rsidRPr="00102B0D">
        <w:t xml:space="preserve"> </w:t>
      </w:r>
      <w:r>
        <w:t>a</w:t>
      </w:r>
      <w:r w:rsidRPr="00102B0D">
        <w:t xml:space="preserve">nd </w:t>
      </w:r>
      <w:proofErr w:type="spellStart"/>
      <w:r w:rsidRPr="00102B0D">
        <w:t>Gummow</w:t>
      </w:r>
      <w:proofErr w:type="spellEnd"/>
      <w:r>
        <w:t xml:space="preserve"> </w:t>
      </w:r>
      <w:r w:rsidRPr="00102B0D">
        <w:t>JJ</w:t>
      </w:r>
      <w:r>
        <w:t>.</w:t>
      </w:r>
      <w:proofErr w:type="gramEnd"/>
    </w:p>
  </w:footnote>
  <w:footnote w:id="33">
    <w:p w:rsidR="00AE67AB" w:rsidRDefault="00AE67AB" w:rsidP="004814B5">
      <w:pPr>
        <w:pStyle w:val="FootnoteText"/>
        <w:tabs>
          <w:tab w:val="left" w:pos="360"/>
        </w:tabs>
        <w:ind w:left="360" w:hanging="360"/>
        <w:jc w:val="both"/>
      </w:pPr>
      <w:r>
        <w:rPr>
          <w:rStyle w:val="FootnoteReference"/>
        </w:rPr>
        <w:footnoteRef/>
      </w:r>
      <w:r>
        <w:t xml:space="preserve"> </w:t>
      </w:r>
      <w:r>
        <w:tab/>
      </w:r>
      <w:proofErr w:type="spellStart"/>
      <w:r>
        <w:t>Simester</w:t>
      </w:r>
      <w:proofErr w:type="spellEnd"/>
      <w:r>
        <w:t>, “</w:t>
      </w:r>
      <w:r w:rsidRPr="004B1C19">
        <w:rPr>
          <w:i/>
        </w:rPr>
        <w:t>The Mental Element in Complicity</w:t>
      </w:r>
      <w:r>
        <w:t>” (2006) 122 LQR 578 at 596-599</w:t>
      </w:r>
      <w:r w:rsidR="00E41B99">
        <w:rPr>
          <w:rFonts w:hint="eastAsia"/>
        </w:rPr>
        <w:t>.</w:t>
      </w:r>
    </w:p>
  </w:footnote>
  <w:footnote w:id="34">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4B1C19">
        <w:t>(2006) 81 ALJR 439</w:t>
      </w:r>
      <w:r>
        <w:t xml:space="preserve"> at §20, per Gleeson CJ, </w:t>
      </w:r>
      <w:proofErr w:type="spellStart"/>
      <w:r>
        <w:t>Gummow</w:t>
      </w:r>
      <w:proofErr w:type="spellEnd"/>
      <w:r>
        <w:t xml:space="preserve">, Hayne, </w:t>
      </w:r>
      <w:proofErr w:type="spellStart"/>
      <w:r>
        <w:t>Callinan</w:t>
      </w:r>
      <w:proofErr w:type="spellEnd"/>
      <w:r>
        <w:t xml:space="preserve">, </w:t>
      </w:r>
      <w:proofErr w:type="spellStart"/>
      <w:r>
        <w:t>Heydon</w:t>
      </w:r>
      <w:proofErr w:type="spellEnd"/>
      <w:r>
        <w:t xml:space="preserve"> and </w:t>
      </w:r>
      <w:proofErr w:type="spellStart"/>
      <w:r>
        <w:t>Crennan</w:t>
      </w:r>
      <w:proofErr w:type="spellEnd"/>
      <w:r>
        <w:t xml:space="preserve"> JJ (with Kirby J dissenting).</w:t>
      </w:r>
      <w:proofErr w:type="gramEnd"/>
    </w:p>
  </w:footnote>
  <w:footnote w:id="35">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rsidRPr="00831417">
        <w:t>[1995] 1 Cr App R 441</w:t>
      </w:r>
      <w:r>
        <w:t xml:space="preserve"> at 447.</w:t>
      </w:r>
      <w:proofErr w:type="gramEnd"/>
    </w:p>
  </w:footnote>
  <w:footnote w:id="36">
    <w:p w:rsidR="00AE67AB" w:rsidRDefault="00AE67AB" w:rsidP="004814B5">
      <w:pPr>
        <w:pStyle w:val="FootnoteText"/>
        <w:tabs>
          <w:tab w:val="left" w:pos="360"/>
        </w:tabs>
        <w:jc w:val="both"/>
      </w:pPr>
      <w:r>
        <w:rPr>
          <w:rStyle w:val="FootnoteReference"/>
        </w:rPr>
        <w:footnoteRef/>
      </w:r>
      <w:r>
        <w:t xml:space="preserve"> </w:t>
      </w:r>
      <w:r>
        <w:tab/>
      </w:r>
      <w:proofErr w:type="gramStart"/>
      <w:r w:rsidRPr="00831417">
        <w:t>(2004) 7 HKCFAR 475</w:t>
      </w:r>
      <w:r>
        <w:t>.</w:t>
      </w:r>
      <w:proofErr w:type="gramEnd"/>
    </w:p>
  </w:footnote>
  <w:footnote w:id="37">
    <w:p w:rsidR="00AE67AB" w:rsidRDefault="00AE67AB" w:rsidP="004814B5">
      <w:pPr>
        <w:pStyle w:val="FootnoteText"/>
        <w:tabs>
          <w:tab w:val="left" w:pos="360"/>
        </w:tabs>
        <w:jc w:val="both"/>
      </w:pPr>
      <w:r>
        <w:rPr>
          <w:rStyle w:val="FootnoteReference"/>
        </w:rPr>
        <w:footnoteRef/>
      </w:r>
      <w:r>
        <w:t xml:space="preserve"> </w:t>
      </w:r>
      <w:r>
        <w:tab/>
      </w:r>
      <w:proofErr w:type="gramStart"/>
      <w:r>
        <w:t>At §19.</w:t>
      </w:r>
      <w:proofErr w:type="gramEnd"/>
    </w:p>
  </w:footnote>
  <w:footnote w:id="38">
    <w:p w:rsidR="00AE67AB" w:rsidRPr="00BC6A84" w:rsidRDefault="00AE67AB" w:rsidP="004814B5">
      <w:pPr>
        <w:pStyle w:val="FootnoteText"/>
        <w:tabs>
          <w:tab w:val="left" w:pos="360"/>
        </w:tabs>
        <w:ind w:left="360" w:hanging="360"/>
        <w:jc w:val="both"/>
      </w:pPr>
      <w:r>
        <w:rPr>
          <w:rStyle w:val="FootnoteReference"/>
        </w:rPr>
        <w:footnoteRef/>
      </w:r>
      <w:r>
        <w:t xml:space="preserve"> </w:t>
      </w:r>
      <w:r>
        <w:tab/>
      </w:r>
      <w:proofErr w:type="gramStart"/>
      <w:r>
        <w:t xml:space="preserve">At §34, citing among other cases, </w:t>
      </w:r>
      <w:r>
        <w:rPr>
          <w:i/>
        </w:rPr>
        <w:t xml:space="preserve">Chan Wing </w:t>
      </w:r>
      <w:proofErr w:type="spellStart"/>
      <w:r>
        <w:rPr>
          <w:i/>
        </w:rPr>
        <w:t>Siu</w:t>
      </w:r>
      <w:proofErr w:type="spellEnd"/>
      <w:r>
        <w:rPr>
          <w:i/>
        </w:rPr>
        <w:t xml:space="preserve"> </w:t>
      </w:r>
      <w:r w:rsidRPr="00BC6A84">
        <w:t xml:space="preserve">[1985] </w:t>
      </w:r>
      <w:r w:rsidR="00B843CF">
        <w:rPr>
          <w:rFonts w:hint="eastAsia"/>
        </w:rPr>
        <w:t xml:space="preserve">1 </w:t>
      </w:r>
      <w:r w:rsidRPr="00BC6A84">
        <w:t>AC 168</w:t>
      </w:r>
      <w:r>
        <w:rPr>
          <w:i/>
        </w:rPr>
        <w:t xml:space="preserve"> </w:t>
      </w:r>
      <w:r>
        <w:t>at 175 and 177.</w:t>
      </w:r>
      <w:proofErr w:type="gramEnd"/>
    </w:p>
  </w:footnote>
  <w:footnote w:id="39">
    <w:p w:rsidR="00AE67AB" w:rsidRPr="00EB5545" w:rsidRDefault="00AE67AB" w:rsidP="004814B5">
      <w:pPr>
        <w:pStyle w:val="FootnoteText"/>
        <w:tabs>
          <w:tab w:val="left" w:pos="360"/>
        </w:tabs>
        <w:ind w:left="360" w:hanging="360"/>
        <w:jc w:val="both"/>
      </w:pPr>
      <w:r>
        <w:rPr>
          <w:rStyle w:val="FootnoteReference"/>
        </w:rPr>
        <w:footnoteRef/>
      </w:r>
      <w:r>
        <w:t xml:space="preserve"> </w:t>
      </w:r>
      <w:r>
        <w:tab/>
      </w:r>
      <w:proofErr w:type="spellStart"/>
      <w:r>
        <w:t>Eg</w:t>
      </w:r>
      <w:proofErr w:type="spellEnd"/>
      <w:r>
        <w:t xml:space="preserve">, Hughes LJ asserted in </w:t>
      </w:r>
      <w:r>
        <w:rPr>
          <w:i/>
        </w:rPr>
        <w:t>A, B, C &amp; D v The Queen</w:t>
      </w:r>
      <w:r>
        <w:t xml:space="preserve"> </w:t>
      </w:r>
      <w:r w:rsidRPr="00EB5545">
        <w:t xml:space="preserve">[2010] EWCA </w:t>
      </w:r>
      <w:proofErr w:type="spellStart"/>
      <w:r w:rsidRPr="00EB5545">
        <w:t>Crim</w:t>
      </w:r>
      <w:proofErr w:type="spellEnd"/>
      <w:r w:rsidRPr="00EB5545">
        <w:t xml:space="preserve"> 1622</w:t>
      </w:r>
      <w:r>
        <w:t xml:space="preserve"> at §37</w:t>
      </w:r>
      <w:r w:rsidRPr="00A5767F">
        <w:t xml:space="preserve"> </w:t>
      </w:r>
      <w:r>
        <w:t>that joint criminal enterprise involves a derivative liability.</w:t>
      </w:r>
    </w:p>
  </w:footnote>
  <w:footnote w:id="40">
    <w:p w:rsidR="00AE67AB" w:rsidRDefault="00AE67AB" w:rsidP="004814B5">
      <w:pPr>
        <w:pStyle w:val="FootnoteText"/>
        <w:tabs>
          <w:tab w:val="left" w:pos="360"/>
        </w:tabs>
        <w:ind w:left="360" w:hanging="360"/>
        <w:jc w:val="both"/>
      </w:pPr>
      <w:r>
        <w:rPr>
          <w:rStyle w:val="FootnoteReference"/>
        </w:rPr>
        <w:footnoteRef/>
      </w:r>
      <w:r>
        <w:t xml:space="preserve"> </w:t>
      </w:r>
      <w:r>
        <w:tab/>
      </w:r>
      <w:proofErr w:type="gramStart"/>
      <w:r>
        <w:t>Smith &amp; Hogan at p 260.</w:t>
      </w:r>
      <w:proofErr w:type="gramEnd"/>
      <w:r>
        <w:t xml:space="preserve"> </w:t>
      </w:r>
    </w:p>
  </w:footnote>
  <w:footnote w:id="41">
    <w:p w:rsidR="00AE67AB" w:rsidRDefault="00AE67AB" w:rsidP="004814B5">
      <w:pPr>
        <w:pStyle w:val="FootnoteText"/>
        <w:tabs>
          <w:tab w:val="left" w:pos="360"/>
        </w:tabs>
      </w:pPr>
      <w:r>
        <w:rPr>
          <w:rStyle w:val="FootnoteReference"/>
        </w:rPr>
        <w:footnoteRef/>
      </w:r>
      <w:r>
        <w:t xml:space="preserve"> </w:t>
      </w:r>
      <w:r>
        <w:tab/>
      </w:r>
      <w:proofErr w:type="gramStart"/>
      <w:r w:rsidRPr="00343C9C">
        <w:t>[2016] HCA 30</w:t>
      </w:r>
      <w:r>
        <w:t xml:space="preserve"> at §4.</w:t>
      </w:r>
      <w:proofErr w:type="gramEnd"/>
    </w:p>
  </w:footnote>
  <w:footnote w:id="42">
    <w:p w:rsidR="00AE67AB" w:rsidRDefault="00AE67AB" w:rsidP="004814B5">
      <w:pPr>
        <w:pStyle w:val="FootnoteText"/>
        <w:tabs>
          <w:tab w:val="left" w:pos="360"/>
        </w:tabs>
      </w:pPr>
      <w:r>
        <w:rPr>
          <w:rStyle w:val="FootnoteReference"/>
        </w:rPr>
        <w:footnoteRef/>
      </w:r>
      <w:r>
        <w:t xml:space="preserve"> </w:t>
      </w:r>
      <w:r>
        <w:tab/>
      </w:r>
      <w:proofErr w:type="gramStart"/>
      <w:r w:rsidRPr="006715A8">
        <w:t>[2003] UKPC 10</w:t>
      </w:r>
      <w:r>
        <w:t>.</w:t>
      </w:r>
      <w:proofErr w:type="gramEnd"/>
    </w:p>
  </w:footnote>
  <w:footnote w:id="43">
    <w:p w:rsidR="00AE67AB" w:rsidRDefault="00AE67AB" w:rsidP="004814B5">
      <w:pPr>
        <w:pStyle w:val="FootnoteText"/>
        <w:tabs>
          <w:tab w:val="left" w:pos="360"/>
        </w:tabs>
      </w:pPr>
      <w:r>
        <w:rPr>
          <w:rStyle w:val="FootnoteReference"/>
        </w:rPr>
        <w:footnoteRef/>
      </w:r>
      <w:r w:rsidR="00B843CF">
        <w:t xml:space="preserve"> </w:t>
      </w:r>
      <w:r w:rsidR="00B843CF">
        <w:tab/>
      </w:r>
      <w:proofErr w:type="gramStart"/>
      <w:r w:rsidR="00B843CF">
        <w:t>(18</w:t>
      </w:r>
      <w:r>
        <w:t>4</w:t>
      </w:r>
      <w:r w:rsidR="00B843CF">
        <w:rPr>
          <w:rFonts w:hint="eastAsia"/>
        </w:rPr>
        <w:t>6</w:t>
      </w:r>
      <w:r>
        <w:t>) 2 Car &amp; K 230.</w:t>
      </w:r>
      <w:proofErr w:type="gramEnd"/>
    </w:p>
  </w:footnote>
  <w:footnote w:id="44">
    <w:p w:rsidR="00AE67AB" w:rsidRDefault="00AE67AB" w:rsidP="004814B5">
      <w:pPr>
        <w:pStyle w:val="FootnoteText"/>
        <w:tabs>
          <w:tab w:val="left" w:pos="360"/>
        </w:tabs>
      </w:pPr>
      <w:r>
        <w:rPr>
          <w:rStyle w:val="FootnoteReference"/>
        </w:rPr>
        <w:footnoteRef/>
      </w:r>
      <w:r w:rsidR="00B843CF">
        <w:t xml:space="preserve"> </w:t>
      </w:r>
      <w:r w:rsidR="00B843CF">
        <w:tab/>
      </w:r>
      <w:proofErr w:type="gramStart"/>
      <w:r w:rsidR="00B843CF">
        <w:t>At §§8 and</w:t>
      </w:r>
      <w:r w:rsidR="00B843CF">
        <w:rPr>
          <w:rFonts w:hint="eastAsia"/>
        </w:rPr>
        <w:t xml:space="preserve"> </w:t>
      </w:r>
      <w:r>
        <w:t>13.</w:t>
      </w:r>
      <w:proofErr w:type="gramEnd"/>
    </w:p>
  </w:footnote>
  <w:footnote w:id="45">
    <w:p w:rsidR="00AE67AB" w:rsidRDefault="00AE67AB" w:rsidP="004814B5">
      <w:pPr>
        <w:pStyle w:val="FootnoteText"/>
        <w:tabs>
          <w:tab w:val="left" w:pos="360"/>
        </w:tabs>
      </w:pPr>
      <w:r>
        <w:rPr>
          <w:rStyle w:val="FootnoteReference"/>
        </w:rPr>
        <w:footnoteRef/>
      </w:r>
      <w:r>
        <w:t xml:space="preserve"> </w:t>
      </w:r>
      <w:r>
        <w:tab/>
      </w:r>
      <w:proofErr w:type="gramStart"/>
      <w:r>
        <w:t>At §14.</w:t>
      </w:r>
      <w:proofErr w:type="gramEnd"/>
    </w:p>
  </w:footnote>
  <w:footnote w:id="46">
    <w:p w:rsidR="00AE67AB" w:rsidRDefault="00AE67AB" w:rsidP="004814B5">
      <w:pPr>
        <w:pStyle w:val="FootnoteText"/>
        <w:tabs>
          <w:tab w:val="left" w:pos="360"/>
        </w:tabs>
      </w:pPr>
      <w:r>
        <w:rPr>
          <w:rStyle w:val="FootnoteReference"/>
        </w:rPr>
        <w:footnoteRef/>
      </w:r>
      <w:r>
        <w:t xml:space="preserve"> </w:t>
      </w:r>
      <w:r>
        <w:tab/>
      </w:r>
      <w:proofErr w:type="gramStart"/>
      <w:r w:rsidRPr="00B0510C">
        <w:t>[1967] 2 AC 187</w:t>
      </w:r>
      <w:r>
        <w:t xml:space="preserve"> at 194.</w:t>
      </w:r>
      <w:proofErr w:type="gramEnd"/>
    </w:p>
  </w:footnote>
  <w:footnote w:id="47">
    <w:p w:rsidR="00AE67AB" w:rsidRPr="00D8319E" w:rsidRDefault="00AE67AB" w:rsidP="004814B5">
      <w:pPr>
        <w:pStyle w:val="FootnoteText"/>
        <w:tabs>
          <w:tab w:val="left" w:pos="360"/>
        </w:tabs>
      </w:pPr>
      <w:r>
        <w:rPr>
          <w:rStyle w:val="FootnoteReference"/>
        </w:rPr>
        <w:footnoteRef/>
      </w:r>
      <w:r>
        <w:t xml:space="preserve"> </w:t>
      </w:r>
      <w:r>
        <w:tab/>
      </w:r>
      <w:proofErr w:type="gramStart"/>
      <w:r w:rsidRPr="00D8319E">
        <w:t>(2006) 81 ALJR 439</w:t>
      </w:r>
      <w:r>
        <w:t xml:space="preserve"> at §20.</w:t>
      </w:r>
      <w:proofErr w:type="gramEnd"/>
    </w:p>
  </w:footnote>
  <w:footnote w:id="48">
    <w:p w:rsidR="00AE67AB" w:rsidRPr="00495279" w:rsidRDefault="00AE67AB" w:rsidP="00DB1BD7">
      <w:pPr>
        <w:pStyle w:val="FootnoteText"/>
        <w:tabs>
          <w:tab w:val="left" w:pos="360"/>
        </w:tabs>
        <w:ind w:left="360" w:hanging="360"/>
        <w:jc w:val="both"/>
      </w:pPr>
      <w:r>
        <w:rPr>
          <w:rStyle w:val="FootnoteReference"/>
        </w:rPr>
        <w:footnoteRef/>
      </w:r>
      <w:r>
        <w:t xml:space="preserve"> </w:t>
      </w:r>
      <w:r>
        <w:tab/>
        <w:t xml:space="preserve">As noted in the </w:t>
      </w:r>
      <w:r>
        <w:rPr>
          <w:i/>
        </w:rPr>
        <w:t xml:space="preserve">Miller </w:t>
      </w:r>
      <w:r>
        <w:t>joint judgment (</w:t>
      </w:r>
      <w:r w:rsidRPr="00B838E2">
        <w:rPr>
          <w:rFonts w:eastAsia="宋体"/>
          <w:szCs w:val="24"/>
        </w:rPr>
        <w:t>[2016] HCA 30</w:t>
      </w:r>
      <w:r>
        <w:rPr>
          <w:rFonts w:eastAsia="宋体"/>
          <w:szCs w:val="24"/>
        </w:rPr>
        <w:t xml:space="preserve"> at §5), </w:t>
      </w:r>
      <w:r>
        <w:t>Professor J C Smith has pointed out that the doctrine is no recent innovation and that “[the] rule imposing liability for offences committed in the course of committing the offence assisted or encouraged seems to be almost as old as the law of aiding and abetting itself.”</w:t>
      </w:r>
      <w:r w:rsidRPr="002573E4">
        <w:t xml:space="preserve"> </w:t>
      </w:r>
      <w:r>
        <w:t>(J C Smith, “</w:t>
      </w:r>
      <w:r>
        <w:rPr>
          <w:i/>
        </w:rPr>
        <w:t>Criminal liability of accessories: law and law reform</w:t>
      </w:r>
      <w:r>
        <w:t>” [1997] LQR 453 at 456) There were however differences in detail from the modern doctrine, for instance, in requiring the further felony to be “a probable consequence” of what the accessory had counselled or procured.</w:t>
      </w:r>
      <w:r w:rsidR="00495279">
        <w:t xml:space="preserve">  A detailed historical analysis is contained in Findlay Stark, </w:t>
      </w:r>
      <w:r w:rsidR="00495279">
        <w:rPr>
          <w:i/>
        </w:rPr>
        <w:t>“The Demise of ‘Parasitic Accessorial Liability’: Substantive Judicial Law Reform, Not Common Law Housekeeping</w:t>
      </w:r>
      <w:r w:rsidR="00495279">
        <w:t xml:space="preserve">” [2016] </w:t>
      </w:r>
      <w:r w:rsidR="00B843CF">
        <w:rPr>
          <w:rFonts w:hint="eastAsia"/>
        </w:rPr>
        <w:t xml:space="preserve">75(3) </w:t>
      </w:r>
      <w:r w:rsidR="00495279">
        <w:t>CLJ 550</w:t>
      </w:r>
      <w:r w:rsidR="00B25E58">
        <w:t xml:space="preserve">; </w:t>
      </w:r>
      <w:proofErr w:type="spellStart"/>
      <w:r w:rsidR="00B25E58">
        <w:t>cf</w:t>
      </w:r>
      <w:proofErr w:type="spellEnd"/>
      <w:r w:rsidR="00B25E58">
        <w:t xml:space="preserve"> Dr Matthew Dyson, </w:t>
      </w:r>
      <w:r w:rsidR="00B25E58">
        <w:rPr>
          <w:i/>
        </w:rPr>
        <w:t xml:space="preserve">“Bases and </w:t>
      </w:r>
      <w:proofErr w:type="spellStart"/>
      <w:r w:rsidR="00B25E58">
        <w:rPr>
          <w:i/>
        </w:rPr>
        <w:t>Baselessness</w:t>
      </w:r>
      <w:proofErr w:type="spellEnd"/>
      <w:r w:rsidR="00B25E58">
        <w:rPr>
          <w:i/>
        </w:rPr>
        <w:t xml:space="preserve"> in Secondary Liability” </w:t>
      </w:r>
      <w:r w:rsidR="00B25E58">
        <w:t>University of Cambridge Faculty of Law Research paper 31/2015</w:t>
      </w:r>
      <w:r w:rsidR="00495279">
        <w:t>.</w:t>
      </w:r>
    </w:p>
  </w:footnote>
  <w:footnote w:id="49">
    <w:p w:rsidR="00AE67AB" w:rsidRDefault="00AE67AB" w:rsidP="00DB1BD7">
      <w:pPr>
        <w:pStyle w:val="FootnoteText"/>
        <w:tabs>
          <w:tab w:val="left" w:pos="360"/>
        </w:tabs>
        <w:ind w:left="360" w:hanging="360"/>
        <w:jc w:val="both"/>
      </w:pPr>
      <w:r>
        <w:rPr>
          <w:rStyle w:val="FootnoteReference"/>
        </w:rPr>
        <w:footnoteRef/>
      </w:r>
      <w:r>
        <w:t xml:space="preserve"> </w:t>
      </w:r>
      <w:r>
        <w:tab/>
      </w:r>
      <w:proofErr w:type="gramStart"/>
      <w:r w:rsidRPr="008A57D2">
        <w:t>(1980) 143 CLR 108</w:t>
      </w:r>
      <w:r>
        <w:t xml:space="preserve"> at 118.</w:t>
      </w:r>
      <w:proofErr w:type="gramEnd"/>
    </w:p>
  </w:footnote>
  <w:footnote w:id="50">
    <w:p w:rsidR="00AE67AB" w:rsidRDefault="00AE67AB" w:rsidP="00DB1BD7">
      <w:pPr>
        <w:pStyle w:val="FootnoteText"/>
        <w:tabs>
          <w:tab w:val="left" w:pos="360"/>
        </w:tabs>
      </w:pPr>
      <w:r>
        <w:rPr>
          <w:rStyle w:val="FootnoteReference"/>
        </w:rPr>
        <w:footnoteRef/>
      </w:r>
      <w:r>
        <w:t xml:space="preserve"> </w:t>
      </w:r>
      <w:r>
        <w:tab/>
      </w:r>
      <w:proofErr w:type="gramStart"/>
      <w:r>
        <w:rPr>
          <w:i/>
        </w:rPr>
        <w:t xml:space="preserve">Johns </w:t>
      </w:r>
      <w:r>
        <w:t>at 119.</w:t>
      </w:r>
      <w:proofErr w:type="gramEnd"/>
    </w:p>
  </w:footnote>
  <w:footnote w:id="51">
    <w:p w:rsidR="00AE67AB" w:rsidRDefault="00AE67AB" w:rsidP="00DB1BD7">
      <w:pPr>
        <w:pStyle w:val="FootnoteText"/>
        <w:tabs>
          <w:tab w:val="left" w:pos="360"/>
        </w:tabs>
      </w:pPr>
      <w:r>
        <w:rPr>
          <w:rStyle w:val="FootnoteReference"/>
        </w:rPr>
        <w:footnoteRef/>
      </w:r>
      <w:r>
        <w:t xml:space="preserve"> </w:t>
      </w:r>
      <w:r>
        <w:tab/>
      </w:r>
      <w:proofErr w:type="gramStart"/>
      <w:r>
        <w:rPr>
          <w:i/>
        </w:rPr>
        <w:t xml:space="preserve">Johns </w:t>
      </w:r>
      <w:r>
        <w:t>at 125.</w:t>
      </w:r>
      <w:proofErr w:type="gramEnd"/>
    </w:p>
  </w:footnote>
  <w:footnote w:id="52">
    <w:p w:rsidR="00AE67AB" w:rsidRPr="00CC049C" w:rsidRDefault="00AE67AB" w:rsidP="00DB1BD7">
      <w:pPr>
        <w:pStyle w:val="FootnoteText"/>
        <w:tabs>
          <w:tab w:val="left" w:pos="360"/>
        </w:tabs>
        <w:rPr>
          <w:i/>
        </w:rPr>
      </w:pPr>
      <w:r>
        <w:rPr>
          <w:rStyle w:val="FootnoteReference"/>
        </w:rPr>
        <w:footnoteRef/>
      </w:r>
      <w:r>
        <w:t xml:space="preserve"> </w:t>
      </w:r>
      <w:r>
        <w:tab/>
      </w:r>
      <w:r>
        <w:rPr>
          <w:i/>
        </w:rPr>
        <w:t xml:space="preserve">Johns </w:t>
      </w:r>
      <w:r>
        <w:t>at 130-131.</w:t>
      </w:r>
      <w:r>
        <w:rPr>
          <w:i/>
        </w:rPr>
        <w:t xml:space="preserve"> </w:t>
      </w:r>
    </w:p>
  </w:footnote>
  <w:footnote w:id="53">
    <w:p w:rsidR="00AE67AB" w:rsidRPr="00066A77" w:rsidRDefault="00AE67AB" w:rsidP="00DB1BD7">
      <w:pPr>
        <w:pStyle w:val="FootnoteText"/>
        <w:tabs>
          <w:tab w:val="left" w:pos="360"/>
        </w:tabs>
        <w:ind w:left="360" w:hanging="360"/>
        <w:jc w:val="both"/>
      </w:pPr>
      <w:r>
        <w:rPr>
          <w:rStyle w:val="FootnoteReference"/>
        </w:rPr>
        <w:footnoteRef/>
      </w:r>
      <w:r>
        <w:t xml:space="preserve"> </w:t>
      </w:r>
      <w:r>
        <w:tab/>
      </w:r>
      <w:proofErr w:type="gramStart"/>
      <w:r>
        <w:rPr>
          <w:i/>
        </w:rPr>
        <w:t xml:space="preserve">Johns </w:t>
      </w:r>
      <w:r>
        <w:t>at 131.</w:t>
      </w:r>
      <w:proofErr w:type="gramEnd"/>
      <w:r>
        <w:t xml:space="preserve">  </w:t>
      </w:r>
      <w:r>
        <w:rPr>
          <w:i/>
        </w:rPr>
        <w:t xml:space="preserve">Johns </w:t>
      </w:r>
      <w:r w:rsidR="00E41B99">
        <w:t xml:space="preserve">proved influential </w:t>
      </w:r>
      <w:r>
        <w:t xml:space="preserve">in New Zealand </w:t>
      </w:r>
      <w:r w:rsidR="00E41B99">
        <w:rPr>
          <w:rFonts w:hint="eastAsia"/>
        </w:rPr>
        <w:t xml:space="preserve">even </w:t>
      </w:r>
      <w:r>
        <w:t>where the position is regulated by statute, s</w:t>
      </w:r>
      <w:r w:rsidRPr="00066A77">
        <w:t>ection 66(2) of the Crimes Act 1961</w:t>
      </w:r>
      <w:r>
        <w:t xml:space="preserve"> making a participant liable “</w:t>
      </w:r>
      <w:r w:rsidRPr="00066A77">
        <w:t>if the commission of that offence was known to be a probable consequence of the prosecution of the common purpose</w:t>
      </w:r>
      <w:r>
        <w:t xml:space="preserve">”. Acknowledging </w:t>
      </w:r>
      <w:r>
        <w:rPr>
          <w:i/>
        </w:rPr>
        <w:t>Johns</w:t>
      </w:r>
      <w:r>
        <w:t>,</w:t>
      </w:r>
      <w:r>
        <w:rPr>
          <w:i/>
        </w:rPr>
        <w:t xml:space="preserve"> </w:t>
      </w:r>
      <w:r>
        <w:t xml:space="preserve">the Court of Appeal in </w:t>
      </w:r>
      <w:r w:rsidRPr="00066A77">
        <w:rPr>
          <w:i/>
        </w:rPr>
        <w:t>R v Gush</w:t>
      </w:r>
      <w:r w:rsidRPr="00066A77">
        <w:t xml:space="preserve"> [1980] 2 NZLR 92</w:t>
      </w:r>
      <w:r>
        <w:t xml:space="preserve"> at 94-96 held that the word ‘</w:t>
      </w:r>
      <w:r w:rsidRPr="00066A77">
        <w:t>probable</w:t>
      </w:r>
      <w:r>
        <w:t>’ was</w:t>
      </w:r>
      <w:r w:rsidRPr="00066A77">
        <w:t xml:space="preserve"> not used with the meaning </w:t>
      </w:r>
      <w:r>
        <w:t>‘</w:t>
      </w:r>
      <w:r w:rsidRPr="00066A77">
        <w:t>more probable than not</w:t>
      </w:r>
      <w:r>
        <w:t>’ but to mean “</w:t>
      </w:r>
      <w:r w:rsidRPr="00066A77">
        <w:t>an event that could well happen</w:t>
      </w:r>
      <w:r>
        <w:t>”.</w:t>
      </w:r>
    </w:p>
  </w:footnote>
  <w:footnote w:id="54">
    <w:p w:rsidR="00AE67AB" w:rsidRDefault="00AE67AB" w:rsidP="00DB1BD7">
      <w:pPr>
        <w:pStyle w:val="FootnoteText"/>
        <w:tabs>
          <w:tab w:val="left" w:pos="360"/>
        </w:tabs>
        <w:ind w:left="360" w:hanging="360"/>
        <w:jc w:val="both"/>
      </w:pPr>
      <w:r>
        <w:rPr>
          <w:rStyle w:val="FootnoteReference"/>
        </w:rPr>
        <w:footnoteRef/>
      </w:r>
      <w:r>
        <w:t xml:space="preserve"> </w:t>
      </w:r>
      <w:r>
        <w:tab/>
      </w:r>
      <w:proofErr w:type="gramStart"/>
      <w:r>
        <w:t>[1985] 1 AC 168.</w:t>
      </w:r>
      <w:proofErr w:type="gramEnd"/>
    </w:p>
  </w:footnote>
  <w:footnote w:id="55">
    <w:p w:rsidR="00AE67AB" w:rsidRPr="00FA5A10" w:rsidRDefault="00AE67AB" w:rsidP="00DB1BD7">
      <w:pPr>
        <w:pStyle w:val="FootnoteText"/>
        <w:tabs>
          <w:tab w:val="left" w:pos="360"/>
        </w:tabs>
        <w:ind w:left="360" w:hanging="360"/>
        <w:jc w:val="both"/>
      </w:pPr>
      <w:r>
        <w:rPr>
          <w:rStyle w:val="FootnoteReference"/>
        </w:rPr>
        <w:footnoteRef/>
      </w:r>
      <w:r>
        <w:t xml:space="preserve"> </w:t>
      </w:r>
      <w:r>
        <w:tab/>
      </w:r>
      <w:r>
        <w:rPr>
          <w:i/>
        </w:rPr>
        <w:t xml:space="preserve">Chan Wing </w:t>
      </w:r>
      <w:proofErr w:type="spellStart"/>
      <w:r>
        <w:rPr>
          <w:i/>
        </w:rPr>
        <w:t>Siu</w:t>
      </w:r>
      <w:proofErr w:type="spellEnd"/>
      <w:r>
        <w:rPr>
          <w:i/>
        </w:rPr>
        <w:t xml:space="preserve"> </w:t>
      </w:r>
      <w:r>
        <w:t>at 174-175.</w:t>
      </w:r>
    </w:p>
  </w:footnote>
  <w:footnote w:id="56">
    <w:p w:rsidR="00AE67AB" w:rsidRPr="00FA5A10" w:rsidRDefault="00AE67AB" w:rsidP="00DB1BD7">
      <w:pPr>
        <w:pStyle w:val="FootnoteText"/>
        <w:tabs>
          <w:tab w:val="left" w:pos="360"/>
        </w:tabs>
        <w:ind w:left="360" w:hanging="360"/>
        <w:jc w:val="both"/>
      </w:pPr>
      <w:r>
        <w:rPr>
          <w:rStyle w:val="FootnoteReference"/>
        </w:rPr>
        <w:footnoteRef/>
      </w:r>
      <w:r>
        <w:t xml:space="preserve"> </w:t>
      </w:r>
      <w:r>
        <w:tab/>
      </w:r>
      <w:proofErr w:type="gramStart"/>
      <w:r>
        <w:rPr>
          <w:i/>
        </w:rPr>
        <w:t xml:space="preserve">Chan Wing </w:t>
      </w:r>
      <w:proofErr w:type="spellStart"/>
      <w:r>
        <w:rPr>
          <w:i/>
        </w:rPr>
        <w:t>Siu</w:t>
      </w:r>
      <w:proofErr w:type="spellEnd"/>
      <w:r>
        <w:rPr>
          <w:i/>
        </w:rPr>
        <w:t xml:space="preserve"> </w:t>
      </w:r>
      <w:r>
        <w:t>at 175.</w:t>
      </w:r>
      <w:proofErr w:type="gramEnd"/>
    </w:p>
  </w:footnote>
  <w:footnote w:id="57">
    <w:p w:rsidR="00AE67AB" w:rsidRPr="000010FE" w:rsidRDefault="00AE67AB" w:rsidP="00DB1BD7">
      <w:pPr>
        <w:pStyle w:val="FootnoteText"/>
        <w:tabs>
          <w:tab w:val="left" w:pos="360"/>
        </w:tabs>
        <w:ind w:left="360" w:hanging="360"/>
        <w:jc w:val="both"/>
      </w:pPr>
      <w:r>
        <w:rPr>
          <w:rStyle w:val="FootnoteReference"/>
        </w:rPr>
        <w:footnoteRef/>
      </w:r>
      <w:r>
        <w:t xml:space="preserve"> </w:t>
      </w:r>
      <w:r>
        <w:tab/>
      </w:r>
      <w:r>
        <w:rPr>
          <w:i/>
        </w:rPr>
        <w:t>Ibid</w:t>
      </w:r>
      <w:r>
        <w:t>.</w:t>
      </w:r>
    </w:p>
  </w:footnote>
  <w:footnote w:id="58">
    <w:p w:rsidR="00AE67AB" w:rsidRPr="000010FE" w:rsidRDefault="00AE67AB" w:rsidP="00DB1BD7">
      <w:pPr>
        <w:pStyle w:val="FootnoteText"/>
        <w:tabs>
          <w:tab w:val="left" w:pos="360"/>
        </w:tabs>
        <w:ind w:left="360" w:hanging="360"/>
        <w:jc w:val="both"/>
      </w:pPr>
      <w:r>
        <w:rPr>
          <w:rStyle w:val="FootnoteReference"/>
        </w:rPr>
        <w:footnoteRef/>
      </w:r>
      <w:r>
        <w:t xml:space="preserve"> </w:t>
      </w:r>
      <w:r>
        <w:tab/>
      </w:r>
      <w:r>
        <w:rPr>
          <w:i/>
        </w:rPr>
        <w:t>Ibid</w:t>
      </w:r>
      <w:r>
        <w:t>.</w:t>
      </w:r>
    </w:p>
  </w:footnote>
  <w:footnote w:id="59">
    <w:p w:rsidR="00AE67AB" w:rsidRPr="000010FE" w:rsidRDefault="00AE67AB" w:rsidP="00DB1BD7">
      <w:pPr>
        <w:pStyle w:val="FootnoteText"/>
        <w:tabs>
          <w:tab w:val="left" w:pos="360"/>
        </w:tabs>
        <w:ind w:left="360" w:hanging="360"/>
        <w:jc w:val="both"/>
      </w:pPr>
      <w:r>
        <w:rPr>
          <w:rStyle w:val="FootnoteReference"/>
        </w:rPr>
        <w:footnoteRef/>
      </w:r>
      <w:r>
        <w:t xml:space="preserve"> </w:t>
      </w:r>
      <w:r>
        <w:tab/>
      </w:r>
      <w:proofErr w:type="gramStart"/>
      <w:r w:rsidRPr="000010FE">
        <w:rPr>
          <w:i/>
        </w:rPr>
        <w:t>R v Anderson and Morris</w:t>
      </w:r>
      <w:r w:rsidRPr="000010FE">
        <w:t xml:space="preserve"> [1966] 2 QB 110</w:t>
      </w:r>
      <w:r>
        <w:t xml:space="preserve">; </w:t>
      </w:r>
      <w:r w:rsidRPr="000010FE">
        <w:rPr>
          <w:i/>
        </w:rPr>
        <w:t>Johns v The Queen</w:t>
      </w:r>
      <w:r w:rsidRPr="000010FE">
        <w:t xml:space="preserve"> (1980) 143 CLR 108</w:t>
      </w:r>
      <w:r>
        <w:t xml:space="preserve">; </w:t>
      </w:r>
      <w:r>
        <w:rPr>
          <w:i/>
        </w:rPr>
        <w:t>Miller v The Queen</w:t>
      </w:r>
      <w:r w:rsidRPr="000010FE">
        <w:t xml:space="preserve"> (1980) 32 ALR 321</w:t>
      </w:r>
      <w:r>
        <w:t xml:space="preserve">; </w:t>
      </w:r>
      <w:r w:rsidRPr="000010FE">
        <w:rPr>
          <w:i/>
        </w:rPr>
        <w:t>R v Gush</w:t>
      </w:r>
      <w:r w:rsidRPr="000010FE">
        <w:t xml:space="preserve"> [1980] 2 NZLR 92</w:t>
      </w:r>
      <w:r>
        <w:t xml:space="preserve">; </w:t>
      </w:r>
      <w:r>
        <w:rPr>
          <w:i/>
        </w:rPr>
        <w:t>Davies v DPP</w:t>
      </w:r>
      <w:r w:rsidRPr="000010FE">
        <w:t xml:space="preserve"> [1954] AC 378</w:t>
      </w:r>
      <w:r>
        <w:t>.</w:t>
      </w:r>
      <w:proofErr w:type="gramEnd"/>
    </w:p>
  </w:footnote>
  <w:footnote w:id="60">
    <w:p w:rsidR="00AE67AB" w:rsidRPr="006D28D5" w:rsidRDefault="00AE67AB" w:rsidP="00DB1BD7">
      <w:pPr>
        <w:pStyle w:val="FootnoteText"/>
        <w:tabs>
          <w:tab w:val="left" w:pos="360"/>
        </w:tabs>
        <w:ind w:left="360" w:hanging="360"/>
        <w:jc w:val="both"/>
      </w:pPr>
      <w:r>
        <w:rPr>
          <w:rStyle w:val="FootnoteReference"/>
        </w:rPr>
        <w:footnoteRef/>
      </w:r>
      <w:r>
        <w:t xml:space="preserve"> </w:t>
      </w:r>
      <w:r>
        <w:tab/>
      </w:r>
      <w:proofErr w:type="gramStart"/>
      <w:r>
        <w:rPr>
          <w:i/>
        </w:rPr>
        <w:t xml:space="preserve">Chan Wing </w:t>
      </w:r>
      <w:proofErr w:type="spellStart"/>
      <w:r>
        <w:rPr>
          <w:i/>
        </w:rPr>
        <w:t>Siu</w:t>
      </w:r>
      <w:proofErr w:type="spellEnd"/>
      <w:r>
        <w:rPr>
          <w:i/>
        </w:rPr>
        <w:t xml:space="preserve"> </w:t>
      </w:r>
      <w:r>
        <w:t>at 177.</w:t>
      </w:r>
      <w:proofErr w:type="gramEnd"/>
    </w:p>
  </w:footnote>
  <w:footnote w:id="61">
    <w:p w:rsidR="00AE67AB" w:rsidRPr="006D28D5" w:rsidRDefault="00AE67AB" w:rsidP="00DB1BD7">
      <w:pPr>
        <w:pStyle w:val="FootnoteText"/>
        <w:tabs>
          <w:tab w:val="left" w:pos="360"/>
        </w:tabs>
        <w:ind w:left="360" w:hanging="360"/>
        <w:jc w:val="both"/>
      </w:pPr>
      <w:r>
        <w:rPr>
          <w:rStyle w:val="FootnoteReference"/>
        </w:rPr>
        <w:footnoteRef/>
      </w:r>
      <w:r>
        <w:t xml:space="preserve"> </w:t>
      </w:r>
      <w:r>
        <w:tab/>
      </w:r>
      <w:proofErr w:type="gramStart"/>
      <w:r>
        <w:rPr>
          <w:i/>
        </w:rPr>
        <w:t xml:space="preserve">Chan Wing </w:t>
      </w:r>
      <w:proofErr w:type="spellStart"/>
      <w:r>
        <w:rPr>
          <w:i/>
        </w:rPr>
        <w:t>Siu</w:t>
      </w:r>
      <w:proofErr w:type="spellEnd"/>
      <w:r>
        <w:rPr>
          <w:i/>
        </w:rPr>
        <w:t xml:space="preserve"> </w:t>
      </w:r>
      <w:r>
        <w:t>at 178.</w:t>
      </w:r>
      <w:proofErr w:type="gramEnd"/>
    </w:p>
  </w:footnote>
  <w:footnote w:id="62">
    <w:p w:rsidR="00AE67AB" w:rsidRPr="00A56E4C" w:rsidRDefault="00AE67AB" w:rsidP="00DB1BD7">
      <w:pPr>
        <w:pStyle w:val="FootnoteText"/>
        <w:tabs>
          <w:tab w:val="left" w:pos="360"/>
        </w:tabs>
        <w:ind w:left="360" w:hanging="360"/>
        <w:jc w:val="both"/>
      </w:pPr>
      <w:r>
        <w:rPr>
          <w:rStyle w:val="FootnoteReference"/>
        </w:rPr>
        <w:footnoteRef/>
      </w:r>
      <w:r>
        <w:t xml:space="preserve"> </w:t>
      </w:r>
      <w:r>
        <w:tab/>
      </w:r>
      <w:proofErr w:type="gramStart"/>
      <w:r>
        <w:rPr>
          <w:i/>
        </w:rPr>
        <w:t xml:space="preserve">Chan Wing </w:t>
      </w:r>
      <w:proofErr w:type="spellStart"/>
      <w:r>
        <w:rPr>
          <w:i/>
        </w:rPr>
        <w:t>Siu</w:t>
      </w:r>
      <w:proofErr w:type="spellEnd"/>
      <w:r>
        <w:rPr>
          <w:i/>
        </w:rPr>
        <w:t xml:space="preserve"> </w:t>
      </w:r>
      <w:r>
        <w:t>at 179.</w:t>
      </w:r>
      <w:proofErr w:type="gramEnd"/>
    </w:p>
  </w:footnote>
  <w:footnote w:id="63">
    <w:p w:rsidR="00AE67AB" w:rsidRDefault="00AE67AB" w:rsidP="00DB1BD7">
      <w:pPr>
        <w:pStyle w:val="FootnoteText"/>
        <w:tabs>
          <w:tab w:val="left" w:pos="360"/>
        </w:tabs>
        <w:ind w:left="360" w:hanging="360"/>
        <w:jc w:val="both"/>
      </w:pPr>
      <w:r>
        <w:rPr>
          <w:rStyle w:val="FootnoteReference"/>
        </w:rPr>
        <w:footnoteRef/>
      </w:r>
      <w:r>
        <w:t xml:space="preserve"> </w:t>
      </w:r>
      <w:r>
        <w:tab/>
      </w:r>
      <w:proofErr w:type="spellStart"/>
      <w:proofErr w:type="gramStart"/>
      <w:r w:rsidR="00E41B99" w:rsidRPr="00E41B99">
        <w:rPr>
          <w:rFonts w:hint="eastAsia"/>
          <w:i/>
        </w:rPr>
        <w:t>Hui</w:t>
      </w:r>
      <w:proofErr w:type="spellEnd"/>
      <w:r w:rsidR="00E41B99" w:rsidRPr="00E41B99">
        <w:rPr>
          <w:rFonts w:hint="eastAsia"/>
          <w:i/>
        </w:rPr>
        <w:t xml:space="preserve"> Chin-</w:t>
      </w:r>
      <w:proofErr w:type="spellStart"/>
      <w:r w:rsidR="00E41B99" w:rsidRPr="00E41B99">
        <w:rPr>
          <w:rFonts w:hint="eastAsia"/>
          <w:i/>
        </w:rPr>
        <w:t>ming</w:t>
      </w:r>
      <w:proofErr w:type="spellEnd"/>
      <w:r w:rsidR="00E41B99" w:rsidRPr="00E41B99">
        <w:rPr>
          <w:rFonts w:hint="eastAsia"/>
          <w:i/>
        </w:rPr>
        <w:t xml:space="preserve"> v The Queen</w:t>
      </w:r>
      <w:r w:rsidR="00E41B99">
        <w:rPr>
          <w:rFonts w:hint="eastAsia"/>
        </w:rPr>
        <w:t xml:space="preserve"> [1992] 1 AC 34, </w:t>
      </w:r>
      <w:proofErr w:type="spellStart"/>
      <w:r w:rsidRPr="000F6D1D">
        <w:rPr>
          <w:i/>
        </w:rPr>
        <w:t>Sze</w:t>
      </w:r>
      <w:proofErr w:type="spellEnd"/>
      <w:r w:rsidRPr="000F6D1D">
        <w:rPr>
          <w:i/>
        </w:rPr>
        <w:t xml:space="preserve"> Kwan Lung v HKSAR</w:t>
      </w:r>
      <w:r w:rsidRPr="000F6D1D">
        <w:t xml:space="preserve"> (2004) 7 HKCFAR 475</w:t>
      </w:r>
      <w:r>
        <w:t xml:space="preserve">; </w:t>
      </w:r>
      <w:r w:rsidRPr="000F6D1D">
        <w:rPr>
          <w:i/>
        </w:rPr>
        <w:t xml:space="preserve">HKSAR v Chu </w:t>
      </w:r>
      <w:proofErr w:type="spellStart"/>
      <w:r w:rsidRPr="000F6D1D">
        <w:rPr>
          <w:i/>
        </w:rPr>
        <w:t>Yiu</w:t>
      </w:r>
      <w:proofErr w:type="spellEnd"/>
      <w:r w:rsidRPr="000F6D1D">
        <w:rPr>
          <w:i/>
        </w:rPr>
        <w:t xml:space="preserve"> Keung</w:t>
      </w:r>
      <w:r w:rsidRPr="000F6D1D">
        <w:t xml:space="preserve"> </w:t>
      </w:r>
      <w:r>
        <w:t xml:space="preserve">Hartmann JA, </w:t>
      </w:r>
      <w:proofErr w:type="spellStart"/>
      <w:r>
        <w:t>Lunn</w:t>
      </w:r>
      <w:proofErr w:type="spellEnd"/>
      <w:r>
        <w:t xml:space="preserve"> and Barnes JJ, </w:t>
      </w:r>
      <w:r w:rsidRPr="000F6D1D">
        <w:t>CACC 27/2009</w:t>
      </w:r>
      <w:r>
        <w:t xml:space="preserve"> (20 January 2011).</w:t>
      </w:r>
      <w:proofErr w:type="gramEnd"/>
    </w:p>
  </w:footnote>
  <w:footnote w:id="64">
    <w:p w:rsidR="00AE67AB" w:rsidRPr="000F6D1D" w:rsidRDefault="00AE67AB" w:rsidP="00DB1BD7">
      <w:pPr>
        <w:pStyle w:val="FootnoteText"/>
        <w:tabs>
          <w:tab w:val="left" w:pos="360"/>
        </w:tabs>
        <w:ind w:left="360" w:hanging="360"/>
        <w:jc w:val="both"/>
      </w:pPr>
      <w:r>
        <w:rPr>
          <w:rStyle w:val="FootnoteReference"/>
        </w:rPr>
        <w:footnoteRef/>
      </w:r>
      <w:r>
        <w:t xml:space="preserve"> </w:t>
      </w:r>
      <w:r>
        <w:tab/>
      </w:r>
      <w:proofErr w:type="spellStart"/>
      <w:proofErr w:type="gramStart"/>
      <w:r>
        <w:t>Eg</w:t>
      </w:r>
      <w:proofErr w:type="spellEnd"/>
      <w:r>
        <w:t xml:space="preserve">, </w:t>
      </w:r>
      <w:r w:rsidRPr="00025C33">
        <w:rPr>
          <w:i/>
        </w:rPr>
        <w:t>R v Ward</w:t>
      </w:r>
      <w:r w:rsidRPr="00025C33">
        <w:t xml:space="preserve"> (1987) 85 Cr App R 71</w:t>
      </w:r>
      <w:r>
        <w:t>;</w:t>
      </w:r>
      <w:r w:rsidRPr="00025C33">
        <w:rPr>
          <w:i/>
        </w:rPr>
        <w:t xml:space="preserve"> R v Slack </w:t>
      </w:r>
      <w:r w:rsidRPr="00025C33">
        <w:t>[1989] QB 775</w:t>
      </w:r>
      <w:r>
        <w:t xml:space="preserve">; </w:t>
      </w:r>
      <w:r w:rsidRPr="00025C33">
        <w:rPr>
          <w:i/>
        </w:rPr>
        <w:t>R v Hyde</w:t>
      </w:r>
      <w:r w:rsidRPr="00025C33">
        <w:t xml:space="preserve"> [1991] 1 QB 134</w:t>
      </w:r>
      <w:r>
        <w:t xml:space="preserve">; </w:t>
      </w:r>
      <w:r w:rsidRPr="00025C33">
        <w:rPr>
          <w:i/>
        </w:rPr>
        <w:t>R v Powell (Anthony)</w:t>
      </w:r>
      <w:r w:rsidRPr="00025C33">
        <w:t xml:space="preserve"> [1999] 1 AC 1</w:t>
      </w:r>
      <w:r>
        <w:t xml:space="preserve"> (HL); </w:t>
      </w:r>
      <w:r w:rsidRPr="000F6D1D">
        <w:rPr>
          <w:i/>
        </w:rPr>
        <w:t>R v Rook</w:t>
      </w:r>
      <w:r w:rsidRPr="000F6D1D">
        <w:t xml:space="preserve"> [1993] 1 WLR 1005</w:t>
      </w:r>
      <w:r>
        <w:t xml:space="preserve">; </w:t>
      </w:r>
      <w:r w:rsidRPr="000F6D1D">
        <w:rPr>
          <w:i/>
        </w:rPr>
        <w:t xml:space="preserve">R v </w:t>
      </w:r>
      <w:proofErr w:type="spellStart"/>
      <w:r w:rsidRPr="000F6D1D">
        <w:rPr>
          <w:i/>
        </w:rPr>
        <w:t>Rahman</w:t>
      </w:r>
      <w:proofErr w:type="spellEnd"/>
      <w:r w:rsidR="00B843CF">
        <w:t xml:space="preserve"> [200</w:t>
      </w:r>
      <w:r w:rsidR="00B843CF">
        <w:rPr>
          <w:rFonts w:hint="eastAsia"/>
        </w:rPr>
        <w:t>9</w:t>
      </w:r>
      <w:r w:rsidRPr="000F6D1D">
        <w:t>] 1 AC 129</w:t>
      </w:r>
      <w:r>
        <w:t>.</w:t>
      </w:r>
      <w:proofErr w:type="gramEnd"/>
    </w:p>
  </w:footnote>
  <w:footnote w:id="65">
    <w:p w:rsidR="00AE67AB" w:rsidRDefault="00AE67AB" w:rsidP="00DB1BD7">
      <w:pPr>
        <w:pStyle w:val="FootnoteText"/>
        <w:tabs>
          <w:tab w:val="left" w:pos="360"/>
        </w:tabs>
        <w:ind w:left="360" w:hanging="360"/>
        <w:jc w:val="both"/>
      </w:pPr>
      <w:r>
        <w:rPr>
          <w:rStyle w:val="FootnoteReference"/>
        </w:rPr>
        <w:footnoteRef/>
      </w:r>
      <w:r>
        <w:t xml:space="preserve"> </w:t>
      </w:r>
      <w:r>
        <w:tab/>
      </w:r>
      <w:proofErr w:type="gramStart"/>
      <w:r>
        <w:rPr>
          <w:i/>
        </w:rPr>
        <w:t>McAuliffe v The Queen</w:t>
      </w:r>
      <w:r w:rsidRPr="00F816DB">
        <w:t xml:space="preserve"> (1995) 183 CLR 108; </w:t>
      </w:r>
      <w:proofErr w:type="spellStart"/>
      <w:r>
        <w:rPr>
          <w:i/>
        </w:rPr>
        <w:t>Osland</w:t>
      </w:r>
      <w:proofErr w:type="spellEnd"/>
      <w:r>
        <w:rPr>
          <w:i/>
        </w:rPr>
        <w:t xml:space="preserve"> v The Queen</w:t>
      </w:r>
      <w:r w:rsidRPr="00F816DB">
        <w:rPr>
          <w:i/>
        </w:rPr>
        <w:t xml:space="preserve"> </w:t>
      </w:r>
      <w:r w:rsidRPr="00F816DB">
        <w:t xml:space="preserve">(1998) 197 CLR 316; </w:t>
      </w:r>
      <w:r>
        <w:rPr>
          <w:i/>
        </w:rPr>
        <w:t>Gillard v The Queen</w:t>
      </w:r>
      <w:r w:rsidRPr="00F816DB">
        <w:t xml:space="preserve"> (2003) 219 CLR 1; </w:t>
      </w:r>
      <w:r w:rsidRPr="00F816DB">
        <w:rPr>
          <w:i/>
        </w:rPr>
        <w:t>Clayton v</w:t>
      </w:r>
      <w:r w:rsidRPr="00A53AA5">
        <w:rPr>
          <w:i/>
        </w:rPr>
        <w:t xml:space="preserve"> </w:t>
      </w:r>
      <w:r>
        <w:rPr>
          <w:i/>
        </w:rPr>
        <w:t>The Queen</w:t>
      </w:r>
      <w:r w:rsidRPr="00F816DB">
        <w:t xml:space="preserve"> (2006) 81 ALJR 439</w:t>
      </w:r>
      <w:r>
        <w:t>.</w:t>
      </w:r>
      <w:proofErr w:type="gramEnd"/>
    </w:p>
  </w:footnote>
  <w:footnote w:id="66">
    <w:p w:rsidR="00AE67AB" w:rsidRDefault="00AE67AB" w:rsidP="00DB1BD7">
      <w:pPr>
        <w:pStyle w:val="FootnoteText"/>
        <w:tabs>
          <w:tab w:val="left" w:pos="360"/>
        </w:tabs>
        <w:ind w:left="360" w:hanging="360"/>
        <w:jc w:val="both"/>
      </w:pPr>
      <w:r>
        <w:rPr>
          <w:rStyle w:val="FootnoteReference"/>
        </w:rPr>
        <w:footnoteRef/>
      </w:r>
      <w:r>
        <w:t xml:space="preserve"> </w:t>
      </w:r>
      <w:r>
        <w:tab/>
      </w:r>
      <w:proofErr w:type="gramStart"/>
      <w:r w:rsidRPr="00B5215E">
        <w:t>[1999] 1 AC 1</w:t>
      </w:r>
      <w:r>
        <w:t xml:space="preserve"> at 27.</w:t>
      </w:r>
      <w:proofErr w:type="gramEnd"/>
    </w:p>
  </w:footnote>
  <w:footnote w:id="67">
    <w:p w:rsidR="00AE67AB" w:rsidRPr="000C09ED" w:rsidRDefault="00AE67AB" w:rsidP="00DB1BD7">
      <w:pPr>
        <w:pStyle w:val="FootnoteText"/>
        <w:tabs>
          <w:tab w:val="left" w:pos="360"/>
        </w:tabs>
        <w:ind w:left="360" w:hanging="360"/>
        <w:jc w:val="both"/>
      </w:pPr>
      <w:r>
        <w:rPr>
          <w:rStyle w:val="FootnoteReference"/>
        </w:rPr>
        <w:footnoteRef/>
      </w:r>
      <w:r>
        <w:t xml:space="preserve"> </w:t>
      </w:r>
      <w:r>
        <w:tab/>
      </w:r>
      <w:proofErr w:type="gramStart"/>
      <w:r>
        <w:rPr>
          <w:i/>
        </w:rPr>
        <w:t xml:space="preserve">Powell </w:t>
      </w:r>
      <w:r>
        <w:t>at 30.</w:t>
      </w:r>
      <w:proofErr w:type="gramEnd"/>
    </w:p>
  </w:footnote>
  <w:footnote w:id="68">
    <w:p w:rsidR="00AE67AB" w:rsidRPr="003C726A" w:rsidRDefault="00AE67AB" w:rsidP="005C3956">
      <w:pPr>
        <w:pStyle w:val="FootnoteText"/>
        <w:tabs>
          <w:tab w:val="left" w:pos="360"/>
        </w:tabs>
        <w:ind w:left="360" w:hanging="360"/>
        <w:jc w:val="both"/>
      </w:pPr>
      <w:r>
        <w:rPr>
          <w:rStyle w:val="FootnoteReference"/>
        </w:rPr>
        <w:footnoteRef/>
      </w:r>
      <w:r>
        <w:t xml:space="preserve"> </w:t>
      </w:r>
      <w:r>
        <w:tab/>
      </w:r>
      <w:r>
        <w:rPr>
          <w:i/>
        </w:rPr>
        <w:t xml:space="preserve">Powell </w:t>
      </w:r>
      <w:r>
        <w:t>at 30-31.</w:t>
      </w:r>
    </w:p>
  </w:footnote>
  <w:footnote w:id="69">
    <w:p w:rsidR="00AE67AB" w:rsidRPr="00253F61" w:rsidRDefault="00AE67AB" w:rsidP="005C3956">
      <w:pPr>
        <w:pStyle w:val="FootnoteText"/>
        <w:tabs>
          <w:tab w:val="left" w:pos="360"/>
        </w:tabs>
        <w:ind w:left="360" w:hanging="360"/>
        <w:jc w:val="both"/>
        <w:rPr>
          <w:i/>
        </w:rPr>
      </w:pPr>
      <w:r>
        <w:rPr>
          <w:rStyle w:val="FootnoteReference"/>
        </w:rPr>
        <w:footnoteRef/>
      </w:r>
      <w:r>
        <w:t xml:space="preserve"> </w:t>
      </w:r>
      <w:r>
        <w:tab/>
      </w:r>
      <w:proofErr w:type="spellStart"/>
      <w:proofErr w:type="gramStart"/>
      <w:r>
        <w:rPr>
          <w:i/>
        </w:rPr>
        <w:t>Jogee</w:t>
      </w:r>
      <w:proofErr w:type="spellEnd"/>
      <w:r>
        <w:rPr>
          <w:i/>
        </w:rPr>
        <w:t xml:space="preserve"> </w:t>
      </w:r>
      <w:r w:rsidR="00D64F17">
        <w:t xml:space="preserve">at </w:t>
      </w:r>
      <w:r>
        <w:t>§79.</w:t>
      </w:r>
      <w:proofErr w:type="gramEnd"/>
      <w:r>
        <w:rPr>
          <w:i/>
        </w:rPr>
        <w:t xml:space="preserve"> </w:t>
      </w:r>
    </w:p>
  </w:footnote>
  <w:footnote w:id="70">
    <w:p w:rsidR="00AE67AB" w:rsidRDefault="00AE67AB" w:rsidP="005C3956">
      <w:pPr>
        <w:pStyle w:val="FootnoteText"/>
        <w:tabs>
          <w:tab w:val="left" w:pos="360"/>
        </w:tabs>
        <w:ind w:left="360" w:hanging="360"/>
        <w:jc w:val="both"/>
      </w:pPr>
      <w:r>
        <w:rPr>
          <w:rStyle w:val="FootnoteReference"/>
        </w:rPr>
        <w:footnoteRef/>
      </w:r>
      <w:r>
        <w:t xml:space="preserve"> </w:t>
      </w:r>
      <w:r>
        <w:tab/>
      </w:r>
      <w:proofErr w:type="spellStart"/>
      <w:proofErr w:type="gramStart"/>
      <w:r>
        <w:rPr>
          <w:i/>
        </w:rPr>
        <w:t>Jogee</w:t>
      </w:r>
      <w:proofErr w:type="spellEnd"/>
      <w:r>
        <w:t xml:space="preserve"> </w:t>
      </w:r>
      <w:r w:rsidR="00D64F17">
        <w:t xml:space="preserve">at </w:t>
      </w:r>
      <w:r>
        <w:t>§88.</w:t>
      </w:r>
      <w:proofErr w:type="gramEnd"/>
    </w:p>
  </w:footnote>
  <w:footnote w:id="71">
    <w:p w:rsidR="00AE67AB" w:rsidRDefault="00AE67AB" w:rsidP="005C3956">
      <w:pPr>
        <w:pStyle w:val="FootnoteText"/>
        <w:tabs>
          <w:tab w:val="left" w:pos="360"/>
        </w:tabs>
        <w:ind w:left="360" w:hanging="360"/>
        <w:jc w:val="both"/>
      </w:pPr>
      <w:r>
        <w:rPr>
          <w:rStyle w:val="FootnoteReference"/>
        </w:rPr>
        <w:footnoteRef/>
      </w:r>
      <w:r>
        <w:t xml:space="preserve"> </w:t>
      </w:r>
      <w:r>
        <w:tab/>
      </w:r>
      <w:r w:rsidRPr="00794C32">
        <w:rPr>
          <w:i/>
        </w:rPr>
        <w:t xml:space="preserve">Miller v </w:t>
      </w:r>
      <w:proofErr w:type="gramStart"/>
      <w:r w:rsidRPr="00794C32">
        <w:rPr>
          <w:i/>
        </w:rPr>
        <w:t>The Queen; Presley v The</w:t>
      </w:r>
      <w:proofErr w:type="gramEnd"/>
      <w:r w:rsidRPr="00794C32">
        <w:rPr>
          <w:i/>
        </w:rPr>
        <w:t xml:space="preserve"> Director of Public Prosecutions</w:t>
      </w:r>
      <w:r w:rsidRPr="00794C32">
        <w:t xml:space="preserve"> [2016] HCA 30</w:t>
      </w:r>
      <w:r>
        <w:t>.</w:t>
      </w:r>
    </w:p>
  </w:footnote>
  <w:footnote w:id="72">
    <w:p w:rsidR="00AE67AB" w:rsidRPr="00DC763F" w:rsidRDefault="00AE67AB" w:rsidP="005C3956">
      <w:pPr>
        <w:pStyle w:val="FootnoteText"/>
        <w:tabs>
          <w:tab w:val="left" w:pos="360"/>
        </w:tabs>
        <w:ind w:left="360" w:hanging="360"/>
        <w:jc w:val="both"/>
      </w:pPr>
      <w:r>
        <w:rPr>
          <w:rStyle w:val="FootnoteReference"/>
        </w:rPr>
        <w:footnoteRef/>
      </w:r>
      <w:r>
        <w:t xml:space="preserve"> </w:t>
      </w:r>
      <w:r>
        <w:tab/>
      </w:r>
      <w:proofErr w:type="spellStart"/>
      <w:proofErr w:type="gramStart"/>
      <w:r w:rsidR="00D64F17">
        <w:rPr>
          <w:i/>
        </w:rPr>
        <w:t>Jogee</w:t>
      </w:r>
      <w:proofErr w:type="spellEnd"/>
      <w:r w:rsidR="00D64F17">
        <w:rPr>
          <w:i/>
        </w:rPr>
        <w:t xml:space="preserve"> </w:t>
      </w:r>
      <w:r w:rsidR="00D64F17" w:rsidRPr="00B843CF">
        <w:t>at</w:t>
      </w:r>
      <w:r w:rsidR="00D64F17">
        <w:rPr>
          <w:i/>
        </w:rPr>
        <w:t xml:space="preserve"> §</w:t>
      </w:r>
      <w:r>
        <w:t>83.</w:t>
      </w:r>
      <w:proofErr w:type="gramEnd"/>
    </w:p>
  </w:footnote>
  <w:footnote w:id="73">
    <w:p w:rsidR="00AE67AB" w:rsidRPr="001A5AF2" w:rsidRDefault="00AE67AB" w:rsidP="005C3956">
      <w:pPr>
        <w:pStyle w:val="FootnoteText"/>
        <w:tabs>
          <w:tab w:val="left" w:pos="360"/>
        </w:tabs>
      </w:pPr>
      <w:r>
        <w:rPr>
          <w:rStyle w:val="FootnoteReference"/>
        </w:rPr>
        <w:footnoteRef/>
      </w:r>
      <w:r>
        <w:t xml:space="preserve"> </w:t>
      </w:r>
      <w:r>
        <w:tab/>
        <w:t xml:space="preserve">See also </w:t>
      </w:r>
      <w:proofErr w:type="spellStart"/>
      <w:r w:rsidR="00D64F17">
        <w:rPr>
          <w:i/>
        </w:rPr>
        <w:t>Jogee</w:t>
      </w:r>
      <w:proofErr w:type="spellEnd"/>
      <w:r w:rsidR="00D64F17">
        <w:rPr>
          <w:i/>
        </w:rPr>
        <w:t xml:space="preserve"> </w:t>
      </w:r>
      <w:r w:rsidR="00D64F17" w:rsidRPr="00B843CF">
        <w:t xml:space="preserve">at </w:t>
      </w:r>
      <w:r w:rsidR="00D64F17">
        <w:rPr>
          <w:i/>
        </w:rPr>
        <w:t>§</w:t>
      </w:r>
      <w:r>
        <w:t xml:space="preserve">66.  </w:t>
      </w:r>
    </w:p>
  </w:footnote>
  <w:footnote w:id="74">
    <w:p w:rsidR="00AE67AB" w:rsidRDefault="00AE67AB" w:rsidP="005C3956">
      <w:pPr>
        <w:pStyle w:val="FootnoteText"/>
        <w:tabs>
          <w:tab w:val="left" w:pos="360"/>
        </w:tabs>
      </w:pPr>
      <w:r>
        <w:rPr>
          <w:rStyle w:val="FootnoteReference"/>
        </w:rPr>
        <w:footnoteRef/>
      </w:r>
      <w:r>
        <w:t xml:space="preserve"> </w:t>
      </w:r>
      <w:r>
        <w:tab/>
      </w:r>
      <w:proofErr w:type="gramStart"/>
      <w:r w:rsidRPr="00114607">
        <w:t>(1980) 143 CLR 108</w:t>
      </w:r>
      <w:r>
        <w:t xml:space="preserve"> at 117.</w:t>
      </w:r>
      <w:proofErr w:type="gramEnd"/>
    </w:p>
  </w:footnote>
  <w:footnote w:id="75">
    <w:p w:rsidR="00AE67AB" w:rsidRDefault="00AE67AB" w:rsidP="005C3956">
      <w:pPr>
        <w:pStyle w:val="FootnoteText"/>
        <w:tabs>
          <w:tab w:val="left" w:pos="360"/>
        </w:tabs>
      </w:pPr>
      <w:r>
        <w:rPr>
          <w:rStyle w:val="FootnoteReference"/>
        </w:rPr>
        <w:footnoteRef/>
      </w:r>
      <w:r>
        <w:t xml:space="preserve"> </w:t>
      </w:r>
      <w:r>
        <w:tab/>
        <w:t>Section C.1 above.</w:t>
      </w:r>
    </w:p>
  </w:footnote>
  <w:footnote w:id="76">
    <w:p w:rsidR="00AE67AB" w:rsidRPr="00A53AA5" w:rsidRDefault="00AE67AB" w:rsidP="005C3956">
      <w:pPr>
        <w:pStyle w:val="FootnoteText"/>
        <w:tabs>
          <w:tab w:val="left" w:pos="360"/>
        </w:tabs>
        <w:ind w:left="360" w:hanging="360"/>
        <w:jc w:val="both"/>
      </w:pPr>
      <w:r>
        <w:rPr>
          <w:rStyle w:val="FootnoteReference"/>
        </w:rPr>
        <w:footnoteRef/>
      </w:r>
      <w:r>
        <w:t xml:space="preserve"> </w:t>
      </w:r>
      <w:r>
        <w:tab/>
      </w:r>
      <w:proofErr w:type="gramStart"/>
      <w:r w:rsidR="00D64F17">
        <w:rPr>
          <w:i/>
        </w:rPr>
        <w:t xml:space="preserve">Miller </w:t>
      </w:r>
      <w:r w:rsidR="00D64F17" w:rsidRPr="00B843CF">
        <w:t>at</w:t>
      </w:r>
      <w:r w:rsidR="00D64F17">
        <w:rPr>
          <w:i/>
        </w:rPr>
        <w:t xml:space="preserve"> §</w:t>
      </w:r>
      <w:r>
        <w:t xml:space="preserve">34, citing </w:t>
      </w:r>
      <w:r>
        <w:rPr>
          <w:i/>
        </w:rPr>
        <w:t>Clayton v The Queen</w:t>
      </w:r>
      <w:r>
        <w:t xml:space="preserve"> at §20.</w:t>
      </w:r>
      <w:proofErr w:type="gramEnd"/>
    </w:p>
  </w:footnote>
  <w:footnote w:id="77">
    <w:p w:rsidR="00497048" w:rsidRPr="00497048" w:rsidRDefault="00497048" w:rsidP="005C3956">
      <w:pPr>
        <w:pStyle w:val="FootnoteText"/>
        <w:tabs>
          <w:tab w:val="left" w:pos="360"/>
        </w:tabs>
        <w:ind w:left="360" w:hanging="360"/>
        <w:jc w:val="both"/>
      </w:pPr>
      <w:r>
        <w:rPr>
          <w:rStyle w:val="FootnoteReference"/>
        </w:rPr>
        <w:footnoteRef/>
      </w:r>
      <w:r>
        <w:t xml:space="preserve"> </w:t>
      </w:r>
      <w:r>
        <w:tab/>
        <w:t xml:space="preserve">Although not a point arising in the present case, the doctrine is also tempered by rules recognizing that a participant may avoid liability by withdrawing from the joint enterprise: </w:t>
      </w:r>
      <w:r w:rsidRPr="00497048">
        <w:rPr>
          <w:i/>
        </w:rPr>
        <w:t xml:space="preserve">HKSAR v Chu </w:t>
      </w:r>
      <w:proofErr w:type="spellStart"/>
      <w:r w:rsidRPr="00497048">
        <w:rPr>
          <w:i/>
        </w:rPr>
        <w:t>Yiu</w:t>
      </w:r>
      <w:proofErr w:type="spellEnd"/>
      <w:r w:rsidRPr="00497048">
        <w:rPr>
          <w:i/>
        </w:rPr>
        <w:t xml:space="preserve"> Keung</w:t>
      </w:r>
      <w:r w:rsidRPr="00497048">
        <w:t xml:space="preserve">, </w:t>
      </w:r>
      <w:r>
        <w:t xml:space="preserve">Hartmann JA, </w:t>
      </w:r>
      <w:proofErr w:type="spellStart"/>
      <w:r>
        <w:t>Lunn</w:t>
      </w:r>
      <w:proofErr w:type="spellEnd"/>
      <w:r>
        <w:t xml:space="preserve"> and Barnes JJ,</w:t>
      </w:r>
      <w:r w:rsidRPr="00497048">
        <w:t xml:space="preserve"> CACC 27/2009</w:t>
      </w:r>
      <w:r>
        <w:t xml:space="preserve"> (20 January 2011) at §§115-119 citing </w:t>
      </w:r>
      <w:r w:rsidRPr="00497048">
        <w:rPr>
          <w:i/>
        </w:rPr>
        <w:t>R v Becerra and Cooper</w:t>
      </w:r>
      <w:r>
        <w:t xml:space="preserve"> </w:t>
      </w:r>
      <w:r w:rsidRPr="00497048">
        <w:t>(1976) 62 Cr App R 212 at 218</w:t>
      </w:r>
      <w:r>
        <w:t xml:space="preserve">; </w:t>
      </w:r>
      <w:r w:rsidRPr="00497048">
        <w:rPr>
          <w:i/>
        </w:rPr>
        <w:t>R v Whitehouse</w:t>
      </w:r>
      <w:r w:rsidRPr="00497048">
        <w:t xml:space="preserve"> (1941) 1 WWR 112</w:t>
      </w:r>
      <w:r>
        <w:t xml:space="preserve">; and </w:t>
      </w:r>
      <w:r w:rsidRPr="00497048">
        <w:rPr>
          <w:i/>
        </w:rPr>
        <w:t>R v O’Flaherty</w:t>
      </w:r>
      <w:r w:rsidRPr="00497048">
        <w:t xml:space="preserve"> [2004] 2 Cr App R 315 at 327</w:t>
      </w:r>
      <w:r>
        <w:t>.</w:t>
      </w:r>
    </w:p>
  </w:footnote>
  <w:footnote w:id="78">
    <w:p w:rsidR="00AE67AB" w:rsidRPr="00C40C15" w:rsidRDefault="00AE67AB" w:rsidP="005C3956">
      <w:pPr>
        <w:pStyle w:val="FootnoteText"/>
        <w:tabs>
          <w:tab w:val="left" w:pos="360"/>
        </w:tabs>
        <w:ind w:left="360" w:hanging="360"/>
        <w:jc w:val="both"/>
      </w:pPr>
      <w:r>
        <w:rPr>
          <w:rStyle w:val="FootnoteReference"/>
        </w:rPr>
        <w:footnoteRef/>
      </w:r>
      <w:r>
        <w:t xml:space="preserve"> </w:t>
      </w:r>
      <w:r>
        <w:tab/>
      </w:r>
      <w:proofErr w:type="gramStart"/>
      <w:r w:rsidR="00D64F17">
        <w:rPr>
          <w:i/>
        </w:rPr>
        <w:t xml:space="preserve">Miller </w:t>
      </w:r>
      <w:r w:rsidR="00D64F17" w:rsidRPr="00B843CF">
        <w:t>at</w:t>
      </w:r>
      <w:r w:rsidR="00D64F17">
        <w:rPr>
          <w:i/>
        </w:rPr>
        <w:t xml:space="preserve"> §</w:t>
      </w:r>
      <w:r>
        <w:t>45.</w:t>
      </w:r>
      <w:proofErr w:type="gramEnd"/>
    </w:p>
  </w:footnote>
  <w:footnote w:id="79">
    <w:p w:rsidR="00AE67AB" w:rsidRPr="00176B63" w:rsidRDefault="00AE67AB" w:rsidP="005C3956">
      <w:pPr>
        <w:pStyle w:val="FootnoteText"/>
        <w:tabs>
          <w:tab w:val="left" w:pos="360"/>
        </w:tabs>
        <w:ind w:left="360" w:hanging="360"/>
      </w:pPr>
      <w:r>
        <w:rPr>
          <w:rStyle w:val="FootnoteReference"/>
        </w:rPr>
        <w:footnoteRef/>
      </w:r>
      <w:r>
        <w:t xml:space="preserve"> </w:t>
      </w:r>
      <w:r>
        <w:tab/>
      </w:r>
      <w:proofErr w:type="gramStart"/>
      <w:r w:rsidRPr="00176B63">
        <w:t>(2003) 219 CLR</w:t>
      </w:r>
      <w:r>
        <w:t xml:space="preserve"> 1 at §25.</w:t>
      </w:r>
      <w:proofErr w:type="gramEnd"/>
    </w:p>
  </w:footnote>
  <w:footnote w:id="80">
    <w:p w:rsidR="00AE67AB" w:rsidRDefault="00AE67AB" w:rsidP="005C3956">
      <w:pPr>
        <w:pStyle w:val="FootnoteText"/>
        <w:tabs>
          <w:tab w:val="left" w:pos="360"/>
        </w:tabs>
        <w:ind w:left="360" w:hanging="360"/>
      </w:pPr>
      <w:r>
        <w:rPr>
          <w:rStyle w:val="FootnoteReference"/>
        </w:rPr>
        <w:footnoteRef/>
      </w:r>
      <w:r>
        <w:t xml:space="preserve"> </w:t>
      </w:r>
      <w:r>
        <w:tab/>
      </w:r>
      <w:r w:rsidRPr="00B607A3">
        <w:t>[1966] 2 QB 110</w:t>
      </w:r>
      <w:r>
        <w:t xml:space="preserve"> at 118-119.</w:t>
      </w:r>
    </w:p>
  </w:footnote>
  <w:footnote w:id="81">
    <w:p w:rsidR="00AE67AB" w:rsidRPr="00711514" w:rsidRDefault="00AE67AB" w:rsidP="005C3956">
      <w:pPr>
        <w:pStyle w:val="FootnoteText"/>
        <w:tabs>
          <w:tab w:val="left" w:pos="360"/>
        </w:tabs>
        <w:ind w:left="360" w:hanging="360"/>
      </w:pPr>
      <w:r>
        <w:rPr>
          <w:rStyle w:val="FootnoteReference"/>
        </w:rPr>
        <w:footnoteRef/>
      </w:r>
      <w:r>
        <w:t xml:space="preserve"> </w:t>
      </w:r>
      <w:r>
        <w:tab/>
      </w:r>
      <w:proofErr w:type="gramStart"/>
      <w:r>
        <w:rPr>
          <w:i/>
        </w:rPr>
        <w:t xml:space="preserve">Chan Wing </w:t>
      </w:r>
      <w:proofErr w:type="spellStart"/>
      <w:r>
        <w:rPr>
          <w:i/>
        </w:rPr>
        <w:t>Siu</w:t>
      </w:r>
      <w:proofErr w:type="spellEnd"/>
      <w:r>
        <w:rPr>
          <w:i/>
        </w:rPr>
        <w:t xml:space="preserve"> </w:t>
      </w:r>
      <w:r>
        <w:t xml:space="preserve">at 175, citing </w:t>
      </w:r>
      <w:r>
        <w:rPr>
          <w:i/>
        </w:rPr>
        <w:t xml:space="preserve">R v Anderson and Morris </w:t>
      </w:r>
      <w:r>
        <w:t>at 175-176.</w:t>
      </w:r>
      <w:proofErr w:type="gramEnd"/>
    </w:p>
  </w:footnote>
  <w:footnote w:id="82">
    <w:p w:rsidR="00AE67AB" w:rsidRPr="00BA1CA1" w:rsidRDefault="00AE67AB" w:rsidP="005C3956">
      <w:pPr>
        <w:pStyle w:val="FootnoteText"/>
        <w:tabs>
          <w:tab w:val="left" w:pos="360"/>
        </w:tabs>
      </w:pPr>
      <w:r>
        <w:rPr>
          <w:rStyle w:val="FootnoteReference"/>
        </w:rPr>
        <w:footnoteRef/>
      </w:r>
      <w:r>
        <w:t xml:space="preserve"> </w:t>
      </w:r>
      <w:r>
        <w:tab/>
      </w:r>
      <w:proofErr w:type="gramStart"/>
      <w:r w:rsidR="00D64F17">
        <w:rPr>
          <w:i/>
        </w:rPr>
        <w:t xml:space="preserve">Miller </w:t>
      </w:r>
      <w:r w:rsidR="00D64F17" w:rsidRPr="00B843CF">
        <w:t xml:space="preserve">at </w:t>
      </w:r>
      <w:r w:rsidR="00D64F17">
        <w:rPr>
          <w:i/>
        </w:rPr>
        <w:t>§</w:t>
      </w:r>
      <w:r>
        <w:t>139.</w:t>
      </w:r>
      <w:proofErr w:type="gramEnd"/>
    </w:p>
  </w:footnote>
  <w:footnote w:id="83">
    <w:p w:rsidR="00AE67AB" w:rsidRDefault="00AE67AB" w:rsidP="005C3956">
      <w:pPr>
        <w:pStyle w:val="FootnoteText"/>
        <w:tabs>
          <w:tab w:val="left" w:pos="360"/>
        </w:tabs>
      </w:pPr>
      <w:r>
        <w:rPr>
          <w:rStyle w:val="FootnoteReference"/>
        </w:rPr>
        <w:footnoteRef/>
      </w:r>
      <w:r>
        <w:t xml:space="preserve"> </w:t>
      </w:r>
      <w:r>
        <w:tab/>
      </w:r>
      <w:proofErr w:type="gramStart"/>
      <w:r w:rsidR="00D64F17">
        <w:rPr>
          <w:i/>
        </w:rPr>
        <w:t xml:space="preserve">Miller </w:t>
      </w:r>
      <w:r w:rsidR="00D64F17" w:rsidRPr="00B843CF">
        <w:t>at</w:t>
      </w:r>
      <w:r w:rsidR="00D64F17">
        <w:rPr>
          <w:i/>
        </w:rPr>
        <w:t xml:space="preserve"> §</w:t>
      </w:r>
      <w:r>
        <w:t>138.</w:t>
      </w:r>
      <w:proofErr w:type="gramEnd"/>
    </w:p>
  </w:footnote>
  <w:footnote w:id="84">
    <w:p w:rsidR="00AE67AB" w:rsidRDefault="00AE67AB" w:rsidP="005C3956">
      <w:pPr>
        <w:pStyle w:val="FootnoteText"/>
        <w:tabs>
          <w:tab w:val="left" w:pos="360"/>
        </w:tabs>
      </w:pPr>
      <w:r>
        <w:rPr>
          <w:rStyle w:val="FootnoteReference"/>
        </w:rPr>
        <w:footnoteRef/>
      </w:r>
      <w:r>
        <w:t xml:space="preserve"> </w:t>
      </w:r>
      <w:r>
        <w:tab/>
      </w:r>
      <w:proofErr w:type="gramStart"/>
      <w:r w:rsidRPr="00B5215E">
        <w:t>[1999] 1 AC 1</w:t>
      </w:r>
      <w:r>
        <w:t>.</w:t>
      </w:r>
      <w:proofErr w:type="gramEnd"/>
    </w:p>
  </w:footnote>
  <w:footnote w:id="85">
    <w:p w:rsidR="00AE67AB" w:rsidRPr="000C09ED" w:rsidRDefault="00AE67AB" w:rsidP="005C3956">
      <w:pPr>
        <w:pStyle w:val="FootnoteText"/>
        <w:tabs>
          <w:tab w:val="left" w:pos="360"/>
        </w:tabs>
        <w:jc w:val="both"/>
      </w:pPr>
      <w:r>
        <w:rPr>
          <w:rStyle w:val="FootnoteReference"/>
        </w:rPr>
        <w:footnoteRef/>
      </w:r>
      <w:r>
        <w:t xml:space="preserve"> </w:t>
      </w:r>
      <w:r>
        <w:tab/>
      </w:r>
      <w:proofErr w:type="gramStart"/>
      <w:r>
        <w:rPr>
          <w:i/>
        </w:rPr>
        <w:t xml:space="preserve">Powell </w:t>
      </w:r>
      <w:r>
        <w:t>at 14.</w:t>
      </w:r>
      <w:proofErr w:type="gramEnd"/>
    </w:p>
  </w:footnote>
  <w:footnote w:id="86">
    <w:p w:rsidR="00AE67AB" w:rsidRDefault="00AE67AB" w:rsidP="005C3956">
      <w:pPr>
        <w:pStyle w:val="FootnoteText"/>
        <w:tabs>
          <w:tab w:val="left" w:pos="360"/>
        </w:tabs>
        <w:jc w:val="both"/>
      </w:pPr>
      <w:r>
        <w:rPr>
          <w:rStyle w:val="FootnoteReference"/>
        </w:rPr>
        <w:footnoteRef/>
      </w:r>
      <w:r>
        <w:t xml:space="preserve"> </w:t>
      </w:r>
      <w:r>
        <w:tab/>
      </w:r>
      <w:r w:rsidRPr="00831417">
        <w:t>[1995] 1 Cr App R 441</w:t>
      </w:r>
      <w:r w:rsidR="00B843CF">
        <w:t xml:space="preserve"> at 447</w:t>
      </w:r>
      <w:r w:rsidR="00B843CF">
        <w:rPr>
          <w:rFonts w:hint="eastAsia"/>
        </w:rPr>
        <w:t xml:space="preserve">, </w:t>
      </w:r>
      <w:r w:rsidR="00B843CF">
        <w:t xml:space="preserve">see Section </w:t>
      </w:r>
      <w:r w:rsidR="00B843CF">
        <w:rPr>
          <w:rFonts w:hint="eastAsia"/>
        </w:rPr>
        <w:t>C</w:t>
      </w:r>
      <w:r>
        <w:t xml:space="preserve"> above.</w:t>
      </w:r>
    </w:p>
  </w:footnote>
  <w:footnote w:id="87">
    <w:p w:rsidR="00AE67AB" w:rsidRDefault="00AE67AB" w:rsidP="005C3956">
      <w:pPr>
        <w:pStyle w:val="FootnoteText"/>
        <w:tabs>
          <w:tab w:val="left" w:pos="360"/>
        </w:tabs>
        <w:jc w:val="both"/>
      </w:pPr>
      <w:r>
        <w:rPr>
          <w:rStyle w:val="FootnoteReference"/>
        </w:rPr>
        <w:footnoteRef/>
      </w:r>
      <w:r>
        <w:t xml:space="preserve"> </w:t>
      </w:r>
      <w:r>
        <w:tab/>
      </w:r>
      <w:proofErr w:type="gramStart"/>
      <w:r>
        <w:t>(2004) 7 HKCFAR 475.</w:t>
      </w:r>
      <w:proofErr w:type="gramEnd"/>
    </w:p>
  </w:footnote>
  <w:footnote w:id="88">
    <w:p w:rsidR="00AE67AB" w:rsidRPr="00402D17" w:rsidRDefault="00AE67AB" w:rsidP="005C3956">
      <w:pPr>
        <w:pStyle w:val="FootnoteText"/>
        <w:tabs>
          <w:tab w:val="left" w:pos="360"/>
        </w:tabs>
        <w:jc w:val="both"/>
        <w:rPr>
          <w:i/>
        </w:rPr>
      </w:pPr>
      <w:r>
        <w:rPr>
          <w:rStyle w:val="FootnoteReference"/>
        </w:rPr>
        <w:footnoteRef/>
      </w:r>
      <w:r>
        <w:t xml:space="preserve"> </w:t>
      </w:r>
      <w:r>
        <w:tab/>
      </w:r>
      <w:proofErr w:type="spellStart"/>
      <w:proofErr w:type="gramStart"/>
      <w:r w:rsidR="00D64F17">
        <w:rPr>
          <w:i/>
        </w:rPr>
        <w:t>Jogee</w:t>
      </w:r>
      <w:proofErr w:type="spellEnd"/>
      <w:r w:rsidR="00D64F17">
        <w:rPr>
          <w:i/>
        </w:rPr>
        <w:t xml:space="preserve"> </w:t>
      </w:r>
      <w:r w:rsidR="00D64F17" w:rsidRPr="00D64F17">
        <w:t>at</w:t>
      </w:r>
      <w:r w:rsidR="00D64F17">
        <w:rPr>
          <w:i/>
        </w:rPr>
        <w:t xml:space="preserve"> </w:t>
      </w:r>
      <w:r w:rsidR="00D64F17" w:rsidRPr="00D64F17">
        <w:t>§</w:t>
      </w:r>
      <w:r>
        <w:t xml:space="preserve">§88 </w:t>
      </w:r>
      <w:r>
        <w:rPr>
          <w:i/>
        </w:rPr>
        <w:t>et seq.</w:t>
      </w:r>
      <w:proofErr w:type="gramEnd"/>
    </w:p>
  </w:footnote>
  <w:footnote w:id="89">
    <w:p w:rsidR="00AE67AB" w:rsidRDefault="00AE67AB" w:rsidP="005C3956">
      <w:pPr>
        <w:pStyle w:val="FootnoteText"/>
        <w:tabs>
          <w:tab w:val="left" w:pos="360"/>
        </w:tabs>
      </w:pPr>
      <w:r>
        <w:rPr>
          <w:rStyle w:val="FootnoteReference"/>
        </w:rPr>
        <w:footnoteRef/>
      </w:r>
      <w:r>
        <w:t xml:space="preserve"> </w:t>
      </w:r>
      <w:r>
        <w:tab/>
        <w:t>Italics supplied.</w:t>
      </w:r>
    </w:p>
  </w:footnote>
  <w:footnote w:id="90">
    <w:p w:rsidR="00AE67AB" w:rsidRDefault="00AE67AB" w:rsidP="005C3956">
      <w:pPr>
        <w:pStyle w:val="FootnoteText"/>
        <w:tabs>
          <w:tab w:val="left" w:pos="360"/>
        </w:tabs>
        <w:ind w:left="360" w:hanging="360"/>
        <w:jc w:val="both"/>
      </w:pPr>
      <w:r>
        <w:rPr>
          <w:rStyle w:val="FootnoteReference"/>
        </w:rPr>
        <w:footnoteRef/>
      </w:r>
      <w:r w:rsidR="00D64F17">
        <w:t xml:space="preserve"> </w:t>
      </w:r>
      <w:r w:rsidR="00D64F17">
        <w:tab/>
      </w:r>
      <w:proofErr w:type="spellStart"/>
      <w:proofErr w:type="gramStart"/>
      <w:r w:rsidR="00D64F17">
        <w:rPr>
          <w:i/>
        </w:rPr>
        <w:t>Winnie</w:t>
      </w:r>
      <w:proofErr w:type="spellEnd"/>
      <w:r w:rsidR="00D64F17">
        <w:rPr>
          <w:i/>
        </w:rPr>
        <w:t xml:space="preserve"> Lo v HKSAR </w:t>
      </w:r>
      <w:r w:rsidR="00D64F17">
        <w:t>(2012) 15 HKCFAR 16 at §§115-117</w:t>
      </w:r>
      <w:r>
        <w:t>.</w:t>
      </w:r>
      <w:proofErr w:type="gramEnd"/>
    </w:p>
  </w:footnote>
  <w:footnote w:id="91">
    <w:p w:rsidR="00AE67AB" w:rsidRPr="00AE67AB" w:rsidRDefault="00AE67AB" w:rsidP="005C3956">
      <w:pPr>
        <w:pStyle w:val="FootnoteText"/>
        <w:tabs>
          <w:tab w:val="left" w:pos="360"/>
        </w:tabs>
        <w:ind w:left="360" w:hanging="360"/>
        <w:jc w:val="both"/>
      </w:pPr>
      <w:r>
        <w:rPr>
          <w:rStyle w:val="FootnoteReference"/>
        </w:rPr>
        <w:footnoteRef/>
      </w:r>
      <w:r>
        <w:t xml:space="preserve"> </w:t>
      </w:r>
      <w:r>
        <w:tab/>
      </w:r>
      <w:r>
        <w:rPr>
          <w:szCs w:val="28"/>
        </w:rPr>
        <w:t xml:space="preserve">Glanville Williams, </w:t>
      </w:r>
      <w:r>
        <w:rPr>
          <w:i/>
          <w:szCs w:val="28"/>
        </w:rPr>
        <w:t>Criminal Law, The General Part</w:t>
      </w:r>
      <w:r w:rsidRPr="00AE67AB">
        <w:rPr>
          <w:szCs w:val="28"/>
        </w:rPr>
        <w:t xml:space="preserve"> </w:t>
      </w:r>
      <w:r>
        <w:rPr>
          <w:szCs w:val="28"/>
        </w:rPr>
        <w:t>(Stevens, 2</w:t>
      </w:r>
      <w:r w:rsidRPr="00FB0E71">
        <w:rPr>
          <w:szCs w:val="28"/>
          <w:vertAlign w:val="superscript"/>
        </w:rPr>
        <w:t>nd</w:t>
      </w:r>
      <w:r w:rsidR="00D92A26">
        <w:rPr>
          <w:szCs w:val="28"/>
        </w:rPr>
        <w:t xml:space="preserve"> Ed, 1961), pp 34-36; </w:t>
      </w:r>
      <w:r w:rsidR="00D92A26">
        <w:t xml:space="preserve">Smith &amp; Hogan p 117.  </w:t>
      </w:r>
    </w:p>
  </w:footnote>
  <w:footnote w:id="92">
    <w:p w:rsidR="00AE67AB" w:rsidRDefault="00AE67AB" w:rsidP="005C3956">
      <w:pPr>
        <w:pStyle w:val="FootnoteText"/>
        <w:tabs>
          <w:tab w:val="left" w:pos="360"/>
        </w:tabs>
        <w:ind w:left="360" w:hanging="360"/>
        <w:jc w:val="both"/>
      </w:pPr>
      <w:r>
        <w:rPr>
          <w:rStyle w:val="FootnoteReference"/>
        </w:rPr>
        <w:footnoteRef/>
      </w:r>
      <w:r w:rsidR="00B75F71">
        <w:t xml:space="preserve"> </w:t>
      </w:r>
      <w:r w:rsidR="00B75F71">
        <w:tab/>
      </w:r>
      <w:proofErr w:type="gramStart"/>
      <w:r w:rsidR="00B75F71">
        <w:t xml:space="preserve">Glanville Williams, </w:t>
      </w:r>
      <w:r w:rsidR="00B75F71">
        <w:rPr>
          <w:i/>
        </w:rPr>
        <w:t xml:space="preserve">op cit </w:t>
      </w:r>
      <w:r w:rsidR="00B75F71">
        <w:t xml:space="preserve">1961, </w:t>
      </w:r>
      <w:r w:rsidR="00D92A26">
        <w:t>pp 38-42; Smith &amp; Hogan p 117.</w:t>
      </w:r>
      <w:proofErr w:type="gramEnd"/>
    </w:p>
  </w:footnote>
  <w:footnote w:id="93">
    <w:p w:rsidR="00C867F3" w:rsidRDefault="00C867F3" w:rsidP="005C3956">
      <w:pPr>
        <w:pStyle w:val="FootnoteText"/>
        <w:tabs>
          <w:tab w:val="left" w:pos="360"/>
        </w:tabs>
      </w:pPr>
      <w:r>
        <w:rPr>
          <w:rStyle w:val="FootnoteReference"/>
        </w:rPr>
        <w:footnoteRef/>
      </w:r>
      <w:r>
        <w:t xml:space="preserve"> </w:t>
      </w:r>
      <w:r>
        <w:tab/>
      </w:r>
      <w:proofErr w:type="gramStart"/>
      <w:r w:rsidRPr="00B5215E">
        <w:t>[1999] 1 AC 1</w:t>
      </w:r>
      <w:r>
        <w:t xml:space="preserve"> at 14.</w:t>
      </w:r>
      <w:proofErr w:type="gramEnd"/>
    </w:p>
  </w:footnote>
  <w:footnote w:id="94">
    <w:p w:rsidR="00AE67AB" w:rsidRDefault="00AE67AB" w:rsidP="005C3956">
      <w:pPr>
        <w:pStyle w:val="FootnoteText"/>
        <w:tabs>
          <w:tab w:val="left" w:pos="360"/>
        </w:tabs>
      </w:pPr>
      <w:r>
        <w:rPr>
          <w:rStyle w:val="FootnoteReference"/>
        </w:rPr>
        <w:footnoteRef/>
      </w:r>
      <w:r>
        <w:t xml:space="preserve"> </w:t>
      </w:r>
      <w:r>
        <w:tab/>
      </w:r>
      <w:proofErr w:type="gramStart"/>
      <w:r w:rsidRPr="00DB3753">
        <w:rPr>
          <w:szCs w:val="28"/>
        </w:rPr>
        <w:t>[2016] EWCA</w:t>
      </w:r>
      <w:r w:rsidR="00B843CF">
        <w:rPr>
          <w:rFonts w:hint="eastAsia"/>
          <w:szCs w:val="28"/>
        </w:rPr>
        <w:t xml:space="preserve"> </w:t>
      </w:r>
      <w:proofErr w:type="spellStart"/>
      <w:r w:rsidR="00B843CF">
        <w:rPr>
          <w:rFonts w:hint="eastAsia"/>
          <w:szCs w:val="28"/>
        </w:rPr>
        <w:t>Crim</w:t>
      </w:r>
      <w:proofErr w:type="spellEnd"/>
      <w:r w:rsidRPr="00DB3753">
        <w:rPr>
          <w:szCs w:val="28"/>
        </w:rPr>
        <w:t xml:space="preserve"> 551</w:t>
      </w:r>
      <w:r>
        <w:rPr>
          <w:szCs w:val="28"/>
        </w:rPr>
        <w:t xml:space="preserve"> at §9.</w:t>
      </w:r>
      <w:proofErr w:type="gramEnd"/>
    </w:p>
  </w:footnote>
  <w:footnote w:id="95">
    <w:p w:rsidR="00AE67AB" w:rsidRDefault="00AE67AB" w:rsidP="005C3956">
      <w:pPr>
        <w:pStyle w:val="FootnoteText"/>
        <w:tabs>
          <w:tab w:val="left" w:pos="360"/>
        </w:tabs>
      </w:pPr>
      <w:r>
        <w:rPr>
          <w:rStyle w:val="FootnoteReference"/>
        </w:rPr>
        <w:footnoteRef/>
      </w:r>
      <w:r>
        <w:t xml:space="preserve"> </w:t>
      </w:r>
      <w:r>
        <w:tab/>
      </w:r>
      <w:proofErr w:type="gramStart"/>
      <w:r>
        <w:t>At §11.</w:t>
      </w:r>
      <w:proofErr w:type="gramEnd"/>
    </w:p>
  </w:footnote>
  <w:footnote w:id="96">
    <w:p w:rsidR="00AE67AB" w:rsidRDefault="00AE67AB" w:rsidP="005C3956">
      <w:pPr>
        <w:pStyle w:val="FootnoteText"/>
        <w:tabs>
          <w:tab w:val="left" w:pos="360"/>
        </w:tabs>
      </w:pPr>
      <w:r>
        <w:rPr>
          <w:rStyle w:val="FootnoteReference"/>
        </w:rPr>
        <w:footnoteRef/>
      </w:r>
      <w:r>
        <w:t xml:space="preserve"> </w:t>
      </w:r>
      <w:r>
        <w:tab/>
      </w:r>
      <w:proofErr w:type="gramStart"/>
      <w:r>
        <w:t>At §12.</w:t>
      </w:r>
      <w:proofErr w:type="gramEnd"/>
    </w:p>
  </w:footnote>
  <w:footnote w:id="97">
    <w:p w:rsidR="00AE67AB" w:rsidRDefault="00AE67AB" w:rsidP="005C3956">
      <w:pPr>
        <w:pStyle w:val="FootnoteText"/>
        <w:tabs>
          <w:tab w:val="left" w:pos="360"/>
        </w:tabs>
      </w:pPr>
      <w:r>
        <w:rPr>
          <w:rStyle w:val="FootnoteReference"/>
        </w:rPr>
        <w:footnoteRef/>
      </w:r>
      <w:r>
        <w:t xml:space="preserve"> </w:t>
      </w:r>
      <w:r>
        <w:tab/>
      </w:r>
      <w:proofErr w:type="gramStart"/>
      <w:r>
        <w:t>At §16.</w:t>
      </w:r>
      <w:proofErr w:type="gramEnd"/>
    </w:p>
  </w:footnote>
  <w:footnote w:id="98">
    <w:p w:rsidR="00AE67AB" w:rsidRDefault="00AE67AB" w:rsidP="005C3956">
      <w:pPr>
        <w:pStyle w:val="FootnoteText"/>
        <w:tabs>
          <w:tab w:val="left" w:pos="360"/>
        </w:tabs>
      </w:pPr>
      <w:r>
        <w:rPr>
          <w:rStyle w:val="FootnoteReference"/>
        </w:rPr>
        <w:footnoteRef/>
      </w:r>
      <w:r>
        <w:t xml:space="preserve"> </w:t>
      </w:r>
      <w:r>
        <w:tab/>
      </w:r>
      <w:proofErr w:type="gramStart"/>
      <w:r>
        <w:t>At §20.</w:t>
      </w:r>
      <w:proofErr w:type="gramEnd"/>
    </w:p>
  </w:footnote>
  <w:footnote w:id="99">
    <w:p w:rsidR="00AE67AB" w:rsidRDefault="00AE67AB" w:rsidP="005C3956">
      <w:pPr>
        <w:pStyle w:val="FootnoteText"/>
        <w:tabs>
          <w:tab w:val="left" w:pos="360"/>
        </w:tabs>
      </w:pPr>
      <w:r>
        <w:rPr>
          <w:rStyle w:val="FootnoteReference"/>
        </w:rPr>
        <w:footnoteRef/>
      </w:r>
      <w:r>
        <w:t xml:space="preserve"> </w:t>
      </w:r>
      <w:r>
        <w:tab/>
      </w:r>
      <w:proofErr w:type="gramStart"/>
      <w:r>
        <w:t>At §21.</w:t>
      </w:r>
      <w:proofErr w:type="gramEnd"/>
    </w:p>
  </w:footnote>
  <w:footnote w:id="100">
    <w:p w:rsidR="00AE67AB" w:rsidRDefault="00AE67AB" w:rsidP="005C3956">
      <w:pPr>
        <w:pStyle w:val="FootnoteText"/>
        <w:tabs>
          <w:tab w:val="left" w:pos="360"/>
        </w:tabs>
      </w:pPr>
      <w:r>
        <w:rPr>
          <w:rStyle w:val="FootnoteReference"/>
        </w:rPr>
        <w:footnoteRef/>
      </w:r>
      <w:r>
        <w:t xml:space="preserve"> </w:t>
      </w:r>
      <w:r>
        <w:tab/>
      </w:r>
      <w:proofErr w:type="gramStart"/>
      <w:r>
        <w:t>At §25.</w:t>
      </w:r>
      <w:proofErr w:type="gramEnd"/>
    </w:p>
  </w:footnote>
  <w:footnote w:id="101">
    <w:p w:rsidR="00AE67AB" w:rsidRDefault="00AE67AB" w:rsidP="005C3956">
      <w:pPr>
        <w:pStyle w:val="FootnoteText"/>
        <w:tabs>
          <w:tab w:val="left" w:pos="360"/>
        </w:tabs>
      </w:pPr>
      <w:r>
        <w:rPr>
          <w:rStyle w:val="FootnoteReference"/>
        </w:rPr>
        <w:footnoteRef/>
      </w:r>
      <w:r>
        <w:t xml:space="preserve"> </w:t>
      </w:r>
      <w:r>
        <w:tab/>
      </w:r>
      <w:proofErr w:type="gramStart"/>
      <w:r w:rsidRPr="002651EA">
        <w:t xml:space="preserve">[2016] EWCA </w:t>
      </w:r>
      <w:proofErr w:type="spellStart"/>
      <w:r w:rsidRPr="002651EA">
        <w:t>Crim</w:t>
      </w:r>
      <w:proofErr w:type="spellEnd"/>
      <w:r w:rsidRPr="002651EA">
        <w:t xml:space="preserve"> 1613</w:t>
      </w:r>
      <w:r>
        <w:t>.</w:t>
      </w:r>
      <w:proofErr w:type="gramEnd"/>
    </w:p>
  </w:footnote>
  <w:footnote w:id="102">
    <w:p w:rsidR="00AE67AB" w:rsidRDefault="00AE67AB" w:rsidP="005C3956">
      <w:pPr>
        <w:pStyle w:val="FootnoteText"/>
        <w:tabs>
          <w:tab w:val="left" w:pos="360"/>
        </w:tabs>
      </w:pPr>
      <w:r>
        <w:rPr>
          <w:rStyle w:val="FootnoteReference"/>
        </w:rPr>
        <w:footnoteRef/>
      </w:r>
      <w:r>
        <w:t xml:space="preserve"> </w:t>
      </w:r>
      <w:r>
        <w:tab/>
      </w:r>
      <w:proofErr w:type="gramStart"/>
      <w:r>
        <w:t>At §5.</w:t>
      </w:r>
      <w:proofErr w:type="gramEnd"/>
    </w:p>
  </w:footnote>
  <w:footnote w:id="103">
    <w:p w:rsidR="00AE67AB" w:rsidRPr="006955E9" w:rsidRDefault="00AE67AB" w:rsidP="005C3956">
      <w:pPr>
        <w:pStyle w:val="FootnoteText"/>
        <w:tabs>
          <w:tab w:val="left" w:pos="360"/>
        </w:tabs>
        <w:rPr>
          <w:i/>
        </w:rPr>
      </w:pPr>
      <w:r>
        <w:rPr>
          <w:rStyle w:val="FootnoteReference"/>
        </w:rPr>
        <w:footnoteRef/>
      </w:r>
      <w:r>
        <w:t xml:space="preserve"> </w:t>
      </w:r>
      <w:r>
        <w:tab/>
      </w:r>
      <w:proofErr w:type="gramStart"/>
      <w:r>
        <w:t xml:space="preserve">At §59 </w:t>
      </w:r>
      <w:r>
        <w:rPr>
          <w:i/>
        </w:rPr>
        <w:t>et seq.</w:t>
      </w:r>
      <w:proofErr w:type="gramEnd"/>
    </w:p>
  </w:footnote>
  <w:footnote w:id="104">
    <w:p w:rsidR="00AE67AB" w:rsidRDefault="00AE67AB" w:rsidP="005C3956">
      <w:pPr>
        <w:pStyle w:val="FootnoteText"/>
        <w:tabs>
          <w:tab w:val="left" w:pos="360"/>
        </w:tabs>
      </w:pPr>
      <w:r>
        <w:rPr>
          <w:rStyle w:val="FootnoteReference"/>
        </w:rPr>
        <w:footnoteRef/>
      </w:r>
      <w:r>
        <w:t xml:space="preserve"> </w:t>
      </w:r>
      <w:r>
        <w:tab/>
      </w:r>
      <w:proofErr w:type="gramStart"/>
      <w:r>
        <w:t>At §81.</w:t>
      </w:r>
      <w:proofErr w:type="gramEnd"/>
    </w:p>
  </w:footnote>
  <w:footnote w:id="105">
    <w:p w:rsidR="00AE67AB" w:rsidRDefault="00AE67AB" w:rsidP="005C3956">
      <w:pPr>
        <w:pStyle w:val="FootnoteText"/>
        <w:tabs>
          <w:tab w:val="left" w:pos="360"/>
        </w:tabs>
      </w:pPr>
      <w:r>
        <w:rPr>
          <w:rStyle w:val="FootnoteReference"/>
        </w:rPr>
        <w:footnoteRef/>
      </w:r>
      <w:r>
        <w:t xml:space="preserve"> </w:t>
      </w:r>
      <w:r>
        <w:tab/>
      </w:r>
      <w:proofErr w:type="gramStart"/>
      <w:r>
        <w:t>At §82.</w:t>
      </w:r>
      <w:proofErr w:type="gramEnd"/>
    </w:p>
  </w:footnote>
  <w:footnote w:id="106">
    <w:p w:rsidR="00AE67AB" w:rsidRDefault="00AE67AB" w:rsidP="005C3956">
      <w:pPr>
        <w:pStyle w:val="FootnoteText"/>
        <w:tabs>
          <w:tab w:val="left" w:pos="360"/>
        </w:tabs>
      </w:pPr>
      <w:r>
        <w:rPr>
          <w:rStyle w:val="FootnoteReference"/>
        </w:rPr>
        <w:footnoteRef/>
      </w:r>
      <w:r>
        <w:t xml:space="preserve"> </w:t>
      </w:r>
      <w:r>
        <w:tab/>
      </w:r>
      <w:proofErr w:type="gramStart"/>
      <w:r>
        <w:t>At §83.</w:t>
      </w:r>
      <w:proofErr w:type="gramEnd"/>
    </w:p>
  </w:footnote>
  <w:footnote w:id="107">
    <w:p w:rsidR="00AE67AB" w:rsidRPr="00832F49" w:rsidRDefault="00AE67AB" w:rsidP="005C3956">
      <w:pPr>
        <w:pStyle w:val="FootnoteText"/>
        <w:tabs>
          <w:tab w:val="left" w:pos="360"/>
        </w:tabs>
      </w:pPr>
      <w:r>
        <w:rPr>
          <w:rStyle w:val="FootnoteReference"/>
        </w:rPr>
        <w:footnoteRef/>
      </w:r>
      <w:r>
        <w:t xml:space="preserve"> </w:t>
      </w:r>
      <w:r>
        <w:tab/>
      </w:r>
      <w:proofErr w:type="gramStart"/>
      <w:r>
        <w:t xml:space="preserve">At §161 </w:t>
      </w:r>
      <w:r>
        <w:rPr>
          <w:i/>
        </w:rPr>
        <w:t>et seq</w:t>
      </w:r>
      <w:r>
        <w:t>.</w:t>
      </w:r>
      <w:proofErr w:type="gramEnd"/>
    </w:p>
  </w:footnote>
  <w:footnote w:id="108">
    <w:p w:rsidR="00AE67AB" w:rsidRDefault="00AE67AB" w:rsidP="005C3956">
      <w:pPr>
        <w:pStyle w:val="FootnoteText"/>
        <w:tabs>
          <w:tab w:val="left" w:pos="360"/>
        </w:tabs>
      </w:pPr>
      <w:r>
        <w:rPr>
          <w:rStyle w:val="FootnoteReference"/>
        </w:rPr>
        <w:footnoteRef/>
      </w:r>
      <w:r w:rsidR="00B843CF">
        <w:t xml:space="preserve"> </w:t>
      </w:r>
      <w:r w:rsidR="00B843CF">
        <w:tab/>
      </w:r>
      <w:proofErr w:type="gramStart"/>
      <w:r w:rsidR="00B843CF">
        <w:t>At §18</w:t>
      </w:r>
      <w:r w:rsidR="00B843CF">
        <w:rPr>
          <w:rFonts w:hint="eastAsia"/>
        </w:rPr>
        <w:t>2</w:t>
      </w:r>
      <w:r>
        <w:t>.</w:t>
      </w:r>
      <w:proofErr w:type="gramEnd"/>
    </w:p>
  </w:footnote>
  <w:footnote w:id="109">
    <w:p w:rsidR="00AE67AB" w:rsidRDefault="00AE67AB" w:rsidP="005C3956">
      <w:pPr>
        <w:pStyle w:val="FootnoteText"/>
        <w:tabs>
          <w:tab w:val="left" w:pos="360"/>
        </w:tabs>
        <w:ind w:left="360" w:hanging="360"/>
        <w:jc w:val="both"/>
      </w:pPr>
      <w:r>
        <w:rPr>
          <w:rStyle w:val="FootnoteReference"/>
        </w:rPr>
        <w:footnoteRef/>
      </w:r>
      <w:r>
        <w:t xml:space="preserve"> </w:t>
      </w:r>
      <w:r>
        <w:tab/>
      </w:r>
      <w:proofErr w:type="gramStart"/>
      <w:r>
        <w:t>At §189.</w:t>
      </w:r>
      <w:proofErr w:type="gramEnd"/>
    </w:p>
  </w:footnote>
  <w:footnote w:id="110">
    <w:p w:rsidR="00AE67AB" w:rsidRDefault="00AE67AB" w:rsidP="005C3956">
      <w:pPr>
        <w:pStyle w:val="FootnoteText"/>
        <w:tabs>
          <w:tab w:val="left" w:pos="360"/>
        </w:tabs>
        <w:ind w:left="360" w:hanging="360"/>
        <w:jc w:val="both"/>
      </w:pPr>
      <w:r>
        <w:rPr>
          <w:rStyle w:val="FootnoteReference"/>
        </w:rPr>
        <w:footnoteRef/>
      </w:r>
      <w:r>
        <w:t xml:space="preserve"> </w:t>
      </w:r>
      <w:r>
        <w:tab/>
      </w:r>
      <w:proofErr w:type="gramStart"/>
      <w:r>
        <w:t>“</w:t>
      </w:r>
      <w:r w:rsidRPr="00C424AF">
        <w:rPr>
          <w:i/>
        </w:rPr>
        <w:t>Accessory Liability and Common Unlawful Purposes</w:t>
      </w:r>
      <w:r>
        <w:t>” (2017) 133 LQR 73 at 84-86 (Pre-publication proofs having helpfully been provided to the Court).</w:t>
      </w:r>
      <w:proofErr w:type="gramEnd"/>
      <w:r>
        <w:t xml:space="preserve"> </w:t>
      </w:r>
    </w:p>
  </w:footnote>
  <w:footnote w:id="111">
    <w:p w:rsidR="00AE67AB" w:rsidRPr="00AB1771" w:rsidRDefault="00AE67AB" w:rsidP="005C3956">
      <w:pPr>
        <w:pStyle w:val="FootnoteText"/>
        <w:tabs>
          <w:tab w:val="left" w:pos="360"/>
        </w:tabs>
        <w:ind w:left="360" w:hanging="360"/>
        <w:jc w:val="both"/>
      </w:pPr>
      <w:r>
        <w:rPr>
          <w:rStyle w:val="FootnoteReference"/>
        </w:rPr>
        <w:footnoteRef/>
      </w:r>
      <w:r>
        <w:t xml:space="preserve"> </w:t>
      </w:r>
      <w:r>
        <w:tab/>
        <w:t xml:space="preserve">These include: </w:t>
      </w:r>
      <w:r w:rsidRPr="00F15DDD">
        <w:t xml:space="preserve">Cheung Eric TM, </w:t>
      </w:r>
      <w:r w:rsidRPr="00F15DDD">
        <w:rPr>
          <w:i/>
        </w:rPr>
        <w:t xml:space="preserve">The Dichotomy Between Foresight and Intention in Joint Enterprise Murder: Should our Top Court Depart from Chan Wing </w:t>
      </w:r>
      <w:proofErr w:type="spellStart"/>
      <w:r w:rsidRPr="00F15DDD">
        <w:rPr>
          <w:i/>
        </w:rPr>
        <w:t>Siu</w:t>
      </w:r>
      <w:proofErr w:type="spellEnd"/>
      <w:r w:rsidRPr="00F15DDD">
        <w:rPr>
          <w:i/>
        </w:rPr>
        <w:t xml:space="preserve"> and </w:t>
      </w:r>
      <w:proofErr w:type="spellStart"/>
      <w:r w:rsidRPr="00F15DDD">
        <w:rPr>
          <w:i/>
        </w:rPr>
        <w:t>Sze</w:t>
      </w:r>
      <w:proofErr w:type="spellEnd"/>
      <w:r w:rsidRPr="00F15DDD">
        <w:rPr>
          <w:i/>
        </w:rPr>
        <w:t xml:space="preserve"> Kwan Lung?</w:t>
      </w:r>
      <w:r w:rsidRPr="00F15DDD">
        <w:t xml:space="preserve"> Centre for Comparative and Public Law Occasional Paper No. 28, Faculty of Law, The University of Hong Kong, October 2016</w:t>
      </w:r>
      <w:r>
        <w:t xml:space="preserve">; </w:t>
      </w:r>
      <w:r w:rsidRPr="00F15DDD">
        <w:t xml:space="preserve">Dyson M, </w:t>
      </w:r>
      <w:r w:rsidR="00B843CF">
        <w:rPr>
          <w:i/>
        </w:rPr>
        <w:t xml:space="preserve">Bases and </w:t>
      </w:r>
      <w:proofErr w:type="spellStart"/>
      <w:r w:rsidR="00B843CF">
        <w:rPr>
          <w:rFonts w:hint="eastAsia"/>
          <w:i/>
        </w:rPr>
        <w:t>B</w:t>
      </w:r>
      <w:r w:rsidR="00B843CF">
        <w:rPr>
          <w:i/>
        </w:rPr>
        <w:t>aselessness</w:t>
      </w:r>
      <w:proofErr w:type="spellEnd"/>
      <w:r w:rsidR="00B843CF">
        <w:rPr>
          <w:i/>
        </w:rPr>
        <w:t xml:space="preserve"> in </w:t>
      </w:r>
      <w:r w:rsidR="00B843CF">
        <w:rPr>
          <w:rFonts w:hint="eastAsia"/>
          <w:i/>
        </w:rPr>
        <w:t>S</w:t>
      </w:r>
      <w:r w:rsidR="00B843CF">
        <w:rPr>
          <w:i/>
        </w:rPr>
        <w:t xml:space="preserve">econdary </w:t>
      </w:r>
      <w:r w:rsidR="00B843CF">
        <w:rPr>
          <w:rFonts w:hint="eastAsia"/>
          <w:i/>
        </w:rPr>
        <w:t>L</w:t>
      </w:r>
      <w:r w:rsidRPr="00F15DDD">
        <w:rPr>
          <w:i/>
        </w:rPr>
        <w:t>iability</w:t>
      </w:r>
      <w:r>
        <w:rPr>
          <w:i/>
        </w:rPr>
        <w:t>,</w:t>
      </w:r>
      <w:r w:rsidRPr="00F15DDD">
        <w:t xml:space="preserve"> University of Cambridge Faculty of Law Research Paper 31/2015</w:t>
      </w:r>
      <w:r w:rsidR="00486A20">
        <w:t xml:space="preserve"> (submitted to the Supreme Court in </w:t>
      </w:r>
      <w:proofErr w:type="spellStart"/>
      <w:r w:rsidR="00486A20">
        <w:rPr>
          <w:i/>
        </w:rPr>
        <w:t>Jogee</w:t>
      </w:r>
      <w:proofErr w:type="spellEnd"/>
      <w:r w:rsidR="00486A20">
        <w:t>)</w:t>
      </w:r>
      <w:r>
        <w:t xml:space="preserve">; </w:t>
      </w:r>
      <w:r w:rsidRPr="00F15DDD">
        <w:t xml:space="preserve">Dyson M, </w:t>
      </w:r>
      <w:r w:rsidRPr="00F15DDD">
        <w:rPr>
          <w:i/>
        </w:rPr>
        <w:t>Might Alone Does Not Make right: Justifying Secondary Liability</w:t>
      </w:r>
      <w:r w:rsidRPr="00F15DDD">
        <w:t xml:space="preserve"> [2015] </w:t>
      </w:r>
      <w:proofErr w:type="spellStart"/>
      <w:r w:rsidRPr="00F15DDD">
        <w:t>Crim</w:t>
      </w:r>
      <w:proofErr w:type="spellEnd"/>
      <w:r w:rsidRPr="00F15DDD">
        <w:t xml:space="preserve"> LR 967</w:t>
      </w:r>
      <w:r>
        <w:t xml:space="preserve">; and </w:t>
      </w:r>
      <w:r w:rsidRPr="00F15DDD">
        <w:t xml:space="preserve">McNamara L, </w:t>
      </w:r>
      <w:r w:rsidR="00B843CF">
        <w:rPr>
          <w:i/>
        </w:rPr>
        <w:t xml:space="preserve">A Judicial </w:t>
      </w:r>
      <w:r w:rsidR="00B843CF">
        <w:rPr>
          <w:rFonts w:hint="eastAsia"/>
          <w:i/>
        </w:rPr>
        <w:t>C</w:t>
      </w:r>
      <w:r w:rsidRPr="00F15DDD">
        <w:rPr>
          <w:i/>
        </w:rPr>
        <w:t xml:space="preserve">ontribution to </w:t>
      </w:r>
      <w:r w:rsidR="00B843CF">
        <w:rPr>
          <w:i/>
        </w:rPr>
        <w:t xml:space="preserve">Over-criminalisation? </w:t>
      </w:r>
      <w:proofErr w:type="gramStart"/>
      <w:r w:rsidR="00B843CF">
        <w:rPr>
          <w:i/>
        </w:rPr>
        <w:t xml:space="preserve">Extended </w:t>
      </w:r>
      <w:r w:rsidR="00B843CF">
        <w:rPr>
          <w:rFonts w:hint="eastAsia"/>
          <w:i/>
        </w:rPr>
        <w:t>J</w:t>
      </w:r>
      <w:r w:rsidRPr="00F15DDD">
        <w:rPr>
          <w:i/>
        </w:rPr>
        <w:t xml:space="preserve">oint </w:t>
      </w:r>
      <w:r w:rsidR="00B843CF">
        <w:rPr>
          <w:rFonts w:hint="eastAsia"/>
          <w:i/>
        </w:rPr>
        <w:t>C</w:t>
      </w:r>
      <w:r w:rsidR="00B843CF">
        <w:rPr>
          <w:i/>
        </w:rPr>
        <w:t xml:space="preserve">riminal </w:t>
      </w:r>
      <w:r w:rsidR="00B843CF">
        <w:rPr>
          <w:rFonts w:hint="eastAsia"/>
          <w:i/>
        </w:rPr>
        <w:t>E</w:t>
      </w:r>
      <w:r w:rsidR="00B843CF">
        <w:rPr>
          <w:i/>
        </w:rPr>
        <w:t xml:space="preserve">nterprise </w:t>
      </w:r>
      <w:r w:rsidR="00B843CF">
        <w:rPr>
          <w:rFonts w:hint="eastAsia"/>
          <w:i/>
        </w:rPr>
        <w:t>L</w:t>
      </w:r>
      <w:r w:rsidRPr="00F15DDD">
        <w:rPr>
          <w:i/>
        </w:rPr>
        <w:t>iability for Murder</w:t>
      </w:r>
      <w:r w:rsidRPr="00F15DDD">
        <w:t xml:space="preserve"> (2014) 38 </w:t>
      </w:r>
      <w:proofErr w:type="spellStart"/>
      <w:r w:rsidRPr="00F15DDD">
        <w:t>Crim</w:t>
      </w:r>
      <w:proofErr w:type="spellEnd"/>
      <w:r w:rsidRPr="00F15DDD">
        <w:t xml:space="preserve"> LJ 104</w:t>
      </w:r>
      <w:r>
        <w:t>.</w:t>
      </w:r>
      <w:proofErr w:type="gramEnd"/>
      <w:r>
        <w:t xml:space="preserve"> </w:t>
      </w:r>
    </w:p>
  </w:footnote>
  <w:footnote w:id="112">
    <w:p w:rsidR="00323C8C" w:rsidRDefault="00323C8C" w:rsidP="005C3956">
      <w:pPr>
        <w:pStyle w:val="FootnoteText"/>
        <w:tabs>
          <w:tab w:val="left" w:pos="360"/>
        </w:tabs>
        <w:ind w:left="360" w:hanging="360"/>
        <w:jc w:val="both"/>
      </w:pPr>
      <w:r>
        <w:rPr>
          <w:rStyle w:val="FootnoteReference"/>
        </w:rPr>
        <w:footnoteRef/>
      </w:r>
      <w:r>
        <w:tab/>
        <w:t xml:space="preserve">These include the </w:t>
      </w:r>
      <w:r w:rsidRPr="00AB1771">
        <w:t xml:space="preserve">Law Commission, </w:t>
      </w:r>
      <w:r w:rsidRPr="00AB1771">
        <w:rPr>
          <w:i/>
        </w:rPr>
        <w:t>Participating in Crime</w:t>
      </w:r>
      <w:r w:rsidRPr="00AB1771">
        <w:t xml:space="preserve"> (LAW COM No 305), London UK, May 2007, pp.87-89</w:t>
      </w:r>
      <w:r>
        <w:t xml:space="preserve">; D </w:t>
      </w:r>
      <w:proofErr w:type="spellStart"/>
      <w:r w:rsidRPr="00C424AF">
        <w:t>Ormerod</w:t>
      </w:r>
      <w:proofErr w:type="spellEnd"/>
      <w:r w:rsidRPr="00C424AF">
        <w:t xml:space="preserve"> </w:t>
      </w:r>
      <w:r>
        <w:t>QC</w:t>
      </w:r>
      <w:r w:rsidRPr="00C424AF">
        <w:t xml:space="preserve"> &amp; </w:t>
      </w:r>
      <w:r>
        <w:t xml:space="preserve">K </w:t>
      </w:r>
      <w:proofErr w:type="gramStart"/>
      <w:r w:rsidRPr="00C424AF">
        <w:t>Laird ,</w:t>
      </w:r>
      <w:proofErr w:type="gramEnd"/>
      <w:r w:rsidRPr="00C424AF">
        <w:t xml:space="preserve"> </w:t>
      </w:r>
      <w:proofErr w:type="spellStart"/>
      <w:r w:rsidRPr="00C424AF">
        <w:rPr>
          <w:i/>
        </w:rPr>
        <w:t>Jogee</w:t>
      </w:r>
      <w:proofErr w:type="spellEnd"/>
      <w:r w:rsidRPr="00C424AF">
        <w:rPr>
          <w:i/>
        </w:rPr>
        <w:t>: not the end of a legal saga but the start of one?</w:t>
      </w:r>
      <w:r w:rsidRPr="00C424AF">
        <w:t xml:space="preserve"> [2016] </w:t>
      </w:r>
      <w:proofErr w:type="spellStart"/>
      <w:r w:rsidRPr="00C424AF">
        <w:t>Crim</w:t>
      </w:r>
      <w:proofErr w:type="spellEnd"/>
      <w:r w:rsidRPr="00C424AF">
        <w:t xml:space="preserve"> LR 539</w:t>
      </w:r>
      <w:r w:rsidR="00B843CF">
        <w:t xml:space="preserve">; </w:t>
      </w:r>
      <w:r w:rsidRPr="00C424AF">
        <w:t xml:space="preserve">Stark F, </w:t>
      </w:r>
      <w:r w:rsidRPr="00C424AF">
        <w:rPr>
          <w:i/>
        </w:rPr>
        <w:t>The demise of ‘parasitic accessorial liability’: substantive judicial law reform, not common law housekeeping</w:t>
      </w:r>
      <w:r w:rsidRPr="00C424AF">
        <w:t xml:space="preserve"> (2016) 75(3) Cambridge LJ 550</w:t>
      </w:r>
      <w:r>
        <w:t xml:space="preserve">; and A P </w:t>
      </w:r>
      <w:proofErr w:type="spellStart"/>
      <w:r>
        <w:t>Simester</w:t>
      </w:r>
      <w:proofErr w:type="spellEnd"/>
      <w:r>
        <w:t>, “</w:t>
      </w:r>
      <w:r w:rsidRPr="00C424AF">
        <w:rPr>
          <w:i/>
        </w:rPr>
        <w:t>Accessory Liability and Common Unlawful Purposes</w:t>
      </w:r>
      <w:r>
        <w:t>” (2017) 133 LQR 73 at 84-86.</w:t>
      </w:r>
    </w:p>
  </w:footnote>
  <w:footnote w:id="113">
    <w:p w:rsidR="00AE67AB" w:rsidRDefault="00AE67AB" w:rsidP="005C3956">
      <w:pPr>
        <w:pStyle w:val="FootnoteText"/>
        <w:tabs>
          <w:tab w:val="left" w:pos="360"/>
        </w:tabs>
        <w:ind w:left="360" w:hanging="360"/>
        <w:jc w:val="both"/>
      </w:pPr>
      <w:r>
        <w:rPr>
          <w:rStyle w:val="FootnoteReference"/>
        </w:rPr>
        <w:footnoteRef/>
      </w:r>
      <w:r>
        <w:t xml:space="preserve"> </w:t>
      </w:r>
      <w:r>
        <w:tab/>
      </w:r>
      <w:proofErr w:type="gramStart"/>
      <w:r w:rsidRPr="00C424AF">
        <w:t xml:space="preserve">[2016] </w:t>
      </w:r>
      <w:proofErr w:type="spellStart"/>
      <w:r w:rsidRPr="00C424AF">
        <w:t>Crim</w:t>
      </w:r>
      <w:proofErr w:type="spellEnd"/>
      <w:r w:rsidRPr="00C424AF">
        <w:t xml:space="preserve"> LR 539</w:t>
      </w:r>
      <w:r>
        <w:t>.</w:t>
      </w:r>
      <w:proofErr w:type="gramEnd"/>
    </w:p>
  </w:footnote>
  <w:footnote w:id="114">
    <w:p w:rsidR="00AE67AB" w:rsidRDefault="00AE67AB" w:rsidP="005C3956">
      <w:pPr>
        <w:pStyle w:val="FootnoteText"/>
        <w:tabs>
          <w:tab w:val="left" w:pos="360"/>
        </w:tabs>
        <w:ind w:left="360" w:hanging="360"/>
        <w:jc w:val="both"/>
      </w:pPr>
      <w:r>
        <w:rPr>
          <w:rStyle w:val="FootnoteReference"/>
        </w:rPr>
        <w:footnoteRef/>
      </w:r>
      <w:r>
        <w:t xml:space="preserve"> </w:t>
      </w:r>
      <w:r>
        <w:tab/>
      </w:r>
      <w:proofErr w:type="gramStart"/>
      <w:r>
        <w:t>(2017) 133 LQR 73 at 89.</w:t>
      </w:r>
      <w:proofErr w:type="gramEnd"/>
    </w:p>
  </w:footnote>
  <w:footnote w:id="115">
    <w:p w:rsidR="00AE67AB" w:rsidRDefault="00AE67AB" w:rsidP="005C3956">
      <w:pPr>
        <w:pStyle w:val="FootnoteText"/>
        <w:tabs>
          <w:tab w:val="left" w:pos="360"/>
        </w:tabs>
        <w:ind w:left="360" w:hanging="360"/>
        <w:jc w:val="both"/>
      </w:pPr>
      <w:r>
        <w:rPr>
          <w:rStyle w:val="FootnoteReference"/>
        </w:rPr>
        <w:footnoteRef/>
      </w:r>
      <w:r>
        <w:t xml:space="preserve"> </w:t>
      </w:r>
      <w:r>
        <w:tab/>
      </w:r>
      <w:proofErr w:type="gramStart"/>
      <w:r>
        <w:rPr>
          <w:i/>
        </w:rPr>
        <w:t xml:space="preserve">R v Powell (Anthony) </w:t>
      </w:r>
      <w:r w:rsidRPr="00736602">
        <w:t>[1999] 1 AC 1</w:t>
      </w:r>
      <w:r>
        <w:t xml:space="preserve"> at 14.</w:t>
      </w:r>
      <w:proofErr w:type="gramEnd"/>
    </w:p>
  </w:footnote>
  <w:footnote w:id="116">
    <w:p w:rsidR="00AE67AB" w:rsidRDefault="00AE67AB" w:rsidP="005C3956">
      <w:pPr>
        <w:pStyle w:val="FootnoteText"/>
        <w:tabs>
          <w:tab w:val="left" w:pos="360"/>
        </w:tabs>
        <w:ind w:left="360" w:hanging="360"/>
        <w:jc w:val="both"/>
      </w:pPr>
      <w:r>
        <w:rPr>
          <w:rStyle w:val="FootnoteReference"/>
        </w:rPr>
        <w:footnoteRef/>
      </w:r>
      <w:r>
        <w:t xml:space="preserve"> </w:t>
      </w:r>
      <w:r>
        <w:tab/>
        <w:t xml:space="preserve">(2017) 133 LQR 73 at 89-90.  Professor </w:t>
      </w:r>
      <w:proofErr w:type="spellStart"/>
      <w:r>
        <w:t>Simester</w:t>
      </w:r>
      <w:proofErr w:type="spellEnd"/>
      <w:r>
        <w:t xml:space="preserve"> ends by hoping that “London opts for the former, and ultimately realigns itself with Canberra”.</w:t>
      </w:r>
    </w:p>
  </w:footnote>
  <w:footnote w:id="117">
    <w:p w:rsidR="00AE67AB" w:rsidRPr="003765F2" w:rsidRDefault="00AE67AB" w:rsidP="000A6C31">
      <w:pPr>
        <w:pStyle w:val="FootnoteText"/>
        <w:tabs>
          <w:tab w:val="left" w:pos="360"/>
        </w:tabs>
      </w:pPr>
      <w:r>
        <w:rPr>
          <w:rStyle w:val="FootnoteReference"/>
        </w:rPr>
        <w:footnoteRef/>
      </w:r>
      <w:r>
        <w:t xml:space="preserve"> </w:t>
      </w:r>
      <w:r>
        <w:tab/>
      </w:r>
      <w:proofErr w:type="gramStart"/>
      <w:r w:rsidRPr="003765F2">
        <w:rPr>
          <w:i/>
        </w:rPr>
        <w:t>R v Stringer</w:t>
      </w:r>
      <w:r w:rsidR="00B843CF">
        <w:t xml:space="preserve"> [201</w:t>
      </w:r>
      <w:r w:rsidR="00B843CF">
        <w:rPr>
          <w:rFonts w:hint="eastAsia"/>
        </w:rPr>
        <w:t>2</w:t>
      </w:r>
      <w:r w:rsidRPr="003765F2">
        <w:t>] QB 160</w:t>
      </w:r>
      <w:r>
        <w:t xml:space="preserve"> at §55.</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8582"/>
      <w:docPartObj>
        <w:docPartGallery w:val="Page Numbers (Top of Page)"/>
        <w:docPartUnique/>
      </w:docPartObj>
    </w:sdtPr>
    <w:sdtContent>
      <w:p w:rsidR="00AE67AB" w:rsidRDefault="00AE67AB">
        <w:pPr>
          <w:pStyle w:val="Header"/>
          <w:jc w:val="center"/>
        </w:pPr>
        <w:r>
          <w:t>-</w:t>
        </w:r>
        <w:r w:rsidR="00657638">
          <w:fldChar w:fldCharType="begin"/>
        </w:r>
        <w:r>
          <w:instrText xml:space="preserve"> PAGE   \* MERGEFORMAT </w:instrText>
        </w:r>
        <w:r w:rsidR="00657638">
          <w:fldChar w:fldCharType="separate"/>
        </w:r>
        <w:r w:rsidR="00D332AB">
          <w:rPr>
            <w:noProof/>
          </w:rPr>
          <w:t>2</w:t>
        </w:r>
        <w:r w:rsidR="00657638">
          <w:rPr>
            <w:noProof/>
          </w:rPr>
          <w:fldChar w:fldCharType="end"/>
        </w:r>
        <w:r>
          <w:t>-</w:t>
        </w:r>
      </w:p>
    </w:sdtContent>
  </w:sdt>
  <w:p w:rsidR="00AE67AB" w:rsidRDefault="00AE67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rect id="_x0000_i1027" style="width:0;height:1.5pt" o:hralign="center" o:bullet="t" o:hrstd="t" o:hr="t" fillcolor="#a0a0a0" stroked="f"/>
    </w:pict>
  </w:numPicBullet>
  <w:abstractNum w:abstractNumId="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0871FFA"/>
    <w:multiLevelType w:val="multilevel"/>
    <w:tmpl w:val="493043AE"/>
    <w:lvl w:ilvl="0">
      <w:start w:val="1"/>
      <w:numFmt w:val="decimal"/>
      <w:lvlText w:val="%1."/>
      <w:lvlJc w:val="left"/>
      <w:pPr>
        <w:tabs>
          <w:tab w:val="num" w:pos="1800"/>
        </w:tabs>
        <w:ind w:left="18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D522A80"/>
    <w:multiLevelType w:val="hybridMultilevel"/>
    <w:tmpl w:val="21900A2E"/>
    <w:lvl w:ilvl="0" w:tplc="76422864">
      <w:start w:val="1"/>
      <w:numFmt w:val="decimal"/>
      <w:pStyle w:val="Final"/>
      <w:lvlText w:val="%1."/>
      <w:lvlJc w:val="left"/>
      <w:pPr>
        <w:tabs>
          <w:tab w:val="num" w:pos="360"/>
        </w:tabs>
        <w:ind w:left="0" w:firstLine="0"/>
      </w:pPr>
      <w:rPr>
        <w:rFonts w:hint="eastAsia"/>
        <w:sz w:val="28"/>
        <w:szCs w:val="28"/>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 w:numId="12">
    <w:abstractNumId w:val="1"/>
  </w:num>
  <w:num w:numId="13">
    <w:abstractNumId w:val="2"/>
  </w:num>
  <w:num w:numId="14">
    <w:abstractNumId w:val="5"/>
  </w:num>
  <w:num w:numId="15">
    <w:abstractNumId w:val="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
  <w:rsids>
    <w:rsidRoot w:val="00703620"/>
    <w:rsid w:val="00000540"/>
    <w:rsid w:val="00000908"/>
    <w:rsid w:val="00000BC5"/>
    <w:rsid w:val="00000E7F"/>
    <w:rsid w:val="000010FE"/>
    <w:rsid w:val="000014EF"/>
    <w:rsid w:val="000019B8"/>
    <w:rsid w:val="00001ACD"/>
    <w:rsid w:val="0000200F"/>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5C33"/>
    <w:rsid w:val="00026185"/>
    <w:rsid w:val="00026274"/>
    <w:rsid w:val="00026348"/>
    <w:rsid w:val="00026846"/>
    <w:rsid w:val="00026C35"/>
    <w:rsid w:val="000274B4"/>
    <w:rsid w:val="000277B6"/>
    <w:rsid w:val="00027A5E"/>
    <w:rsid w:val="00027E6D"/>
    <w:rsid w:val="00027E7A"/>
    <w:rsid w:val="00030194"/>
    <w:rsid w:val="00030D0B"/>
    <w:rsid w:val="00030DD9"/>
    <w:rsid w:val="00030E71"/>
    <w:rsid w:val="00031270"/>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106"/>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3CF"/>
    <w:rsid w:val="000428C0"/>
    <w:rsid w:val="00042E77"/>
    <w:rsid w:val="00042EA3"/>
    <w:rsid w:val="00042F54"/>
    <w:rsid w:val="00042FE5"/>
    <w:rsid w:val="0004315C"/>
    <w:rsid w:val="00043321"/>
    <w:rsid w:val="0004348A"/>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C85"/>
    <w:rsid w:val="00045D0A"/>
    <w:rsid w:val="0004602A"/>
    <w:rsid w:val="00046406"/>
    <w:rsid w:val="00046E6F"/>
    <w:rsid w:val="000471D9"/>
    <w:rsid w:val="00047216"/>
    <w:rsid w:val="00047389"/>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279"/>
    <w:rsid w:val="00056329"/>
    <w:rsid w:val="00056ABA"/>
    <w:rsid w:val="00056BE6"/>
    <w:rsid w:val="00057085"/>
    <w:rsid w:val="000572FF"/>
    <w:rsid w:val="00057375"/>
    <w:rsid w:val="00057653"/>
    <w:rsid w:val="000576E7"/>
    <w:rsid w:val="00057918"/>
    <w:rsid w:val="00057C27"/>
    <w:rsid w:val="00057E64"/>
    <w:rsid w:val="0006013D"/>
    <w:rsid w:val="0006051A"/>
    <w:rsid w:val="000606AB"/>
    <w:rsid w:val="0006081D"/>
    <w:rsid w:val="000608A3"/>
    <w:rsid w:val="00060903"/>
    <w:rsid w:val="00060B0F"/>
    <w:rsid w:val="00060C28"/>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A77"/>
    <w:rsid w:val="00066C76"/>
    <w:rsid w:val="0006705A"/>
    <w:rsid w:val="000671E4"/>
    <w:rsid w:val="0006746F"/>
    <w:rsid w:val="00067CB0"/>
    <w:rsid w:val="00067E69"/>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AA"/>
    <w:rsid w:val="000825DA"/>
    <w:rsid w:val="00082BCD"/>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493"/>
    <w:rsid w:val="000875E8"/>
    <w:rsid w:val="000876E4"/>
    <w:rsid w:val="00087D94"/>
    <w:rsid w:val="00087E50"/>
    <w:rsid w:val="0009024C"/>
    <w:rsid w:val="000906A3"/>
    <w:rsid w:val="000907F6"/>
    <w:rsid w:val="00090824"/>
    <w:rsid w:val="00090A61"/>
    <w:rsid w:val="00090C76"/>
    <w:rsid w:val="00090D0E"/>
    <w:rsid w:val="00090E76"/>
    <w:rsid w:val="0009113F"/>
    <w:rsid w:val="000911E9"/>
    <w:rsid w:val="0009124C"/>
    <w:rsid w:val="0009146A"/>
    <w:rsid w:val="00091517"/>
    <w:rsid w:val="00091CCA"/>
    <w:rsid w:val="00091D1B"/>
    <w:rsid w:val="00091F62"/>
    <w:rsid w:val="00091FFE"/>
    <w:rsid w:val="0009207C"/>
    <w:rsid w:val="000924ED"/>
    <w:rsid w:val="000927E8"/>
    <w:rsid w:val="00092906"/>
    <w:rsid w:val="000929BE"/>
    <w:rsid w:val="00092A7D"/>
    <w:rsid w:val="00092A87"/>
    <w:rsid w:val="00092C6B"/>
    <w:rsid w:val="00092DCC"/>
    <w:rsid w:val="00092DFA"/>
    <w:rsid w:val="00093146"/>
    <w:rsid w:val="000939ED"/>
    <w:rsid w:val="00093C47"/>
    <w:rsid w:val="00093DA6"/>
    <w:rsid w:val="00093DCB"/>
    <w:rsid w:val="00093EA4"/>
    <w:rsid w:val="00093F98"/>
    <w:rsid w:val="00094072"/>
    <w:rsid w:val="0009470E"/>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47E"/>
    <w:rsid w:val="000A0A46"/>
    <w:rsid w:val="000A0B80"/>
    <w:rsid w:val="000A0FDB"/>
    <w:rsid w:val="000A16FB"/>
    <w:rsid w:val="000A1732"/>
    <w:rsid w:val="000A17A2"/>
    <w:rsid w:val="000A1A23"/>
    <w:rsid w:val="000A1A6D"/>
    <w:rsid w:val="000A1C29"/>
    <w:rsid w:val="000A1FA8"/>
    <w:rsid w:val="000A20AF"/>
    <w:rsid w:val="000A2AC9"/>
    <w:rsid w:val="000A2B5A"/>
    <w:rsid w:val="000A323A"/>
    <w:rsid w:val="000A330C"/>
    <w:rsid w:val="000A34E6"/>
    <w:rsid w:val="000A3549"/>
    <w:rsid w:val="000A368C"/>
    <w:rsid w:val="000A3C29"/>
    <w:rsid w:val="000A4054"/>
    <w:rsid w:val="000A42C2"/>
    <w:rsid w:val="000A49F0"/>
    <w:rsid w:val="000A4B6D"/>
    <w:rsid w:val="000A4BA4"/>
    <w:rsid w:val="000A4E73"/>
    <w:rsid w:val="000A4F1C"/>
    <w:rsid w:val="000A52DA"/>
    <w:rsid w:val="000A557A"/>
    <w:rsid w:val="000A577B"/>
    <w:rsid w:val="000A5A4C"/>
    <w:rsid w:val="000A6349"/>
    <w:rsid w:val="000A644C"/>
    <w:rsid w:val="000A6500"/>
    <w:rsid w:val="000A678E"/>
    <w:rsid w:val="000A6B59"/>
    <w:rsid w:val="000A6B81"/>
    <w:rsid w:val="000A6C3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5F2"/>
    <w:rsid w:val="000C07C8"/>
    <w:rsid w:val="000C097A"/>
    <w:rsid w:val="000C09ED"/>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AB1"/>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2A"/>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89"/>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7E7"/>
    <w:rsid w:val="000E3F0D"/>
    <w:rsid w:val="000E44FE"/>
    <w:rsid w:val="000E463A"/>
    <w:rsid w:val="000E477E"/>
    <w:rsid w:val="000E4828"/>
    <w:rsid w:val="000E4A89"/>
    <w:rsid w:val="000E4C60"/>
    <w:rsid w:val="000E4E04"/>
    <w:rsid w:val="000E4FA2"/>
    <w:rsid w:val="000E526A"/>
    <w:rsid w:val="000E577D"/>
    <w:rsid w:val="000E5ED2"/>
    <w:rsid w:val="000E602C"/>
    <w:rsid w:val="000E60B2"/>
    <w:rsid w:val="000E6358"/>
    <w:rsid w:val="000E684B"/>
    <w:rsid w:val="000E6BC1"/>
    <w:rsid w:val="000E6C4F"/>
    <w:rsid w:val="000E7048"/>
    <w:rsid w:val="000E71E6"/>
    <w:rsid w:val="000E73E4"/>
    <w:rsid w:val="000E745A"/>
    <w:rsid w:val="000E7AB1"/>
    <w:rsid w:val="000E7E69"/>
    <w:rsid w:val="000F052F"/>
    <w:rsid w:val="000F06D7"/>
    <w:rsid w:val="000F0B8E"/>
    <w:rsid w:val="000F0DEC"/>
    <w:rsid w:val="000F1426"/>
    <w:rsid w:val="000F1D97"/>
    <w:rsid w:val="000F1EFD"/>
    <w:rsid w:val="000F1F89"/>
    <w:rsid w:val="000F22C4"/>
    <w:rsid w:val="000F2372"/>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50E1"/>
    <w:rsid w:val="000F551E"/>
    <w:rsid w:val="000F57DF"/>
    <w:rsid w:val="000F59B2"/>
    <w:rsid w:val="000F5AA4"/>
    <w:rsid w:val="000F60F4"/>
    <w:rsid w:val="000F6195"/>
    <w:rsid w:val="000F6309"/>
    <w:rsid w:val="000F637C"/>
    <w:rsid w:val="000F64E7"/>
    <w:rsid w:val="000F64F0"/>
    <w:rsid w:val="000F6766"/>
    <w:rsid w:val="000F6799"/>
    <w:rsid w:val="000F69AC"/>
    <w:rsid w:val="000F69D9"/>
    <w:rsid w:val="000F6B23"/>
    <w:rsid w:val="000F6D1D"/>
    <w:rsid w:val="000F77F4"/>
    <w:rsid w:val="000F78D8"/>
    <w:rsid w:val="000F791C"/>
    <w:rsid w:val="000F7B25"/>
    <w:rsid w:val="000F7CC1"/>
    <w:rsid w:val="000F7CF4"/>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0D"/>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261"/>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4D7"/>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48"/>
    <w:rsid w:val="00112CEA"/>
    <w:rsid w:val="00112E32"/>
    <w:rsid w:val="00112E3D"/>
    <w:rsid w:val="00112EFF"/>
    <w:rsid w:val="001133F2"/>
    <w:rsid w:val="00113402"/>
    <w:rsid w:val="00113A6A"/>
    <w:rsid w:val="00113ACD"/>
    <w:rsid w:val="00113D0E"/>
    <w:rsid w:val="00113F72"/>
    <w:rsid w:val="00114128"/>
    <w:rsid w:val="00114169"/>
    <w:rsid w:val="00114249"/>
    <w:rsid w:val="001142F1"/>
    <w:rsid w:val="001145E9"/>
    <w:rsid w:val="00114607"/>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199"/>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CAF"/>
    <w:rsid w:val="00127DB5"/>
    <w:rsid w:val="00130434"/>
    <w:rsid w:val="00130656"/>
    <w:rsid w:val="001308EC"/>
    <w:rsid w:val="0013097A"/>
    <w:rsid w:val="00130AAC"/>
    <w:rsid w:val="00130C52"/>
    <w:rsid w:val="001311C4"/>
    <w:rsid w:val="00131201"/>
    <w:rsid w:val="0013134A"/>
    <w:rsid w:val="00131AE9"/>
    <w:rsid w:val="00131B9E"/>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1C8"/>
    <w:rsid w:val="00154300"/>
    <w:rsid w:val="00154355"/>
    <w:rsid w:val="001548BA"/>
    <w:rsid w:val="00154A60"/>
    <w:rsid w:val="00154BC5"/>
    <w:rsid w:val="00154D88"/>
    <w:rsid w:val="00154EBA"/>
    <w:rsid w:val="00154F90"/>
    <w:rsid w:val="0015541C"/>
    <w:rsid w:val="00155C1E"/>
    <w:rsid w:val="00155C63"/>
    <w:rsid w:val="00155D3A"/>
    <w:rsid w:val="00155E30"/>
    <w:rsid w:val="00155EA1"/>
    <w:rsid w:val="00155EFA"/>
    <w:rsid w:val="00156622"/>
    <w:rsid w:val="0015676F"/>
    <w:rsid w:val="00156B4A"/>
    <w:rsid w:val="00156DA6"/>
    <w:rsid w:val="00156EA6"/>
    <w:rsid w:val="00157254"/>
    <w:rsid w:val="001575D9"/>
    <w:rsid w:val="00157620"/>
    <w:rsid w:val="001576E1"/>
    <w:rsid w:val="00157787"/>
    <w:rsid w:val="00157A81"/>
    <w:rsid w:val="001600E6"/>
    <w:rsid w:val="00160182"/>
    <w:rsid w:val="0016083F"/>
    <w:rsid w:val="00160985"/>
    <w:rsid w:val="00160A6D"/>
    <w:rsid w:val="00160B19"/>
    <w:rsid w:val="00161111"/>
    <w:rsid w:val="00161653"/>
    <w:rsid w:val="00161663"/>
    <w:rsid w:val="001618E6"/>
    <w:rsid w:val="00161961"/>
    <w:rsid w:val="00161BD7"/>
    <w:rsid w:val="00161CCB"/>
    <w:rsid w:val="00161CF8"/>
    <w:rsid w:val="00162281"/>
    <w:rsid w:val="001623E4"/>
    <w:rsid w:val="001627EB"/>
    <w:rsid w:val="001629FE"/>
    <w:rsid w:val="00162D09"/>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AC3"/>
    <w:rsid w:val="00165CEB"/>
    <w:rsid w:val="00166216"/>
    <w:rsid w:val="0016626E"/>
    <w:rsid w:val="00166323"/>
    <w:rsid w:val="0016640E"/>
    <w:rsid w:val="001665C0"/>
    <w:rsid w:val="00166688"/>
    <w:rsid w:val="00166852"/>
    <w:rsid w:val="00166AE0"/>
    <w:rsid w:val="00167286"/>
    <w:rsid w:val="00167B83"/>
    <w:rsid w:val="00167C5F"/>
    <w:rsid w:val="00167CD6"/>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760"/>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63"/>
    <w:rsid w:val="00176B85"/>
    <w:rsid w:val="00176EF5"/>
    <w:rsid w:val="00176F33"/>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286"/>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392"/>
    <w:rsid w:val="001A395C"/>
    <w:rsid w:val="001A3BB2"/>
    <w:rsid w:val="001A3BC7"/>
    <w:rsid w:val="001A41F3"/>
    <w:rsid w:val="001A4861"/>
    <w:rsid w:val="001A4B61"/>
    <w:rsid w:val="001A4ECB"/>
    <w:rsid w:val="001A4F12"/>
    <w:rsid w:val="001A5077"/>
    <w:rsid w:val="001A530F"/>
    <w:rsid w:val="001A542F"/>
    <w:rsid w:val="001A5448"/>
    <w:rsid w:val="001A5467"/>
    <w:rsid w:val="001A572B"/>
    <w:rsid w:val="001A5767"/>
    <w:rsid w:val="001A5792"/>
    <w:rsid w:val="001A58CB"/>
    <w:rsid w:val="001A592C"/>
    <w:rsid w:val="001A5AF2"/>
    <w:rsid w:val="001A5EB8"/>
    <w:rsid w:val="001A5FF8"/>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1C54"/>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3FE6"/>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264"/>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894"/>
    <w:rsid w:val="001E3AB6"/>
    <w:rsid w:val="001E3C92"/>
    <w:rsid w:val="001E3CBF"/>
    <w:rsid w:val="001E3DCE"/>
    <w:rsid w:val="001E3FA9"/>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F0252"/>
    <w:rsid w:val="001F05CF"/>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9E"/>
    <w:rsid w:val="001F4EB1"/>
    <w:rsid w:val="001F4FE0"/>
    <w:rsid w:val="001F50CC"/>
    <w:rsid w:val="001F5136"/>
    <w:rsid w:val="001F53F3"/>
    <w:rsid w:val="001F5473"/>
    <w:rsid w:val="001F5572"/>
    <w:rsid w:val="001F5749"/>
    <w:rsid w:val="001F58DA"/>
    <w:rsid w:val="001F5A62"/>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EDE"/>
    <w:rsid w:val="00201360"/>
    <w:rsid w:val="00201367"/>
    <w:rsid w:val="00201431"/>
    <w:rsid w:val="00201449"/>
    <w:rsid w:val="002015DB"/>
    <w:rsid w:val="00201FAB"/>
    <w:rsid w:val="00201FDC"/>
    <w:rsid w:val="00202192"/>
    <w:rsid w:val="0020223E"/>
    <w:rsid w:val="002022F4"/>
    <w:rsid w:val="002023D2"/>
    <w:rsid w:val="0020272F"/>
    <w:rsid w:val="002027DE"/>
    <w:rsid w:val="0020284B"/>
    <w:rsid w:val="00202913"/>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5D"/>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1F2B"/>
    <w:rsid w:val="002222DB"/>
    <w:rsid w:val="00222548"/>
    <w:rsid w:val="00222614"/>
    <w:rsid w:val="0022266C"/>
    <w:rsid w:val="002227CC"/>
    <w:rsid w:val="002227FA"/>
    <w:rsid w:val="00223019"/>
    <w:rsid w:val="0022312D"/>
    <w:rsid w:val="0022323D"/>
    <w:rsid w:val="00223458"/>
    <w:rsid w:val="00223C76"/>
    <w:rsid w:val="00224103"/>
    <w:rsid w:val="00224252"/>
    <w:rsid w:val="002244CD"/>
    <w:rsid w:val="0022495A"/>
    <w:rsid w:val="00224AEF"/>
    <w:rsid w:val="00224E89"/>
    <w:rsid w:val="00224F2D"/>
    <w:rsid w:val="0022510E"/>
    <w:rsid w:val="002251A0"/>
    <w:rsid w:val="002256C1"/>
    <w:rsid w:val="0022577F"/>
    <w:rsid w:val="00225DF4"/>
    <w:rsid w:val="00225FB0"/>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78"/>
    <w:rsid w:val="00227893"/>
    <w:rsid w:val="0022797D"/>
    <w:rsid w:val="00227AAF"/>
    <w:rsid w:val="00227B29"/>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344"/>
    <w:rsid w:val="00234717"/>
    <w:rsid w:val="00234841"/>
    <w:rsid w:val="0023536B"/>
    <w:rsid w:val="00235640"/>
    <w:rsid w:val="00235DCE"/>
    <w:rsid w:val="00235DCF"/>
    <w:rsid w:val="00235F3A"/>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C7"/>
    <w:rsid w:val="00241190"/>
    <w:rsid w:val="00241239"/>
    <w:rsid w:val="00241346"/>
    <w:rsid w:val="00241691"/>
    <w:rsid w:val="00241B2B"/>
    <w:rsid w:val="00241B70"/>
    <w:rsid w:val="00241F68"/>
    <w:rsid w:val="002420EB"/>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1DE"/>
    <w:rsid w:val="002442D1"/>
    <w:rsid w:val="0024465E"/>
    <w:rsid w:val="0024475A"/>
    <w:rsid w:val="00244BBF"/>
    <w:rsid w:val="00244BF4"/>
    <w:rsid w:val="00244D3C"/>
    <w:rsid w:val="00244D4B"/>
    <w:rsid w:val="00244FA5"/>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DE0"/>
    <w:rsid w:val="00252FE9"/>
    <w:rsid w:val="00253023"/>
    <w:rsid w:val="0025323D"/>
    <w:rsid w:val="00253380"/>
    <w:rsid w:val="00253725"/>
    <w:rsid w:val="0025376A"/>
    <w:rsid w:val="00253B61"/>
    <w:rsid w:val="00253EA5"/>
    <w:rsid w:val="00253F61"/>
    <w:rsid w:val="00254566"/>
    <w:rsid w:val="00254868"/>
    <w:rsid w:val="0025488B"/>
    <w:rsid w:val="002549FD"/>
    <w:rsid w:val="00254B50"/>
    <w:rsid w:val="00254BBD"/>
    <w:rsid w:val="00254C4C"/>
    <w:rsid w:val="00254D4B"/>
    <w:rsid w:val="00254DEE"/>
    <w:rsid w:val="002551DA"/>
    <w:rsid w:val="002555FA"/>
    <w:rsid w:val="00255C75"/>
    <w:rsid w:val="00255D67"/>
    <w:rsid w:val="00255F5D"/>
    <w:rsid w:val="00256124"/>
    <w:rsid w:val="002561C5"/>
    <w:rsid w:val="00256A84"/>
    <w:rsid w:val="00256CEE"/>
    <w:rsid w:val="00256E23"/>
    <w:rsid w:val="002573E4"/>
    <w:rsid w:val="00257410"/>
    <w:rsid w:val="00257454"/>
    <w:rsid w:val="002579AA"/>
    <w:rsid w:val="002579C3"/>
    <w:rsid w:val="00257BDE"/>
    <w:rsid w:val="00257EFD"/>
    <w:rsid w:val="002603F3"/>
    <w:rsid w:val="002604C1"/>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5F6"/>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1EA"/>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681"/>
    <w:rsid w:val="0026775B"/>
    <w:rsid w:val="00267B29"/>
    <w:rsid w:val="00267E21"/>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7D"/>
    <w:rsid w:val="00286DBA"/>
    <w:rsid w:val="00287845"/>
    <w:rsid w:val="00287876"/>
    <w:rsid w:val="00287EDA"/>
    <w:rsid w:val="00290337"/>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DFE"/>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8B0"/>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C02"/>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4EDA"/>
    <w:rsid w:val="002B4FA2"/>
    <w:rsid w:val="002B522D"/>
    <w:rsid w:val="002B5326"/>
    <w:rsid w:val="002B5A15"/>
    <w:rsid w:val="002B5A52"/>
    <w:rsid w:val="002B5C0C"/>
    <w:rsid w:val="002B5E49"/>
    <w:rsid w:val="002B5E4A"/>
    <w:rsid w:val="002B5EBF"/>
    <w:rsid w:val="002B5F51"/>
    <w:rsid w:val="002B62BE"/>
    <w:rsid w:val="002B64D7"/>
    <w:rsid w:val="002B66F6"/>
    <w:rsid w:val="002B69D8"/>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D4"/>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4BB"/>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BC8"/>
    <w:rsid w:val="002D3C96"/>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6F7"/>
    <w:rsid w:val="002E571E"/>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A12"/>
    <w:rsid w:val="00300B1B"/>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3436"/>
    <w:rsid w:val="00303ABD"/>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8AE"/>
    <w:rsid w:val="003069A6"/>
    <w:rsid w:val="003069CF"/>
    <w:rsid w:val="00306A0B"/>
    <w:rsid w:val="003071AA"/>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1C51"/>
    <w:rsid w:val="003220EC"/>
    <w:rsid w:val="003221DC"/>
    <w:rsid w:val="003224D4"/>
    <w:rsid w:val="0032259D"/>
    <w:rsid w:val="00322C5B"/>
    <w:rsid w:val="00322C84"/>
    <w:rsid w:val="003230A4"/>
    <w:rsid w:val="003230FE"/>
    <w:rsid w:val="00323173"/>
    <w:rsid w:val="00323834"/>
    <w:rsid w:val="00323964"/>
    <w:rsid w:val="00323A29"/>
    <w:rsid w:val="00323BC6"/>
    <w:rsid w:val="00323C8C"/>
    <w:rsid w:val="00323D5D"/>
    <w:rsid w:val="00323F7E"/>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4B6"/>
    <w:rsid w:val="0032657C"/>
    <w:rsid w:val="003267F6"/>
    <w:rsid w:val="00326BFF"/>
    <w:rsid w:val="00326ECB"/>
    <w:rsid w:val="00326EDA"/>
    <w:rsid w:val="003273A1"/>
    <w:rsid w:val="003274C5"/>
    <w:rsid w:val="00327570"/>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63C"/>
    <w:rsid w:val="00334683"/>
    <w:rsid w:val="00334A50"/>
    <w:rsid w:val="00334C25"/>
    <w:rsid w:val="00334C35"/>
    <w:rsid w:val="0033517F"/>
    <w:rsid w:val="003357B8"/>
    <w:rsid w:val="0033589A"/>
    <w:rsid w:val="003359A1"/>
    <w:rsid w:val="003359D5"/>
    <w:rsid w:val="00335A5A"/>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C9C"/>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56A"/>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8CD"/>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D5E"/>
    <w:rsid w:val="00357FCE"/>
    <w:rsid w:val="003601BE"/>
    <w:rsid w:val="003604B2"/>
    <w:rsid w:val="003604F9"/>
    <w:rsid w:val="003612B0"/>
    <w:rsid w:val="00361315"/>
    <w:rsid w:val="00361457"/>
    <w:rsid w:val="003614AF"/>
    <w:rsid w:val="00361E68"/>
    <w:rsid w:val="00362107"/>
    <w:rsid w:val="00362898"/>
    <w:rsid w:val="00362DA6"/>
    <w:rsid w:val="00362E89"/>
    <w:rsid w:val="00362ED5"/>
    <w:rsid w:val="00362FF5"/>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1A0"/>
    <w:rsid w:val="0036648B"/>
    <w:rsid w:val="003669FB"/>
    <w:rsid w:val="00367241"/>
    <w:rsid w:val="00367AB6"/>
    <w:rsid w:val="00367F3D"/>
    <w:rsid w:val="003703C9"/>
    <w:rsid w:val="0037043E"/>
    <w:rsid w:val="003704CD"/>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2FF"/>
    <w:rsid w:val="0037380D"/>
    <w:rsid w:val="00373AA6"/>
    <w:rsid w:val="00373B24"/>
    <w:rsid w:val="00373D9B"/>
    <w:rsid w:val="0037402D"/>
    <w:rsid w:val="0037416D"/>
    <w:rsid w:val="003741BE"/>
    <w:rsid w:val="00374360"/>
    <w:rsid w:val="003743C6"/>
    <w:rsid w:val="00374A15"/>
    <w:rsid w:val="00374A27"/>
    <w:rsid w:val="00374A5C"/>
    <w:rsid w:val="00375026"/>
    <w:rsid w:val="00375210"/>
    <w:rsid w:val="003756BD"/>
    <w:rsid w:val="003759D4"/>
    <w:rsid w:val="00375C42"/>
    <w:rsid w:val="003765F2"/>
    <w:rsid w:val="00376B7F"/>
    <w:rsid w:val="00376C95"/>
    <w:rsid w:val="003770FE"/>
    <w:rsid w:val="0037716A"/>
    <w:rsid w:val="003775EF"/>
    <w:rsid w:val="00377623"/>
    <w:rsid w:val="0037783A"/>
    <w:rsid w:val="00377B8A"/>
    <w:rsid w:val="00377BFD"/>
    <w:rsid w:val="00377F22"/>
    <w:rsid w:val="0038018B"/>
    <w:rsid w:val="003802BB"/>
    <w:rsid w:val="0038036D"/>
    <w:rsid w:val="00380432"/>
    <w:rsid w:val="0038057E"/>
    <w:rsid w:val="00380B00"/>
    <w:rsid w:val="00380D43"/>
    <w:rsid w:val="00380D45"/>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1230"/>
    <w:rsid w:val="00391724"/>
    <w:rsid w:val="00391D35"/>
    <w:rsid w:val="00391E50"/>
    <w:rsid w:val="003922C1"/>
    <w:rsid w:val="00392678"/>
    <w:rsid w:val="00392687"/>
    <w:rsid w:val="003926B8"/>
    <w:rsid w:val="00392C67"/>
    <w:rsid w:val="00392DC0"/>
    <w:rsid w:val="00392DE4"/>
    <w:rsid w:val="003930ED"/>
    <w:rsid w:val="00393428"/>
    <w:rsid w:val="00393478"/>
    <w:rsid w:val="00393529"/>
    <w:rsid w:val="003935BA"/>
    <w:rsid w:val="003938C1"/>
    <w:rsid w:val="00394475"/>
    <w:rsid w:val="00394D46"/>
    <w:rsid w:val="00394FE8"/>
    <w:rsid w:val="0039555F"/>
    <w:rsid w:val="0039587A"/>
    <w:rsid w:val="00395BE6"/>
    <w:rsid w:val="00395CE6"/>
    <w:rsid w:val="003960EA"/>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CA"/>
    <w:rsid w:val="003A00D9"/>
    <w:rsid w:val="003A04E0"/>
    <w:rsid w:val="003A0916"/>
    <w:rsid w:val="003A0BC8"/>
    <w:rsid w:val="003A0F2D"/>
    <w:rsid w:val="003A173A"/>
    <w:rsid w:val="003A1EC7"/>
    <w:rsid w:val="003A1EF6"/>
    <w:rsid w:val="003A2694"/>
    <w:rsid w:val="003A308F"/>
    <w:rsid w:val="003A3430"/>
    <w:rsid w:val="003A40A7"/>
    <w:rsid w:val="003A41F1"/>
    <w:rsid w:val="003A4223"/>
    <w:rsid w:val="003A43F9"/>
    <w:rsid w:val="003A4428"/>
    <w:rsid w:val="003A4577"/>
    <w:rsid w:val="003A4731"/>
    <w:rsid w:val="003A47E0"/>
    <w:rsid w:val="003A49D9"/>
    <w:rsid w:val="003A4F47"/>
    <w:rsid w:val="003A50C8"/>
    <w:rsid w:val="003A5111"/>
    <w:rsid w:val="003A52A8"/>
    <w:rsid w:val="003A5441"/>
    <w:rsid w:val="003A55EA"/>
    <w:rsid w:val="003A5738"/>
    <w:rsid w:val="003A584D"/>
    <w:rsid w:val="003A5F28"/>
    <w:rsid w:val="003A6531"/>
    <w:rsid w:val="003A65BA"/>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6F0"/>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3EFC"/>
    <w:rsid w:val="003B4618"/>
    <w:rsid w:val="003B49D5"/>
    <w:rsid w:val="003B4CCD"/>
    <w:rsid w:val="003B52F2"/>
    <w:rsid w:val="003B543A"/>
    <w:rsid w:val="003B5BA1"/>
    <w:rsid w:val="003B5C72"/>
    <w:rsid w:val="003B5FD2"/>
    <w:rsid w:val="003B60B2"/>
    <w:rsid w:val="003B6124"/>
    <w:rsid w:val="003B6261"/>
    <w:rsid w:val="003B68C2"/>
    <w:rsid w:val="003B696F"/>
    <w:rsid w:val="003B6C75"/>
    <w:rsid w:val="003B6E7C"/>
    <w:rsid w:val="003B6F70"/>
    <w:rsid w:val="003B6FE7"/>
    <w:rsid w:val="003B713D"/>
    <w:rsid w:val="003B7252"/>
    <w:rsid w:val="003B733B"/>
    <w:rsid w:val="003B75FA"/>
    <w:rsid w:val="003B7736"/>
    <w:rsid w:val="003B7A33"/>
    <w:rsid w:val="003B7AC1"/>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26A"/>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2C64"/>
    <w:rsid w:val="003D3A8D"/>
    <w:rsid w:val="003D3CC1"/>
    <w:rsid w:val="003D3F0D"/>
    <w:rsid w:val="003D4058"/>
    <w:rsid w:val="003D40BB"/>
    <w:rsid w:val="003D43DB"/>
    <w:rsid w:val="003D4B4B"/>
    <w:rsid w:val="003D4DFE"/>
    <w:rsid w:val="003D5374"/>
    <w:rsid w:val="003D589F"/>
    <w:rsid w:val="003D5935"/>
    <w:rsid w:val="003D5BC7"/>
    <w:rsid w:val="003D5C01"/>
    <w:rsid w:val="003D5E52"/>
    <w:rsid w:val="003D6116"/>
    <w:rsid w:val="003D64CB"/>
    <w:rsid w:val="003D64F1"/>
    <w:rsid w:val="003D71F8"/>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98"/>
    <w:rsid w:val="003E5AE5"/>
    <w:rsid w:val="003E5C3A"/>
    <w:rsid w:val="003E5EEA"/>
    <w:rsid w:val="003E603A"/>
    <w:rsid w:val="003E609B"/>
    <w:rsid w:val="003E61C4"/>
    <w:rsid w:val="003E644C"/>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D8"/>
    <w:rsid w:val="00402360"/>
    <w:rsid w:val="004026AF"/>
    <w:rsid w:val="00402D17"/>
    <w:rsid w:val="00402D49"/>
    <w:rsid w:val="00402DA9"/>
    <w:rsid w:val="00403216"/>
    <w:rsid w:val="004036BD"/>
    <w:rsid w:val="00403BB8"/>
    <w:rsid w:val="00403EAB"/>
    <w:rsid w:val="0040414F"/>
    <w:rsid w:val="00404693"/>
    <w:rsid w:val="00404B95"/>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CEB"/>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F0C"/>
    <w:rsid w:val="00445300"/>
    <w:rsid w:val="00445421"/>
    <w:rsid w:val="004454FA"/>
    <w:rsid w:val="00445683"/>
    <w:rsid w:val="004456A1"/>
    <w:rsid w:val="00445897"/>
    <w:rsid w:val="0044618F"/>
    <w:rsid w:val="0044655D"/>
    <w:rsid w:val="004465C4"/>
    <w:rsid w:val="00446929"/>
    <w:rsid w:val="0044698D"/>
    <w:rsid w:val="00446E4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092"/>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57F50"/>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579"/>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6D41"/>
    <w:rsid w:val="004671F2"/>
    <w:rsid w:val="00467292"/>
    <w:rsid w:val="00467305"/>
    <w:rsid w:val="0046740E"/>
    <w:rsid w:val="0046781C"/>
    <w:rsid w:val="00467F2C"/>
    <w:rsid w:val="00467F5C"/>
    <w:rsid w:val="00467FBD"/>
    <w:rsid w:val="004701D9"/>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47B"/>
    <w:rsid w:val="004814B5"/>
    <w:rsid w:val="004816F8"/>
    <w:rsid w:val="00481894"/>
    <w:rsid w:val="00481B3B"/>
    <w:rsid w:val="00481C75"/>
    <w:rsid w:val="00481CA5"/>
    <w:rsid w:val="00481F6E"/>
    <w:rsid w:val="00482B77"/>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20"/>
    <w:rsid w:val="00486ADD"/>
    <w:rsid w:val="00486D18"/>
    <w:rsid w:val="00486D68"/>
    <w:rsid w:val="00486F64"/>
    <w:rsid w:val="00487045"/>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98"/>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3FB0"/>
    <w:rsid w:val="00494A30"/>
    <w:rsid w:val="00494CE3"/>
    <w:rsid w:val="00495071"/>
    <w:rsid w:val="004950D3"/>
    <w:rsid w:val="00495279"/>
    <w:rsid w:val="004954C8"/>
    <w:rsid w:val="0049554C"/>
    <w:rsid w:val="004955F8"/>
    <w:rsid w:val="00495922"/>
    <w:rsid w:val="00495971"/>
    <w:rsid w:val="00495A20"/>
    <w:rsid w:val="00495BA8"/>
    <w:rsid w:val="00495DD6"/>
    <w:rsid w:val="00495E84"/>
    <w:rsid w:val="00495FFA"/>
    <w:rsid w:val="004961AA"/>
    <w:rsid w:val="004962E2"/>
    <w:rsid w:val="00496586"/>
    <w:rsid w:val="00496679"/>
    <w:rsid w:val="00496B29"/>
    <w:rsid w:val="00496BAD"/>
    <w:rsid w:val="00497048"/>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2CB"/>
    <w:rsid w:val="004A159A"/>
    <w:rsid w:val="004A15BE"/>
    <w:rsid w:val="004A1B5F"/>
    <w:rsid w:val="004A1EB0"/>
    <w:rsid w:val="004A23B4"/>
    <w:rsid w:val="004A309C"/>
    <w:rsid w:val="004A33AE"/>
    <w:rsid w:val="004A34D4"/>
    <w:rsid w:val="004A375E"/>
    <w:rsid w:val="004A37CE"/>
    <w:rsid w:val="004A3856"/>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0CB2"/>
    <w:rsid w:val="004B1209"/>
    <w:rsid w:val="004B141E"/>
    <w:rsid w:val="004B16C2"/>
    <w:rsid w:val="004B1A34"/>
    <w:rsid w:val="004B1C19"/>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618"/>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4BF"/>
    <w:rsid w:val="004C76F4"/>
    <w:rsid w:val="004C77F0"/>
    <w:rsid w:val="004C7BB5"/>
    <w:rsid w:val="004C7E99"/>
    <w:rsid w:val="004D0065"/>
    <w:rsid w:val="004D012F"/>
    <w:rsid w:val="004D0204"/>
    <w:rsid w:val="004D04EB"/>
    <w:rsid w:val="004D069A"/>
    <w:rsid w:val="004D06CF"/>
    <w:rsid w:val="004D080B"/>
    <w:rsid w:val="004D0BCE"/>
    <w:rsid w:val="004D10D3"/>
    <w:rsid w:val="004D16DD"/>
    <w:rsid w:val="004D1DA1"/>
    <w:rsid w:val="004D1E8A"/>
    <w:rsid w:val="004D1FF9"/>
    <w:rsid w:val="004D27A7"/>
    <w:rsid w:val="004D29CB"/>
    <w:rsid w:val="004D29FA"/>
    <w:rsid w:val="004D2CDD"/>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056"/>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B39"/>
    <w:rsid w:val="004F4E11"/>
    <w:rsid w:val="004F4FA4"/>
    <w:rsid w:val="004F57BB"/>
    <w:rsid w:val="004F596D"/>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7E2"/>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56D"/>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AD9"/>
    <w:rsid w:val="00527B6F"/>
    <w:rsid w:val="00530051"/>
    <w:rsid w:val="005300AE"/>
    <w:rsid w:val="00530228"/>
    <w:rsid w:val="00530324"/>
    <w:rsid w:val="0053039B"/>
    <w:rsid w:val="0053058F"/>
    <w:rsid w:val="0053062D"/>
    <w:rsid w:val="005307A0"/>
    <w:rsid w:val="0053111D"/>
    <w:rsid w:val="0053165D"/>
    <w:rsid w:val="00531730"/>
    <w:rsid w:val="0053174C"/>
    <w:rsid w:val="005318A9"/>
    <w:rsid w:val="00531A2F"/>
    <w:rsid w:val="00531ED4"/>
    <w:rsid w:val="00531F69"/>
    <w:rsid w:val="00531FC0"/>
    <w:rsid w:val="00532093"/>
    <w:rsid w:val="005322DF"/>
    <w:rsid w:val="005322E2"/>
    <w:rsid w:val="005322EE"/>
    <w:rsid w:val="00532996"/>
    <w:rsid w:val="00532BA6"/>
    <w:rsid w:val="00532BE1"/>
    <w:rsid w:val="00532EE4"/>
    <w:rsid w:val="00533353"/>
    <w:rsid w:val="005336B7"/>
    <w:rsid w:val="005337EB"/>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3A90"/>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5C43"/>
    <w:rsid w:val="005462D1"/>
    <w:rsid w:val="00546962"/>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931"/>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BE4"/>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0F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0"/>
    <w:rsid w:val="00582453"/>
    <w:rsid w:val="0058251F"/>
    <w:rsid w:val="00582C70"/>
    <w:rsid w:val="00582C7B"/>
    <w:rsid w:val="00582DAD"/>
    <w:rsid w:val="00583077"/>
    <w:rsid w:val="005830A4"/>
    <w:rsid w:val="00583531"/>
    <w:rsid w:val="00583727"/>
    <w:rsid w:val="00583BD3"/>
    <w:rsid w:val="00583CDB"/>
    <w:rsid w:val="00583E7D"/>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143A"/>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0FF4"/>
    <w:rsid w:val="005A1320"/>
    <w:rsid w:val="005A1917"/>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C18"/>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56F"/>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1"/>
    <w:rsid w:val="005C1EAF"/>
    <w:rsid w:val="005C1F40"/>
    <w:rsid w:val="005C1F53"/>
    <w:rsid w:val="005C2161"/>
    <w:rsid w:val="005C22D5"/>
    <w:rsid w:val="005C2344"/>
    <w:rsid w:val="005C2F8C"/>
    <w:rsid w:val="005C3282"/>
    <w:rsid w:val="005C3804"/>
    <w:rsid w:val="005C3956"/>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2E"/>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711"/>
    <w:rsid w:val="005D3922"/>
    <w:rsid w:val="005D3EF8"/>
    <w:rsid w:val="005D4545"/>
    <w:rsid w:val="005D462F"/>
    <w:rsid w:val="005D4936"/>
    <w:rsid w:val="005D4966"/>
    <w:rsid w:val="005D4A4F"/>
    <w:rsid w:val="005D4DED"/>
    <w:rsid w:val="005D4FE8"/>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28F"/>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B5"/>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422"/>
    <w:rsid w:val="005F3722"/>
    <w:rsid w:val="005F3B10"/>
    <w:rsid w:val="005F408B"/>
    <w:rsid w:val="005F4126"/>
    <w:rsid w:val="005F421F"/>
    <w:rsid w:val="005F461B"/>
    <w:rsid w:val="005F4694"/>
    <w:rsid w:val="005F4853"/>
    <w:rsid w:val="005F4B22"/>
    <w:rsid w:val="005F4C7D"/>
    <w:rsid w:val="005F4CC4"/>
    <w:rsid w:val="005F4F8D"/>
    <w:rsid w:val="005F5085"/>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BFE"/>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2D12"/>
    <w:rsid w:val="0062307A"/>
    <w:rsid w:val="00623344"/>
    <w:rsid w:val="00623507"/>
    <w:rsid w:val="006243ED"/>
    <w:rsid w:val="00624619"/>
    <w:rsid w:val="00624654"/>
    <w:rsid w:val="006246F3"/>
    <w:rsid w:val="00624A71"/>
    <w:rsid w:val="00624B9E"/>
    <w:rsid w:val="00624C89"/>
    <w:rsid w:val="00625015"/>
    <w:rsid w:val="0062502A"/>
    <w:rsid w:val="0062508E"/>
    <w:rsid w:val="00625174"/>
    <w:rsid w:val="00625456"/>
    <w:rsid w:val="00625519"/>
    <w:rsid w:val="00625AFA"/>
    <w:rsid w:val="00625BFB"/>
    <w:rsid w:val="00625DC0"/>
    <w:rsid w:val="00625FFB"/>
    <w:rsid w:val="00626314"/>
    <w:rsid w:val="00626A59"/>
    <w:rsid w:val="00626EB6"/>
    <w:rsid w:val="00626EC6"/>
    <w:rsid w:val="0062710A"/>
    <w:rsid w:val="0062719D"/>
    <w:rsid w:val="006273A6"/>
    <w:rsid w:val="0062774F"/>
    <w:rsid w:val="00627808"/>
    <w:rsid w:val="0062781D"/>
    <w:rsid w:val="00627904"/>
    <w:rsid w:val="00627909"/>
    <w:rsid w:val="00627D98"/>
    <w:rsid w:val="0063010F"/>
    <w:rsid w:val="00630336"/>
    <w:rsid w:val="00630ABE"/>
    <w:rsid w:val="00630C01"/>
    <w:rsid w:val="00630C8F"/>
    <w:rsid w:val="00630CAE"/>
    <w:rsid w:val="006310D0"/>
    <w:rsid w:val="00631353"/>
    <w:rsid w:val="00631372"/>
    <w:rsid w:val="006314E3"/>
    <w:rsid w:val="00631509"/>
    <w:rsid w:val="006316CA"/>
    <w:rsid w:val="00631B2E"/>
    <w:rsid w:val="00631BB0"/>
    <w:rsid w:val="006321F5"/>
    <w:rsid w:val="00632297"/>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4E71"/>
    <w:rsid w:val="006350DD"/>
    <w:rsid w:val="00635138"/>
    <w:rsid w:val="0063540E"/>
    <w:rsid w:val="0063561F"/>
    <w:rsid w:val="0063580E"/>
    <w:rsid w:val="00635896"/>
    <w:rsid w:val="00635FEC"/>
    <w:rsid w:val="006365B3"/>
    <w:rsid w:val="00636A5E"/>
    <w:rsid w:val="00636DE2"/>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3DD3"/>
    <w:rsid w:val="00644904"/>
    <w:rsid w:val="00644C85"/>
    <w:rsid w:val="006450E6"/>
    <w:rsid w:val="0064522A"/>
    <w:rsid w:val="006453A0"/>
    <w:rsid w:val="006454F8"/>
    <w:rsid w:val="00645771"/>
    <w:rsid w:val="00645986"/>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706"/>
    <w:rsid w:val="00652876"/>
    <w:rsid w:val="006528B6"/>
    <w:rsid w:val="00652991"/>
    <w:rsid w:val="00652AE8"/>
    <w:rsid w:val="00652B8B"/>
    <w:rsid w:val="00652C05"/>
    <w:rsid w:val="00653199"/>
    <w:rsid w:val="00653C1E"/>
    <w:rsid w:val="00653CB1"/>
    <w:rsid w:val="00653D12"/>
    <w:rsid w:val="00654367"/>
    <w:rsid w:val="006544F2"/>
    <w:rsid w:val="006547D2"/>
    <w:rsid w:val="00654971"/>
    <w:rsid w:val="00654C8F"/>
    <w:rsid w:val="00654C9F"/>
    <w:rsid w:val="00654FFB"/>
    <w:rsid w:val="006551E6"/>
    <w:rsid w:val="006552A2"/>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638"/>
    <w:rsid w:val="0065790D"/>
    <w:rsid w:val="00657D59"/>
    <w:rsid w:val="00657D95"/>
    <w:rsid w:val="0066024E"/>
    <w:rsid w:val="00660265"/>
    <w:rsid w:val="00660333"/>
    <w:rsid w:val="006603CD"/>
    <w:rsid w:val="00660459"/>
    <w:rsid w:val="006604B1"/>
    <w:rsid w:val="006604BD"/>
    <w:rsid w:val="006605D4"/>
    <w:rsid w:val="0066061B"/>
    <w:rsid w:val="0066077D"/>
    <w:rsid w:val="006608A1"/>
    <w:rsid w:val="006608F7"/>
    <w:rsid w:val="006616A8"/>
    <w:rsid w:val="00661835"/>
    <w:rsid w:val="00661D9A"/>
    <w:rsid w:val="0066211D"/>
    <w:rsid w:val="006624B2"/>
    <w:rsid w:val="006626E8"/>
    <w:rsid w:val="0066280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9FE"/>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5A8"/>
    <w:rsid w:val="0067163F"/>
    <w:rsid w:val="00671B73"/>
    <w:rsid w:val="00671BD8"/>
    <w:rsid w:val="00671E46"/>
    <w:rsid w:val="00671EFF"/>
    <w:rsid w:val="0067228E"/>
    <w:rsid w:val="006723EF"/>
    <w:rsid w:val="006724F7"/>
    <w:rsid w:val="0067288E"/>
    <w:rsid w:val="00672AD6"/>
    <w:rsid w:val="00672B74"/>
    <w:rsid w:val="006730A0"/>
    <w:rsid w:val="00673313"/>
    <w:rsid w:val="00673A75"/>
    <w:rsid w:val="00673E48"/>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B88"/>
    <w:rsid w:val="00681BD3"/>
    <w:rsid w:val="00681EE9"/>
    <w:rsid w:val="00681F10"/>
    <w:rsid w:val="00681FB5"/>
    <w:rsid w:val="006823D5"/>
    <w:rsid w:val="0068247E"/>
    <w:rsid w:val="00682589"/>
    <w:rsid w:val="00682678"/>
    <w:rsid w:val="00682BDC"/>
    <w:rsid w:val="00682D10"/>
    <w:rsid w:val="00682D32"/>
    <w:rsid w:val="00682E02"/>
    <w:rsid w:val="006831E1"/>
    <w:rsid w:val="00683297"/>
    <w:rsid w:val="00683423"/>
    <w:rsid w:val="00683444"/>
    <w:rsid w:val="006837CD"/>
    <w:rsid w:val="00683BFA"/>
    <w:rsid w:val="00683C8A"/>
    <w:rsid w:val="00683F5B"/>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87D"/>
    <w:rsid w:val="00687B23"/>
    <w:rsid w:val="00687C98"/>
    <w:rsid w:val="00687CF6"/>
    <w:rsid w:val="00687E31"/>
    <w:rsid w:val="006901B3"/>
    <w:rsid w:val="006901BC"/>
    <w:rsid w:val="006901D0"/>
    <w:rsid w:val="0069081B"/>
    <w:rsid w:val="0069086D"/>
    <w:rsid w:val="006908FF"/>
    <w:rsid w:val="0069090E"/>
    <w:rsid w:val="00690D37"/>
    <w:rsid w:val="00690D60"/>
    <w:rsid w:val="00691120"/>
    <w:rsid w:val="00691250"/>
    <w:rsid w:val="006912AA"/>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5E9"/>
    <w:rsid w:val="00695DB2"/>
    <w:rsid w:val="00695DBB"/>
    <w:rsid w:val="00696D59"/>
    <w:rsid w:val="00696E5B"/>
    <w:rsid w:val="00696F1D"/>
    <w:rsid w:val="0069736B"/>
    <w:rsid w:val="006975CE"/>
    <w:rsid w:val="006976C9"/>
    <w:rsid w:val="0069798C"/>
    <w:rsid w:val="00697D6B"/>
    <w:rsid w:val="00697E1E"/>
    <w:rsid w:val="006A0093"/>
    <w:rsid w:val="006A009C"/>
    <w:rsid w:val="006A0210"/>
    <w:rsid w:val="006A02FB"/>
    <w:rsid w:val="006A0620"/>
    <w:rsid w:val="006A0AA2"/>
    <w:rsid w:val="006A15EE"/>
    <w:rsid w:val="006A1B6B"/>
    <w:rsid w:val="006A1F0B"/>
    <w:rsid w:val="006A1FB5"/>
    <w:rsid w:val="006A2010"/>
    <w:rsid w:val="006A20A5"/>
    <w:rsid w:val="006A243D"/>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3F12"/>
    <w:rsid w:val="006A4693"/>
    <w:rsid w:val="006A4D97"/>
    <w:rsid w:val="006A4EED"/>
    <w:rsid w:val="006A4EEE"/>
    <w:rsid w:val="006A5170"/>
    <w:rsid w:val="006A5877"/>
    <w:rsid w:val="006A58DE"/>
    <w:rsid w:val="006A593D"/>
    <w:rsid w:val="006A59CC"/>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8D5"/>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647"/>
    <w:rsid w:val="006D6C6C"/>
    <w:rsid w:val="006D6E77"/>
    <w:rsid w:val="006D72AF"/>
    <w:rsid w:val="006D7440"/>
    <w:rsid w:val="006D7D09"/>
    <w:rsid w:val="006D7D22"/>
    <w:rsid w:val="006D7ED4"/>
    <w:rsid w:val="006E0007"/>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B6D"/>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4F88"/>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ED"/>
    <w:rsid w:val="006F2F05"/>
    <w:rsid w:val="006F307D"/>
    <w:rsid w:val="006F3126"/>
    <w:rsid w:val="006F325A"/>
    <w:rsid w:val="006F3403"/>
    <w:rsid w:val="006F353F"/>
    <w:rsid w:val="006F3595"/>
    <w:rsid w:val="006F3AD4"/>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620"/>
    <w:rsid w:val="00703746"/>
    <w:rsid w:val="007038E4"/>
    <w:rsid w:val="00703DB4"/>
    <w:rsid w:val="00703F39"/>
    <w:rsid w:val="00704010"/>
    <w:rsid w:val="007040A3"/>
    <w:rsid w:val="007040A4"/>
    <w:rsid w:val="00704147"/>
    <w:rsid w:val="00704201"/>
    <w:rsid w:val="00704307"/>
    <w:rsid w:val="00704838"/>
    <w:rsid w:val="00704DE7"/>
    <w:rsid w:val="007050A2"/>
    <w:rsid w:val="00705190"/>
    <w:rsid w:val="00705359"/>
    <w:rsid w:val="00705751"/>
    <w:rsid w:val="00705846"/>
    <w:rsid w:val="0070589D"/>
    <w:rsid w:val="007059E2"/>
    <w:rsid w:val="007061A9"/>
    <w:rsid w:val="00706296"/>
    <w:rsid w:val="007065D3"/>
    <w:rsid w:val="00706806"/>
    <w:rsid w:val="00706891"/>
    <w:rsid w:val="00706AA6"/>
    <w:rsid w:val="00706CA5"/>
    <w:rsid w:val="007074C1"/>
    <w:rsid w:val="00707817"/>
    <w:rsid w:val="00707DB6"/>
    <w:rsid w:val="007102F2"/>
    <w:rsid w:val="00710B54"/>
    <w:rsid w:val="0071101B"/>
    <w:rsid w:val="00711194"/>
    <w:rsid w:val="007113CC"/>
    <w:rsid w:val="00711452"/>
    <w:rsid w:val="00711514"/>
    <w:rsid w:val="007117F8"/>
    <w:rsid w:val="007118A6"/>
    <w:rsid w:val="007119A6"/>
    <w:rsid w:val="00711C4E"/>
    <w:rsid w:val="00711C51"/>
    <w:rsid w:val="00711F3C"/>
    <w:rsid w:val="0071280A"/>
    <w:rsid w:val="007128B9"/>
    <w:rsid w:val="00712944"/>
    <w:rsid w:val="007135F6"/>
    <w:rsid w:val="00713815"/>
    <w:rsid w:val="0071397A"/>
    <w:rsid w:val="00713B78"/>
    <w:rsid w:val="00713D8F"/>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34"/>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52"/>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2EE"/>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CD3"/>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6602"/>
    <w:rsid w:val="0073739B"/>
    <w:rsid w:val="0073768C"/>
    <w:rsid w:val="00737E43"/>
    <w:rsid w:val="00737F95"/>
    <w:rsid w:val="00737FF3"/>
    <w:rsid w:val="00740413"/>
    <w:rsid w:val="00740561"/>
    <w:rsid w:val="007407C1"/>
    <w:rsid w:val="00740BE3"/>
    <w:rsid w:val="00740FF3"/>
    <w:rsid w:val="007410A5"/>
    <w:rsid w:val="0074116F"/>
    <w:rsid w:val="0074196B"/>
    <w:rsid w:val="00741FC7"/>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D64"/>
    <w:rsid w:val="00750DC0"/>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33"/>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1008"/>
    <w:rsid w:val="007610AB"/>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6E3"/>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5E57"/>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24B"/>
    <w:rsid w:val="007834F4"/>
    <w:rsid w:val="0078359E"/>
    <w:rsid w:val="00783721"/>
    <w:rsid w:val="00783802"/>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2010"/>
    <w:rsid w:val="0079259E"/>
    <w:rsid w:val="00792641"/>
    <w:rsid w:val="00792A8B"/>
    <w:rsid w:val="00792E73"/>
    <w:rsid w:val="0079319C"/>
    <w:rsid w:val="00793331"/>
    <w:rsid w:val="0079345C"/>
    <w:rsid w:val="00793820"/>
    <w:rsid w:val="00793BDF"/>
    <w:rsid w:val="00793E16"/>
    <w:rsid w:val="0079418E"/>
    <w:rsid w:val="007942B1"/>
    <w:rsid w:val="007947D8"/>
    <w:rsid w:val="00794A60"/>
    <w:rsid w:val="00794C32"/>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9C0"/>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340"/>
    <w:rsid w:val="007A69F2"/>
    <w:rsid w:val="007A6BA9"/>
    <w:rsid w:val="007A6D8D"/>
    <w:rsid w:val="007A7405"/>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115"/>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8D"/>
    <w:rsid w:val="007C43F6"/>
    <w:rsid w:val="007C4645"/>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76A"/>
    <w:rsid w:val="007D07BD"/>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8B"/>
    <w:rsid w:val="00800291"/>
    <w:rsid w:val="0080042A"/>
    <w:rsid w:val="008006B4"/>
    <w:rsid w:val="0080076A"/>
    <w:rsid w:val="0080090E"/>
    <w:rsid w:val="00800CAF"/>
    <w:rsid w:val="0080107F"/>
    <w:rsid w:val="00801F1D"/>
    <w:rsid w:val="00801F88"/>
    <w:rsid w:val="00802086"/>
    <w:rsid w:val="00802391"/>
    <w:rsid w:val="008025C3"/>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1B2"/>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C50"/>
    <w:rsid w:val="00817CA0"/>
    <w:rsid w:val="00817DB9"/>
    <w:rsid w:val="00820123"/>
    <w:rsid w:val="00820334"/>
    <w:rsid w:val="00821500"/>
    <w:rsid w:val="00821BE0"/>
    <w:rsid w:val="00821C6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7F8"/>
    <w:rsid w:val="00824A1B"/>
    <w:rsid w:val="00824E46"/>
    <w:rsid w:val="00824F87"/>
    <w:rsid w:val="008251BD"/>
    <w:rsid w:val="008251FC"/>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417"/>
    <w:rsid w:val="00831541"/>
    <w:rsid w:val="00831A16"/>
    <w:rsid w:val="00831B58"/>
    <w:rsid w:val="00831C39"/>
    <w:rsid w:val="00831D98"/>
    <w:rsid w:val="0083209D"/>
    <w:rsid w:val="008320B7"/>
    <w:rsid w:val="00832252"/>
    <w:rsid w:val="0083273C"/>
    <w:rsid w:val="0083274A"/>
    <w:rsid w:val="0083277E"/>
    <w:rsid w:val="00832956"/>
    <w:rsid w:val="00832B9B"/>
    <w:rsid w:val="00832F49"/>
    <w:rsid w:val="008333E4"/>
    <w:rsid w:val="00833AEA"/>
    <w:rsid w:val="00833CF9"/>
    <w:rsid w:val="00833D72"/>
    <w:rsid w:val="00833DBB"/>
    <w:rsid w:val="00834147"/>
    <w:rsid w:val="0083473E"/>
    <w:rsid w:val="00834B53"/>
    <w:rsid w:val="00834F72"/>
    <w:rsid w:val="00834FF6"/>
    <w:rsid w:val="0083514F"/>
    <w:rsid w:val="008355D5"/>
    <w:rsid w:val="008358A2"/>
    <w:rsid w:val="008358AF"/>
    <w:rsid w:val="00835970"/>
    <w:rsid w:val="00835E3C"/>
    <w:rsid w:val="00836242"/>
    <w:rsid w:val="00836362"/>
    <w:rsid w:val="0083649B"/>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829"/>
    <w:rsid w:val="0084293F"/>
    <w:rsid w:val="0084347B"/>
    <w:rsid w:val="008438A5"/>
    <w:rsid w:val="0084391F"/>
    <w:rsid w:val="0084392A"/>
    <w:rsid w:val="008439ED"/>
    <w:rsid w:val="00844144"/>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DB0"/>
    <w:rsid w:val="00857E0D"/>
    <w:rsid w:val="00857F7A"/>
    <w:rsid w:val="00860840"/>
    <w:rsid w:val="00860A70"/>
    <w:rsid w:val="00860C1B"/>
    <w:rsid w:val="00860DA0"/>
    <w:rsid w:val="00860E70"/>
    <w:rsid w:val="00860F2B"/>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65C"/>
    <w:rsid w:val="0086370E"/>
    <w:rsid w:val="008644C2"/>
    <w:rsid w:val="0086484B"/>
    <w:rsid w:val="00864B5E"/>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656"/>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7D2"/>
    <w:rsid w:val="008A587D"/>
    <w:rsid w:val="008A5973"/>
    <w:rsid w:val="008A5A6F"/>
    <w:rsid w:val="008A5C79"/>
    <w:rsid w:val="008A64F2"/>
    <w:rsid w:val="008A668A"/>
    <w:rsid w:val="008A68CD"/>
    <w:rsid w:val="008A69A1"/>
    <w:rsid w:val="008A6CEA"/>
    <w:rsid w:val="008A6D44"/>
    <w:rsid w:val="008A7107"/>
    <w:rsid w:val="008A74CA"/>
    <w:rsid w:val="008A7A44"/>
    <w:rsid w:val="008A7B34"/>
    <w:rsid w:val="008A7C79"/>
    <w:rsid w:val="008A7DFB"/>
    <w:rsid w:val="008A7FED"/>
    <w:rsid w:val="008B004E"/>
    <w:rsid w:val="008B064C"/>
    <w:rsid w:val="008B07AD"/>
    <w:rsid w:val="008B0CE6"/>
    <w:rsid w:val="008B0DDF"/>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0EA"/>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1"/>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5DA"/>
    <w:rsid w:val="008D56E8"/>
    <w:rsid w:val="008D5A24"/>
    <w:rsid w:val="008D6265"/>
    <w:rsid w:val="008D644E"/>
    <w:rsid w:val="008D6AD7"/>
    <w:rsid w:val="008D6B11"/>
    <w:rsid w:val="008D6BC9"/>
    <w:rsid w:val="008D6D53"/>
    <w:rsid w:val="008D7090"/>
    <w:rsid w:val="008D7342"/>
    <w:rsid w:val="008D7712"/>
    <w:rsid w:val="008D79CD"/>
    <w:rsid w:val="008D7F29"/>
    <w:rsid w:val="008E00EF"/>
    <w:rsid w:val="008E0C7D"/>
    <w:rsid w:val="008E0DC0"/>
    <w:rsid w:val="008E0E89"/>
    <w:rsid w:val="008E0FE2"/>
    <w:rsid w:val="008E109C"/>
    <w:rsid w:val="008E115E"/>
    <w:rsid w:val="008E12DA"/>
    <w:rsid w:val="008E14C5"/>
    <w:rsid w:val="008E14E0"/>
    <w:rsid w:val="008E1535"/>
    <w:rsid w:val="008E17DD"/>
    <w:rsid w:val="008E1C7B"/>
    <w:rsid w:val="008E1E59"/>
    <w:rsid w:val="008E2BF7"/>
    <w:rsid w:val="008E2F03"/>
    <w:rsid w:val="008E3006"/>
    <w:rsid w:val="008E326E"/>
    <w:rsid w:val="008E32F4"/>
    <w:rsid w:val="008E36B6"/>
    <w:rsid w:val="008E3ADF"/>
    <w:rsid w:val="008E3C36"/>
    <w:rsid w:val="008E43DD"/>
    <w:rsid w:val="008E4454"/>
    <w:rsid w:val="008E474A"/>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7C6"/>
    <w:rsid w:val="008F0D69"/>
    <w:rsid w:val="008F0DE9"/>
    <w:rsid w:val="008F0EF1"/>
    <w:rsid w:val="008F0EF3"/>
    <w:rsid w:val="008F0F83"/>
    <w:rsid w:val="008F13AC"/>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66C5"/>
    <w:rsid w:val="008F6E56"/>
    <w:rsid w:val="008F6F71"/>
    <w:rsid w:val="008F791B"/>
    <w:rsid w:val="008F7AC0"/>
    <w:rsid w:val="008F7D92"/>
    <w:rsid w:val="009002D8"/>
    <w:rsid w:val="009003F8"/>
    <w:rsid w:val="0090049E"/>
    <w:rsid w:val="009004DE"/>
    <w:rsid w:val="009004F0"/>
    <w:rsid w:val="00900CCA"/>
    <w:rsid w:val="00900E58"/>
    <w:rsid w:val="009013EC"/>
    <w:rsid w:val="009018F1"/>
    <w:rsid w:val="00901BD9"/>
    <w:rsid w:val="00901D6F"/>
    <w:rsid w:val="00901D84"/>
    <w:rsid w:val="00902046"/>
    <w:rsid w:val="0090249C"/>
    <w:rsid w:val="00902690"/>
    <w:rsid w:val="00902AF2"/>
    <w:rsid w:val="00902C25"/>
    <w:rsid w:val="0090341B"/>
    <w:rsid w:val="0090352D"/>
    <w:rsid w:val="009035B9"/>
    <w:rsid w:val="009039D9"/>
    <w:rsid w:val="00903FE5"/>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761"/>
    <w:rsid w:val="009178E5"/>
    <w:rsid w:val="00917BE7"/>
    <w:rsid w:val="00917D8C"/>
    <w:rsid w:val="00917ED3"/>
    <w:rsid w:val="009204D2"/>
    <w:rsid w:val="00920668"/>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1C0C"/>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439"/>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1D5"/>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186"/>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17"/>
    <w:rsid w:val="00964BF4"/>
    <w:rsid w:val="00964E1C"/>
    <w:rsid w:val="00964F27"/>
    <w:rsid w:val="00964F91"/>
    <w:rsid w:val="0096500F"/>
    <w:rsid w:val="0096537F"/>
    <w:rsid w:val="00965F3F"/>
    <w:rsid w:val="009661A6"/>
    <w:rsid w:val="0096656B"/>
    <w:rsid w:val="00966B7F"/>
    <w:rsid w:val="00966C01"/>
    <w:rsid w:val="009672AA"/>
    <w:rsid w:val="00967476"/>
    <w:rsid w:val="00967A65"/>
    <w:rsid w:val="00967B39"/>
    <w:rsid w:val="0097036D"/>
    <w:rsid w:val="009703A4"/>
    <w:rsid w:val="009703B8"/>
    <w:rsid w:val="00970483"/>
    <w:rsid w:val="009704AB"/>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56"/>
    <w:rsid w:val="0097467E"/>
    <w:rsid w:val="00974709"/>
    <w:rsid w:val="00974815"/>
    <w:rsid w:val="00974FDE"/>
    <w:rsid w:val="00974FEB"/>
    <w:rsid w:val="009751AF"/>
    <w:rsid w:val="00975391"/>
    <w:rsid w:val="0097581A"/>
    <w:rsid w:val="0097588C"/>
    <w:rsid w:val="00975A58"/>
    <w:rsid w:val="00976080"/>
    <w:rsid w:val="009769A1"/>
    <w:rsid w:val="00976A31"/>
    <w:rsid w:val="00976A6F"/>
    <w:rsid w:val="00976E87"/>
    <w:rsid w:val="00977016"/>
    <w:rsid w:val="009770AC"/>
    <w:rsid w:val="009779C5"/>
    <w:rsid w:val="00977B05"/>
    <w:rsid w:val="00977E1C"/>
    <w:rsid w:val="00980243"/>
    <w:rsid w:val="009803E9"/>
    <w:rsid w:val="009803F9"/>
    <w:rsid w:val="00980456"/>
    <w:rsid w:val="00980490"/>
    <w:rsid w:val="009804F8"/>
    <w:rsid w:val="0098051A"/>
    <w:rsid w:val="00981931"/>
    <w:rsid w:val="00981CCF"/>
    <w:rsid w:val="00981EA3"/>
    <w:rsid w:val="00981ED3"/>
    <w:rsid w:val="00982012"/>
    <w:rsid w:val="00982506"/>
    <w:rsid w:val="0098269B"/>
    <w:rsid w:val="0098297E"/>
    <w:rsid w:val="00982BEB"/>
    <w:rsid w:val="00982CC7"/>
    <w:rsid w:val="00983176"/>
    <w:rsid w:val="00983247"/>
    <w:rsid w:val="00983501"/>
    <w:rsid w:val="00983793"/>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5F31"/>
    <w:rsid w:val="00986012"/>
    <w:rsid w:val="00986846"/>
    <w:rsid w:val="00986ACE"/>
    <w:rsid w:val="00986B21"/>
    <w:rsid w:val="00986EB5"/>
    <w:rsid w:val="0098719D"/>
    <w:rsid w:val="009871E7"/>
    <w:rsid w:val="00987450"/>
    <w:rsid w:val="009874AE"/>
    <w:rsid w:val="009874CD"/>
    <w:rsid w:val="0098756D"/>
    <w:rsid w:val="00987741"/>
    <w:rsid w:val="00987803"/>
    <w:rsid w:val="009878D9"/>
    <w:rsid w:val="00987C31"/>
    <w:rsid w:val="00987E62"/>
    <w:rsid w:val="00987EAF"/>
    <w:rsid w:val="009902A9"/>
    <w:rsid w:val="00990587"/>
    <w:rsid w:val="00990B47"/>
    <w:rsid w:val="00990D4B"/>
    <w:rsid w:val="00990ED5"/>
    <w:rsid w:val="00991044"/>
    <w:rsid w:val="00991085"/>
    <w:rsid w:val="0099176D"/>
    <w:rsid w:val="00991A41"/>
    <w:rsid w:val="009926F6"/>
    <w:rsid w:val="009929E3"/>
    <w:rsid w:val="00992BE8"/>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22C"/>
    <w:rsid w:val="009A26DE"/>
    <w:rsid w:val="009A2982"/>
    <w:rsid w:val="009A2C38"/>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00B"/>
    <w:rsid w:val="009B02EA"/>
    <w:rsid w:val="009B0724"/>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BAC"/>
    <w:rsid w:val="009B2F7C"/>
    <w:rsid w:val="009B2FDA"/>
    <w:rsid w:val="009B30C5"/>
    <w:rsid w:val="009B32AA"/>
    <w:rsid w:val="009B3727"/>
    <w:rsid w:val="009B3DAC"/>
    <w:rsid w:val="009B3E01"/>
    <w:rsid w:val="009B4624"/>
    <w:rsid w:val="009B48A0"/>
    <w:rsid w:val="009B49D5"/>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D17"/>
    <w:rsid w:val="009C3D31"/>
    <w:rsid w:val="009C402A"/>
    <w:rsid w:val="009C4C11"/>
    <w:rsid w:val="009C531B"/>
    <w:rsid w:val="009C556B"/>
    <w:rsid w:val="009C584F"/>
    <w:rsid w:val="009C5A97"/>
    <w:rsid w:val="009C5B0B"/>
    <w:rsid w:val="009C5B69"/>
    <w:rsid w:val="009C5E30"/>
    <w:rsid w:val="009C6049"/>
    <w:rsid w:val="009C616A"/>
    <w:rsid w:val="009C6506"/>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6C7"/>
    <w:rsid w:val="009D6984"/>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08"/>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6C8"/>
    <w:rsid w:val="009F3A25"/>
    <w:rsid w:val="009F3AE8"/>
    <w:rsid w:val="009F3C65"/>
    <w:rsid w:val="009F461E"/>
    <w:rsid w:val="009F47B3"/>
    <w:rsid w:val="009F493C"/>
    <w:rsid w:val="009F4A15"/>
    <w:rsid w:val="009F4F00"/>
    <w:rsid w:val="009F50A9"/>
    <w:rsid w:val="009F50DA"/>
    <w:rsid w:val="009F54C9"/>
    <w:rsid w:val="009F552D"/>
    <w:rsid w:val="009F5976"/>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111"/>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307"/>
    <w:rsid w:val="00A2541C"/>
    <w:rsid w:val="00A258BF"/>
    <w:rsid w:val="00A25ACB"/>
    <w:rsid w:val="00A25CB6"/>
    <w:rsid w:val="00A25CCB"/>
    <w:rsid w:val="00A25DAD"/>
    <w:rsid w:val="00A25FBB"/>
    <w:rsid w:val="00A26310"/>
    <w:rsid w:val="00A269B0"/>
    <w:rsid w:val="00A26A0E"/>
    <w:rsid w:val="00A26C9D"/>
    <w:rsid w:val="00A26FF2"/>
    <w:rsid w:val="00A27373"/>
    <w:rsid w:val="00A274B4"/>
    <w:rsid w:val="00A275D3"/>
    <w:rsid w:val="00A27AA1"/>
    <w:rsid w:val="00A27FD4"/>
    <w:rsid w:val="00A304C2"/>
    <w:rsid w:val="00A305D8"/>
    <w:rsid w:val="00A30996"/>
    <w:rsid w:val="00A31280"/>
    <w:rsid w:val="00A313DE"/>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AD"/>
    <w:rsid w:val="00A374BF"/>
    <w:rsid w:val="00A377F3"/>
    <w:rsid w:val="00A379EB"/>
    <w:rsid w:val="00A37B95"/>
    <w:rsid w:val="00A37D99"/>
    <w:rsid w:val="00A40118"/>
    <w:rsid w:val="00A40504"/>
    <w:rsid w:val="00A409B9"/>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3A7"/>
    <w:rsid w:val="00A46990"/>
    <w:rsid w:val="00A46D8F"/>
    <w:rsid w:val="00A47001"/>
    <w:rsid w:val="00A471D4"/>
    <w:rsid w:val="00A4759A"/>
    <w:rsid w:val="00A47687"/>
    <w:rsid w:val="00A476EC"/>
    <w:rsid w:val="00A47917"/>
    <w:rsid w:val="00A47A0D"/>
    <w:rsid w:val="00A47AC5"/>
    <w:rsid w:val="00A50133"/>
    <w:rsid w:val="00A503A4"/>
    <w:rsid w:val="00A504E2"/>
    <w:rsid w:val="00A507FB"/>
    <w:rsid w:val="00A50FD9"/>
    <w:rsid w:val="00A5105B"/>
    <w:rsid w:val="00A51109"/>
    <w:rsid w:val="00A514A5"/>
    <w:rsid w:val="00A5182F"/>
    <w:rsid w:val="00A5193E"/>
    <w:rsid w:val="00A51DB5"/>
    <w:rsid w:val="00A51F5A"/>
    <w:rsid w:val="00A52021"/>
    <w:rsid w:val="00A52131"/>
    <w:rsid w:val="00A5217C"/>
    <w:rsid w:val="00A523F8"/>
    <w:rsid w:val="00A52975"/>
    <w:rsid w:val="00A52B8F"/>
    <w:rsid w:val="00A53275"/>
    <w:rsid w:val="00A53970"/>
    <w:rsid w:val="00A53A6A"/>
    <w:rsid w:val="00A53AA5"/>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E4C"/>
    <w:rsid w:val="00A56F0C"/>
    <w:rsid w:val="00A56F6C"/>
    <w:rsid w:val="00A5767F"/>
    <w:rsid w:val="00A578A1"/>
    <w:rsid w:val="00A57C4C"/>
    <w:rsid w:val="00A57D7F"/>
    <w:rsid w:val="00A57F84"/>
    <w:rsid w:val="00A57FB4"/>
    <w:rsid w:val="00A604B7"/>
    <w:rsid w:val="00A605F6"/>
    <w:rsid w:val="00A60AB4"/>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40E"/>
    <w:rsid w:val="00A62805"/>
    <w:rsid w:val="00A62876"/>
    <w:rsid w:val="00A628B0"/>
    <w:rsid w:val="00A62991"/>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BF2"/>
    <w:rsid w:val="00A66C14"/>
    <w:rsid w:val="00A67073"/>
    <w:rsid w:val="00A671EF"/>
    <w:rsid w:val="00A6739C"/>
    <w:rsid w:val="00A674AE"/>
    <w:rsid w:val="00A67598"/>
    <w:rsid w:val="00A67778"/>
    <w:rsid w:val="00A67B6B"/>
    <w:rsid w:val="00A67B7C"/>
    <w:rsid w:val="00A67D8E"/>
    <w:rsid w:val="00A67F79"/>
    <w:rsid w:val="00A7008D"/>
    <w:rsid w:val="00A700E9"/>
    <w:rsid w:val="00A7025C"/>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7D"/>
    <w:rsid w:val="00A87FA5"/>
    <w:rsid w:val="00A90001"/>
    <w:rsid w:val="00A9009E"/>
    <w:rsid w:val="00A90118"/>
    <w:rsid w:val="00A908E2"/>
    <w:rsid w:val="00A9090F"/>
    <w:rsid w:val="00A909EE"/>
    <w:rsid w:val="00A90A81"/>
    <w:rsid w:val="00A90C79"/>
    <w:rsid w:val="00A90D14"/>
    <w:rsid w:val="00A90EC9"/>
    <w:rsid w:val="00A90EE1"/>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6B4"/>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771"/>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D6"/>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98D"/>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9E4"/>
    <w:rsid w:val="00AC1B4A"/>
    <w:rsid w:val="00AC1BD7"/>
    <w:rsid w:val="00AC2907"/>
    <w:rsid w:val="00AC29ED"/>
    <w:rsid w:val="00AC2D1D"/>
    <w:rsid w:val="00AC2DD2"/>
    <w:rsid w:val="00AC2E6D"/>
    <w:rsid w:val="00AC2EDD"/>
    <w:rsid w:val="00AC3236"/>
    <w:rsid w:val="00AC325C"/>
    <w:rsid w:val="00AC3269"/>
    <w:rsid w:val="00AC3661"/>
    <w:rsid w:val="00AC382C"/>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A6D"/>
    <w:rsid w:val="00AD2B57"/>
    <w:rsid w:val="00AD2E71"/>
    <w:rsid w:val="00AD2F9C"/>
    <w:rsid w:val="00AD31CD"/>
    <w:rsid w:val="00AD33B9"/>
    <w:rsid w:val="00AD3510"/>
    <w:rsid w:val="00AD3B0B"/>
    <w:rsid w:val="00AD3D3A"/>
    <w:rsid w:val="00AD3E1E"/>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7AB"/>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684"/>
    <w:rsid w:val="00AF0B2E"/>
    <w:rsid w:val="00AF0EE8"/>
    <w:rsid w:val="00AF1370"/>
    <w:rsid w:val="00AF154C"/>
    <w:rsid w:val="00AF159F"/>
    <w:rsid w:val="00AF1818"/>
    <w:rsid w:val="00AF1820"/>
    <w:rsid w:val="00AF1850"/>
    <w:rsid w:val="00AF1B0F"/>
    <w:rsid w:val="00AF1BC5"/>
    <w:rsid w:val="00AF1C27"/>
    <w:rsid w:val="00AF1E4C"/>
    <w:rsid w:val="00AF1EAE"/>
    <w:rsid w:val="00AF1EBF"/>
    <w:rsid w:val="00AF26AB"/>
    <w:rsid w:val="00AF298F"/>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B5F"/>
    <w:rsid w:val="00AF6D3A"/>
    <w:rsid w:val="00AF7556"/>
    <w:rsid w:val="00AF76DC"/>
    <w:rsid w:val="00AF78B4"/>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10C"/>
    <w:rsid w:val="00B056BE"/>
    <w:rsid w:val="00B056C5"/>
    <w:rsid w:val="00B05765"/>
    <w:rsid w:val="00B06258"/>
    <w:rsid w:val="00B069E5"/>
    <w:rsid w:val="00B06FF1"/>
    <w:rsid w:val="00B07660"/>
    <w:rsid w:val="00B07A6C"/>
    <w:rsid w:val="00B07F97"/>
    <w:rsid w:val="00B07FAB"/>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10C"/>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5E58"/>
    <w:rsid w:val="00B260E3"/>
    <w:rsid w:val="00B262AE"/>
    <w:rsid w:val="00B266AD"/>
    <w:rsid w:val="00B26805"/>
    <w:rsid w:val="00B26E91"/>
    <w:rsid w:val="00B271B1"/>
    <w:rsid w:val="00B27944"/>
    <w:rsid w:val="00B27A95"/>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15E"/>
    <w:rsid w:val="00B526E4"/>
    <w:rsid w:val="00B52A69"/>
    <w:rsid w:val="00B52CF1"/>
    <w:rsid w:val="00B52DCC"/>
    <w:rsid w:val="00B5319F"/>
    <w:rsid w:val="00B5324E"/>
    <w:rsid w:val="00B532AA"/>
    <w:rsid w:val="00B5387E"/>
    <w:rsid w:val="00B54042"/>
    <w:rsid w:val="00B542E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7A3"/>
    <w:rsid w:val="00B60823"/>
    <w:rsid w:val="00B60968"/>
    <w:rsid w:val="00B610D3"/>
    <w:rsid w:val="00B61510"/>
    <w:rsid w:val="00B617B3"/>
    <w:rsid w:val="00B61ADA"/>
    <w:rsid w:val="00B61BBC"/>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B6B"/>
    <w:rsid w:val="00B72C35"/>
    <w:rsid w:val="00B72D85"/>
    <w:rsid w:val="00B738B0"/>
    <w:rsid w:val="00B738FE"/>
    <w:rsid w:val="00B73CAC"/>
    <w:rsid w:val="00B73EAD"/>
    <w:rsid w:val="00B743A9"/>
    <w:rsid w:val="00B746D3"/>
    <w:rsid w:val="00B74944"/>
    <w:rsid w:val="00B74B24"/>
    <w:rsid w:val="00B74B72"/>
    <w:rsid w:val="00B74D09"/>
    <w:rsid w:val="00B750B4"/>
    <w:rsid w:val="00B751B3"/>
    <w:rsid w:val="00B7593A"/>
    <w:rsid w:val="00B759B9"/>
    <w:rsid w:val="00B75EF1"/>
    <w:rsid w:val="00B75F7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8E2"/>
    <w:rsid w:val="00B83A05"/>
    <w:rsid w:val="00B83FA6"/>
    <w:rsid w:val="00B841FD"/>
    <w:rsid w:val="00B843CF"/>
    <w:rsid w:val="00B845FF"/>
    <w:rsid w:val="00B84628"/>
    <w:rsid w:val="00B846BD"/>
    <w:rsid w:val="00B84A0F"/>
    <w:rsid w:val="00B84B6B"/>
    <w:rsid w:val="00B85295"/>
    <w:rsid w:val="00B854B1"/>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A1"/>
    <w:rsid w:val="00BA1CB7"/>
    <w:rsid w:val="00BA215B"/>
    <w:rsid w:val="00BA2DC0"/>
    <w:rsid w:val="00BA312C"/>
    <w:rsid w:val="00BA3483"/>
    <w:rsid w:val="00BA35EB"/>
    <w:rsid w:val="00BA360C"/>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824"/>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9C0"/>
    <w:rsid w:val="00BB3DD8"/>
    <w:rsid w:val="00BB4029"/>
    <w:rsid w:val="00BB4A6F"/>
    <w:rsid w:val="00BB4D9D"/>
    <w:rsid w:val="00BB4E3C"/>
    <w:rsid w:val="00BB4E57"/>
    <w:rsid w:val="00BB4EBB"/>
    <w:rsid w:val="00BB5355"/>
    <w:rsid w:val="00BB547C"/>
    <w:rsid w:val="00BB568E"/>
    <w:rsid w:val="00BB5786"/>
    <w:rsid w:val="00BB588C"/>
    <w:rsid w:val="00BB58F2"/>
    <w:rsid w:val="00BB60E0"/>
    <w:rsid w:val="00BB61E5"/>
    <w:rsid w:val="00BB625F"/>
    <w:rsid w:val="00BB6678"/>
    <w:rsid w:val="00BB6734"/>
    <w:rsid w:val="00BB6DAA"/>
    <w:rsid w:val="00BB6E6F"/>
    <w:rsid w:val="00BB6EAC"/>
    <w:rsid w:val="00BB6F52"/>
    <w:rsid w:val="00BB6FB1"/>
    <w:rsid w:val="00BB7178"/>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252"/>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695E"/>
    <w:rsid w:val="00BC6A84"/>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3522"/>
    <w:rsid w:val="00BF4103"/>
    <w:rsid w:val="00BF4988"/>
    <w:rsid w:val="00BF4BBB"/>
    <w:rsid w:val="00BF4E30"/>
    <w:rsid w:val="00BF4E8F"/>
    <w:rsid w:val="00BF500F"/>
    <w:rsid w:val="00BF5454"/>
    <w:rsid w:val="00BF54C6"/>
    <w:rsid w:val="00BF5807"/>
    <w:rsid w:val="00BF58C7"/>
    <w:rsid w:val="00BF5992"/>
    <w:rsid w:val="00BF5BDC"/>
    <w:rsid w:val="00BF5C60"/>
    <w:rsid w:val="00BF5D0B"/>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3FA3"/>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1D67"/>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033"/>
    <w:rsid w:val="00C14D02"/>
    <w:rsid w:val="00C14DD1"/>
    <w:rsid w:val="00C1548D"/>
    <w:rsid w:val="00C15A76"/>
    <w:rsid w:val="00C16024"/>
    <w:rsid w:val="00C162BA"/>
    <w:rsid w:val="00C162DE"/>
    <w:rsid w:val="00C16588"/>
    <w:rsid w:val="00C16B73"/>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C15"/>
    <w:rsid w:val="00C40EA4"/>
    <w:rsid w:val="00C41161"/>
    <w:rsid w:val="00C41335"/>
    <w:rsid w:val="00C41765"/>
    <w:rsid w:val="00C418DB"/>
    <w:rsid w:val="00C41C18"/>
    <w:rsid w:val="00C41D86"/>
    <w:rsid w:val="00C41F41"/>
    <w:rsid w:val="00C42029"/>
    <w:rsid w:val="00C42056"/>
    <w:rsid w:val="00C421BF"/>
    <w:rsid w:val="00C422DF"/>
    <w:rsid w:val="00C42445"/>
    <w:rsid w:val="00C424AF"/>
    <w:rsid w:val="00C427E3"/>
    <w:rsid w:val="00C429AB"/>
    <w:rsid w:val="00C42BC9"/>
    <w:rsid w:val="00C42E94"/>
    <w:rsid w:val="00C42FA7"/>
    <w:rsid w:val="00C43043"/>
    <w:rsid w:val="00C430B1"/>
    <w:rsid w:val="00C43337"/>
    <w:rsid w:val="00C43C8A"/>
    <w:rsid w:val="00C43CBD"/>
    <w:rsid w:val="00C43DC7"/>
    <w:rsid w:val="00C43F7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A2"/>
    <w:rsid w:val="00C60C41"/>
    <w:rsid w:val="00C60CE2"/>
    <w:rsid w:val="00C61228"/>
    <w:rsid w:val="00C615DF"/>
    <w:rsid w:val="00C61C53"/>
    <w:rsid w:val="00C61C9C"/>
    <w:rsid w:val="00C61CAC"/>
    <w:rsid w:val="00C61D00"/>
    <w:rsid w:val="00C61D36"/>
    <w:rsid w:val="00C621C0"/>
    <w:rsid w:val="00C6238C"/>
    <w:rsid w:val="00C6252D"/>
    <w:rsid w:val="00C627BF"/>
    <w:rsid w:val="00C6293E"/>
    <w:rsid w:val="00C62DDF"/>
    <w:rsid w:val="00C631C7"/>
    <w:rsid w:val="00C63257"/>
    <w:rsid w:val="00C63333"/>
    <w:rsid w:val="00C633B8"/>
    <w:rsid w:val="00C633DB"/>
    <w:rsid w:val="00C6359E"/>
    <w:rsid w:val="00C63732"/>
    <w:rsid w:val="00C63874"/>
    <w:rsid w:val="00C638BB"/>
    <w:rsid w:val="00C63C20"/>
    <w:rsid w:val="00C6418F"/>
    <w:rsid w:val="00C642AC"/>
    <w:rsid w:val="00C64644"/>
    <w:rsid w:val="00C64CC5"/>
    <w:rsid w:val="00C64CF2"/>
    <w:rsid w:val="00C651AD"/>
    <w:rsid w:val="00C651F5"/>
    <w:rsid w:val="00C653CC"/>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4F17"/>
    <w:rsid w:val="00C850E9"/>
    <w:rsid w:val="00C854A9"/>
    <w:rsid w:val="00C85DB0"/>
    <w:rsid w:val="00C863C1"/>
    <w:rsid w:val="00C865CF"/>
    <w:rsid w:val="00C865D8"/>
    <w:rsid w:val="00C866A9"/>
    <w:rsid w:val="00C867F3"/>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5F2"/>
    <w:rsid w:val="00CA06A3"/>
    <w:rsid w:val="00CA07D2"/>
    <w:rsid w:val="00CA0EA1"/>
    <w:rsid w:val="00CA0F5E"/>
    <w:rsid w:val="00CA12D2"/>
    <w:rsid w:val="00CA1599"/>
    <w:rsid w:val="00CA161F"/>
    <w:rsid w:val="00CA1827"/>
    <w:rsid w:val="00CA1892"/>
    <w:rsid w:val="00CA1A5B"/>
    <w:rsid w:val="00CA1CE5"/>
    <w:rsid w:val="00CA1DC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D9E"/>
    <w:rsid w:val="00CA6F59"/>
    <w:rsid w:val="00CA7066"/>
    <w:rsid w:val="00CA70A3"/>
    <w:rsid w:val="00CA7341"/>
    <w:rsid w:val="00CA7412"/>
    <w:rsid w:val="00CA75CF"/>
    <w:rsid w:val="00CA7742"/>
    <w:rsid w:val="00CA77D6"/>
    <w:rsid w:val="00CA7C2E"/>
    <w:rsid w:val="00CB04C4"/>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49C"/>
    <w:rsid w:val="00CC07CF"/>
    <w:rsid w:val="00CC0B96"/>
    <w:rsid w:val="00CC0D8C"/>
    <w:rsid w:val="00CC0FD9"/>
    <w:rsid w:val="00CC11F1"/>
    <w:rsid w:val="00CC14EC"/>
    <w:rsid w:val="00CC1648"/>
    <w:rsid w:val="00CC166B"/>
    <w:rsid w:val="00CC1BC0"/>
    <w:rsid w:val="00CC1C58"/>
    <w:rsid w:val="00CC1CA4"/>
    <w:rsid w:val="00CC1D49"/>
    <w:rsid w:val="00CC281E"/>
    <w:rsid w:val="00CC2AA6"/>
    <w:rsid w:val="00CC3135"/>
    <w:rsid w:val="00CC354E"/>
    <w:rsid w:val="00CC485E"/>
    <w:rsid w:val="00CC5134"/>
    <w:rsid w:val="00CC686C"/>
    <w:rsid w:val="00CC69AA"/>
    <w:rsid w:val="00CC6D95"/>
    <w:rsid w:val="00CC6DB6"/>
    <w:rsid w:val="00CC6FD9"/>
    <w:rsid w:val="00CC7093"/>
    <w:rsid w:val="00CC70C5"/>
    <w:rsid w:val="00CC72D9"/>
    <w:rsid w:val="00CC747B"/>
    <w:rsid w:val="00CC7A27"/>
    <w:rsid w:val="00CC7BC3"/>
    <w:rsid w:val="00CC7F15"/>
    <w:rsid w:val="00CD0B99"/>
    <w:rsid w:val="00CD1114"/>
    <w:rsid w:val="00CD13B3"/>
    <w:rsid w:val="00CD14DA"/>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4158"/>
    <w:rsid w:val="00CD438F"/>
    <w:rsid w:val="00CD454E"/>
    <w:rsid w:val="00CD46DB"/>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06DE"/>
    <w:rsid w:val="00CE1580"/>
    <w:rsid w:val="00CE18F8"/>
    <w:rsid w:val="00CE2007"/>
    <w:rsid w:val="00CE2079"/>
    <w:rsid w:val="00CE233C"/>
    <w:rsid w:val="00CE24DA"/>
    <w:rsid w:val="00CE29B4"/>
    <w:rsid w:val="00CE2A98"/>
    <w:rsid w:val="00CE2BF4"/>
    <w:rsid w:val="00CE32F9"/>
    <w:rsid w:val="00CE364E"/>
    <w:rsid w:val="00CE3806"/>
    <w:rsid w:val="00CE3A69"/>
    <w:rsid w:val="00CE3C91"/>
    <w:rsid w:val="00CE3D24"/>
    <w:rsid w:val="00CE40A3"/>
    <w:rsid w:val="00CE4582"/>
    <w:rsid w:val="00CE47B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95"/>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CCA"/>
    <w:rsid w:val="00CF7D6C"/>
    <w:rsid w:val="00CF7F7A"/>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6A97"/>
    <w:rsid w:val="00D07058"/>
    <w:rsid w:val="00D07465"/>
    <w:rsid w:val="00D0768A"/>
    <w:rsid w:val="00D0788B"/>
    <w:rsid w:val="00D07A68"/>
    <w:rsid w:val="00D07B27"/>
    <w:rsid w:val="00D07E40"/>
    <w:rsid w:val="00D1018B"/>
    <w:rsid w:val="00D1024C"/>
    <w:rsid w:val="00D1027C"/>
    <w:rsid w:val="00D1035F"/>
    <w:rsid w:val="00D10774"/>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675"/>
    <w:rsid w:val="00D157A2"/>
    <w:rsid w:val="00D158B0"/>
    <w:rsid w:val="00D1620C"/>
    <w:rsid w:val="00D16325"/>
    <w:rsid w:val="00D1637D"/>
    <w:rsid w:val="00D16707"/>
    <w:rsid w:val="00D16745"/>
    <w:rsid w:val="00D16B2E"/>
    <w:rsid w:val="00D16F71"/>
    <w:rsid w:val="00D172ED"/>
    <w:rsid w:val="00D172FF"/>
    <w:rsid w:val="00D17502"/>
    <w:rsid w:val="00D17711"/>
    <w:rsid w:val="00D17D4C"/>
    <w:rsid w:val="00D17ED2"/>
    <w:rsid w:val="00D17F7D"/>
    <w:rsid w:val="00D2006C"/>
    <w:rsid w:val="00D203E2"/>
    <w:rsid w:val="00D2053A"/>
    <w:rsid w:val="00D215A3"/>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C5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CC2"/>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2AB"/>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043"/>
    <w:rsid w:val="00D4526B"/>
    <w:rsid w:val="00D45289"/>
    <w:rsid w:val="00D4528A"/>
    <w:rsid w:val="00D45544"/>
    <w:rsid w:val="00D457A9"/>
    <w:rsid w:val="00D45943"/>
    <w:rsid w:val="00D45E75"/>
    <w:rsid w:val="00D460EC"/>
    <w:rsid w:val="00D4639C"/>
    <w:rsid w:val="00D463B8"/>
    <w:rsid w:val="00D465C1"/>
    <w:rsid w:val="00D46855"/>
    <w:rsid w:val="00D469E1"/>
    <w:rsid w:val="00D46C3E"/>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A3E"/>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16F"/>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4F17"/>
    <w:rsid w:val="00D659D9"/>
    <w:rsid w:val="00D65B4B"/>
    <w:rsid w:val="00D65C06"/>
    <w:rsid w:val="00D65E6B"/>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7C2"/>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584"/>
    <w:rsid w:val="00D776E4"/>
    <w:rsid w:val="00D77A8A"/>
    <w:rsid w:val="00D77DAF"/>
    <w:rsid w:val="00D77F8A"/>
    <w:rsid w:val="00D801B7"/>
    <w:rsid w:val="00D8059B"/>
    <w:rsid w:val="00D80B7A"/>
    <w:rsid w:val="00D80E1D"/>
    <w:rsid w:val="00D81170"/>
    <w:rsid w:val="00D8147D"/>
    <w:rsid w:val="00D81910"/>
    <w:rsid w:val="00D81D7C"/>
    <w:rsid w:val="00D822A4"/>
    <w:rsid w:val="00D82614"/>
    <w:rsid w:val="00D82DA7"/>
    <w:rsid w:val="00D8319E"/>
    <w:rsid w:val="00D836D9"/>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26"/>
    <w:rsid w:val="00D92AD4"/>
    <w:rsid w:val="00D92E2C"/>
    <w:rsid w:val="00D92E67"/>
    <w:rsid w:val="00D93178"/>
    <w:rsid w:val="00D9320A"/>
    <w:rsid w:val="00D9334D"/>
    <w:rsid w:val="00D9387E"/>
    <w:rsid w:val="00D93A17"/>
    <w:rsid w:val="00D93B31"/>
    <w:rsid w:val="00D93BF4"/>
    <w:rsid w:val="00D93D1C"/>
    <w:rsid w:val="00D93DA7"/>
    <w:rsid w:val="00D93DF9"/>
    <w:rsid w:val="00D94087"/>
    <w:rsid w:val="00D9412E"/>
    <w:rsid w:val="00D945C7"/>
    <w:rsid w:val="00D94683"/>
    <w:rsid w:val="00D9490F"/>
    <w:rsid w:val="00D94C31"/>
    <w:rsid w:val="00D95295"/>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ABD"/>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8E2"/>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D7"/>
    <w:rsid w:val="00DB1BE6"/>
    <w:rsid w:val="00DB1E9C"/>
    <w:rsid w:val="00DB2087"/>
    <w:rsid w:val="00DB2098"/>
    <w:rsid w:val="00DB209D"/>
    <w:rsid w:val="00DB20EF"/>
    <w:rsid w:val="00DB2231"/>
    <w:rsid w:val="00DB24DB"/>
    <w:rsid w:val="00DB254F"/>
    <w:rsid w:val="00DB2686"/>
    <w:rsid w:val="00DB2859"/>
    <w:rsid w:val="00DB2932"/>
    <w:rsid w:val="00DB2CD9"/>
    <w:rsid w:val="00DB2ECE"/>
    <w:rsid w:val="00DB33C9"/>
    <w:rsid w:val="00DB3450"/>
    <w:rsid w:val="00DB350B"/>
    <w:rsid w:val="00DB36C7"/>
    <w:rsid w:val="00DB3753"/>
    <w:rsid w:val="00DB38E1"/>
    <w:rsid w:val="00DB3AAE"/>
    <w:rsid w:val="00DB3BA7"/>
    <w:rsid w:val="00DB3CC5"/>
    <w:rsid w:val="00DB3E0B"/>
    <w:rsid w:val="00DB40D8"/>
    <w:rsid w:val="00DB485A"/>
    <w:rsid w:val="00DB4BB6"/>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C021F"/>
    <w:rsid w:val="00DC0286"/>
    <w:rsid w:val="00DC0397"/>
    <w:rsid w:val="00DC03E7"/>
    <w:rsid w:val="00DC08A9"/>
    <w:rsid w:val="00DC0D93"/>
    <w:rsid w:val="00DC178F"/>
    <w:rsid w:val="00DC181B"/>
    <w:rsid w:val="00DC19C8"/>
    <w:rsid w:val="00DC1C37"/>
    <w:rsid w:val="00DC2148"/>
    <w:rsid w:val="00DC2280"/>
    <w:rsid w:val="00DC254B"/>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3F"/>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20C9"/>
    <w:rsid w:val="00DE21CD"/>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20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B13"/>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68"/>
    <w:rsid w:val="00DF69AD"/>
    <w:rsid w:val="00DF6ACB"/>
    <w:rsid w:val="00DF6D4F"/>
    <w:rsid w:val="00DF711E"/>
    <w:rsid w:val="00DF72F7"/>
    <w:rsid w:val="00DF730F"/>
    <w:rsid w:val="00DF7559"/>
    <w:rsid w:val="00DF768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777"/>
    <w:rsid w:val="00E06845"/>
    <w:rsid w:val="00E06BD6"/>
    <w:rsid w:val="00E06C01"/>
    <w:rsid w:val="00E06C40"/>
    <w:rsid w:val="00E07284"/>
    <w:rsid w:val="00E0754E"/>
    <w:rsid w:val="00E077DE"/>
    <w:rsid w:val="00E07842"/>
    <w:rsid w:val="00E079A2"/>
    <w:rsid w:val="00E079D6"/>
    <w:rsid w:val="00E07F2E"/>
    <w:rsid w:val="00E10125"/>
    <w:rsid w:val="00E102A2"/>
    <w:rsid w:val="00E106B8"/>
    <w:rsid w:val="00E10FC6"/>
    <w:rsid w:val="00E11134"/>
    <w:rsid w:val="00E11208"/>
    <w:rsid w:val="00E117CD"/>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17DAD"/>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5ABE"/>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3B2D"/>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B99"/>
    <w:rsid w:val="00E41E7C"/>
    <w:rsid w:val="00E420C5"/>
    <w:rsid w:val="00E4246B"/>
    <w:rsid w:val="00E424C3"/>
    <w:rsid w:val="00E4268F"/>
    <w:rsid w:val="00E42704"/>
    <w:rsid w:val="00E42720"/>
    <w:rsid w:val="00E4284D"/>
    <w:rsid w:val="00E42A65"/>
    <w:rsid w:val="00E42AFF"/>
    <w:rsid w:val="00E42B01"/>
    <w:rsid w:val="00E42BAD"/>
    <w:rsid w:val="00E42C7C"/>
    <w:rsid w:val="00E42F75"/>
    <w:rsid w:val="00E43292"/>
    <w:rsid w:val="00E43357"/>
    <w:rsid w:val="00E435F0"/>
    <w:rsid w:val="00E43720"/>
    <w:rsid w:val="00E438EE"/>
    <w:rsid w:val="00E43D9F"/>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0C9"/>
    <w:rsid w:val="00E46464"/>
    <w:rsid w:val="00E464DC"/>
    <w:rsid w:val="00E4660F"/>
    <w:rsid w:val="00E46856"/>
    <w:rsid w:val="00E46B5B"/>
    <w:rsid w:val="00E46F6D"/>
    <w:rsid w:val="00E475BD"/>
    <w:rsid w:val="00E478F2"/>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892"/>
    <w:rsid w:val="00E53B09"/>
    <w:rsid w:val="00E53DDC"/>
    <w:rsid w:val="00E53E08"/>
    <w:rsid w:val="00E542EE"/>
    <w:rsid w:val="00E54671"/>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247"/>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4A7"/>
    <w:rsid w:val="00E6666B"/>
    <w:rsid w:val="00E6670F"/>
    <w:rsid w:val="00E669C1"/>
    <w:rsid w:val="00E66F3C"/>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48"/>
    <w:rsid w:val="00E717D0"/>
    <w:rsid w:val="00E71A94"/>
    <w:rsid w:val="00E71B2D"/>
    <w:rsid w:val="00E71CEA"/>
    <w:rsid w:val="00E723E3"/>
    <w:rsid w:val="00E7249E"/>
    <w:rsid w:val="00E724BB"/>
    <w:rsid w:val="00E72BB6"/>
    <w:rsid w:val="00E730A1"/>
    <w:rsid w:val="00E733A5"/>
    <w:rsid w:val="00E73818"/>
    <w:rsid w:val="00E73899"/>
    <w:rsid w:val="00E738D9"/>
    <w:rsid w:val="00E73A40"/>
    <w:rsid w:val="00E73AA0"/>
    <w:rsid w:val="00E7536B"/>
    <w:rsid w:val="00E75594"/>
    <w:rsid w:val="00E75E75"/>
    <w:rsid w:val="00E75F5F"/>
    <w:rsid w:val="00E7602D"/>
    <w:rsid w:val="00E766AA"/>
    <w:rsid w:val="00E76AF2"/>
    <w:rsid w:val="00E76DE9"/>
    <w:rsid w:val="00E76E1C"/>
    <w:rsid w:val="00E77016"/>
    <w:rsid w:val="00E770F0"/>
    <w:rsid w:val="00E7713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67"/>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00"/>
    <w:rsid w:val="00E87714"/>
    <w:rsid w:val="00E87E3F"/>
    <w:rsid w:val="00E87F86"/>
    <w:rsid w:val="00E90038"/>
    <w:rsid w:val="00E901E2"/>
    <w:rsid w:val="00E90328"/>
    <w:rsid w:val="00E9052A"/>
    <w:rsid w:val="00E909A4"/>
    <w:rsid w:val="00E90A98"/>
    <w:rsid w:val="00E90F3B"/>
    <w:rsid w:val="00E90F64"/>
    <w:rsid w:val="00E91103"/>
    <w:rsid w:val="00E91158"/>
    <w:rsid w:val="00E9141E"/>
    <w:rsid w:val="00E91BFA"/>
    <w:rsid w:val="00E91D53"/>
    <w:rsid w:val="00E91DB0"/>
    <w:rsid w:val="00E91F10"/>
    <w:rsid w:val="00E92188"/>
    <w:rsid w:val="00E927B5"/>
    <w:rsid w:val="00E92BAA"/>
    <w:rsid w:val="00E92C9A"/>
    <w:rsid w:val="00E92E86"/>
    <w:rsid w:val="00E932D6"/>
    <w:rsid w:val="00E93488"/>
    <w:rsid w:val="00E93779"/>
    <w:rsid w:val="00E93ACC"/>
    <w:rsid w:val="00E93E59"/>
    <w:rsid w:val="00E93F0C"/>
    <w:rsid w:val="00E94182"/>
    <w:rsid w:val="00E94497"/>
    <w:rsid w:val="00E9464C"/>
    <w:rsid w:val="00E95333"/>
    <w:rsid w:val="00E954AB"/>
    <w:rsid w:val="00E956D3"/>
    <w:rsid w:val="00E957F6"/>
    <w:rsid w:val="00E95897"/>
    <w:rsid w:val="00E95A07"/>
    <w:rsid w:val="00E95B6F"/>
    <w:rsid w:val="00E95C42"/>
    <w:rsid w:val="00E96561"/>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B6A"/>
    <w:rsid w:val="00EA2D19"/>
    <w:rsid w:val="00EA3055"/>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1A80"/>
    <w:rsid w:val="00EB200E"/>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28"/>
    <w:rsid w:val="00EB4C5A"/>
    <w:rsid w:val="00EB4E3C"/>
    <w:rsid w:val="00EB50BD"/>
    <w:rsid w:val="00EB540A"/>
    <w:rsid w:val="00EB5545"/>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F1"/>
    <w:rsid w:val="00ED20C8"/>
    <w:rsid w:val="00ED21BA"/>
    <w:rsid w:val="00ED246F"/>
    <w:rsid w:val="00ED2624"/>
    <w:rsid w:val="00ED297B"/>
    <w:rsid w:val="00ED2A9A"/>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64D"/>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118"/>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03"/>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A90"/>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8A"/>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654"/>
    <w:rsid w:val="00F10774"/>
    <w:rsid w:val="00F10978"/>
    <w:rsid w:val="00F10B29"/>
    <w:rsid w:val="00F10BA2"/>
    <w:rsid w:val="00F10CC2"/>
    <w:rsid w:val="00F10DB3"/>
    <w:rsid w:val="00F10E24"/>
    <w:rsid w:val="00F10EDC"/>
    <w:rsid w:val="00F10F20"/>
    <w:rsid w:val="00F11434"/>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2BD"/>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5DDD"/>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6C9"/>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562"/>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BB8"/>
    <w:rsid w:val="00F75D60"/>
    <w:rsid w:val="00F763A3"/>
    <w:rsid w:val="00F764DB"/>
    <w:rsid w:val="00F76814"/>
    <w:rsid w:val="00F76B3D"/>
    <w:rsid w:val="00F76B5F"/>
    <w:rsid w:val="00F76C36"/>
    <w:rsid w:val="00F76CF9"/>
    <w:rsid w:val="00F76DA9"/>
    <w:rsid w:val="00F76DC9"/>
    <w:rsid w:val="00F76DF7"/>
    <w:rsid w:val="00F77444"/>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6DB"/>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779"/>
    <w:rsid w:val="00F948AE"/>
    <w:rsid w:val="00F94D1E"/>
    <w:rsid w:val="00F94E6C"/>
    <w:rsid w:val="00F94EB2"/>
    <w:rsid w:val="00F94F67"/>
    <w:rsid w:val="00F95252"/>
    <w:rsid w:val="00F952BE"/>
    <w:rsid w:val="00F95321"/>
    <w:rsid w:val="00F9567A"/>
    <w:rsid w:val="00F957FE"/>
    <w:rsid w:val="00F95D19"/>
    <w:rsid w:val="00F95D33"/>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22A"/>
    <w:rsid w:val="00FA25BE"/>
    <w:rsid w:val="00FA290D"/>
    <w:rsid w:val="00FA2C19"/>
    <w:rsid w:val="00FA2DA0"/>
    <w:rsid w:val="00FA2E8B"/>
    <w:rsid w:val="00FA341B"/>
    <w:rsid w:val="00FA353D"/>
    <w:rsid w:val="00FA37DC"/>
    <w:rsid w:val="00FA3821"/>
    <w:rsid w:val="00FA3A0F"/>
    <w:rsid w:val="00FA3EB1"/>
    <w:rsid w:val="00FA3FA9"/>
    <w:rsid w:val="00FA3FAD"/>
    <w:rsid w:val="00FA40AF"/>
    <w:rsid w:val="00FA445D"/>
    <w:rsid w:val="00FA473B"/>
    <w:rsid w:val="00FA4C63"/>
    <w:rsid w:val="00FA5724"/>
    <w:rsid w:val="00FA5938"/>
    <w:rsid w:val="00FA5A10"/>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E71"/>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816"/>
    <w:rsid w:val="00FB3880"/>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837"/>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D7FBB"/>
    <w:rsid w:val="00FE008D"/>
    <w:rsid w:val="00FE00E1"/>
    <w:rsid w:val="00FE04DB"/>
    <w:rsid w:val="00FE0653"/>
    <w:rsid w:val="00FE0658"/>
    <w:rsid w:val="00FE07AB"/>
    <w:rsid w:val="00FE08CD"/>
    <w:rsid w:val="00FE10F5"/>
    <w:rsid w:val="00FE1136"/>
    <w:rsid w:val="00FE11B8"/>
    <w:rsid w:val="00FE13BF"/>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5BB"/>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70B"/>
    <w:rsid w:val="00FE79FD"/>
    <w:rsid w:val="00FE7B41"/>
    <w:rsid w:val="00FE7DA2"/>
    <w:rsid w:val="00FE7F59"/>
    <w:rsid w:val="00FE7FF1"/>
    <w:rsid w:val="00FF0090"/>
    <w:rsid w:val="00FF0499"/>
    <w:rsid w:val="00FF054D"/>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semiHidden/>
    <w:unhideWhenUsed/>
    <w:qFormat/>
    <w:rsid w:val="004814B5"/>
    <w:pPr>
      <w:keepNext/>
      <w:spacing w:before="240" w:after="60" w:line="240" w:lineRule="auto"/>
      <w:outlineLvl w:val="2"/>
    </w:pPr>
    <w:rPr>
      <w:rFonts w:ascii="Cambria" w:eastAsia="宋体" w:hAnsi="Cambria"/>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4814B5"/>
    <w:pPr>
      <w:spacing w:before="120" w:after="360" w:line="276" w:lineRule="auto"/>
      <w:outlineLvl w:val="1"/>
    </w:pPr>
    <w:rPr>
      <w:rFonts w:ascii="Times New Roman" w:eastAsia="PMingLiU" w:hAnsi="Times New Roman"/>
      <w:b/>
      <w:i/>
      <w:spacing w:val="15"/>
      <w:sz w:val="28"/>
      <w:szCs w:val="28"/>
      <w:lang w:eastAsia="en-US"/>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4814B5"/>
    <w:rPr>
      <w:rFonts w:eastAsia="PMingLiU"/>
      <w:b/>
      <w:i/>
      <w:szCs w:val="28"/>
      <w:lang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styleId="FootnoteReference">
    <w:name w:val="footnote reference"/>
    <w:basedOn w:val="DefaultParagraphFont"/>
    <w:uiPriority w:val="99"/>
    <w:semiHidden/>
    <w:unhideWhenUsed/>
    <w:rsid w:val="00981EA3"/>
    <w:rPr>
      <w:vertAlign w:val="superscript"/>
    </w:rPr>
  </w:style>
  <w:style w:type="paragraph" w:styleId="NormalIndent">
    <w:name w:val="Normal Indent"/>
    <w:basedOn w:val="BodyText"/>
    <w:next w:val="BodyText"/>
    <w:autoRedefine/>
    <w:semiHidden/>
    <w:rsid w:val="00682D32"/>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682D32"/>
    <w:pPr>
      <w:spacing w:after="120"/>
    </w:pPr>
  </w:style>
  <w:style w:type="character" w:customStyle="1" w:styleId="BodyTextChar">
    <w:name w:val="Body Text Char"/>
    <w:basedOn w:val="DefaultParagraphFont"/>
    <w:link w:val="BodyText"/>
    <w:uiPriority w:val="99"/>
    <w:semiHidden/>
    <w:rsid w:val="00682D32"/>
    <w:rPr>
      <w:lang w:val="en-GB"/>
    </w:rPr>
  </w:style>
  <w:style w:type="paragraph" w:customStyle="1" w:styleId="ParaLevel1">
    <w:name w:val="ParaLevel1"/>
    <w:basedOn w:val="Normal"/>
    <w:uiPriority w:val="99"/>
    <w:rsid w:val="00A25307"/>
    <w:pPr>
      <w:numPr>
        <w:numId w:val="14"/>
      </w:numPr>
      <w:suppressAutoHyphens/>
      <w:spacing w:before="240" w:after="240" w:line="240" w:lineRule="auto"/>
      <w:jc w:val="both"/>
      <w:outlineLvl w:val="0"/>
    </w:pPr>
    <w:rPr>
      <w:rFonts w:eastAsia="Times New Roman"/>
      <w:sz w:val="24"/>
      <w:szCs w:val="20"/>
      <w:lang w:eastAsia="en-US"/>
    </w:rPr>
  </w:style>
  <w:style w:type="paragraph" w:customStyle="1" w:styleId="ParaLevel2">
    <w:name w:val="ParaLevel2"/>
    <w:basedOn w:val="Normal"/>
    <w:uiPriority w:val="99"/>
    <w:rsid w:val="00A25307"/>
    <w:pPr>
      <w:numPr>
        <w:ilvl w:val="1"/>
        <w:numId w:val="14"/>
      </w:numPr>
      <w:suppressAutoHyphens/>
      <w:spacing w:before="240" w:after="240" w:line="240" w:lineRule="auto"/>
      <w:jc w:val="both"/>
      <w:outlineLvl w:val="1"/>
    </w:pPr>
    <w:rPr>
      <w:rFonts w:eastAsia="Times New Roman"/>
      <w:sz w:val="24"/>
      <w:szCs w:val="20"/>
      <w:lang w:eastAsia="en-US"/>
    </w:rPr>
  </w:style>
  <w:style w:type="paragraph" w:customStyle="1" w:styleId="ParaLevel3">
    <w:name w:val="ParaLevel3"/>
    <w:basedOn w:val="Normal"/>
    <w:uiPriority w:val="99"/>
    <w:rsid w:val="00A25307"/>
    <w:pPr>
      <w:numPr>
        <w:ilvl w:val="2"/>
        <w:numId w:val="14"/>
      </w:numPr>
      <w:suppressAutoHyphens/>
      <w:spacing w:before="240" w:after="240" w:line="240" w:lineRule="auto"/>
      <w:jc w:val="both"/>
      <w:outlineLvl w:val="2"/>
    </w:pPr>
    <w:rPr>
      <w:rFonts w:eastAsia="Times New Roman"/>
      <w:sz w:val="24"/>
      <w:szCs w:val="20"/>
      <w:lang w:eastAsia="en-US"/>
    </w:rPr>
  </w:style>
  <w:style w:type="paragraph" w:customStyle="1" w:styleId="ParaLevel4">
    <w:name w:val="ParaLevel4"/>
    <w:basedOn w:val="Normal"/>
    <w:uiPriority w:val="99"/>
    <w:rsid w:val="00A25307"/>
    <w:pPr>
      <w:numPr>
        <w:ilvl w:val="3"/>
        <w:numId w:val="14"/>
      </w:numPr>
      <w:suppressAutoHyphens/>
      <w:spacing w:before="240" w:after="240" w:line="240" w:lineRule="auto"/>
      <w:jc w:val="both"/>
      <w:outlineLvl w:val="3"/>
    </w:pPr>
    <w:rPr>
      <w:rFonts w:eastAsia="Times New Roman"/>
      <w:sz w:val="24"/>
      <w:szCs w:val="20"/>
      <w:lang w:eastAsia="en-US"/>
    </w:rPr>
  </w:style>
  <w:style w:type="paragraph" w:customStyle="1" w:styleId="ParaLevel5">
    <w:name w:val="ParaLevel5"/>
    <w:basedOn w:val="Normal"/>
    <w:uiPriority w:val="99"/>
    <w:rsid w:val="00A25307"/>
    <w:pPr>
      <w:numPr>
        <w:ilvl w:val="4"/>
        <w:numId w:val="14"/>
      </w:numPr>
      <w:suppressAutoHyphens/>
      <w:spacing w:before="240" w:after="240" w:line="240" w:lineRule="auto"/>
      <w:jc w:val="both"/>
      <w:outlineLvl w:val="4"/>
    </w:pPr>
    <w:rPr>
      <w:rFonts w:eastAsia="Times New Roman"/>
      <w:sz w:val="24"/>
      <w:szCs w:val="20"/>
      <w:lang w:eastAsia="en-US"/>
    </w:rPr>
  </w:style>
  <w:style w:type="paragraph" w:customStyle="1" w:styleId="ParaLevel6">
    <w:name w:val="ParaLevel6"/>
    <w:basedOn w:val="Normal"/>
    <w:uiPriority w:val="99"/>
    <w:rsid w:val="00A25307"/>
    <w:pPr>
      <w:numPr>
        <w:ilvl w:val="5"/>
        <w:numId w:val="14"/>
      </w:numPr>
      <w:suppressAutoHyphens/>
      <w:spacing w:before="240" w:after="240" w:line="240" w:lineRule="auto"/>
      <w:jc w:val="both"/>
      <w:outlineLvl w:val="5"/>
    </w:pPr>
    <w:rPr>
      <w:rFonts w:eastAsia="Times New Roman"/>
      <w:sz w:val="24"/>
      <w:szCs w:val="20"/>
      <w:lang w:eastAsia="en-US"/>
    </w:rPr>
  </w:style>
  <w:style w:type="paragraph" w:customStyle="1" w:styleId="ParaLevel7">
    <w:name w:val="ParaLevel7"/>
    <w:basedOn w:val="Normal"/>
    <w:uiPriority w:val="99"/>
    <w:rsid w:val="00A25307"/>
    <w:pPr>
      <w:numPr>
        <w:ilvl w:val="6"/>
        <w:numId w:val="14"/>
      </w:numPr>
      <w:suppressAutoHyphens/>
      <w:spacing w:before="240" w:after="240" w:line="240" w:lineRule="auto"/>
      <w:jc w:val="both"/>
      <w:outlineLvl w:val="6"/>
    </w:pPr>
    <w:rPr>
      <w:rFonts w:eastAsia="Times New Roman"/>
      <w:sz w:val="24"/>
      <w:szCs w:val="20"/>
      <w:lang w:eastAsia="en-US"/>
    </w:rPr>
  </w:style>
  <w:style w:type="paragraph" w:customStyle="1" w:styleId="ParaLevel8">
    <w:name w:val="ParaLevel8"/>
    <w:basedOn w:val="Normal"/>
    <w:uiPriority w:val="99"/>
    <w:rsid w:val="00A25307"/>
    <w:pPr>
      <w:numPr>
        <w:ilvl w:val="7"/>
        <w:numId w:val="14"/>
      </w:numPr>
      <w:suppressAutoHyphens/>
      <w:spacing w:before="240" w:after="240" w:line="240" w:lineRule="auto"/>
      <w:jc w:val="both"/>
      <w:outlineLvl w:val="7"/>
    </w:pPr>
    <w:rPr>
      <w:rFonts w:eastAsia="Times New Roman"/>
      <w:sz w:val="24"/>
      <w:szCs w:val="20"/>
      <w:lang w:eastAsia="en-US"/>
    </w:rPr>
  </w:style>
  <w:style w:type="paragraph" w:customStyle="1" w:styleId="ParaLevel9">
    <w:name w:val="ParaLevel9"/>
    <w:basedOn w:val="Normal"/>
    <w:uiPriority w:val="99"/>
    <w:rsid w:val="00A25307"/>
    <w:pPr>
      <w:numPr>
        <w:ilvl w:val="8"/>
        <w:numId w:val="14"/>
      </w:numPr>
      <w:suppressAutoHyphens/>
      <w:spacing w:before="240" w:after="240" w:line="240" w:lineRule="auto"/>
      <w:jc w:val="both"/>
      <w:outlineLvl w:val="8"/>
    </w:pPr>
    <w:rPr>
      <w:rFonts w:eastAsia="Times New Roman"/>
      <w:sz w:val="24"/>
      <w:szCs w:val="20"/>
      <w:lang w:eastAsia="en-US"/>
    </w:rPr>
  </w:style>
  <w:style w:type="character" w:styleId="Hyperlink">
    <w:name w:val="Hyperlink"/>
    <w:uiPriority w:val="99"/>
    <w:semiHidden/>
    <w:unhideWhenUsed/>
    <w:rsid w:val="006955E9"/>
    <w:rPr>
      <w:color w:val="0000FF"/>
      <w:u w:val="single"/>
    </w:rPr>
  </w:style>
  <w:style w:type="character" w:customStyle="1" w:styleId="Heading3Char">
    <w:name w:val="Heading 3 Char"/>
    <w:basedOn w:val="DefaultParagraphFont"/>
    <w:link w:val="Heading3"/>
    <w:uiPriority w:val="9"/>
    <w:semiHidden/>
    <w:rsid w:val="004814B5"/>
    <w:rPr>
      <w:rFonts w:ascii="Cambria" w:eastAsia="宋体" w:hAnsi="Cambria"/>
      <w:b/>
      <w:bCs/>
      <w:sz w:val="26"/>
      <w:szCs w:val="26"/>
      <w:lang w:eastAsia="en-US"/>
    </w:rPr>
  </w:style>
  <w:style w:type="paragraph" w:customStyle="1" w:styleId="coram">
    <w:name w:val="coram"/>
    <w:basedOn w:val="Signature"/>
    <w:rsid w:val="004814B5"/>
    <w:pPr>
      <w:tabs>
        <w:tab w:val="left" w:pos="2880"/>
      </w:tabs>
      <w:overflowPunct w:val="0"/>
      <w:autoSpaceDE w:val="0"/>
      <w:autoSpaceDN w:val="0"/>
      <w:adjustRightInd w:val="0"/>
      <w:snapToGrid w:val="0"/>
      <w:spacing w:after="240"/>
      <w:ind w:left="2880" w:hanging="2880"/>
      <w:textAlignment w:val="baseline"/>
    </w:pPr>
    <w:rPr>
      <w:rFonts w:eastAsia="MingLiU"/>
      <w:szCs w:val="20"/>
      <w:lang w:eastAsia="zh-TW"/>
    </w:rPr>
  </w:style>
  <w:style w:type="paragraph" w:customStyle="1" w:styleId="Normal3">
    <w:name w:val="Normal 3"/>
    <w:basedOn w:val="Signature"/>
    <w:rsid w:val="004814B5"/>
    <w:pPr>
      <w:tabs>
        <w:tab w:val="left" w:pos="3168"/>
        <w:tab w:val="right" w:pos="8280"/>
      </w:tabs>
      <w:overflowPunct w:val="0"/>
      <w:autoSpaceDE w:val="0"/>
      <w:autoSpaceDN w:val="0"/>
      <w:adjustRightInd w:val="0"/>
      <w:snapToGrid w:val="0"/>
      <w:ind w:left="0"/>
      <w:jc w:val="right"/>
      <w:textAlignment w:val="baseline"/>
    </w:pPr>
    <w:rPr>
      <w:rFonts w:eastAsia="MingLiU"/>
      <w:szCs w:val="20"/>
    </w:rPr>
  </w:style>
  <w:style w:type="paragraph" w:customStyle="1" w:styleId="Normal2">
    <w:name w:val="Normal 2"/>
    <w:basedOn w:val="Signature"/>
    <w:rsid w:val="004814B5"/>
    <w:pPr>
      <w:tabs>
        <w:tab w:val="center" w:pos="4320"/>
        <w:tab w:val="right" w:pos="9000"/>
      </w:tabs>
      <w:overflowPunct w:val="0"/>
      <w:autoSpaceDE w:val="0"/>
      <w:autoSpaceDN w:val="0"/>
      <w:adjustRightInd w:val="0"/>
      <w:snapToGrid w:val="0"/>
      <w:ind w:left="0"/>
      <w:jc w:val="both"/>
      <w:textAlignment w:val="baseline"/>
    </w:pPr>
    <w:rPr>
      <w:rFonts w:eastAsia="MingLiU"/>
      <w:b/>
      <w:szCs w:val="20"/>
    </w:rPr>
  </w:style>
  <w:style w:type="paragraph" w:customStyle="1" w:styleId="Normal1">
    <w:name w:val="Normal 1"/>
    <w:basedOn w:val="Signature"/>
    <w:rsid w:val="004814B5"/>
    <w:pPr>
      <w:tabs>
        <w:tab w:val="left" w:pos="3168"/>
        <w:tab w:val="center" w:pos="4018"/>
        <w:tab w:val="right" w:pos="8280"/>
      </w:tabs>
      <w:overflowPunct w:val="0"/>
      <w:autoSpaceDE w:val="0"/>
      <w:autoSpaceDN w:val="0"/>
      <w:adjustRightInd w:val="0"/>
      <w:snapToGrid w:val="0"/>
      <w:ind w:left="0"/>
      <w:textAlignment w:val="baseline"/>
    </w:pPr>
    <w:rPr>
      <w:rFonts w:eastAsia="MingLiU"/>
      <w:szCs w:val="20"/>
    </w:rPr>
  </w:style>
  <w:style w:type="paragraph" w:customStyle="1" w:styleId="NormalMF">
    <w:name w:val="NormalMF"/>
    <w:basedOn w:val="Normal2"/>
    <w:rsid w:val="004814B5"/>
    <w:pPr>
      <w:tabs>
        <w:tab w:val="left" w:pos="1440"/>
        <w:tab w:val="right" w:pos="8280"/>
      </w:tabs>
      <w:jc w:val="center"/>
    </w:pPr>
    <w:rPr>
      <w:caps/>
      <w:sz w:val="32"/>
    </w:rPr>
  </w:style>
  <w:style w:type="paragraph" w:customStyle="1" w:styleId="MF">
    <w:name w:val="MF"/>
    <w:basedOn w:val="NormalMF"/>
    <w:rsid w:val="004814B5"/>
    <w:rPr>
      <w:b w:val="0"/>
      <w:sz w:val="28"/>
    </w:rPr>
  </w:style>
  <w:style w:type="paragraph" w:styleId="BlockText">
    <w:name w:val="Block Text"/>
    <w:basedOn w:val="Normal"/>
    <w:semiHidden/>
    <w:rsid w:val="004814B5"/>
    <w:pPr>
      <w:overflowPunct w:val="0"/>
      <w:autoSpaceDE w:val="0"/>
      <w:autoSpaceDN w:val="0"/>
      <w:adjustRightInd w:val="0"/>
      <w:snapToGrid w:val="0"/>
      <w:spacing w:after="240" w:line="240" w:lineRule="auto"/>
      <w:ind w:left="980" w:right="452" w:hanging="560"/>
      <w:jc w:val="both"/>
    </w:pPr>
    <w:rPr>
      <w:rFonts w:eastAsia="MS Mincho"/>
      <w:b/>
      <w:szCs w:val="28"/>
    </w:rPr>
  </w:style>
  <w:style w:type="paragraph" w:customStyle="1" w:styleId="Bob10">
    <w:name w:val="Bob1"/>
    <w:autoRedefine/>
    <w:qFormat/>
    <w:rsid w:val="004814B5"/>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4814B5"/>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paragraph" w:styleId="Signature">
    <w:name w:val="Signature"/>
    <w:basedOn w:val="Normal"/>
    <w:link w:val="SignatureChar"/>
    <w:uiPriority w:val="99"/>
    <w:semiHidden/>
    <w:unhideWhenUsed/>
    <w:rsid w:val="004814B5"/>
    <w:pPr>
      <w:spacing w:after="0" w:line="240" w:lineRule="auto"/>
      <w:ind w:left="4320"/>
    </w:pPr>
  </w:style>
  <w:style w:type="character" w:customStyle="1" w:styleId="SignatureChar">
    <w:name w:val="Signature Char"/>
    <w:basedOn w:val="DefaultParagraphFont"/>
    <w:link w:val="Signature"/>
    <w:uiPriority w:val="99"/>
    <w:semiHidden/>
    <w:rsid w:val="004814B5"/>
    <w:rPr>
      <w:lang w:val="en-GB"/>
    </w:rPr>
  </w:style>
  <w:style w:type="paragraph" w:styleId="BodyTextIndent">
    <w:name w:val="Body Text Indent"/>
    <w:basedOn w:val="Normal"/>
    <w:link w:val="BodyTextIndentChar"/>
    <w:uiPriority w:val="99"/>
    <w:semiHidden/>
    <w:unhideWhenUsed/>
    <w:rsid w:val="004814B5"/>
    <w:pPr>
      <w:spacing w:after="120"/>
      <w:ind w:left="360"/>
    </w:pPr>
  </w:style>
  <w:style w:type="character" w:customStyle="1" w:styleId="BodyTextIndentChar">
    <w:name w:val="Body Text Indent Char"/>
    <w:basedOn w:val="DefaultParagraphFont"/>
    <w:link w:val="BodyTextIndent"/>
    <w:uiPriority w:val="99"/>
    <w:semiHidden/>
    <w:rsid w:val="004814B5"/>
    <w:rPr>
      <w:lang w:val="en-GB"/>
    </w:rPr>
  </w:style>
  <w:style w:type="paragraph" w:customStyle="1" w:styleId="Final">
    <w:name w:val="Final"/>
    <w:basedOn w:val="Normal"/>
    <w:qFormat/>
    <w:rsid w:val="004814B5"/>
    <w:pPr>
      <w:numPr>
        <w:numId w:val="16"/>
      </w:numPr>
      <w:tabs>
        <w:tab w:val="left" w:pos="720"/>
      </w:tabs>
      <w:snapToGrid w:val="0"/>
      <w:spacing w:after="440" w:line="360" w:lineRule="auto"/>
    </w:pPr>
    <w:rPr>
      <w:rFonts w:eastAsia="宋体"/>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FA128-6C8F-40F5-9E8E-E205661C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10943</Words>
  <Characters>62379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73176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Ribeiro</dc:creator>
  <cp:lastModifiedBy>Phemie WF Chan</cp:lastModifiedBy>
  <cp:revision>2</cp:revision>
  <cp:lastPrinted>2016-12-13T02:01:00Z</cp:lastPrinted>
  <dcterms:created xsi:type="dcterms:W3CDTF">2016-12-14T06:27:00Z</dcterms:created>
  <dcterms:modified xsi:type="dcterms:W3CDTF">2016-12-14T06:27:00Z</dcterms:modified>
</cp:coreProperties>
</file>