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F96" w:rsidRPr="007E3F96" w:rsidRDefault="007E3F96" w:rsidP="007E3F96">
      <w:pPr>
        <w:pStyle w:val="Heading1"/>
        <w:spacing w:before="0" w:line="240" w:lineRule="auto"/>
        <w:ind w:right="-138"/>
        <w:jc w:val="right"/>
        <w:rPr>
          <w:rFonts w:ascii="Times New Roman" w:hAnsi="Times New Roman" w:cs="Times New Roman"/>
          <w:b w:val="0"/>
          <w:color w:val="000000" w:themeColor="text1"/>
        </w:rPr>
      </w:pPr>
      <w:r w:rsidRPr="007E3F96">
        <w:rPr>
          <w:rFonts w:ascii="Times New Roman" w:hAnsi="Times New Roman" w:cs="Times New Roman"/>
          <w:b w:val="0"/>
          <w:color w:val="000000" w:themeColor="text1"/>
        </w:rPr>
        <w:t>FACC No. 5 of 2017</w:t>
      </w:r>
    </w:p>
    <w:p w:rsidR="007E3F96" w:rsidRPr="007E3F96" w:rsidRDefault="007E3F96" w:rsidP="007E3F96">
      <w:pPr>
        <w:spacing w:after="0" w:line="240" w:lineRule="auto"/>
        <w:ind w:right="-423"/>
        <w:jc w:val="right"/>
        <w:rPr>
          <w:color w:val="000000" w:themeColor="text1"/>
        </w:rPr>
      </w:pP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r>
      <w:r w:rsidRPr="007E3F96">
        <w:rPr>
          <w:color w:val="000000" w:themeColor="text1"/>
        </w:rPr>
        <w:tab/>
        <w:t xml:space="preserve">         [2018] HKCFA 2</w:t>
      </w:r>
      <w:r w:rsidRPr="007E3F96">
        <w:rPr>
          <w:color w:val="000000" w:themeColor="text1"/>
        </w:rPr>
        <w:tab/>
      </w:r>
    </w:p>
    <w:p w:rsidR="007E3F96" w:rsidRDefault="007E3F96" w:rsidP="007E3F96">
      <w:pPr>
        <w:spacing w:after="0" w:line="240" w:lineRule="auto"/>
      </w:pPr>
    </w:p>
    <w:p w:rsidR="007E3F96" w:rsidRDefault="007E3F96" w:rsidP="007E3F96">
      <w:pPr>
        <w:spacing w:after="0" w:line="240" w:lineRule="auto"/>
        <w:jc w:val="center"/>
        <w:rPr>
          <w:b/>
          <w:bCs/>
          <w:sz w:val="30"/>
        </w:rPr>
      </w:pPr>
      <w:r>
        <w:rPr>
          <w:b/>
          <w:bCs/>
          <w:sz w:val="30"/>
        </w:rPr>
        <w:t>IN THE COURT OF FINAL APPEAL OF THE</w:t>
      </w:r>
    </w:p>
    <w:p w:rsidR="007E3F96" w:rsidRDefault="007E3F96" w:rsidP="007E3F96">
      <w:pPr>
        <w:spacing w:after="0" w:line="240" w:lineRule="auto"/>
        <w:jc w:val="center"/>
      </w:pPr>
      <w:r>
        <w:rPr>
          <w:b/>
          <w:bCs/>
          <w:sz w:val="30"/>
        </w:rPr>
        <w:t>HONG KONG SPECIAL ADMINISTRATIVE REGION</w:t>
      </w:r>
    </w:p>
    <w:p w:rsidR="007E3F96" w:rsidRDefault="007E3F96" w:rsidP="007E3F96">
      <w:pPr>
        <w:spacing w:after="0" w:line="240" w:lineRule="auto"/>
        <w:jc w:val="center"/>
        <w:rPr>
          <w:b/>
          <w:bCs/>
        </w:rPr>
      </w:pPr>
    </w:p>
    <w:p w:rsidR="007E3F96" w:rsidRDefault="007E3F96" w:rsidP="007E3F96">
      <w:pPr>
        <w:spacing w:after="0" w:line="240" w:lineRule="auto"/>
        <w:jc w:val="center"/>
        <w:rPr>
          <w:b/>
          <w:bCs/>
        </w:rPr>
      </w:pPr>
      <w:r>
        <w:rPr>
          <w:rFonts w:hint="eastAsia"/>
          <w:b/>
          <w:bCs/>
        </w:rPr>
        <w:t>FINAL APPEAL</w:t>
      </w:r>
      <w:r>
        <w:rPr>
          <w:b/>
          <w:bCs/>
        </w:rPr>
        <w:t xml:space="preserve"> NO</w:t>
      </w:r>
      <w:r>
        <w:rPr>
          <w:rFonts w:hint="eastAsia"/>
          <w:b/>
          <w:bCs/>
        </w:rPr>
        <w:t>.</w:t>
      </w:r>
      <w:r>
        <w:rPr>
          <w:b/>
          <w:bCs/>
        </w:rPr>
        <w:t xml:space="preserve"> </w:t>
      </w:r>
      <w:r>
        <w:rPr>
          <w:rFonts w:hint="eastAsia"/>
          <w:b/>
          <w:bCs/>
        </w:rPr>
        <w:t>5</w:t>
      </w:r>
      <w:r>
        <w:rPr>
          <w:b/>
          <w:bCs/>
        </w:rPr>
        <w:t xml:space="preserve"> OF </w:t>
      </w:r>
      <w:r>
        <w:rPr>
          <w:rFonts w:hint="eastAsia"/>
          <w:b/>
          <w:bCs/>
        </w:rPr>
        <w:t>201</w:t>
      </w:r>
      <w:r>
        <w:rPr>
          <w:b/>
          <w:bCs/>
        </w:rPr>
        <w:t xml:space="preserve">7 </w:t>
      </w:r>
      <w:r w:rsidRPr="00D914F2">
        <w:rPr>
          <w:b/>
          <w:szCs w:val="28"/>
        </w:rPr>
        <w:t>(</w:t>
      </w:r>
      <w:r>
        <w:rPr>
          <w:b/>
          <w:szCs w:val="28"/>
        </w:rPr>
        <w:t>C</w:t>
      </w:r>
      <w:r>
        <w:rPr>
          <w:rFonts w:hint="eastAsia"/>
          <w:b/>
          <w:szCs w:val="28"/>
        </w:rPr>
        <w:t>RIMINAL</w:t>
      </w:r>
      <w:r w:rsidRPr="00D914F2">
        <w:rPr>
          <w:b/>
          <w:szCs w:val="28"/>
        </w:rPr>
        <w:t>)</w:t>
      </w:r>
    </w:p>
    <w:p w:rsidR="007E3F96" w:rsidRDefault="007E3F96" w:rsidP="007E3F96">
      <w:pPr>
        <w:spacing w:after="0" w:line="240" w:lineRule="auto"/>
        <w:ind w:right="-138"/>
        <w:jc w:val="center"/>
      </w:pPr>
      <w:r>
        <w:t>(ON APPEAL</w:t>
      </w:r>
      <w:r>
        <w:rPr>
          <w:rFonts w:hint="eastAsia"/>
        </w:rPr>
        <w:t xml:space="preserve"> </w:t>
      </w:r>
      <w:r>
        <w:t xml:space="preserve">FROM </w:t>
      </w:r>
      <w:r>
        <w:rPr>
          <w:rFonts w:hint="eastAsia"/>
        </w:rPr>
        <w:t>HCMA</w:t>
      </w:r>
      <w:r>
        <w:t xml:space="preserve"> NO 229</w:t>
      </w:r>
      <w:r>
        <w:rPr>
          <w:rFonts w:hint="eastAsia"/>
        </w:rPr>
        <w:t xml:space="preserve"> </w:t>
      </w:r>
      <w:r>
        <w:t>OF</w:t>
      </w:r>
      <w:r>
        <w:rPr>
          <w:rFonts w:hint="eastAsia"/>
        </w:rPr>
        <w:t xml:space="preserve"> 201</w:t>
      </w:r>
      <w:r>
        <w:t>6)</w:t>
      </w:r>
    </w:p>
    <w:p w:rsidR="007E3F96" w:rsidRDefault="007E3F96" w:rsidP="007E3F96">
      <w:pPr>
        <w:pStyle w:val="Header"/>
      </w:pPr>
    </w:p>
    <w:p w:rsidR="007E3F96" w:rsidRDefault="007E3F96" w:rsidP="007E3F96">
      <w:pPr>
        <w:spacing w:after="0" w:line="240" w:lineRule="auto"/>
        <w:jc w:val="center"/>
      </w:pPr>
      <w:r>
        <w:t>____________________</w:t>
      </w:r>
    </w:p>
    <w:p w:rsidR="007E3F96" w:rsidRDefault="007E3F96" w:rsidP="007E3F96">
      <w:pPr>
        <w:spacing w:after="0" w:line="240" w:lineRule="auto"/>
      </w:pPr>
    </w:p>
    <w:p w:rsidR="007E3F96" w:rsidRDefault="007E3F96" w:rsidP="007E3F96">
      <w:pPr>
        <w:spacing w:after="0" w:line="240" w:lineRule="auto"/>
      </w:pPr>
    </w:p>
    <w:p w:rsidR="007E3F96" w:rsidRPr="00B930B7" w:rsidRDefault="007E3F96" w:rsidP="007E3F96">
      <w:pPr>
        <w:snapToGrid w:val="0"/>
        <w:spacing w:after="0" w:line="240" w:lineRule="auto"/>
      </w:pPr>
      <w:r>
        <w:t>B</w:t>
      </w:r>
      <w:r>
        <w:rPr>
          <w:rFonts w:hint="eastAsia"/>
        </w:rPr>
        <w:t>ETWEEN</w:t>
      </w:r>
    </w:p>
    <w:p w:rsidR="007E3F96" w:rsidRPr="00B930B7" w:rsidRDefault="007E3F96" w:rsidP="007E3F96">
      <w:pPr>
        <w:snapToGrid w:val="0"/>
        <w:spacing w:after="0" w:line="240" w:lineRule="auto"/>
      </w:pPr>
    </w:p>
    <w:tbl>
      <w:tblPr>
        <w:tblW w:w="9596" w:type="dxa"/>
        <w:tblInd w:w="108" w:type="dxa"/>
        <w:tblLayout w:type="fixed"/>
        <w:tblLook w:val="0000" w:firstRow="0" w:lastRow="0" w:firstColumn="0" w:lastColumn="0" w:noHBand="0" w:noVBand="0"/>
      </w:tblPr>
      <w:tblGrid>
        <w:gridCol w:w="7200"/>
        <w:gridCol w:w="2396"/>
      </w:tblGrid>
      <w:tr w:rsidR="007E3F96" w:rsidRPr="003F2A95" w:rsidTr="00784E60">
        <w:trPr>
          <w:cantSplit/>
          <w:trHeight w:val="846"/>
        </w:trPr>
        <w:tc>
          <w:tcPr>
            <w:tcW w:w="7200" w:type="dxa"/>
          </w:tcPr>
          <w:p w:rsidR="007E3F96" w:rsidRPr="003F2A95" w:rsidRDefault="007E3F96" w:rsidP="007E3F96">
            <w:pPr>
              <w:snapToGrid w:val="0"/>
              <w:spacing w:after="0" w:line="240" w:lineRule="auto"/>
              <w:jc w:val="center"/>
              <w:rPr>
                <w:b/>
                <w:bCs/>
                <w:caps/>
              </w:rPr>
            </w:pPr>
            <w:r w:rsidRPr="003F2A95">
              <w:rPr>
                <w:rFonts w:hint="eastAsia"/>
                <w:b/>
                <w:bCs/>
                <w:caps/>
              </w:rPr>
              <w:t>HKSAR</w:t>
            </w:r>
          </w:p>
          <w:p w:rsidR="007E3F96" w:rsidRPr="003F2A95" w:rsidRDefault="007E3F96" w:rsidP="007E3F96">
            <w:pPr>
              <w:snapToGrid w:val="0"/>
              <w:spacing w:after="0" w:line="240" w:lineRule="auto"/>
              <w:jc w:val="center"/>
              <w:rPr>
                <w:b/>
                <w:bCs/>
                <w:caps/>
              </w:rPr>
            </w:pPr>
          </w:p>
          <w:p w:rsidR="007E3F96" w:rsidRPr="003F2A95" w:rsidRDefault="007E3F96" w:rsidP="007E3F96">
            <w:pPr>
              <w:snapToGrid w:val="0"/>
              <w:spacing w:after="0" w:line="240" w:lineRule="auto"/>
              <w:jc w:val="center"/>
              <w:rPr>
                <w:b/>
                <w:bCs/>
              </w:rPr>
            </w:pPr>
          </w:p>
        </w:tc>
        <w:tc>
          <w:tcPr>
            <w:tcW w:w="2396" w:type="dxa"/>
          </w:tcPr>
          <w:p w:rsidR="007E3F96" w:rsidRPr="00AA7F15" w:rsidRDefault="007E3F96" w:rsidP="007E3F96">
            <w:pPr>
              <w:snapToGrid w:val="0"/>
              <w:spacing w:after="0" w:line="240" w:lineRule="auto"/>
              <w:rPr>
                <w:rFonts w:eastAsia="PMingLiU"/>
                <w:b/>
                <w:lang w:eastAsia="zh-TW"/>
              </w:rPr>
            </w:pPr>
            <w:r w:rsidRPr="003F2A95">
              <w:rPr>
                <w:rFonts w:hint="eastAsia"/>
                <w:b/>
              </w:rPr>
              <w:t>Respondent</w:t>
            </w:r>
          </w:p>
          <w:p w:rsidR="007E3F96" w:rsidRPr="003F2A95" w:rsidRDefault="007E3F96" w:rsidP="007E3F96">
            <w:pPr>
              <w:snapToGrid w:val="0"/>
              <w:spacing w:after="0" w:line="240" w:lineRule="auto"/>
              <w:rPr>
                <w:b/>
              </w:rPr>
            </w:pPr>
          </w:p>
        </w:tc>
      </w:tr>
      <w:tr w:rsidR="007E3F96" w:rsidRPr="003F2A95" w:rsidTr="00784E60">
        <w:trPr>
          <w:cantSplit/>
        </w:trPr>
        <w:tc>
          <w:tcPr>
            <w:tcW w:w="7200" w:type="dxa"/>
          </w:tcPr>
          <w:p w:rsidR="007E3F96" w:rsidRPr="00B930B7" w:rsidRDefault="007E3F96" w:rsidP="007E3F96">
            <w:pPr>
              <w:snapToGrid w:val="0"/>
              <w:spacing w:after="0" w:line="240" w:lineRule="auto"/>
              <w:jc w:val="center"/>
              <w:rPr>
                <w:rFonts w:eastAsia="PMingLiU"/>
                <w:b/>
                <w:lang w:eastAsia="zh-TW"/>
              </w:rPr>
            </w:pPr>
            <w:r w:rsidRPr="003F2A95">
              <w:rPr>
                <w:b/>
              </w:rPr>
              <w:t>and</w:t>
            </w:r>
          </w:p>
          <w:p w:rsidR="007E3F96" w:rsidRPr="003F2A95" w:rsidRDefault="007E3F96" w:rsidP="007E3F96">
            <w:pPr>
              <w:snapToGrid w:val="0"/>
              <w:spacing w:after="0" w:line="240" w:lineRule="auto"/>
              <w:jc w:val="center"/>
              <w:rPr>
                <w:b/>
              </w:rPr>
            </w:pPr>
          </w:p>
        </w:tc>
        <w:tc>
          <w:tcPr>
            <w:tcW w:w="2396" w:type="dxa"/>
          </w:tcPr>
          <w:p w:rsidR="007E3F96" w:rsidRPr="003F2A95" w:rsidRDefault="007E3F96" w:rsidP="007E3F96">
            <w:pPr>
              <w:snapToGrid w:val="0"/>
              <w:spacing w:after="0" w:line="240" w:lineRule="auto"/>
              <w:rPr>
                <w:b/>
              </w:rPr>
            </w:pPr>
          </w:p>
        </w:tc>
      </w:tr>
      <w:tr w:rsidR="007E3F96" w:rsidRPr="003F2A95" w:rsidTr="00784E60">
        <w:trPr>
          <w:cantSplit/>
        </w:trPr>
        <w:tc>
          <w:tcPr>
            <w:tcW w:w="7200" w:type="dxa"/>
          </w:tcPr>
          <w:p w:rsidR="007E3F96" w:rsidRPr="00222FAE" w:rsidRDefault="007E3F96" w:rsidP="007E3F96">
            <w:pPr>
              <w:tabs>
                <w:tab w:val="left" w:pos="851"/>
                <w:tab w:val="right" w:pos="8504"/>
              </w:tabs>
              <w:spacing w:after="0" w:line="240" w:lineRule="auto"/>
              <w:ind w:left="-18" w:right="162" w:firstLine="18"/>
              <w:jc w:val="center"/>
              <w:rPr>
                <w:b/>
                <w:kern w:val="2"/>
                <w:szCs w:val="28"/>
                <w:lang w:val="en-AU"/>
              </w:rPr>
            </w:pPr>
            <w:r>
              <w:rPr>
                <w:b/>
                <w:kern w:val="2"/>
                <w:szCs w:val="28"/>
                <w:lang w:val="en-AU"/>
              </w:rPr>
              <w:t>LEUNG, HIU YEUNG (</w:t>
            </w:r>
            <w:r w:rsidRPr="00391A86">
              <w:rPr>
                <w:rFonts w:ascii="宋体" w:hAnsi="宋体" w:cs="宋体" w:hint="eastAsia"/>
                <w:b/>
              </w:rPr>
              <w:t>梁曉暘</w:t>
            </w:r>
            <w:r>
              <w:rPr>
                <w:rFonts w:hint="eastAsia"/>
                <w:b/>
                <w:kern w:val="2"/>
                <w:szCs w:val="28"/>
                <w:lang w:val="en-AU"/>
              </w:rPr>
              <w:t>)</w:t>
            </w:r>
            <w:r>
              <w:rPr>
                <w:b/>
                <w:kern w:val="2"/>
                <w:szCs w:val="28"/>
                <w:lang w:val="en-AU"/>
              </w:rPr>
              <w:t xml:space="preserve">(D1) </w:t>
            </w:r>
          </w:p>
          <w:p w:rsidR="007E3F96" w:rsidRPr="003F2A95" w:rsidRDefault="007E3F96" w:rsidP="007E3F96">
            <w:pPr>
              <w:snapToGrid w:val="0"/>
              <w:spacing w:after="0" w:line="240" w:lineRule="auto"/>
              <w:jc w:val="center"/>
              <w:rPr>
                <w:b/>
                <w:bCs/>
                <w:caps/>
              </w:rPr>
            </w:pPr>
          </w:p>
        </w:tc>
        <w:tc>
          <w:tcPr>
            <w:tcW w:w="2396" w:type="dxa"/>
          </w:tcPr>
          <w:p w:rsidR="007E3F96" w:rsidRPr="003F2A95" w:rsidRDefault="007E3F96" w:rsidP="007E3F96">
            <w:pPr>
              <w:snapToGrid w:val="0"/>
              <w:spacing w:after="0" w:line="240" w:lineRule="auto"/>
              <w:rPr>
                <w:b/>
              </w:rPr>
            </w:pPr>
            <w:r w:rsidRPr="004565BB">
              <w:rPr>
                <w:rFonts w:hint="eastAsia"/>
                <w:b/>
              </w:rPr>
              <w:t>App</w:t>
            </w:r>
            <w:r>
              <w:rPr>
                <w:rFonts w:hint="eastAsia"/>
                <w:b/>
              </w:rPr>
              <w:t>ellant</w:t>
            </w:r>
            <w:r w:rsidRPr="003F2A95">
              <w:rPr>
                <w:rFonts w:hint="eastAsia"/>
                <w:b/>
              </w:rPr>
              <w:t xml:space="preserve"> </w:t>
            </w:r>
          </w:p>
        </w:tc>
      </w:tr>
    </w:tbl>
    <w:p w:rsidR="007E3F96" w:rsidRPr="005A00B2" w:rsidRDefault="007E3F96" w:rsidP="007E3F96">
      <w:pPr>
        <w:snapToGrid w:val="0"/>
        <w:spacing w:after="0" w:line="240" w:lineRule="auto"/>
        <w:jc w:val="center"/>
        <w:rPr>
          <w:sz w:val="44"/>
          <w:szCs w:val="44"/>
        </w:rPr>
      </w:pPr>
      <w:r w:rsidRPr="003A3C8A">
        <w:t>_______________</w:t>
      </w:r>
      <w:r w:rsidRPr="00B930B7">
        <w:t>______</w:t>
      </w:r>
    </w:p>
    <w:p w:rsidR="007E3F96" w:rsidRPr="00B930B7" w:rsidRDefault="007E3F96" w:rsidP="007E3F96">
      <w:pPr>
        <w:snapToGrid w:val="0"/>
        <w:spacing w:after="0" w:line="240" w:lineRule="auto"/>
        <w:jc w:val="center"/>
      </w:pPr>
    </w:p>
    <w:p w:rsidR="007E3F96" w:rsidRDefault="007E3F96" w:rsidP="007E3F96">
      <w:pPr>
        <w:spacing w:after="0" w:line="240" w:lineRule="auto"/>
      </w:pPr>
    </w:p>
    <w:tbl>
      <w:tblPr>
        <w:tblW w:w="10091" w:type="dxa"/>
        <w:tblLook w:val="0000" w:firstRow="0" w:lastRow="0" w:firstColumn="0" w:lastColumn="0" w:noHBand="0" w:noVBand="0"/>
      </w:tblPr>
      <w:tblGrid>
        <w:gridCol w:w="2376"/>
        <w:gridCol w:w="612"/>
        <w:gridCol w:w="127"/>
        <w:gridCol w:w="4081"/>
        <w:gridCol w:w="1912"/>
        <w:gridCol w:w="540"/>
        <w:gridCol w:w="443"/>
      </w:tblGrid>
      <w:tr w:rsidR="007E3F96" w:rsidTr="007E3F96">
        <w:trPr>
          <w:gridAfter w:val="2"/>
          <w:wAfter w:w="983" w:type="dxa"/>
          <w:trHeight w:val="720"/>
        </w:trPr>
        <w:tc>
          <w:tcPr>
            <w:tcW w:w="2988" w:type="dxa"/>
            <w:gridSpan w:val="2"/>
          </w:tcPr>
          <w:p w:rsidR="007E3F96" w:rsidRPr="00485E1B" w:rsidRDefault="007E3F96" w:rsidP="007E3F96">
            <w:pPr>
              <w:snapToGrid w:val="0"/>
              <w:spacing w:after="0" w:line="240" w:lineRule="auto"/>
            </w:pPr>
            <w:r w:rsidRPr="008A36A2">
              <w:rPr>
                <w:bCs/>
                <w:szCs w:val="28"/>
              </w:rPr>
              <w:t>Before :</w:t>
            </w:r>
          </w:p>
        </w:tc>
        <w:tc>
          <w:tcPr>
            <w:tcW w:w="6120" w:type="dxa"/>
            <w:gridSpan w:val="3"/>
          </w:tcPr>
          <w:p w:rsidR="007E3F96" w:rsidRDefault="007E3F96" w:rsidP="007E3F96">
            <w:pPr>
              <w:snapToGrid w:val="0"/>
              <w:spacing w:after="0" w:line="240" w:lineRule="auto"/>
              <w:jc w:val="both"/>
              <w:rPr>
                <w:bCs/>
                <w:szCs w:val="28"/>
              </w:rPr>
            </w:pPr>
            <w:r>
              <w:rPr>
                <w:rFonts w:hint="eastAsia"/>
              </w:rPr>
              <w:t xml:space="preserve">Chief Justice Ma, </w:t>
            </w:r>
            <w:r w:rsidRPr="008A36A2">
              <w:rPr>
                <w:bCs/>
                <w:szCs w:val="28"/>
              </w:rPr>
              <w:t xml:space="preserve">Mr Justice Ribeiro PJ, </w:t>
            </w:r>
          </w:p>
          <w:p w:rsidR="007E3F96" w:rsidRDefault="007E3F96" w:rsidP="007E3F96">
            <w:pPr>
              <w:snapToGrid w:val="0"/>
              <w:spacing w:after="0" w:line="240" w:lineRule="auto"/>
              <w:rPr>
                <w:bCs/>
                <w:szCs w:val="28"/>
              </w:rPr>
            </w:pPr>
            <w:r w:rsidRPr="008A36A2">
              <w:rPr>
                <w:bCs/>
                <w:szCs w:val="28"/>
              </w:rPr>
              <w:t>Mr Justice Tang PJ</w:t>
            </w:r>
            <w:r w:rsidRPr="008A36A2">
              <w:rPr>
                <w:rFonts w:hint="eastAsia"/>
                <w:bCs/>
                <w:szCs w:val="28"/>
              </w:rPr>
              <w:t>,</w:t>
            </w:r>
            <w:r>
              <w:rPr>
                <w:rFonts w:hint="eastAsia"/>
                <w:bCs/>
                <w:szCs w:val="28"/>
              </w:rPr>
              <w:t xml:space="preserve"> </w:t>
            </w:r>
            <w:r w:rsidRPr="008A36A2">
              <w:rPr>
                <w:bCs/>
                <w:szCs w:val="28"/>
              </w:rPr>
              <w:t xml:space="preserve">Mr Justice </w:t>
            </w:r>
            <w:proofErr w:type="spellStart"/>
            <w:r>
              <w:rPr>
                <w:bCs/>
                <w:szCs w:val="28"/>
              </w:rPr>
              <w:t>Fok</w:t>
            </w:r>
            <w:proofErr w:type="spellEnd"/>
            <w:r>
              <w:rPr>
                <w:bCs/>
                <w:szCs w:val="28"/>
              </w:rPr>
              <w:t xml:space="preserve"> P</w:t>
            </w:r>
            <w:r w:rsidRPr="008A36A2">
              <w:rPr>
                <w:bCs/>
                <w:szCs w:val="28"/>
              </w:rPr>
              <w:t>J</w:t>
            </w:r>
            <w:r>
              <w:rPr>
                <w:rFonts w:hint="eastAsia"/>
                <w:bCs/>
                <w:szCs w:val="28"/>
              </w:rPr>
              <w:t xml:space="preserve"> </w:t>
            </w:r>
            <w:r w:rsidRPr="008A36A2">
              <w:rPr>
                <w:rFonts w:hint="eastAsia"/>
                <w:bCs/>
                <w:szCs w:val="28"/>
              </w:rPr>
              <w:t>and</w:t>
            </w:r>
          </w:p>
          <w:p w:rsidR="007E3F96" w:rsidRPr="006C7924" w:rsidRDefault="007E3F96" w:rsidP="007E3F96">
            <w:pPr>
              <w:snapToGrid w:val="0"/>
              <w:spacing w:after="0" w:line="240" w:lineRule="auto"/>
              <w:rPr>
                <w:bCs/>
                <w:szCs w:val="28"/>
              </w:rPr>
            </w:pPr>
            <w:r>
              <w:rPr>
                <w:bCs/>
                <w:szCs w:val="28"/>
              </w:rPr>
              <w:t>Lord</w:t>
            </w:r>
            <w:r w:rsidRPr="006C7924">
              <w:rPr>
                <w:bCs/>
                <w:szCs w:val="28"/>
              </w:rPr>
              <w:t xml:space="preserve"> </w:t>
            </w:r>
            <w:r>
              <w:rPr>
                <w:bCs/>
                <w:szCs w:val="28"/>
              </w:rPr>
              <w:t>Hoffmann</w:t>
            </w:r>
            <w:r w:rsidRPr="006C7924">
              <w:rPr>
                <w:rFonts w:hint="eastAsia"/>
                <w:bCs/>
                <w:szCs w:val="28"/>
              </w:rPr>
              <w:t xml:space="preserve"> </w:t>
            </w:r>
            <w:r w:rsidRPr="006C7924">
              <w:rPr>
                <w:bCs/>
                <w:szCs w:val="28"/>
              </w:rPr>
              <w:t>NPJ</w:t>
            </w:r>
          </w:p>
          <w:p w:rsidR="007E3F96" w:rsidRPr="00485E1B" w:rsidRDefault="007E3F96" w:rsidP="007E3F96">
            <w:pPr>
              <w:snapToGrid w:val="0"/>
              <w:spacing w:after="0" w:line="240" w:lineRule="auto"/>
              <w:jc w:val="both"/>
            </w:pPr>
          </w:p>
        </w:tc>
      </w:tr>
      <w:tr w:rsidR="007E3F96" w:rsidRPr="001011FF" w:rsidTr="007E3F96">
        <w:tblPrEx>
          <w:tblLook w:val="04A0" w:firstRow="1" w:lastRow="0" w:firstColumn="1" w:lastColumn="0" w:noHBand="0" w:noVBand="1"/>
        </w:tblPrEx>
        <w:trPr>
          <w:gridAfter w:val="1"/>
          <w:wAfter w:w="443" w:type="dxa"/>
        </w:trPr>
        <w:tc>
          <w:tcPr>
            <w:tcW w:w="3115" w:type="dxa"/>
            <w:gridSpan w:val="3"/>
          </w:tcPr>
          <w:p w:rsidR="007E3F96" w:rsidRPr="001011FF" w:rsidRDefault="007E3F96" w:rsidP="007E3F96">
            <w:pPr>
              <w:spacing w:after="0" w:line="240" w:lineRule="auto"/>
              <w:rPr>
                <w:color w:val="000000"/>
                <w:lang w:eastAsia="zh-TW"/>
              </w:rPr>
            </w:pPr>
            <w:r w:rsidRPr="001011FF">
              <w:rPr>
                <w:color w:val="000000"/>
                <w:lang w:eastAsia="zh-TW"/>
              </w:rPr>
              <w:t xml:space="preserve">Date of </w:t>
            </w:r>
            <w:r w:rsidRPr="001011FF">
              <w:rPr>
                <w:color w:val="000000"/>
              </w:rPr>
              <w:t>Hearing</w:t>
            </w:r>
            <w:r>
              <w:rPr>
                <w:color w:val="000000"/>
              </w:rPr>
              <w:t xml:space="preserve"> and Judgment</w:t>
            </w:r>
            <w:r w:rsidRPr="001011FF">
              <w:rPr>
                <w:color w:val="000000"/>
              </w:rPr>
              <w:t>:</w:t>
            </w:r>
          </w:p>
          <w:p w:rsidR="007E3F96" w:rsidRPr="001011FF" w:rsidRDefault="007E3F96" w:rsidP="007E3F96">
            <w:pPr>
              <w:spacing w:after="0" w:line="240" w:lineRule="auto"/>
              <w:rPr>
                <w:color w:val="000000"/>
                <w:lang w:eastAsia="zh-TW"/>
              </w:rPr>
            </w:pPr>
          </w:p>
        </w:tc>
        <w:tc>
          <w:tcPr>
            <w:tcW w:w="6533" w:type="dxa"/>
            <w:gridSpan w:val="3"/>
          </w:tcPr>
          <w:p w:rsidR="007E3F96" w:rsidRPr="001011FF" w:rsidRDefault="007E3F96" w:rsidP="007E3F96">
            <w:pPr>
              <w:spacing w:after="0" w:line="240" w:lineRule="auto"/>
              <w:ind w:leftChars="-38" w:left="-106"/>
              <w:rPr>
                <w:color w:val="000000"/>
              </w:rPr>
            </w:pPr>
            <w:r>
              <w:rPr>
                <w:color w:val="000000"/>
              </w:rPr>
              <w:t>10 January 2018</w:t>
            </w:r>
          </w:p>
        </w:tc>
      </w:tr>
      <w:tr w:rsidR="007E3F96" w:rsidRPr="001011FF" w:rsidTr="007E3F96">
        <w:tblPrEx>
          <w:tblLook w:val="04A0" w:firstRow="1" w:lastRow="0" w:firstColumn="1" w:lastColumn="0" w:noHBand="0" w:noVBand="1"/>
        </w:tblPrEx>
        <w:trPr>
          <w:gridAfter w:val="1"/>
          <w:wAfter w:w="443" w:type="dxa"/>
        </w:trPr>
        <w:tc>
          <w:tcPr>
            <w:tcW w:w="3115" w:type="dxa"/>
            <w:gridSpan w:val="3"/>
            <w:hideMark/>
          </w:tcPr>
          <w:p w:rsidR="007E3F96" w:rsidRDefault="007E3F96" w:rsidP="007E3F96">
            <w:pPr>
              <w:spacing w:after="0" w:line="240" w:lineRule="auto"/>
            </w:pPr>
            <w:r w:rsidRPr="001011FF">
              <w:rPr>
                <w:color w:val="000000"/>
                <w:lang w:eastAsia="zh-TW"/>
              </w:rPr>
              <w:t xml:space="preserve">Date of </w:t>
            </w:r>
            <w:r>
              <w:rPr>
                <w:color w:val="000000"/>
                <w:lang w:eastAsia="zh-TW"/>
              </w:rPr>
              <w:t xml:space="preserve">Reasons for </w:t>
            </w:r>
            <w:r w:rsidRPr="009E437D">
              <w:rPr>
                <w:lang w:eastAsia="zh-TW"/>
              </w:rPr>
              <w:t>Judgment</w:t>
            </w:r>
            <w:r w:rsidRPr="009E437D">
              <w:t>:</w:t>
            </w:r>
          </w:p>
          <w:p w:rsidR="00240D68" w:rsidRDefault="00240D68" w:rsidP="007E3F96">
            <w:pPr>
              <w:spacing w:after="0" w:line="240" w:lineRule="auto"/>
            </w:pPr>
          </w:p>
          <w:p w:rsidR="00240D68" w:rsidRPr="001011FF" w:rsidRDefault="00240D68" w:rsidP="007E3F96">
            <w:pPr>
              <w:spacing w:after="0" w:line="240" w:lineRule="auto"/>
              <w:rPr>
                <w:color w:val="000000"/>
              </w:rPr>
            </w:pPr>
          </w:p>
        </w:tc>
        <w:tc>
          <w:tcPr>
            <w:tcW w:w="6533" w:type="dxa"/>
            <w:gridSpan w:val="3"/>
            <w:hideMark/>
          </w:tcPr>
          <w:p w:rsidR="007E3F96" w:rsidRPr="00663CB7" w:rsidRDefault="00663CB7" w:rsidP="007E3F96">
            <w:pPr>
              <w:spacing w:after="0" w:line="240" w:lineRule="auto"/>
              <w:ind w:leftChars="-38" w:hangingChars="38" w:hanging="106"/>
            </w:pPr>
            <w:bookmarkStart w:id="0" w:name="_GoBack"/>
            <w:r w:rsidRPr="00663CB7">
              <w:t>1 February</w:t>
            </w:r>
            <w:r w:rsidR="007E3F96" w:rsidRPr="00663CB7">
              <w:t xml:space="preserve"> 2018</w:t>
            </w:r>
          </w:p>
          <w:bookmarkEnd w:id="0"/>
          <w:p w:rsidR="007E3F96" w:rsidRDefault="007E3F96" w:rsidP="007E3F96">
            <w:pPr>
              <w:spacing w:after="0" w:line="240" w:lineRule="auto"/>
              <w:ind w:leftChars="-38" w:hangingChars="38" w:hanging="106"/>
              <w:rPr>
                <w:color w:val="000000"/>
              </w:rPr>
            </w:pPr>
          </w:p>
          <w:p w:rsidR="007E3F96" w:rsidRPr="001011FF" w:rsidRDefault="007E3F96" w:rsidP="007E3F96">
            <w:pPr>
              <w:spacing w:after="0" w:line="240" w:lineRule="auto"/>
              <w:ind w:leftChars="-38" w:hangingChars="38" w:hanging="106"/>
              <w:rPr>
                <w:color w:val="000000"/>
              </w:rPr>
            </w:pPr>
          </w:p>
        </w:tc>
      </w:tr>
      <w:tr w:rsidR="007E3F96" w:rsidRPr="007E3F96" w:rsidTr="007E3F96">
        <w:trPr>
          <w:trHeight w:val="60"/>
        </w:trPr>
        <w:tc>
          <w:tcPr>
            <w:tcW w:w="2376" w:type="dxa"/>
          </w:tcPr>
          <w:p w:rsidR="007E3F96" w:rsidRPr="007E3F96" w:rsidRDefault="007E3F96" w:rsidP="007E3F96">
            <w:pPr>
              <w:spacing w:after="0" w:line="240" w:lineRule="auto"/>
              <w:rPr>
                <w:rFonts w:eastAsia="宋体"/>
                <w:color w:val="000000"/>
                <w:szCs w:val="28"/>
              </w:rPr>
            </w:pPr>
          </w:p>
          <w:p w:rsidR="007E3F96" w:rsidRPr="007E3F96" w:rsidRDefault="007E3F96" w:rsidP="007E3F96">
            <w:pPr>
              <w:spacing w:after="0" w:line="240" w:lineRule="auto"/>
              <w:rPr>
                <w:rFonts w:eastAsia="宋体"/>
                <w:color w:val="000000"/>
                <w:szCs w:val="28"/>
              </w:rPr>
            </w:pPr>
          </w:p>
          <w:p w:rsidR="007E3F96" w:rsidRPr="007E3F96" w:rsidRDefault="007E3F96" w:rsidP="007E3F96">
            <w:pPr>
              <w:spacing w:after="0" w:line="240" w:lineRule="auto"/>
              <w:rPr>
                <w:rFonts w:eastAsia="宋体"/>
                <w:color w:val="000000"/>
                <w:szCs w:val="28"/>
              </w:rPr>
            </w:pPr>
          </w:p>
        </w:tc>
        <w:tc>
          <w:tcPr>
            <w:tcW w:w="4820" w:type="dxa"/>
            <w:gridSpan w:val="3"/>
            <w:tcBorders>
              <w:top w:val="single" w:sz="4" w:space="0" w:color="auto"/>
              <w:bottom w:val="single" w:sz="4" w:space="0" w:color="auto"/>
            </w:tcBorders>
          </w:tcPr>
          <w:p w:rsidR="007E3F96" w:rsidRPr="007E3F96" w:rsidRDefault="00722533" w:rsidP="007E3F96">
            <w:pPr>
              <w:spacing w:before="360" w:after="120" w:line="240" w:lineRule="auto"/>
              <w:ind w:left="-486" w:right="-490"/>
              <w:jc w:val="center"/>
              <w:rPr>
                <w:rFonts w:eastAsia="宋体"/>
                <w:b/>
                <w:bCs/>
                <w:spacing w:val="60"/>
                <w:szCs w:val="28"/>
                <w:lang w:eastAsia="en-US"/>
              </w:rPr>
            </w:pPr>
            <w:r>
              <w:rPr>
                <w:rFonts w:eastAsia="宋体" w:hint="eastAsia"/>
                <w:b/>
                <w:szCs w:val="28"/>
                <w:lang w:eastAsia="en-US"/>
              </w:rPr>
              <w:t xml:space="preserve">REASONS FOR </w:t>
            </w:r>
            <w:r w:rsidR="007E3F96" w:rsidRPr="007E3F96">
              <w:rPr>
                <w:rFonts w:eastAsia="宋体" w:hint="eastAsia"/>
                <w:b/>
                <w:szCs w:val="28"/>
                <w:lang w:eastAsia="en-US"/>
              </w:rPr>
              <w:t>JUDGMENT</w:t>
            </w:r>
          </w:p>
          <w:p w:rsidR="007E3F96" w:rsidRPr="007E3F96" w:rsidRDefault="007E3F96" w:rsidP="007E3F96">
            <w:pPr>
              <w:spacing w:after="0" w:line="240" w:lineRule="auto"/>
              <w:ind w:leftChars="-214" w:left="-599" w:firstLineChars="214" w:firstLine="599"/>
              <w:jc w:val="center"/>
              <w:rPr>
                <w:rFonts w:eastAsia="宋体"/>
                <w:color w:val="000000"/>
                <w:szCs w:val="28"/>
                <w:lang w:eastAsia="en-US"/>
              </w:rPr>
            </w:pPr>
          </w:p>
        </w:tc>
        <w:tc>
          <w:tcPr>
            <w:tcW w:w="2895" w:type="dxa"/>
            <w:gridSpan w:val="3"/>
          </w:tcPr>
          <w:p w:rsidR="007E3F96" w:rsidRPr="007E3F96" w:rsidRDefault="007E3F96" w:rsidP="007E3F96">
            <w:pPr>
              <w:spacing w:after="0" w:line="240" w:lineRule="auto"/>
              <w:ind w:leftChars="-214" w:left="-599" w:firstLineChars="214" w:firstLine="599"/>
              <w:rPr>
                <w:rFonts w:eastAsia="宋体"/>
                <w:color w:val="000000"/>
                <w:szCs w:val="28"/>
                <w:lang w:eastAsia="en-US"/>
              </w:rPr>
            </w:pPr>
          </w:p>
        </w:tc>
      </w:tr>
    </w:tbl>
    <w:p w:rsidR="007E3F96" w:rsidRDefault="007E3F96" w:rsidP="00FD7292">
      <w:pPr>
        <w:pStyle w:val="Bob1"/>
        <w:numPr>
          <w:ilvl w:val="0"/>
          <w:numId w:val="0"/>
        </w:numPr>
        <w:ind w:hanging="11"/>
      </w:pPr>
    </w:p>
    <w:p w:rsidR="00240D68" w:rsidRDefault="00240D68">
      <w:pPr>
        <w:rPr>
          <w:rFonts w:eastAsia="PMingLiU"/>
          <w:b/>
          <w:lang w:eastAsia="zh-TW"/>
        </w:rPr>
      </w:pPr>
      <w:r>
        <w:rPr>
          <w:rFonts w:eastAsia="PMingLiU"/>
          <w:b/>
          <w:lang w:eastAsia="zh-TW"/>
        </w:rPr>
        <w:br w:type="page"/>
      </w:r>
    </w:p>
    <w:p w:rsidR="007E3F96" w:rsidRPr="007E3F96" w:rsidRDefault="007E3F96" w:rsidP="007E3F96">
      <w:pPr>
        <w:pStyle w:val="Bob1"/>
        <w:numPr>
          <w:ilvl w:val="0"/>
          <w:numId w:val="0"/>
        </w:numPr>
        <w:tabs>
          <w:tab w:val="left" w:pos="1440"/>
        </w:tabs>
        <w:jc w:val="both"/>
        <w:rPr>
          <w:b/>
        </w:rPr>
      </w:pPr>
      <w:r w:rsidRPr="007E3F96">
        <w:rPr>
          <w:rFonts w:eastAsia="PMingLiU"/>
          <w:b/>
          <w:lang w:eastAsia="zh-TW"/>
        </w:rPr>
        <w:lastRenderedPageBreak/>
        <w:t xml:space="preserve">Chief Justice Ma: </w:t>
      </w:r>
    </w:p>
    <w:p w:rsidR="00240D68" w:rsidRDefault="00240D68" w:rsidP="00240D68">
      <w:pPr>
        <w:pStyle w:val="Bob1"/>
        <w:numPr>
          <w:ilvl w:val="0"/>
          <w:numId w:val="1"/>
        </w:numPr>
        <w:tabs>
          <w:tab w:val="clear" w:pos="720"/>
          <w:tab w:val="left" w:pos="1440"/>
        </w:tabs>
        <w:ind w:left="0" w:firstLine="0"/>
      </w:pPr>
      <w:r>
        <w:t xml:space="preserve">I agree with the </w:t>
      </w:r>
      <w:r w:rsidR="005B6C29">
        <w:t>Re</w:t>
      </w:r>
      <w:r w:rsidR="00862E61">
        <w:t>asons for</w:t>
      </w:r>
      <w:r w:rsidR="005B6C29">
        <w:t xml:space="preserve"> J</w:t>
      </w:r>
      <w:r>
        <w:t>udgment of Mr Justice Ribeiro PJ.</w:t>
      </w:r>
    </w:p>
    <w:p w:rsidR="00DB4CBD" w:rsidRPr="007E3F96" w:rsidRDefault="00DB4CBD" w:rsidP="007E3F96">
      <w:pPr>
        <w:pStyle w:val="Bob1"/>
        <w:numPr>
          <w:ilvl w:val="0"/>
          <w:numId w:val="0"/>
        </w:numPr>
        <w:tabs>
          <w:tab w:val="left" w:pos="1440"/>
        </w:tabs>
        <w:ind w:hanging="11"/>
        <w:rPr>
          <w:b/>
        </w:rPr>
      </w:pPr>
      <w:r w:rsidRPr="007E3F96">
        <w:rPr>
          <w:b/>
        </w:rPr>
        <w:t>Mr Justice Ribeiro PJ:</w:t>
      </w:r>
    </w:p>
    <w:p w:rsidR="00EB1E61" w:rsidRDefault="00EB1E61" w:rsidP="007E3F96">
      <w:pPr>
        <w:pStyle w:val="Bob1"/>
        <w:tabs>
          <w:tab w:val="clear" w:pos="720"/>
          <w:tab w:val="left" w:pos="1440"/>
        </w:tabs>
        <w:ind w:left="0" w:firstLine="0"/>
        <w:jc w:val="both"/>
      </w:pPr>
      <w:r>
        <w:t xml:space="preserve">At the hearing, the Court </w:t>
      </w:r>
      <w:r w:rsidR="00E84FC3">
        <w:t xml:space="preserve">unanimously </w:t>
      </w:r>
      <w:r>
        <w:t>dismissed this appeal with reasons to be provided later.  My reasons are as follows.</w:t>
      </w:r>
    </w:p>
    <w:p w:rsidR="001B4F06" w:rsidRPr="0096778F" w:rsidRDefault="00FD7292" w:rsidP="007E3F96">
      <w:pPr>
        <w:pStyle w:val="Bob1"/>
        <w:tabs>
          <w:tab w:val="clear" w:pos="720"/>
          <w:tab w:val="left" w:pos="1440"/>
        </w:tabs>
        <w:ind w:left="0" w:firstLine="0"/>
        <w:jc w:val="both"/>
      </w:pPr>
      <w:r w:rsidRPr="0096778F">
        <w:t xml:space="preserve">The </w:t>
      </w:r>
      <w:r w:rsidR="00A95FF1" w:rsidRPr="0096778F">
        <w:t>immediate</w:t>
      </w:r>
      <w:r w:rsidRPr="0096778F">
        <w:t xml:space="preserve"> question raised on this appeal is whether </w:t>
      </w:r>
      <w:r w:rsidR="00BD5F68" w:rsidRPr="0096778F">
        <w:t>a police officer</w:t>
      </w:r>
      <w:r w:rsidRPr="0096778F">
        <w:t xml:space="preserve"> carrying out duties within the precincts of the Legislative Council</w:t>
      </w:r>
      <w:r w:rsidR="00BD5F68" w:rsidRPr="0096778F">
        <w:t xml:space="preserve"> </w:t>
      </w:r>
      <w:r w:rsidRPr="0096778F">
        <w:t>(“</w:t>
      </w:r>
      <w:proofErr w:type="spellStart"/>
      <w:r w:rsidRPr="007E3F96">
        <w:rPr>
          <w:u w:val="single"/>
        </w:rPr>
        <w:t>Legco</w:t>
      </w:r>
      <w:proofErr w:type="spellEnd"/>
      <w:r w:rsidRPr="0096778F">
        <w:t>”) qualif</w:t>
      </w:r>
      <w:r w:rsidR="00BD5F68" w:rsidRPr="0096778F">
        <w:t>ies</w:t>
      </w:r>
      <w:r w:rsidRPr="0096778F">
        <w:t xml:space="preserve"> as</w:t>
      </w:r>
      <w:r w:rsidR="00BD5F68" w:rsidRPr="0096778F">
        <w:t xml:space="preserve"> an “officer </w:t>
      </w:r>
      <w:r w:rsidRPr="0096778F">
        <w:t>of the Council”</w:t>
      </w:r>
      <w:r w:rsidR="00BD5F68" w:rsidRPr="0096778F">
        <w:t xml:space="preserve"> </w:t>
      </w:r>
      <w:r w:rsidRPr="0096778F">
        <w:t xml:space="preserve">so that obstructing </w:t>
      </w:r>
      <w:r w:rsidR="00BD5F68" w:rsidRPr="0096778F">
        <w:t xml:space="preserve">him in the execution of his duty </w:t>
      </w:r>
      <w:r w:rsidRPr="0096778F">
        <w:t>constitutes an offence against section 19(b) of the Legislative Council (Powers and Privilege</w:t>
      </w:r>
      <w:r w:rsidR="0006671C">
        <w:t>s</w:t>
      </w:r>
      <w:r w:rsidRPr="0096778F">
        <w:t>) Ordinance (“</w:t>
      </w:r>
      <w:r w:rsidRPr="007E3F96">
        <w:rPr>
          <w:u w:val="single"/>
        </w:rPr>
        <w:t>LC(PP)O</w:t>
      </w:r>
      <w:r w:rsidR="001B4F06" w:rsidRPr="0096778F">
        <w:t>”)</w:t>
      </w:r>
      <w:r w:rsidR="001425CC" w:rsidRPr="0096778F">
        <w:t>.</w:t>
      </w:r>
      <w:r w:rsidRPr="0096778F">
        <w:rPr>
          <w:rStyle w:val="FootnoteReference"/>
        </w:rPr>
        <w:footnoteReference w:id="1"/>
      </w:r>
      <w:r w:rsidR="001B4F06" w:rsidRPr="0096778F">
        <w:t xml:space="preserve"> </w:t>
      </w:r>
      <w:r w:rsidR="001425CC" w:rsidRPr="0096778F">
        <w:t xml:space="preserve"> That section </w:t>
      </w:r>
      <w:r w:rsidR="001B4F06" w:rsidRPr="0096778F">
        <w:t>provides:</w:t>
      </w:r>
    </w:p>
    <w:p w:rsidR="001B4F06" w:rsidRPr="0096778F" w:rsidRDefault="001B4F06" w:rsidP="007E3F96">
      <w:pPr>
        <w:pStyle w:val="Bob1"/>
        <w:numPr>
          <w:ilvl w:val="0"/>
          <w:numId w:val="0"/>
        </w:numPr>
        <w:spacing w:line="240" w:lineRule="auto"/>
        <w:ind w:left="720"/>
        <w:jc w:val="both"/>
        <w:rPr>
          <w:sz w:val="24"/>
        </w:rPr>
      </w:pPr>
      <w:r w:rsidRPr="0096778F">
        <w:rPr>
          <w:sz w:val="24"/>
        </w:rPr>
        <w:t>“Any person who ... assaults, interferes with, molests, resists or obstructs any officer of the Council while in the execution of his duty ... commits an offence and is liable to a fine of $10</w:t>
      </w:r>
      <w:r w:rsidR="00927B29">
        <w:rPr>
          <w:rFonts w:ascii="PMingLiU" w:eastAsia="PMingLiU" w:hAnsi="PMingLiU"/>
          <w:sz w:val="24"/>
          <w:lang w:eastAsia="zh-TW"/>
        </w:rPr>
        <w:t>,</w:t>
      </w:r>
      <w:r w:rsidRPr="0096778F">
        <w:rPr>
          <w:sz w:val="24"/>
        </w:rPr>
        <w:t>000 and to imprisonment for 12 months.”</w:t>
      </w:r>
    </w:p>
    <w:p w:rsidR="00FD7292" w:rsidRPr="0096778F" w:rsidRDefault="00DB4CBD" w:rsidP="007E3F96">
      <w:pPr>
        <w:pStyle w:val="Bob1"/>
        <w:tabs>
          <w:tab w:val="clear" w:pos="720"/>
          <w:tab w:val="left" w:pos="1440"/>
        </w:tabs>
        <w:ind w:left="0" w:firstLine="0"/>
        <w:jc w:val="both"/>
      </w:pPr>
      <w:r w:rsidRPr="0096778F">
        <w:t>A broader question</w:t>
      </w:r>
      <w:r w:rsidR="00FD7292" w:rsidRPr="0096778F">
        <w:t xml:space="preserve"> also arise</w:t>
      </w:r>
      <w:r w:rsidRPr="0096778F">
        <w:t>s</w:t>
      </w:r>
      <w:r w:rsidR="00FD7292" w:rsidRPr="0096778F">
        <w:t xml:space="preserve"> as to the circumstances in which police officers may lawfully enter and perform policing duties within </w:t>
      </w:r>
      <w:proofErr w:type="spellStart"/>
      <w:r w:rsidR="001B4F06" w:rsidRPr="0096778F">
        <w:t>Legco’s</w:t>
      </w:r>
      <w:proofErr w:type="spellEnd"/>
      <w:r w:rsidR="001B4F06" w:rsidRPr="0096778F">
        <w:t xml:space="preserve"> </w:t>
      </w:r>
      <w:r w:rsidR="00FD7292" w:rsidRPr="0096778F">
        <w:t>precincts.</w:t>
      </w:r>
      <w:r w:rsidR="005146A2" w:rsidRPr="0096778F">
        <w:t xml:space="preserve">  </w:t>
      </w:r>
    </w:p>
    <w:p w:rsidR="000A4D5A" w:rsidRPr="0096778F" w:rsidRDefault="000A4D5A" w:rsidP="00240D68">
      <w:pPr>
        <w:pStyle w:val="docmapheading"/>
      </w:pPr>
      <w:r w:rsidRPr="0096778F">
        <w:t>A.</w:t>
      </w:r>
      <w:r w:rsidRPr="0096778F">
        <w:tab/>
        <w:t xml:space="preserve">The events </w:t>
      </w:r>
      <w:r w:rsidR="00B113FC" w:rsidRPr="0096778F">
        <w:t xml:space="preserve">leading </w:t>
      </w:r>
      <w:r w:rsidRPr="0096778F">
        <w:t xml:space="preserve">to the </w:t>
      </w:r>
      <w:r w:rsidR="00B113FC" w:rsidRPr="0096778F">
        <w:t xml:space="preserve">present appeal </w:t>
      </w:r>
    </w:p>
    <w:p w:rsidR="000A4D5A" w:rsidRDefault="000A4D5A" w:rsidP="007E3F96">
      <w:pPr>
        <w:pStyle w:val="Bob1"/>
        <w:numPr>
          <w:ilvl w:val="0"/>
          <w:numId w:val="1"/>
        </w:numPr>
        <w:tabs>
          <w:tab w:val="clear" w:pos="720"/>
          <w:tab w:val="num" w:pos="1440"/>
        </w:tabs>
        <w:ind w:left="0" w:firstLine="0"/>
        <w:jc w:val="both"/>
        <w:rPr>
          <w:szCs w:val="28"/>
        </w:rPr>
      </w:pPr>
      <w:r w:rsidRPr="0096778F">
        <w:rPr>
          <w:szCs w:val="28"/>
        </w:rPr>
        <w:t xml:space="preserve">On 13 June 2014, </w:t>
      </w:r>
      <w:proofErr w:type="spellStart"/>
      <w:r w:rsidRPr="0096778F">
        <w:rPr>
          <w:szCs w:val="28"/>
        </w:rPr>
        <w:t>Legco’s</w:t>
      </w:r>
      <w:proofErr w:type="spellEnd"/>
      <w:r w:rsidRPr="0096778F">
        <w:rPr>
          <w:szCs w:val="28"/>
        </w:rPr>
        <w:t xml:space="preserve"> Finance Committee was in session, discussing a funding application </w:t>
      </w:r>
      <w:r w:rsidR="00B113FC" w:rsidRPr="0096778F">
        <w:rPr>
          <w:szCs w:val="28"/>
        </w:rPr>
        <w:t xml:space="preserve">relating to advanced works at </w:t>
      </w:r>
      <w:r w:rsidRPr="0096778F">
        <w:rPr>
          <w:szCs w:val="28"/>
        </w:rPr>
        <w:t>the North East New Territories</w:t>
      </w:r>
      <w:r w:rsidR="00B113FC" w:rsidRPr="0096778F">
        <w:rPr>
          <w:szCs w:val="28"/>
        </w:rPr>
        <w:t xml:space="preserve"> New Development areas</w:t>
      </w:r>
      <w:r w:rsidRPr="0096778F">
        <w:rPr>
          <w:szCs w:val="28"/>
        </w:rPr>
        <w:t xml:space="preserve">.  Persons who objected to such development were demonstrating outside the Chamber, initially at a designated demonstration area.  However, some of the protesters rushed to the entrances </w:t>
      </w:r>
      <w:r w:rsidR="000F1AB0" w:rsidRPr="0096778F">
        <w:rPr>
          <w:szCs w:val="28"/>
        </w:rPr>
        <w:t>of</w:t>
      </w:r>
      <w:r w:rsidRPr="0096778F">
        <w:rPr>
          <w:szCs w:val="28"/>
        </w:rPr>
        <w:t xml:space="preserve"> the </w:t>
      </w:r>
      <w:proofErr w:type="spellStart"/>
      <w:r w:rsidRPr="0096778F">
        <w:rPr>
          <w:szCs w:val="28"/>
        </w:rPr>
        <w:t>Legco</w:t>
      </w:r>
      <w:proofErr w:type="spellEnd"/>
      <w:r w:rsidRPr="0096778F">
        <w:rPr>
          <w:szCs w:val="28"/>
        </w:rPr>
        <w:t xml:space="preserve"> </w:t>
      </w:r>
      <w:r w:rsidR="00211ED6">
        <w:rPr>
          <w:szCs w:val="28"/>
        </w:rPr>
        <w:t>building</w:t>
      </w:r>
      <w:r w:rsidRPr="0096778F">
        <w:rPr>
          <w:szCs w:val="28"/>
        </w:rPr>
        <w:t xml:space="preserve"> with a view to gaining entry through glass doors which had </w:t>
      </w:r>
      <w:r w:rsidRPr="0096778F">
        <w:rPr>
          <w:szCs w:val="28"/>
        </w:rPr>
        <w:lastRenderedPageBreak/>
        <w:t xml:space="preserve">been locked and which were barred by </w:t>
      </w:r>
      <w:r w:rsidR="00217BBC" w:rsidRPr="0096778F">
        <w:rPr>
          <w:szCs w:val="28"/>
        </w:rPr>
        <w:t xml:space="preserve">metal </w:t>
      </w:r>
      <w:r w:rsidRPr="0096778F">
        <w:rPr>
          <w:szCs w:val="28"/>
        </w:rPr>
        <w:t>Mills barriers</w:t>
      </w:r>
      <w:r w:rsidR="000F1AB0" w:rsidRPr="0096778F">
        <w:rPr>
          <w:szCs w:val="28"/>
        </w:rPr>
        <w:t xml:space="preserve"> </w:t>
      </w:r>
      <w:r w:rsidR="00132C4B" w:rsidRPr="0096778F">
        <w:rPr>
          <w:szCs w:val="28"/>
        </w:rPr>
        <w:t xml:space="preserve">set up </w:t>
      </w:r>
      <w:r w:rsidR="000F1AB0" w:rsidRPr="0096778F">
        <w:rPr>
          <w:szCs w:val="28"/>
        </w:rPr>
        <w:t>in front of those doors</w:t>
      </w:r>
      <w:r w:rsidRPr="0096778F">
        <w:rPr>
          <w:szCs w:val="28"/>
        </w:rPr>
        <w:t xml:space="preserve">.  </w:t>
      </w:r>
    </w:p>
    <w:p w:rsidR="000A4D5A" w:rsidRDefault="000A4D5A" w:rsidP="007E3F96">
      <w:pPr>
        <w:pStyle w:val="Bob1"/>
        <w:numPr>
          <w:ilvl w:val="0"/>
          <w:numId w:val="1"/>
        </w:numPr>
        <w:tabs>
          <w:tab w:val="clear" w:pos="720"/>
          <w:tab w:val="num" w:pos="1440"/>
        </w:tabs>
        <w:ind w:left="0" w:firstLine="0"/>
        <w:jc w:val="both"/>
        <w:rPr>
          <w:szCs w:val="28"/>
        </w:rPr>
      </w:pPr>
      <w:r w:rsidRPr="007E3F96">
        <w:rPr>
          <w:szCs w:val="28"/>
        </w:rPr>
        <w:t>As the protesters started removing the Mills barriers,</w:t>
      </w:r>
      <w:r w:rsidR="000A7D61" w:rsidRPr="007E3F96">
        <w:rPr>
          <w:szCs w:val="28"/>
        </w:rPr>
        <w:t xml:space="preserve"> ignoring </w:t>
      </w:r>
      <w:r w:rsidR="00A95FF1" w:rsidRPr="007E3F96">
        <w:rPr>
          <w:szCs w:val="28"/>
        </w:rPr>
        <w:t xml:space="preserve">the </w:t>
      </w:r>
      <w:r w:rsidR="000A7D61" w:rsidRPr="007E3F96">
        <w:rPr>
          <w:szCs w:val="28"/>
        </w:rPr>
        <w:t xml:space="preserve">warnings </w:t>
      </w:r>
      <w:r w:rsidR="00A95FF1" w:rsidRPr="007E3F96">
        <w:rPr>
          <w:szCs w:val="28"/>
        </w:rPr>
        <w:t xml:space="preserve">of </w:t>
      </w:r>
      <w:proofErr w:type="spellStart"/>
      <w:r w:rsidR="000A7D61" w:rsidRPr="007E3F96">
        <w:rPr>
          <w:szCs w:val="28"/>
        </w:rPr>
        <w:t>Legco</w:t>
      </w:r>
      <w:proofErr w:type="spellEnd"/>
      <w:r w:rsidR="000A7D61" w:rsidRPr="007E3F96">
        <w:rPr>
          <w:szCs w:val="28"/>
        </w:rPr>
        <w:t xml:space="preserve"> security staff</w:t>
      </w:r>
      <w:r w:rsidR="00A95FF1" w:rsidRPr="007E3F96">
        <w:rPr>
          <w:szCs w:val="28"/>
        </w:rPr>
        <w:t xml:space="preserve"> against doing so</w:t>
      </w:r>
      <w:r w:rsidR="000A7D61" w:rsidRPr="007E3F96">
        <w:rPr>
          <w:szCs w:val="28"/>
        </w:rPr>
        <w:t>,</w:t>
      </w:r>
      <w:r w:rsidRPr="007E3F96">
        <w:rPr>
          <w:szCs w:val="28"/>
        </w:rPr>
        <w:t xml:space="preserve"> the Chief Security Officer of </w:t>
      </w:r>
      <w:proofErr w:type="spellStart"/>
      <w:r w:rsidRPr="007E3F96">
        <w:rPr>
          <w:szCs w:val="28"/>
        </w:rPr>
        <w:t>Legco</w:t>
      </w:r>
      <w:proofErr w:type="spellEnd"/>
      <w:r w:rsidRPr="007E3F96">
        <w:rPr>
          <w:szCs w:val="28"/>
        </w:rPr>
        <w:t xml:space="preserve"> became concerned about </w:t>
      </w:r>
      <w:r w:rsidR="00E32ECE" w:rsidRPr="007E3F96">
        <w:rPr>
          <w:szCs w:val="28"/>
        </w:rPr>
        <w:t xml:space="preserve">the </w:t>
      </w:r>
      <w:r w:rsidRPr="007E3F96">
        <w:rPr>
          <w:szCs w:val="28"/>
        </w:rPr>
        <w:t>developing disorder and sought instructions from Mr Jasper Tsang Yok-sing (“</w:t>
      </w:r>
      <w:r w:rsidRPr="007E3F96">
        <w:rPr>
          <w:szCs w:val="28"/>
          <w:u w:val="single"/>
        </w:rPr>
        <w:t>Mr Tsang</w:t>
      </w:r>
      <w:r w:rsidR="0006671C">
        <w:rPr>
          <w:szCs w:val="28"/>
        </w:rPr>
        <w:t xml:space="preserve">”), who was </w:t>
      </w:r>
      <w:r w:rsidR="00240D68">
        <w:rPr>
          <w:szCs w:val="28"/>
        </w:rPr>
        <w:t>the P</w:t>
      </w:r>
      <w:r w:rsidR="0006671C">
        <w:rPr>
          <w:szCs w:val="28"/>
        </w:rPr>
        <w:t>resident</w:t>
      </w:r>
      <w:r w:rsidRPr="007E3F96">
        <w:rPr>
          <w:szCs w:val="28"/>
        </w:rPr>
        <w:t xml:space="preserve"> of </w:t>
      </w:r>
      <w:proofErr w:type="spellStart"/>
      <w:r w:rsidRPr="007E3F96">
        <w:rPr>
          <w:szCs w:val="28"/>
        </w:rPr>
        <w:t>Legco</w:t>
      </w:r>
      <w:proofErr w:type="spellEnd"/>
      <w:r w:rsidRPr="007E3F96">
        <w:rPr>
          <w:szCs w:val="28"/>
        </w:rPr>
        <w:t xml:space="preserve"> and concurrently Chairman of the Legislative Council Commission (“</w:t>
      </w:r>
      <w:r w:rsidRPr="007E3F96">
        <w:rPr>
          <w:szCs w:val="28"/>
          <w:u w:val="single"/>
        </w:rPr>
        <w:t>LCC</w:t>
      </w:r>
      <w:r w:rsidRPr="007E3F96">
        <w:rPr>
          <w:szCs w:val="28"/>
        </w:rPr>
        <w:t>”).  Mr Tsang testified that he regarded issues of security and order as falling within the management of the LCC of which he was Chairman; that he</w:t>
      </w:r>
      <w:r w:rsidR="001F59D9" w:rsidRPr="007E3F96">
        <w:rPr>
          <w:szCs w:val="28"/>
        </w:rPr>
        <w:t xml:space="preserve"> believed</w:t>
      </w:r>
      <w:r w:rsidRPr="007E3F96">
        <w:rPr>
          <w:szCs w:val="28"/>
        </w:rPr>
        <w:t xml:space="preserve"> </w:t>
      </w:r>
      <w:r w:rsidR="000F1AB0" w:rsidRPr="007E3F96">
        <w:rPr>
          <w:szCs w:val="28"/>
        </w:rPr>
        <w:t xml:space="preserve">that dealing with </w:t>
      </w:r>
      <w:r w:rsidRPr="007E3F96">
        <w:rPr>
          <w:szCs w:val="28"/>
        </w:rPr>
        <w:t xml:space="preserve">the developing security and crowd control problems </w:t>
      </w:r>
      <w:r w:rsidR="000F1AB0" w:rsidRPr="007E3F96">
        <w:rPr>
          <w:szCs w:val="28"/>
        </w:rPr>
        <w:t xml:space="preserve">was beyond </w:t>
      </w:r>
      <w:r w:rsidRPr="007E3F96">
        <w:rPr>
          <w:szCs w:val="28"/>
        </w:rPr>
        <w:t xml:space="preserve">the capacity of </w:t>
      </w:r>
      <w:proofErr w:type="spellStart"/>
      <w:r w:rsidRPr="007E3F96">
        <w:rPr>
          <w:szCs w:val="28"/>
        </w:rPr>
        <w:t>Legco’s</w:t>
      </w:r>
      <w:proofErr w:type="spellEnd"/>
      <w:r w:rsidRPr="007E3F96">
        <w:rPr>
          <w:szCs w:val="28"/>
        </w:rPr>
        <w:t xml:space="preserve"> security personnel and that he, with the agreement of other members of the Commission, decided to seek assistance from the police who entered the lobby </w:t>
      </w:r>
      <w:r w:rsidR="000A7D61" w:rsidRPr="007E3F96">
        <w:rPr>
          <w:szCs w:val="28"/>
        </w:rPr>
        <w:t xml:space="preserve">to stand by </w:t>
      </w:r>
      <w:r w:rsidRPr="007E3F96">
        <w:rPr>
          <w:szCs w:val="28"/>
        </w:rPr>
        <w:t xml:space="preserve">at his request.  </w:t>
      </w:r>
    </w:p>
    <w:p w:rsidR="000A4D5A" w:rsidRDefault="000F1AB0" w:rsidP="007E3F96">
      <w:pPr>
        <w:pStyle w:val="Bob1"/>
        <w:numPr>
          <w:ilvl w:val="0"/>
          <w:numId w:val="1"/>
        </w:numPr>
        <w:tabs>
          <w:tab w:val="clear" w:pos="720"/>
          <w:tab w:val="num" w:pos="1440"/>
        </w:tabs>
        <w:ind w:left="0" w:firstLine="0"/>
        <w:jc w:val="both"/>
        <w:rPr>
          <w:szCs w:val="28"/>
        </w:rPr>
      </w:pPr>
      <w:r w:rsidRPr="007E3F96">
        <w:rPr>
          <w:szCs w:val="28"/>
        </w:rPr>
        <w:t>U</w:t>
      </w:r>
      <w:r w:rsidR="000A4D5A" w:rsidRPr="007E3F96">
        <w:rPr>
          <w:szCs w:val="28"/>
        </w:rPr>
        <w:t>sing bamboo poles</w:t>
      </w:r>
      <w:r w:rsidR="001425CC" w:rsidRPr="007E3F96">
        <w:rPr>
          <w:szCs w:val="28"/>
        </w:rPr>
        <w:t>, metal bars</w:t>
      </w:r>
      <w:r w:rsidR="000A4D5A" w:rsidRPr="007E3F96">
        <w:rPr>
          <w:szCs w:val="28"/>
        </w:rPr>
        <w:t xml:space="preserve"> and the Mills barriers, wielded with considerable violence, </w:t>
      </w:r>
      <w:r w:rsidRPr="007E3F96">
        <w:rPr>
          <w:szCs w:val="28"/>
        </w:rPr>
        <w:t xml:space="preserve">the protesters </w:t>
      </w:r>
      <w:r w:rsidR="000A4D5A" w:rsidRPr="007E3F96">
        <w:rPr>
          <w:szCs w:val="28"/>
        </w:rPr>
        <w:t xml:space="preserve">attempted to force their way into the </w:t>
      </w:r>
      <w:proofErr w:type="spellStart"/>
      <w:r w:rsidR="000A4D5A" w:rsidRPr="007E3F96">
        <w:rPr>
          <w:szCs w:val="28"/>
        </w:rPr>
        <w:t>Legco</w:t>
      </w:r>
      <w:proofErr w:type="spellEnd"/>
      <w:r w:rsidR="000A4D5A" w:rsidRPr="007E3F96">
        <w:rPr>
          <w:szCs w:val="28"/>
        </w:rPr>
        <w:t xml:space="preserve"> complex by prising open or battering in the glass doors.  </w:t>
      </w:r>
      <w:r w:rsidR="00A95FF1" w:rsidRPr="007E3F96">
        <w:rPr>
          <w:szCs w:val="28"/>
        </w:rPr>
        <w:t xml:space="preserve">Their actions lasted nearly half an hour.  </w:t>
      </w:r>
      <w:r w:rsidR="000A4D5A" w:rsidRPr="007E3F96">
        <w:rPr>
          <w:szCs w:val="28"/>
        </w:rPr>
        <w:t xml:space="preserve">A </w:t>
      </w:r>
      <w:proofErr w:type="spellStart"/>
      <w:r w:rsidR="000A4D5A" w:rsidRPr="007E3F96">
        <w:rPr>
          <w:szCs w:val="28"/>
        </w:rPr>
        <w:t>Legco</w:t>
      </w:r>
      <w:proofErr w:type="spellEnd"/>
      <w:r w:rsidR="000A4D5A" w:rsidRPr="007E3F96">
        <w:rPr>
          <w:szCs w:val="28"/>
        </w:rPr>
        <w:t xml:space="preserve"> security officer was inj</w:t>
      </w:r>
      <w:r w:rsidR="00433F6B" w:rsidRPr="007E3F96">
        <w:rPr>
          <w:szCs w:val="28"/>
        </w:rPr>
        <w:t>ured, sustaining fractured toes</w:t>
      </w:r>
      <w:r w:rsidR="000A4D5A" w:rsidRPr="007E3F96">
        <w:rPr>
          <w:szCs w:val="28"/>
        </w:rPr>
        <w:t xml:space="preserve"> caused by a falling Mills barrier.  Damage costing </w:t>
      </w:r>
      <w:r w:rsidR="007419A0" w:rsidRPr="007E3F96">
        <w:rPr>
          <w:szCs w:val="28"/>
        </w:rPr>
        <w:t xml:space="preserve">some </w:t>
      </w:r>
      <w:r w:rsidR="000A4D5A" w:rsidRPr="007E3F96">
        <w:rPr>
          <w:szCs w:val="28"/>
        </w:rPr>
        <w:t>$200,000 was occasioned to property at the entrances</w:t>
      </w:r>
      <w:r w:rsidR="00211ED6" w:rsidRPr="007E3F96">
        <w:rPr>
          <w:szCs w:val="28"/>
        </w:rPr>
        <w:t xml:space="preserve"> assaulted</w:t>
      </w:r>
      <w:r w:rsidR="000A4D5A" w:rsidRPr="007E3F96">
        <w:rPr>
          <w:szCs w:val="28"/>
        </w:rPr>
        <w:t>.</w:t>
      </w:r>
    </w:p>
    <w:p w:rsidR="000A4D5A" w:rsidRDefault="000F1AB0" w:rsidP="007E3F96">
      <w:pPr>
        <w:pStyle w:val="Bob1"/>
        <w:numPr>
          <w:ilvl w:val="0"/>
          <w:numId w:val="1"/>
        </w:numPr>
        <w:tabs>
          <w:tab w:val="clear" w:pos="720"/>
          <w:tab w:val="num" w:pos="1440"/>
        </w:tabs>
        <w:ind w:left="0" w:firstLine="0"/>
        <w:jc w:val="both"/>
        <w:rPr>
          <w:szCs w:val="28"/>
        </w:rPr>
      </w:pPr>
      <w:r w:rsidRPr="007E3F96">
        <w:rPr>
          <w:szCs w:val="28"/>
        </w:rPr>
        <w:t xml:space="preserve">The appellant and one Wong </w:t>
      </w:r>
      <w:proofErr w:type="spellStart"/>
      <w:r w:rsidRPr="007E3F96">
        <w:rPr>
          <w:szCs w:val="28"/>
        </w:rPr>
        <w:t>Ho</w:t>
      </w:r>
      <w:proofErr w:type="spellEnd"/>
      <w:r w:rsidRPr="007E3F96">
        <w:rPr>
          <w:szCs w:val="28"/>
        </w:rPr>
        <w:t xml:space="preserve"> Ming (amongst others) participated in this violent behaviour.  And w</w:t>
      </w:r>
      <w:r w:rsidR="000A4D5A" w:rsidRPr="007E3F96">
        <w:rPr>
          <w:szCs w:val="28"/>
        </w:rPr>
        <w:t xml:space="preserve">hen the police attempted to form a cordon to disperse the protesters from the front entrance, </w:t>
      </w:r>
      <w:r w:rsidRPr="007E3F96">
        <w:rPr>
          <w:szCs w:val="28"/>
        </w:rPr>
        <w:t xml:space="preserve">the appellant </w:t>
      </w:r>
      <w:r w:rsidR="000A4D5A" w:rsidRPr="007E3F96">
        <w:rPr>
          <w:szCs w:val="28"/>
        </w:rPr>
        <w:t>“vigorously shoved the police officers forming the line”.</w:t>
      </w:r>
      <w:r w:rsidR="0006671C">
        <w:rPr>
          <w:rStyle w:val="FootnoteReference"/>
          <w:szCs w:val="28"/>
        </w:rPr>
        <w:footnoteReference w:id="2"/>
      </w:r>
      <w:r w:rsidR="000A4D5A" w:rsidRPr="007E3F96">
        <w:rPr>
          <w:szCs w:val="28"/>
        </w:rPr>
        <w:t xml:space="preserve">  </w:t>
      </w:r>
    </w:p>
    <w:p w:rsidR="00CE23FD" w:rsidRDefault="000F1AB0" w:rsidP="007E3F96">
      <w:pPr>
        <w:pStyle w:val="Bob1"/>
        <w:numPr>
          <w:ilvl w:val="0"/>
          <w:numId w:val="1"/>
        </w:numPr>
        <w:tabs>
          <w:tab w:val="clear" w:pos="720"/>
          <w:tab w:val="num" w:pos="1440"/>
        </w:tabs>
        <w:ind w:left="0" w:firstLine="0"/>
        <w:jc w:val="both"/>
        <w:rPr>
          <w:szCs w:val="28"/>
        </w:rPr>
      </w:pPr>
      <w:r w:rsidRPr="007E3F96">
        <w:rPr>
          <w:szCs w:val="28"/>
        </w:rPr>
        <w:lastRenderedPageBreak/>
        <w:t xml:space="preserve">Both the appellant and Wong </w:t>
      </w:r>
      <w:proofErr w:type="spellStart"/>
      <w:r w:rsidRPr="007E3F96">
        <w:rPr>
          <w:szCs w:val="28"/>
        </w:rPr>
        <w:t>Ho</w:t>
      </w:r>
      <w:proofErr w:type="spellEnd"/>
      <w:r w:rsidRPr="007E3F96">
        <w:rPr>
          <w:szCs w:val="28"/>
        </w:rPr>
        <w:t xml:space="preserve"> Ming were </w:t>
      </w:r>
      <w:r w:rsidR="000A4D5A" w:rsidRPr="007E3F96">
        <w:rPr>
          <w:szCs w:val="28"/>
        </w:rPr>
        <w:t>convicted of unlawful assembly contrary to sect</w:t>
      </w:r>
      <w:r w:rsidR="0006671C">
        <w:rPr>
          <w:szCs w:val="28"/>
        </w:rPr>
        <w:t>ion 18(3</w:t>
      </w:r>
      <w:r w:rsidR="000A4D5A" w:rsidRPr="007E3F96">
        <w:rPr>
          <w:szCs w:val="28"/>
        </w:rPr>
        <w:t>) of the Public Ord</w:t>
      </w:r>
      <w:r w:rsidR="00433F6B" w:rsidRPr="007E3F96">
        <w:rPr>
          <w:szCs w:val="28"/>
        </w:rPr>
        <w:t>er</w:t>
      </w:r>
      <w:r w:rsidR="000A4D5A" w:rsidRPr="007E3F96">
        <w:rPr>
          <w:szCs w:val="28"/>
        </w:rPr>
        <w:t xml:space="preserve"> Ordinance.</w:t>
      </w:r>
      <w:r w:rsidR="000A4D5A" w:rsidRPr="0096778F">
        <w:rPr>
          <w:rStyle w:val="FootnoteReference"/>
          <w:szCs w:val="28"/>
        </w:rPr>
        <w:footnoteReference w:id="3"/>
      </w:r>
      <w:r w:rsidRPr="007E3F96">
        <w:rPr>
          <w:szCs w:val="28"/>
        </w:rPr>
        <w:t xml:space="preserve">  Additionally, because of his </w:t>
      </w:r>
      <w:r w:rsidR="00217BBC" w:rsidRPr="007E3F96">
        <w:rPr>
          <w:szCs w:val="28"/>
        </w:rPr>
        <w:t xml:space="preserve">actions against </w:t>
      </w:r>
      <w:r w:rsidRPr="007E3F96">
        <w:rPr>
          <w:szCs w:val="28"/>
        </w:rPr>
        <w:t>the officers</w:t>
      </w:r>
      <w:r w:rsidR="00433F6B" w:rsidRPr="007E3F96">
        <w:rPr>
          <w:szCs w:val="28"/>
        </w:rPr>
        <w:t xml:space="preserve"> forming the police cordon</w:t>
      </w:r>
      <w:r w:rsidRPr="007E3F96">
        <w:rPr>
          <w:szCs w:val="28"/>
        </w:rPr>
        <w:t>, the appellant was convicted</w:t>
      </w:r>
      <w:r w:rsidR="00355782" w:rsidRPr="0096778F">
        <w:rPr>
          <w:rStyle w:val="FootnoteReference"/>
          <w:szCs w:val="28"/>
        </w:rPr>
        <w:footnoteReference w:id="4"/>
      </w:r>
      <w:r w:rsidRPr="007E3F96">
        <w:rPr>
          <w:szCs w:val="28"/>
        </w:rPr>
        <w:t xml:space="preserve"> of </w:t>
      </w:r>
      <w:r w:rsidR="000A4D5A" w:rsidRPr="007E3F96">
        <w:rPr>
          <w:szCs w:val="28"/>
        </w:rPr>
        <w:t>obstructing an officer of the Council while in the execution of his duty contrary to section 19(b) of the LC(PP)O</w:t>
      </w:r>
      <w:r w:rsidR="00CE23FD" w:rsidRPr="007E3F96">
        <w:rPr>
          <w:szCs w:val="28"/>
        </w:rPr>
        <w:t xml:space="preserve">, the officer in question being </w:t>
      </w:r>
      <w:r w:rsidR="00433F6B" w:rsidRPr="007E3F96">
        <w:rPr>
          <w:szCs w:val="28"/>
        </w:rPr>
        <w:t xml:space="preserve">named </w:t>
      </w:r>
      <w:r w:rsidR="00CE23FD" w:rsidRPr="007E3F96">
        <w:rPr>
          <w:szCs w:val="28"/>
        </w:rPr>
        <w:t>as Inspector of Police Kwok Chun-kit</w:t>
      </w:r>
      <w:r w:rsidR="007771BF" w:rsidRPr="007E3F96">
        <w:rPr>
          <w:szCs w:val="28"/>
        </w:rPr>
        <w:t xml:space="preserve"> (“</w:t>
      </w:r>
      <w:r w:rsidR="007771BF" w:rsidRPr="007E3F96">
        <w:rPr>
          <w:szCs w:val="28"/>
          <w:u w:val="single"/>
        </w:rPr>
        <w:t>Inspector Kwok</w:t>
      </w:r>
      <w:r w:rsidR="007771BF" w:rsidRPr="007E3F96">
        <w:rPr>
          <w:szCs w:val="28"/>
        </w:rPr>
        <w:t>”)</w:t>
      </w:r>
      <w:r w:rsidRPr="007E3F96">
        <w:rPr>
          <w:szCs w:val="28"/>
        </w:rPr>
        <w:t xml:space="preserve">.  </w:t>
      </w:r>
    </w:p>
    <w:p w:rsidR="000A4D5A" w:rsidRPr="007E3F96" w:rsidRDefault="007771BF" w:rsidP="007E3F96">
      <w:pPr>
        <w:pStyle w:val="Bob1"/>
        <w:numPr>
          <w:ilvl w:val="0"/>
          <w:numId w:val="1"/>
        </w:numPr>
        <w:tabs>
          <w:tab w:val="clear" w:pos="720"/>
          <w:tab w:val="num" w:pos="1440"/>
        </w:tabs>
        <w:ind w:left="0" w:firstLine="0"/>
        <w:jc w:val="both"/>
        <w:rPr>
          <w:szCs w:val="28"/>
        </w:rPr>
      </w:pPr>
      <w:r w:rsidRPr="007E3F96">
        <w:rPr>
          <w:szCs w:val="28"/>
        </w:rPr>
        <w:t xml:space="preserve">LC(PP)O section </w:t>
      </w:r>
      <w:r w:rsidR="00240D68">
        <w:rPr>
          <w:szCs w:val="28"/>
        </w:rPr>
        <w:t>2(1)</w:t>
      </w:r>
      <w:r w:rsidRPr="007E3F96">
        <w:rPr>
          <w:szCs w:val="28"/>
        </w:rPr>
        <w:t xml:space="preserve"> provides that</w:t>
      </w:r>
      <w:r w:rsidR="001425CC" w:rsidRPr="007E3F96">
        <w:rPr>
          <w:szCs w:val="28"/>
        </w:rPr>
        <w:t xml:space="preserve"> </w:t>
      </w:r>
      <w:r w:rsidR="00433F6B" w:rsidRPr="007E3F96">
        <w:rPr>
          <w:szCs w:val="28"/>
        </w:rPr>
        <w:t xml:space="preserve">the phrase </w:t>
      </w:r>
      <w:r w:rsidR="000F1AB0" w:rsidRPr="007E3F96">
        <w:rPr>
          <w:szCs w:val="28"/>
        </w:rPr>
        <w:t>“officer of the Council”</w:t>
      </w:r>
      <w:r w:rsidRPr="007E3F96">
        <w:rPr>
          <w:szCs w:val="28"/>
        </w:rPr>
        <w:t>:</w:t>
      </w:r>
    </w:p>
    <w:p w:rsidR="000A4D5A" w:rsidRPr="0096778F" w:rsidRDefault="000A4D5A" w:rsidP="007E3F96">
      <w:pPr>
        <w:pStyle w:val="Bob1"/>
        <w:numPr>
          <w:ilvl w:val="0"/>
          <w:numId w:val="0"/>
        </w:numPr>
        <w:spacing w:line="240" w:lineRule="auto"/>
        <w:ind w:left="720"/>
        <w:jc w:val="both"/>
        <w:rPr>
          <w:sz w:val="24"/>
          <w:szCs w:val="28"/>
        </w:rPr>
      </w:pPr>
      <w:r w:rsidRPr="0096778F">
        <w:rPr>
          <w:sz w:val="24"/>
          <w:szCs w:val="28"/>
        </w:rPr>
        <w:t>“</w:t>
      </w:r>
      <w:r w:rsidR="007771BF" w:rsidRPr="0096778F">
        <w:rPr>
          <w:sz w:val="24"/>
          <w:szCs w:val="28"/>
        </w:rPr>
        <w:t xml:space="preserve">... means </w:t>
      </w:r>
      <w:r w:rsidRPr="0096778F">
        <w:rPr>
          <w:sz w:val="24"/>
          <w:szCs w:val="28"/>
        </w:rPr>
        <w:t>the Clerk or any other officer or person acting within the precincts of the Chamber under t</w:t>
      </w:r>
      <w:r w:rsidR="007771BF" w:rsidRPr="0096778F">
        <w:rPr>
          <w:sz w:val="24"/>
          <w:szCs w:val="28"/>
        </w:rPr>
        <w:t xml:space="preserve">he orders of the President and includes </w:t>
      </w:r>
      <w:r w:rsidRPr="0096778F">
        <w:rPr>
          <w:sz w:val="24"/>
          <w:szCs w:val="28"/>
        </w:rPr>
        <w:t>any police officer on duty within the precincts of the Chamber.”</w:t>
      </w:r>
    </w:p>
    <w:p w:rsidR="003D42D0" w:rsidRDefault="003D42D0" w:rsidP="007E3F96">
      <w:pPr>
        <w:pStyle w:val="Bob1"/>
        <w:tabs>
          <w:tab w:val="clear" w:pos="720"/>
          <w:tab w:val="left" w:pos="1440"/>
        </w:tabs>
        <w:ind w:left="0" w:firstLine="0"/>
        <w:jc w:val="both"/>
      </w:pPr>
      <w:r>
        <w:t xml:space="preserve">On </w:t>
      </w:r>
      <w:r w:rsidRPr="003D42D0">
        <w:t xml:space="preserve">any day the Council or a committee is sitting </w:t>
      </w:r>
      <w:r w:rsidR="00DD3598">
        <w:t>(as was the case on </w:t>
      </w:r>
      <w:r>
        <w:t>13 June 2014), t</w:t>
      </w:r>
      <w:r w:rsidRPr="003D42D0">
        <w:t>he “precincts of the Chamber”</w:t>
      </w:r>
      <w:r>
        <w:t xml:space="preserve"> are relevantly defined to mean,</w:t>
      </w:r>
      <w:r w:rsidRPr="003D42D0">
        <w:t xml:space="preserve"> “the entire building in which the Chamber is situated and any forecourt, yard, garden, enclosure or open space adjoining or appertaining to such building and used or provided for the purposes of the Council”.</w:t>
      </w:r>
      <w:r w:rsidR="00240D68">
        <w:rPr>
          <w:rStyle w:val="FootnoteReference"/>
        </w:rPr>
        <w:footnoteReference w:id="5"/>
      </w:r>
    </w:p>
    <w:p w:rsidR="00914427" w:rsidRPr="0096778F" w:rsidRDefault="00F70E4D" w:rsidP="007E3F96">
      <w:pPr>
        <w:pStyle w:val="Bob1"/>
        <w:tabs>
          <w:tab w:val="clear" w:pos="720"/>
          <w:tab w:val="left" w:pos="1440"/>
        </w:tabs>
        <w:ind w:left="0" w:firstLine="0"/>
        <w:jc w:val="both"/>
      </w:pPr>
      <w:r w:rsidRPr="0096778F">
        <w:t xml:space="preserve">The applications by the appellant and Wong </w:t>
      </w:r>
      <w:proofErr w:type="spellStart"/>
      <w:r w:rsidRPr="0096778F">
        <w:t>Ho</w:t>
      </w:r>
      <w:proofErr w:type="spellEnd"/>
      <w:r w:rsidRPr="0096778F">
        <w:t xml:space="preserve"> Ming for leave to appeal to this Court against their convictions for unlawful assembly were dismissed.</w:t>
      </w:r>
      <w:r w:rsidRPr="0096778F">
        <w:rPr>
          <w:rStyle w:val="FootnoteReference"/>
        </w:rPr>
        <w:footnoteReference w:id="6"/>
      </w:r>
      <w:r w:rsidRPr="0096778F">
        <w:t xml:space="preserve">  However, the appellant was granted leave </w:t>
      </w:r>
      <w:r w:rsidR="007419A0" w:rsidRPr="0096778F">
        <w:t>to appeal against his conviction under section 19(b),</w:t>
      </w:r>
      <w:r w:rsidRPr="0096778F">
        <w:t xml:space="preserve"> the following questions of law</w:t>
      </w:r>
      <w:r w:rsidR="007419A0" w:rsidRPr="0096778F">
        <w:t xml:space="preserve"> being certified</w:t>
      </w:r>
      <w:r w:rsidRPr="0096778F">
        <w:t>, namely:</w:t>
      </w:r>
    </w:p>
    <w:p w:rsidR="00F70E4D" w:rsidRPr="0096778F" w:rsidRDefault="00F70E4D" w:rsidP="007E3F96">
      <w:pPr>
        <w:pStyle w:val="Bob1"/>
        <w:numPr>
          <w:ilvl w:val="0"/>
          <w:numId w:val="0"/>
        </w:numPr>
        <w:spacing w:line="240" w:lineRule="auto"/>
        <w:ind w:left="630" w:firstLine="90"/>
        <w:jc w:val="both"/>
        <w:rPr>
          <w:sz w:val="24"/>
        </w:rPr>
      </w:pPr>
      <w:r w:rsidRPr="0096778F">
        <w:rPr>
          <w:i/>
          <w:sz w:val="24"/>
        </w:rPr>
        <w:lastRenderedPageBreak/>
        <w:t>Question 1</w:t>
      </w:r>
      <w:r w:rsidRPr="0096778F">
        <w:rPr>
          <w:sz w:val="24"/>
        </w:rPr>
        <w:t>: Do police officers entering the “precincts of the Chamber” as defined in s 2 of LC(PP)O to deal with issues arising under s 8(3) LC(PP)O, require an authority given under s 8(2) or (3) LC(PP)O?</w:t>
      </w:r>
    </w:p>
    <w:p w:rsidR="00F70E4D" w:rsidRPr="0096778F" w:rsidRDefault="00F70E4D" w:rsidP="007E3F96">
      <w:pPr>
        <w:pStyle w:val="Bob1"/>
        <w:numPr>
          <w:ilvl w:val="0"/>
          <w:numId w:val="0"/>
        </w:numPr>
        <w:spacing w:line="240" w:lineRule="auto"/>
        <w:ind w:left="630" w:firstLine="90"/>
        <w:jc w:val="both"/>
        <w:rPr>
          <w:sz w:val="24"/>
        </w:rPr>
      </w:pPr>
      <w:r w:rsidRPr="0096778F">
        <w:rPr>
          <w:i/>
          <w:sz w:val="24"/>
        </w:rPr>
        <w:t>Question 2</w:t>
      </w:r>
      <w:r w:rsidRPr="0096778F">
        <w:rPr>
          <w:sz w:val="24"/>
        </w:rPr>
        <w:t>: When a police officer enters the precincts of the Chamber as defined in [s 2 LC(PP)O] but without an authority under s 8(2) or (3) LC(PP)O, is that police officer “on duty within the precincts of the Chamber” and so an “officer of the Council” within the meaning of s 2 LC(PP)O?</w:t>
      </w:r>
    </w:p>
    <w:p w:rsidR="007771BF" w:rsidRPr="0096778F" w:rsidRDefault="007771BF" w:rsidP="00240D68">
      <w:pPr>
        <w:pStyle w:val="docmapheading"/>
      </w:pPr>
      <w:r w:rsidRPr="0096778F">
        <w:t>B.</w:t>
      </w:r>
      <w:r w:rsidRPr="0096778F">
        <w:tab/>
        <w:t>The appellant’s case</w:t>
      </w:r>
    </w:p>
    <w:p w:rsidR="00672BDD" w:rsidRPr="0096778F" w:rsidRDefault="007771BF" w:rsidP="007E3F96">
      <w:pPr>
        <w:pStyle w:val="Bob1"/>
        <w:tabs>
          <w:tab w:val="clear" w:pos="720"/>
          <w:tab w:val="left" w:pos="1440"/>
        </w:tabs>
        <w:ind w:left="0" w:firstLine="0"/>
        <w:jc w:val="both"/>
      </w:pPr>
      <w:r w:rsidRPr="0096778F">
        <w:t xml:space="preserve">The appellant seeks to challenge his conviction on two main grounds.  </w:t>
      </w:r>
      <w:r w:rsidR="007419A0" w:rsidRPr="0096778F">
        <w:t>H</w:t>
      </w:r>
      <w:r w:rsidRPr="0096778F">
        <w:t xml:space="preserve">e contends </w:t>
      </w:r>
      <w:r w:rsidR="00696D35" w:rsidRPr="0096778F">
        <w:t>(</w:t>
      </w:r>
      <w:proofErr w:type="spellStart"/>
      <w:r w:rsidR="00696D35" w:rsidRPr="0096778F">
        <w:t>i</w:t>
      </w:r>
      <w:proofErr w:type="spellEnd"/>
      <w:r w:rsidR="00696D35" w:rsidRPr="0096778F">
        <w:t xml:space="preserve">) </w:t>
      </w:r>
      <w:r w:rsidRPr="0096778F">
        <w:t>that Inspector Kwok was not an officer of the Council</w:t>
      </w:r>
      <w:r w:rsidR="00BF7BA2" w:rsidRPr="0096778F">
        <w:t xml:space="preserve"> within the meaning of </w:t>
      </w:r>
      <w:r w:rsidR="00696D35" w:rsidRPr="0096778F">
        <w:t>section 19(b); and (ii)</w:t>
      </w:r>
      <w:r w:rsidRPr="0096778F">
        <w:t xml:space="preserve"> that even if </w:t>
      </w:r>
      <w:r w:rsidR="00696D35" w:rsidRPr="0096778F">
        <w:t xml:space="preserve">Inspector Kwok </w:t>
      </w:r>
      <w:r w:rsidRPr="0096778F">
        <w:t>was such an officer, he was not acting</w:t>
      </w:r>
      <w:r w:rsidR="00696D35" w:rsidRPr="0096778F">
        <w:t xml:space="preserve"> in</w:t>
      </w:r>
      <w:r w:rsidRPr="0096778F">
        <w:t xml:space="preserve"> the execution of his duty when obstructed by the appellant.</w:t>
      </w:r>
      <w:r w:rsidR="00672BDD" w:rsidRPr="0096778F">
        <w:t xml:space="preserve">  </w:t>
      </w:r>
    </w:p>
    <w:p w:rsidR="00672BDD" w:rsidRPr="0096778F" w:rsidRDefault="00D708D9" w:rsidP="00240D68">
      <w:pPr>
        <w:pStyle w:val="docmapheading"/>
      </w:pPr>
      <w:r w:rsidRPr="0096778F">
        <w:t>C.</w:t>
      </w:r>
      <w:r w:rsidR="00672BDD" w:rsidRPr="0096778F">
        <w:tab/>
      </w:r>
      <w:r w:rsidR="00433F6B" w:rsidRPr="0096778F">
        <w:t xml:space="preserve">The first ground: </w:t>
      </w:r>
      <w:r w:rsidR="00672BDD" w:rsidRPr="0096778F">
        <w:t>Not an officer of the Council</w:t>
      </w:r>
    </w:p>
    <w:p w:rsidR="00BF7BA2" w:rsidRPr="0096778F" w:rsidRDefault="00E6484A" w:rsidP="007E3F96">
      <w:pPr>
        <w:pStyle w:val="Bob1"/>
        <w:tabs>
          <w:tab w:val="clear" w:pos="720"/>
          <w:tab w:val="left" w:pos="1440"/>
        </w:tabs>
        <w:ind w:left="0" w:firstLine="0"/>
        <w:jc w:val="both"/>
      </w:pPr>
      <w:r>
        <w:t>While Mr Philip Dykes SC</w:t>
      </w:r>
      <w:r>
        <w:rPr>
          <w:rStyle w:val="FootnoteReference"/>
        </w:rPr>
        <w:footnoteReference w:id="7"/>
      </w:r>
      <w:r>
        <w:t xml:space="preserve"> introduced certain modifications in his oral submissions,</w:t>
      </w:r>
      <w:r>
        <w:rPr>
          <w:rStyle w:val="FootnoteReference"/>
        </w:rPr>
        <w:footnoteReference w:id="8"/>
      </w:r>
      <w:r>
        <w:t xml:space="preserve"> t</w:t>
      </w:r>
      <w:r w:rsidR="00BF7BA2" w:rsidRPr="0096778F">
        <w:t xml:space="preserve">he </w:t>
      </w:r>
      <w:r w:rsidR="00B83FD5" w:rsidRPr="0096778F">
        <w:t xml:space="preserve">appellant’s </w:t>
      </w:r>
      <w:r w:rsidR="00BF7BA2" w:rsidRPr="0096778F">
        <w:t xml:space="preserve">reasoning </w:t>
      </w:r>
      <w:r w:rsidR="00B83FD5" w:rsidRPr="0096778F">
        <w:t xml:space="preserve">in support of </w:t>
      </w:r>
      <w:r w:rsidR="00BF7BA2" w:rsidRPr="0096778F">
        <w:t xml:space="preserve">the first </w:t>
      </w:r>
      <w:r w:rsidR="00FC74A0" w:rsidRPr="0096778F">
        <w:t xml:space="preserve">ground </w:t>
      </w:r>
      <w:r>
        <w:t xml:space="preserve">as set out in his Written Case </w:t>
      </w:r>
      <w:r w:rsidR="00BF7BA2" w:rsidRPr="0096778F">
        <w:t>proceeds as follows:</w:t>
      </w:r>
    </w:p>
    <w:p w:rsidR="00672BDD" w:rsidRPr="0096778F" w:rsidRDefault="00BF7BA2" w:rsidP="007E3F96">
      <w:pPr>
        <w:pStyle w:val="Bob1"/>
        <w:numPr>
          <w:ilvl w:val="1"/>
          <w:numId w:val="11"/>
        </w:numPr>
        <w:jc w:val="both"/>
      </w:pPr>
      <w:r w:rsidRPr="0096778F">
        <w:t xml:space="preserve">A police officer is only allowed to enter and remain </w:t>
      </w:r>
      <w:r w:rsidR="00FC74A0" w:rsidRPr="0096778F">
        <w:t>with</w:t>
      </w:r>
      <w:r w:rsidRPr="0096778F">
        <w:t xml:space="preserve">in </w:t>
      </w:r>
      <w:r w:rsidR="00FC74A0" w:rsidRPr="0096778F">
        <w:t xml:space="preserve">the precincts of the Chamber </w:t>
      </w:r>
      <w:r w:rsidRPr="0096778F">
        <w:t>if invited to do so by or on the authority of the President.</w:t>
      </w:r>
      <w:r w:rsidRPr="0096778F">
        <w:rPr>
          <w:rStyle w:val="FootnoteReference"/>
        </w:rPr>
        <w:footnoteReference w:id="9"/>
      </w:r>
      <w:r w:rsidRPr="0096778F">
        <w:t xml:space="preserve">  </w:t>
      </w:r>
    </w:p>
    <w:p w:rsidR="00BF7BA2" w:rsidRPr="0096778F" w:rsidRDefault="00BF7BA2" w:rsidP="007E3F96">
      <w:pPr>
        <w:pStyle w:val="Bob1"/>
        <w:numPr>
          <w:ilvl w:val="1"/>
          <w:numId w:val="11"/>
        </w:numPr>
        <w:jc w:val="both"/>
      </w:pPr>
      <w:r w:rsidRPr="0096778F">
        <w:t xml:space="preserve">Without an invitation, </w:t>
      </w:r>
      <w:r w:rsidR="00FE51FC">
        <w:t xml:space="preserve">a police </w:t>
      </w:r>
      <w:r w:rsidRPr="0096778F">
        <w:t xml:space="preserve">officer </w:t>
      </w:r>
      <w:r w:rsidR="00FE51FC">
        <w:t>is not lawfully with</w:t>
      </w:r>
      <w:r w:rsidRPr="0096778F">
        <w:t xml:space="preserve">in </w:t>
      </w:r>
      <w:r w:rsidR="00FE51FC">
        <w:t xml:space="preserve">those precincts </w:t>
      </w:r>
      <w:r w:rsidRPr="0096778F">
        <w:t xml:space="preserve">and is </w:t>
      </w:r>
      <w:r w:rsidR="00211ED6">
        <w:t xml:space="preserve">therefore </w:t>
      </w:r>
      <w:r w:rsidRPr="0096778F">
        <w:t>not an “officer of the Council”.</w:t>
      </w:r>
      <w:r w:rsidRPr="0096778F">
        <w:rPr>
          <w:rStyle w:val="FootnoteReference"/>
        </w:rPr>
        <w:footnoteReference w:id="10"/>
      </w:r>
    </w:p>
    <w:p w:rsidR="00BF7BA2" w:rsidRPr="0096778F" w:rsidRDefault="00BF7BA2" w:rsidP="007E3F96">
      <w:pPr>
        <w:pStyle w:val="Bob1"/>
        <w:numPr>
          <w:ilvl w:val="1"/>
          <w:numId w:val="11"/>
        </w:numPr>
        <w:jc w:val="both"/>
      </w:pPr>
      <w:r w:rsidRPr="0096778F">
        <w:t>Although in the present case, Mr Tsang</w:t>
      </w:r>
      <w:r w:rsidR="003A6641" w:rsidRPr="0096778F">
        <w:t xml:space="preserve">, the President of </w:t>
      </w:r>
      <w:proofErr w:type="spellStart"/>
      <w:r w:rsidR="003A6641" w:rsidRPr="0096778F">
        <w:t>Legco</w:t>
      </w:r>
      <w:proofErr w:type="spellEnd"/>
      <w:r w:rsidR="003A6641" w:rsidRPr="0096778F">
        <w:t>,</w:t>
      </w:r>
      <w:r w:rsidRPr="0096778F">
        <w:t xml:space="preserve"> did request police assistance, he did so </w:t>
      </w:r>
      <w:r w:rsidR="003A6641" w:rsidRPr="0096778F">
        <w:t>in</w:t>
      </w:r>
      <w:r w:rsidR="00E94D9C">
        <w:t xml:space="preserve"> a</w:t>
      </w:r>
      <w:r w:rsidR="003A6641" w:rsidRPr="0096778F">
        <w:t xml:space="preserve"> </w:t>
      </w:r>
      <w:r w:rsidR="00211ED6">
        <w:t>different</w:t>
      </w:r>
      <w:r w:rsidR="003A6641" w:rsidRPr="0096778F">
        <w:t xml:space="preserve"> capacity, namely, </w:t>
      </w:r>
      <w:r w:rsidR="003A6641" w:rsidRPr="0096778F">
        <w:lastRenderedPageBreak/>
        <w:t xml:space="preserve">as Chairman of the LCC, so that </w:t>
      </w:r>
      <w:r w:rsidR="00433F6B" w:rsidRPr="0096778F">
        <w:t xml:space="preserve">his </w:t>
      </w:r>
      <w:r w:rsidR="003A6641" w:rsidRPr="0096778F">
        <w:t>invitation was ineffective to justify entry of the police officers.</w:t>
      </w:r>
      <w:r w:rsidR="003A6641" w:rsidRPr="0096778F">
        <w:rPr>
          <w:rStyle w:val="FootnoteReference"/>
        </w:rPr>
        <w:footnoteReference w:id="11"/>
      </w:r>
    </w:p>
    <w:p w:rsidR="00D708D9" w:rsidRPr="0096778F" w:rsidRDefault="00211ED6" w:rsidP="007E3F96">
      <w:pPr>
        <w:pStyle w:val="Bob1"/>
        <w:numPr>
          <w:ilvl w:val="1"/>
          <w:numId w:val="11"/>
        </w:numPr>
        <w:jc w:val="both"/>
      </w:pPr>
      <w:r>
        <w:t xml:space="preserve">Moreover, </w:t>
      </w:r>
      <w:r w:rsidR="00066C13" w:rsidRPr="0096778F">
        <w:t xml:space="preserve">in order </w:t>
      </w:r>
      <w:r w:rsidR="003A6641" w:rsidRPr="0096778F">
        <w:t>to qualify the police officers as “officer</w:t>
      </w:r>
      <w:r w:rsidR="00D708D9" w:rsidRPr="0096778F">
        <w:t>s</w:t>
      </w:r>
      <w:r w:rsidR="003A6641" w:rsidRPr="0096778F">
        <w:t xml:space="preserve"> of the Council”, </w:t>
      </w:r>
      <w:r w:rsidR="00433F6B" w:rsidRPr="0096778F">
        <w:t xml:space="preserve">it was necessary for </w:t>
      </w:r>
      <w:r>
        <w:t xml:space="preserve">Mr Tsang </w:t>
      </w:r>
      <w:r w:rsidR="00433F6B" w:rsidRPr="0096778F">
        <w:t xml:space="preserve">to </w:t>
      </w:r>
      <w:r w:rsidR="003A6641" w:rsidRPr="0096778F">
        <w:t>issue an administrative instruction pursuant to LC(PP)O section 8</w:t>
      </w:r>
      <w:r w:rsidR="003A6641" w:rsidRPr="0096778F">
        <w:rPr>
          <w:rStyle w:val="FootnoteReference"/>
        </w:rPr>
        <w:footnoteReference w:id="12"/>
      </w:r>
      <w:r w:rsidR="003A6641" w:rsidRPr="0096778F">
        <w:t xml:space="preserve"> </w:t>
      </w:r>
      <w:r w:rsidR="00FE51FC">
        <w:t xml:space="preserve">directing the closure of </w:t>
      </w:r>
      <w:proofErr w:type="spellStart"/>
      <w:r w:rsidR="003A6641" w:rsidRPr="0096778F">
        <w:t>Legco</w:t>
      </w:r>
      <w:proofErr w:type="spellEnd"/>
      <w:r w:rsidR="003A6641" w:rsidRPr="0096778F">
        <w:t xml:space="preserve"> on the evening of 13 June 2014</w:t>
      </w:r>
      <w:r w:rsidR="00D708D9" w:rsidRPr="0096778F">
        <w:t xml:space="preserve"> </w:t>
      </w:r>
      <w:r w:rsidR="00433F6B" w:rsidRPr="0096778F">
        <w:t xml:space="preserve">before seeking </w:t>
      </w:r>
      <w:r w:rsidR="00D708D9" w:rsidRPr="0096778F">
        <w:t xml:space="preserve">the help </w:t>
      </w:r>
      <w:r>
        <w:t xml:space="preserve">of the police </w:t>
      </w:r>
      <w:r w:rsidR="00D708D9" w:rsidRPr="0096778F">
        <w:t>in enforcing that instruction</w:t>
      </w:r>
      <w:r w:rsidR="00FE51FC">
        <w:t>.</w:t>
      </w:r>
      <w:r w:rsidR="00D708D9" w:rsidRPr="0096778F">
        <w:rPr>
          <w:rStyle w:val="FootnoteReference"/>
        </w:rPr>
        <w:footnoteReference w:id="13"/>
      </w:r>
      <w:r w:rsidR="00D708D9" w:rsidRPr="0096778F">
        <w:t xml:space="preserve">  </w:t>
      </w:r>
    </w:p>
    <w:p w:rsidR="003A6641" w:rsidRPr="0096778F" w:rsidRDefault="00D708D9" w:rsidP="007E3F96">
      <w:pPr>
        <w:pStyle w:val="Bob1"/>
        <w:numPr>
          <w:ilvl w:val="1"/>
          <w:numId w:val="11"/>
        </w:numPr>
        <w:jc w:val="both"/>
      </w:pPr>
      <w:r w:rsidRPr="0096778F">
        <w:t xml:space="preserve">It might have been possible for the President to invite the officers onto the premises </w:t>
      </w:r>
      <w:r w:rsidR="00433F6B" w:rsidRPr="0096778F">
        <w:t>without issuing a specific administrative instruction</w:t>
      </w:r>
      <w:r w:rsidR="00211ED6" w:rsidRPr="00211ED6">
        <w:t xml:space="preserve"> </w:t>
      </w:r>
      <w:r w:rsidR="00211ED6" w:rsidRPr="0096778F">
        <w:t>because of apprehended disorder</w:t>
      </w:r>
      <w:r w:rsidRPr="0096778F">
        <w:t xml:space="preserve">, </w:t>
      </w:r>
      <w:r w:rsidR="00211ED6">
        <w:t xml:space="preserve">thus </w:t>
      </w:r>
      <w:r w:rsidRPr="0096778F">
        <w:t>qualifying them as “officers of the Council”</w:t>
      </w:r>
      <w:r w:rsidR="00433F6B" w:rsidRPr="0096778F">
        <w:t>,</w:t>
      </w:r>
      <w:r w:rsidRPr="0096778F">
        <w:t xml:space="preserve"> but t</w:t>
      </w:r>
      <w:r w:rsidR="00211ED6">
        <w:t>hat</w:t>
      </w:r>
      <w:r w:rsidRPr="0096778F">
        <w:t xml:space="preserve"> did not occur and, in any event, </w:t>
      </w:r>
      <w:r w:rsidR="00211ED6">
        <w:t xml:space="preserve">such an invitation </w:t>
      </w:r>
      <w:r w:rsidRPr="0096778F">
        <w:t xml:space="preserve">would not have </w:t>
      </w:r>
      <w:r w:rsidR="00211ED6">
        <w:t xml:space="preserve">met </w:t>
      </w:r>
      <w:r w:rsidRPr="0096778F">
        <w:t xml:space="preserve">the </w:t>
      </w:r>
      <w:r w:rsidR="00211ED6">
        <w:t xml:space="preserve">requirements of the </w:t>
      </w:r>
      <w:r w:rsidRPr="0096778F">
        <w:t>second argument</w:t>
      </w:r>
      <w:r w:rsidR="00433F6B" w:rsidRPr="0096778F">
        <w:t xml:space="preserve"> discussed below</w:t>
      </w:r>
      <w:r w:rsidRPr="0096778F">
        <w:t>.</w:t>
      </w:r>
      <w:r w:rsidRPr="0096778F">
        <w:rPr>
          <w:rStyle w:val="FootnoteReference"/>
        </w:rPr>
        <w:footnoteReference w:id="14"/>
      </w:r>
    </w:p>
    <w:p w:rsidR="00D708D9" w:rsidRDefault="00243A85" w:rsidP="007E3F96">
      <w:pPr>
        <w:pStyle w:val="Bob1"/>
        <w:tabs>
          <w:tab w:val="clear" w:pos="720"/>
          <w:tab w:val="left" w:pos="1440"/>
        </w:tabs>
        <w:ind w:left="0" w:firstLine="0"/>
        <w:jc w:val="both"/>
      </w:pPr>
      <w:r w:rsidRPr="0096778F">
        <w:t xml:space="preserve">The appellant </w:t>
      </w:r>
      <w:r w:rsidR="002B2B90" w:rsidRPr="0096778F">
        <w:t>argues</w:t>
      </w:r>
      <w:r w:rsidRPr="0096778F">
        <w:t xml:space="preserve"> that </w:t>
      </w:r>
      <w:r w:rsidR="002017F4">
        <w:t xml:space="preserve">a prior </w:t>
      </w:r>
      <w:r w:rsidRPr="0096778F">
        <w:t xml:space="preserve">invitation </w:t>
      </w:r>
      <w:r w:rsidR="002017F4">
        <w:t xml:space="preserve">was </w:t>
      </w:r>
      <w:r w:rsidR="002017F4" w:rsidRPr="0096778F">
        <w:t xml:space="preserve">an essential requirement </w:t>
      </w:r>
      <w:r w:rsidR="00E94D9C">
        <w:t xml:space="preserve">for </w:t>
      </w:r>
      <w:r w:rsidR="002017F4">
        <w:t xml:space="preserve">lawful entry by </w:t>
      </w:r>
      <w:r w:rsidR="002B2B90" w:rsidRPr="0096778F">
        <w:t xml:space="preserve">police officers </w:t>
      </w:r>
      <w:r w:rsidR="00433F6B" w:rsidRPr="0096778F">
        <w:t xml:space="preserve">because </w:t>
      </w:r>
      <w:r w:rsidR="002B2B90" w:rsidRPr="0096778F">
        <w:t xml:space="preserve">unrestricted entry would be incompatible with the </w:t>
      </w:r>
      <w:r w:rsidR="002017F4">
        <w:t xml:space="preserve">principle of the </w:t>
      </w:r>
      <w:r w:rsidR="002B2B90" w:rsidRPr="0096778F">
        <w:t xml:space="preserve">separation </w:t>
      </w:r>
      <w:r w:rsidR="002017F4">
        <w:t xml:space="preserve">of powers.  It would mean that </w:t>
      </w:r>
      <w:r w:rsidR="002B2B90" w:rsidRPr="0096778F">
        <w:t xml:space="preserve">the Commissioner of Police who, subject to orders of the Chief Executive, has the right of </w:t>
      </w:r>
      <w:r w:rsidR="002017F4">
        <w:t>“supreme direction”</w:t>
      </w:r>
      <w:r w:rsidR="002B2B90" w:rsidRPr="0096778F">
        <w:t xml:space="preserve"> of the police force under s</w:t>
      </w:r>
      <w:r w:rsidR="002017F4">
        <w:t>ection</w:t>
      </w:r>
      <w:r w:rsidR="002B2B90" w:rsidRPr="0096778F">
        <w:t xml:space="preserve"> 4 </w:t>
      </w:r>
      <w:r w:rsidR="002017F4">
        <w:t xml:space="preserve">of the </w:t>
      </w:r>
      <w:r w:rsidR="002B2B90" w:rsidRPr="0096778F">
        <w:t>P</w:t>
      </w:r>
      <w:r w:rsidR="002017F4">
        <w:t xml:space="preserve">olice </w:t>
      </w:r>
      <w:r w:rsidR="002B2B90" w:rsidRPr="0096778F">
        <w:t>F</w:t>
      </w:r>
      <w:r w:rsidR="002017F4">
        <w:t>orce Ordinance</w:t>
      </w:r>
      <w:r w:rsidR="00FE51FC">
        <w:t xml:space="preserve"> (“</w:t>
      </w:r>
      <w:r w:rsidR="00FE51FC">
        <w:rPr>
          <w:u w:val="single"/>
        </w:rPr>
        <w:t>PFO</w:t>
      </w:r>
      <w:r w:rsidR="00FE51FC">
        <w:t>”)</w:t>
      </w:r>
      <w:r w:rsidR="002B2B90" w:rsidRPr="0096778F">
        <w:t>,</w:t>
      </w:r>
      <w:r w:rsidR="00FE51FC">
        <w:rPr>
          <w:rStyle w:val="FootnoteReference"/>
        </w:rPr>
        <w:footnoteReference w:id="15"/>
      </w:r>
      <w:r w:rsidR="002B2B90" w:rsidRPr="0096778F">
        <w:t xml:space="preserve"> could direct officers to</w:t>
      </w:r>
      <w:r w:rsidR="002017F4">
        <w:t xml:space="preserve"> enter</w:t>
      </w:r>
      <w:r w:rsidR="002B2B90" w:rsidRPr="0096778F">
        <w:t xml:space="preserve"> </w:t>
      </w:r>
      <w:proofErr w:type="spellStart"/>
      <w:r w:rsidR="002B2B90" w:rsidRPr="0096778F">
        <w:t>Legco</w:t>
      </w:r>
      <w:proofErr w:type="spellEnd"/>
      <w:r w:rsidR="002B2B90" w:rsidRPr="0096778F">
        <w:t xml:space="preserve"> premises</w:t>
      </w:r>
      <w:r w:rsidR="002017F4">
        <w:t xml:space="preserve"> “when</w:t>
      </w:r>
      <w:r w:rsidR="002B2B90" w:rsidRPr="0096778F">
        <w:t xml:space="preserve"> the President had not invited them, or even did not want them to enter.”</w:t>
      </w:r>
      <w:r w:rsidR="002B2B90" w:rsidRPr="0096778F">
        <w:rPr>
          <w:rStyle w:val="FootnoteReference"/>
        </w:rPr>
        <w:footnoteReference w:id="16"/>
      </w:r>
    </w:p>
    <w:p w:rsidR="002B2B90" w:rsidRDefault="002B2B90" w:rsidP="007E3F96">
      <w:pPr>
        <w:pStyle w:val="Bob1"/>
        <w:tabs>
          <w:tab w:val="clear" w:pos="720"/>
          <w:tab w:val="left" w:pos="1440"/>
        </w:tabs>
        <w:ind w:left="0" w:firstLine="0"/>
        <w:jc w:val="both"/>
      </w:pPr>
      <w:r w:rsidRPr="0096778F">
        <w:lastRenderedPageBreak/>
        <w:t xml:space="preserve">Support </w:t>
      </w:r>
      <w:r w:rsidR="002017F4">
        <w:t xml:space="preserve">for this argument </w:t>
      </w:r>
      <w:r w:rsidRPr="0096778F">
        <w:t xml:space="preserve">is sought from Article </w:t>
      </w:r>
      <w:r w:rsidR="009871B1" w:rsidRPr="0096778F">
        <w:t xml:space="preserve">78 </w:t>
      </w:r>
      <w:r w:rsidR="00433F6B" w:rsidRPr="0096778F">
        <w:t xml:space="preserve">of the Basic Law </w:t>
      </w:r>
      <w:r w:rsidR="009871B1" w:rsidRPr="0096778F">
        <w:t xml:space="preserve">(which gives members of </w:t>
      </w:r>
      <w:proofErr w:type="spellStart"/>
      <w:r w:rsidR="009871B1" w:rsidRPr="0096778F">
        <w:t>Legco</w:t>
      </w:r>
      <w:proofErr w:type="spellEnd"/>
      <w:r w:rsidR="009871B1" w:rsidRPr="0096778F">
        <w:t xml:space="preserve"> immunity from arrest when attending or on their way to a meeting of the Council) on the footing that “</w:t>
      </w:r>
      <w:r w:rsidR="00433F6B" w:rsidRPr="0096778F">
        <w:t>[this]</w:t>
      </w:r>
      <w:r w:rsidR="009871B1" w:rsidRPr="0096778F">
        <w:t xml:space="preserve"> must include a power to refuse entry to persons, including police officers, who seek entry to </w:t>
      </w:r>
      <w:proofErr w:type="spellStart"/>
      <w:r w:rsidR="009871B1" w:rsidRPr="0096778F">
        <w:t>Legco</w:t>
      </w:r>
      <w:proofErr w:type="spellEnd"/>
      <w:r w:rsidR="009871B1" w:rsidRPr="0096778F">
        <w:t xml:space="preserve"> premises to arrest a Member and the power to eject if the police officers are already inside.”</w:t>
      </w:r>
      <w:r w:rsidR="009871B1" w:rsidRPr="0096778F">
        <w:rPr>
          <w:rStyle w:val="FootnoteReference"/>
        </w:rPr>
        <w:footnoteReference w:id="17"/>
      </w:r>
    </w:p>
    <w:p w:rsidR="009871B1" w:rsidRPr="0096778F" w:rsidRDefault="009871B1" w:rsidP="007E3F96">
      <w:pPr>
        <w:pStyle w:val="Bob1"/>
        <w:tabs>
          <w:tab w:val="clear" w:pos="720"/>
          <w:tab w:val="left" w:pos="1440"/>
        </w:tabs>
        <w:ind w:left="0" w:firstLine="0"/>
        <w:jc w:val="both"/>
      </w:pPr>
      <w:r w:rsidRPr="0096778F">
        <w:t>It is argued that powers given to police officers at common law and under the</w:t>
      </w:r>
      <w:r w:rsidR="00FE51FC">
        <w:t xml:space="preserve"> PFO, </w:t>
      </w:r>
      <w:r w:rsidRPr="0096778F">
        <w:t>as a matter of construction</w:t>
      </w:r>
      <w:r w:rsidR="00FE51FC">
        <w:t xml:space="preserve"> and for like reasons of policy</w:t>
      </w:r>
      <w:r w:rsidRPr="0096778F">
        <w:t xml:space="preserve">, provide </w:t>
      </w:r>
      <w:r w:rsidR="00FE51FC">
        <w:t xml:space="preserve">no </w:t>
      </w:r>
      <w:r w:rsidRPr="0096778F">
        <w:t xml:space="preserve">basis for police officers to enter and carry out policing duties in the precincts of </w:t>
      </w:r>
      <w:proofErr w:type="spellStart"/>
      <w:r w:rsidRPr="0096778F">
        <w:t>Legco</w:t>
      </w:r>
      <w:proofErr w:type="spellEnd"/>
      <w:r w:rsidRPr="0096778F">
        <w:t xml:space="preserve"> without a prior invitation.</w:t>
      </w:r>
      <w:r w:rsidRPr="0096778F">
        <w:rPr>
          <w:rStyle w:val="FootnoteReference"/>
        </w:rPr>
        <w:footnoteReference w:id="18"/>
      </w:r>
    </w:p>
    <w:p w:rsidR="001860B8" w:rsidRDefault="001C17BD" w:rsidP="00240D68">
      <w:pPr>
        <w:pStyle w:val="docmapheading"/>
      </w:pPr>
      <w:r w:rsidRPr="0096778F">
        <w:t>D.</w:t>
      </w:r>
      <w:r w:rsidR="002017F4">
        <w:tab/>
        <w:t>The</w:t>
      </w:r>
      <w:r w:rsidR="002017F4" w:rsidRPr="0096778F">
        <w:t xml:space="preserve"> </w:t>
      </w:r>
      <w:r w:rsidRPr="0096778F">
        <w:t>first ground</w:t>
      </w:r>
      <w:r w:rsidR="002017F4">
        <w:t xml:space="preserve"> is untenable</w:t>
      </w:r>
    </w:p>
    <w:p w:rsidR="00B85DBA" w:rsidRDefault="00DE075D" w:rsidP="007E3F96">
      <w:pPr>
        <w:pStyle w:val="Bob1"/>
        <w:tabs>
          <w:tab w:val="clear" w:pos="720"/>
          <w:tab w:val="left" w:pos="1440"/>
        </w:tabs>
        <w:ind w:left="0" w:firstLine="0"/>
        <w:jc w:val="both"/>
      </w:pPr>
      <w:r>
        <w:t>T</w:t>
      </w:r>
      <w:r w:rsidR="00E6484A">
        <w:t>his</w:t>
      </w:r>
      <w:r w:rsidR="00FC74A0" w:rsidRPr="0096778F">
        <w:t xml:space="preserve"> ground of the appellant’s challenge to his conviction</w:t>
      </w:r>
      <w:r w:rsidR="002017F4">
        <w:t xml:space="preserve"> cannot be accepted</w:t>
      </w:r>
      <w:r w:rsidR="00FC74A0" w:rsidRPr="0096778F">
        <w:t xml:space="preserve">.  </w:t>
      </w:r>
      <w:r w:rsidR="002017F4">
        <w:t xml:space="preserve">There is no legal foundation for </w:t>
      </w:r>
      <w:r w:rsidR="00FE51FC">
        <w:t xml:space="preserve">the </w:t>
      </w:r>
      <w:r w:rsidR="00FC74A0" w:rsidRPr="0096778F">
        <w:t>premise</w:t>
      </w:r>
      <w:r w:rsidR="00240D68">
        <w:t xml:space="preserve"> that a police officer can </w:t>
      </w:r>
      <w:r w:rsidR="00FE51FC">
        <w:t>enter the precincts of</w:t>
      </w:r>
      <w:r w:rsidR="00DD3598">
        <w:t xml:space="preserve"> </w:t>
      </w:r>
      <w:proofErr w:type="spellStart"/>
      <w:r w:rsidR="00DD3598">
        <w:t>Legco</w:t>
      </w:r>
      <w:proofErr w:type="spellEnd"/>
      <w:r w:rsidR="00DD3598">
        <w:t xml:space="preserve"> only by invitation</w:t>
      </w:r>
      <w:r w:rsidR="00FE51FC">
        <w:t xml:space="preserve"> or on the authority of the President</w:t>
      </w:r>
      <w:r w:rsidR="004534B1">
        <w:t xml:space="preserve">.  </w:t>
      </w:r>
    </w:p>
    <w:p w:rsidR="00E449D3" w:rsidRPr="0096778F" w:rsidRDefault="00E449D3" w:rsidP="00240D68">
      <w:pPr>
        <w:pStyle w:val="docmapheading"/>
      </w:pPr>
      <w:r>
        <w:t>D.1</w:t>
      </w:r>
      <w:r>
        <w:tab/>
        <w:t xml:space="preserve">Article 78 of the Basic Law </w:t>
      </w:r>
    </w:p>
    <w:p w:rsidR="00FC74A0" w:rsidRPr="0096778F" w:rsidRDefault="0096778F" w:rsidP="007E3F96">
      <w:pPr>
        <w:pStyle w:val="Bob1"/>
        <w:tabs>
          <w:tab w:val="clear" w:pos="720"/>
          <w:tab w:val="left" w:pos="1440"/>
        </w:tabs>
        <w:ind w:left="0" w:firstLine="0"/>
        <w:jc w:val="both"/>
      </w:pPr>
      <w:r w:rsidRPr="0096778F">
        <w:t>Article 78 of the Basic Law</w:t>
      </w:r>
      <w:r>
        <w:t>, relied on by the appellant,</w:t>
      </w:r>
      <w:r w:rsidRPr="0096778F">
        <w:t xml:space="preserve"> provides no support.  It states: </w:t>
      </w:r>
    </w:p>
    <w:p w:rsidR="0096778F" w:rsidRPr="00DD3598" w:rsidRDefault="0096778F" w:rsidP="007E3F96">
      <w:pPr>
        <w:pStyle w:val="Bob1"/>
        <w:numPr>
          <w:ilvl w:val="0"/>
          <w:numId w:val="0"/>
        </w:numPr>
        <w:spacing w:line="240" w:lineRule="auto"/>
        <w:ind w:left="1440"/>
        <w:jc w:val="both"/>
        <w:rPr>
          <w:rFonts w:eastAsia="PMingLiU"/>
          <w:sz w:val="24"/>
          <w:szCs w:val="22"/>
          <w:lang w:eastAsia="zh-TW"/>
        </w:rPr>
      </w:pPr>
      <w:r w:rsidRPr="0096778F">
        <w:rPr>
          <w:sz w:val="24"/>
        </w:rPr>
        <w:t>“</w:t>
      </w:r>
      <w:r w:rsidRPr="0096778F">
        <w:rPr>
          <w:sz w:val="24"/>
          <w:szCs w:val="22"/>
        </w:rPr>
        <w:t>Members of the Legislative Council of the Hong Kong Special Administrative Region shall not be subjected to arrest when attending or on their way to a meeting of the Council.”</w:t>
      </w:r>
    </w:p>
    <w:p w:rsidR="006B50BF" w:rsidRDefault="0096778F" w:rsidP="007E3F96">
      <w:pPr>
        <w:pStyle w:val="Bob1"/>
        <w:tabs>
          <w:tab w:val="clear" w:pos="720"/>
          <w:tab w:val="left" w:pos="1440"/>
        </w:tabs>
        <w:ind w:left="0" w:firstLine="0"/>
        <w:jc w:val="both"/>
      </w:pPr>
      <w:r w:rsidRPr="0096778F">
        <w:t>Article 78</w:t>
      </w:r>
      <w:r>
        <w:t xml:space="preserve"> </w:t>
      </w:r>
      <w:r w:rsidR="00E449D3">
        <w:t xml:space="preserve">therefore </w:t>
      </w:r>
      <w:r w:rsidRPr="0096778F">
        <w:t>immuni</w:t>
      </w:r>
      <w:r>
        <w:t>ses</w:t>
      </w:r>
      <w:r w:rsidRPr="0096778F">
        <w:t xml:space="preserve"> members of </w:t>
      </w:r>
      <w:proofErr w:type="spellStart"/>
      <w:r>
        <w:t>Legco</w:t>
      </w:r>
      <w:proofErr w:type="spellEnd"/>
      <w:r>
        <w:t xml:space="preserve"> from arrest when </w:t>
      </w:r>
      <w:r w:rsidR="00FE51FC">
        <w:t xml:space="preserve">going about </w:t>
      </w:r>
      <w:r>
        <w:t xml:space="preserve">the core business of the legislature – attending meetings of the </w:t>
      </w:r>
      <w:r>
        <w:lastRenderedPageBreak/>
        <w:t xml:space="preserve">Council.  </w:t>
      </w:r>
      <w:r w:rsidR="004534B1">
        <w:t>It has no relevance</w:t>
      </w:r>
      <w:r w:rsidR="00F66D30">
        <w:t xml:space="preserve"> to </w:t>
      </w:r>
      <w:r w:rsidR="004534B1">
        <w:t xml:space="preserve">persons </w:t>
      </w:r>
      <w:r w:rsidR="002017F4">
        <w:t xml:space="preserve">who are not members, </w:t>
      </w:r>
      <w:r w:rsidR="00DE075D">
        <w:t xml:space="preserve">charged with </w:t>
      </w:r>
      <w:r w:rsidR="004534B1">
        <w:t xml:space="preserve">offences such as those for which the appellant was convicted.  </w:t>
      </w:r>
    </w:p>
    <w:p w:rsidR="0096778F" w:rsidRDefault="0096778F" w:rsidP="007E3F96">
      <w:pPr>
        <w:pStyle w:val="Bob1"/>
        <w:tabs>
          <w:tab w:val="clear" w:pos="720"/>
          <w:tab w:val="left" w:pos="1440"/>
        </w:tabs>
        <w:ind w:left="0" w:firstLine="0"/>
        <w:jc w:val="both"/>
      </w:pPr>
      <w:r>
        <w:t xml:space="preserve">Provisions with a purpose </w:t>
      </w:r>
      <w:r w:rsidR="004534B1">
        <w:t xml:space="preserve">similar to that of Article 78 </w:t>
      </w:r>
      <w:r>
        <w:t>can be found in the LC(PP)O</w:t>
      </w:r>
      <w:r w:rsidR="004534B1">
        <w:t>, including those safeguarding freedom of speech and debate in the Council</w:t>
      </w:r>
      <w:r w:rsidR="002017F4">
        <w:t>;</w:t>
      </w:r>
      <w:r w:rsidR="004534B1">
        <w:rPr>
          <w:rStyle w:val="FootnoteReference"/>
        </w:rPr>
        <w:footnoteReference w:id="19"/>
      </w:r>
      <w:r>
        <w:t xml:space="preserve"> </w:t>
      </w:r>
      <w:r w:rsidR="004534B1">
        <w:t xml:space="preserve">immunising </w:t>
      </w:r>
      <w:proofErr w:type="spellStart"/>
      <w:r w:rsidR="004534B1">
        <w:t>Legco</w:t>
      </w:r>
      <w:proofErr w:type="spellEnd"/>
      <w:r w:rsidR="004534B1">
        <w:t xml:space="preserve"> members against civil or criminal proceedings for things said</w:t>
      </w:r>
      <w:r w:rsidR="006B50BF">
        <w:t xml:space="preserve"> in,</w:t>
      </w:r>
      <w:r w:rsidR="004534B1">
        <w:t xml:space="preserve"> or reported in writing to</w:t>
      </w:r>
      <w:r w:rsidR="006B50BF">
        <w:t>,</w:t>
      </w:r>
      <w:r w:rsidR="004534B1">
        <w:t xml:space="preserve"> the Council</w:t>
      </w:r>
      <w:r w:rsidR="002017F4">
        <w:t>;</w:t>
      </w:r>
      <w:r w:rsidR="004534B1">
        <w:rPr>
          <w:rStyle w:val="FootnoteReference"/>
        </w:rPr>
        <w:footnoteReference w:id="20"/>
      </w:r>
      <w:r w:rsidR="004534B1">
        <w:t xml:space="preserve"> protecting members from arrest </w:t>
      </w:r>
      <w:r w:rsidR="006B50BF">
        <w:t>for any criminal offence whilst attending a sitting of the Council or a committee</w:t>
      </w:r>
      <w:r w:rsidR="002017F4">
        <w:t>;</w:t>
      </w:r>
      <w:r w:rsidR="006B50BF">
        <w:rPr>
          <w:rStyle w:val="FootnoteReference"/>
        </w:rPr>
        <w:footnoteReference w:id="21"/>
      </w:r>
      <w:r w:rsidR="006B50BF">
        <w:t xml:space="preserve"> and so forth.  The </w:t>
      </w:r>
      <w:r w:rsidR="002017F4">
        <w:t xml:space="preserve">object of </w:t>
      </w:r>
      <w:r w:rsidR="00E6484A">
        <w:t>such</w:t>
      </w:r>
      <w:r w:rsidR="002017F4">
        <w:t xml:space="preserve"> provisions is to ensure </w:t>
      </w:r>
      <w:r w:rsidR="00F323A3">
        <w:t>freedom of speech and debate</w:t>
      </w:r>
      <w:r w:rsidR="006B50BF">
        <w:t xml:space="preserve"> </w:t>
      </w:r>
      <w:r w:rsidR="00B85DBA">
        <w:t xml:space="preserve">essential to </w:t>
      </w:r>
      <w:r w:rsidR="00F633E1">
        <w:t xml:space="preserve">the </w:t>
      </w:r>
      <w:r w:rsidR="00145E72">
        <w:t xml:space="preserve">legislative </w:t>
      </w:r>
      <w:r w:rsidR="00FB62F1">
        <w:t>process</w:t>
      </w:r>
      <w:r w:rsidR="00F66D30">
        <w:t>.  They</w:t>
      </w:r>
      <w:r w:rsidR="00145E72">
        <w:t xml:space="preserve"> </w:t>
      </w:r>
      <w:r w:rsidR="006B50BF">
        <w:t xml:space="preserve">provide no basis for suggesting that the presence of police officers in </w:t>
      </w:r>
      <w:proofErr w:type="spellStart"/>
      <w:r w:rsidR="006B50BF">
        <w:t>Legco</w:t>
      </w:r>
      <w:r w:rsidR="00F633E1">
        <w:t>’s</w:t>
      </w:r>
      <w:proofErr w:type="spellEnd"/>
      <w:r w:rsidR="00F633E1">
        <w:t xml:space="preserve"> precincts, </w:t>
      </w:r>
      <w:r w:rsidR="00E6484A">
        <w:t xml:space="preserve">performing their </w:t>
      </w:r>
      <w:r w:rsidR="0012028F">
        <w:t xml:space="preserve">ordinary </w:t>
      </w:r>
      <w:r w:rsidR="00E6484A">
        <w:t xml:space="preserve">duties of </w:t>
      </w:r>
      <w:r w:rsidR="00F633E1">
        <w:t>preserving public order</w:t>
      </w:r>
      <w:r w:rsidR="006B50BF">
        <w:t xml:space="preserve"> </w:t>
      </w:r>
      <w:r w:rsidR="00F633E1">
        <w:t>and enforcing the general criminal law,</w:t>
      </w:r>
      <w:r w:rsidR="008C58E9">
        <w:rPr>
          <w:rStyle w:val="FootnoteReference"/>
        </w:rPr>
        <w:footnoteReference w:id="22"/>
      </w:r>
      <w:r w:rsidR="00F633E1">
        <w:t xml:space="preserve"> </w:t>
      </w:r>
      <w:r w:rsidR="006B50BF">
        <w:t xml:space="preserve">is somehow inconsistent with </w:t>
      </w:r>
      <w:r w:rsidR="00F66D30">
        <w:t xml:space="preserve">such </w:t>
      </w:r>
      <w:r w:rsidR="006B50BF">
        <w:t xml:space="preserve">constitutional </w:t>
      </w:r>
      <w:r w:rsidR="00145E72">
        <w:t xml:space="preserve">and statutory </w:t>
      </w:r>
      <w:r w:rsidR="006B50BF">
        <w:t>safeguards</w:t>
      </w:r>
      <w:r w:rsidR="00F66D30">
        <w:t>.</w:t>
      </w:r>
    </w:p>
    <w:p w:rsidR="0096778F" w:rsidRDefault="00B024E3" w:rsidP="007E3F96">
      <w:pPr>
        <w:pStyle w:val="Bob1"/>
        <w:tabs>
          <w:tab w:val="clear" w:pos="720"/>
          <w:tab w:val="left" w:pos="1440"/>
        </w:tabs>
        <w:ind w:left="0" w:firstLine="0"/>
        <w:jc w:val="both"/>
      </w:pPr>
      <w:r>
        <w:t xml:space="preserve">Far from conferring any form of protection for persons in the appellant’s position, the immunities created by Article 78 and the </w:t>
      </w:r>
      <w:r w:rsidR="00B85DBA">
        <w:t xml:space="preserve">abovementioned </w:t>
      </w:r>
      <w:r>
        <w:t xml:space="preserve">LC(PP)O provisions do not </w:t>
      </w:r>
      <w:r w:rsidR="00F323A3">
        <w:t xml:space="preserve">restrict the </w:t>
      </w:r>
      <w:r>
        <w:t xml:space="preserve">criminal liability </w:t>
      </w:r>
      <w:r w:rsidR="00F323A3">
        <w:t xml:space="preserve">even of members of the legislature </w:t>
      </w:r>
      <w:r>
        <w:t xml:space="preserve">in respect of </w:t>
      </w:r>
      <w:r w:rsidR="00F323A3">
        <w:t xml:space="preserve">ordinary criminal </w:t>
      </w:r>
      <w:r>
        <w:t xml:space="preserve">offences whose </w:t>
      </w:r>
      <w:r w:rsidR="0042438D">
        <w:t xml:space="preserve">enforcement </w:t>
      </w:r>
      <w:r>
        <w:t xml:space="preserve">has no adverse impact on the core business of </w:t>
      </w:r>
      <w:proofErr w:type="spellStart"/>
      <w:r>
        <w:t>Legco</w:t>
      </w:r>
      <w:proofErr w:type="spellEnd"/>
      <w:r>
        <w:t xml:space="preserve">.  This is in line </w:t>
      </w:r>
      <w:r>
        <w:lastRenderedPageBreak/>
        <w:t xml:space="preserve">with the position at common law as explained by the UK Supreme Court in </w:t>
      </w:r>
      <w:r w:rsidRPr="007E3F96">
        <w:rPr>
          <w:i/>
        </w:rPr>
        <w:t xml:space="preserve">R v </w:t>
      </w:r>
      <w:proofErr w:type="spellStart"/>
      <w:r w:rsidRPr="007E3F96">
        <w:rPr>
          <w:i/>
        </w:rPr>
        <w:t>Chaytor</w:t>
      </w:r>
      <w:proofErr w:type="spellEnd"/>
      <w:r>
        <w:t>,</w:t>
      </w:r>
      <w:r>
        <w:rPr>
          <w:rStyle w:val="FootnoteReference"/>
        </w:rPr>
        <w:footnoteReference w:id="23"/>
      </w:r>
      <w:r w:rsidR="002864EC">
        <w:t xml:space="preserve"> </w:t>
      </w:r>
      <w:r w:rsidR="0042438D">
        <w:t xml:space="preserve">in connection with </w:t>
      </w:r>
      <w:r w:rsidR="002864EC">
        <w:t>parliamentary privilege.</w:t>
      </w:r>
      <w:r w:rsidR="0042438D">
        <w:rPr>
          <w:rStyle w:val="FootnoteReference"/>
        </w:rPr>
        <w:footnoteReference w:id="24"/>
      </w:r>
      <w:r w:rsidR="00F323A3">
        <w:t xml:space="preserve">  The enforcement of the ordinary criminal law within the precincts of </w:t>
      </w:r>
      <w:proofErr w:type="spellStart"/>
      <w:r w:rsidR="00F323A3">
        <w:t>Legco</w:t>
      </w:r>
      <w:proofErr w:type="spellEnd"/>
      <w:r w:rsidR="00F323A3">
        <w:t xml:space="preserve"> does not involve any infringement of the separation of power</w:t>
      </w:r>
      <w:r w:rsidR="00F633E1">
        <w:t>s</w:t>
      </w:r>
      <w:r w:rsidR="00F323A3">
        <w:t xml:space="preserve"> principle.</w:t>
      </w:r>
    </w:p>
    <w:p w:rsidR="00FB62F1" w:rsidRDefault="00F633E1" w:rsidP="007E3F96">
      <w:pPr>
        <w:pStyle w:val="Bob1"/>
        <w:tabs>
          <w:tab w:val="clear" w:pos="720"/>
          <w:tab w:val="left" w:pos="1440"/>
        </w:tabs>
        <w:ind w:left="0" w:firstLine="0"/>
        <w:jc w:val="both"/>
      </w:pPr>
      <w:r>
        <w:t>C</w:t>
      </w:r>
      <w:r w:rsidR="00FB62F1">
        <w:t xml:space="preserve">onstitutional issues </w:t>
      </w:r>
      <w:r w:rsidR="00E6484A">
        <w:t xml:space="preserve">and questions regarding contempt of the legislature </w:t>
      </w:r>
      <w:r>
        <w:t xml:space="preserve">might </w:t>
      </w:r>
      <w:r w:rsidR="00FB62F1">
        <w:t xml:space="preserve">arise if the police were to insist on entering </w:t>
      </w:r>
      <w:r w:rsidR="0012028F">
        <w:t xml:space="preserve">the </w:t>
      </w:r>
      <w:proofErr w:type="spellStart"/>
      <w:r w:rsidR="00FB62F1">
        <w:t>Legco</w:t>
      </w:r>
      <w:proofErr w:type="spellEnd"/>
      <w:r w:rsidR="00FB62F1">
        <w:t xml:space="preserve"> </w:t>
      </w:r>
      <w:r w:rsidR="0012028F">
        <w:t xml:space="preserve">Chamber </w:t>
      </w:r>
      <w:r w:rsidR="00FB62F1">
        <w:t xml:space="preserve">contrary to the wishes of the President </w:t>
      </w:r>
      <w:r>
        <w:t xml:space="preserve">and </w:t>
      </w:r>
      <w:r w:rsidR="00FB62F1">
        <w:t xml:space="preserve">the Council, for instance to effect certain arrests. However, no such </w:t>
      </w:r>
      <w:r w:rsidR="00E6484A">
        <w:t xml:space="preserve">issues </w:t>
      </w:r>
      <w:r w:rsidR="00FB62F1">
        <w:t>arise in the present case.</w:t>
      </w:r>
    </w:p>
    <w:p w:rsidR="00FB62F1" w:rsidRDefault="00FB62F1" w:rsidP="00240D68">
      <w:pPr>
        <w:pStyle w:val="docmapheading"/>
      </w:pPr>
      <w:r>
        <w:t>D.2</w:t>
      </w:r>
      <w:r>
        <w:tab/>
        <w:t xml:space="preserve">The LC(PP)O provisions </w:t>
      </w:r>
    </w:p>
    <w:p w:rsidR="00FB62F1" w:rsidRDefault="00557582" w:rsidP="007E3F96">
      <w:pPr>
        <w:pStyle w:val="Bob1"/>
        <w:tabs>
          <w:tab w:val="clear" w:pos="720"/>
          <w:tab w:val="left" w:pos="1440"/>
        </w:tabs>
        <w:ind w:left="0" w:firstLine="0"/>
        <w:jc w:val="both"/>
      </w:pPr>
      <w:r>
        <w:t xml:space="preserve">The provisions of the LC(PP)O support the proposition that police officers carrying out their </w:t>
      </w:r>
      <w:r w:rsidR="00CF477A">
        <w:t xml:space="preserve">ordinary </w:t>
      </w:r>
      <w:r>
        <w:t xml:space="preserve">duties </w:t>
      </w:r>
      <w:r w:rsidR="0042438D">
        <w:t>with</w:t>
      </w:r>
      <w:r>
        <w:t xml:space="preserve">in the precincts of </w:t>
      </w:r>
      <w:proofErr w:type="spellStart"/>
      <w:r>
        <w:t>Legco</w:t>
      </w:r>
      <w:proofErr w:type="spellEnd"/>
      <w:r>
        <w:t xml:space="preserve"> qualify as “officers of the Council” without the need for any prior invitation to enter the complex.</w:t>
      </w:r>
    </w:p>
    <w:p w:rsidR="00557582" w:rsidRDefault="00557582" w:rsidP="007E3F96">
      <w:pPr>
        <w:pStyle w:val="Bob1"/>
        <w:tabs>
          <w:tab w:val="clear" w:pos="720"/>
          <w:tab w:val="left" w:pos="1440"/>
        </w:tabs>
        <w:ind w:left="0" w:firstLine="0"/>
        <w:jc w:val="both"/>
      </w:pPr>
      <w:r>
        <w:t>Thus, LC(PP)O section 2</w:t>
      </w:r>
      <w:r w:rsidR="0012028F">
        <w:t>(1)</w:t>
      </w:r>
      <w:r>
        <w:t xml:space="preserve"> defines “officer of the Council” to include </w:t>
      </w:r>
      <w:r w:rsidR="000951DD">
        <w:t xml:space="preserve">“any police officer on duty within the precincts of the Chamber”.  It says nothing about such officer having </w:t>
      </w:r>
      <w:r w:rsidR="00CF477A">
        <w:t xml:space="preserve">first </w:t>
      </w:r>
      <w:r w:rsidR="000951DD">
        <w:t>to be invited to enter the</w:t>
      </w:r>
      <w:r w:rsidR="00CF477A">
        <w:t xml:space="preserve"> premises</w:t>
      </w:r>
      <w:r w:rsidR="000951DD">
        <w:t>.</w:t>
      </w:r>
      <w:r w:rsidR="00033966">
        <w:t xml:space="preserve">  </w:t>
      </w:r>
      <w:r w:rsidR="00E449D3">
        <w:t>I</w:t>
      </w:r>
      <w:r w:rsidR="0042438D">
        <w:t xml:space="preserve">t provides that </w:t>
      </w:r>
      <w:r w:rsidR="0012028F">
        <w:t>a</w:t>
      </w:r>
      <w:r w:rsidR="00033966">
        <w:t>s long</w:t>
      </w:r>
      <w:r w:rsidR="0012028F">
        <w:t xml:space="preserve"> as</w:t>
      </w:r>
      <w:r w:rsidR="00033966">
        <w:t xml:space="preserve"> the officer is “on duty” within </w:t>
      </w:r>
      <w:r w:rsidR="0042438D">
        <w:t xml:space="preserve">those </w:t>
      </w:r>
      <w:r w:rsidR="00033966">
        <w:t>precincts, he or she qualifies as an “officer of the Council”.</w:t>
      </w:r>
    </w:p>
    <w:p w:rsidR="000951DD" w:rsidRDefault="0012028F" w:rsidP="007E3F96">
      <w:pPr>
        <w:pStyle w:val="Bob1"/>
        <w:tabs>
          <w:tab w:val="clear" w:pos="720"/>
          <w:tab w:val="left" w:pos="1440"/>
        </w:tabs>
        <w:ind w:left="0" w:firstLine="0"/>
        <w:jc w:val="both"/>
      </w:pPr>
      <w:r>
        <w:t xml:space="preserve">The </w:t>
      </w:r>
      <w:r w:rsidR="000951DD">
        <w:t>LC(PP)O e</w:t>
      </w:r>
      <w:r w:rsidR="00033966">
        <w:t xml:space="preserve">xempts all officers of the Council </w:t>
      </w:r>
      <w:r w:rsidR="000951DD">
        <w:t xml:space="preserve">from rules restricting </w:t>
      </w:r>
      <w:r>
        <w:t xml:space="preserve">admittance </w:t>
      </w:r>
      <w:r w:rsidR="00033966">
        <w:t>without any qualification regarding police officers</w:t>
      </w:r>
      <w:r w:rsidR="000951DD">
        <w:t>.  Thus, LC(PP)O section 8</w:t>
      </w:r>
      <w:r w:rsidR="00164D49">
        <w:t xml:space="preserve">, while </w:t>
      </w:r>
      <w:r w:rsidR="00CF477A">
        <w:t xml:space="preserve">generally </w:t>
      </w:r>
      <w:r w:rsidR="00164D49">
        <w:t xml:space="preserve">providing that </w:t>
      </w:r>
      <w:r w:rsidR="000951DD">
        <w:t>sittings of the Council shall be open to the public</w:t>
      </w:r>
      <w:r w:rsidR="00164D49">
        <w:t>,</w:t>
      </w:r>
      <w:r w:rsidR="00164D49">
        <w:rPr>
          <w:rStyle w:val="FootnoteReference"/>
        </w:rPr>
        <w:footnoteReference w:id="25"/>
      </w:r>
      <w:r w:rsidR="000951DD">
        <w:t xml:space="preserve"> </w:t>
      </w:r>
      <w:r w:rsidR="0042438D">
        <w:t xml:space="preserve">stipulates </w:t>
      </w:r>
      <w:r w:rsidR="00164D49">
        <w:t>that “[t</w:t>
      </w:r>
      <w:r w:rsidR="000951DD">
        <w:t>he</w:t>
      </w:r>
      <w:r w:rsidR="00164D49">
        <w:t>]</w:t>
      </w:r>
      <w:r w:rsidR="000951DD">
        <w:t xml:space="preserve"> right of persons </w:t>
      </w:r>
      <w:r w:rsidR="000951DD" w:rsidRPr="007E3F96">
        <w:rPr>
          <w:i/>
        </w:rPr>
        <w:t>other than</w:t>
      </w:r>
      <w:r w:rsidR="000951DD">
        <w:t xml:space="preserve"> members or </w:t>
      </w:r>
      <w:r w:rsidR="000951DD" w:rsidRPr="007E3F96">
        <w:rPr>
          <w:i/>
        </w:rPr>
        <w:lastRenderedPageBreak/>
        <w:t>officers of the Council</w:t>
      </w:r>
      <w:r w:rsidR="000951DD">
        <w:t xml:space="preserve"> to enter or remain within the precincts of the Chamber shall be subject to the Rules of Procedure or any resolution of the Council limiting or prohibiting the enjoyment of such right</w:t>
      </w:r>
      <w:r w:rsidR="00164D49">
        <w:t>”</w:t>
      </w:r>
      <w:r w:rsidR="000951DD">
        <w:t>.</w:t>
      </w:r>
      <w:r w:rsidR="00164D49">
        <w:rPr>
          <w:rStyle w:val="FootnoteReference"/>
        </w:rPr>
        <w:footnoteReference w:id="26"/>
      </w:r>
      <w:r w:rsidR="000951DD">
        <w:t xml:space="preserve"> </w:t>
      </w:r>
      <w:r w:rsidR="00164D49">
        <w:t xml:space="preserve"> Thus, the </w:t>
      </w:r>
      <w:r w:rsidR="00164D49" w:rsidRPr="00CF477A">
        <w:t>right</w:t>
      </w:r>
      <w:r w:rsidR="00164D49" w:rsidRPr="007E3F96">
        <w:rPr>
          <w:i/>
        </w:rPr>
        <w:t xml:space="preserve"> </w:t>
      </w:r>
      <w:r w:rsidR="00164D49">
        <w:t xml:space="preserve">of officers of the Council to enter or remain within the precincts of the Chamber is </w:t>
      </w:r>
      <w:r w:rsidR="00E449D3">
        <w:t xml:space="preserve">enjoyed without </w:t>
      </w:r>
      <w:r w:rsidR="00C609F3">
        <w:t>be</w:t>
      </w:r>
      <w:r w:rsidR="00E449D3">
        <w:t>ing</w:t>
      </w:r>
      <w:r w:rsidR="00C609F3">
        <w:t xml:space="preserve"> </w:t>
      </w:r>
      <w:r w:rsidR="00164D49">
        <w:t>subject to such Rules or resolutions.</w:t>
      </w:r>
      <w:r w:rsidR="00C609F3">
        <w:t xml:space="preserve">  If it had been intended that police officers</w:t>
      </w:r>
      <w:r>
        <w:t xml:space="preserve"> </w:t>
      </w:r>
      <w:r w:rsidR="00E449D3">
        <w:t xml:space="preserve">should </w:t>
      </w:r>
      <w:r w:rsidR="0042438D">
        <w:t xml:space="preserve">require </w:t>
      </w:r>
      <w:r w:rsidR="00D929D9">
        <w:t>a prior invitation by or on behalf of the President</w:t>
      </w:r>
      <w:r w:rsidR="00C609F3">
        <w:t>, one would have expected the exemption</w:t>
      </w:r>
      <w:r w:rsidR="0042438D">
        <w:t xml:space="preserve"> to be suitably </w:t>
      </w:r>
      <w:r w:rsidR="0056544C">
        <w:t>qualified</w:t>
      </w:r>
      <w:r w:rsidR="00C609F3">
        <w:t>.</w:t>
      </w:r>
    </w:p>
    <w:p w:rsidR="00164D49" w:rsidRDefault="00164D49" w:rsidP="007E3F96">
      <w:pPr>
        <w:pStyle w:val="Bob1"/>
        <w:tabs>
          <w:tab w:val="clear" w:pos="720"/>
          <w:tab w:val="left" w:pos="0"/>
          <w:tab w:val="left" w:pos="1440"/>
        </w:tabs>
        <w:ind w:left="0" w:firstLine="0"/>
      </w:pPr>
      <w:r>
        <w:t>Similarly, LC(PP)O section 8(3) provides:</w:t>
      </w:r>
    </w:p>
    <w:p w:rsidR="000951DD" w:rsidRDefault="00164D49" w:rsidP="007E3F96">
      <w:pPr>
        <w:pStyle w:val="Bob1"/>
        <w:numPr>
          <w:ilvl w:val="0"/>
          <w:numId w:val="0"/>
        </w:numPr>
        <w:tabs>
          <w:tab w:val="left" w:pos="1170"/>
        </w:tabs>
        <w:spacing w:line="240" w:lineRule="auto"/>
        <w:ind w:left="720"/>
        <w:jc w:val="both"/>
        <w:rPr>
          <w:sz w:val="24"/>
        </w:rPr>
      </w:pPr>
      <w:r w:rsidRPr="00164D49">
        <w:rPr>
          <w:sz w:val="24"/>
        </w:rPr>
        <w:t>“</w:t>
      </w:r>
      <w:r w:rsidR="000951DD" w:rsidRPr="00164D49">
        <w:rPr>
          <w:sz w:val="24"/>
        </w:rPr>
        <w:t>The President may from time to time, for the purpose of maintaining the security of the precincts of the Chamber, ensuring the proper behaviour and decorum of persons therein and for other administrative purposes, issue such administrative instructions as he may deem necessary or expedient for regulating the admittance of persons (</w:t>
      </w:r>
      <w:r w:rsidR="000951DD" w:rsidRPr="00164D49">
        <w:rPr>
          <w:i/>
          <w:sz w:val="24"/>
        </w:rPr>
        <w:t>other than members or officers of the Council</w:t>
      </w:r>
      <w:r w:rsidR="000951DD" w:rsidRPr="00164D49">
        <w:rPr>
          <w:sz w:val="24"/>
        </w:rPr>
        <w:t>) to, and the conduct of such persons within, the Chamber and the precincts of the Chamber.</w:t>
      </w:r>
      <w:r w:rsidR="00CF477A">
        <w:rPr>
          <w:sz w:val="24"/>
        </w:rPr>
        <w:t>”</w:t>
      </w:r>
      <w:r w:rsidR="000951DD" w:rsidRPr="00164D49">
        <w:rPr>
          <w:sz w:val="24"/>
        </w:rPr>
        <w:t xml:space="preserve"> </w:t>
      </w:r>
      <w:r w:rsidR="00CF477A">
        <w:rPr>
          <w:sz w:val="24"/>
        </w:rPr>
        <w:t>(Italics supplied)</w:t>
      </w:r>
    </w:p>
    <w:p w:rsidR="00164D49" w:rsidRDefault="000A1150" w:rsidP="007E3F96">
      <w:pPr>
        <w:pStyle w:val="Bob1"/>
        <w:numPr>
          <w:ilvl w:val="0"/>
          <w:numId w:val="0"/>
        </w:numPr>
        <w:jc w:val="both"/>
      </w:pPr>
      <w:r>
        <w:t>Thus, the admittance of officers of the Council to the precincts of the Chamber is not</w:t>
      </w:r>
      <w:r w:rsidR="00C609F3">
        <w:t xml:space="preserve"> </w:t>
      </w:r>
      <w:r>
        <w:t xml:space="preserve">subject to regulation by </w:t>
      </w:r>
      <w:r w:rsidR="0056544C">
        <w:t xml:space="preserve">restrictive </w:t>
      </w:r>
      <w:r>
        <w:t>administrative instructions.</w:t>
      </w:r>
      <w:r w:rsidR="00C609F3">
        <w:t xml:space="preserve">  Once again, there is no </w:t>
      </w:r>
      <w:r w:rsidR="0056544C">
        <w:t xml:space="preserve">qualification making the admittance of police officers conditional upon </w:t>
      </w:r>
      <w:r w:rsidR="00D929D9">
        <w:t>a prior invitation.</w:t>
      </w:r>
    </w:p>
    <w:p w:rsidR="00B3792E" w:rsidRDefault="000A1150" w:rsidP="007E3F96">
      <w:pPr>
        <w:pStyle w:val="Bob1"/>
        <w:tabs>
          <w:tab w:val="clear" w:pos="720"/>
          <w:tab w:val="left" w:pos="1440"/>
        </w:tabs>
        <w:ind w:left="0" w:firstLine="0"/>
        <w:jc w:val="both"/>
      </w:pPr>
      <w:r>
        <w:t>LC(PP)O section 20, which makes it an offence to enter or attempt</w:t>
      </w:r>
      <w:r w:rsidRPr="000A1150">
        <w:t xml:space="preserve"> to enter</w:t>
      </w:r>
      <w:r>
        <w:t xml:space="preserve"> the precincts of the Chamber in contravention of rules referred to in section 8(2) or in contravention of instructions regulating admittance under section 8(3), makes it clear that </w:t>
      </w:r>
      <w:r w:rsidR="00C609F3">
        <w:t>the</w:t>
      </w:r>
      <w:r>
        <w:t xml:space="preserve"> offence does not apply to officers of the Council</w:t>
      </w:r>
      <w:r w:rsidR="0056544C">
        <w:t xml:space="preserve"> in general</w:t>
      </w:r>
      <w:r>
        <w:t>.</w:t>
      </w:r>
    </w:p>
    <w:p w:rsidR="00B3792E" w:rsidRDefault="0056544C" w:rsidP="007E3F96">
      <w:pPr>
        <w:pStyle w:val="Bob1"/>
        <w:tabs>
          <w:tab w:val="clear" w:pos="720"/>
          <w:tab w:val="left" w:pos="1440"/>
        </w:tabs>
        <w:ind w:left="0" w:firstLine="0"/>
        <w:jc w:val="both"/>
      </w:pPr>
      <w:r>
        <w:t>Where the President’s permission is necessary</w:t>
      </w:r>
      <w:r w:rsidR="00E449D3">
        <w:t xml:space="preserve"> – for instance, to enter particular parts of the </w:t>
      </w:r>
      <w:proofErr w:type="spellStart"/>
      <w:r w:rsidR="00E449D3">
        <w:t>Legco</w:t>
      </w:r>
      <w:proofErr w:type="spellEnd"/>
      <w:r w:rsidR="00E449D3">
        <w:t xml:space="preserve"> complex –</w:t>
      </w:r>
      <w:r>
        <w:t xml:space="preserve"> this is expressly specified in the rules.  Thus, for instance, section 4(1) of the</w:t>
      </w:r>
      <w:r w:rsidR="00B3792E">
        <w:t xml:space="preserve"> Administrative Instructions </w:t>
      </w:r>
      <w:r w:rsidR="00B3792E" w:rsidRPr="00B3792E">
        <w:t xml:space="preserve">for </w:t>
      </w:r>
      <w:r w:rsidR="00B3792E" w:rsidRPr="00B3792E">
        <w:lastRenderedPageBreak/>
        <w:t>Regulating Admittance and Conduct of Persons</w:t>
      </w:r>
      <w:r w:rsidR="00B3792E">
        <w:rPr>
          <w:rStyle w:val="FootnoteReference"/>
        </w:rPr>
        <w:footnoteReference w:id="27"/>
      </w:r>
      <w:r w:rsidR="00B3792E" w:rsidRPr="00B3792E">
        <w:t xml:space="preserve"> </w:t>
      </w:r>
      <w:r w:rsidR="00AF4E5B">
        <w:t>(“</w:t>
      </w:r>
      <w:r w:rsidR="00AF4E5B" w:rsidRPr="007E3F96">
        <w:rPr>
          <w:u w:val="single"/>
        </w:rPr>
        <w:t>the Administrative Instructions</w:t>
      </w:r>
      <w:r w:rsidR="00AF4E5B">
        <w:t>”)</w:t>
      </w:r>
      <w:r>
        <w:t xml:space="preserve"> provides</w:t>
      </w:r>
      <w:r w:rsidR="007907BE">
        <w:t>: “</w:t>
      </w:r>
      <w:r w:rsidR="007907BE" w:rsidRPr="007907BE">
        <w:t>No person other than a Member or an officer of the Council shall enter the antechamber marked as such on the plan or any committee room without the permission of the President.</w:t>
      </w:r>
      <w:r w:rsidR="007907BE">
        <w:t>”</w:t>
      </w:r>
      <w:r w:rsidR="00D929D9">
        <w:t xml:space="preserve"> </w:t>
      </w:r>
      <w:r w:rsidR="00033966">
        <w:t xml:space="preserve"> </w:t>
      </w:r>
      <w:r w:rsidR="00D15682" w:rsidRPr="00D15682">
        <w:t>Administrative Instructions, sections 4(2), 5, 6 and 7 are to similar effect.</w:t>
      </w:r>
    </w:p>
    <w:p w:rsidR="00CF477A" w:rsidRDefault="00DE423C" w:rsidP="007E3F96">
      <w:pPr>
        <w:pStyle w:val="Bob1"/>
        <w:tabs>
          <w:tab w:val="clear" w:pos="720"/>
          <w:tab w:val="left" w:pos="1440"/>
        </w:tabs>
        <w:ind w:left="0" w:firstLine="0"/>
        <w:jc w:val="both"/>
      </w:pPr>
      <w:r>
        <w:t xml:space="preserve">The LC(PP)O and Administrative Instructions therefore </w:t>
      </w:r>
      <w:r w:rsidR="0056544C">
        <w:t>lay down</w:t>
      </w:r>
      <w:r>
        <w:t xml:space="preserve"> a statutory scheme </w:t>
      </w:r>
      <w:r w:rsidR="0056544C">
        <w:t xml:space="preserve">for </w:t>
      </w:r>
      <w:r>
        <w:t xml:space="preserve">regulating admittance </w:t>
      </w:r>
      <w:r w:rsidR="00033966">
        <w:t>which</w:t>
      </w:r>
      <w:r>
        <w:t xml:space="preserve"> </w:t>
      </w:r>
      <w:r w:rsidR="00D24C07">
        <w:t xml:space="preserve">affirms the right of </w:t>
      </w:r>
      <w:r>
        <w:t>officers of the Council</w:t>
      </w:r>
      <w:r w:rsidR="00033966">
        <w:t xml:space="preserve"> </w:t>
      </w:r>
      <w:r w:rsidR="00D24C07">
        <w:t xml:space="preserve">to enter </w:t>
      </w:r>
      <w:r w:rsidR="000B7A85">
        <w:t xml:space="preserve">and remain </w:t>
      </w:r>
      <w:r w:rsidR="0056544C">
        <w:t>within</w:t>
      </w:r>
      <w:r w:rsidR="00D15682">
        <w:t xml:space="preserve"> </w:t>
      </w:r>
      <w:proofErr w:type="spellStart"/>
      <w:r w:rsidR="00D15682">
        <w:t>Legco’s</w:t>
      </w:r>
      <w:proofErr w:type="spellEnd"/>
      <w:r w:rsidR="0056544C">
        <w:t xml:space="preserve"> precincts</w:t>
      </w:r>
      <w:r w:rsidR="00E449D3">
        <w:t>.  There is no</w:t>
      </w:r>
      <w:r w:rsidR="0056544C">
        <w:t xml:space="preserve"> </w:t>
      </w:r>
      <w:r w:rsidR="00D15682">
        <w:t>suggestion</w:t>
      </w:r>
      <w:r w:rsidR="0056544C">
        <w:t xml:space="preserve"> </w:t>
      </w:r>
      <w:r w:rsidR="00E449D3">
        <w:t xml:space="preserve">that </w:t>
      </w:r>
      <w:r w:rsidR="00D24C07">
        <w:t xml:space="preserve">a prior invitation </w:t>
      </w:r>
      <w:r w:rsidR="00E449D3">
        <w:t xml:space="preserve">is needed </w:t>
      </w:r>
      <w:r w:rsidR="00D24C07">
        <w:t xml:space="preserve">in the case of </w:t>
      </w:r>
      <w:r w:rsidR="0056544C">
        <w:t xml:space="preserve">police </w:t>
      </w:r>
      <w:r w:rsidR="00D24C07">
        <w:t>officers</w:t>
      </w:r>
      <w:r w:rsidR="00D15682">
        <w:t xml:space="preserve"> on duty within those precincts</w:t>
      </w:r>
      <w:r w:rsidR="00D24C07">
        <w:t xml:space="preserve">.  </w:t>
      </w:r>
      <w:r w:rsidR="00882A5C">
        <w:t xml:space="preserve">Of course in practice, </w:t>
      </w:r>
      <w:r w:rsidR="001A62AE">
        <w:t xml:space="preserve">if </w:t>
      </w:r>
      <w:r w:rsidR="00882A5C">
        <w:t xml:space="preserve">police </w:t>
      </w:r>
      <w:r w:rsidR="00E449D3">
        <w:t>assistance</w:t>
      </w:r>
      <w:r w:rsidR="00882A5C">
        <w:t xml:space="preserve"> </w:t>
      </w:r>
      <w:r w:rsidR="001A62AE">
        <w:t xml:space="preserve">is required, </w:t>
      </w:r>
      <w:r w:rsidR="00E449D3">
        <w:t xml:space="preserve">it is likely that </w:t>
      </w:r>
      <w:r w:rsidR="001A62AE">
        <w:t xml:space="preserve">a request will be made </w:t>
      </w:r>
      <w:r w:rsidR="00882A5C">
        <w:t>by a responsible person</w:t>
      </w:r>
      <w:r w:rsidR="00E449D3">
        <w:t xml:space="preserve"> in </w:t>
      </w:r>
      <w:proofErr w:type="spellStart"/>
      <w:r w:rsidR="00E449D3">
        <w:t>Legco</w:t>
      </w:r>
      <w:proofErr w:type="spellEnd"/>
      <w:r w:rsidR="00882A5C">
        <w:t xml:space="preserve">.  </w:t>
      </w:r>
      <w:r w:rsidR="001A62AE">
        <w:t xml:space="preserve">It is unnecessary for this to be done </w:t>
      </w:r>
      <w:r w:rsidR="00882A5C">
        <w:t xml:space="preserve">by the President acting as such.  </w:t>
      </w:r>
      <w:r w:rsidR="001A62AE">
        <w:t>There is no reason</w:t>
      </w:r>
      <w:r w:rsidR="00E449D3">
        <w:t>, for instance,</w:t>
      </w:r>
      <w:r w:rsidR="001A62AE">
        <w:t xml:space="preserve"> why a security officer should be precluded from calling the police for help if needed.  </w:t>
      </w:r>
      <w:r w:rsidR="00882A5C">
        <w:t xml:space="preserve">And entry without such an invitation does not make </w:t>
      </w:r>
      <w:r w:rsidR="001A62AE">
        <w:t>the</w:t>
      </w:r>
      <w:r w:rsidR="00882A5C">
        <w:t xml:space="preserve"> presence </w:t>
      </w:r>
      <w:r w:rsidR="001A62AE">
        <w:t xml:space="preserve">of a police officer </w:t>
      </w:r>
      <w:r w:rsidR="00882A5C">
        <w:t xml:space="preserve">on duty within the precincts of </w:t>
      </w:r>
      <w:proofErr w:type="spellStart"/>
      <w:r w:rsidR="00882A5C">
        <w:t>Legco</w:t>
      </w:r>
      <w:proofErr w:type="spellEnd"/>
      <w:r w:rsidR="00882A5C">
        <w:t xml:space="preserve"> unlawful and does not deprive </w:t>
      </w:r>
      <w:r w:rsidR="001A62AE">
        <w:t xml:space="preserve">such an </w:t>
      </w:r>
      <w:r w:rsidR="00882A5C">
        <w:t>officer</w:t>
      </w:r>
      <w:r w:rsidR="001A62AE">
        <w:t xml:space="preserve"> of his</w:t>
      </w:r>
      <w:r w:rsidR="00882A5C">
        <w:t xml:space="preserve"> status as </w:t>
      </w:r>
      <w:r w:rsidR="001A62AE">
        <w:t xml:space="preserve">an </w:t>
      </w:r>
      <w:r w:rsidR="00882A5C">
        <w:t>officer of the Council for the purposes of section 19(b).</w:t>
      </w:r>
    </w:p>
    <w:p w:rsidR="000253A7" w:rsidRDefault="000253A7" w:rsidP="00240D68">
      <w:pPr>
        <w:pStyle w:val="docmapheading"/>
      </w:pPr>
      <w:r>
        <w:t>D.3</w:t>
      </w:r>
      <w:r>
        <w:tab/>
        <w:t>The police were in any event invited to enter</w:t>
      </w:r>
    </w:p>
    <w:p w:rsidR="007C6E66" w:rsidRDefault="007D7F79" w:rsidP="007E3F96">
      <w:pPr>
        <w:pStyle w:val="Bob1"/>
        <w:tabs>
          <w:tab w:val="clear" w:pos="720"/>
          <w:tab w:val="left" w:pos="1440"/>
        </w:tabs>
        <w:ind w:left="0" w:firstLine="0"/>
        <w:jc w:val="both"/>
      </w:pPr>
      <w:r>
        <w:t>Even if, contrary to the foregoing analysis</w:t>
      </w:r>
      <w:r w:rsidR="00E42266">
        <w:t>, the appellant is correct in his submission that</w:t>
      </w:r>
      <w:r>
        <w:t xml:space="preserve"> </w:t>
      </w:r>
      <w:r w:rsidR="00355FC3">
        <w:t xml:space="preserve">in order to qualify as officers of the Council, police officers like </w:t>
      </w:r>
      <w:r>
        <w:t xml:space="preserve">Inspector Kwok needed </w:t>
      </w:r>
      <w:r w:rsidR="00355FC3">
        <w:t xml:space="preserve">an </w:t>
      </w:r>
      <w:r>
        <w:t xml:space="preserve">invitation to enter </w:t>
      </w:r>
      <w:r w:rsidR="00355FC3">
        <w:t xml:space="preserve">issued by the President of </w:t>
      </w:r>
      <w:proofErr w:type="spellStart"/>
      <w:r w:rsidR="00355FC3">
        <w:t>Legco</w:t>
      </w:r>
      <w:proofErr w:type="spellEnd"/>
      <w:r>
        <w:t xml:space="preserve">, </w:t>
      </w:r>
      <w:r w:rsidR="00D15682">
        <w:t xml:space="preserve">the </w:t>
      </w:r>
      <w:r w:rsidR="00AB0B59">
        <w:t xml:space="preserve">police officers </w:t>
      </w:r>
      <w:r w:rsidR="00D15682">
        <w:t xml:space="preserve">concerned </w:t>
      </w:r>
      <w:r>
        <w:t>did in fact receive such an invitation</w:t>
      </w:r>
      <w:r w:rsidR="00355FC3">
        <w:t>.  It was issued by</w:t>
      </w:r>
      <w:r>
        <w:t xml:space="preserve"> Mr Tsang, who served </w:t>
      </w:r>
      <w:r w:rsidR="00E42266">
        <w:t>simultaneously</w:t>
      </w:r>
      <w:r>
        <w:t xml:space="preserve"> as President of </w:t>
      </w:r>
      <w:proofErr w:type="spellStart"/>
      <w:r>
        <w:t>Legco</w:t>
      </w:r>
      <w:proofErr w:type="spellEnd"/>
      <w:r>
        <w:t xml:space="preserve"> and </w:t>
      </w:r>
      <w:r w:rsidR="00E42266">
        <w:t xml:space="preserve">Chairman </w:t>
      </w:r>
      <w:r>
        <w:t>of the LCC.</w:t>
      </w:r>
      <w:r w:rsidR="00E42266">
        <w:t xml:space="preserve">  </w:t>
      </w:r>
    </w:p>
    <w:p w:rsidR="007D7F79" w:rsidRPr="007C6E66" w:rsidRDefault="00E42266" w:rsidP="007E3F96">
      <w:pPr>
        <w:pStyle w:val="Bob1"/>
        <w:tabs>
          <w:tab w:val="clear" w:pos="720"/>
          <w:tab w:val="left" w:pos="1440"/>
        </w:tabs>
        <w:ind w:left="0" w:firstLine="0"/>
        <w:jc w:val="both"/>
      </w:pPr>
      <w:r>
        <w:lastRenderedPageBreak/>
        <w:t xml:space="preserve">It cannot matter </w:t>
      </w:r>
      <w:r w:rsidR="007D7F79">
        <w:t xml:space="preserve">that Mr Tsang considered himself to be acting as </w:t>
      </w:r>
      <w:r>
        <w:t xml:space="preserve">Chairman </w:t>
      </w:r>
      <w:r w:rsidR="007D7F79">
        <w:t xml:space="preserve">of the LCC </w:t>
      </w:r>
      <w:r w:rsidR="000B7A85">
        <w:t xml:space="preserve">when requesting police assistance, </w:t>
      </w:r>
      <w:r>
        <w:t xml:space="preserve">since </w:t>
      </w:r>
      <w:r w:rsidR="000B7A85">
        <w:t xml:space="preserve">objectively and as a matter of law, he was </w:t>
      </w:r>
      <w:r>
        <w:t xml:space="preserve">also President of </w:t>
      </w:r>
      <w:proofErr w:type="spellStart"/>
      <w:r>
        <w:t>Legco</w:t>
      </w:r>
      <w:proofErr w:type="spellEnd"/>
      <w:r>
        <w:t xml:space="preserve"> when </w:t>
      </w:r>
      <w:r w:rsidR="00355FC3">
        <w:t xml:space="preserve">he sought </w:t>
      </w:r>
      <w:r>
        <w:t xml:space="preserve">police intervention.  Indeed, pursuant to section 4(1)(a) of the </w:t>
      </w:r>
      <w:r w:rsidRPr="007E3F96">
        <w:rPr>
          <w:szCs w:val="28"/>
        </w:rPr>
        <w:t>Legislative Council Commission Ordinance,</w:t>
      </w:r>
      <w:r>
        <w:rPr>
          <w:rStyle w:val="FootnoteReference"/>
          <w:szCs w:val="28"/>
        </w:rPr>
        <w:footnoteReference w:id="28"/>
      </w:r>
      <w:r w:rsidRPr="007E3F96">
        <w:rPr>
          <w:szCs w:val="28"/>
        </w:rPr>
        <w:t xml:space="preserve"> Mr Tsang was </w:t>
      </w:r>
      <w:r w:rsidR="007C6E66" w:rsidRPr="007E3F96">
        <w:rPr>
          <w:i/>
          <w:szCs w:val="28"/>
        </w:rPr>
        <w:t>ex officio</w:t>
      </w:r>
      <w:r w:rsidR="007C6E66" w:rsidRPr="007E3F96">
        <w:rPr>
          <w:szCs w:val="28"/>
        </w:rPr>
        <w:t xml:space="preserve"> </w:t>
      </w:r>
      <w:r w:rsidRPr="007E3F96">
        <w:rPr>
          <w:szCs w:val="28"/>
        </w:rPr>
        <w:t>Chairman of the LCC because</w:t>
      </w:r>
      <w:r w:rsidR="007C6E66" w:rsidRPr="007E3F96">
        <w:rPr>
          <w:szCs w:val="28"/>
        </w:rPr>
        <w:t xml:space="preserve"> </w:t>
      </w:r>
      <w:r w:rsidRPr="007E3F96">
        <w:rPr>
          <w:szCs w:val="28"/>
        </w:rPr>
        <w:t xml:space="preserve">he was President of </w:t>
      </w:r>
      <w:proofErr w:type="spellStart"/>
      <w:r w:rsidRPr="007E3F96">
        <w:rPr>
          <w:szCs w:val="28"/>
        </w:rPr>
        <w:t>Legco</w:t>
      </w:r>
      <w:proofErr w:type="spellEnd"/>
      <w:r w:rsidRPr="007E3F96">
        <w:rPr>
          <w:szCs w:val="28"/>
        </w:rPr>
        <w:t>.</w:t>
      </w:r>
    </w:p>
    <w:p w:rsidR="007C6E66" w:rsidRPr="00240D68" w:rsidRDefault="007C6E66" w:rsidP="00BC300E">
      <w:pPr>
        <w:rPr>
          <w:i/>
        </w:rPr>
      </w:pPr>
      <w:r w:rsidRPr="00240D68">
        <w:rPr>
          <w:i/>
        </w:rPr>
        <w:t>D.4</w:t>
      </w:r>
      <w:r w:rsidRPr="00240D68">
        <w:rPr>
          <w:i/>
        </w:rPr>
        <w:tab/>
        <w:t>The appellant’s modified stance</w:t>
      </w:r>
    </w:p>
    <w:p w:rsidR="007C6E66" w:rsidRDefault="007C6E66" w:rsidP="007E3F96">
      <w:pPr>
        <w:pStyle w:val="Bob1"/>
        <w:tabs>
          <w:tab w:val="clear" w:pos="720"/>
          <w:tab w:val="left" w:pos="1440"/>
        </w:tabs>
        <w:ind w:left="-90" w:firstLine="90"/>
        <w:jc w:val="both"/>
      </w:pPr>
      <w:r>
        <w:t xml:space="preserve">At the hearing, Mr Dykes SC retreated from the position taken in the Written Case that police officers may not lawfully enter </w:t>
      </w:r>
      <w:proofErr w:type="spellStart"/>
      <w:r>
        <w:t>Legco’s</w:t>
      </w:r>
      <w:proofErr w:type="spellEnd"/>
      <w:r>
        <w:t xml:space="preserve"> precincts </w:t>
      </w:r>
      <w:r w:rsidR="00FF0BD7">
        <w:t xml:space="preserve">at all </w:t>
      </w:r>
      <w:r>
        <w:t>unless invited to do so by on or behalf of the President.  He</w:t>
      </w:r>
      <w:r w:rsidR="00A92023">
        <w:t xml:space="preserve"> </w:t>
      </w:r>
      <w:r>
        <w:t xml:space="preserve">submitted that </w:t>
      </w:r>
      <w:r w:rsidR="00FF0BD7">
        <w:t xml:space="preserve">police </w:t>
      </w:r>
      <w:r>
        <w:t xml:space="preserve">officers could </w:t>
      </w:r>
      <w:r w:rsidR="00FF0BD7">
        <w:t xml:space="preserve">lawfully </w:t>
      </w:r>
      <w:r>
        <w:t>enter and perform their ordinary duties in those precincts</w:t>
      </w:r>
      <w:r w:rsidR="00A92023">
        <w:t xml:space="preserve"> </w:t>
      </w:r>
      <w:r>
        <w:t>but</w:t>
      </w:r>
      <w:r w:rsidR="00FF0BD7">
        <w:t xml:space="preserve"> that</w:t>
      </w:r>
      <w:r>
        <w:t>, unless they had been invited to do so,</w:t>
      </w:r>
      <w:r w:rsidR="00A92023">
        <w:t xml:space="preserve"> </w:t>
      </w:r>
      <w:r>
        <w:t xml:space="preserve">they would only be acting as police officers, but not as officers of the Council.  He accepted that a person obstructing them in the execution of their duty </w:t>
      </w:r>
      <w:r w:rsidR="00757D61">
        <w:t xml:space="preserve">in such circumstances </w:t>
      </w:r>
      <w:r>
        <w:t xml:space="preserve">could properly be convicted of an offence </w:t>
      </w:r>
      <w:r w:rsidR="00163B59">
        <w:t xml:space="preserve">of </w:t>
      </w:r>
      <w:r w:rsidR="00163B59" w:rsidRPr="00163B59">
        <w:t>resist</w:t>
      </w:r>
      <w:r w:rsidR="00163B59">
        <w:t>ing</w:t>
      </w:r>
      <w:r w:rsidR="00163B59" w:rsidRPr="00163B59">
        <w:t xml:space="preserve"> </w:t>
      </w:r>
      <w:r w:rsidR="00163B59">
        <w:t xml:space="preserve">a </w:t>
      </w:r>
      <w:r w:rsidR="00163B59" w:rsidRPr="00163B59">
        <w:t>police officer acting in the execution of his duty</w:t>
      </w:r>
      <w:r w:rsidR="00163B59">
        <w:t xml:space="preserve"> under PFO section 63</w:t>
      </w:r>
      <w:r w:rsidR="00757D61">
        <w:t>, but not of the offence under LC(PP)O section 19(b)</w:t>
      </w:r>
      <w:r w:rsidR="00FF0BD7">
        <w:t>.</w:t>
      </w:r>
    </w:p>
    <w:p w:rsidR="00163B59" w:rsidRDefault="00FF0BD7" w:rsidP="007E3F96">
      <w:pPr>
        <w:pStyle w:val="Bob1"/>
        <w:tabs>
          <w:tab w:val="clear" w:pos="720"/>
          <w:tab w:val="left" w:pos="1440"/>
        </w:tabs>
        <w:ind w:left="-90" w:firstLine="90"/>
        <w:jc w:val="both"/>
      </w:pPr>
      <w:r>
        <w:t>T</w:t>
      </w:r>
      <w:r w:rsidR="008C58E9">
        <w:t xml:space="preserve">his modified </w:t>
      </w:r>
      <w:r w:rsidR="00A92023">
        <w:t>approach</w:t>
      </w:r>
      <w:r w:rsidR="00100236">
        <w:t xml:space="preserve"> seriously undermines</w:t>
      </w:r>
      <w:r w:rsidR="00A92023">
        <w:t xml:space="preserve"> the first ground of the appellant’s appeal.  Once it is accepted that no invitation is needed to enable a police officer lawfully to enter </w:t>
      </w:r>
      <w:proofErr w:type="spellStart"/>
      <w:r w:rsidR="00A92023">
        <w:t>Legco’s</w:t>
      </w:r>
      <w:proofErr w:type="spellEnd"/>
      <w:r w:rsidR="00A92023">
        <w:t xml:space="preserve"> precincts to perform his ordinary duties, it is difficult to see </w:t>
      </w:r>
      <w:r w:rsidR="00100236">
        <w:t xml:space="preserve">how </w:t>
      </w:r>
      <w:r w:rsidR="00847598">
        <w:t xml:space="preserve">one can deny </w:t>
      </w:r>
      <w:r w:rsidR="00A92023">
        <w:t>that such an officer come</w:t>
      </w:r>
      <w:r w:rsidR="00100236">
        <w:t>s</w:t>
      </w:r>
      <w:r w:rsidR="00A92023">
        <w:t xml:space="preserve"> within the definition of an “officer of the Council” in LC(PP)O section 2(1) since he would be a “police officer on duty within the precincts of the Chamber”.</w:t>
      </w:r>
      <w:r w:rsidR="00100236">
        <w:t xml:space="preserve">  Obstructing him in the execution of his duty would thus trigger liability under section 19(b).</w:t>
      </w:r>
    </w:p>
    <w:p w:rsidR="002D3D58" w:rsidRDefault="002D3D58" w:rsidP="00240D68">
      <w:pPr>
        <w:pStyle w:val="docmapheading"/>
      </w:pPr>
      <w:r>
        <w:lastRenderedPageBreak/>
        <w:t>E.</w:t>
      </w:r>
      <w:r>
        <w:tab/>
        <w:t xml:space="preserve">The second ground: </w:t>
      </w:r>
      <w:r w:rsidR="00D06E88">
        <w:t>Inspector Kwok was not acting</w:t>
      </w:r>
      <w:r>
        <w:t xml:space="preserve"> in the execution of his duty </w:t>
      </w:r>
    </w:p>
    <w:p w:rsidR="002D3D58" w:rsidRDefault="00D06E88" w:rsidP="007E3F96">
      <w:pPr>
        <w:pStyle w:val="Bob1"/>
        <w:tabs>
          <w:tab w:val="clear" w:pos="720"/>
          <w:tab w:val="left" w:pos="1440"/>
        </w:tabs>
        <w:ind w:left="0" w:firstLine="0"/>
      </w:pPr>
      <w:r>
        <w:t xml:space="preserve">This argument runs </w:t>
      </w:r>
      <w:r w:rsidR="00DA0BD2">
        <w:t>as follows:</w:t>
      </w:r>
    </w:p>
    <w:p w:rsidR="00D06E88" w:rsidRDefault="00AC16B2" w:rsidP="007E3F96">
      <w:pPr>
        <w:pStyle w:val="Bob1"/>
        <w:numPr>
          <w:ilvl w:val="1"/>
          <w:numId w:val="11"/>
        </w:numPr>
        <w:jc w:val="both"/>
      </w:pPr>
      <w:r>
        <w:t xml:space="preserve">The </w:t>
      </w:r>
      <w:r w:rsidR="00DA0BD2">
        <w:t>appellant was convicted on the basis that he obstructed</w:t>
      </w:r>
      <w:r>
        <w:t xml:space="preserve"> Inspector Kwok</w:t>
      </w:r>
      <w:r w:rsidR="00DA0BD2">
        <w:t xml:space="preserve"> who</w:t>
      </w:r>
      <w:r>
        <w:t xml:space="preserve">, </w:t>
      </w:r>
      <w:r w:rsidR="00DA0BD2">
        <w:t xml:space="preserve">along with other police officers, </w:t>
      </w:r>
      <w:r>
        <w:t>purport</w:t>
      </w:r>
      <w:r w:rsidR="00DA0BD2">
        <w:t>ed</w:t>
      </w:r>
      <w:r>
        <w:t xml:space="preserve"> to </w:t>
      </w:r>
      <w:r w:rsidR="00DA0BD2">
        <w:t xml:space="preserve">be acting in the execution of their duty by </w:t>
      </w:r>
      <w:r>
        <w:t>prevent</w:t>
      </w:r>
      <w:r w:rsidR="00DA0BD2">
        <w:t>ing</w:t>
      </w:r>
      <w:r>
        <w:t xml:space="preserve"> the appellant and other protesters from gaining access to </w:t>
      </w:r>
      <w:proofErr w:type="spellStart"/>
      <w:r w:rsidR="00DA0BD2">
        <w:t>Legco</w:t>
      </w:r>
      <w:proofErr w:type="spellEnd"/>
      <w:r w:rsidR="00DA0BD2">
        <w:t>.</w:t>
      </w:r>
    </w:p>
    <w:p w:rsidR="00DA0BD2" w:rsidRDefault="00DA0BD2" w:rsidP="007E3F96">
      <w:pPr>
        <w:pStyle w:val="Bob1"/>
        <w:numPr>
          <w:ilvl w:val="1"/>
          <w:numId w:val="11"/>
        </w:numPr>
        <w:jc w:val="both"/>
      </w:pPr>
      <w:r>
        <w:t xml:space="preserve">However, there </w:t>
      </w:r>
      <w:r w:rsidR="001C689F">
        <w:t xml:space="preserve">is </w:t>
      </w:r>
      <w:r>
        <w:t xml:space="preserve">a public right of access to the Council which </w:t>
      </w:r>
      <w:r w:rsidR="001C689F">
        <w:t xml:space="preserve">can </w:t>
      </w:r>
      <w:r>
        <w:t xml:space="preserve">only be suspended or abrogated by a written authority such as a </w:t>
      </w:r>
      <w:proofErr w:type="spellStart"/>
      <w:r>
        <w:t>Legco</w:t>
      </w:r>
      <w:proofErr w:type="spellEnd"/>
      <w:r>
        <w:t xml:space="preserve"> Rule of Procedure, a Council Resolution or an </w:t>
      </w:r>
      <w:r w:rsidR="00704F3B">
        <w:t xml:space="preserve">administrative instruction </w:t>
      </w:r>
      <w:r>
        <w:t>issued by the President.</w:t>
      </w:r>
      <w:r>
        <w:rPr>
          <w:rStyle w:val="FootnoteReference"/>
        </w:rPr>
        <w:footnoteReference w:id="29"/>
      </w:r>
      <w:r>
        <w:t xml:space="preserve">  Thus, for instance, the President might have issued an </w:t>
      </w:r>
      <w:r w:rsidR="00704F3B">
        <w:t xml:space="preserve">administrative instruction </w:t>
      </w:r>
      <w:r>
        <w:t xml:space="preserve">under LC(PP)O section 8(3) closing </w:t>
      </w:r>
      <w:proofErr w:type="spellStart"/>
      <w:r>
        <w:t>Legco</w:t>
      </w:r>
      <w:proofErr w:type="spellEnd"/>
      <w:r>
        <w:t xml:space="preserve"> on the evening of 13 June 2014.</w:t>
      </w:r>
      <w:r>
        <w:rPr>
          <w:rStyle w:val="FootnoteReference"/>
        </w:rPr>
        <w:footnoteReference w:id="30"/>
      </w:r>
      <w:r w:rsidR="00FF0BD7">
        <w:t xml:space="preserve">  But h</w:t>
      </w:r>
      <w:r w:rsidR="001C689F">
        <w:t>e did not do so.</w:t>
      </w:r>
    </w:p>
    <w:p w:rsidR="00DA0BD2" w:rsidRDefault="001C689F" w:rsidP="007E3F96">
      <w:pPr>
        <w:pStyle w:val="Bob1"/>
        <w:numPr>
          <w:ilvl w:val="1"/>
          <w:numId w:val="11"/>
        </w:numPr>
        <w:jc w:val="both"/>
      </w:pPr>
      <w:r>
        <w:t xml:space="preserve">Since </w:t>
      </w:r>
      <w:r w:rsidR="00DA0BD2">
        <w:t>there was no written authority to restrict access to the Council</w:t>
      </w:r>
      <w:r w:rsidR="00704F3B">
        <w:t xml:space="preserve"> in place</w:t>
      </w:r>
      <w:r w:rsidR="00DA0BD2">
        <w:t xml:space="preserve">, Inspector Kwok and the other officers were not acting in the execution of their duty in </w:t>
      </w:r>
      <w:r>
        <w:t xml:space="preserve">purporting to </w:t>
      </w:r>
      <w:r w:rsidR="00DA0BD2">
        <w:t xml:space="preserve">deny the protesters entry through the entrances to </w:t>
      </w:r>
      <w:proofErr w:type="spellStart"/>
      <w:r w:rsidR="00DA0BD2">
        <w:t>Legco</w:t>
      </w:r>
      <w:proofErr w:type="spellEnd"/>
      <w:r w:rsidR="00DA0BD2">
        <w:t>.</w:t>
      </w:r>
      <w:r w:rsidR="00862FDF">
        <w:rPr>
          <w:rStyle w:val="FootnoteReference"/>
        </w:rPr>
        <w:footnoteReference w:id="31"/>
      </w:r>
    </w:p>
    <w:p w:rsidR="00E66D2D" w:rsidRDefault="00862FDF" w:rsidP="007E3F96">
      <w:pPr>
        <w:pStyle w:val="Bob1"/>
        <w:tabs>
          <w:tab w:val="clear" w:pos="720"/>
          <w:tab w:val="left" w:pos="1440"/>
        </w:tabs>
        <w:ind w:left="0" w:firstLine="0"/>
        <w:jc w:val="both"/>
      </w:pPr>
      <w:r>
        <w:t>Th</w:t>
      </w:r>
      <w:r w:rsidR="00704F3B">
        <w:t>at</w:t>
      </w:r>
      <w:r>
        <w:t xml:space="preserve"> argument</w:t>
      </w:r>
      <w:r w:rsidR="001C689F">
        <w:t xml:space="preserve"> is without merit</w:t>
      </w:r>
      <w:r>
        <w:t xml:space="preserve">.  </w:t>
      </w:r>
      <w:r w:rsidR="00E66D2D">
        <w:t xml:space="preserve">A lawful restriction on access to </w:t>
      </w:r>
      <w:proofErr w:type="spellStart"/>
      <w:r w:rsidR="00E66D2D">
        <w:t>Legco</w:t>
      </w:r>
      <w:proofErr w:type="spellEnd"/>
      <w:r w:rsidR="00E66D2D">
        <w:t xml:space="preserve"> was plainly in place and the police officers were </w:t>
      </w:r>
      <w:r w:rsidR="00704F3B">
        <w:t xml:space="preserve">assisting security staff </w:t>
      </w:r>
      <w:r w:rsidR="00E66D2D">
        <w:t xml:space="preserve">to enforce </w:t>
      </w:r>
      <w:r w:rsidR="00CD3CBF">
        <w:t>such</w:t>
      </w:r>
      <w:r w:rsidR="00E66D2D">
        <w:t xml:space="preserve"> restriction in the execution of their duty when obstructed by the appellant.  </w:t>
      </w:r>
    </w:p>
    <w:p w:rsidR="00AF4E5B" w:rsidRDefault="00E66D2D" w:rsidP="007E3F96">
      <w:pPr>
        <w:pStyle w:val="Bob1"/>
        <w:tabs>
          <w:tab w:val="clear" w:pos="720"/>
          <w:tab w:val="left" w:pos="1440"/>
        </w:tabs>
        <w:ind w:left="0" w:firstLine="0"/>
        <w:jc w:val="both"/>
      </w:pPr>
      <w:r>
        <w:lastRenderedPageBreak/>
        <w:t>As we have seen, LC(PP)O section 8(3) authorises the President</w:t>
      </w:r>
      <w:r w:rsidR="00946FA7">
        <w:t xml:space="preserve"> </w:t>
      </w:r>
      <w:r w:rsidRPr="00946FA7">
        <w:t>from time to time, for the purpose of maintaining the security of the precincts of the Chamber</w:t>
      </w:r>
      <w:r w:rsidR="00946FA7">
        <w:t xml:space="preserve">, to </w:t>
      </w:r>
      <w:r w:rsidRPr="00946FA7">
        <w:t>issue such administrative instructions as he may deem necessary or expedient for regulating the admittance of persons (other than members or officers of the Council) to</w:t>
      </w:r>
      <w:r w:rsidR="00946FA7">
        <w:t xml:space="preserve"> those precincts.</w:t>
      </w:r>
      <w:r w:rsidRPr="00946FA7">
        <w:t xml:space="preserve">  </w:t>
      </w:r>
      <w:r w:rsidR="00704F3B">
        <w:t xml:space="preserve">Two administrative instructions issued by the President </w:t>
      </w:r>
      <w:r w:rsidR="00CD3CBF">
        <w:t xml:space="preserve">were </w:t>
      </w:r>
      <w:r w:rsidR="00AF4E5B">
        <w:t xml:space="preserve">in force on 13 June 2014 </w:t>
      </w:r>
      <w:r w:rsidR="00946FA7">
        <w:t xml:space="preserve">and </w:t>
      </w:r>
      <w:r w:rsidR="00CD3CBF">
        <w:t xml:space="preserve">were </w:t>
      </w:r>
      <w:r w:rsidR="00AF4E5B">
        <w:t xml:space="preserve">relevant in the circumstances then obtaining.  </w:t>
      </w:r>
    </w:p>
    <w:p w:rsidR="00E66D2D" w:rsidRDefault="00946FA7" w:rsidP="007E3F96">
      <w:pPr>
        <w:pStyle w:val="Bob1"/>
        <w:tabs>
          <w:tab w:val="clear" w:pos="720"/>
          <w:tab w:val="left" w:pos="1440"/>
        </w:tabs>
        <w:ind w:left="0" w:firstLine="0"/>
        <w:jc w:val="both"/>
      </w:pPr>
      <w:r>
        <w:t>S</w:t>
      </w:r>
      <w:r w:rsidR="00AF4E5B">
        <w:t>ection 11 of the Administrative Instructions provides:</w:t>
      </w:r>
    </w:p>
    <w:p w:rsidR="00AF4E5B" w:rsidRPr="00AF4E5B" w:rsidRDefault="00AF4E5B" w:rsidP="00240D68">
      <w:pPr>
        <w:pStyle w:val="Bob1"/>
        <w:numPr>
          <w:ilvl w:val="0"/>
          <w:numId w:val="0"/>
        </w:numPr>
        <w:spacing w:after="360" w:line="240" w:lineRule="auto"/>
        <w:ind w:left="720"/>
        <w:jc w:val="both"/>
        <w:rPr>
          <w:sz w:val="24"/>
          <w:szCs w:val="22"/>
        </w:rPr>
      </w:pPr>
      <w:r w:rsidRPr="00AF4E5B">
        <w:rPr>
          <w:sz w:val="24"/>
          <w:szCs w:val="22"/>
        </w:rPr>
        <w:t>“Persons entering or within the precincts of the Chamber shall behave in an orderly manner and comply with any direction given by any officer of the Council for the purpose of keeping order.”</w:t>
      </w:r>
    </w:p>
    <w:p w:rsidR="00AF4E5B" w:rsidRDefault="00AF4E5B" w:rsidP="007E3F96">
      <w:pPr>
        <w:pStyle w:val="Bob1"/>
        <w:tabs>
          <w:tab w:val="clear" w:pos="720"/>
          <w:tab w:val="left" w:pos="1440"/>
        </w:tabs>
        <w:ind w:left="0" w:firstLine="0"/>
        <w:jc w:val="both"/>
      </w:pPr>
      <w:proofErr w:type="spellStart"/>
      <w:r>
        <w:t>Legco</w:t>
      </w:r>
      <w:proofErr w:type="spellEnd"/>
      <w:r>
        <w:t xml:space="preserve"> security staff</w:t>
      </w:r>
      <w:r w:rsidR="00946FA7">
        <w:t xml:space="preserve">, </w:t>
      </w:r>
      <w:r w:rsidR="00A11E1C">
        <w:t xml:space="preserve">who were </w:t>
      </w:r>
      <w:r w:rsidR="00946FA7">
        <w:t>officers of the Council,</w:t>
      </w:r>
      <w:r>
        <w:t xml:space="preserve"> had blocked off the entrances to the building and</w:t>
      </w:r>
      <w:r w:rsidR="00A9346E">
        <w:t xml:space="preserve"> </w:t>
      </w:r>
      <w:r>
        <w:t>refused the protesters access.  The</w:t>
      </w:r>
      <w:r w:rsidR="00CD3CBF">
        <w:t xml:space="preserve"> protesters</w:t>
      </w:r>
      <w:r w:rsidR="00070A86">
        <w:t>, who were behaving in a disorderly manner,</w:t>
      </w:r>
      <w:r>
        <w:t xml:space="preserve"> </w:t>
      </w:r>
      <w:r w:rsidR="00CD3CBF">
        <w:t xml:space="preserve">refused </w:t>
      </w:r>
      <w:r>
        <w:t xml:space="preserve">to comply with </w:t>
      </w:r>
      <w:r w:rsidR="00CD3CBF">
        <w:t>the</w:t>
      </w:r>
      <w:r w:rsidR="00946FA7">
        <w:t>ir</w:t>
      </w:r>
      <w:r w:rsidR="00CD3CBF">
        <w:t xml:space="preserve"> </w:t>
      </w:r>
      <w:r>
        <w:t xml:space="preserve">directions </w:t>
      </w:r>
      <w:r w:rsidR="00946FA7">
        <w:t xml:space="preserve">to </w:t>
      </w:r>
      <w:r w:rsidR="00CD3CBF">
        <w:t xml:space="preserve">desist from </w:t>
      </w:r>
      <w:r w:rsidR="00946FA7">
        <w:t xml:space="preserve">removing the Mills barriers or </w:t>
      </w:r>
      <w:r w:rsidR="00966190">
        <w:t xml:space="preserve">trying </w:t>
      </w:r>
      <w:r>
        <w:t>to force their way into the premises.  The police officers were acting in the execution of their duty</w:t>
      </w:r>
      <w:r w:rsidR="00AB3D2E">
        <w:t xml:space="preserve"> (both under the PFO and as officers of the Council</w:t>
      </w:r>
      <w:r w:rsidR="00966190">
        <w:t xml:space="preserve"> under LC(PP)O section 19(b)</w:t>
      </w:r>
      <w:r w:rsidR="00AB3D2E">
        <w:t>)</w:t>
      </w:r>
      <w:r>
        <w:t xml:space="preserve"> in helping to enforce </w:t>
      </w:r>
      <w:r w:rsidR="00AB3D2E">
        <w:t>th</w:t>
      </w:r>
      <w:r w:rsidR="00946FA7">
        <w:t>os</w:t>
      </w:r>
      <w:r w:rsidR="00AB3D2E">
        <w:t xml:space="preserve">e </w:t>
      </w:r>
      <w:r>
        <w:t>directions</w:t>
      </w:r>
      <w:r w:rsidR="00070A86">
        <w:t>,</w:t>
      </w:r>
      <w:r w:rsidR="00946FA7">
        <w:t xml:space="preserve"> given </w:t>
      </w:r>
      <w:r w:rsidR="00070A86">
        <w:t xml:space="preserve">for the purpose of keeping order </w:t>
      </w:r>
      <w:r w:rsidR="00946FA7">
        <w:t>pursuant to section 11</w:t>
      </w:r>
      <w:r w:rsidR="00A9346E">
        <w:t xml:space="preserve"> of the Administrative Instructions</w:t>
      </w:r>
      <w:r w:rsidR="00946FA7">
        <w:t>.</w:t>
      </w:r>
    </w:p>
    <w:p w:rsidR="00AB3D2E" w:rsidRDefault="00AB3D2E" w:rsidP="007E3F96">
      <w:pPr>
        <w:pStyle w:val="Bob1"/>
        <w:tabs>
          <w:tab w:val="clear" w:pos="720"/>
          <w:tab w:val="left" w:pos="1440"/>
        </w:tabs>
        <w:ind w:left="0" w:firstLine="0"/>
        <w:jc w:val="both"/>
      </w:pPr>
      <w:r>
        <w:t>Secondly, section 12(3) of the Administrative Instructions authorises a</w:t>
      </w:r>
      <w:r w:rsidRPr="00AB3D2E">
        <w:t>n officer of the Council</w:t>
      </w:r>
      <w:r>
        <w:t>:</w:t>
      </w:r>
    </w:p>
    <w:p w:rsidR="00AB3D2E" w:rsidRPr="00AB3D2E" w:rsidRDefault="00AB3D2E" w:rsidP="00240D68">
      <w:pPr>
        <w:pStyle w:val="Bob1"/>
        <w:numPr>
          <w:ilvl w:val="0"/>
          <w:numId w:val="0"/>
        </w:numPr>
        <w:spacing w:after="360" w:line="240" w:lineRule="auto"/>
        <w:ind w:left="720"/>
        <w:jc w:val="both"/>
        <w:rPr>
          <w:sz w:val="24"/>
        </w:rPr>
      </w:pPr>
      <w:r w:rsidRPr="00AB3D2E">
        <w:rPr>
          <w:sz w:val="24"/>
        </w:rPr>
        <w:t>“</w:t>
      </w:r>
      <w:r>
        <w:rPr>
          <w:sz w:val="24"/>
        </w:rPr>
        <w:t xml:space="preserve">... </w:t>
      </w:r>
      <w:r w:rsidRPr="00AB3D2E">
        <w:rPr>
          <w:sz w:val="24"/>
        </w:rPr>
        <w:t>[to] refuse admission to a press or public gallery to any person ... who, in the opinion of an officer of the Council, ... may ... behave in a disorderly manner.”</w:t>
      </w:r>
    </w:p>
    <w:p w:rsidR="00E66D2D" w:rsidRDefault="00AB3D2E" w:rsidP="007E3F96">
      <w:pPr>
        <w:pStyle w:val="Bob1"/>
        <w:tabs>
          <w:tab w:val="clear" w:pos="720"/>
          <w:tab w:val="left" w:pos="1440"/>
        </w:tabs>
        <w:ind w:left="0" w:firstLine="0"/>
        <w:jc w:val="both"/>
      </w:pPr>
      <w:r>
        <w:t xml:space="preserve">The protesters were evidently intent on entering the </w:t>
      </w:r>
      <w:proofErr w:type="spellStart"/>
      <w:r>
        <w:t>Legco</w:t>
      </w:r>
      <w:proofErr w:type="spellEnd"/>
      <w:r>
        <w:t xml:space="preserve"> building to disrupt the Committee meeting in progress</w:t>
      </w:r>
      <w:r w:rsidR="005A5F10">
        <w:t>,</w:t>
      </w:r>
      <w:r w:rsidR="0042628E">
        <w:t xml:space="preserve"> possibl</w:t>
      </w:r>
      <w:r w:rsidR="005A5F10">
        <w:t>y</w:t>
      </w:r>
      <w:r w:rsidR="00520B62">
        <w:t xml:space="preserve"> </w:t>
      </w:r>
      <w:r w:rsidR="00067FA7">
        <w:t xml:space="preserve">involving </w:t>
      </w:r>
      <w:r w:rsidR="005A5F10">
        <w:t xml:space="preserve">disruption </w:t>
      </w:r>
      <w:r w:rsidR="00520B62">
        <w:t>from a press or public gallery</w:t>
      </w:r>
      <w:r>
        <w:t xml:space="preserve">.  </w:t>
      </w:r>
      <w:proofErr w:type="spellStart"/>
      <w:r>
        <w:t>Legco’s</w:t>
      </w:r>
      <w:proofErr w:type="spellEnd"/>
      <w:r>
        <w:t xml:space="preserve"> security officers were acting lawfully pursuant to section 12(3) in refusing them admission </w:t>
      </w:r>
      <w:r w:rsidR="00A9346E">
        <w:t xml:space="preserve">to the complex </w:t>
      </w:r>
      <w:r>
        <w:t xml:space="preserve">on the footing that </w:t>
      </w:r>
      <w:r>
        <w:lastRenderedPageBreak/>
        <w:t xml:space="preserve">they were behaving, and likely to behave, in a disorderly manner.  Inspector Kwok and the other officers were acting lawfully in the execution of their duty </w:t>
      </w:r>
      <w:r w:rsidR="00520B62">
        <w:t xml:space="preserve">(as police officers and officers of the Council) </w:t>
      </w:r>
      <w:r>
        <w:t xml:space="preserve">in </w:t>
      </w:r>
      <w:r w:rsidR="00966190">
        <w:t xml:space="preserve">helping to enforce </w:t>
      </w:r>
      <w:r>
        <w:t>such refusal of entry.</w:t>
      </w:r>
    </w:p>
    <w:p w:rsidR="003C141D" w:rsidRDefault="003C141D" w:rsidP="00240D68">
      <w:pPr>
        <w:pStyle w:val="docmapheading"/>
      </w:pPr>
      <w:r>
        <w:t>F.</w:t>
      </w:r>
      <w:r>
        <w:tab/>
        <w:t xml:space="preserve">Conclusion </w:t>
      </w:r>
    </w:p>
    <w:p w:rsidR="00FE661F" w:rsidRDefault="00FE661F" w:rsidP="007E3F96">
      <w:pPr>
        <w:pStyle w:val="Bob1"/>
        <w:tabs>
          <w:tab w:val="clear" w:pos="720"/>
          <w:tab w:val="left" w:pos="1440"/>
        </w:tabs>
        <w:ind w:left="0" w:firstLine="0"/>
        <w:jc w:val="both"/>
      </w:pPr>
      <w:r>
        <w:t xml:space="preserve">For the foregoing reasons I concluded that this appeal had to be dismissed.  </w:t>
      </w:r>
    </w:p>
    <w:p w:rsidR="00EB1E61" w:rsidRDefault="00067FA7" w:rsidP="007E3F96">
      <w:pPr>
        <w:pStyle w:val="Bob1"/>
        <w:tabs>
          <w:tab w:val="clear" w:pos="720"/>
          <w:tab w:val="left" w:pos="1440"/>
        </w:tabs>
        <w:ind w:left="0" w:firstLine="0"/>
        <w:jc w:val="both"/>
      </w:pPr>
      <w:r>
        <w:t>My answer</w:t>
      </w:r>
      <w:r w:rsidR="00EB1E61">
        <w:t xml:space="preserve"> to </w:t>
      </w:r>
      <w:r>
        <w:t xml:space="preserve">Question 1 is </w:t>
      </w:r>
      <w:r w:rsidR="00EB1E61">
        <w:t>“No”</w:t>
      </w:r>
      <w:r>
        <w:t xml:space="preserve"> </w:t>
      </w:r>
      <w:r w:rsidR="00C85A2E">
        <w:t xml:space="preserve">subject to the observation </w:t>
      </w:r>
      <w:r>
        <w:t xml:space="preserve">that entry </w:t>
      </w:r>
      <w:r w:rsidR="00C85A2E">
        <w:t xml:space="preserve">may be </w:t>
      </w:r>
      <w:r w:rsidR="00FE661F">
        <w:t xml:space="preserve">to carry </w:t>
      </w:r>
      <w:r>
        <w:t>out the police officers’ ordinary duties, not necessarily confined to dealing with issues arising under section 8(3).</w:t>
      </w:r>
      <w:r w:rsidR="00FE661F">
        <w:t xml:space="preserve">  </w:t>
      </w:r>
      <w:r>
        <w:t xml:space="preserve">My answer </w:t>
      </w:r>
      <w:r w:rsidR="00FE661F">
        <w:t xml:space="preserve">is “Yes” </w:t>
      </w:r>
      <w:r>
        <w:t>to</w:t>
      </w:r>
      <w:r w:rsidR="00EB1E61">
        <w:t xml:space="preserve"> Question 2</w:t>
      </w:r>
      <w:r w:rsidR="00665CB6">
        <w:t>, assuming that the officer</w:t>
      </w:r>
      <w:r>
        <w:t xml:space="preserve"> </w:t>
      </w:r>
      <w:r w:rsidR="00665CB6">
        <w:t xml:space="preserve">enters the precincts of the Chamber </w:t>
      </w:r>
      <w:r w:rsidR="00FE661F">
        <w:t xml:space="preserve">in order </w:t>
      </w:r>
      <w:r w:rsidR="00665CB6">
        <w:t>to carry out his ordinary policing duties</w:t>
      </w:r>
      <w:r w:rsidR="00EB1E61">
        <w:t>.</w:t>
      </w:r>
    </w:p>
    <w:p w:rsidR="007E3F96" w:rsidRPr="007E3F96" w:rsidRDefault="007E3F96" w:rsidP="007E3F96">
      <w:pPr>
        <w:pStyle w:val="Bob1"/>
        <w:numPr>
          <w:ilvl w:val="0"/>
          <w:numId w:val="0"/>
        </w:numPr>
        <w:tabs>
          <w:tab w:val="left" w:pos="1440"/>
        </w:tabs>
        <w:jc w:val="both"/>
        <w:rPr>
          <w:rFonts w:eastAsia="PMingLiU"/>
          <w:b/>
          <w:lang w:eastAsia="zh-TW"/>
        </w:rPr>
      </w:pPr>
      <w:r w:rsidRPr="007E3F96">
        <w:rPr>
          <w:rFonts w:eastAsia="PMingLiU"/>
          <w:b/>
          <w:lang w:eastAsia="zh-TW"/>
        </w:rPr>
        <w:t>Mr Justice Tang PJ:</w:t>
      </w:r>
    </w:p>
    <w:p w:rsidR="00240D68" w:rsidRDefault="00240D68" w:rsidP="00240D68">
      <w:pPr>
        <w:pStyle w:val="Bob1"/>
        <w:tabs>
          <w:tab w:val="clear" w:pos="720"/>
          <w:tab w:val="num" w:pos="1440"/>
        </w:tabs>
      </w:pPr>
      <w:r>
        <w:tab/>
        <w:t xml:space="preserve">I agree with the </w:t>
      </w:r>
      <w:r w:rsidR="005B6C29">
        <w:t xml:space="preserve">Reasons for Judgment </w:t>
      </w:r>
      <w:r>
        <w:t>of Mr Justice Ribeiro PJ.</w:t>
      </w:r>
    </w:p>
    <w:p w:rsidR="007E3F96" w:rsidRPr="007E3F96" w:rsidRDefault="007E3F96" w:rsidP="007E3F96">
      <w:pPr>
        <w:pStyle w:val="Bob1"/>
        <w:numPr>
          <w:ilvl w:val="0"/>
          <w:numId w:val="0"/>
        </w:numPr>
        <w:tabs>
          <w:tab w:val="left" w:pos="1440"/>
        </w:tabs>
        <w:jc w:val="both"/>
        <w:rPr>
          <w:rFonts w:eastAsia="PMingLiU"/>
          <w:b/>
          <w:lang w:eastAsia="zh-TW"/>
        </w:rPr>
      </w:pPr>
      <w:r w:rsidRPr="007E3F96">
        <w:rPr>
          <w:rFonts w:eastAsia="PMingLiU"/>
          <w:b/>
          <w:lang w:eastAsia="zh-TW"/>
        </w:rPr>
        <w:t xml:space="preserve">Mr Justice </w:t>
      </w:r>
      <w:proofErr w:type="spellStart"/>
      <w:r w:rsidRPr="007E3F96">
        <w:rPr>
          <w:rFonts w:eastAsia="PMingLiU"/>
          <w:b/>
          <w:lang w:eastAsia="zh-TW"/>
        </w:rPr>
        <w:t>Fok</w:t>
      </w:r>
      <w:proofErr w:type="spellEnd"/>
      <w:r w:rsidRPr="007E3F96">
        <w:rPr>
          <w:rFonts w:eastAsia="PMingLiU"/>
          <w:b/>
          <w:lang w:eastAsia="zh-TW"/>
        </w:rPr>
        <w:t xml:space="preserve"> PJ:</w:t>
      </w:r>
    </w:p>
    <w:p w:rsidR="00240D68" w:rsidRDefault="00240D68" w:rsidP="00240D68">
      <w:pPr>
        <w:pStyle w:val="Bob1"/>
        <w:tabs>
          <w:tab w:val="left" w:pos="1440"/>
        </w:tabs>
      </w:pPr>
      <w:r>
        <w:tab/>
        <w:t>I agree with the</w:t>
      </w:r>
      <w:r w:rsidR="00862E61" w:rsidRPr="00862E61">
        <w:t xml:space="preserve"> </w:t>
      </w:r>
      <w:r w:rsidR="005B6C29">
        <w:t xml:space="preserve">Reasons for Judgment </w:t>
      </w:r>
      <w:r>
        <w:t>of Mr Justice Ribeiro PJ.</w:t>
      </w:r>
    </w:p>
    <w:p w:rsidR="007E3F96" w:rsidRPr="007E3F96" w:rsidRDefault="007E3F96" w:rsidP="007E3F96">
      <w:pPr>
        <w:pStyle w:val="Bob1"/>
        <w:numPr>
          <w:ilvl w:val="0"/>
          <w:numId w:val="0"/>
        </w:numPr>
        <w:tabs>
          <w:tab w:val="left" w:pos="1440"/>
        </w:tabs>
        <w:jc w:val="both"/>
        <w:rPr>
          <w:rFonts w:eastAsia="PMingLiU"/>
          <w:b/>
          <w:lang w:eastAsia="zh-TW"/>
        </w:rPr>
      </w:pPr>
      <w:r w:rsidRPr="007E3F96">
        <w:rPr>
          <w:rFonts w:eastAsia="PMingLiU"/>
          <w:b/>
          <w:lang w:eastAsia="zh-TW"/>
        </w:rPr>
        <w:t>Lord Hoffmann NPJ:</w:t>
      </w:r>
    </w:p>
    <w:p w:rsidR="00240D68" w:rsidRDefault="00240D68" w:rsidP="00240D68">
      <w:pPr>
        <w:pStyle w:val="Bob1"/>
        <w:tabs>
          <w:tab w:val="left" w:pos="1440"/>
        </w:tabs>
      </w:pPr>
      <w:r>
        <w:tab/>
        <w:t xml:space="preserve">I agree with the </w:t>
      </w:r>
      <w:r w:rsidR="005B6C29">
        <w:t xml:space="preserve">Reasons for Judgment </w:t>
      </w:r>
      <w:r>
        <w:t>of Mr Justice Ribeiro PJ.</w:t>
      </w:r>
    </w:p>
    <w:p w:rsidR="007E3F96" w:rsidRDefault="007E3F96" w:rsidP="007E3F96">
      <w:pPr>
        <w:pStyle w:val="Bob1"/>
        <w:numPr>
          <w:ilvl w:val="0"/>
          <w:numId w:val="0"/>
        </w:numPr>
        <w:ind w:left="720"/>
      </w:pPr>
    </w:p>
    <w:p w:rsidR="00240D68" w:rsidRDefault="00240D68" w:rsidP="007E3F96">
      <w:pPr>
        <w:pStyle w:val="Bob1"/>
        <w:numPr>
          <w:ilvl w:val="0"/>
          <w:numId w:val="0"/>
        </w:numPr>
        <w:ind w:left="720"/>
      </w:pPr>
    </w:p>
    <w:p w:rsidR="00240D68" w:rsidRDefault="00240D68" w:rsidP="007E3F96">
      <w:pPr>
        <w:pStyle w:val="Bob1"/>
        <w:numPr>
          <w:ilvl w:val="0"/>
          <w:numId w:val="0"/>
        </w:numPr>
        <w:ind w:left="720"/>
      </w:pPr>
    </w:p>
    <w:p w:rsidR="00240D68" w:rsidRDefault="00240D68" w:rsidP="007E3F96">
      <w:pPr>
        <w:pStyle w:val="Bob1"/>
        <w:numPr>
          <w:ilvl w:val="0"/>
          <w:numId w:val="0"/>
        </w:numPr>
        <w:ind w:left="720"/>
      </w:pPr>
    </w:p>
    <w:p w:rsidR="00240D68" w:rsidRDefault="00240D68" w:rsidP="007E3F96">
      <w:pPr>
        <w:pStyle w:val="Bob1"/>
        <w:numPr>
          <w:ilvl w:val="0"/>
          <w:numId w:val="0"/>
        </w:numPr>
        <w:ind w:left="720"/>
      </w:pPr>
    </w:p>
    <w:p w:rsidR="00240D68" w:rsidRDefault="00240D68" w:rsidP="007E3F96">
      <w:pPr>
        <w:pStyle w:val="Bob1"/>
        <w:numPr>
          <w:ilvl w:val="0"/>
          <w:numId w:val="0"/>
        </w:numPr>
        <w:ind w:left="720"/>
      </w:pPr>
    </w:p>
    <w:p w:rsidR="00240D68" w:rsidRDefault="00240D68" w:rsidP="007E3F96">
      <w:pPr>
        <w:pStyle w:val="Bob1"/>
        <w:numPr>
          <w:ilvl w:val="0"/>
          <w:numId w:val="0"/>
        </w:numPr>
        <w:ind w:left="720"/>
      </w:pPr>
    </w:p>
    <w:tbl>
      <w:tblPr>
        <w:tblW w:w="0" w:type="auto"/>
        <w:jc w:val="center"/>
        <w:tblLook w:val="0000" w:firstRow="0" w:lastRow="0" w:firstColumn="0" w:lastColumn="0" w:noHBand="0" w:noVBand="0"/>
      </w:tblPr>
      <w:tblGrid>
        <w:gridCol w:w="2952"/>
        <w:gridCol w:w="2952"/>
        <w:gridCol w:w="2952"/>
      </w:tblGrid>
      <w:tr w:rsidR="007E3F96" w:rsidRPr="00013FD3" w:rsidTr="00784E60">
        <w:trPr>
          <w:jc w:val="center"/>
        </w:trPr>
        <w:tc>
          <w:tcPr>
            <w:tcW w:w="2952" w:type="dxa"/>
          </w:tcPr>
          <w:p w:rsidR="007E3F96" w:rsidRPr="00013FD3" w:rsidRDefault="007E3F96" w:rsidP="00784E60">
            <w:pPr>
              <w:tabs>
                <w:tab w:val="left" w:pos="6660"/>
              </w:tabs>
              <w:spacing w:after="0"/>
              <w:jc w:val="center"/>
              <w:rPr>
                <w:szCs w:val="28"/>
              </w:rPr>
            </w:pPr>
            <w:r w:rsidRPr="00013FD3">
              <w:rPr>
                <w:rFonts w:hint="eastAsia"/>
                <w:szCs w:val="28"/>
              </w:rPr>
              <w:t>(Geoffrey Ma)</w:t>
            </w:r>
          </w:p>
          <w:p w:rsidR="007E3F96" w:rsidRPr="00013FD3" w:rsidRDefault="007E3F96" w:rsidP="00784E60">
            <w:pPr>
              <w:tabs>
                <w:tab w:val="left" w:pos="6660"/>
              </w:tabs>
              <w:spacing w:after="0"/>
              <w:jc w:val="center"/>
              <w:rPr>
                <w:szCs w:val="28"/>
              </w:rPr>
            </w:pPr>
            <w:r w:rsidRPr="00013FD3">
              <w:rPr>
                <w:rFonts w:hint="eastAsia"/>
                <w:szCs w:val="28"/>
              </w:rPr>
              <w:t>Chief Justice</w:t>
            </w:r>
          </w:p>
        </w:tc>
        <w:tc>
          <w:tcPr>
            <w:tcW w:w="2952" w:type="dxa"/>
          </w:tcPr>
          <w:p w:rsidR="007E3F96" w:rsidRPr="00013FD3" w:rsidRDefault="007E3F96" w:rsidP="00784E60">
            <w:pPr>
              <w:tabs>
                <w:tab w:val="left" w:pos="6660"/>
              </w:tabs>
              <w:spacing w:after="0"/>
              <w:jc w:val="center"/>
              <w:rPr>
                <w:szCs w:val="28"/>
              </w:rPr>
            </w:pPr>
            <w:r w:rsidRPr="00013FD3">
              <w:rPr>
                <w:rFonts w:hint="eastAsia"/>
                <w:szCs w:val="28"/>
              </w:rPr>
              <w:t>(R A V Ribeiro)</w:t>
            </w:r>
          </w:p>
          <w:p w:rsidR="007E3F96" w:rsidRPr="00013FD3" w:rsidRDefault="007E3F96" w:rsidP="00784E60">
            <w:pPr>
              <w:tabs>
                <w:tab w:val="left" w:pos="6660"/>
              </w:tabs>
              <w:spacing w:after="0"/>
              <w:jc w:val="center"/>
              <w:rPr>
                <w:szCs w:val="28"/>
              </w:rPr>
            </w:pPr>
            <w:r w:rsidRPr="00013FD3">
              <w:rPr>
                <w:rFonts w:hint="eastAsia"/>
                <w:szCs w:val="28"/>
              </w:rPr>
              <w:t>Permanent Judge</w:t>
            </w:r>
          </w:p>
        </w:tc>
        <w:tc>
          <w:tcPr>
            <w:tcW w:w="2952" w:type="dxa"/>
          </w:tcPr>
          <w:p w:rsidR="007E3F96" w:rsidRPr="00013FD3" w:rsidRDefault="007E3F96" w:rsidP="00784E60">
            <w:pPr>
              <w:spacing w:after="0"/>
              <w:jc w:val="center"/>
              <w:rPr>
                <w:szCs w:val="28"/>
              </w:rPr>
            </w:pPr>
            <w:r w:rsidRPr="00013FD3">
              <w:rPr>
                <w:rFonts w:hint="eastAsia"/>
                <w:szCs w:val="28"/>
              </w:rPr>
              <w:t>(</w:t>
            </w:r>
            <w:r>
              <w:rPr>
                <w:szCs w:val="28"/>
              </w:rPr>
              <w:t>Robert Tang</w:t>
            </w:r>
            <w:r w:rsidRPr="00013FD3">
              <w:rPr>
                <w:rFonts w:hint="eastAsia"/>
                <w:szCs w:val="28"/>
              </w:rPr>
              <w:t>)</w:t>
            </w:r>
          </w:p>
          <w:p w:rsidR="007E3F96" w:rsidRPr="00013FD3" w:rsidRDefault="007E3F96" w:rsidP="00784E60">
            <w:pPr>
              <w:tabs>
                <w:tab w:val="left" w:pos="6660"/>
              </w:tabs>
              <w:spacing w:after="0"/>
              <w:jc w:val="center"/>
              <w:rPr>
                <w:szCs w:val="28"/>
              </w:rPr>
            </w:pPr>
            <w:r w:rsidRPr="00013FD3">
              <w:rPr>
                <w:rFonts w:hint="eastAsia"/>
                <w:szCs w:val="28"/>
              </w:rPr>
              <w:t>Permanent Judge</w:t>
            </w:r>
          </w:p>
        </w:tc>
      </w:tr>
    </w:tbl>
    <w:p w:rsidR="007E3F96" w:rsidRDefault="007E3F96" w:rsidP="007E3F96">
      <w:pPr>
        <w:pStyle w:val="Bob1"/>
        <w:numPr>
          <w:ilvl w:val="0"/>
          <w:numId w:val="0"/>
        </w:numPr>
        <w:ind w:left="720"/>
      </w:pPr>
    </w:p>
    <w:p w:rsidR="00240D68" w:rsidRPr="00013FD3" w:rsidRDefault="00240D68" w:rsidP="007E3F96">
      <w:pPr>
        <w:pStyle w:val="Bob1"/>
        <w:numPr>
          <w:ilvl w:val="0"/>
          <w:numId w:val="0"/>
        </w:numPr>
        <w:ind w:left="720"/>
      </w:pPr>
    </w:p>
    <w:tbl>
      <w:tblPr>
        <w:tblW w:w="0" w:type="auto"/>
        <w:tblLook w:val="0000" w:firstRow="0" w:lastRow="0" w:firstColumn="0" w:lastColumn="0" w:noHBand="0" w:noVBand="0"/>
      </w:tblPr>
      <w:tblGrid>
        <w:gridCol w:w="4428"/>
        <w:gridCol w:w="4428"/>
      </w:tblGrid>
      <w:tr w:rsidR="007E3F96" w:rsidRPr="00013FD3" w:rsidTr="00784E60">
        <w:tc>
          <w:tcPr>
            <w:tcW w:w="4428" w:type="dxa"/>
          </w:tcPr>
          <w:p w:rsidR="007E3F96" w:rsidRPr="00013FD3" w:rsidRDefault="007E3F96" w:rsidP="00784E60">
            <w:pPr>
              <w:spacing w:after="0"/>
              <w:jc w:val="center"/>
              <w:rPr>
                <w:szCs w:val="28"/>
              </w:rPr>
            </w:pPr>
            <w:r>
              <w:rPr>
                <w:rFonts w:hint="eastAsia"/>
                <w:szCs w:val="28"/>
              </w:rPr>
              <w:t xml:space="preserve">(Joseph </w:t>
            </w:r>
            <w:proofErr w:type="spellStart"/>
            <w:r>
              <w:rPr>
                <w:rFonts w:hint="eastAsia"/>
                <w:szCs w:val="28"/>
              </w:rPr>
              <w:t>Fok</w:t>
            </w:r>
            <w:proofErr w:type="spellEnd"/>
            <w:r w:rsidRPr="00013FD3">
              <w:rPr>
                <w:rFonts w:hint="eastAsia"/>
                <w:szCs w:val="28"/>
              </w:rPr>
              <w:t>)</w:t>
            </w:r>
          </w:p>
          <w:p w:rsidR="007E3F96" w:rsidRPr="00013FD3" w:rsidRDefault="007E3F96" w:rsidP="00784E60">
            <w:pPr>
              <w:spacing w:after="0"/>
              <w:jc w:val="center"/>
              <w:rPr>
                <w:szCs w:val="28"/>
              </w:rPr>
            </w:pPr>
            <w:r w:rsidRPr="00013FD3">
              <w:rPr>
                <w:rFonts w:hint="eastAsia"/>
                <w:szCs w:val="28"/>
              </w:rPr>
              <w:t>Permanent Judge</w:t>
            </w:r>
          </w:p>
        </w:tc>
        <w:tc>
          <w:tcPr>
            <w:tcW w:w="4428" w:type="dxa"/>
          </w:tcPr>
          <w:p w:rsidR="007E3F96" w:rsidRPr="00F10E0B" w:rsidRDefault="007E3F96" w:rsidP="00784E60">
            <w:pPr>
              <w:spacing w:after="0"/>
              <w:jc w:val="center"/>
              <w:rPr>
                <w:szCs w:val="28"/>
              </w:rPr>
            </w:pPr>
            <w:r w:rsidRPr="00F10E0B">
              <w:rPr>
                <w:rFonts w:hint="eastAsia"/>
                <w:szCs w:val="28"/>
              </w:rPr>
              <w:t>(</w:t>
            </w:r>
            <w:r w:rsidRPr="00F10E0B">
              <w:rPr>
                <w:szCs w:val="28"/>
              </w:rPr>
              <w:t xml:space="preserve">Lord </w:t>
            </w:r>
            <w:r>
              <w:rPr>
                <w:rFonts w:eastAsia="宋体"/>
                <w:szCs w:val="28"/>
              </w:rPr>
              <w:t>Hoffmann</w:t>
            </w:r>
            <w:r w:rsidRPr="00F10E0B">
              <w:rPr>
                <w:rFonts w:hint="eastAsia"/>
                <w:szCs w:val="28"/>
              </w:rPr>
              <w:t>)</w:t>
            </w:r>
          </w:p>
          <w:p w:rsidR="007E3F96" w:rsidRPr="00013FD3" w:rsidRDefault="007E3F96" w:rsidP="00784E60">
            <w:pPr>
              <w:spacing w:after="0"/>
              <w:jc w:val="center"/>
              <w:rPr>
                <w:szCs w:val="28"/>
              </w:rPr>
            </w:pPr>
            <w:r w:rsidRPr="00F10E0B">
              <w:rPr>
                <w:rFonts w:hint="eastAsia"/>
                <w:szCs w:val="28"/>
              </w:rPr>
              <w:t>Non-Permanent Judge</w:t>
            </w:r>
          </w:p>
        </w:tc>
      </w:tr>
    </w:tbl>
    <w:p w:rsidR="007E3F96" w:rsidRDefault="007E3F96" w:rsidP="007E3F96">
      <w:pPr>
        <w:pStyle w:val="Bob1"/>
        <w:numPr>
          <w:ilvl w:val="0"/>
          <w:numId w:val="0"/>
        </w:numPr>
        <w:ind w:left="720"/>
      </w:pPr>
    </w:p>
    <w:p w:rsidR="007E3F96" w:rsidRDefault="007E3F96" w:rsidP="007E3F96">
      <w:pPr>
        <w:tabs>
          <w:tab w:val="left" w:pos="3240"/>
        </w:tabs>
        <w:jc w:val="both"/>
      </w:pPr>
      <w:r>
        <w:t xml:space="preserve">Mr </w:t>
      </w:r>
      <w:r>
        <w:rPr>
          <w:szCs w:val="28"/>
        </w:rPr>
        <w:t xml:space="preserve">Philip </w:t>
      </w:r>
      <w:r w:rsidRPr="009224BE">
        <w:rPr>
          <w:szCs w:val="28"/>
        </w:rPr>
        <w:t>Dykes</w:t>
      </w:r>
      <w:r>
        <w:t>, SC and Mr</w:t>
      </w:r>
      <w:r>
        <w:rPr>
          <w:rFonts w:hint="eastAsia"/>
        </w:rPr>
        <w:t xml:space="preserve"> </w:t>
      </w:r>
      <w:r>
        <w:rPr>
          <w:szCs w:val="28"/>
        </w:rPr>
        <w:t xml:space="preserve">Douglas </w:t>
      </w:r>
      <w:r w:rsidRPr="009224BE">
        <w:rPr>
          <w:szCs w:val="28"/>
        </w:rPr>
        <w:t>Kwok</w:t>
      </w:r>
      <w:r w:rsidRPr="009224BE">
        <w:t>,</w:t>
      </w:r>
      <w:r>
        <w:t xml:space="preserve"> i</w:t>
      </w:r>
      <w:r w:rsidRPr="003A549E">
        <w:t>nstructed b</w:t>
      </w:r>
      <w:r>
        <w:rPr>
          <w:rFonts w:hint="eastAsia"/>
        </w:rPr>
        <w:t xml:space="preserve">y </w:t>
      </w:r>
      <w:r>
        <w:t>Bond Ng</w:t>
      </w:r>
      <w:r w:rsidR="0006671C">
        <w:t xml:space="preserve"> Solicitors</w:t>
      </w:r>
      <w:r w:rsidRPr="003A549E">
        <w:t>,</w:t>
      </w:r>
      <w:r>
        <w:t xml:space="preserve"> </w:t>
      </w:r>
      <w:r w:rsidRPr="001455F0">
        <w:t xml:space="preserve">assigned by </w:t>
      </w:r>
      <w:r>
        <w:rPr>
          <w:rFonts w:hint="eastAsia"/>
        </w:rPr>
        <w:t xml:space="preserve">the </w:t>
      </w:r>
      <w:r w:rsidRPr="00CB2D53">
        <w:rPr>
          <w:rFonts w:eastAsia="Times New Roman"/>
          <w:bCs/>
          <w:szCs w:val="28"/>
        </w:rPr>
        <w:t>Director</w:t>
      </w:r>
      <w:r>
        <w:rPr>
          <w:rFonts w:eastAsia="Times New Roman"/>
          <w:szCs w:val="28"/>
        </w:rPr>
        <w:t xml:space="preserve"> of Legal</w:t>
      </w:r>
      <w:r>
        <w:rPr>
          <w:rFonts w:hint="eastAsia"/>
          <w:szCs w:val="28"/>
        </w:rPr>
        <w:t xml:space="preserve"> </w:t>
      </w:r>
      <w:r>
        <w:rPr>
          <w:rFonts w:eastAsia="Times New Roman"/>
          <w:szCs w:val="28"/>
        </w:rPr>
        <w:t>Aid</w:t>
      </w:r>
      <w:r>
        <w:t xml:space="preserve">, </w:t>
      </w:r>
      <w:r w:rsidRPr="003A549E">
        <w:t>for the App</w:t>
      </w:r>
      <w:r>
        <w:rPr>
          <w:rFonts w:hint="eastAsia"/>
        </w:rPr>
        <w:t>ellant</w:t>
      </w:r>
    </w:p>
    <w:p w:rsidR="007E3F96" w:rsidRPr="003A549E" w:rsidRDefault="007E3F96" w:rsidP="007E3F96">
      <w:pPr>
        <w:tabs>
          <w:tab w:val="left" w:pos="3240"/>
        </w:tabs>
        <w:jc w:val="both"/>
      </w:pPr>
      <w:r>
        <w:rPr>
          <w:rFonts w:hint="eastAsia"/>
        </w:rPr>
        <w:t xml:space="preserve">Mr </w:t>
      </w:r>
      <w:r>
        <w:rPr>
          <w:szCs w:val="28"/>
        </w:rPr>
        <w:t xml:space="preserve">Jonathan </w:t>
      </w:r>
      <w:r w:rsidRPr="009224BE">
        <w:rPr>
          <w:szCs w:val="28"/>
        </w:rPr>
        <w:t>Man</w:t>
      </w:r>
      <w:r>
        <w:rPr>
          <w:szCs w:val="28"/>
        </w:rPr>
        <w:t>,</w:t>
      </w:r>
      <w:r w:rsidRPr="00B56650">
        <w:rPr>
          <w:rFonts w:hint="eastAsia"/>
          <w:szCs w:val="28"/>
        </w:rPr>
        <w:t xml:space="preserve"> </w:t>
      </w:r>
      <w:r>
        <w:rPr>
          <w:szCs w:val="28"/>
        </w:rPr>
        <w:t>SA</w:t>
      </w:r>
      <w:r>
        <w:rPr>
          <w:rFonts w:hint="eastAsia"/>
          <w:szCs w:val="28"/>
        </w:rPr>
        <w:t>D</w:t>
      </w:r>
      <w:r w:rsidRPr="00B56650">
        <w:rPr>
          <w:rFonts w:hint="eastAsia"/>
          <w:szCs w:val="28"/>
        </w:rPr>
        <w:t xml:space="preserve">PP </w:t>
      </w:r>
      <w:r>
        <w:t xml:space="preserve">and </w:t>
      </w:r>
      <w:r w:rsidR="0006671C">
        <w:t xml:space="preserve">Mr </w:t>
      </w:r>
      <w:r w:rsidRPr="009224BE">
        <w:rPr>
          <w:szCs w:val="28"/>
        </w:rPr>
        <w:t>Derek Lau</w:t>
      </w:r>
      <w:r>
        <w:rPr>
          <w:szCs w:val="28"/>
        </w:rPr>
        <w:t>,</w:t>
      </w:r>
      <w:r w:rsidRPr="00B56650">
        <w:rPr>
          <w:rFonts w:hint="eastAsia"/>
          <w:szCs w:val="28"/>
        </w:rPr>
        <w:t xml:space="preserve"> </w:t>
      </w:r>
      <w:r>
        <w:rPr>
          <w:szCs w:val="28"/>
        </w:rPr>
        <w:t>S</w:t>
      </w:r>
      <w:r>
        <w:rPr>
          <w:rFonts w:hint="eastAsia"/>
          <w:szCs w:val="28"/>
        </w:rPr>
        <w:t>PP</w:t>
      </w:r>
      <w:r>
        <w:t xml:space="preserve"> </w:t>
      </w:r>
      <w:r>
        <w:rPr>
          <w:rFonts w:hint="eastAsia"/>
        </w:rPr>
        <w:t>of the Department of Justice</w:t>
      </w:r>
      <w:r>
        <w:t xml:space="preserve">, </w:t>
      </w:r>
      <w:r w:rsidRPr="004A4984">
        <w:t>for the Respondent</w:t>
      </w:r>
      <w:r>
        <w:rPr>
          <w:rFonts w:hint="eastAsia"/>
        </w:rPr>
        <w:t xml:space="preserve"> </w:t>
      </w:r>
    </w:p>
    <w:p w:rsidR="007E3F96" w:rsidRPr="00392B3B" w:rsidRDefault="007E3F96" w:rsidP="007E3F96">
      <w:pPr>
        <w:pStyle w:val="BodyTextIndent"/>
        <w:ind w:left="0" w:firstLine="0"/>
      </w:pPr>
    </w:p>
    <w:p w:rsidR="007E3F96" w:rsidRPr="007E3F96" w:rsidRDefault="007E3F96" w:rsidP="007E3F96">
      <w:pPr>
        <w:pStyle w:val="Bob1"/>
        <w:numPr>
          <w:ilvl w:val="0"/>
          <w:numId w:val="0"/>
        </w:numPr>
        <w:ind w:left="720"/>
        <w:jc w:val="both"/>
        <w:rPr>
          <w:lang w:val="en-US"/>
        </w:rPr>
      </w:pPr>
    </w:p>
    <w:sectPr w:rsidR="007E3F96" w:rsidRPr="007E3F96"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C07" w:rsidRDefault="00390C07" w:rsidP="00CC0407">
      <w:pPr>
        <w:spacing w:after="0" w:line="240" w:lineRule="auto"/>
      </w:pPr>
      <w:r>
        <w:separator/>
      </w:r>
    </w:p>
  </w:endnote>
  <w:endnote w:type="continuationSeparator" w:id="0">
    <w:p w:rsidR="00390C07" w:rsidRDefault="00390C07"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C07" w:rsidRDefault="00390C07" w:rsidP="00CC0407">
      <w:pPr>
        <w:spacing w:after="0" w:line="240" w:lineRule="auto"/>
      </w:pPr>
      <w:r>
        <w:separator/>
      </w:r>
    </w:p>
  </w:footnote>
  <w:footnote w:type="continuationSeparator" w:id="0">
    <w:p w:rsidR="00390C07" w:rsidRDefault="00390C07" w:rsidP="00CC0407">
      <w:pPr>
        <w:spacing w:after="0" w:line="240" w:lineRule="auto"/>
      </w:pPr>
      <w:r>
        <w:continuationSeparator/>
      </w:r>
    </w:p>
  </w:footnote>
  <w:footnote w:id="1">
    <w:p w:rsidR="00DA0BD2" w:rsidRDefault="00DA0BD2" w:rsidP="007E3F96">
      <w:pPr>
        <w:pStyle w:val="FootnoteText"/>
        <w:tabs>
          <w:tab w:val="left" w:pos="360"/>
        </w:tabs>
      </w:pPr>
      <w:r>
        <w:rPr>
          <w:rStyle w:val="FootnoteReference"/>
        </w:rPr>
        <w:footnoteRef/>
      </w:r>
      <w:r>
        <w:t xml:space="preserve"> </w:t>
      </w:r>
      <w:r>
        <w:tab/>
        <w:t xml:space="preserve">Cap 382. </w:t>
      </w:r>
    </w:p>
  </w:footnote>
  <w:footnote w:id="2">
    <w:p w:rsidR="0006671C" w:rsidRDefault="0006671C" w:rsidP="0006671C">
      <w:pPr>
        <w:pStyle w:val="FootnoteText"/>
        <w:tabs>
          <w:tab w:val="left" w:pos="360"/>
        </w:tabs>
      </w:pPr>
      <w:r>
        <w:rPr>
          <w:rStyle w:val="FootnoteReference"/>
        </w:rPr>
        <w:footnoteRef/>
      </w:r>
      <w:r>
        <w:t xml:space="preserve"> </w:t>
      </w:r>
      <w:r>
        <w:tab/>
      </w:r>
      <w:r>
        <w:rPr>
          <w:rFonts w:hint="eastAsia"/>
        </w:rPr>
        <w:t>Magistrate</w:t>
      </w:r>
      <w:r>
        <w:t>’s Statement of Findings</w:t>
      </w:r>
      <w:r w:rsidR="001C26F1">
        <w:t>,</w:t>
      </w:r>
      <w:r>
        <w:t xml:space="preserve"> </w:t>
      </w:r>
      <w:r>
        <w:rPr>
          <w:rFonts w:cs="Times New Roman"/>
        </w:rPr>
        <w:t>§</w:t>
      </w:r>
      <w:r>
        <w:t>10.</w:t>
      </w:r>
    </w:p>
  </w:footnote>
  <w:footnote w:id="3">
    <w:p w:rsidR="00DA0BD2" w:rsidRDefault="00DA0BD2" w:rsidP="007E3F96">
      <w:pPr>
        <w:pStyle w:val="FootnoteText"/>
        <w:tabs>
          <w:tab w:val="left" w:pos="360"/>
        </w:tabs>
        <w:ind w:left="360" w:hanging="360"/>
        <w:jc w:val="both"/>
      </w:pPr>
      <w:r>
        <w:rPr>
          <w:rStyle w:val="FootnoteReference"/>
        </w:rPr>
        <w:footnoteRef/>
      </w:r>
      <w:r>
        <w:t xml:space="preserve"> </w:t>
      </w:r>
      <w:r>
        <w:tab/>
        <w:t>Cap 245.</w:t>
      </w:r>
    </w:p>
  </w:footnote>
  <w:footnote w:id="4">
    <w:p w:rsidR="00DA0BD2" w:rsidRDefault="00DA0BD2" w:rsidP="007E3F96">
      <w:pPr>
        <w:pStyle w:val="FootnoteText"/>
        <w:tabs>
          <w:tab w:val="left" w:pos="360"/>
        </w:tabs>
        <w:ind w:left="360" w:hanging="360"/>
        <w:jc w:val="both"/>
      </w:pPr>
      <w:r>
        <w:rPr>
          <w:rStyle w:val="FootnoteReference"/>
        </w:rPr>
        <w:footnoteRef/>
      </w:r>
      <w:r>
        <w:tab/>
        <w:t xml:space="preserve">Before the Magistrate Mr Jason </w:t>
      </w:r>
      <w:r w:rsidR="0006671C">
        <w:t xml:space="preserve">Wan </w:t>
      </w:r>
      <w:r>
        <w:t>Siu-</w:t>
      </w:r>
      <w:proofErr w:type="spellStart"/>
      <w:r>
        <w:t>ming</w:t>
      </w:r>
      <w:proofErr w:type="spellEnd"/>
      <w:r>
        <w:t>, ESCC 3658/2014 (30 December 2015), upheld by Wong J, HCMA 229/2016 (25 January 2017).</w:t>
      </w:r>
    </w:p>
  </w:footnote>
  <w:footnote w:id="5">
    <w:p w:rsidR="00240D68" w:rsidRPr="00240D68" w:rsidRDefault="00240D68" w:rsidP="00240D68">
      <w:pPr>
        <w:pStyle w:val="FootnoteText"/>
        <w:ind w:left="360" w:hanging="360"/>
      </w:pPr>
      <w:r>
        <w:rPr>
          <w:rStyle w:val="FootnoteReference"/>
        </w:rPr>
        <w:footnoteRef/>
      </w:r>
      <w:r>
        <w:t xml:space="preserve"> </w:t>
      </w:r>
      <w:r>
        <w:tab/>
        <w:t>Section 2(1) of the LC(PP)O.</w:t>
      </w:r>
    </w:p>
  </w:footnote>
  <w:footnote w:id="6">
    <w:p w:rsidR="00DA0BD2" w:rsidRDefault="00DA0BD2" w:rsidP="007E3F96">
      <w:pPr>
        <w:pStyle w:val="FootnoteText"/>
        <w:tabs>
          <w:tab w:val="left" w:pos="360"/>
        </w:tabs>
      </w:pPr>
      <w:r>
        <w:rPr>
          <w:rStyle w:val="FootnoteReference"/>
        </w:rPr>
        <w:footnoteRef/>
      </w:r>
      <w:r>
        <w:t xml:space="preserve"> </w:t>
      </w:r>
      <w:r>
        <w:tab/>
        <w:t>Ma CJ, Ribeir</w:t>
      </w:r>
      <w:r w:rsidR="0006671C">
        <w:t>o and Tang PJJ, FAMC 18/2017 (15</w:t>
      </w:r>
      <w:r>
        <w:t xml:space="preserve"> August 2017).</w:t>
      </w:r>
    </w:p>
  </w:footnote>
  <w:footnote w:id="7">
    <w:p w:rsidR="00DA0BD2" w:rsidRDefault="00DA0BD2" w:rsidP="007E3F96">
      <w:pPr>
        <w:pStyle w:val="FootnoteText"/>
        <w:tabs>
          <w:tab w:val="left" w:pos="360"/>
        </w:tabs>
      </w:pPr>
      <w:r>
        <w:rPr>
          <w:rStyle w:val="FootnoteReference"/>
        </w:rPr>
        <w:footnoteRef/>
      </w:r>
      <w:r>
        <w:t xml:space="preserve"> </w:t>
      </w:r>
      <w:r>
        <w:tab/>
        <w:t xml:space="preserve">Appearing with Mr Douglas Kwok for the appellant. </w:t>
      </w:r>
    </w:p>
  </w:footnote>
  <w:footnote w:id="8">
    <w:p w:rsidR="00DA0BD2" w:rsidRDefault="00DA0BD2" w:rsidP="007E3F96">
      <w:pPr>
        <w:pStyle w:val="FootnoteText"/>
        <w:tabs>
          <w:tab w:val="left" w:pos="360"/>
        </w:tabs>
      </w:pPr>
      <w:r>
        <w:rPr>
          <w:rStyle w:val="FootnoteReference"/>
        </w:rPr>
        <w:footnoteRef/>
      </w:r>
      <w:r>
        <w:t xml:space="preserve"> </w:t>
      </w:r>
      <w:r>
        <w:tab/>
        <w:t>Discussed in Section</w:t>
      </w:r>
      <w:r w:rsidR="003A0A66">
        <w:t xml:space="preserve"> D.4</w:t>
      </w:r>
      <w:r>
        <w:t xml:space="preserve"> of this judgment.</w:t>
      </w:r>
    </w:p>
  </w:footnote>
  <w:footnote w:id="9">
    <w:p w:rsidR="00DA0BD2" w:rsidRPr="00BF7BA2" w:rsidRDefault="00DA0BD2" w:rsidP="007E3F96">
      <w:pPr>
        <w:pStyle w:val="FootnoteText"/>
        <w:tabs>
          <w:tab w:val="left" w:pos="360"/>
        </w:tabs>
      </w:pPr>
      <w:r>
        <w:rPr>
          <w:rStyle w:val="FootnoteReference"/>
        </w:rPr>
        <w:footnoteRef/>
      </w:r>
      <w:r>
        <w:t xml:space="preserve"> </w:t>
      </w:r>
      <w:r>
        <w:tab/>
        <w:t>Appellant’s written case (“</w:t>
      </w:r>
      <w:r>
        <w:rPr>
          <w:u w:val="single"/>
        </w:rPr>
        <w:t>AWC</w:t>
      </w:r>
      <w:r>
        <w:t>”) §7.</w:t>
      </w:r>
    </w:p>
  </w:footnote>
  <w:footnote w:id="10">
    <w:p w:rsidR="00DA0BD2" w:rsidRPr="00BF7BA2" w:rsidRDefault="00DA0BD2" w:rsidP="007E3F96">
      <w:pPr>
        <w:pStyle w:val="FootnoteText"/>
        <w:tabs>
          <w:tab w:val="left" w:pos="360"/>
        </w:tabs>
      </w:pPr>
      <w:r>
        <w:rPr>
          <w:rStyle w:val="FootnoteReference"/>
        </w:rPr>
        <w:footnoteRef/>
      </w:r>
      <w:r>
        <w:t xml:space="preserve"> </w:t>
      </w:r>
      <w:r>
        <w:tab/>
      </w:r>
      <w:r>
        <w:rPr>
          <w:i/>
        </w:rPr>
        <w:t>Ibid</w:t>
      </w:r>
      <w:r>
        <w:t>.</w:t>
      </w:r>
    </w:p>
  </w:footnote>
  <w:footnote w:id="11">
    <w:p w:rsidR="00DA0BD2" w:rsidRDefault="00DA0BD2" w:rsidP="007E3F96">
      <w:pPr>
        <w:pStyle w:val="FootnoteText"/>
        <w:tabs>
          <w:tab w:val="left" w:pos="360"/>
        </w:tabs>
      </w:pPr>
      <w:r>
        <w:rPr>
          <w:rStyle w:val="FootnoteReference"/>
        </w:rPr>
        <w:footnoteRef/>
      </w:r>
      <w:r>
        <w:t xml:space="preserve"> </w:t>
      </w:r>
      <w:r>
        <w:tab/>
        <w:t xml:space="preserve">AWC§§10, 72 and 73. </w:t>
      </w:r>
    </w:p>
  </w:footnote>
  <w:footnote w:id="12">
    <w:p w:rsidR="00DA0BD2" w:rsidRDefault="00DA0BD2" w:rsidP="007E3F96">
      <w:pPr>
        <w:pStyle w:val="FootnoteText"/>
        <w:tabs>
          <w:tab w:val="left" w:pos="360"/>
        </w:tabs>
      </w:pPr>
      <w:r>
        <w:rPr>
          <w:rStyle w:val="FootnoteReference"/>
        </w:rPr>
        <w:footnoteRef/>
      </w:r>
      <w:r w:rsidR="003A0A66">
        <w:t xml:space="preserve"> </w:t>
      </w:r>
      <w:r w:rsidR="003A0A66">
        <w:tab/>
        <w:t>Set out in Section D.2</w:t>
      </w:r>
      <w:r>
        <w:t xml:space="preserve"> below.</w:t>
      </w:r>
    </w:p>
  </w:footnote>
  <w:footnote w:id="13">
    <w:p w:rsidR="00DA0BD2" w:rsidRDefault="00DA0BD2" w:rsidP="007E3F96">
      <w:pPr>
        <w:pStyle w:val="FootnoteText"/>
        <w:tabs>
          <w:tab w:val="left" w:pos="360"/>
        </w:tabs>
      </w:pPr>
      <w:r>
        <w:rPr>
          <w:rStyle w:val="FootnoteReference"/>
        </w:rPr>
        <w:footnoteRef/>
      </w:r>
      <w:r>
        <w:t xml:space="preserve"> </w:t>
      </w:r>
      <w:r>
        <w:tab/>
        <w:t>AWC§§69-70.</w:t>
      </w:r>
    </w:p>
  </w:footnote>
  <w:footnote w:id="14">
    <w:p w:rsidR="00DA0BD2" w:rsidRDefault="00DA0BD2" w:rsidP="007E3F96">
      <w:pPr>
        <w:pStyle w:val="FootnoteText"/>
        <w:tabs>
          <w:tab w:val="left" w:pos="360"/>
        </w:tabs>
      </w:pPr>
      <w:r>
        <w:rPr>
          <w:rStyle w:val="FootnoteReference"/>
        </w:rPr>
        <w:footnoteRef/>
      </w:r>
      <w:r>
        <w:t xml:space="preserve"> </w:t>
      </w:r>
      <w:r>
        <w:tab/>
        <w:t>AWC§71.</w:t>
      </w:r>
    </w:p>
  </w:footnote>
  <w:footnote w:id="15">
    <w:p w:rsidR="00FE51FC" w:rsidRDefault="00FE51FC" w:rsidP="007E3F96">
      <w:pPr>
        <w:pStyle w:val="FootnoteText"/>
        <w:tabs>
          <w:tab w:val="left" w:pos="360"/>
        </w:tabs>
      </w:pPr>
      <w:r>
        <w:rPr>
          <w:rStyle w:val="FootnoteReference"/>
        </w:rPr>
        <w:footnoteRef/>
      </w:r>
      <w:r>
        <w:t xml:space="preserve"> </w:t>
      </w:r>
      <w:r>
        <w:tab/>
        <w:t>Cap 232.</w:t>
      </w:r>
    </w:p>
  </w:footnote>
  <w:footnote w:id="16">
    <w:p w:rsidR="00DA0BD2" w:rsidRDefault="00DA0BD2" w:rsidP="007E3F96">
      <w:pPr>
        <w:pStyle w:val="FootnoteText"/>
        <w:tabs>
          <w:tab w:val="left" w:pos="360"/>
        </w:tabs>
      </w:pPr>
      <w:r>
        <w:rPr>
          <w:rStyle w:val="FootnoteReference"/>
        </w:rPr>
        <w:footnoteRef/>
      </w:r>
      <w:r>
        <w:t xml:space="preserve"> </w:t>
      </w:r>
      <w:r>
        <w:tab/>
        <w:t>AWC§13.</w:t>
      </w:r>
    </w:p>
  </w:footnote>
  <w:footnote w:id="17">
    <w:p w:rsidR="00DA0BD2" w:rsidRDefault="00DA0BD2" w:rsidP="007E3F96">
      <w:pPr>
        <w:pStyle w:val="FootnoteText"/>
        <w:tabs>
          <w:tab w:val="left" w:pos="360"/>
        </w:tabs>
      </w:pPr>
      <w:r>
        <w:rPr>
          <w:rStyle w:val="FootnoteReference"/>
        </w:rPr>
        <w:footnoteRef/>
      </w:r>
      <w:r>
        <w:t xml:space="preserve"> </w:t>
      </w:r>
      <w:r>
        <w:tab/>
        <w:t>AWC§64.</w:t>
      </w:r>
    </w:p>
  </w:footnote>
  <w:footnote w:id="18">
    <w:p w:rsidR="00DA0BD2" w:rsidRDefault="00DA0BD2" w:rsidP="007E3F96">
      <w:pPr>
        <w:pStyle w:val="FootnoteText"/>
        <w:tabs>
          <w:tab w:val="left" w:pos="360"/>
        </w:tabs>
      </w:pPr>
      <w:r>
        <w:rPr>
          <w:rStyle w:val="FootnoteReference"/>
        </w:rPr>
        <w:footnoteRef/>
      </w:r>
      <w:r w:rsidR="0006671C">
        <w:t xml:space="preserve"> </w:t>
      </w:r>
      <w:r w:rsidR="0006671C">
        <w:tab/>
        <w:t>AWC§§11, 39-58</w:t>
      </w:r>
      <w:r>
        <w:t>.</w:t>
      </w:r>
    </w:p>
  </w:footnote>
  <w:footnote w:id="19">
    <w:p w:rsidR="00DA0BD2" w:rsidRDefault="00DA0BD2" w:rsidP="007E3F96">
      <w:pPr>
        <w:pStyle w:val="FootnoteText"/>
        <w:tabs>
          <w:tab w:val="left" w:pos="360"/>
        </w:tabs>
      </w:pPr>
      <w:r>
        <w:rPr>
          <w:rStyle w:val="FootnoteReference"/>
        </w:rPr>
        <w:footnoteRef/>
      </w:r>
      <w:r>
        <w:t xml:space="preserve"> </w:t>
      </w:r>
      <w:r>
        <w:tab/>
        <w:t>LC(PP)O section 3.</w:t>
      </w:r>
    </w:p>
  </w:footnote>
  <w:footnote w:id="20">
    <w:p w:rsidR="00DA0BD2" w:rsidRDefault="00DA0BD2" w:rsidP="007E3F96">
      <w:pPr>
        <w:pStyle w:val="FootnoteText"/>
        <w:tabs>
          <w:tab w:val="left" w:pos="360"/>
        </w:tabs>
      </w:pPr>
      <w:r>
        <w:rPr>
          <w:rStyle w:val="FootnoteReference"/>
        </w:rPr>
        <w:footnoteRef/>
      </w:r>
      <w:r>
        <w:t xml:space="preserve"> </w:t>
      </w:r>
      <w:r>
        <w:tab/>
        <w:t>LC(PP)O section 4.</w:t>
      </w:r>
    </w:p>
  </w:footnote>
  <w:footnote w:id="21">
    <w:p w:rsidR="00DA0BD2" w:rsidRDefault="00DA0BD2" w:rsidP="007E3F96">
      <w:pPr>
        <w:pStyle w:val="FootnoteText"/>
        <w:tabs>
          <w:tab w:val="left" w:pos="360"/>
        </w:tabs>
        <w:ind w:left="360" w:hanging="360"/>
        <w:jc w:val="both"/>
      </w:pPr>
      <w:r>
        <w:rPr>
          <w:rStyle w:val="FootnoteReference"/>
        </w:rPr>
        <w:footnoteRef/>
      </w:r>
      <w:r>
        <w:t xml:space="preserve"> </w:t>
      </w:r>
      <w:r>
        <w:tab/>
        <w:t>LC(PP)O section 5.</w:t>
      </w:r>
    </w:p>
  </w:footnote>
  <w:footnote w:id="22">
    <w:p w:rsidR="00DA0BD2" w:rsidRPr="00240D68" w:rsidRDefault="00DA0BD2" w:rsidP="007E3F96">
      <w:pPr>
        <w:pStyle w:val="FootnoteText"/>
        <w:tabs>
          <w:tab w:val="left" w:pos="360"/>
        </w:tabs>
        <w:ind w:left="360" w:hanging="360"/>
        <w:jc w:val="both"/>
        <w:rPr>
          <w:rFonts w:eastAsia="PMingLiU"/>
          <w:lang w:eastAsia="zh-TW"/>
        </w:rPr>
      </w:pPr>
      <w:r>
        <w:rPr>
          <w:rStyle w:val="FootnoteReference"/>
        </w:rPr>
        <w:footnoteRef/>
      </w:r>
      <w:r>
        <w:t xml:space="preserve"> </w:t>
      </w:r>
      <w:r>
        <w:tab/>
        <w:t>PFO section 10 relevantly includes among the general duties of the police force, duties “to take lawful measures for - (a) preserving the public peace; (b) preventing and detecting crimes and offences; (c) preventing injury to life and property; (d) apprehending all persons whom it is lawful to apprehend and for whose apprehension sufficient grounds exists; (e) regulating processions and assemblies in public places or places of public resort; ... (g) preserving order in public places and places of public resort, at public meetings and in assemblies for public amusements, for which purpose any police officer on duty shall have free admission to all such places and meetings and assemblies while</w:t>
      </w:r>
      <w:r w:rsidR="00882A5C">
        <w:t xml:space="preserve"> open to any of the public; ... </w:t>
      </w:r>
      <w:r>
        <w:t>(o) protecting public property from loss or injury; ...(r) executing such other duties as may by law be imposed on a police officer.</w:t>
      </w:r>
      <w:r w:rsidR="00882A5C">
        <w:t>”</w:t>
      </w:r>
      <w:r w:rsidR="00240D68">
        <w:t xml:space="preserve">    Section 10(r) preserves the common law powers and duties of police officers, for example, the power of arrest without warrant where there is a breach of the peace or reasonable apprehension of an imminent breach of the peace: </w:t>
      </w:r>
      <w:r w:rsidR="00240D68">
        <w:rPr>
          <w:i/>
        </w:rPr>
        <w:t xml:space="preserve">HKSAR v Chow </w:t>
      </w:r>
      <w:proofErr w:type="spellStart"/>
      <w:r w:rsidR="00240D68">
        <w:rPr>
          <w:i/>
        </w:rPr>
        <w:t>Nok</w:t>
      </w:r>
      <w:proofErr w:type="spellEnd"/>
      <w:r w:rsidR="00240D68">
        <w:rPr>
          <w:i/>
        </w:rPr>
        <w:t xml:space="preserve"> Hang </w:t>
      </w:r>
      <w:r w:rsidR="00FC2285">
        <w:t>(201</w:t>
      </w:r>
      <w:r w:rsidR="00FC2285" w:rsidRPr="00FC2285">
        <w:rPr>
          <w:rFonts w:eastAsia="PMingLiU" w:cs="Times New Roman"/>
          <w:lang w:eastAsia="zh-TW"/>
        </w:rPr>
        <w:t>3</w:t>
      </w:r>
      <w:r w:rsidR="00240D68">
        <w:t>) 16 HKCFAR 837 at §80.</w:t>
      </w:r>
    </w:p>
  </w:footnote>
  <w:footnote w:id="23">
    <w:p w:rsidR="00DA0BD2" w:rsidRDefault="00DA0BD2" w:rsidP="007E3F96">
      <w:pPr>
        <w:pStyle w:val="FootnoteText"/>
        <w:tabs>
          <w:tab w:val="left" w:pos="360"/>
        </w:tabs>
        <w:ind w:left="360" w:hanging="360"/>
        <w:jc w:val="both"/>
      </w:pPr>
      <w:r>
        <w:rPr>
          <w:rStyle w:val="FootnoteReference"/>
        </w:rPr>
        <w:footnoteRef/>
      </w:r>
      <w:r>
        <w:t xml:space="preserve"> </w:t>
      </w:r>
      <w:r>
        <w:tab/>
        <w:t>[2011] 1 AC 684.</w:t>
      </w:r>
    </w:p>
  </w:footnote>
  <w:footnote w:id="24">
    <w:p w:rsidR="0042438D" w:rsidRDefault="0042438D" w:rsidP="007E3F96">
      <w:pPr>
        <w:pStyle w:val="FootnoteText"/>
        <w:tabs>
          <w:tab w:val="left" w:pos="360"/>
        </w:tabs>
        <w:ind w:left="360" w:hanging="360"/>
        <w:jc w:val="both"/>
      </w:pPr>
      <w:r>
        <w:rPr>
          <w:rStyle w:val="FootnoteReference"/>
        </w:rPr>
        <w:footnoteRef/>
      </w:r>
      <w:r>
        <w:t xml:space="preserve"> </w:t>
      </w:r>
      <w:r>
        <w:tab/>
        <w:t>Derived from Article 9 of the Bill of Rights 1689 and the customary recognition of matters within the exclusive cognisance of Parliament.</w:t>
      </w:r>
    </w:p>
  </w:footnote>
  <w:footnote w:id="25">
    <w:p w:rsidR="00DA0BD2" w:rsidRDefault="00DA0BD2" w:rsidP="007E3F96">
      <w:pPr>
        <w:pStyle w:val="FootnoteText"/>
        <w:tabs>
          <w:tab w:val="left" w:pos="360"/>
        </w:tabs>
      </w:pPr>
      <w:r>
        <w:rPr>
          <w:rStyle w:val="FootnoteReference"/>
        </w:rPr>
        <w:footnoteRef/>
      </w:r>
      <w:r>
        <w:t xml:space="preserve"> </w:t>
      </w:r>
      <w:r>
        <w:tab/>
        <w:t>LC(PP)O section 8(1).</w:t>
      </w:r>
    </w:p>
  </w:footnote>
  <w:footnote w:id="26">
    <w:p w:rsidR="00DA0BD2" w:rsidRDefault="00DA0BD2" w:rsidP="007E3F96">
      <w:pPr>
        <w:pStyle w:val="FootnoteText"/>
        <w:tabs>
          <w:tab w:val="left" w:pos="360"/>
        </w:tabs>
      </w:pPr>
      <w:r>
        <w:rPr>
          <w:rStyle w:val="FootnoteReference"/>
        </w:rPr>
        <w:footnoteRef/>
      </w:r>
      <w:r>
        <w:t xml:space="preserve"> </w:t>
      </w:r>
      <w:r>
        <w:tab/>
        <w:t>LC(PP)O section 8(2) (italics supplied).</w:t>
      </w:r>
    </w:p>
  </w:footnote>
  <w:footnote w:id="27">
    <w:p w:rsidR="00DA0BD2" w:rsidRDefault="00DA0BD2" w:rsidP="007E3F96">
      <w:pPr>
        <w:pStyle w:val="FootnoteText"/>
        <w:tabs>
          <w:tab w:val="left" w:pos="360"/>
        </w:tabs>
      </w:pPr>
      <w:r>
        <w:rPr>
          <w:rStyle w:val="FootnoteReference"/>
        </w:rPr>
        <w:footnoteRef/>
      </w:r>
      <w:r>
        <w:t xml:space="preserve"> </w:t>
      </w:r>
      <w:r>
        <w:tab/>
        <w:t>Cap 382A.</w:t>
      </w:r>
    </w:p>
  </w:footnote>
  <w:footnote w:id="28">
    <w:p w:rsidR="00DA0BD2" w:rsidRDefault="00DA0BD2" w:rsidP="007E3F96">
      <w:pPr>
        <w:pStyle w:val="FootnoteText"/>
        <w:tabs>
          <w:tab w:val="left" w:pos="270"/>
          <w:tab w:val="left" w:pos="360"/>
        </w:tabs>
        <w:ind w:left="360" w:hanging="360"/>
        <w:jc w:val="both"/>
      </w:pPr>
      <w:r>
        <w:rPr>
          <w:rStyle w:val="FootnoteReference"/>
        </w:rPr>
        <w:footnoteRef/>
      </w:r>
      <w:r>
        <w:t xml:space="preserve"> </w:t>
      </w:r>
      <w:r>
        <w:tab/>
      </w:r>
      <w:r w:rsidR="007E3F96">
        <w:tab/>
      </w:r>
      <w:r>
        <w:t>Cap 443.  Section 4(1)(a): “The Commission shall consist of the following members ... the President of the Council, who shall be Chairman of the Commission”.</w:t>
      </w:r>
    </w:p>
  </w:footnote>
  <w:footnote w:id="29">
    <w:p w:rsidR="00DA0BD2" w:rsidRDefault="00DA0BD2" w:rsidP="007E3F96">
      <w:pPr>
        <w:pStyle w:val="FootnoteText"/>
        <w:tabs>
          <w:tab w:val="left" w:pos="360"/>
        </w:tabs>
      </w:pPr>
      <w:r>
        <w:rPr>
          <w:rStyle w:val="FootnoteReference"/>
        </w:rPr>
        <w:footnoteRef/>
      </w:r>
      <w:r>
        <w:t xml:space="preserve"> </w:t>
      </w:r>
      <w:r>
        <w:tab/>
        <w:t>AWC§6.</w:t>
      </w:r>
    </w:p>
  </w:footnote>
  <w:footnote w:id="30">
    <w:p w:rsidR="00DA0BD2" w:rsidRDefault="00DA0BD2" w:rsidP="007E3F96">
      <w:pPr>
        <w:pStyle w:val="FootnoteText"/>
        <w:tabs>
          <w:tab w:val="left" w:pos="360"/>
        </w:tabs>
      </w:pPr>
      <w:r>
        <w:rPr>
          <w:rStyle w:val="FootnoteReference"/>
        </w:rPr>
        <w:footnoteRef/>
      </w:r>
      <w:r>
        <w:t xml:space="preserve"> </w:t>
      </w:r>
      <w:r>
        <w:tab/>
        <w:t>AWC§69.</w:t>
      </w:r>
    </w:p>
  </w:footnote>
  <w:footnote w:id="31">
    <w:p w:rsidR="00862FDF" w:rsidRDefault="00862FDF" w:rsidP="007E3F96">
      <w:pPr>
        <w:pStyle w:val="FootnoteText"/>
        <w:tabs>
          <w:tab w:val="left" w:pos="360"/>
        </w:tabs>
      </w:pPr>
      <w:r>
        <w:rPr>
          <w:rStyle w:val="FootnoteReference"/>
        </w:rPr>
        <w:footnoteRef/>
      </w:r>
      <w:r>
        <w:t xml:space="preserve"> </w:t>
      </w:r>
      <w:r>
        <w:tab/>
        <w:t>AWC§71 and §76(1).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DA0BD2" w:rsidRDefault="00DA0BD2">
        <w:pPr>
          <w:pStyle w:val="Header"/>
          <w:jc w:val="center"/>
        </w:pPr>
        <w:r>
          <w:t>-</w:t>
        </w:r>
        <w:r>
          <w:fldChar w:fldCharType="begin"/>
        </w:r>
        <w:r>
          <w:instrText xml:space="preserve"> PAGE   \* MERGEFORMAT </w:instrText>
        </w:r>
        <w:r>
          <w:fldChar w:fldCharType="separate"/>
        </w:r>
        <w:r w:rsidR="00663CB7">
          <w:rPr>
            <w:noProof/>
          </w:rPr>
          <w:t>16</w:t>
        </w:r>
        <w:r>
          <w:rPr>
            <w:noProof/>
          </w:rPr>
          <w:fldChar w:fldCharType="end"/>
        </w:r>
        <w:r>
          <w:t>-</w:t>
        </w:r>
      </w:p>
    </w:sdtContent>
  </w:sdt>
  <w:p w:rsidR="00DA0BD2" w:rsidRDefault="00DA0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0a0a0" stroked="f"/>
    </w:pict>
  </w:numPicBullet>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34AA1816"/>
    <w:multiLevelType w:val="hybridMultilevel"/>
    <w:tmpl w:val="041CF1DC"/>
    <w:lvl w:ilvl="0" w:tplc="8716E7AA">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1B"/>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283"/>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A7"/>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966"/>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1C"/>
    <w:rsid w:val="00066727"/>
    <w:rsid w:val="00066795"/>
    <w:rsid w:val="00066A48"/>
    <w:rsid w:val="00066C13"/>
    <w:rsid w:val="00066C76"/>
    <w:rsid w:val="0006705A"/>
    <w:rsid w:val="000671E4"/>
    <w:rsid w:val="0006746F"/>
    <w:rsid w:val="00067CB0"/>
    <w:rsid w:val="00067E69"/>
    <w:rsid w:val="00067FA7"/>
    <w:rsid w:val="000701F2"/>
    <w:rsid w:val="00070422"/>
    <w:rsid w:val="000707F0"/>
    <w:rsid w:val="00070927"/>
    <w:rsid w:val="00070A86"/>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9D0"/>
    <w:rsid w:val="00093C47"/>
    <w:rsid w:val="00093DA6"/>
    <w:rsid w:val="00093DCB"/>
    <w:rsid w:val="00093F98"/>
    <w:rsid w:val="00094072"/>
    <w:rsid w:val="000949DD"/>
    <w:rsid w:val="00094A07"/>
    <w:rsid w:val="000951DD"/>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150"/>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D5A"/>
    <w:rsid w:val="000A4F1C"/>
    <w:rsid w:val="000A52DA"/>
    <w:rsid w:val="000A557A"/>
    <w:rsid w:val="000A577B"/>
    <w:rsid w:val="000A5A4C"/>
    <w:rsid w:val="000A5DC6"/>
    <w:rsid w:val="000A6349"/>
    <w:rsid w:val="000A644C"/>
    <w:rsid w:val="000A6500"/>
    <w:rsid w:val="000A678E"/>
    <w:rsid w:val="000A6B59"/>
    <w:rsid w:val="000A6B81"/>
    <w:rsid w:val="000A6ED7"/>
    <w:rsid w:val="000A6EEE"/>
    <w:rsid w:val="000A6FED"/>
    <w:rsid w:val="000A75F7"/>
    <w:rsid w:val="000A7D61"/>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A85"/>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AB0"/>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236"/>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28F"/>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2C4B"/>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5B2"/>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5CC"/>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5E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B42"/>
    <w:rsid w:val="00163B59"/>
    <w:rsid w:val="00163D6F"/>
    <w:rsid w:val="00163F76"/>
    <w:rsid w:val="001641CD"/>
    <w:rsid w:val="001641F7"/>
    <w:rsid w:val="00164479"/>
    <w:rsid w:val="00164632"/>
    <w:rsid w:val="0016482F"/>
    <w:rsid w:val="0016488A"/>
    <w:rsid w:val="00164D49"/>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0B8"/>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2AE"/>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06"/>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7BD"/>
    <w:rsid w:val="001C1AC7"/>
    <w:rsid w:val="001C1C32"/>
    <w:rsid w:val="001C1CC0"/>
    <w:rsid w:val="001C20B5"/>
    <w:rsid w:val="001C21CE"/>
    <w:rsid w:val="001C2677"/>
    <w:rsid w:val="001C26F1"/>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89F"/>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0D1B"/>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9D9"/>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7F4"/>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ED6"/>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BBC"/>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68"/>
    <w:rsid w:val="00240DD6"/>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A85"/>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C24"/>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4EC"/>
    <w:rsid w:val="00286649"/>
    <w:rsid w:val="00286681"/>
    <w:rsid w:val="0028674B"/>
    <w:rsid w:val="00286750"/>
    <w:rsid w:val="00286D7D"/>
    <w:rsid w:val="00286DBA"/>
    <w:rsid w:val="00287845"/>
    <w:rsid w:val="00287876"/>
    <w:rsid w:val="00287EDA"/>
    <w:rsid w:val="002901FD"/>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8"/>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B90"/>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58"/>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3DC"/>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782"/>
    <w:rsid w:val="00355843"/>
    <w:rsid w:val="0035598D"/>
    <w:rsid w:val="00355E80"/>
    <w:rsid w:val="00355FC3"/>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0C07"/>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A66"/>
    <w:rsid w:val="003A0BC8"/>
    <w:rsid w:val="003A0F2D"/>
    <w:rsid w:val="003A173A"/>
    <w:rsid w:val="003A1EC7"/>
    <w:rsid w:val="003A1EF6"/>
    <w:rsid w:val="003A2694"/>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641"/>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DF6"/>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1D"/>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1B9"/>
    <w:rsid w:val="003D3A8D"/>
    <w:rsid w:val="003D3CC1"/>
    <w:rsid w:val="003D3F0D"/>
    <w:rsid w:val="003D4058"/>
    <w:rsid w:val="003D40BB"/>
    <w:rsid w:val="003D42D0"/>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38D"/>
    <w:rsid w:val="00424408"/>
    <w:rsid w:val="00424474"/>
    <w:rsid w:val="00424B54"/>
    <w:rsid w:val="00424BD3"/>
    <w:rsid w:val="00424DC4"/>
    <w:rsid w:val="004250B1"/>
    <w:rsid w:val="00425345"/>
    <w:rsid w:val="00425765"/>
    <w:rsid w:val="004258E9"/>
    <w:rsid w:val="00425FB2"/>
    <w:rsid w:val="00426009"/>
    <w:rsid w:val="0042628E"/>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3F6B"/>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4B1"/>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6FE3"/>
    <w:rsid w:val="004671F2"/>
    <w:rsid w:val="00467292"/>
    <w:rsid w:val="00467305"/>
    <w:rsid w:val="0046740E"/>
    <w:rsid w:val="0046781C"/>
    <w:rsid w:val="00467F2C"/>
    <w:rsid w:val="00467F5C"/>
    <w:rsid w:val="00467FBD"/>
    <w:rsid w:val="00467FE0"/>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63"/>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09"/>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6A2"/>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B6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3E65"/>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582"/>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4C"/>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5F10"/>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29"/>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7D1"/>
    <w:rsid w:val="006518F1"/>
    <w:rsid w:val="00651975"/>
    <w:rsid w:val="00651F31"/>
    <w:rsid w:val="00651FA6"/>
    <w:rsid w:val="0065211C"/>
    <w:rsid w:val="00652466"/>
    <w:rsid w:val="00652876"/>
    <w:rsid w:val="006528B6"/>
    <w:rsid w:val="00652991"/>
    <w:rsid w:val="006529BA"/>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3CB7"/>
    <w:rsid w:val="006644EA"/>
    <w:rsid w:val="00664501"/>
    <w:rsid w:val="00664554"/>
    <w:rsid w:val="00664BDD"/>
    <w:rsid w:val="00664E61"/>
    <w:rsid w:val="00665595"/>
    <w:rsid w:val="006656BD"/>
    <w:rsid w:val="00665982"/>
    <w:rsid w:val="00665987"/>
    <w:rsid w:val="006659A7"/>
    <w:rsid w:val="006659E7"/>
    <w:rsid w:val="00665A05"/>
    <w:rsid w:val="00665CB6"/>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2BDD"/>
    <w:rsid w:val="006730A0"/>
    <w:rsid w:val="00673313"/>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35"/>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0B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48E"/>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4F3B"/>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9D2"/>
    <w:rsid w:val="00714DB8"/>
    <w:rsid w:val="0071584B"/>
    <w:rsid w:val="00715DE1"/>
    <w:rsid w:val="00715F1E"/>
    <w:rsid w:val="007167EE"/>
    <w:rsid w:val="00716944"/>
    <w:rsid w:val="0071697C"/>
    <w:rsid w:val="007169ED"/>
    <w:rsid w:val="00716A68"/>
    <w:rsid w:val="00716B90"/>
    <w:rsid w:val="0071748C"/>
    <w:rsid w:val="007175F4"/>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533"/>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28"/>
    <w:rsid w:val="0074116F"/>
    <w:rsid w:val="0074196B"/>
    <w:rsid w:val="007419A0"/>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C6F"/>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61"/>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1BF"/>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7BE"/>
    <w:rsid w:val="0079092E"/>
    <w:rsid w:val="00790A68"/>
    <w:rsid w:val="00790D35"/>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6E66"/>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D7F79"/>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3F96"/>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3EC9"/>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598"/>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2E61"/>
    <w:rsid w:val="00862FD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58F"/>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5C"/>
    <w:rsid w:val="00882A8B"/>
    <w:rsid w:val="00882E12"/>
    <w:rsid w:val="00882E69"/>
    <w:rsid w:val="00882FFF"/>
    <w:rsid w:val="0088331D"/>
    <w:rsid w:val="00883933"/>
    <w:rsid w:val="00883A8A"/>
    <w:rsid w:val="00884283"/>
    <w:rsid w:val="0088450F"/>
    <w:rsid w:val="00884713"/>
    <w:rsid w:val="008847CB"/>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8E9"/>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427"/>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29"/>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6FA7"/>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90"/>
    <w:rsid w:val="009661A6"/>
    <w:rsid w:val="0096656B"/>
    <w:rsid w:val="00966B7F"/>
    <w:rsid w:val="00966C01"/>
    <w:rsid w:val="009672AA"/>
    <w:rsid w:val="00967476"/>
    <w:rsid w:val="0096778F"/>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B1"/>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390"/>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1E1C"/>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3D3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023"/>
    <w:rsid w:val="00A9223D"/>
    <w:rsid w:val="00A9282C"/>
    <w:rsid w:val="00A92910"/>
    <w:rsid w:val="00A9291C"/>
    <w:rsid w:val="00A92B46"/>
    <w:rsid w:val="00A92F9A"/>
    <w:rsid w:val="00A930A4"/>
    <w:rsid w:val="00A933C5"/>
    <w:rsid w:val="00A9346E"/>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5FF1"/>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B59"/>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2E"/>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6B2"/>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4E5B"/>
    <w:rsid w:val="00AF56C8"/>
    <w:rsid w:val="00AF56D2"/>
    <w:rsid w:val="00AF5767"/>
    <w:rsid w:val="00AF5B87"/>
    <w:rsid w:val="00AF60C7"/>
    <w:rsid w:val="00AF6589"/>
    <w:rsid w:val="00AF6696"/>
    <w:rsid w:val="00AF6A15"/>
    <w:rsid w:val="00AF6D3A"/>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4E3"/>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660"/>
    <w:rsid w:val="00B07A6C"/>
    <w:rsid w:val="00B07F97"/>
    <w:rsid w:val="00B1023B"/>
    <w:rsid w:val="00B107C6"/>
    <w:rsid w:val="00B108E5"/>
    <w:rsid w:val="00B109B1"/>
    <w:rsid w:val="00B10CA5"/>
    <w:rsid w:val="00B10DC2"/>
    <w:rsid w:val="00B10DCF"/>
    <w:rsid w:val="00B113D1"/>
    <w:rsid w:val="00B113FC"/>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4B23"/>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92E"/>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3FD5"/>
    <w:rsid w:val="00B841FD"/>
    <w:rsid w:val="00B845FF"/>
    <w:rsid w:val="00B84628"/>
    <w:rsid w:val="00B846BD"/>
    <w:rsid w:val="00B84A0F"/>
    <w:rsid w:val="00B84B6B"/>
    <w:rsid w:val="00B85295"/>
    <w:rsid w:val="00B857EF"/>
    <w:rsid w:val="00B8590C"/>
    <w:rsid w:val="00B85A2F"/>
    <w:rsid w:val="00B85DBA"/>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00E"/>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68"/>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A7"/>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BA2"/>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EC9"/>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7B1"/>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9F3"/>
    <w:rsid w:val="00C60B4E"/>
    <w:rsid w:val="00C60BA2"/>
    <w:rsid w:val="00C60CE2"/>
    <w:rsid w:val="00C61228"/>
    <w:rsid w:val="00C615DF"/>
    <w:rsid w:val="00C61C9C"/>
    <w:rsid w:val="00C61CAC"/>
    <w:rsid w:val="00C61D00"/>
    <w:rsid w:val="00C61D36"/>
    <w:rsid w:val="00C621C0"/>
    <w:rsid w:val="00C6238C"/>
    <w:rsid w:val="00C623AB"/>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A2E"/>
    <w:rsid w:val="00C85DB0"/>
    <w:rsid w:val="00C863C1"/>
    <w:rsid w:val="00C863F2"/>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A7FD9"/>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D5B"/>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3CB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3FD"/>
    <w:rsid w:val="00CE24DA"/>
    <w:rsid w:val="00CE29B4"/>
    <w:rsid w:val="00CE2BF4"/>
    <w:rsid w:val="00CE3278"/>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77A"/>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6E88"/>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682"/>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76E"/>
    <w:rsid w:val="00D23820"/>
    <w:rsid w:val="00D239DB"/>
    <w:rsid w:val="00D24114"/>
    <w:rsid w:val="00D2419C"/>
    <w:rsid w:val="00D241B6"/>
    <w:rsid w:val="00D246C6"/>
    <w:rsid w:val="00D24770"/>
    <w:rsid w:val="00D24944"/>
    <w:rsid w:val="00D24951"/>
    <w:rsid w:val="00D24B89"/>
    <w:rsid w:val="00D24C07"/>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217"/>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8D9"/>
    <w:rsid w:val="00D70B93"/>
    <w:rsid w:val="00D71179"/>
    <w:rsid w:val="00D711E8"/>
    <w:rsid w:val="00D716E5"/>
    <w:rsid w:val="00D7173D"/>
    <w:rsid w:val="00D71ACB"/>
    <w:rsid w:val="00D71EA3"/>
    <w:rsid w:val="00D72282"/>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9D9"/>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BD2"/>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CBD"/>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598"/>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75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23C"/>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BF9"/>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691"/>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2ECE"/>
    <w:rsid w:val="00E334DB"/>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266"/>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9D3"/>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84A"/>
    <w:rsid w:val="00E64946"/>
    <w:rsid w:val="00E649C2"/>
    <w:rsid w:val="00E6666B"/>
    <w:rsid w:val="00E6670F"/>
    <w:rsid w:val="00E669C1"/>
    <w:rsid w:val="00E66D2D"/>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1F72"/>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4FC3"/>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4D9C"/>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1E61"/>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1B9"/>
    <w:rsid w:val="00F17407"/>
    <w:rsid w:val="00F17650"/>
    <w:rsid w:val="00F17684"/>
    <w:rsid w:val="00F176E6"/>
    <w:rsid w:val="00F17801"/>
    <w:rsid w:val="00F17C00"/>
    <w:rsid w:val="00F17EBC"/>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3A3"/>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3E1"/>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D30"/>
    <w:rsid w:val="00F66F1C"/>
    <w:rsid w:val="00F676B7"/>
    <w:rsid w:val="00F67A4D"/>
    <w:rsid w:val="00F70126"/>
    <w:rsid w:val="00F70167"/>
    <w:rsid w:val="00F703ED"/>
    <w:rsid w:val="00F703F9"/>
    <w:rsid w:val="00F708A2"/>
    <w:rsid w:val="00F70A3B"/>
    <w:rsid w:val="00F70E4D"/>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14D"/>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8A3"/>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2F1"/>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285"/>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4A0"/>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92"/>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74"/>
    <w:rsid w:val="00FE4CA2"/>
    <w:rsid w:val="00FE4D7F"/>
    <w:rsid w:val="00FE51F0"/>
    <w:rsid w:val="00FE51FC"/>
    <w:rsid w:val="00FE5439"/>
    <w:rsid w:val="00FE5BD5"/>
    <w:rsid w:val="00FE5D11"/>
    <w:rsid w:val="00FE5E7F"/>
    <w:rsid w:val="00FE5FF8"/>
    <w:rsid w:val="00FE656B"/>
    <w:rsid w:val="00FE661F"/>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BD7"/>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DE44"/>
  <w15:chartTrackingRefBased/>
  <w15:docId w15:val="{69EAE7F9-3A87-4EBD-ADFB-1C3B24FB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240D68"/>
    <w:pPr>
      <w:keepNext/>
      <w:spacing w:before="120" w:after="360" w:line="276" w:lineRule="auto"/>
      <w:jc w:val="both"/>
      <w:outlineLvl w:val="1"/>
    </w:pPr>
    <w:rPr>
      <w:rFonts w:ascii="Times New Roman" w:eastAsia="PMingLiU" w:hAnsi="Times New Roman"/>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240D68"/>
    <w:rPr>
      <w:rFonts w:asciiTheme="majorHAnsi" w:eastAsia="PMingLiU" w:hAnsiTheme="majorHAnsi" w:cstheme="majorBidi"/>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FD7292"/>
    <w:rPr>
      <w:vertAlign w:val="superscript"/>
    </w:rPr>
  </w:style>
  <w:style w:type="paragraph" w:styleId="BalloonText">
    <w:name w:val="Balloon Text"/>
    <w:basedOn w:val="Normal"/>
    <w:link w:val="BalloonTextChar"/>
    <w:uiPriority w:val="99"/>
    <w:semiHidden/>
    <w:unhideWhenUsed/>
    <w:rsid w:val="00142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5CC"/>
    <w:rPr>
      <w:rFonts w:ascii="Segoe UI" w:hAnsi="Segoe UI" w:cs="Segoe UI"/>
      <w:sz w:val="18"/>
      <w:szCs w:val="18"/>
      <w:lang w:val="en-GB"/>
    </w:rPr>
  </w:style>
  <w:style w:type="character" w:styleId="CommentReference">
    <w:name w:val="annotation reference"/>
    <w:basedOn w:val="DefaultParagraphFont"/>
    <w:uiPriority w:val="99"/>
    <w:semiHidden/>
    <w:unhideWhenUsed/>
    <w:rsid w:val="002B2B90"/>
    <w:rPr>
      <w:sz w:val="18"/>
      <w:szCs w:val="18"/>
    </w:rPr>
  </w:style>
  <w:style w:type="paragraph" w:customStyle="1" w:styleId="MF">
    <w:name w:val="MF"/>
    <w:basedOn w:val="Normal"/>
    <w:rsid w:val="007E3F96"/>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caps/>
      <w:szCs w:val="20"/>
    </w:rPr>
  </w:style>
  <w:style w:type="paragraph" w:styleId="BodyTextIndent">
    <w:name w:val="Body Text Indent"/>
    <w:basedOn w:val="Normal"/>
    <w:link w:val="BodyTextIndentChar"/>
    <w:semiHidden/>
    <w:rsid w:val="007E3F96"/>
    <w:pPr>
      <w:spacing w:after="0" w:line="240" w:lineRule="auto"/>
      <w:ind w:left="720" w:hanging="720"/>
      <w:jc w:val="both"/>
    </w:pPr>
    <w:rPr>
      <w:rFonts w:eastAsia="宋体"/>
      <w:lang w:val="en-US"/>
    </w:rPr>
  </w:style>
  <w:style w:type="character" w:customStyle="1" w:styleId="BodyTextIndentChar">
    <w:name w:val="Body Text Indent Char"/>
    <w:basedOn w:val="DefaultParagraphFont"/>
    <w:link w:val="BodyTextIndent"/>
    <w:semiHidden/>
    <w:rsid w:val="007E3F96"/>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BBAF-BA14-41EC-BECF-8B2375D8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mingyee lam</cp:lastModifiedBy>
  <cp:revision>5</cp:revision>
  <cp:lastPrinted>2018-01-18T09:20:00Z</cp:lastPrinted>
  <dcterms:created xsi:type="dcterms:W3CDTF">2018-01-22T08:15:00Z</dcterms:created>
  <dcterms:modified xsi:type="dcterms:W3CDTF">2018-01-30T02:20:00Z</dcterms:modified>
</cp:coreProperties>
</file>